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4533" w14:textId="4E396822" w:rsidR="00BB4C9B" w:rsidRPr="0086704F" w:rsidRDefault="0086704F" w:rsidP="00BB4C9B">
      <w:pPr>
        <w:jc w:val="left"/>
        <w:rPr>
          <w:rFonts w:asciiTheme="minorHAnsi" w:hAnsiTheme="minorHAnsi" w:cstheme="minorHAnsi"/>
          <w:bCs/>
          <w:i/>
          <w:iCs/>
          <w:color w:val="FF0000"/>
        </w:rPr>
      </w:pPr>
      <w:bookmarkStart w:id="0" w:name="_Toc156993541"/>
      <w:r w:rsidRPr="0086704F">
        <w:rPr>
          <w:rFonts w:asciiTheme="minorHAnsi" w:hAnsiTheme="minorHAnsi" w:cstheme="minorHAnsi"/>
          <w:bCs/>
          <w:i/>
          <w:iCs/>
          <w:color w:val="FF0000"/>
        </w:rPr>
        <w:t>An addendum has been included at the end of the Public Summary Document (PSD).</w:t>
      </w:r>
      <w:r w:rsidRPr="0086704F">
        <w:rPr>
          <w:rFonts w:asciiTheme="minorHAnsi" w:hAnsiTheme="minorHAnsi" w:cstheme="minorHAnsi"/>
          <w:bCs/>
          <w:i/>
          <w:iCs/>
          <w:color w:val="FF0000"/>
        </w:rPr>
        <w:cr/>
      </w:r>
    </w:p>
    <w:p w14:paraId="71A35A68" w14:textId="35B0C0DA" w:rsidR="00480ABE" w:rsidRPr="0035358E" w:rsidRDefault="0022012D" w:rsidP="00920E7E">
      <w:pPr>
        <w:pStyle w:val="1-MainHeading"/>
        <w:ind w:left="851" w:hanging="851"/>
      </w:pPr>
      <w:r w:rsidRPr="0035358E">
        <w:t>5</w:t>
      </w:r>
      <w:r w:rsidR="00433044" w:rsidRPr="0035358E">
        <w:t>.</w:t>
      </w:r>
      <w:r w:rsidRPr="0035358E">
        <w:t>17</w:t>
      </w:r>
      <w:r w:rsidR="00163F66" w:rsidRPr="0035358E">
        <w:tab/>
      </w:r>
      <w:bookmarkStart w:id="1" w:name="_Toc22897637"/>
      <w:r w:rsidR="00480ABE" w:rsidRPr="0035358E">
        <w:t>RESPIRATORY SYNCYTIAL VIRUS VACCINE,</w:t>
      </w:r>
      <w:r w:rsidR="00480ABE" w:rsidRPr="0035358E">
        <w:br/>
      </w:r>
      <w:r w:rsidR="007D6E72" w:rsidRPr="0035358E">
        <w:t>Injection (0.5</w:t>
      </w:r>
      <w:r w:rsidR="00A12388" w:rsidRPr="0035358E">
        <w:t> </w:t>
      </w:r>
      <w:r w:rsidR="007D6E72" w:rsidRPr="0035358E">
        <w:t>mL)</w:t>
      </w:r>
      <w:r w:rsidR="00480ABE" w:rsidRPr="0035358E">
        <w:t>,</w:t>
      </w:r>
      <w:r w:rsidR="00480ABE" w:rsidRPr="0035358E">
        <w:br/>
        <w:t>Abrysvo</w:t>
      </w:r>
      <w:r w:rsidR="00480ABE" w:rsidRPr="0035358E">
        <w:rPr>
          <w:vertAlign w:val="superscript"/>
        </w:rPr>
        <w:t>®</w:t>
      </w:r>
      <w:r w:rsidR="00480ABE" w:rsidRPr="0035358E">
        <w:t>,</w:t>
      </w:r>
      <w:r w:rsidR="00480ABE" w:rsidRPr="0035358E">
        <w:br/>
        <w:t>PFIZER AUSTRALIA PTY LT</w:t>
      </w:r>
      <w:r w:rsidR="00986BAF" w:rsidRPr="0035358E">
        <w:t>D.</w:t>
      </w:r>
      <w:bookmarkEnd w:id="0"/>
    </w:p>
    <w:p w14:paraId="0C6AAE10" w14:textId="77777777" w:rsidR="00F1459A" w:rsidRPr="0035358E" w:rsidRDefault="00F1459A" w:rsidP="00F1459A">
      <w:pPr>
        <w:pStyle w:val="2-SectionHeading"/>
        <w:numPr>
          <w:ilvl w:val="0"/>
          <w:numId w:val="1"/>
        </w:numPr>
      </w:pPr>
      <w:bookmarkStart w:id="2" w:name="_Toc156993543"/>
      <w:bookmarkEnd w:id="1"/>
      <w:r w:rsidRPr="0035358E">
        <w:t>Purpose of submission</w:t>
      </w:r>
      <w:bookmarkEnd w:id="2"/>
    </w:p>
    <w:p w14:paraId="35BB3F16" w14:textId="77777777" w:rsidR="00DB24CC" w:rsidRDefault="00F1459A" w:rsidP="00DD4B2C">
      <w:pPr>
        <w:pStyle w:val="3-BodyText"/>
      </w:pPr>
      <w:r w:rsidRPr="0035358E">
        <w:t>The Category 1 submission requested National Immunisation Program (NIP) listing for recombinant syncytial pre-fusion F protein vaccine (RSVpreF) for the prevention of lower respiratory tract illness (LRTI) caused by respiratory syncytial virus (RSV) in infants from birth through 6 months of age by active immunisation of pregnant women.</w:t>
      </w:r>
    </w:p>
    <w:p w14:paraId="42D37347" w14:textId="6ED9D347" w:rsidR="00DB24CC" w:rsidRDefault="00F1459A" w:rsidP="00DD4B2C">
      <w:pPr>
        <w:pStyle w:val="3-BodyText"/>
        <w:rPr>
          <w:color w:val="0066FF"/>
        </w:rPr>
      </w:pPr>
      <w:r w:rsidRPr="0035358E">
        <w:t xml:space="preserve">Listing was requested on the basis of a cost-utility analysis versus standard medical management of LRTI in infants from birth through 6 months of age. The key components of the clinical issue addressed by the submission are </w:t>
      </w:r>
      <w:r w:rsidR="008462BA" w:rsidRPr="0035358E">
        <w:t>shown</w:t>
      </w:r>
      <w:r w:rsidRPr="0035358E">
        <w:t xml:space="preserve"> </w:t>
      </w:r>
      <w:r w:rsidR="008462BA" w:rsidRPr="0035358E">
        <w:t xml:space="preserve">in </w:t>
      </w:r>
      <w:r w:rsidR="008462BA" w:rsidRPr="0035358E">
        <w:fldChar w:fldCharType="begin"/>
      </w:r>
      <w:r w:rsidR="008462BA" w:rsidRPr="0035358E">
        <w:instrText xml:space="preserve"> REF _Ref157592574 \h </w:instrText>
      </w:r>
      <w:r w:rsidR="008462BA" w:rsidRPr="0035358E">
        <w:fldChar w:fldCharType="separate"/>
      </w:r>
      <w:r w:rsidR="00A46CAC" w:rsidRPr="0035358E">
        <w:t xml:space="preserve">Table </w:t>
      </w:r>
      <w:r w:rsidR="00A46CAC">
        <w:rPr>
          <w:noProof/>
        </w:rPr>
        <w:t>1</w:t>
      </w:r>
      <w:r w:rsidR="008462BA" w:rsidRPr="0035358E">
        <w:fldChar w:fldCharType="end"/>
      </w:r>
      <w:r w:rsidRPr="0035358E">
        <w:t>.</w:t>
      </w:r>
    </w:p>
    <w:p w14:paraId="30A38053" w14:textId="3AD49574" w:rsidR="003964B0" w:rsidRPr="0035358E" w:rsidRDefault="003964B0" w:rsidP="00DD4B2C">
      <w:pPr>
        <w:pStyle w:val="3-BodyText"/>
      </w:pPr>
      <w:r w:rsidRPr="0035358E">
        <w:t xml:space="preserve">The </w:t>
      </w:r>
      <w:bookmarkStart w:id="3" w:name="_Hlk166832908"/>
      <w:r w:rsidR="004E7C77" w:rsidRPr="0035358E">
        <w:t xml:space="preserve">pre-subcommittee response </w:t>
      </w:r>
      <w:bookmarkEnd w:id="3"/>
      <w:r w:rsidR="004E7C77" w:rsidRPr="0035358E">
        <w:t>(</w:t>
      </w:r>
      <w:r w:rsidRPr="0035358E">
        <w:t>PSCR</w:t>
      </w:r>
      <w:r w:rsidR="004E7C77" w:rsidRPr="0035358E">
        <w:t>)</w:t>
      </w:r>
      <w:r w:rsidRPr="0035358E">
        <w:t xml:space="preserve"> acknowledged the </w:t>
      </w:r>
      <w:r w:rsidR="005E450B" w:rsidRPr="0035358E">
        <w:t xml:space="preserve">updated </w:t>
      </w:r>
      <w:r w:rsidRPr="0035358E">
        <w:t xml:space="preserve">ATAGI </w:t>
      </w:r>
      <w:r w:rsidR="005E450B" w:rsidRPr="0035358E">
        <w:t xml:space="preserve">advice </w:t>
      </w:r>
      <w:r w:rsidRPr="0035358E">
        <w:t xml:space="preserve">which </w:t>
      </w:r>
      <w:r w:rsidR="005E450B" w:rsidRPr="0035358E">
        <w:t>recommended</w:t>
      </w:r>
      <w:r w:rsidRPr="0035358E">
        <w:t xml:space="preserve"> that the vaccine be given from 28 to 36 weeks gestation</w:t>
      </w:r>
      <w:r w:rsidR="005E450B" w:rsidRPr="0035358E">
        <w:t xml:space="preserve"> (see paragraph</w:t>
      </w:r>
      <w:r w:rsidR="00A351E6" w:rsidRPr="0035358E">
        <w:t xml:space="preserve"> </w:t>
      </w:r>
      <w:r w:rsidR="00A351E6" w:rsidRPr="0035358E">
        <w:fldChar w:fldCharType="begin"/>
      </w:r>
      <w:r w:rsidR="00A351E6" w:rsidRPr="0035358E">
        <w:instrText xml:space="preserve"> REF _Ref163576887 \r \h </w:instrText>
      </w:r>
      <w:r w:rsidR="00A351E6" w:rsidRPr="0035358E">
        <w:fldChar w:fldCharType="separate"/>
      </w:r>
      <w:r w:rsidR="00A46CAC">
        <w:t>3.2</w:t>
      </w:r>
      <w:r w:rsidR="00A351E6" w:rsidRPr="0035358E">
        <w:fldChar w:fldCharType="end"/>
      </w:r>
      <w:r w:rsidR="005E450B" w:rsidRPr="0035358E">
        <w:t>)</w:t>
      </w:r>
      <w:r w:rsidR="00C93F78" w:rsidRPr="0035358E">
        <w:t xml:space="preserve">. </w:t>
      </w:r>
      <w:r w:rsidRPr="0035358E">
        <w:t xml:space="preserve">Subgroup data </w:t>
      </w:r>
      <w:r w:rsidR="00A351E6" w:rsidRPr="0035358E">
        <w:t xml:space="preserve">corresponding to this advice </w:t>
      </w:r>
      <w:r w:rsidRPr="0035358E">
        <w:t xml:space="preserve">were presented in the PSCR and </w:t>
      </w:r>
      <w:r w:rsidR="005E450B" w:rsidRPr="0035358E">
        <w:t xml:space="preserve">pre-PBAC </w:t>
      </w:r>
      <w:r w:rsidRPr="0035358E">
        <w:t>re</w:t>
      </w:r>
      <w:r w:rsidR="005E450B" w:rsidRPr="0035358E">
        <w:t>sponse.</w:t>
      </w:r>
    </w:p>
    <w:p w14:paraId="3FC33261" w14:textId="568F1DB2" w:rsidR="00F1459A" w:rsidRPr="0035358E" w:rsidRDefault="00F1459A" w:rsidP="00AE0C2A">
      <w:pPr>
        <w:pStyle w:val="TableFigureHeading"/>
        <w:rPr>
          <w:rStyle w:val="CommentReference"/>
          <w:b/>
          <w:szCs w:val="24"/>
        </w:rPr>
      </w:pPr>
      <w:bookmarkStart w:id="4" w:name="_Ref157592574"/>
      <w:r w:rsidRPr="0035358E">
        <w:t xml:space="preserve">Table </w:t>
      </w:r>
      <w:r w:rsidR="00560E31">
        <w:fldChar w:fldCharType="begin"/>
      </w:r>
      <w:r w:rsidR="00560E31">
        <w:instrText xml:space="preserve"> SEQ Table \* ARABIC </w:instrText>
      </w:r>
      <w:r w:rsidR="00560E31">
        <w:fldChar w:fldCharType="separate"/>
      </w:r>
      <w:r w:rsidR="00A46CAC">
        <w:rPr>
          <w:noProof/>
        </w:rPr>
        <w:t>1</w:t>
      </w:r>
      <w:r w:rsidR="00560E31">
        <w:rPr>
          <w:noProof/>
        </w:rPr>
        <w:fldChar w:fldCharType="end"/>
      </w:r>
      <w:bookmarkEnd w:id="4"/>
      <w:r w:rsidRPr="0035358E">
        <w:t>:</w:t>
      </w:r>
      <w:r w:rsidRPr="0035358E">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6"/>
        <w:gridCol w:w="7351"/>
      </w:tblGrid>
      <w:tr w:rsidR="00F1459A" w:rsidRPr="0035358E" w14:paraId="70D10835" w14:textId="77777777" w:rsidTr="001275F8">
        <w:trPr>
          <w:cantSplit/>
          <w:tblHeader/>
        </w:trPr>
        <w:tc>
          <w:tcPr>
            <w:tcW w:w="924" w:type="pct"/>
            <w:shd w:val="clear" w:color="auto" w:fill="auto"/>
          </w:tcPr>
          <w:p w14:paraId="3E70874F" w14:textId="77777777" w:rsidR="00F1459A" w:rsidRPr="0035358E" w:rsidRDefault="00F1459A" w:rsidP="001275F8">
            <w:pPr>
              <w:pStyle w:val="In-tableHeading"/>
              <w:rPr>
                <w:szCs w:val="20"/>
                <w:lang w:val="en-AU"/>
              </w:rPr>
            </w:pPr>
            <w:r w:rsidRPr="0035358E">
              <w:rPr>
                <w:lang w:val="en-AU"/>
              </w:rPr>
              <w:t>Component</w:t>
            </w:r>
          </w:p>
        </w:tc>
        <w:tc>
          <w:tcPr>
            <w:tcW w:w="4076" w:type="pct"/>
            <w:shd w:val="clear" w:color="auto" w:fill="auto"/>
          </w:tcPr>
          <w:p w14:paraId="7E03BF5B" w14:textId="77777777" w:rsidR="00F1459A" w:rsidRPr="0035358E" w:rsidRDefault="00F1459A" w:rsidP="001275F8">
            <w:pPr>
              <w:pStyle w:val="In-tableHeading"/>
              <w:rPr>
                <w:lang w:val="en-AU"/>
              </w:rPr>
            </w:pPr>
            <w:r w:rsidRPr="0035358E">
              <w:rPr>
                <w:lang w:val="en-AU"/>
              </w:rPr>
              <w:t>Description</w:t>
            </w:r>
          </w:p>
        </w:tc>
      </w:tr>
      <w:tr w:rsidR="00F1459A" w:rsidRPr="0035358E" w14:paraId="686921F1" w14:textId="77777777" w:rsidTr="001275F8">
        <w:trPr>
          <w:cantSplit/>
        </w:trPr>
        <w:tc>
          <w:tcPr>
            <w:tcW w:w="924" w:type="pct"/>
            <w:shd w:val="clear" w:color="auto" w:fill="auto"/>
          </w:tcPr>
          <w:p w14:paraId="1E34C6BA" w14:textId="77777777" w:rsidR="00F1459A" w:rsidRPr="0035358E" w:rsidRDefault="00F1459A" w:rsidP="001275F8">
            <w:pPr>
              <w:pStyle w:val="TableText0"/>
            </w:pPr>
            <w:r w:rsidRPr="0035358E">
              <w:t>Population</w:t>
            </w:r>
          </w:p>
        </w:tc>
        <w:tc>
          <w:tcPr>
            <w:tcW w:w="4076" w:type="pct"/>
            <w:shd w:val="clear" w:color="auto" w:fill="auto"/>
          </w:tcPr>
          <w:p w14:paraId="69B88F94" w14:textId="7FE63756" w:rsidR="00F1459A" w:rsidRPr="0035358E" w:rsidRDefault="00F1459A" w:rsidP="001275F8">
            <w:pPr>
              <w:pStyle w:val="TableText0"/>
              <w:rPr>
                <w:szCs w:val="20"/>
              </w:rPr>
            </w:pPr>
            <w:r w:rsidRPr="0035358E">
              <w:rPr>
                <w:szCs w:val="20"/>
              </w:rPr>
              <w:t>Vaccination of pregnant women between 24 and 36 weeks of gestation to prevent RSV</w:t>
            </w:r>
            <w:r w:rsidR="003964B0" w:rsidRPr="0035358E">
              <w:rPr>
                <w:szCs w:val="20"/>
              </w:rPr>
              <w:noBreakHyphen/>
            </w:r>
            <w:r w:rsidRPr="0035358E">
              <w:rPr>
                <w:szCs w:val="20"/>
              </w:rPr>
              <w:t>associated lower respiratory tract illness (LRTI) in infants aged 0 to 6 months.</w:t>
            </w:r>
          </w:p>
        </w:tc>
      </w:tr>
      <w:tr w:rsidR="00F1459A" w:rsidRPr="0035358E" w14:paraId="5B96F109" w14:textId="77777777" w:rsidTr="001275F8">
        <w:trPr>
          <w:cantSplit/>
        </w:trPr>
        <w:tc>
          <w:tcPr>
            <w:tcW w:w="924" w:type="pct"/>
            <w:shd w:val="clear" w:color="auto" w:fill="auto"/>
          </w:tcPr>
          <w:p w14:paraId="2447FA16" w14:textId="77777777" w:rsidR="00F1459A" w:rsidRPr="0035358E" w:rsidRDefault="00F1459A" w:rsidP="001275F8">
            <w:pPr>
              <w:pStyle w:val="TableText0"/>
            </w:pPr>
            <w:r w:rsidRPr="0035358E">
              <w:t>Intervention</w:t>
            </w:r>
          </w:p>
        </w:tc>
        <w:tc>
          <w:tcPr>
            <w:tcW w:w="4076" w:type="pct"/>
            <w:shd w:val="clear" w:color="auto" w:fill="auto"/>
          </w:tcPr>
          <w:p w14:paraId="7851E82B" w14:textId="77777777" w:rsidR="00F1459A" w:rsidRPr="0035358E" w:rsidRDefault="00F1459A" w:rsidP="001275F8">
            <w:pPr>
              <w:pStyle w:val="TableText0"/>
              <w:rPr>
                <w:szCs w:val="20"/>
              </w:rPr>
            </w:pPr>
            <w:r w:rsidRPr="0035358E">
              <w:rPr>
                <w:szCs w:val="20"/>
              </w:rPr>
              <w:t>Single dose of RSVpreF to be administered at 24-36 weeks gestation.</w:t>
            </w:r>
          </w:p>
          <w:p w14:paraId="7944B314" w14:textId="77777777" w:rsidR="00F1459A" w:rsidRPr="0035358E" w:rsidRDefault="00F1459A" w:rsidP="001275F8">
            <w:pPr>
              <w:pStyle w:val="TableText0"/>
            </w:pPr>
            <w:r w:rsidRPr="0035358E">
              <w:rPr>
                <w:szCs w:val="20"/>
              </w:rPr>
              <w:t>RSVpreF is a bivalent, unadjuvanted vaccine composed of stable RSV prefusion F antigens representing the two RSV subgroups (RSV-A and RSV-B).</w:t>
            </w:r>
          </w:p>
        </w:tc>
      </w:tr>
      <w:tr w:rsidR="00F1459A" w:rsidRPr="0035358E" w14:paraId="511AEBD8" w14:textId="77777777" w:rsidTr="001275F8">
        <w:trPr>
          <w:cantSplit/>
        </w:trPr>
        <w:tc>
          <w:tcPr>
            <w:tcW w:w="924" w:type="pct"/>
            <w:shd w:val="clear" w:color="auto" w:fill="auto"/>
          </w:tcPr>
          <w:p w14:paraId="48A9E054" w14:textId="77777777" w:rsidR="00F1459A" w:rsidRPr="0035358E" w:rsidRDefault="00F1459A" w:rsidP="001275F8">
            <w:pPr>
              <w:pStyle w:val="TableText0"/>
            </w:pPr>
            <w:r w:rsidRPr="0035358E">
              <w:t>Comparator</w:t>
            </w:r>
          </w:p>
        </w:tc>
        <w:tc>
          <w:tcPr>
            <w:tcW w:w="4076" w:type="pct"/>
            <w:shd w:val="clear" w:color="auto" w:fill="auto"/>
          </w:tcPr>
          <w:p w14:paraId="380FCC3C" w14:textId="77777777" w:rsidR="00F1459A" w:rsidRPr="0035358E" w:rsidRDefault="00F1459A" w:rsidP="001275F8">
            <w:pPr>
              <w:pStyle w:val="TableText0"/>
            </w:pPr>
            <w:r w:rsidRPr="0035358E">
              <w:rPr>
                <w:szCs w:val="20"/>
              </w:rPr>
              <w:t>Standard of care (no vaccine)</w:t>
            </w:r>
          </w:p>
        </w:tc>
      </w:tr>
      <w:tr w:rsidR="00F1459A" w:rsidRPr="0035358E" w14:paraId="507A08A3" w14:textId="77777777" w:rsidTr="001275F8">
        <w:trPr>
          <w:cantSplit/>
        </w:trPr>
        <w:tc>
          <w:tcPr>
            <w:tcW w:w="924" w:type="pct"/>
            <w:shd w:val="clear" w:color="auto" w:fill="auto"/>
          </w:tcPr>
          <w:p w14:paraId="10D69357" w14:textId="77777777" w:rsidR="00F1459A" w:rsidRPr="0035358E" w:rsidRDefault="00F1459A" w:rsidP="001275F8">
            <w:pPr>
              <w:pStyle w:val="TableText0"/>
            </w:pPr>
            <w:r w:rsidRPr="0035358E">
              <w:t>Outcomes</w:t>
            </w:r>
          </w:p>
        </w:tc>
        <w:tc>
          <w:tcPr>
            <w:tcW w:w="4076" w:type="pct"/>
            <w:shd w:val="clear" w:color="auto" w:fill="auto"/>
          </w:tcPr>
          <w:p w14:paraId="12DF2A3A" w14:textId="77777777" w:rsidR="00F1459A" w:rsidRPr="0035358E" w:rsidRDefault="00F1459A" w:rsidP="00F43500">
            <w:pPr>
              <w:pStyle w:val="TableText0"/>
              <w:keepNext w:val="0"/>
              <w:numPr>
                <w:ilvl w:val="0"/>
                <w:numId w:val="7"/>
              </w:numPr>
              <w:tabs>
                <w:tab w:val="left" w:pos="279"/>
              </w:tabs>
              <w:ind w:left="279" w:hanging="266"/>
              <w:rPr>
                <w:szCs w:val="20"/>
              </w:rPr>
            </w:pPr>
            <w:r w:rsidRPr="0035358E">
              <w:rPr>
                <w:szCs w:val="20"/>
              </w:rPr>
              <w:t>Efficacy: MA-LRTI and severe MA-LRTI due to RSV, laboratory confirmed cases of RSV, hospitalisation due to RSV, MA-LRTI due to any cause</w:t>
            </w:r>
          </w:p>
          <w:p w14:paraId="1663C0B3" w14:textId="77777777" w:rsidR="00F1459A" w:rsidRPr="0035358E" w:rsidRDefault="00F1459A" w:rsidP="00F43500">
            <w:pPr>
              <w:pStyle w:val="TableText0"/>
              <w:keepNext w:val="0"/>
              <w:numPr>
                <w:ilvl w:val="0"/>
                <w:numId w:val="7"/>
              </w:numPr>
              <w:ind w:left="279" w:hanging="252"/>
              <w:rPr>
                <w:szCs w:val="20"/>
              </w:rPr>
            </w:pPr>
            <w:r w:rsidRPr="0035358E">
              <w:rPr>
                <w:szCs w:val="20"/>
              </w:rPr>
              <w:t>Immunogenicity</w:t>
            </w:r>
          </w:p>
          <w:p w14:paraId="0BE44D66" w14:textId="77777777" w:rsidR="00F1459A" w:rsidRPr="0035358E" w:rsidRDefault="00F1459A" w:rsidP="00F43500">
            <w:pPr>
              <w:pStyle w:val="TableText0"/>
              <w:keepNext w:val="0"/>
              <w:numPr>
                <w:ilvl w:val="0"/>
                <w:numId w:val="7"/>
              </w:numPr>
              <w:ind w:left="279" w:hanging="252"/>
              <w:rPr>
                <w:szCs w:val="20"/>
              </w:rPr>
            </w:pPr>
            <w:r w:rsidRPr="0035358E">
              <w:rPr>
                <w:szCs w:val="20"/>
              </w:rPr>
              <w:t>Safety: adverse events (all, serious, severe, life-threatening, medically-attended and vaccine-related), local reactions, systemic events, AESIs</w:t>
            </w:r>
          </w:p>
        </w:tc>
      </w:tr>
      <w:tr w:rsidR="00F1459A" w:rsidRPr="0035358E" w14:paraId="76E0C90D" w14:textId="77777777" w:rsidTr="001275F8">
        <w:trPr>
          <w:cantSplit/>
        </w:trPr>
        <w:tc>
          <w:tcPr>
            <w:tcW w:w="924" w:type="pct"/>
            <w:shd w:val="clear" w:color="auto" w:fill="auto"/>
          </w:tcPr>
          <w:p w14:paraId="74AA3319" w14:textId="77777777" w:rsidR="00F1459A" w:rsidRPr="0035358E" w:rsidRDefault="00F1459A" w:rsidP="001275F8">
            <w:pPr>
              <w:pStyle w:val="TableText0"/>
            </w:pPr>
            <w:r w:rsidRPr="0035358E">
              <w:t>Clinical claim</w:t>
            </w:r>
          </w:p>
        </w:tc>
        <w:tc>
          <w:tcPr>
            <w:tcW w:w="4076" w:type="pct"/>
            <w:shd w:val="clear" w:color="auto" w:fill="auto"/>
          </w:tcPr>
          <w:p w14:paraId="407736C6" w14:textId="77777777" w:rsidR="00F1459A" w:rsidRPr="0035358E" w:rsidRDefault="00F1459A" w:rsidP="00173E6F">
            <w:pPr>
              <w:pStyle w:val="TableText0"/>
              <w:rPr>
                <w:szCs w:val="20"/>
              </w:rPr>
            </w:pPr>
            <w:r w:rsidRPr="0035358E">
              <w:rPr>
                <w:szCs w:val="20"/>
              </w:rPr>
              <w:t>In pregnant women between 24 and 36 weeks of gestation:</w:t>
            </w:r>
          </w:p>
          <w:p w14:paraId="4F085975" w14:textId="77777777" w:rsidR="00DB24CC" w:rsidRDefault="00F1459A" w:rsidP="00F43500">
            <w:pPr>
              <w:pStyle w:val="TableText0"/>
              <w:keepNext w:val="0"/>
              <w:numPr>
                <w:ilvl w:val="0"/>
                <w:numId w:val="7"/>
              </w:numPr>
              <w:tabs>
                <w:tab w:val="left" w:pos="279"/>
              </w:tabs>
              <w:ind w:left="279" w:hanging="266"/>
              <w:rPr>
                <w:szCs w:val="20"/>
              </w:rPr>
            </w:pPr>
            <w:r w:rsidRPr="0035358E">
              <w:rPr>
                <w:szCs w:val="20"/>
              </w:rPr>
              <w:t>RSVpreF is more effective than placebo (no vaccine) at preventing MA-LRTI and severe MA</w:t>
            </w:r>
            <w:r w:rsidR="003964B0" w:rsidRPr="0035358E">
              <w:rPr>
                <w:szCs w:val="20"/>
              </w:rPr>
              <w:noBreakHyphen/>
            </w:r>
            <w:r w:rsidRPr="0035358E">
              <w:rPr>
                <w:szCs w:val="20"/>
              </w:rPr>
              <w:t>LRTI due to RSV among infants during the first 6 months of life.</w:t>
            </w:r>
          </w:p>
          <w:p w14:paraId="34E601D3" w14:textId="44FA3D24" w:rsidR="00F1459A" w:rsidRPr="0035358E" w:rsidRDefault="00F1459A" w:rsidP="00F43500">
            <w:pPr>
              <w:pStyle w:val="TableText0"/>
              <w:keepNext w:val="0"/>
              <w:numPr>
                <w:ilvl w:val="0"/>
                <w:numId w:val="7"/>
              </w:numPr>
              <w:tabs>
                <w:tab w:val="left" w:pos="279"/>
              </w:tabs>
              <w:ind w:left="279" w:hanging="266"/>
              <w:rPr>
                <w:szCs w:val="20"/>
              </w:rPr>
            </w:pPr>
            <w:r w:rsidRPr="0035358E">
              <w:rPr>
                <w:szCs w:val="20"/>
              </w:rPr>
              <w:t>RSVpreF has inferior safety to placebo (no vaccine)</w:t>
            </w:r>
          </w:p>
        </w:tc>
      </w:tr>
    </w:tbl>
    <w:p w14:paraId="288DE9EA" w14:textId="77777777" w:rsidR="00F1459A" w:rsidRPr="0035358E" w:rsidRDefault="00F1459A" w:rsidP="00F1459A">
      <w:pPr>
        <w:pStyle w:val="FooterTableFigure"/>
      </w:pPr>
      <w:r w:rsidRPr="0035358E">
        <w:t>Source: Table 1.1.1, p4 of the submission.</w:t>
      </w:r>
    </w:p>
    <w:p w14:paraId="675388F4" w14:textId="5728B4B4" w:rsidR="00F1459A" w:rsidRPr="0035358E" w:rsidRDefault="00194C04" w:rsidP="00F1459A">
      <w:pPr>
        <w:pStyle w:val="FooterTableFigure"/>
        <w:rPr>
          <w:sz w:val="20"/>
        </w:rPr>
      </w:pPr>
      <w:r>
        <w:t xml:space="preserve">Abbreviations: </w:t>
      </w:r>
      <w:r w:rsidR="00F1459A" w:rsidRPr="0035358E">
        <w:t>AESI = adverse events of special interest; LRTI = lower respiratory tract infections; MA-LRTI = medically attended lower respiratory tract infections; RSV = respiratory syncytial virus; RSVpreF = recombinant respiratory syncytial virus pre-fusion F protein vaccine.</w:t>
      </w:r>
    </w:p>
    <w:p w14:paraId="0AB9D568" w14:textId="77777777" w:rsidR="00F1459A" w:rsidRPr="0035358E" w:rsidRDefault="00F1459A" w:rsidP="00F1459A">
      <w:pPr>
        <w:pStyle w:val="2-SectionHeading"/>
        <w:numPr>
          <w:ilvl w:val="0"/>
          <w:numId w:val="1"/>
        </w:numPr>
      </w:pPr>
      <w:bookmarkStart w:id="5" w:name="_Toc156993544"/>
      <w:r w:rsidRPr="0035358E">
        <w:lastRenderedPageBreak/>
        <w:t>Background</w:t>
      </w:r>
      <w:bookmarkEnd w:id="5"/>
    </w:p>
    <w:p w14:paraId="163CA551" w14:textId="2E384D24" w:rsidR="00F1459A" w:rsidRPr="0035358E" w:rsidRDefault="00F1459A" w:rsidP="00F1459A">
      <w:pPr>
        <w:pStyle w:val="4-SubsectionHeading"/>
      </w:pPr>
      <w:bookmarkStart w:id="6" w:name="_Toc22897638"/>
      <w:bookmarkStart w:id="7" w:name="_Toc156993545"/>
      <w:r w:rsidRPr="0035358E">
        <w:t>Registration status</w:t>
      </w:r>
      <w:bookmarkEnd w:id="6"/>
      <w:bookmarkEnd w:id="7"/>
    </w:p>
    <w:p w14:paraId="14B4AC4B" w14:textId="0D06FA18" w:rsidR="007A5FD9" w:rsidRPr="0035358E" w:rsidRDefault="007A5FD9" w:rsidP="00DD4B2C">
      <w:pPr>
        <w:pStyle w:val="3-BodyText"/>
      </w:pPr>
      <w:r w:rsidRPr="0035358E">
        <w:rPr>
          <w:rFonts w:eastAsia="Calibri"/>
        </w:rPr>
        <w:t xml:space="preserve">TGA status at time of </w:t>
      </w:r>
      <w:r w:rsidR="00156669" w:rsidRPr="0035358E">
        <w:rPr>
          <w:rFonts w:eastAsia="Calibri"/>
        </w:rPr>
        <w:t>PBAC consideration</w:t>
      </w:r>
      <w:r w:rsidRPr="0035358E">
        <w:rPr>
          <w:rFonts w:eastAsia="Calibri"/>
        </w:rPr>
        <w:t xml:space="preserve">: </w:t>
      </w:r>
      <w:r w:rsidR="00024B7A" w:rsidRPr="0035358E">
        <w:rPr>
          <w:rFonts w:eastAsia="Calibri"/>
        </w:rPr>
        <w:t>Not yet registered.</w:t>
      </w:r>
    </w:p>
    <w:p w14:paraId="783FA7E8" w14:textId="11A056A9" w:rsidR="00F1459A" w:rsidRPr="0035358E" w:rsidRDefault="00024B7A" w:rsidP="00DD4B2C">
      <w:pPr>
        <w:pStyle w:val="3-BodyText"/>
      </w:pPr>
      <w:r w:rsidRPr="0035358E">
        <w:t>T</w:t>
      </w:r>
      <w:r w:rsidR="001E6F0C" w:rsidRPr="0035358E">
        <w:t>he submission was made under the TGA/PBAC Parallel Process</w:t>
      </w:r>
      <w:r w:rsidR="00C93F78" w:rsidRPr="0035358E">
        <w:t xml:space="preserve">. </w:t>
      </w:r>
      <w:r w:rsidR="00F1459A" w:rsidRPr="0035358E">
        <w:t xml:space="preserve">At the time of PBAC consideration, the Round 1 </w:t>
      </w:r>
      <w:r w:rsidR="00F21DCB" w:rsidRPr="0035358E">
        <w:t xml:space="preserve">and Round 2 </w:t>
      </w:r>
      <w:r w:rsidR="00F1459A" w:rsidRPr="0035358E">
        <w:t>TGA clinical evaluation report</w:t>
      </w:r>
      <w:r w:rsidR="00F21DCB" w:rsidRPr="0035358E">
        <w:t>s</w:t>
      </w:r>
      <w:r w:rsidR="004F6613" w:rsidRPr="0035358E">
        <w:t>,</w:t>
      </w:r>
      <w:r w:rsidR="004B7D83" w:rsidRPr="0035358E">
        <w:t xml:space="preserve"> </w:t>
      </w:r>
      <w:r w:rsidR="00F21DCB" w:rsidRPr="0035358E">
        <w:t>TGA Delegate’s overview</w:t>
      </w:r>
      <w:r w:rsidR="004F6613" w:rsidRPr="0035358E">
        <w:t xml:space="preserve"> and the Advisory Committee on Vaccines (ACV) minutes</w:t>
      </w:r>
      <w:r w:rsidR="002810F0" w:rsidRPr="0035358E">
        <w:t>,</w:t>
      </w:r>
      <w:r w:rsidR="00F21DCB" w:rsidRPr="0035358E">
        <w:t xml:space="preserve"> </w:t>
      </w:r>
      <w:r w:rsidR="00F1459A" w:rsidRPr="0035358E">
        <w:t>w</w:t>
      </w:r>
      <w:r w:rsidR="00F21DCB" w:rsidRPr="0035358E">
        <w:t>ere</w:t>
      </w:r>
      <w:r w:rsidR="00F1459A" w:rsidRPr="0035358E">
        <w:t xml:space="preserve"> available. </w:t>
      </w:r>
      <w:r w:rsidR="004B7D83" w:rsidRPr="0035358E">
        <w:rPr>
          <w:iCs/>
        </w:rPr>
        <w:t xml:space="preserve">The TGA Delegate was inclined to support registration and requested advice from the </w:t>
      </w:r>
      <w:r w:rsidRPr="0035358E">
        <w:rPr>
          <w:iCs/>
        </w:rPr>
        <w:t xml:space="preserve">ACV </w:t>
      </w:r>
      <w:r w:rsidR="004B7D83" w:rsidRPr="0035358E">
        <w:rPr>
          <w:iCs/>
        </w:rPr>
        <w:t>regarding the optimal timing of antenatal vaccination in relation to gestational age for prevention of RSV disease in infants.</w:t>
      </w:r>
      <w:r w:rsidR="004B7D83" w:rsidRPr="0035358E">
        <w:t xml:space="preserve"> </w:t>
      </w:r>
      <w:r w:rsidR="000A769E" w:rsidRPr="0035358E">
        <w:t>The ACV considered this vaccine to have an overall positive benefit-risk profile for the following</w:t>
      </w:r>
      <w:r w:rsidR="00F1459A" w:rsidRPr="0035358E">
        <w:t xml:space="preserve"> indication </w:t>
      </w:r>
      <w:r w:rsidR="000A769E" w:rsidRPr="0035358E">
        <w:t xml:space="preserve">as proposed </w:t>
      </w:r>
      <w:r w:rsidR="00F52592" w:rsidRPr="0035358E">
        <w:t>in the pre-ACV response</w:t>
      </w:r>
      <w:r w:rsidR="00F1459A" w:rsidRPr="0035358E">
        <w:t>:</w:t>
      </w:r>
    </w:p>
    <w:p w14:paraId="4208687B" w14:textId="15881D92" w:rsidR="00F52592" w:rsidRPr="00DD4B2C" w:rsidRDefault="00F52592" w:rsidP="00DD4B2C">
      <w:pPr>
        <w:pStyle w:val="ListParagraph"/>
      </w:pPr>
      <w:r w:rsidRPr="00DD4B2C">
        <w:t>Active immunisation of pregnant women between 24-36 weeks of gestation for prevention of lower respiratory tract disease and severe lower respiratory tract disease caused by RSV in infants from birth through 6 months of age.</w:t>
      </w:r>
    </w:p>
    <w:p w14:paraId="34547859" w14:textId="149A0F56" w:rsidR="00F52592" w:rsidRPr="00DD4B2C" w:rsidRDefault="00F52592" w:rsidP="00DD4B2C">
      <w:pPr>
        <w:pStyle w:val="ListParagraph"/>
      </w:pPr>
      <w:r w:rsidRPr="00DD4B2C">
        <w:t>Active immunisation of individuals 60 years of age and above for prevention of lower respiratory tract disease caused by RSV.</w:t>
      </w:r>
    </w:p>
    <w:p w14:paraId="51C0F203" w14:textId="77777777" w:rsidR="004E7C77" w:rsidRPr="0035358E" w:rsidRDefault="00B455F2" w:rsidP="00DD4B2C">
      <w:pPr>
        <w:pStyle w:val="3-BodyText"/>
        <w:numPr>
          <w:ilvl w:val="0"/>
          <w:numId w:val="0"/>
        </w:numPr>
        <w:ind w:left="709"/>
      </w:pPr>
      <w:r w:rsidRPr="0035358E">
        <w:t>ABRYSVO should be used in accordance with official recommendations.</w:t>
      </w:r>
    </w:p>
    <w:p w14:paraId="266D8DCF" w14:textId="42CE4AC5" w:rsidR="00CF6040" w:rsidRPr="0035358E" w:rsidRDefault="00CF6040" w:rsidP="00DD4B2C">
      <w:pPr>
        <w:pStyle w:val="3-BodyText"/>
      </w:pPr>
      <w:bookmarkStart w:id="8" w:name="_Ref163487315"/>
      <w:r w:rsidRPr="0035358E">
        <w:t>The ACV advised that the optimal timing for administration was from 28 to 36 weeks gestational age</w:t>
      </w:r>
      <w:r w:rsidR="00C93F78" w:rsidRPr="0035358E">
        <w:t xml:space="preserve">. </w:t>
      </w:r>
      <w:r w:rsidR="00A351E6" w:rsidRPr="0035358E">
        <w:t>It was noted that v</w:t>
      </w:r>
      <w:r w:rsidRPr="0035358E">
        <w:t>accine effectiveness appeared lower when administered between 24 to 28 weeks</w:t>
      </w:r>
      <w:r w:rsidR="00A351E6" w:rsidRPr="0035358E">
        <w:t>, and that a</w:t>
      </w:r>
      <w:r w:rsidRPr="0035358E">
        <w:t xml:space="preserve">dministration after 36 weeks could still offer benefit if </w:t>
      </w:r>
      <w:r w:rsidR="00A351E6" w:rsidRPr="0035358E">
        <w:t xml:space="preserve">there was </w:t>
      </w:r>
      <w:r w:rsidRPr="0035358E">
        <w:t xml:space="preserve">adequate time </w:t>
      </w:r>
      <w:r w:rsidR="00A351E6" w:rsidRPr="0035358E">
        <w:t xml:space="preserve">before </w:t>
      </w:r>
      <w:r w:rsidRPr="0035358E">
        <w:t>delivery to allow maternal immune response and transplacental antibody transfer.</w:t>
      </w:r>
      <w:bookmarkEnd w:id="8"/>
    </w:p>
    <w:p w14:paraId="5DF336EE" w14:textId="77777777" w:rsidR="004E7C77" w:rsidRPr="0035358E" w:rsidRDefault="0079762C" w:rsidP="00DD4B2C">
      <w:pPr>
        <w:pStyle w:val="3-BodyText"/>
      </w:pPr>
      <w:r w:rsidRPr="0035358E">
        <w:t>The ACV noted that pertussis vaccination (as diphtheria-tetanus-acellular pertussis, dTpa) is recommended in Australia in pregnancy from 20 to 32 weeks gestational age, and advised that ideally at least 2 weeks should elapse between administration of dTpa and RSVpreF due to the lower immune response to the pertussis antigen when dTpa and RSVpreF are co-administered.</w:t>
      </w:r>
    </w:p>
    <w:p w14:paraId="4CC1348D" w14:textId="40260813" w:rsidR="004E7C77" w:rsidRPr="0035358E" w:rsidRDefault="004E7C77" w:rsidP="00DD4B2C">
      <w:pPr>
        <w:pStyle w:val="3-BodyText"/>
      </w:pPr>
      <w:r w:rsidRPr="0035358E">
        <w:t>The indication regarding the prevention of RSV in individuals 60 years and older is not part of the current PBAC submission.</w:t>
      </w:r>
    </w:p>
    <w:p w14:paraId="4F929247" w14:textId="77777777" w:rsidR="00F1459A" w:rsidRPr="0035358E" w:rsidRDefault="00F1459A" w:rsidP="00F1459A">
      <w:pPr>
        <w:pStyle w:val="2-SectionHeading"/>
        <w:numPr>
          <w:ilvl w:val="0"/>
          <w:numId w:val="1"/>
        </w:numPr>
      </w:pPr>
      <w:bookmarkStart w:id="9" w:name="_Toc107902078"/>
      <w:bookmarkStart w:id="10" w:name="_Toc156993546"/>
      <w:bookmarkEnd w:id="9"/>
      <w:r w:rsidRPr="0035358E">
        <w:lastRenderedPageBreak/>
        <w:t>Requested listing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410"/>
        <w:gridCol w:w="992"/>
        <w:gridCol w:w="992"/>
        <w:gridCol w:w="709"/>
        <w:gridCol w:w="942"/>
      </w:tblGrid>
      <w:tr w:rsidR="00F1459A" w:rsidRPr="0035358E" w14:paraId="77C2D516" w14:textId="77777777" w:rsidTr="00CB5ECD">
        <w:trPr>
          <w:cantSplit/>
          <w:trHeight w:val="20"/>
        </w:trPr>
        <w:tc>
          <w:tcPr>
            <w:tcW w:w="2972" w:type="dxa"/>
            <w:vAlign w:val="center"/>
          </w:tcPr>
          <w:p w14:paraId="0E19F804" w14:textId="77777777" w:rsidR="00F1459A" w:rsidRPr="0035358E" w:rsidRDefault="00F1459A" w:rsidP="001275F8">
            <w:pPr>
              <w:keepNext/>
              <w:keepLines/>
              <w:rPr>
                <w:rFonts w:ascii="Arial Narrow" w:hAnsi="Arial Narrow"/>
                <w:b/>
                <w:bCs/>
                <w:sz w:val="20"/>
                <w:szCs w:val="20"/>
              </w:rPr>
            </w:pPr>
            <w:bookmarkStart w:id="11" w:name="_Hlk104809055"/>
            <w:r w:rsidRPr="0035358E">
              <w:rPr>
                <w:rFonts w:ascii="Arial Narrow" w:hAnsi="Arial Narrow"/>
                <w:b/>
                <w:bCs/>
                <w:sz w:val="20"/>
                <w:szCs w:val="20"/>
              </w:rPr>
              <w:t>MEDICINAL PRODUCT</w:t>
            </w:r>
          </w:p>
          <w:p w14:paraId="154C7557" w14:textId="77777777" w:rsidR="00F1459A" w:rsidRPr="0035358E" w:rsidRDefault="00F1459A" w:rsidP="001275F8">
            <w:pPr>
              <w:keepNext/>
              <w:keepLines/>
              <w:rPr>
                <w:rFonts w:ascii="Arial Narrow" w:hAnsi="Arial Narrow"/>
                <w:b/>
                <w:sz w:val="20"/>
                <w:szCs w:val="20"/>
              </w:rPr>
            </w:pPr>
            <w:r w:rsidRPr="0035358E">
              <w:rPr>
                <w:rFonts w:ascii="Arial Narrow" w:hAnsi="Arial Narrow"/>
                <w:b/>
                <w:bCs/>
                <w:sz w:val="20"/>
                <w:szCs w:val="20"/>
              </w:rPr>
              <w:t>medicinal product pack</w:t>
            </w:r>
          </w:p>
        </w:tc>
        <w:tc>
          <w:tcPr>
            <w:tcW w:w="2410" w:type="dxa"/>
            <w:vAlign w:val="center"/>
          </w:tcPr>
          <w:p w14:paraId="313E53D0" w14:textId="6871B693" w:rsidR="00F1459A" w:rsidRPr="0035358E" w:rsidRDefault="00F1459A" w:rsidP="001275F8">
            <w:pPr>
              <w:pStyle w:val="TableText0"/>
              <w:rPr>
                <w:b/>
                <w:bCs w:val="0"/>
                <w:szCs w:val="20"/>
              </w:rPr>
            </w:pPr>
            <w:r w:rsidRPr="0035358E">
              <w:rPr>
                <w:b/>
                <w:bCs w:val="0"/>
                <w:snapToGrid w:val="0"/>
              </w:rPr>
              <w:t xml:space="preserve">Nationally Negotiated Price </w:t>
            </w:r>
            <w:r w:rsidR="00A75628" w:rsidRPr="0035358E">
              <w:rPr>
                <w:b/>
                <w:bCs w:val="0"/>
                <w:snapToGrid w:val="0"/>
              </w:rPr>
              <w:t>(</w:t>
            </w:r>
            <w:r w:rsidR="00A75628" w:rsidRPr="0035358E">
              <w:rPr>
                <w:b/>
                <w:bCs w:val="0"/>
                <w:i/>
                <w:iCs/>
                <w:snapToGrid w:val="0"/>
              </w:rPr>
              <w:t>requested</w:t>
            </w:r>
            <w:r w:rsidR="00A75628" w:rsidRPr="0035358E">
              <w:rPr>
                <w:b/>
                <w:bCs w:val="0"/>
                <w:snapToGrid w:val="0"/>
              </w:rPr>
              <w:t>)</w:t>
            </w:r>
          </w:p>
        </w:tc>
        <w:tc>
          <w:tcPr>
            <w:tcW w:w="992" w:type="dxa"/>
            <w:vAlign w:val="center"/>
          </w:tcPr>
          <w:p w14:paraId="3F2217CC" w14:textId="77777777" w:rsidR="00F1459A" w:rsidRPr="0035358E" w:rsidRDefault="00F1459A" w:rsidP="001275F8">
            <w:pPr>
              <w:keepNext/>
              <w:keepLines/>
              <w:jc w:val="center"/>
              <w:rPr>
                <w:rFonts w:ascii="Arial Narrow" w:hAnsi="Arial Narrow"/>
                <w:b/>
                <w:sz w:val="20"/>
                <w:szCs w:val="20"/>
              </w:rPr>
            </w:pPr>
            <w:r w:rsidRPr="0035358E">
              <w:rPr>
                <w:rFonts w:ascii="Arial Narrow" w:hAnsi="Arial Narrow"/>
                <w:b/>
                <w:sz w:val="20"/>
                <w:szCs w:val="20"/>
              </w:rPr>
              <w:t>Max. qty packs</w:t>
            </w:r>
          </w:p>
        </w:tc>
        <w:tc>
          <w:tcPr>
            <w:tcW w:w="992" w:type="dxa"/>
            <w:vAlign w:val="center"/>
          </w:tcPr>
          <w:p w14:paraId="19F7C0A8" w14:textId="77777777" w:rsidR="00F1459A" w:rsidRPr="0035358E" w:rsidRDefault="00F1459A" w:rsidP="001275F8">
            <w:pPr>
              <w:keepNext/>
              <w:keepLines/>
              <w:jc w:val="center"/>
              <w:rPr>
                <w:rFonts w:ascii="Arial Narrow" w:hAnsi="Arial Narrow"/>
                <w:b/>
                <w:sz w:val="20"/>
                <w:szCs w:val="20"/>
              </w:rPr>
            </w:pPr>
            <w:r w:rsidRPr="0035358E">
              <w:rPr>
                <w:rFonts w:ascii="Arial Narrow" w:hAnsi="Arial Narrow"/>
                <w:b/>
                <w:sz w:val="20"/>
                <w:szCs w:val="20"/>
              </w:rPr>
              <w:t>Max. qty units</w:t>
            </w:r>
          </w:p>
        </w:tc>
        <w:tc>
          <w:tcPr>
            <w:tcW w:w="709" w:type="dxa"/>
            <w:vAlign w:val="center"/>
          </w:tcPr>
          <w:p w14:paraId="50A6B4D0" w14:textId="77777777" w:rsidR="00F1459A" w:rsidRPr="0035358E" w:rsidRDefault="00F1459A" w:rsidP="001275F8">
            <w:pPr>
              <w:keepNext/>
              <w:keepLines/>
              <w:jc w:val="center"/>
              <w:rPr>
                <w:rFonts w:ascii="Arial Narrow" w:hAnsi="Arial Narrow"/>
                <w:b/>
                <w:sz w:val="20"/>
                <w:szCs w:val="20"/>
              </w:rPr>
            </w:pPr>
            <w:r w:rsidRPr="0035358E">
              <w:rPr>
                <w:rFonts w:ascii="Arial Narrow" w:hAnsi="Arial Narrow"/>
                <w:b/>
                <w:sz w:val="20"/>
                <w:szCs w:val="20"/>
              </w:rPr>
              <w:t>№.of</w:t>
            </w:r>
          </w:p>
          <w:p w14:paraId="267369DA" w14:textId="77777777" w:rsidR="00F1459A" w:rsidRPr="0035358E" w:rsidRDefault="00F1459A" w:rsidP="001275F8">
            <w:pPr>
              <w:keepNext/>
              <w:keepLines/>
              <w:jc w:val="center"/>
              <w:rPr>
                <w:rFonts w:ascii="Arial Narrow" w:hAnsi="Arial Narrow"/>
                <w:b/>
                <w:sz w:val="20"/>
                <w:szCs w:val="20"/>
              </w:rPr>
            </w:pPr>
            <w:r w:rsidRPr="0035358E">
              <w:rPr>
                <w:rFonts w:ascii="Arial Narrow" w:hAnsi="Arial Narrow"/>
                <w:b/>
                <w:sz w:val="20"/>
                <w:szCs w:val="20"/>
              </w:rPr>
              <w:t>Rpts</w:t>
            </w:r>
          </w:p>
        </w:tc>
        <w:tc>
          <w:tcPr>
            <w:tcW w:w="942" w:type="dxa"/>
            <w:vAlign w:val="center"/>
          </w:tcPr>
          <w:p w14:paraId="34B0A551" w14:textId="77777777" w:rsidR="00F1459A" w:rsidRPr="0035358E" w:rsidRDefault="00F1459A" w:rsidP="001275F8">
            <w:pPr>
              <w:keepNext/>
              <w:keepLines/>
              <w:rPr>
                <w:rFonts w:ascii="Arial Narrow" w:hAnsi="Arial Narrow"/>
                <w:b/>
                <w:sz w:val="20"/>
                <w:szCs w:val="20"/>
              </w:rPr>
            </w:pPr>
            <w:r w:rsidRPr="0035358E">
              <w:rPr>
                <w:rFonts w:ascii="Arial Narrow" w:hAnsi="Arial Narrow"/>
                <w:b/>
                <w:sz w:val="20"/>
                <w:szCs w:val="20"/>
              </w:rPr>
              <w:t>Available brands</w:t>
            </w:r>
          </w:p>
        </w:tc>
      </w:tr>
      <w:tr w:rsidR="00F1459A" w:rsidRPr="0035358E" w14:paraId="241AD927" w14:textId="77777777" w:rsidTr="001275F8">
        <w:trPr>
          <w:cantSplit/>
          <w:trHeight w:val="20"/>
        </w:trPr>
        <w:tc>
          <w:tcPr>
            <w:tcW w:w="9017" w:type="dxa"/>
            <w:gridSpan w:val="6"/>
            <w:vAlign w:val="center"/>
          </w:tcPr>
          <w:p w14:paraId="0875A3D5" w14:textId="77777777" w:rsidR="00F1459A" w:rsidRPr="0035358E" w:rsidRDefault="00F1459A" w:rsidP="001275F8">
            <w:pPr>
              <w:pStyle w:val="TableText0"/>
              <w:rPr>
                <w:rFonts w:cs="Arial"/>
                <w:szCs w:val="20"/>
              </w:rPr>
            </w:pPr>
            <w:r w:rsidRPr="0035358E">
              <w:t>ABRYSVO</w:t>
            </w:r>
            <w:r w:rsidRPr="0035358E">
              <w:rPr>
                <w:rFonts w:cs="Arial"/>
                <w:color w:val="0066FF"/>
                <w:szCs w:val="20"/>
              </w:rPr>
              <w:t xml:space="preserve"> </w:t>
            </w:r>
          </w:p>
        </w:tc>
      </w:tr>
      <w:tr w:rsidR="00F1459A" w:rsidRPr="0035358E" w14:paraId="55768A42" w14:textId="77777777" w:rsidTr="00CB5ECD">
        <w:trPr>
          <w:cantSplit/>
          <w:trHeight w:val="20"/>
        </w:trPr>
        <w:tc>
          <w:tcPr>
            <w:tcW w:w="2972" w:type="dxa"/>
            <w:vAlign w:val="center"/>
          </w:tcPr>
          <w:p w14:paraId="35097E8B" w14:textId="77777777" w:rsidR="00F1459A" w:rsidRPr="0035358E" w:rsidRDefault="00F1459A" w:rsidP="001275F8">
            <w:pPr>
              <w:pStyle w:val="TableText0"/>
              <w:rPr>
                <w:szCs w:val="20"/>
              </w:rPr>
            </w:pPr>
            <w:r w:rsidRPr="0035358E">
              <w:rPr>
                <w:szCs w:val="20"/>
              </w:rPr>
              <w:t>RECOMBINANT RESPIRATORY SYNCYTIAL VIRUS PRE-FUSION F PROTEIN VACCINE</w:t>
            </w:r>
          </w:p>
          <w:p w14:paraId="48485803" w14:textId="4F295547" w:rsidR="00F1459A" w:rsidRPr="0035358E" w:rsidRDefault="005F4349" w:rsidP="00CB5ECD">
            <w:pPr>
              <w:spacing w:before="60" w:after="60"/>
              <w:ind w:left="2"/>
              <w:rPr>
                <w:rFonts w:ascii="Arial Narrow" w:hAnsi="Arial Narrow"/>
                <w:color w:val="0066FF"/>
                <w:sz w:val="20"/>
                <w:szCs w:val="20"/>
              </w:rPr>
            </w:pPr>
            <w:r w:rsidRPr="0035358E">
              <w:rPr>
                <w:rFonts w:ascii="Arial Narrow" w:hAnsi="Arial Narrow"/>
                <w:sz w:val="20"/>
                <w:szCs w:val="20"/>
              </w:rPr>
              <w:t xml:space="preserve">Pack containing 1 vial of powder for injection, 1 pre-filled syringe of diluent, </w:t>
            </w:r>
            <w:r w:rsidR="00D109CA" w:rsidRPr="0035358E">
              <w:rPr>
                <w:rFonts w:ascii="Arial Narrow" w:hAnsi="Arial Narrow"/>
                <w:sz w:val="20"/>
                <w:szCs w:val="20"/>
              </w:rPr>
              <w:t xml:space="preserve">and </w:t>
            </w:r>
            <w:r w:rsidRPr="0035358E">
              <w:rPr>
                <w:rFonts w:ascii="Arial Narrow" w:hAnsi="Arial Narrow"/>
                <w:sz w:val="20"/>
                <w:szCs w:val="20"/>
              </w:rPr>
              <w:t>1 vial adapter</w:t>
            </w:r>
            <w:r w:rsidR="00D109CA" w:rsidRPr="0035358E">
              <w:rPr>
                <w:rFonts w:ascii="Arial Narrow" w:hAnsi="Arial Narrow"/>
                <w:sz w:val="20"/>
                <w:szCs w:val="20"/>
              </w:rPr>
              <w:t>.</w:t>
            </w:r>
          </w:p>
        </w:tc>
        <w:tc>
          <w:tcPr>
            <w:tcW w:w="2410" w:type="dxa"/>
            <w:vAlign w:val="center"/>
          </w:tcPr>
          <w:p w14:paraId="1465CE7E" w14:textId="77777777" w:rsidR="00DB24CC" w:rsidRDefault="00EF43D1" w:rsidP="00EF43D1">
            <w:pPr>
              <w:pStyle w:val="TableText0"/>
              <w:tabs>
                <w:tab w:val="left" w:pos="1598"/>
              </w:tabs>
            </w:pPr>
            <w:r w:rsidRPr="0035358E">
              <w:t xml:space="preserve">Submission: </w:t>
            </w:r>
            <w:r w:rsidRPr="0035358E">
              <w:tab/>
            </w:r>
            <w:r w:rsidR="00F1459A" w:rsidRPr="0035358E">
              <w:t>$</w:t>
            </w:r>
            <w:r w:rsidR="00E96E79" w:rsidRPr="00DB24CC">
              <w:rPr>
                <w:color w:val="000000"/>
                <w:spacing w:val="53"/>
                <w:shd w:val="solid" w:color="000000" w:fill="000000"/>
                <w:fitText w:val="330" w:id="-961850112"/>
                <w14:textFill>
                  <w14:solidFill>
                    <w14:srgbClr w14:val="000000">
                      <w14:alpha w14:val="100000"/>
                    </w14:srgbClr>
                  </w14:solidFill>
                </w14:textFill>
              </w:rPr>
              <w:t>|||</w:t>
            </w:r>
            <w:r w:rsidR="00E96E79" w:rsidRPr="00DB24CC">
              <w:rPr>
                <w:color w:val="000000"/>
                <w:spacing w:val="1"/>
                <w:shd w:val="solid" w:color="000000" w:fill="000000"/>
                <w:fitText w:val="330" w:id="-961850112"/>
                <w14:textFill>
                  <w14:solidFill>
                    <w14:srgbClr w14:val="000000">
                      <w14:alpha w14:val="100000"/>
                    </w14:srgbClr>
                  </w14:solidFill>
                </w14:textFill>
              </w:rPr>
              <w:t>|</w:t>
            </w:r>
          </w:p>
          <w:p w14:paraId="1A6549CD" w14:textId="0E5CAD02" w:rsidR="00EF43D1" w:rsidRPr="0035358E" w:rsidRDefault="00EF43D1" w:rsidP="00EF43D1">
            <w:pPr>
              <w:pStyle w:val="TableText0"/>
              <w:tabs>
                <w:tab w:val="left" w:pos="1598"/>
              </w:tabs>
              <w:rPr>
                <w:szCs w:val="20"/>
              </w:rPr>
            </w:pPr>
            <w:r w:rsidRPr="0035358E">
              <w:t>Pre-PBAC response:</w:t>
            </w:r>
            <w:r w:rsidRPr="0035358E">
              <w:tab/>
              <w:t>$</w:t>
            </w:r>
            <w:r w:rsidR="00E96E79" w:rsidRPr="00E96E79">
              <w:rPr>
                <w:color w:val="000000"/>
                <w:spacing w:val="53"/>
                <w:shd w:val="solid" w:color="000000" w:fill="000000"/>
                <w:fitText w:val="330" w:id="-961850111"/>
                <w14:textFill>
                  <w14:solidFill>
                    <w14:srgbClr w14:val="000000">
                      <w14:alpha w14:val="100000"/>
                    </w14:srgbClr>
                  </w14:solidFill>
                </w14:textFill>
              </w:rPr>
              <w:t>|||</w:t>
            </w:r>
            <w:r w:rsidR="00E96E79" w:rsidRPr="00E96E79">
              <w:rPr>
                <w:color w:val="000000"/>
                <w:spacing w:val="1"/>
                <w:shd w:val="solid" w:color="000000" w:fill="000000"/>
                <w:fitText w:val="330" w:id="-961850111"/>
                <w14:textFill>
                  <w14:solidFill>
                    <w14:srgbClr w14:val="000000">
                      <w14:alpha w14:val="100000"/>
                    </w14:srgbClr>
                  </w14:solidFill>
                </w14:textFill>
              </w:rPr>
              <w:t>|</w:t>
            </w:r>
          </w:p>
        </w:tc>
        <w:tc>
          <w:tcPr>
            <w:tcW w:w="992" w:type="dxa"/>
            <w:vAlign w:val="center"/>
          </w:tcPr>
          <w:p w14:paraId="3ACD07BA" w14:textId="77777777" w:rsidR="00F1459A" w:rsidRPr="0035358E" w:rsidRDefault="00F1459A" w:rsidP="001275F8">
            <w:pPr>
              <w:keepNext/>
              <w:keepLines/>
              <w:jc w:val="center"/>
              <w:rPr>
                <w:rFonts w:ascii="Arial Narrow" w:hAnsi="Arial Narrow"/>
                <w:sz w:val="20"/>
                <w:szCs w:val="20"/>
              </w:rPr>
            </w:pPr>
            <w:r w:rsidRPr="0035358E">
              <w:rPr>
                <w:rFonts w:ascii="Arial Narrow" w:hAnsi="Arial Narrow"/>
                <w:sz w:val="20"/>
              </w:rPr>
              <w:t>1</w:t>
            </w:r>
          </w:p>
        </w:tc>
        <w:tc>
          <w:tcPr>
            <w:tcW w:w="992" w:type="dxa"/>
            <w:vAlign w:val="center"/>
          </w:tcPr>
          <w:p w14:paraId="66AE44A2" w14:textId="77777777" w:rsidR="00F1459A" w:rsidRPr="0035358E" w:rsidRDefault="00F1459A" w:rsidP="001275F8">
            <w:pPr>
              <w:keepNext/>
              <w:keepLines/>
              <w:jc w:val="center"/>
              <w:rPr>
                <w:rFonts w:ascii="Arial Narrow" w:hAnsi="Arial Narrow"/>
                <w:sz w:val="20"/>
                <w:szCs w:val="20"/>
              </w:rPr>
            </w:pPr>
            <w:r w:rsidRPr="0035358E">
              <w:rPr>
                <w:rFonts w:ascii="Arial Narrow" w:hAnsi="Arial Narrow"/>
                <w:sz w:val="20"/>
              </w:rPr>
              <w:t>1</w:t>
            </w:r>
          </w:p>
        </w:tc>
        <w:tc>
          <w:tcPr>
            <w:tcW w:w="709" w:type="dxa"/>
            <w:vAlign w:val="center"/>
          </w:tcPr>
          <w:p w14:paraId="468BE16E" w14:textId="77777777" w:rsidR="00F1459A" w:rsidRPr="0035358E" w:rsidRDefault="00F1459A" w:rsidP="001275F8">
            <w:pPr>
              <w:keepNext/>
              <w:keepLines/>
              <w:jc w:val="center"/>
              <w:rPr>
                <w:rFonts w:ascii="Arial Narrow" w:hAnsi="Arial Narrow"/>
                <w:sz w:val="20"/>
                <w:szCs w:val="20"/>
              </w:rPr>
            </w:pPr>
            <w:r w:rsidRPr="0035358E">
              <w:rPr>
                <w:rFonts w:ascii="Arial Narrow" w:hAnsi="Arial Narrow"/>
                <w:sz w:val="20"/>
              </w:rPr>
              <w:t>0</w:t>
            </w:r>
          </w:p>
        </w:tc>
        <w:tc>
          <w:tcPr>
            <w:tcW w:w="942" w:type="dxa"/>
            <w:vAlign w:val="center"/>
          </w:tcPr>
          <w:p w14:paraId="7F5405FC" w14:textId="77777777" w:rsidR="00F1459A" w:rsidRPr="0035358E" w:rsidRDefault="00F1459A" w:rsidP="001275F8">
            <w:pPr>
              <w:keepNext/>
              <w:keepLines/>
              <w:rPr>
                <w:rFonts w:ascii="Arial Narrow" w:hAnsi="Arial Narrow"/>
                <w:color w:val="0066FF"/>
                <w:sz w:val="20"/>
                <w:szCs w:val="20"/>
              </w:rPr>
            </w:pPr>
            <w:r w:rsidRPr="0035358E">
              <w:rPr>
                <w:rFonts w:ascii="Arial Narrow" w:hAnsi="Arial Narrow"/>
                <w:sz w:val="20"/>
                <w:szCs w:val="20"/>
              </w:rPr>
              <w:t>Abrysvo</w:t>
            </w:r>
          </w:p>
        </w:tc>
      </w:tr>
    </w:tbl>
    <w:p w14:paraId="2E5F807B" w14:textId="77777777" w:rsidR="005F4349" w:rsidRPr="0035358E" w:rsidRDefault="005F4349" w:rsidP="00F1459A">
      <w:bookmarkStart w:id="12" w:name="_Hlk104809082"/>
      <w:bookmarkEnd w:id="11"/>
    </w:p>
    <w:p w14:paraId="68820ECD" w14:textId="3C1921A2" w:rsidR="00F1459A" w:rsidRPr="0035358E" w:rsidRDefault="00F1459A" w:rsidP="00AE0C2A">
      <w:pPr>
        <w:pStyle w:val="TableFigureHeading"/>
      </w:pPr>
      <w:r w:rsidRPr="0035358E">
        <w:t>Details of the proposed NIP schedule listing</w:t>
      </w:r>
      <w:r w:rsidR="00697BD5" w:rsidRPr="0035358E">
        <w:t xml:space="preserve"> </w:t>
      </w:r>
      <w:r w:rsidR="00697BD5" w:rsidRPr="0035358E">
        <w:rPr>
          <w:rStyle w:val="CommentReference"/>
          <w:b/>
          <w:szCs w:val="24"/>
        </w:rPr>
        <w:t>(as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3005"/>
        <w:gridCol w:w="3006"/>
        <w:gridCol w:w="3006"/>
      </w:tblGrid>
      <w:tr w:rsidR="00F1459A" w:rsidRPr="0035358E" w14:paraId="5A94EB38" w14:textId="77777777" w:rsidTr="001275F8">
        <w:trPr>
          <w:cantSplit/>
          <w:trHeight w:val="20"/>
        </w:trPr>
        <w:tc>
          <w:tcPr>
            <w:tcW w:w="5000" w:type="pct"/>
            <w:gridSpan w:val="3"/>
          </w:tcPr>
          <w:p w14:paraId="039E5457" w14:textId="77777777" w:rsidR="00DB24CC" w:rsidRDefault="00F1459A" w:rsidP="001275F8">
            <w:pPr>
              <w:pStyle w:val="TableText0"/>
              <w:keepLines/>
              <w:rPr>
                <w:b/>
              </w:rPr>
            </w:pPr>
            <w:bookmarkStart w:id="13" w:name="_Hlk104809470"/>
            <w:bookmarkEnd w:id="12"/>
            <w:r w:rsidRPr="0035358E">
              <w:rPr>
                <w:b/>
              </w:rPr>
              <w:t>Schedule / Program:</w:t>
            </w:r>
          </w:p>
          <w:p w14:paraId="775387FD" w14:textId="20AF640F" w:rsidR="00F1459A" w:rsidRPr="0035358E" w:rsidRDefault="00F1459A" w:rsidP="001275F8">
            <w:pPr>
              <w:pStyle w:val="TableText0"/>
              <w:keepLines/>
            </w:pPr>
            <w:r w:rsidRPr="0035358E">
              <w:rPr>
                <w:rFonts w:eastAsiaTheme="minorEastAsia"/>
                <w:szCs w:val="20"/>
              </w:rPr>
              <w:t>Respiratory syncytial virus (RSV) vaccination schedule for immunisation during pregnancy (24–36 weeks gestation)*</w:t>
            </w:r>
          </w:p>
        </w:tc>
      </w:tr>
      <w:tr w:rsidR="00F1459A" w:rsidRPr="0035358E" w14:paraId="0316AFF3" w14:textId="77777777" w:rsidTr="001275F8">
        <w:trPr>
          <w:cantSplit/>
          <w:trHeight w:val="20"/>
        </w:trPr>
        <w:tc>
          <w:tcPr>
            <w:tcW w:w="5000" w:type="pct"/>
            <w:gridSpan w:val="3"/>
          </w:tcPr>
          <w:p w14:paraId="1E10BC5B" w14:textId="77777777" w:rsidR="00F1459A" w:rsidRPr="0035358E" w:rsidRDefault="00F1459A" w:rsidP="001275F8">
            <w:pPr>
              <w:pStyle w:val="TableText0"/>
              <w:keepLines/>
              <w:rPr>
                <w:b/>
              </w:rPr>
            </w:pPr>
            <w:r w:rsidRPr="0035358E">
              <w:rPr>
                <w:rFonts w:eastAsiaTheme="minorEastAsia"/>
                <w:szCs w:val="20"/>
              </w:rPr>
              <w:t>Age(s) of administration(s) other restrictions or details:</w:t>
            </w:r>
          </w:p>
        </w:tc>
      </w:tr>
      <w:tr w:rsidR="00F1459A" w:rsidRPr="0035358E" w14:paraId="54BD2EE4" w14:textId="77777777" w:rsidTr="001275F8">
        <w:trPr>
          <w:cantSplit/>
          <w:trHeight w:val="20"/>
        </w:trPr>
        <w:tc>
          <w:tcPr>
            <w:tcW w:w="1666" w:type="pct"/>
          </w:tcPr>
          <w:p w14:paraId="1868BC4B" w14:textId="77777777" w:rsidR="00F1459A" w:rsidRPr="0035358E" w:rsidRDefault="00F1459A" w:rsidP="001275F8">
            <w:pPr>
              <w:pStyle w:val="TableText0"/>
              <w:keepLines/>
              <w:rPr>
                <w:rFonts w:eastAsia="Times New Roman"/>
                <w:b/>
                <w:bCs w:val="0"/>
              </w:rPr>
            </w:pPr>
            <w:r w:rsidRPr="0035358E">
              <w:rPr>
                <w:rFonts w:eastAsia="Times New Roman"/>
                <w:b/>
                <w:bCs w:val="0"/>
              </w:rPr>
              <w:t xml:space="preserve">Disease </w:t>
            </w:r>
          </w:p>
        </w:tc>
        <w:tc>
          <w:tcPr>
            <w:tcW w:w="1667" w:type="pct"/>
          </w:tcPr>
          <w:p w14:paraId="050C59E0" w14:textId="77777777" w:rsidR="00F1459A" w:rsidRPr="0035358E" w:rsidRDefault="00F1459A" w:rsidP="001275F8">
            <w:pPr>
              <w:pStyle w:val="TableText0"/>
              <w:keepLines/>
              <w:rPr>
                <w:rFonts w:eastAsia="Times New Roman"/>
                <w:b/>
                <w:bCs w:val="0"/>
              </w:rPr>
            </w:pPr>
            <w:r w:rsidRPr="0035358E">
              <w:rPr>
                <w:rFonts w:eastAsia="Times New Roman"/>
                <w:b/>
                <w:bCs w:val="0"/>
              </w:rPr>
              <w:t>Vaccine</w:t>
            </w:r>
          </w:p>
        </w:tc>
        <w:tc>
          <w:tcPr>
            <w:tcW w:w="1667" w:type="pct"/>
          </w:tcPr>
          <w:p w14:paraId="45E09B93" w14:textId="77777777" w:rsidR="00F1459A" w:rsidRPr="0035358E" w:rsidRDefault="00F1459A" w:rsidP="001275F8">
            <w:pPr>
              <w:pStyle w:val="TableText0"/>
              <w:keepLines/>
              <w:rPr>
                <w:rFonts w:eastAsia="Times New Roman"/>
                <w:b/>
                <w:bCs w:val="0"/>
              </w:rPr>
            </w:pPr>
            <w:r w:rsidRPr="0035358E">
              <w:rPr>
                <w:rFonts w:eastAsia="Times New Roman"/>
                <w:b/>
                <w:bCs w:val="0"/>
              </w:rPr>
              <w:t>Comments</w:t>
            </w:r>
          </w:p>
        </w:tc>
      </w:tr>
      <w:tr w:rsidR="00F1459A" w:rsidRPr="0035358E" w14:paraId="6CA55E9E" w14:textId="77777777" w:rsidTr="001275F8">
        <w:trPr>
          <w:cantSplit/>
          <w:trHeight w:val="20"/>
        </w:trPr>
        <w:tc>
          <w:tcPr>
            <w:tcW w:w="1666" w:type="pct"/>
          </w:tcPr>
          <w:p w14:paraId="78BCCE85" w14:textId="77777777" w:rsidR="00F1459A" w:rsidRPr="0035358E" w:rsidRDefault="00F1459A" w:rsidP="001275F8">
            <w:pPr>
              <w:pStyle w:val="TableText0"/>
              <w:keepLines/>
              <w:rPr>
                <w:rFonts w:eastAsia="Times New Roman"/>
              </w:rPr>
            </w:pPr>
            <w:r w:rsidRPr="0035358E">
              <w:rPr>
                <w:rFonts w:eastAsiaTheme="minorEastAsia"/>
                <w:szCs w:val="20"/>
              </w:rPr>
              <w:t>RSV in infants aged 0-6 months</w:t>
            </w:r>
          </w:p>
        </w:tc>
        <w:tc>
          <w:tcPr>
            <w:tcW w:w="1667" w:type="pct"/>
          </w:tcPr>
          <w:p w14:paraId="7E4BC185" w14:textId="77777777" w:rsidR="00F1459A" w:rsidRPr="0035358E" w:rsidRDefault="00F1459A" w:rsidP="001275F8">
            <w:pPr>
              <w:pStyle w:val="TableText0"/>
              <w:keepLines/>
              <w:rPr>
                <w:rFonts w:eastAsia="Times New Roman"/>
              </w:rPr>
            </w:pPr>
            <w:r w:rsidRPr="0035358E">
              <w:rPr>
                <w:szCs w:val="20"/>
              </w:rPr>
              <w:t xml:space="preserve">RSVpreF (Abrysvo) 0.5 mL </w:t>
            </w:r>
            <w:r w:rsidRPr="0035358E">
              <w:rPr>
                <w:rFonts w:eastAsiaTheme="minorEastAsia"/>
                <w:szCs w:val="20"/>
              </w:rPr>
              <w:t>containing 120 micrograms (mcg) of stabilised prefusion F protein</w:t>
            </w:r>
            <w:r w:rsidRPr="0035358E">
              <w:rPr>
                <w:szCs w:val="20"/>
              </w:rPr>
              <w:t>s</w:t>
            </w:r>
            <w:r w:rsidRPr="0035358E">
              <w:rPr>
                <w:rFonts w:eastAsiaTheme="minorEastAsia"/>
                <w:szCs w:val="20"/>
              </w:rPr>
              <w:t xml:space="preserve"> (60 mcg RSV-A and 60 mcg RSV-B antigens)</w:t>
            </w:r>
          </w:p>
        </w:tc>
        <w:tc>
          <w:tcPr>
            <w:tcW w:w="1667" w:type="pct"/>
          </w:tcPr>
          <w:p w14:paraId="3B4BF93D" w14:textId="77777777" w:rsidR="00F1459A" w:rsidRPr="0035358E" w:rsidRDefault="00F1459A" w:rsidP="001275F8">
            <w:pPr>
              <w:pStyle w:val="TableText0"/>
              <w:keepLines/>
              <w:rPr>
                <w:rFonts w:eastAsia="Times New Roman"/>
              </w:rPr>
            </w:pPr>
          </w:p>
        </w:tc>
      </w:tr>
    </w:tbl>
    <w:bookmarkEnd w:id="13"/>
    <w:p w14:paraId="1F2BBBDA" w14:textId="77777777" w:rsidR="00F1459A" w:rsidRPr="0035358E" w:rsidRDefault="00F1459A" w:rsidP="00F1459A">
      <w:pPr>
        <w:rPr>
          <w:rFonts w:ascii="Arial Narrow" w:hAnsi="Arial Narrow"/>
          <w:sz w:val="18"/>
          <w:szCs w:val="18"/>
        </w:rPr>
      </w:pPr>
      <w:r w:rsidRPr="0035358E">
        <w:rPr>
          <w:rFonts w:ascii="Arial Narrow" w:hAnsi="Arial Narrow"/>
          <w:sz w:val="18"/>
          <w:szCs w:val="18"/>
        </w:rPr>
        <w:t>Source: Table 1.4.2, p31 of the submission</w:t>
      </w:r>
    </w:p>
    <w:p w14:paraId="6BD255C3" w14:textId="4584DAD9" w:rsidR="00F1459A" w:rsidRPr="0035358E" w:rsidRDefault="00AC6CE4" w:rsidP="00F1459A">
      <w:pPr>
        <w:rPr>
          <w:rFonts w:ascii="Arial Narrow" w:hAnsi="Arial Narrow"/>
          <w:sz w:val="18"/>
          <w:szCs w:val="18"/>
        </w:rPr>
      </w:pPr>
      <w:r>
        <w:rPr>
          <w:rFonts w:ascii="Arial Narrow" w:hAnsi="Arial Narrow"/>
          <w:sz w:val="18"/>
          <w:szCs w:val="18"/>
        </w:rPr>
        <w:t xml:space="preserve">Abbreviations: </w:t>
      </w:r>
      <w:r w:rsidR="00F1459A" w:rsidRPr="0035358E">
        <w:rPr>
          <w:rFonts w:ascii="Arial Narrow" w:hAnsi="Arial Narrow"/>
          <w:sz w:val="18"/>
          <w:szCs w:val="18"/>
        </w:rPr>
        <w:t>RSV = respiratory syncytial virus; RSVpreF = recombinant respiratory syncytial virus pre-fusion F protein vaccine.</w:t>
      </w:r>
    </w:p>
    <w:p w14:paraId="16543144" w14:textId="29DF685D" w:rsidR="00F1459A" w:rsidRPr="0035358E" w:rsidRDefault="00F1459A" w:rsidP="00CB5ECD">
      <w:pPr>
        <w:spacing w:after="120"/>
      </w:pPr>
      <w:r w:rsidRPr="0035358E">
        <w:rPr>
          <w:rFonts w:ascii="Arial Narrow" w:hAnsi="Arial Narrow"/>
          <w:sz w:val="18"/>
          <w:szCs w:val="18"/>
        </w:rPr>
        <w:t>*but may be given to unvaccinated women up until 38 weeks gestation.</w:t>
      </w:r>
    </w:p>
    <w:p w14:paraId="2E864063" w14:textId="77777777" w:rsidR="00DB24CC" w:rsidRDefault="00F1459A" w:rsidP="00DD4B2C">
      <w:pPr>
        <w:pStyle w:val="3-BodyText"/>
      </w:pPr>
      <w:r w:rsidRPr="0035358E">
        <w:t xml:space="preserve">The proposed NIP schedule </w:t>
      </w:r>
      <w:r w:rsidR="00A351E6" w:rsidRPr="0035358E">
        <w:t xml:space="preserve">was </w:t>
      </w:r>
      <w:r w:rsidRPr="0035358E">
        <w:t>one dose of RSVpreF given during pregnancy</w:t>
      </w:r>
      <w:r w:rsidR="00C93F78" w:rsidRPr="0035358E">
        <w:t xml:space="preserve">. </w:t>
      </w:r>
      <w:r w:rsidR="00F21DCB" w:rsidRPr="0035358E">
        <w:t xml:space="preserve">The </w:t>
      </w:r>
      <w:r w:rsidR="00A75628" w:rsidRPr="0035358E">
        <w:t xml:space="preserve">draft </w:t>
      </w:r>
      <w:r w:rsidR="00F21DCB" w:rsidRPr="0035358E">
        <w:t xml:space="preserve">product information (PI) </w:t>
      </w:r>
      <w:r w:rsidR="004E7C77" w:rsidRPr="0035358E">
        <w:t xml:space="preserve">provided with the submission </w:t>
      </w:r>
      <w:r w:rsidR="00F21DCB" w:rsidRPr="0035358E">
        <w:t>state</w:t>
      </w:r>
      <w:r w:rsidR="00A75628" w:rsidRPr="0035358E">
        <w:t>d</w:t>
      </w:r>
      <w:r w:rsidR="00F21DCB" w:rsidRPr="0035358E">
        <w:t xml:space="preserve"> </w:t>
      </w:r>
      <w:r w:rsidRPr="0035358E">
        <w:t>that RSVpreF is</w:t>
      </w:r>
      <w:r w:rsidR="003519D8" w:rsidRPr="0035358E">
        <w:t xml:space="preserve"> to</w:t>
      </w:r>
      <w:r w:rsidRPr="0035358E">
        <w:t xml:space="preserve"> </w:t>
      </w:r>
      <w:r w:rsidR="003519D8" w:rsidRPr="0035358E">
        <w:t xml:space="preserve">be </w:t>
      </w:r>
      <w:r w:rsidRPr="0035358E">
        <w:t>given between weeks 24 and 36 of the pregnancy</w:t>
      </w:r>
      <w:r w:rsidR="00F21DCB" w:rsidRPr="0035358E">
        <w:t>.</w:t>
      </w:r>
    </w:p>
    <w:p w14:paraId="71AC283C" w14:textId="77777777" w:rsidR="00DB24CC" w:rsidRDefault="00757B08" w:rsidP="00DD4B2C">
      <w:pPr>
        <w:pStyle w:val="3-BodyText"/>
      </w:pPr>
      <w:bookmarkStart w:id="14" w:name="_Hlk156905054"/>
      <w:bookmarkStart w:id="15" w:name="_Ref163576887"/>
      <w:r w:rsidRPr="0035358E">
        <w:t xml:space="preserve">The </w:t>
      </w:r>
      <w:r w:rsidR="0048750D" w:rsidRPr="0035358E">
        <w:t xml:space="preserve">updated </w:t>
      </w:r>
      <w:r w:rsidR="00F21DCB" w:rsidRPr="0035358E">
        <w:t xml:space="preserve">ATAGI </w:t>
      </w:r>
      <w:r w:rsidRPr="0035358E">
        <w:t>advice stated RSV vaccine during pregnancy should be given from 28 to 36 weeks gestation, but administration after 36 weeks is acceptable</w:t>
      </w:r>
      <w:r w:rsidR="00FA223E" w:rsidRPr="0035358E">
        <w:t>, noting that two weeks are needed for adequate transfer of antibodies</w:t>
      </w:r>
      <w:r w:rsidR="00F21DCB" w:rsidRPr="0035358E">
        <w:t xml:space="preserve"> (the</w:t>
      </w:r>
      <w:r w:rsidRPr="0035358E">
        <w:t xml:space="preserve"> updated</w:t>
      </w:r>
      <w:r w:rsidR="00F21DCB" w:rsidRPr="0035358E">
        <w:t xml:space="preserve"> ATAGI advice to the PBAC)</w:t>
      </w:r>
      <w:bookmarkEnd w:id="14"/>
      <w:r w:rsidR="00C93F78" w:rsidRPr="0035358E">
        <w:t xml:space="preserve">. </w:t>
      </w:r>
      <w:r w:rsidR="00295164" w:rsidRPr="0035358E">
        <w:t>The updated ATAGI advice which recommended vaccination from 28 weeks gestation, rather than 24 weeks as proposed by the submission, noted uncertainty about whether there is an association between preterm birth and receipt of the vaccine</w:t>
      </w:r>
      <w:r w:rsidR="00C93F78" w:rsidRPr="0035358E">
        <w:t xml:space="preserve">. </w:t>
      </w:r>
      <w:r w:rsidR="00295164" w:rsidRPr="0035358E">
        <w:t>As a precaution, the ATAGI recommended maternal vaccination from 28 weeks gestation while awaiting further data regarding the risk of preterm birth.</w:t>
      </w:r>
      <w:bookmarkEnd w:id="15"/>
    </w:p>
    <w:p w14:paraId="7A236DA9" w14:textId="6F60DA86" w:rsidR="00F1459A" w:rsidRPr="0035358E" w:rsidRDefault="00F1459A" w:rsidP="00DD4B2C">
      <w:pPr>
        <w:pStyle w:val="3-BodyText"/>
        <w:rPr>
          <w:color w:val="0066FF"/>
        </w:rPr>
      </w:pPr>
      <w:r w:rsidRPr="0035358E">
        <w:t>Regarding concomitant use of another vaccine, ATAGI noted the following:</w:t>
      </w:r>
    </w:p>
    <w:p w14:paraId="3C32F165" w14:textId="0F53CADC" w:rsidR="00F1459A" w:rsidRPr="0035358E" w:rsidRDefault="00F1459A" w:rsidP="00CB5ECD">
      <w:pPr>
        <w:pStyle w:val="ListParagraph"/>
      </w:pPr>
      <w:r w:rsidRPr="0035358E">
        <w:t>The primary clinical trial data demonstrating efficacy of RSV</w:t>
      </w:r>
      <w:r w:rsidR="00A12388" w:rsidRPr="0035358E">
        <w:t>p</w:t>
      </w:r>
      <w:r w:rsidRPr="0035358E">
        <w:t>reF (Study 1008 [MATISSE]; Study 1003 [SAVVY]) did not allow co-administration.</w:t>
      </w:r>
    </w:p>
    <w:p w14:paraId="0963730E" w14:textId="27976F86" w:rsidR="00F1459A" w:rsidRPr="0035358E" w:rsidRDefault="00F1459A" w:rsidP="00CB5ECD">
      <w:pPr>
        <w:pStyle w:val="ListParagraph"/>
      </w:pPr>
      <w:r w:rsidRPr="0035358E">
        <w:t>There are concerns about the potential impacts on immunogenicity and efficacy of pertussis containing vaccines when co-administered with RSV</w:t>
      </w:r>
      <w:r w:rsidR="00A12388" w:rsidRPr="0035358E">
        <w:t>p</w:t>
      </w:r>
      <w:r w:rsidRPr="0035358E">
        <w:t>reF.</w:t>
      </w:r>
    </w:p>
    <w:p w14:paraId="3EFDAEF9" w14:textId="518661DC" w:rsidR="00D579A8" w:rsidRPr="0035358E" w:rsidRDefault="00F1459A" w:rsidP="00DD4B2C">
      <w:pPr>
        <w:pStyle w:val="3-BodyText"/>
        <w:rPr>
          <w:i/>
          <w:iCs/>
        </w:rPr>
      </w:pPr>
      <w:r w:rsidRPr="0035358E">
        <w:t>The sponsor propose</w:t>
      </w:r>
      <w:r w:rsidR="00537430" w:rsidRPr="0035358E">
        <w:t>d</w:t>
      </w:r>
      <w:r w:rsidRPr="0035358E">
        <w:t xml:space="preserve"> that RSVpreF is administered in isolation (</w:t>
      </w:r>
      <w:r w:rsidR="00A12388" w:rsidRPr="0035358E">
        <w:t>i.e.</w:t>
      </w:r>
      <w:r w:rsidRPr="0035358E">
        <w:t>, not co-administered with other pregnancy vaccinations such as adult diphtheria-tetanus-acellular pertussis vaccine (dTpa), quadrivalent inactivated influenza vaccine (QIIV), or SARS-CoV2 mRNA vaccines</w:t>
      </w:r>
      <w:r w:rsidR="00C62305" w:rsidRPr="0035358E">
        <w:t xml:space="preserve">. However, given the lack of demonstrated safety concerns, ATAGI advised if co-administration was considered necessary and/or there was </w:t>
      </w:r>
      <w:r w:rsidR="00C62305" w:rsidRPr="0035358E">
        <w:lastRenderedPageBreak/>
        <w:t>insufficient time or a lack of opportunity to separate vaccines, co-administration should be recommended in this setting</w:t>
      </w:r>
      <w:r w:rsidRPr="0035358E">
        <w:t xml:space="preserve"> (the</w:t>
      </w:r>
      <w:r w:rsidR="00C62305" w:rsidRPr="0035358E">
        <w:t xml:space="preserve"> </w:t>
      </w:r>
      <w:r w:rsidR="00D579A8" w:rsidRPr="0035358E">
        <w:t xml:space="preserve">updated </w:t>
      </w:r>
      <w:r w:rsidRPr="0035358E">
        <w:t>ATAGI Advice to the PBAC).</w:t>
      </w:r>
      <w:r w:rsidR="003961FC" w:rsidRPr="0035358E">
        <w:rPr>
          <w:i/>
          <w:iCs/>
        </w:rPr>
        <w:t xml:space="preserve"> </w:t>
      </w:r>
      <w:r w:rsidR="003961FC" w:rsidRPr="0035358E">
        <w:t>The ESC noted ATAGI’s advice and considered that co-administration of RSVpreF with dTpa would help address issues of vaccine fatigue, and equity of access.</w:t>
      </w:r>
      <w:r w:rsidR="003961FC" w:rsidRPr="0035358E">
        <w:rPr>
          <w:i/>
          <w:iCs/>
        </w:rPr>
        <w:t xml:space="preserve"> </w:t>
      </w:r>
      <w:r w:rsidR="00284916" w:rsidRPr="0035358E">
        <w:t>The pre-PBAC response supported this proposal.</w:t>
      </w:r>
    </w:p>
    <w:p w14:paraId="3B78D975" w14:textId="2B651522" w:rsidR="00F1459A" w:rsidRPr="0035358E" w:rsidRDefault="00F1459A" w:rsidP="00DD4B2C">
      <w:pPr>
        <w:pStyle w:val="3-BodyText"/>
      </w:pPr>
      <w:r w:rsidRPr="0035358E">
        <w:t xml:space="preserve">ATAGI also noted that </w:t>
      </w:r>
      <w:r w:rsidRPr="0035358E">
        <w:rPr>
          <w:rFonts w:eastAsiaTheme="minorEastAsia"/>
        </w:rPr>
        <w:t>whether administered in isolation or co-administered, RSV</w:t>
      </w:r>
      <w:r w:rsidR="00A12388" w:rsidRPr="0035358E">
        <w:rPr>
          <w:rFonts w:eastAsiaTheme="minorEastAsia"/>
        </w:rPr>
        <w:t>p</w:t>
      </w:r>
      <w:r w:rsidRPr="0035358E">
        <w:rPr>
          <w:rFonts w:eastAsiaTheme="minorEastAsia"/>
        </w:rPr>
        <w:t>reF will require administration at a time when most pregnant women in Australia would be engaged with health services, either through formal antenatal care programs, or under the care of general practitioners. As recommended in national guidelines, two to four scheduled antenatal visits fall within the 24-36 gestational week period of pregnancy, potentially impacting on the window of opportunity to vaccinate women with other maternal vaccines. The vaccine proposal is not expected to require amendment or removal of any existing vaccine listing (the ATAGI</w:t>
      </w:r>
      <w:r w:rsidR="0048750D" w:rsidRPr="0035358E">
        <w:rPr>
          <w:rFonts w:eastAsiaTheme="minorEastAsia"/>
        </w:rPr>
        <w:t xml:space="preserve"> </w:t>
      </w:r>
      <w:r w:rsidRPr="0035358E">
        <w:rPr>
          <w:rFonts w:eastAsiaTheme="minorEastAsia"/>
        </w:rPr>
        <w:t>Advice to the PBAC).</w:t>
      </w:r>
    </w:p>
    <w:p w14:paraId="6333EC28" w14:textId="483FBE3A" w:rsidR="007C0AEE" w:rsidRPr="0035358E" w:rsidRDefault="003961FC" w:rsidP="00DD4B2C">
      <w:pPr>
        <w:pStyle w:val="3-BodyText"/>
      </w:pPr>
      <w:r w:rsidRPr="0035358E">
        <w:t>The ESC noted that m</w:t>
      </w:r>
      <w:r w:rsidR="007C0AEE" w:rsidRPr="0035358E">
        <w:t>aternal vaccine uptake is lower in First Nations women, those from culturally and linguistically diverse backgrounds, and those who experience socioeconomic disadvantage. It may improve access for these groups if RSVpreF is co</w:t>
      </w:r>
      <w:r w:rsidR="00D90422" w:rsidRPr="0035358E">
        <w:noBreakHyphen/>
      </w:r>
      <w:r w:rsidR="007C0AEE" w:rsidRPr="0035358E">
        <w:t>administered with other maternal vaccines.</w:t>
      </w:r>
    </w:p>
    <w:p w14:paraId="14F9C36F" w14:textId="3A5DEEEC" w:rsidR="000E2CE1" w:rsidRPr="0035358E" w:rsidRDefault="000E2CE1" w:rsidP="00DD4B2C">
      <w:pPr>
        <w:pStyle w:val="3-BodyText"/>
        <w:rPr>
          <w:i/>
        </w:rPr>
      </w:pPr>
      <w:bookmarkStart w:id="16" w:name="_Ref163128766"/>
      <w:r w:rsidRPr="0035358E">
        <w:t xml:space="preserve">The ESC noted the ATAGI advice that repeat dosing with each pregnancy is anticipated, but a final decision </w:t>
      </w:r>
      <w:r w:rsidR="00D90422" w:rsidRPr="0035358E">
        <w:t xml:space="preserve">had </w:t>
      </w:r>
      <w:r w:rsidRPr="0035358E">
        <w:t>not yet been made</w:t>
      </w:r>
      <w:r w:rsidR="00C93F78" w:rsidRPr="0035358E">
        <w:t xml:space="preserve">. </w:t>
      </w:r>
      <w:r w:rsidRPr="0035358E">
        <w:t>ATAGI advised it shall await availability of data on the use of RSV vaccine in subsequent pregnancies, including immunogenicity, efficacy and safety, prior to confirming this recommendation</w:t>
      </w:r>
      <w:r w:rsidR="00C93F78" w:rsidRPr="0035358E">
        <w:t>.</w:t>
      </w:r>
      <w:r w:rsidR="00DB24CC">
        <w:t xml:space="preserve"> </w:t>
      </w:r>
      <w:r w:rsidR="00E06D61" w:rsidRPr="0035358E">
        <w:t>ATAGI continues to advise that revaccination in each pregnancy should be considered in the cost-effectiveness model (</w:t>
      </w:r>
      <w:r w:rsidR="004E7C77" w:rsidRPr="0035358E">
        <w:t>u</w:t>
      </w:r>
      <w:r w:rsidR="00E06D61" w:rsidRPr="0035358E">
        <w:t>pdated ATAGI advice</w:t>
      </w:r>
      <w:r w:rsidR="004E7C77" w:rsidRPr="0035358E">
        <w:t xml:space="preserve"> to the PBAC</w:t>
      </w:r>
      <w:r w:rsidR="00E06D61" w:rsidRPr="0035358E">
        <w:t>, p2).</w:t>
      </w:r>
      <w:r w:rsidR="00FD16D5" w:rsidRPr="0035358E">
        <w:t xml:space="preserve"> The PBAC noted </w:t>
      </w:r>
      <w:r w:rsidR="008F6506" w:rsidRPr="0035358E">
        <w:t xml:space="preserve">that </w:t>
      </w:r>
      <w:r w:rsidR="00FD16D5" w:rsidRPr="0035358E">
        <w:t xml:space="preserve">the submitted economic model </w:t>
      </w:r>
      <w:r w:rsidR="00A46DB0" w:rsidRPr="0035358E">
        <w:t>and financial estimates were</w:t>
      </w:r>
      <w:r w:rsidR="008F6506" w:rsidRPr="0035358E">
        <w:t xml:space="preserve"> consistent with this advice as </w:t>
      </w:r>
      <w:r w:rsidR="00A46DB0" w:rsidRPr="0035358E">
        <w:t>they both</w:t>
      </w:r>
      <w:r w:rsidR="00FD16D5" w:rsidRPr="0035358E">
        <w:t xml:space="preserve"> assume</w:t>
      </w:r>
      <w:r w:rsidR="008F6506" w:rsidRPr="0035358E">
        <w:t>d</w:t>
      </w:r>
      <w:r w:rsidR="00FD16D5" w:rsidRPr="0035358E">
        <w:t xml:space="preserve"> one vaccination per pregnancy</w:t>
      </w:r>
      <w:r w:rsidR="008819B7" w:rsidRPr="0035358E">
        <w:t xml:space="preserve"> (see paragraph </w:t>
      </w:r>
      <w:r w:rsidR="008819B7" w:rsidRPr="0035358E">
        <w:fldChar w:fldCharType="begin"/>
      </w:r>
      <w:r w:rsidR="008819B7" w:rsidRPr="0035358E">
        <w:instrText xml:space="preserve"> REF _Ref163738019 \r \h </w:instrText>
      </w:r>
      <w:r w:rsidR="008819B7" w:rsidRPr="0035358E">
        <w:fldChar w:fldCharType="separate"/>
      </w:r>
      <w:r w:rsidR="00A46CAC">
        <w:t>7.11</w:t>
      </w:r>
      <w:r w:rsidR="008819B7" w:rsidRPr="0035358E">
        <w:fldChar w:fldCharType="end"/>
      </w:r>
      <w:r w:rsidR="008819B7" w:rsidRPr="0035358E">
        <w:t>)</w:t>
      </w:r>
      <w:r w:rsidR="00FD16D5" w:rsidRPr="0035358E">
        <w:t>.</w:t>
      </w:r>
      <w:bookmarkEnd w:id="16"/>
    </w:p>
    <w:p w14:paraId="727E96A5" w14:textId="2D3C1E57" w:rsidR="00F43500" w:rsidRPr="00D65EF5" w:rsidRDefault="00F43500" w:rsidP="00DD4B2C">
      <w:pPr>
        <w:pStyle w:val="3-BodyText"/>
        <w:numPr>
          <w:ilvl w:val="0"/>
          <w:numId w:val="0"/>
        </w:numPr>
        <w:ind w:left="720"/>
        <w:rPr>
          <w:i/>
          <w:iCs/>
        </w:rPr>
      </w:pPr>
      <w:r w:rsidRPr="00D65EF5">
        <w:rPr>
          <w:i/>
          <w:iCs/>
        </w:rPr>
        <w:t>For more detail on PBAC’s view, see section 7 PBAC outcome.</w:t>
      </w:r>
    </w:p>
    <w:p w14:paraId="263B2E6E" w14:textId="77777777" w:rsidR="00F1459A" w:rsidRPr="0035358E" w:rsidDel="00195452" w:rsidRDefault="00F1459A" w:rsidP="00F1459A">
      <w:pPr>
        <w:pStyle w:val="2-SectionHeading"/>
        <w:numPr>
          <w:ilvl w:val="0"/>
          <w:numId w:val="1"/>
        </w:numPr>
      </w:pPr>
      <w:bookmarkStart w:id="17" w:name="_Toc156993547"/>
      <w:r w:rsidRPr="0035358E" w:rsidDel="00195452">
        <w:t>Population and disease</w:t>
      </w:r>
      <w:bookmarkEnd w:id="17"/>
    </w:p>
    <w:p w14:paraId="6491A0DA" w14:textId="77777777" w:rsidR="00DB24CC" w:rsidRDefault="00F1459A" w:rsidP="00DD4B2C">
      <w:pPr>
        <w:pStyle w:val="3-BodyText"/>
      </w:pPr>
      <w:bookmarkStart w:id="18" w:name="_Ref156316087"/>
      <w:bookmarkStart w:id="19" w:name="_Ref163490072"/>
      <w:bookmarkStart w:id="20" w:name="_Hlk153191370"/>
      <w:r w:rsidRPr="0035358E">
        <w:t>RSV is the most common viral cause of bronchiolitis and pneumonia in children under five (50% to 80% of cases), posing a significant risk to infants in their first six months of life. In Australia it has been estimated that the hospitalisation rates due to RSV range from 2.2 to 4.9 per 1,000 among children under five years old and between 8.7 and 17.4 per 1,000 among children under one year old</w:t>
      </w:r>
      <w:r w:rsidRPr="0035358E">
        <w:rPr>
          <w:rStyle w:val="FootnoteReference"/>
        </w:rPr>
        <w:footnoteReference w:id="2"/>
      </w:r>
      <w:r w:rsidRPr="0035358E">
        <w:t>.</w:t>
      </w:r>
    </w:p>
    <w:p w14:paraId="7B945C21" w14:textId="749072D1" w:rsidR="00AC3471" w:rsidRPr="0035358E" w:rsidRDefault="00BB32D3" w:rsidP="00DD4B2C">
      <w:pPr>
        <w:pStyle w:val="3-BodyText"/>
      </w:pPr>
      <w:bookmarkStart w:id="21" w:name="_Hlk155876468"/>
      <w:bookmarkStart w:id="22" w:name="_Ref164193865"/>
      <w:r w:rsidRPr="0035358E">
        <w:t xml:space="preserve">Two publications that reported RSV-confirmed hospitalisation incidence rates </w:t>
      </w:r>
      <w:r w:rsidR="006475B2" w:rsidRPr="0035358E">
        <w:t xml:space="preserve">in First Nations </w:t>
      </w:r>
      <w:r w:rsidR="00A27EB7" w:rsidRPr="0035358E">
        <w:t>people</w:t>
      </w:r>
      <w:r w:rsidR="006475B2" w:rsidRPr="0035358E">
        <w:t xml:space="preserve"> </w:t>
      </w:r>
      <w:r w:rsidRPr="0035358E">
        <w:t>were described in the ATAGI advice</w:t>
      </w:r>
      <w:r w:rsidR="00C93F78" w:rsidRPr="0035358E">
        <w:t xml:space="preserve">. </w:t>
      </w:r>
      <w:r w:rsidR="002D2A28" w:rsidRPr="0035358E">
        <w:t xml:space="preserve">The RSV-confirmed hospitalisation rate among First Nations infants </w:t>
      </w:r>
      <w:r w:rsidR="00687440" w:rsidRPr="0035358E">
        <w:t>was</w:t>
      </w:r>
      <w:r w:rsidR="002D2A28" w:rsidRPr="0035358E">
        <w:t xml:space="preserve"> reported to be 2.3 times higher in infant</w:t>
      </w:r>
      <w:r w:rsidR="00687440" w:rsidRPr="0035358E">
        <w:t>s</w:t>
      </w:r>
      <w:r w:rsidR="002D2A28" w:rsidRPr="0035358E">
        <w:t xml:space="preserve"> 0-3 months of age and 3.2 times higher in </w:t>
      </w:r>
      <w:r w:rsidR="00537430" w:rsidRPr="0035358E">
        <w:t xml:space="preserve">First Nations </w:t>
      </w:r>
      <w:r w:rsidR="002D2A28" w:rsidRPr="0035358E">
        <w:t xml:space="preserve">infants 4-6 months </w:t>
      </w:r>
      <w:r w:rsidR="002D2A28" w:rsidRPr="0035358E">
        <w:lastRenderedPageBreak/>
        <w:t>of age</w:t>
      </w:r>
      <w:bookmarkEnd w:id="21"/>
      <w:r w:rsidR="00AC3471" w:rsidRPr="0035358E">
        <w:t xml:space="preserve"> based on a large retrospective cohort study of children aged &lt;</w:t>
      </w:r>
      <w:r w:rsidR="00CB5ECD">
        <w:t> </w:t>
      </w:r>
      <w:r w:rsidR="00AC3471" w:rsidRPr="0035358E">
        <w:t>2</w:t>
      </w:r>
      <w:r w:rsidR="00CB5ECD">
        <w:t> </w:t>
      </w:r>
      <w:r w:rsidR="00AC3471" w:rsidRPr="0035358E">
        <w:t>years (n=866,262) born in New South Wales between 2001–2010 (Homaira et al. 2016)</w:t>
      </w:r>
      <w:r w:rsidR="00887899" w:rsidRPr="0035358E">
        <w:rPr>
          <w:rStyle w:val="FootnoteReference"/>
        </w:rPr>
        <w:footnoteReference w:id="3"/>
      </w:r>
      <w:r w:rsidR="002D2A28" w:rsidRPr="0035358E">
        <w:t>.</w:t>
      </w:r>
      <w:bookmarkEnd w:id="18"/>
      <w:r w:rsidR="002D2A28" w:rsidRPr="0035358E">
        <w:t xml:space="preserve"> </w:t>
      </w:r>
      <w:r w:rsidR="00AC3471" w:rsidRPr="0035358E">
        <w:t>Le</w:t>
      </w:r>
      <w:r w:rsidR="00687440" w:rsidRPr="0035358E">
        <w:t> </w:t>
      </w:r>
      <w:r w:rsidR="00AC3471" w:rsidRPr="0035358E">
        <w:t>et al (2023)</w:t>
      </w:r>
      <w:r w:rsidR="00AC3471" w:rsidRPr="0035358E">
        <w:rPr>
          <w:rStyle w:val="FootnoteReference"/>
        </w:rPr>
        <w:footnoteReference w:id="4"/>
      </w:r>
      <w:r w:rsidRPr="0035358E">
        <w:t xml:space="preserve"> </w:t>
      </w:r>
      <w:r w:rsidR="00AC3471" w:rsidRPr="0035358E">
        <w:t>report</w:t>
      </w:r>
      <w:r w:rsidRPr="0035358E">
        <w:t>ed</w:t>
      </w:r>
      <w:r w:rsidR="00AC3471" w:rsidRPr="0035358E">
        <w:t xml:space="preserve"> RSV-confirmed hospitalisation rates in </w:t>
      </w:r>
      <w:r w:rsidRPr="0035358E">
        <w:t xml:space="preserve">First Nations children </w:t>
      </w:r>
      <w:r w:rsidR="00AC3471" w:rsidRPr="0035358E">
        <w:t xml:space="preserve">to be 2.4 times higher in infants aged 0-5 months </w:t>
      </w:r>
      <w:r w:rsidR="004E7C77" w:rsidRPr="0035358E">
        <w:t xml:space="preserve">compared to </w:t>
      </w:r>
      <w:r w:rsidR="00AC3471" w:rsidRPr="0035358E">
        <w:t>non-</w:t>
      </w:r>
      <w:r w:rsidRPr="0035358E">
        <w:t>Indigenous</w:t>
      </w:r>
      <w:r w:rsidR="00AC3471" w:rsidRPr="0035358E">
        <w:t xml:space="preserve"> infants, and 2.9 times higher </w:t>
      </w:r>
      <w:r w:rsidR="0048750D" w:rsidRPr="0035358E">
        <w:t xml:space="preserve">in </w:t>
      </w:r>
      <w:r w:rsidR="00AC3471" w:rsidRPr="0035358E">
        <w:t xml:space="preserve">infants aged 6-11 months </w:t>
      </w:r>
      <w:r w:rsidR="004E7C77" w:rsidRPr="0035358E">
        <w:t xml:space="preserve">compared to </w:t>
      </w:r>
      <w:r w:rsidR="00AC3471" w:rsidRPr="0035358E">
        <w:t>non-</w:t>
      </w:r>
      <w:r w:rsidRPr="0035358E">
        <w:t xml:space="preserve">Indigenous </w:t>
      </w:r>
      <w:r w:rsidR="00AC3471" w:rsidRPr="0035358E">
        <w:t>infants</w:t>
      </w:r>
      <w:r w:rsidRPr="0035358E">
        <w:t>, based on a population-based data linkage study in Western Australia of births during 2000–201</w:t>
      </w:r>
      <w:r w:rsidR="0029534E" w:rsidRPr="0035358E">
        <w:t>2</w:t>
      </w:r>
      <w:r w:rsidRPr="0035358E">
        <w:t xml:space="preserve"> (n= 360</w:t>
      </w:r>
      <w:r w:rsidR="00687440" w:rsidRPr="0035358E">
        <w:t>,</w:t>
      </w:r>
      <w:r w:rsidRPr="0035358E">
        <w:t>994 children).</w:t>
      </w:r>
      <w:bookmarkEnd w:id="19"/>
      <w:bookmarkEnd w:id="22"/>
    </w:p>
    <w:p w14:paraId="521BBFFA" w14:textId="77777777" w:rsidR="00F1459A" w:rsidRPr="0035358E" w:rsidRDefault="00F1459A" w:rsidP="00DD4B2C">
      <w:pPr>
        <w:pStyle w:val="3-BodyText"/>
      </w:pPr>
      <w:r w:rsidRPr="0035358E">
        <w:t>Symptoms typically include a low-grade fever, cough, and respiratory distress, potentially escalating to severe conditions requiring hospital care</w:t>
      </w:r>
      <w:r w:rsidRPr="0035358E">
        <w:rPr>
          <w:rStyle w:val="FootnoteReference"/>
        </w:rPr>
        <w:footnoteReference w:id="5"/>
      </w:r>
      <w:r w:rsidRPr="0035358E">
        <w:t>. Risk factors for severe RSV include very young age, particularly less than three months’ old, preterm birth, certain congenital heart conditions, chronic lung diseases, and environmental factors like exposure to tobacco smoke</w:t>
      </w:r>
      <w:r w:rsidRPr="0035358E">
        <w:rPr>
          <w:rStyle w:val="FootnoteReference"/>
        </w:rPr>
        <w:footnoteReference w:id="6"/>
      </w:r>
      <w:r w:rsidRPr="0035358E">
        <w:t>. High-risk infants often experience longer hospital stays and may require intensive care.</w:t>
      </w:r>
    </w:p>
    <w:p w14:paraId="0DA0C831" w14:textId="5260BB01" w:rsidR="00F1459A" w:rsidRPr="0035358E" w:rsidRDefault="00F1459A" w:rsidP="00DD4B2C">
      <w:pPr>
        <w:pStyle w:val="3-BodyText"/>
      </w:pPr>
      <w:r w:rsidRPr="0035358E">
        <w:t>RSV is primarily transmitted through direct contact with an infected person or by touching surfaces contaminated with the virus</w:t>
      </w:r>
      <w:r w:rsidRPr="0035358E">
        <w:rPr>
          <w:vertAlign w:val="superscript"/>
        </w:rPr>
        <w:t>2</w:t>
      </w:r>
      <w:r w:rsidRPr="0035358E">
        <w:t>. Individuals infected with RSV, including infants and those with weakened immune systems, can remain contagious for a period ranging from 3 to 8 days, and in some cases, up to 4 weeks</w:t>
      </w:r>
      <w:r w:rsidRPr="0035358E">
        <w:rPr>
          <w:rStyle w:val="FootnoteReference"/>
        </w:rPr>
        <w:footnoteReference w:id="7"/>
      </w:r>
      <w:r w:rsidRPr="0035358E">
        <w:t>. In familial settings, infants often contract RSV from older siblings or parents. Research in Australia has shown that infants less than a year old with one</w:t>
      </w:r>
      <w:r w:rsidR="00755D20" w:rsidRPr="0035358E">
        <w:t>, two,</w:t>
      </w:r>
      <w:r w:rsidRPr="0035358E">
        <w:t xml:space="preserve"> or </w:t>
      </w:r>
      <w:r w:rsidRPr="0035358E">
        <w:rPr>
          <w:rFonts w:cstheme="minorHAnsi"/>
        </w:rPr>
        <w:t>≥</w:t>
      </w:r>
      <w:r w:rsidRPr="0035358E">
        <w:t xml:space="preserve"> 3 older siblings face a significantly increased risk of RSV infection (Relative risk [RR] 1.8, 95% confidence interval [CI]:1.6, 2.0, </w:t>
      </w:r>
      <w:r w:rsidR="00755D20" w:rsidRPr="0035358E">
        <w:t>RR 2.3, 95% CI:2.0, 2.</w:t>
      </w:r>
      <w:r w:rsidR="00AF3645" w:rsidRPr="0035358E">
        <w:t>7</w:t>
      </w:r>
      <w:r w:rsidR="00755D20" w:rsidRPr="0035358E">
        <w:t xml:space="preserve">, </w:t>
      </w:r>
      <w:r w:rsidRPr="0035358E">
        <w:t>and RR 2.8, 95% CI:2.5,</w:t>
      </w:r>
      <w:r w:rsidR="00A77C45" w:rsidRPr="0035358E">
        <w:t xml:space="preserve"> </w:t>
      </w:r>
      <w:r w:rsidRPr="0035358E">
        <w:t>3.3), respectively, compared to those infants without siblings</w:t>
      </w:r>
      <w:r w:rsidRPr="0035358E">
        <w:rPr>
          <w:rStyle w:val="FootnoteReference"/>
        </w:rPr>
        <w:footnoteReference w:id="8"/>
      </w:r>
      <w:r w:rsidRPr="0035358E">
        <w:t>.</w:t>
      </w:r>
    </w:p>
    <w:p w14:paraId="6C2CC8A1" w14:textId="77777777" w:rsidR="00F1459A" w:rsidRPr="0035358E" w:rsidRDefault="00F1459A" w:rsidP="00DD4B2C">
      <w:pPr>
        <w:pStyle w:val="3-BodyText"/>
      </w:pPr>
      <w:r w:rsidRPr="0035358E">
        <w:t>Although specific risk factors like prematurity increase the likelihood of hospitalisation due to RSV, most hospitalisations occur in full-term infants without underlying health conditions</w:t>
      </w:r>
      <w:r w:rsidRPr="0035358E">
        <w:rPr>
          <w:rStyle w:val="FootnoteReference"/>
        </w:rPr>
        <w:footnoteReference w:id="9"/>
      </w:r>
      <w:r w:rsidRPr="0035358E">
        <w:t>.</w:t>
      </w:r>
    </w:p>
    <w:p w14:paraId="0D19B79C" w14:textId="0A467005" w:rsidR="00F1459A" w:rsidRPr="0035358E" w:rsidRDefault="00F1459A" w:rsidP="00DD4B2C">
      <w:pPr>
        <w:pStyle w:val="3-BodyText"/>
      </w:pPr>
      <w:r w:rsidRPr="0035358E">
        <w:t>RSV also presents risks for women during pregnancy, with evidence suggesting an association with preterm labour</w:t>
      </w:r>
      <w:r w:rsidRPr="0035358E">
        <w:rPr>
          <w:rStyle w:val="FootnoteReference"/>
        </w:rPr>
        <w:footnoteReference w:id="10"/>
      </w:r>
      <w:r w:rsidRPr="0035358E">
        <w:t xml:space="preserve">. In temperate regions, RSV infections predominantly occur in the winter, mirroring influenza patterns, though this seasonality is less </w:t>
      </w:r>
      <w:r w:rsidRPr="0035358E">
        <w:lastRenderedPageBreak/>
        <w:t>defined in tropical and subtropical climates</w:t>
      </w:r>
      <w:r w:rsidRPr="0035358E">
        <w:rPr>
          <w:rStyle w:val="FootnoteReference"/>
        </w:rPr>
        <w:footnoteReference w:id="11"/>
      </w:r>
      <w:r w:rsidRPr="0035358E">
        <w:t>. In Australia, the timing of RSV outbreaks varies with the climate across different regions, typically peaking in the cooler months</w:t>
      </w:r>
      <w:r w:rsidRPr="0035358E">
        <w:rPr>
          <w:rStyle w:val="FootnoteReference"/>
        </w:rPr>
        <w:footnoteReference w:id="12"/>
      </w:r>
      <w:r w:rsidR="00C93F78" w:rsidRPr="0035358E">
        <w:t xml:space="preserve">. </w:t>
      </w:r>
      <w:r w:rsidR="00311446" w:rsidRPr="0035358E">
        <w:t>The ESC noted ATAGI’s advice supported a year-round program, given the uncertain RSV seasonality post-COVID-19</w:t>
      </w:r>
      <w:r w:rsidR="00897667" w:rsidRPr="0035358E">
        <w:t xml:space="preserve">, varying seasonality in different parts of </w:t>
      </w:r>
      <w:r w:rsidR="004E00A5" w:rsidRPr="0035358E">
        <w:t>Australia</w:t>
      </w:r>
      <w:r w:rsidR="00897667" w:rsidRPr="0035358E">
        <w:t>,</w:t>
      </w:r>
      <w:r w:rsidR="00311446" w:rsidRPr="0035358E">
        <w:t xml:space="preserve"> and challenges of delivering a seasonal vaccination program </w:t>
      </w:r>
      <w:r w:rsidR="00A75628" w:rsidRPr="0035358E">
        <w:t xml:space="preserve">to pregnant women </w:t>
      </w:r>
      <w:r w:rsidR="00311446" w:rsidRPr="0035358E">
        <w:t>(ATAGI pre</w:t>
      </w:r>
      <w:r w:rsidR="004E7C77" w:rsidRPr="0035358E">
        <w:t>-</w:t>
      </w:r>
      <w:r w:rsidR="00311446" w:rsidRPr="0035358E">
        <w:t>submission advice p3)</w:t>
      </w:r>
      <w:r w:rsidR="00C93F78" w:rsidRPr="0035358E">
        <w:t xml:space="preserve">. </w:t>
      </w:r>
      <w:r w:rsidR="00311446" w:rsidRPr="0035358E">
        <w:t>The ESC supported this approach, noting it would allow access to the vaccine through routine antenatal care.</w:t>
      </w:r>
    </w:p>
    <w:p w14:paraId="19A8EF75" w14:textId="77777777" w:rsidR="00DB24CC" w:rsidRDefault="00F1459A" w:rsidP="00DD4B2C">
      <w:pPr>
        <w:pStyle w:val="3-BodyText"/>
      </w:pPr>
      <w:r w:rsidRPr="0035358E">
        <w:t xml:space="preserve">The COVID-19 pandemic has notably disrupted the typical patterns of RSV transmission. Measures taken to curb the spread of COVID-19, such as </w:t>
      </w:r>
      <w:r w:rsidR="00FA223E" w:rsidRPr="0035358E">
        <w:t xml:space="preserve">physical </w:t>
      </w:r>
      <w:r w:rsidRPr="0035358E">
        <w:t xml:space="preserve">distancing and mask-wearing, have also impacted the transmission of RSV, leading to changes in the usual seasonal patterns of the virus. For instance, Australia saw a significant decline in RSV cases in 2020 due to COVID-19 related restrictions, followed by a surge in cases </w:t>
      </w:r>
      <w:r w:rsidR="005D0602" w:rsidRPr="0035358E">
        <w:t>in late 2020/early 2021</w:t>
      </w:r>
      <w:r w:rsidRPr="0035358E">
        <w:rPr>
          <w:rStyle w:val="FootnoteReference"/>
        </w:rPr>
        <w:footnoteReference w:id="13"/>
      </w:r>
      <w:r w:rsidRPr="0035358E">
        <w:t>.</w:t>
      </w:r>
    </w:p>
    <w:bookmarkEnd w:id="20"/>
    <w:p w14:paraId="22995DA6" w14:textId="41D4BECF" w:rsidR="00F1459A" w:rsidRPr="0035358E" w:rsidDel="00195452" w:rsidRDefault="00F1459A" w:rsidP="00DD4B2C">
      <w:pPr>
        <w:pStyle w:val="3-BodyText"/>
        <w:rPr>
          <w:color w:val="0066FF"/>
        </w:rPr>
      </w:pPr>
      <w:r w:rsidRPr="0035358E">
        <w:t>The proposed place in therapy for RSVpreF is as a vaccination given during the third trimester of pregnancy to prevent LRTI in infants during the first 6 months of life. So, although the recipient is the mother, the target population is the infant.</w:t>
      </w:r>
    </w:p>
    <w:p w14:paraId="70AA6AB7" w14:textId="55969466" w:rsidR="00F1459A" w:rsidRPr="0035358E" w:rsidRDefault="00F1459A" w:rsidP="00DD4B2C">
      <w:pPr>
        <w:pStyle w:val="3-BodyText"/>
        <w:rPr>
          <w:color w:val="0066FF"/>
        </w:rPr>
      </w:pPr>
      <w:r w:rsidRPr="0035358E">
        <w:t>RSVpreF is a bivalent vaccine composed of stable RSV prefusion F antigens representing the 2 major virus subgroups (RSV-A and RSV-B) to ensure broad coverage against RSV illness. In pregnant individuals, the action of neutralising antibodies conferring protection is mediated through passive transfer of these antibodies from mother to infant through the placenta</w:t>
      </w:r>
      <w:r w:rsidRPr="0035358E">
        <w:rPr>
          <w:rStyle w:val="FootnoteReference"/>
        </w:rPr>
        <w:footnoteReference w:id="14"/>
      </w:r>
      <w:r w:rsidRPr="0035358E">
        <w:t>. This means that inoculating pregnant women can provide protection to infants.</w:t>
      </w:r>
    </w:p>
    <w:p w14:paraId="12437B17" w14:textId="1F402B27" w:rsidR="00F43500" w:rsidRPr="00C56D1A" w:rsidDel="00195452" w:rsidRDefault="00F43500" w:rsidP="00DD4B2C">
      <w:pPr>
        <w:pStyle w:val="3-BodyText"/>
        <w:numPr>
          <w:ilvl w:val="0"/>
          <w:numId w:val="0"/>
        </w:numPr>
        <w:ind w:left="720"/>
        <w:rPr>
          <w:i/>
          <w:iCs/>
          <w:color w:val="0066FF"/>
        </w:rPr>
      </w:pPr>
      <w:r w:rsidRPr="00C56D1A">
        <w:rPr>
          <w:i/>
          <w:iCs/>
        </w:rPr>
        <w:t>For more detail on PBAC’s view, see section 7 PBAC outcome</w:t>
      </w:r>
      <w:r w:rsidRPr="00C56D1A">
        <w:rPr>
          <w:i/>
          <w:iCs/>
          <w:color w:val="0066FF"/>
        </w:rPr>
        <w:t>.</w:t>
      </w:r>
    </w:p>
    <w:p w14:paraId="54CCDE46" w14:textId="77777777" w:rsidR="00F1459A" w:rsidRPr="0035358E" w:rsidRDefault="00F1459A" w:rsidP="00F1459A">
      <w:pPr>
        <w:pStyle w:val="2-SectionHeading"/>
        <w:numPr>
          <w:ilvl w:val="0"/>
          <w:numId w:val="1"/>
        </w:numPr>
      </w:pPr>
      <w:bookmarkStart w:id="23" w:name="_Toc156993548"/>
      <w:r w:rsidRPr="0035358E">
        <w:t>Comparator</w:t>
      </w:r>
      <w:bookmarkEnd w:id="23"/>
    </w:p>
    <w:p w14:paraId="5277FD91" w14:textId="4FA5B5BF" w:rsidR="00F1459A" w:rsidRPr="0035358E" w:rsidRDefault="00F1459A" w:rsidP="00DD4B2C">
      <w:pPr>
        <w:pStyle w:val="3-BodyText"/>
      </w:pPr>
      <w:r w:rsidRPr="0035358E">
        <w:t xml:space="preserve">The </w:t>
      </w:r>
      <w:r w:rsidR="00E37E82" w:rsidRPr="0035358E">
        <w:t xml:space="preserve">submission </w:t>
      </w:r>
      <w:r w:rsidRPr="0035358E">
        <w:t>nominated “No vaccine” (standard of care)</w:t>
      </w:r>
      <w:r w:rsidR="00E37E82" w:rsidRPr="0035358E">
        <w:t xml:space="preserve"> as the comparator,</w:t>
      </w:r>
      <w:r w:rsidRPr="0035358E">
        <w:t xml:space="preserve"> </w:t>
      </w:r>
      <w:r w:rsidR="00E37E82" w:rsidRPr="0035358E">
        <w:t xml:space="preserve">on the basis there was </w:t>
      </w:r>
      <w:r w:rsidRPr="0035358E">
        <w:t xml:space="preserve">no </w:t>
      </w:r>
      <w:r w:rsidR="00E37E82" w:rsidRPr="0035358E">
        <w:t xml:space="preserve">alternative </w:t>
      </w:r>
      <w:r w:rsidRPr="0035358E">
        <w:t xml:space="preserve">vaccine </w:t>
      </w:r>
      <w:r w:rsidR="00E37E82" w:rsidRPr="0035358E">
        <w:t xml:space="preserve">licensed </w:t>
      </w:r>
      <w:r w:rsidRPr="0035358E">
        <w:t>against RSV in Australia</w:t>
      </w:r>
      <w:r w:rsidR="00E37E82" w:rsidRPr="0035358E">
        <w:t xml:space="preserve"> at the time of submission</w:t>
      </w:r>
      <w:r w:rsidRPr="0035358E">
        <w:t xml:space="preserve">. </w:t>
      </w:r>
      <w:r w:rsidRPr="0035358E">
        <w:rPr>
          <w:iCs/>
        </w:rPr>
        <w:t xml:space="preserve">ATAGI </w:t>
      </w:r>
      <w:r w:rsidR="00E37E82" w:rsidRPr="0035358E">
        <w:rPr>
          <w:iCs/>
        </w:rPr>
        <w:t xml:space="preserve">considered </w:t>
      </w:r>
      <w:r w:rsidRPr="0035358E">
        <w:rPr>
          <w:iCs/>
        </w:rPr>
        <w:t xml:space="preserve">this comparator </w:t>
      </w:r>
      <w:r w:rsidR="00E37E82" w:rsidRPr="0035358E">
        <w:rPr>
          <w:iCs/>
        </w:rPr>
        <w:t xml:space="preserve">was </w:t>
      </w:r>
      <w:r w:rsidRPr="0035358E">
        <w:rPr>
          <w:iCs/>
        </w:rPr>
        <w:t>reasonable (the ATAGI Advice to the PBAC).</w:t>
      </w:r>
    </w:p>
    <w:p w14:paraId="60479138" w14:textId="0EACF428" w:rsidR="00F1459A" w:rsidRPr="0035358E" w:rsidRDefault="00F1459A" w:rsidP="00DD4B2C">
      <w:pPr>
        <w:pStyle w:val="3-BodyText"/>
      </w:pPr>
      <w:r w:rsidRPr="0035358E">
        <w:t>ATAGI also noted that the monoclonal antibody (mAb) palivizumab is currently licensed for the prevention of RSV in high-risk infants (the ATAGI Advice to the PBAC). However, the high cost of palivizumab and requirement for monthly injections, limit</w:t>
      </w:r>
      <w:r w:rsidR="004E7C77" w:rsidRPr="0035358E">
        <w:t>ed</w:t>
      </w:r>
      <w:r w:rsidRPr="0035358E">
        <w:t xml:space="preserve"> </w:t>
      </w:r>
      <w:r w:rsidRPr="0035358E">
        <w:lastRenderedPageBreak/>
        <w:t>its use. ATAGI considered that there was insufficient use in Australia for it to be considered a comparator (ATAGI Advice to the PBAC).</w:t>
      </w:r>
    </w:p>
    <w:p w14:paraId="349B009D" w14:textId="1C1F52DD" w:rsidR="00F1459A" w:rsidRPr="0035358E" w:rsidRDefault="00F1459A" w:rsidP="00DD4B2C">
      <w:pPr>
        <w:pStyle w:val="3-BodyText"/>
      </w:pPr>
      <w:r w:rsidRPr="0035358E">
        <w:t xml:space="preserve">Nirsevimab is a mAb for prevention of RSV-associated LRTI </w:t>
      </w:r>
      <w:r w:rsidR="00FF719A" w:rsidRPr="0035358E">
        <w:t>that received TGA approval in November 2023.</w:t>
      </w:r>
      <w:r w:rsidR="00537430" w:rsidRPr="0035358E">
        <w:rPr>
          <w:rStyle w:val="FootnoteReference"/>
        </w:rPr>
        <w:footnoteReference w:id="15"/>
      </w:r>
      <w:r w:rsidR="00FF719A" w:rsidRPr="0035358E">
        <w:t xml:space="preserve"> Nirsevimab is indicated for the prevention of RSV lower respiratory tract disease in neonates and infants born during or entering their first RSV season and children up to 24 months of age who remain vulnerable to severe RSV disease through their second RSV season.</w:t>
      </w:r>
      <w:r w:rsidRPr="0035358E">
        <w:t xml:space="preserve"> </w:t>
      </w:r>
      <w:bookmarkStart w:id="24" w:name="_Hlk155873754"/>
      <w:r w:rsidRPr="0035358E">
        <w:t xml:space="preserve">It can be given as a single subcutaneous injection and has been shown to result in a significant reduction in </w:t>
      </w:r>
      <w:r w:rsidR="000445C6" w:rsidRPr="0035358E">
        <w:t xml:space="preserve">RSV associated </w:t>
      </w:r>
      <w:r w:rsidRPr="0035358E">
        <w:t>medically attended lower respiratory tract illness (MA-LRTI)</w:t>
      </w:r>
      <w:r w:rsidR="00AF3645" w:rsidRPr="0035358E">
        <w:t xml:space="preserve"> </w:t>
      </w:r>
      <w:r w:rsidR="000445C6" w:rsidRPr="0035358E">
        <w:t>(74.5% efficacy</w:t>
      </w:r>
      <w:r w:rsidR="008601A5" w:rsidRPr="0035358E">
        <w:t xml:space="preserve"> [1 - RR]</w:t>
      </w:r>
      <w:r w:rsidR="000445C6" w:rsidRPr="0035358E">
        <w:t xml:space="preserve"> 95% CI: 49.6, 87.1)</w:t>
      </w:r>
      <w:r w:rsidR="000445C6" w:rsidRPr="0035358E">
        <w:rPr>
          <w:rStyle w:val="FootnoteReference"/>
        </w:rPr>
        <w:footnoteReference w:id="16"/>
      </w:r>
      <w:r w:rsidRPr="0035358E">
        <w:t xml:space="preserve">. </w:t>
      </w:r>
      <w:bookmarkEnd w:id="24"/>
      <w:r w:rsidR="00933208" w:rsidRPr="0035358E">
        <w:rPr>
          <w:iCs/>
        </w:rPr>
        <w:t>Based on the TGA indication, nirsevimab is</w:t>
      </w:r>
      <w:r w:rsidRPr="0035358E">
        <w:rPr>
          <w:iCs/>
        </w:rPr>
        <w:t xml:space="preserve"> a near market comparator</w:t>
      </w:r>
      <w:r w:rsidR="00FF719A" w:rsidRPr="0035358E">
        <w:rPr>
          <w:iCs/>
        </w:rPr>
        <w:t>.</w:t>
      </w:r>
      <w:r w:rsidRPr="0035358E">
        <w:rPr>
          <w:iCs/>
        </w:rPr>
        <w:t xml:space="preserve"> ATAGI not</w:t>
      </w:r>
      <w:r w:rsidR="00FF719A" w:rsidRPr="0035358E">
        <w:rPr>
          <w:iCs/>
        </w:rPr>
        <w:t>ed that</w:t>
      </w:r>
      <w:r w:rsidRPr="0035358E">
        <w:rPr>
          <w:iCs/>
        </w:rPr>
        <w:t xml:space="preserve"> “</w:t>
      </w:r>
      <w:r w:rsidRPr="0035358E">
        <w:rPr>
          <w:rFonts w:eastAsiaTheme="minorEastAsia" w:cs="Calibri"/>
          <w:iCs/>
          <w:color w:val="222222"/>
        </w:rPr>
        <w:t>there is a real possibility that both products may be registered for use in the Australian market. ATAGI suggests that it is false to assume that monoclonals would be restricted to high-risk populations, with a maternal vaccination program favoured if both prevention strategies were available. The Sponsor should consider the possibility that both products may be available for use in Australia and consider approaches to evaluating/comparing the relevant benefits of both products, alone or in combination, if both are available.” (ATAGI Advice to the PBAC)</w:t>
      </w:r>
      <w:r w:rsidR="000445C6" w:rsidRPr="0035358E">
        <w:rPr>
          <w:rFonts w:eastAsiaTheme="minorEastAsia" w:cs="Calibri"/>
          <w:iCs/>
          <w:color w:val="222222"/>
        </w:rPr>
        <w:t xml:space="preserve">. The </w:t>
      </w:r>
      <w:r w:rsidR="00AF3645" w:rsidRPr="0035358E">
        <w:rPr>
          <w:rFonts w:eastAsiaTheme="minorEastAsia" w:cs="Calibri"/>
          <w:iCs/>
          <w:color w:val="222222"/>
        </w:rPr>
        <w:t>sponsor</w:t>
      </w:r>
      <w:r w:rsidR="000445C6" w:rsidRPr="0035358E">
        <w:rPr>
          <w:rFonts w:eastAsiaTheme="minorEastAsia" w:cs="Calibri"/>
          <w:iCs/>
          <w:color w:val="222222"/>
        </w:rPr>
        <w:t xml:space="preserve"> noted that to adequately address this would require clinical and cost inputs that were not available at the time of submission.</w:t>
      </w:r>
    </w:p>
    <w:p w14:paraId="3EB9C09C" w14:textId="0CC75BD3" w:rsidR="009B1D5D" w:rsidRPr="0035358E" w:rsidRDefault="006A21D0" w:rsidP="00DD4B2C">
      <w:pPr>
        <w:pStyle w:val="3-BodyText"/>
      </w:pPr>
      <w:r w:rsidRPr="0035358E">
        <w:t xml:space="preserve">Nirsevimab was licensed </w:t>
      </w:r>
      <w:r w:rsidR="006A7A9D" w:rsidRPr="0035358E">
        <w:t>in</w:t>
      </w:r>
      <w:r w:rsidRPr="0035358E">
        <w:t xml:space="preserve"> the </w:t>
      </w:r>
      <w:r w:rsidR="006A7A9D" w:rsidRPr="0035358E">
        <w:t xml:space="preserve">UK </w:t>
      </w:r>
      <w:r w:rsidRPr="0035358E">
        <w:t xml:space="preserve">in November 2022. </w:t>
      </w:r>
      <w:r w:rsidR="009B1D5D" w:rsidRPr="0035358E">
        <w:t xml:space="preserve">The Joint Committee on Vaccination and Immunisation (JCVI) noted that both nirsevimab and RSVpreF are suitable for a universal program to protect neonates </w:t>
      </w:r>
      <w:r w:rsidR="00930998" w:rsidRPr="0035358E">
        <w:t>from RSV. JCVI does not have a preference for either product or whether a maternal vaccination or a passive immunisation program should be the program chosen to protect neonates and infants. The</w:t>
      </w:r>
      <w:r w:rsidR="005F0A77" w:rsidRPr="0035358E">
        <w:t xml:space="preserve"> JCVI concluded that</w:t>
      </w:r>
      <w:r w:rsidR="00930998" w:rsidRPr="0035358E">
        <w:t>, subject to licensure of the maternal vaccine, both options should be considered for a universal program</w:t>
      </w:r>
      <w:r w:rsidR="005F0A77" w:rsidRPr="0035358E">
        <w:t xml:space="preserve"> in the UK</w:t>
      </w:r>
      <w:r w:rsidRPr="0035358E">
        <w:rPr>
          <w:rStyle w:val="FootnoteReference"/>
        </w:rPr>
        <w:footnoteReference w:id="17"/>
      </w:r>
      <w:r w:rsidR="009B1D5D" w:rsidRPr="0035358E">
        <w:t>.</w:t>
      </w:r>
    </w:p>
    <w:p w14:paraId="22BE66EA" w14:textId="6EDBD512" w:rsidR="00F43500" w:rsidRPr="00C56D1A" w:rsidRDefault="00F43500" w:rsidP="00DD4B2C">
      <w:pPr>
        <w:pStyle w:val="3-BodyText"/>
        <w:numPr>
          <w:ilvl w:val="0"/>
          <w:numId w:val="0"/>
        </w:numPr>
        <w:ind w:left="720"/>
        <w:rPr>
          <w:i/>
          <w:iCs/>
        </w:rPr>
      </w:pPr>
      <w:r w:rsidRPr="00C56D1A">
        <w:rPr>
          <w:i/>
          <w:iCs/>
        </w:rPr>
        <w:t>For more detail on PBAC’s view, see section 7 PBAC outcome.</w:t>
      </w:r>
    </w:p>
    <w:p w14:paraId="397356C2" w14:textId="77777777" w:rsidR="00F1459A" w:rsidRPr="0035358E" w:rsidRDefault="00F1459A" w:rsidP="00F1459A">
      <w:pPr>
        <w:pStyle w:val="2-SectionHeading"/>
        <w:numPr>
          <w:ilvl w:val="0"/>
          <w:numId w:val="1"/>
        </w:numPr>
      </w:pPr>
      <w:bookmarkStart w:id="25" w:name="_Toc156993549"/>
      <w:bookmarkStart w:id="26" w:name="_Toc22897640"/>
      <w:r w:rsidRPr="0035358E">
        <w:t>Consideration of the evidence</w:t>
      </w:r>
      <w:bookmarkEnd w:id="25"/>
    </w:p>
    <w:p w14:paraId="2CEEE348" w14:textId="77777777" w:rsidR="00F43500" w:rsidRPr="0035358E" w:rsidRDefault="00F43500" w:rsidP="00F43500">
      <w:pPr>
        <w:pStyle w:val="4-SubsectionHeading"/>
      </w:pPr>
      <w:bookmarkStart w:id="27" w:name="_Hlk76375935"/>
      <w:r w:rsidRPr="0035358E">
        <w:t>Sponsor hearing</w:t>
      </w:r>
    </w:p>
    <w:p w14:paraId="6D96FC57" w14:textId="5B37048B" w:rsidR="00F43500" w:rsidRPr="0035358E" w:rsidRDefault="00F43500" w:rsidP="00F43500">
      <w:pPr>
        <w:widowControl w:val="0"/>
        <w:numPr>
          <w:ilvl w:val="1"/>
          <w:numId w:val="1"/>
        </w:numPr>
        <w:spacing w:after="120"/>
        <w:ind w:left="720" w:hanging="720"/>
        <w:rPr>
          <w:rFonts w:cs="Calibri"/>
          <w:bCs/>
          <w:snapToGrid w:val="0"/>
        </w:rPr>
      </w:pPr>
      <w:r w:rsidRPr="0035358E">
        <w:rPr>
          <w:rFonts w:cs="Calibri"/>
          <w:bCs/>
          <w:snapToGrid w:val="0"/>
        </w:rPr>
        <w:t>There was no hearing for this item.</w:t>
      </w:r>
    </w:p>
    <w:p w14:paraId="545B8EEA" w14:textId="77777777" w:rsidR="00F43500" w:rsidRPr="0035358E" w:rsidRDefault="00F43500" w:rsidP="00F43500">
      <w:pPr>
        <w:pStyle w:val="4-SubsectionHeading"/>
      </w:pPr>
      <w:r w:rsidRPr="0035358E">
        <w:t>Consumer comments</w:t>
      </w:r>
    </w:p>
    <w:p w14:paraId="0AA78DFA" w14:textId="77777777" w:rsidR="004E6A6F" w:rsidRPr="0035358E" w:rsidRDefault="00F43500" w:rsidP="004E6A6F">
      <w:pPr>
        <w:widowControl w:val="0"/>
        <w:numPr>
          <w:ilvl w:val="1"/>
          <w:numId w:val="1"/>
        </w:numPr>
        <w:spacing w:after="120"/>
        <w:ind w:left="720" w:hanging="720"/>
        <w:rPr>
          <w:rFonts w:asciiTheme="minorHAnsi" w:hAnsiTheme="minorHAnsi"/>
          <w:bCs/>
          <w:snapToGrid w:val="0"/>
        </w:rPr>
      </w:pPr>
      <w:bookmarkStart w:id="28" w:name="_Hlk76382618"/>
      <w:r w:rsidRPr="0035358E">
        <w:rPr>
          <w:rFonts w:asciiTheme="minorHAnsi" w:hAnsiTheme="minorHAnsi"/>
          <w:bCs/>
          <w:snapToGrid w:val="0"/>
        </w:rPr>
        <w:t xml:space="preserve">The PBAC noted and welcomed the input from organisations (3) via the Consumer Comments facility on the PBS website. </w:t>
      </w:r>
      <w:r w:rsidR="004E6A6F" w:rsidRPr="0035358E">
        <w:rPr>
          <w:rFonts w:asciiTheme="minorHAnsi" w:hAnsiTheme="minorHAnsi"/>
          <w:bCs/>
          <w:snapToGrid w:val="0"/>
        </w:rPr>
        <w:t xml:space="preserve">The three organisations were consumer </w:t>
      </w:r>
      <w:r w:rsidR="004E6A6F" w:rsidRPr="0035358E">
        <w:rPr>
          <w:rFonts w:asciiTheme="minorHAnsi" w:hAnsiTheme="minorHAnsi"/>
          <w:bCs/>
          <w:snapToGrid w:val="0"/>
        </w:rPr>
        <w:lastRenderedPageBreak/>
        <w:t>organisations that supported the proposed NIP listing for RSVpreF.</w:t>
      </w:r>
    </w:p>
    <w:p w14:paraId="213A4288" w14:textId="77777777" w:rsidR="00DB24CC" w:rsidRDefault="004E6A6F" w:rsidP="004E6A6F">
      <w:pPr>
        <w:widowControl w:val="0"/>
        <w:numPr>
          <w:ilvl w:val="1"/>
          <w:numId w:val="1"/>
        </w:numPr>
        <w:spacing w:after="120"/>
        <w:ind w:left="720" w:hanging="720"/>
        <w:rPr>
          <w:rFonts w:asciiTheme="minorHAnsi" w:hAnsiTheme="minorHAnsi"/>
          <w:bCs/>
          <w:snapToGrid w:val="0"/>
        </w:rPr>
      </w:pPr>
      <w:r w:rsidRPr="0035358E">
        <w:rPr>
          <w:rFonts w:asciiTheme="minorHAnsi" w:hAnsiTheme="minorHAnsi"/>
          <w:bCs/>
          <w:snapToGrid w:val="0"/>
        </w:rPr>
        <w:t>The comments from the Immunisation Foundation of Australia described a range of benefits of the proposed vaccine stating that protecting infants from RSV would provide a healthier start to life and reduce paediatric hospital burden</w:t>
      </w:r>
      <w:r w:rsidR="00C93F78" w:rsidRPr="0035358E">
        <w:rPr>
          <w:rFonts w:asciiTheme="minorHAnsi" w:hAnsiTheme="minorHAnsi"/>
          <w:bCs/>
          <w:snapToGrid w:val="0"/>
        </w:rPr>
        <w:t xml:space="preserve">. </w:t>
      </w:r>
      <w:r w:rsidRPr="0035358E">
        <w:rPr>
          <w:rFonts w:asciiTheme="minorHAnsi" w:hAnsiTheme="minorHAnsi"/>
          <w:bCs/>
          <w:snapToGrid w:val="0"/>
        </w:rPr>
        <w:t>The comments also described the emotional burden for families of infants needing hospitalisation for RSV and the financial burden for families and society as a whole resulting from RSV</w:t>
      </w:r>
      <w:r w:rsidR="00D77D65" w:rsidRPr="0035358E">
        <w:rPr>
          <w:rFonts w:asciiTheme="minorHAnsi" w:hAnsiTheme="minorHAnsi"/>
          <w:bCs/>
          <w:snapToGrid w:val="0"/>
        </w:rPr>
        <w:noBreakHyphen/>
      </w:r>
      <w:r w:rsidRPr="0035358E">
        <w:rPr>
          <w:rFonts w:asciiTheme="minorHAnsi" w:hAnsiTheme="minorHAnsi"/>
          <w:bCs/>
          <w:snapToGrid w:val="0"/>
        </w:rPr>
        <w:t>associated medical costs and lost productivity of parents</w:t>
      </w:r>
      <w:r w:rsidR="00C93F78" w:rsidRPr="0035358E">
        <w:rPr>
          <w:rFonts w:asciiTheme="minorHAnsi" w:hAnsiTheme="minorHAnsi"/>
          <w:bCs/>
          <w:snapToGrid w:val="0"/>
        </w:rPr>
        <w:t xml:space="preserve">. </w:t>
      </w:r>
      <w:r w:rsidRPr="0035358E">
        <w:rPr>
          <w:rFonts w:asciiTheme="minorHAnsi" w:hAnsiTheme="minorHAnsi"/>
          <w:bCs/>
          <w:snapToGrid w:val="0"/>
        </w:rPr>
        <w:t>The input highlighted that some infants are at an increased risk of severe RSV complications, including First Nations infants, infants with weakened immune systems, premature babies, and those with chronic lung or heart conditions.</w:t>
      </w:r>
    </w:p>
    <w:p w14:paraId="3328814A" w14:textId="00F71055" w:rsidR="004E6A6F" w:rsidRPr="0035358E" w:rsidRDefault="004E6A6F" w:rsidP="004E6A6F">
      <w:pPr>
        <w:widowControl w:val="0"/>
        <w:numPr>
          <w:ilvl w:val="1"/>
          <w:numId w:val="1"/>
        </w:numPr>
        <w:spacing w:after="120"/>
        <w:ind w:left="720" w:hanging="720"/>
        <w:rPr>
          <w:bCs/>
        </w:rPr>
      </w:pPr>
      <w:r w:rsidRPr="0035358E">
        <w:rPr>
          <w:bCs/>
        </w:rPr>
        <w:t xml:space="preserve">The Lung </w:t>
      </w:r>
      <w:r w:rsidR="00D77D65" w:rsidRPr="0035358E">
        <w:rPr>
          <w:bCs/>
        </w:rPr>
        <w:t>F</w:t>
      </w:r>
      <w:r w:rsidRPr="0035358E">
        <w:rPr>
          <w:bCs/>
        </w:rPr>
        <w:t xml:space="preserve">oundation Australia stated that listing RSVpreF on the NIP </w:t>
      </w:r>
      <w:r w:rsidR="00D77D65" w:rsidRPr="0035358E">
        <w:rPr>
          <w:bCs/>
        </w:rPr>
        <w:t>would</w:t>
      </w:r>
      <w:r w:rsidRPr="0035358E">
        <w:rPr>
          <w:bCs/>
        </w:rPr>
        <w:t xml:space="preserve"> provide clinicians and patients with access to an effective vaccine, reduce the risk of disease, disability and death associated with RSV, and reduce costs to health system</w:t>
      </w:r>
      <w:r w:rsidR="00632CA5" w:rsidRPr="0035358E">
        <w:rPr>
          <w:bCs/>
        </w:rPr>
        <w:t>, particularly among children and immunocompromised individuals</w:t>
      </w:r>
      <w:r w:rsidR="00C93F78" w:rsidRPr="0035358E">
        <w:rPr>
          <w:bCs/>
        </w:rPr>
        <w:t xml:space="preserve">. </w:t>
      </w:r>
      <w:r w:rsidRPr="0035358E">
        <w:rPr>
          <w:bCs/>
        </w:rPr>
        <w:t>The input stated that based on a survey of over 800 consumers, on average, Australian consumers were “very worried” about RSV.</w:t>
      </w:r>
    </w:p>
    <w:p w14:paraId="36F34DA8" w14:textId="77777777" w:rsidR="00DB24CC" w:rsidRDefault="004E6A6F" w:rsidP="004E6A6F">
      <w:pPr>
        <w:widowControl w:val="0"/>
        <w:numPr>
          <w:ilvl w:val="1"/>
          <w:numId w:val="1"/>
        </w:numPr>
        <w:spacing w:after="120"/>
        <w:ind w:left="720" w:hanging="720"/>
        <w:rPr>
          <w:bCs/>
        </w:rPr>
      </w:pPr>
      <w:r w:rsidRPr="0035358E">
        <w:rPr>
          <w:bCs/>
        </w:rPr>
        <w:t>The input from CreakyJoints Australia and parent organisation, Global Healthy Living Foundation Australia supported the rollout of RSV vaccines in Australia, starting with vaccinating pregnant women to provide their babies with some protection during their early months</w:t>
      </w:r>
      <w:r w:rsidR="00C93F78" w:rsidRPr="0035358E">
        <w:rPr>
          <w:bCs/>
        </w:rPr>
        <w:t xml:space="preserve">. </w:t>
      </w:r>
      <w:r w:rsidRPr="0035358E">
        <w:rPr>
          <w:bCs/>
        </w:rPr>
        <w:t>The input stated that with the number of detected RSV cases</w:t>
      </w:r>
      <w:r w:rsidR="004E7C77" w:rsidRPr="0035358E">
        <w:rPr>
          <w:bCs/>
        </w:rPr>
        <w:t xml:space="preserve"> increasing</w:t>
      </w:r>
      <w:r w:rsidRPr="0035358E">
        <w:rPr>
          <w:bCs/>
        </w:rPr>
        <w:t xml:space="preserve">, </w:t>
      </w:r>
      <w:r w:rsidR="00D77D65" w:rsidRPr="0035358E">
        <w:rPr>
          <w:bCs/>
        </w:rPr>
        <w:t xml:space="preserve">the </w:t>
      </w:r>
      <w:r w:rsidRPr="0035358E">
        <w:rPr>
          <w:bCs/>
        </w:rPr>
        <w:t xml:space="preserve">burden of </w:t>
      </w:r>
      <w:r w:rsidR="00D77D65" w:rsidRPr="0035358E">
        <w:rPr>
          <w:bCs/>
        </w:rPr>
        <w:t xml:space="preserve">RSV impacted not only </w:t>
      </w:r>
      <w:r w:rsidRPr="0035358E">
        <w:rPr>
          <w:bCs/>
        </w:rPr>
        <w:t xml:space="preserve">immunocompromised people, but </w:t>
      </w:r>
      <w:r w:rsidR="00D77D65" w:rsidRPr="0035358E">
        <w:rPr>
          <w:bCs/>
        </w:rPr>
        <w:t>also</w:t>
      </w:r>
      <w:r w:rsidRPr="0035358E">
        <w:rPr>
          <w:bCs/>
        </w:rPr>
        <w:t xml:space="preserve"> society as a whole.</w:t>
      </w:r>
    </w:p>
    <w:p w14:paraId="18D43482" w14:textId="531710FB" w:rsidR="00F1459A" w:rsidRPr="0035358E" w:rsidRDefault="00F1459A" w:rsidP="00F1459A">
      <w:pPr>
        <w:pStyle w:val="4-SubsectionHeading"/>
      </w:pPr>
      <w:bookmarkStart w:id="29" w:name="_Toc156993550"/>
      <w:bookmarkEnd w:id="27"/>
      <w:bookmarkEnd w:id="28"/>
      <w:r w:rsidRPr="0035358E">
        <w:t>Clinical studies</w:t>
      </w:r>
      <w:bookmarkEnd w:id="26"/>
      <w:bookmarkEnd w:id="29"/>
    </w:p>
    <w:p w14:paraId="5116E9F9" w14:textId="77777777" w:rsidR="00DB24CC" w:rsidRDefault="00F1459A" w:rsidP="00DD4B2C">
      <w:pPr>
        <w:pStyle w:val="3-BodyText"/>
        <w:rPr>
          <w:color w:val="0066FF"/>
        </w:rPr>
      </w:pPr>
      <w:bookmarkStart w:id="30" w:name="_Hlk163124620"/>
      <w:r w:rsidRPr="0035358E">
        <w:t xml:space="preserve">The submission was based on one head-to-head trial </w:t>
      </w:r>
      <w:r w:rsidR="0000253E" w:rsidRPr="0035358E">
        <w:t>known as the MATernal Immunization Study for Safety and Efficacy (</w:t>
      </w:r>
      <w:r w:rsidRPr="0035358E">
        <w:t>MATISSE) comparing RSVpreF to placebo (n=7</w:t>
      </w:r>
      <w:r w:rsidR="00914A93" w:rsidRPr="0035358E">
        <w:t>,</w:t>
      </w:r>
      <w:r w:rsidRPr="0035358E">
        <w:t>392). Two supporting studies were also included, SAVVY, and Study 1004.</w:t>
      </w:r>
    </w:p>
    <w:bookmarkEnd w:id="30"/>
    <w:p w14:paraId="347ED49A" w14:textId="56E381C7" w:rsidR="00F1459A" w:rsidRPr="0035358E" w:rsidRDefault="00F1459A" w:rsidP="00DD4B2C">
      <w:pPr>
        <w:pStyle w:val="3-BodyText"/>
      </w:pPr>
      <w:r w:rsidRPr="0035358E">
        <w:t xml:space="preserve">Details of the studies presented in the submission are provided in </w:t>
      </w:r>
      <w:r w:rsidRPr="0035358E">
        <w:fldChar w:fldCharType="begin"/>
      </w:r>
      <w:r w:rsidRPr="0035358E">
        <w:instrText xml:space="preserve"> REF _Ref104803956 \h </w:instrText>
      </w:r>
      <w:r w:rsidRPr="0035358E">
        <w:fldChar w:fldCharType="separate"/>
      </w:r>
      <w:r w:rsidR="00A46CAC" w:rsidRPr="0035358E">
        <w:t xml:space="preserve">Table </w:t>
      </w:r>
      <w:r w:rsidR="00A46CAC">
        <w:rPr>
          <w:noProof/>
        </w:rPr>
        <w:t>2</w:t>
      </w:r>
      <w:r w:rsidRPr="0035358E">
        <w:fldChar w:fldCharType="end"/>
      </w:r>
      <w:r w:rsidRPr="0035358E">
        <w:t>.</w:t>
      </w:r>
    </w:p>
    <w:p w14:paraId="00AEF2C3" w14:textId="26A07366" w:rsidR="00F1459A" w:rsidRPr="0035358E" w:rsidRDefault="00F1459A" w:rsidP="00AE0C2A">
      <w:pPr>
        <w:pStyle w:val="TableFigureHeading"/>
        <w:rPr>
          <w:rStyle w:val="CommentReference"/>
          <w:b/>
          <w:szCs w:val="24"/>
        </w:rPr>
      </w:pPr>
      <w:bookmarkStart w:id="31" w:name="_Ref104803956"/>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2</w:t>
      </w:r>
      <w:r w:rsidR="00560E31">
        <w:rPr>
          <w:noProof/>
        </w:rPr>
        <w:fldChar w:fldCharType="end"/>
      </w:r>
      <w:bookmarkEnd w:id="31"/>
      <w:r w:rsidRPr="0035358E">
        <w:t>:</w:t>
      </w:r>
      <w:r w:rsidRPr="0035358E">
        <w:rPr>
          <w:rStyle w:val="CommentReference"/>
          <w:b/>
          <w:szCs w:val="24"/>
        </w:rPr>
        <w:t xml:space="preserve">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4"/>
        <w:gridCol w:w="5055"/>
        <w:gridCol w:w="2528"/>
      </w:tblGrid>
      <w:tr w:rsidR="00F1459A" w:rsidRPr="0035358E" w14:paraId="5FF24EF4" w14:textId="77777777" w:rsidTr="001275F8">
        <w:trPr>
          <w:cantSplit/>
          <w:tblHeader/>
        </w:trPr>
        <w:tc>
          <w:tcPr>
            <w:tcW w:w="795" w:type="pct"/>
            <w:vAlign w:val="center"/>
          </w:tcPr>
          <w:p w14:paraId="52A3DC02" w14:textId="77777777" w:rsidR="00F1459A" w:rsidRPr="0035358E" w:rsidRDefault="00F1459A" w:rsidP="00A12388">
            <w:pPr>
              <w:pStyle w:val="In-tableHeading"/>
              <w:jc w:val="center"/>
              <w:rPr>
                <w:lang w:val="en-AU"/>
              </w:rPr>
            </w:pPr>
            <w:r w:rsidRPr="0035358E">
              <w:rPr>
                <w:lang w:val="en-AU"/>
              </w:rPr>
              <w:t>Trial ID</w:t>
            </w:r>
          </w:p>
        </w:tc>
        <w:tc>
          <w:tcPr>
            <w:tcW w:w="2803" w:type="pct"/>
            <w:vAlign w:val="center"/>
          </w:tcPr>
          <w:p w14:paraId="733C2944" w14:textId="77777777" w:rsidR="00F1459A" w:rsidRPr="0035358E" w:rsidRDefault="00F1459A" w:rsidP="00A12388">
            <w:pPr>
              <w:pStyle w:val="In-tableHeading"/>
              <w:ind w:right="91"/>
              <w:rPr>
                <w:lang w:val="en-AU"/>
              </w:rPr>
            </w:pPr>
            <w:r w:rsidRPr="0035358E">
              <w:rPr>
                <w:lang w:val="en-AU"/>
              </w:rPr>
              <w:t>Protocol title/ Publication title</w:t>
            </w:r>
          </w:p>
        </w:tc>
        <w:tc>
          <w:tcPr>
            <w:tcW w:w="1402" w:type="pct"/>
            <w:vAlign w:val="center"/>
          </w:tcPr>
          <w:p w14:paraId="66081AA0" w14:textId="77777777" w:rsidR="00F1459A" w:rsidRPr="0035358E" w:rsidRDefault="00F1459A" w:rsidP="00A12388">
            <w:pPr>
              <w:pStyle w:val="In-tableHeading"/>
              <w:rPr>
                <w:lang w:val="en-AU"/>
              </w:rPr>
            </w:pPr>
            <w:r w:rsidRPr="0035358E">
              <w:rPr>
                <w:lang w:val="en-AU"/>
              </w:rPr>
              <w:t>Publication citation</w:t>
            </w:r>
          </w:p>
        </w:tc>
      </w:tr>
      <w:tr w:rsidR="00F1459A" w:rsidRPr="0035358E" w14:paraId="63B20AA5" w14:textId="77777777" w:rsidTr="001275F8">
        <w:trPr>
          <w:cantSplit/>
        </w:trPr>
        <w:tc>
          <w:tcPr>
            <w:tcW w:w="795" w:type="pct"/>
            <w:vMerge w:val="restart"/>
          </w:tcPr>
          <w:p w14:paraId="6DCBD6E1" w14:textId="77777777" w:rsidR="00F1459A" w:rsidRPr="0035358E" w:rsidRDefault="00F1459A" w:rsidP="00A12388">
            <w:pPr>
              <w:keepNext/>
              <w:spacing w:before="40" w:after="40"/>
              <w:rPr>
                <w:rFonts w:ascii="Arial Narrow" w:eastAsia="TimesNewRoman" w:hAnsi="Arial Narrow" w:cstheme="minorHAnsi"/>
                <w:b/>
                <w:sz w:val="20"/>
                <w:szCs w:val="20"/>
              </w:rPr>
            </w:pPr>
            <w:r w:rsidRPr="0035358E">
              <w:rPr>
                <w:rFonts w:ascii="Arial Narrow" w:eastAsia="TimesNewRoman" w:hAnsi="Arial Narrow" w:cstheme="minorHAnsi"/>
                <w:b/>
                <w:sz w:val="20"/>
                <w:szCs w:val="20"/>
              </w:rPr>
              <w:t>MATISSE</w:t>
            </w:r>
          </w:p>
          <w:p w14:paraId="3FFF79B0" w14:textId="77777777" w:rsidR="00F1459A" w:rsidRPr="0035358E" w:rsidRDefault="00F1459A" w:rsidP="00A12388">
            <w:pPr>
              <w:pStyle w:val="TableText0"/>
              <w:rPr>
                <w:szCs w:val="20"/>
              </w:rPr>
            </w:pPr>
            <w:r w:rsidRPr="0035358E">
              <w:rPr>
                <w:rFonts w:eastAsia="TimesNewRoman" w:cstheme="minorHAnsi"/>
                <w:szCs w:val="20"/>
              </w:rPr>
              <w:t>NCT04424316</w:t>
            </w:r>
          </w:p>
        </w:tc>
        <w:tc>
          <w:tcPr>
            <w:tcW w:w="2803" w:type="pct"/>
            <w:tcBorders>
              <w:bottom w:val="nil"/>
            </w:tcBorders>
          </w:tcPr>
          <w:p w14:paraId="4884A296" w14:textId="77777777" w:rsidR="00F1459A" w:rsidRPr="0035358E" w:rsidRDefault="00F1459A" w:rsidP="00C14F73">
            <w:pPr>
              <w:keepNext/>
              <w:autoSpaceDE w:val="0"/>
              <w:autoSpaceDN w:val="0"/>
              <w:adjustRightInd w:val="0"/>
              <w:spacing w:before="40" w:after="40"/>
              <w:ind w:right="91"/>
              <w:rPr>
                <w:rFonts w:ascii="Arial Narrow" w:eastAsia="TimesNewRoman" w:hAnsi="Arial Narrow" w:cstheme="minorHAnsi"/>
                <w:sz w:val="20"/>
                <w:szCs w:val="20"/>
              </w:rPr>
            </w:pPr>
            <w:r w:rsidRPr="0035358E">
              <w:rPr>
                <w:rFonts w:ascii="Arial Narrow" w:eastAsia="TimesNewRoman" w:hAnsi="Arial Narrow" w:cstheme="minorHAnsi"/>
                <w:sz w:val="20"/>
                <w:szCs w:val="20"/>
              </w:rPr>
              <w:t>Protocol and Primary Analysis Report (C3671008): A Phase 3, randomized, double- or observer-blinded, placebo-controlled trial to evaluate the efficacy and safety of a respiratory syncytial virus (RSV) prefusion F subunit vaccine in infants born to women vaccinated during pregnancy.</w:t>
            </w:r>
          </w:p>
          <w:p w14:paraId="45ADF02E" w14:textId="6EADCC9A" w:rsidR="00C14F73" w:rsidRPr="0035358E" w:rsidRDefault="00C14F73" w:rsidP="00C14F73">
            <w:pPr>
              <w:keepNext/>
              <w:autoSpaceDE w:val="0"/>
              <w:autoSpaceDN w:val="0"/>
              <w:adjustRightInd w:val="0"/>
              <w:spacing w:before="40" w:after="40"/>
              <w:ind w:right="91"/>
              <w:rPr>
                <w:rFonts w:ascii="Arial Narrow" w:eastAsia="TimesNewRoman" w:hAnsi="Arial Narrow" w:cstheme="minorHAnsi"/>
                <w:sz w:val="20"/>
                <w:szCs w:val="20"/>
              </w:rPr>
            </w:pPr>
          </w:p>
        </w:tc>
        <w:tc>
          <w:tcPr>
            <w:tcW w:w="1402" w:type="pct"/>
            <w:tcBorders>
              <w:bottom w:val="nil"/>
            </w:tcBorders>
            <w:vAlign w:val="center"/>
          </w:tcPr>
          <w:p w14:paraId="58522DC0" w14:textId="1C8F1ACC" w:rsidR="00F1459A" w:rsidRPr="0035358E" w:rsidRDefault="00F1459A" w:rsidP="00A12388">
            <w:pPr>
              <w:pStyle w:val="TableText0"/>
            </w:pPr>
            <w:r w:rsidRPr="0035358E">
              <w:t>June 2020</w:t>
            </w:r>
          </w:p>
        </w:tc>
      </w:tr>
      <w:tr w:rsidR="00F1459A" w:rsidRPr="0035358E" w14:paraId="636FC2E7" w14:textId="77777777" w:rsidTr="001275F8">
        <w:trPr>
          <w:cantSplit/>
        </w:trPr>
        <w:tc>
          <w:tcPr>
            <w:tcW w:w="795" w:type="pct"/>
            <w:vMerge/>
            <w:vAlign w:val="center"/>
          </w:tcPr>
          <w:p w14:paraId="404F4B5C" w14:textId="77777777" w:rsidR="00F1459A" w:rsidRPr="0035358E" w:rsidRDefault="00F1459A" w:rsidP="00A12388">
            <w:pPr>
              <w:pStyle w:val="TableText0"/>
              <w:jc w:val="center"/>
            </w:pPr>
          </w:p>
        </w:tc>
        <w:tc>
          <w:tcPr>
            <w:tcW w:w="2803" w:type="pct"/>
            <w:tcBorders>
              <w:top w:val="nil"/>
              <w:bottom w:val="nil"/>
            </w:tcBorders>
            <w:vAlign w:val="center"/>
          </w:tcPr>
          <w:p w14:paraId="3D0AE615" w14:textId="47CAF098" w:rsidR="00F1459A" w:rsidRPr="0035358E" w:rsidRDefault="00C14F73" w:rsidP="00A12388">
            <w:pPr>
              <w:pStyle w:val="TableText0"/>
              <w:ind w:right="91"/>
            </w:pPr>
            <w:r w:rsidRPr="0035358E">
              <w:rPr>
                <w:szCs w:val="20"/>
              </w:rPr>
              <w:t>Kampmann, B., Madhi, S.A., Munjal, I., et al. Bivalent Prefusion F Vaccine in Pregnancy to Prevent RSV Illness in Infants.</w:t>
            </w:r>
          </w:p>
        </w:tc>
        <w:tc>
          <w:tcPr>
            <w:tcW w:w="1402" w:type="pct"/>
            <w:tcBorders>
              <w:top w:val="nil"/>
              <w:bottom w:val="nil"/>
            </w:tcBorders>
            <w:vAlign w:val="center"/>
          </w:tcPr>
          <w:p w14:paraId="66298F6A" w14:textId="3809E548" w:rsidR="00F1459A" w:rsidRPr="0035358E" w:rsidRDefault="00C14F73" w:rsidP="00A12388">
            <w:pPr>
              <w:pStyle w:val="TableText0"/>
            </w:pPr>
            <w:r w:rsidRPr="0035358E">
              <w:t xml:space="preserve">N Engl J Med </w:t>
            </w:r>
            <w:r w:rsidRPr="0035358E">
              <w:rPr>
                <w:iCs/>
              </w:rPr>
              <w:t>2023</w:t>
            </w:r>
            <w:r w:rsidRPr="0035358E">
              <w:t>; 388(16): 1451-64</w:t>
            </w:r>
          </w:p>
        </w:tc>
      </w:tr>
      <w:tr w:rsidR="00F1459A" w:rsidRPr="0035358E" w14:paraId="74210AD1" w14:textId="77777777" w:rsidTr="001275F8">
        <w:trPr>
          <w:cantSplit/>
        </w:trPr>
        <w:tc>
          <w:tcPr>
            <w:tcW w:w="795" w:type="pct"/>
            <w:vMerge w:val="restart"/>
            <w:vAlign w:val="center"/>
          </w:tcPr>
          <w:p w14:paraId="21986054" w14:textId="77777777" w:rsidR="00F1459A" w:rsidRPr="0035358E" w:rsidRDefault="00F1459A" w:rsidP="00A12388">
            <w:pPr>
              <w:keepNext/>
              <w:spacing w:before="40" w:after="40"/>
              <w:rPr>
                <w:rFonts w:ascii="Arial Narrow" w:eastAsia="TimesNewRoman" w:hAnsi="Arial Narrow" w:cstheme="minorHAnsi"/>
                <w:b/>
                <w:sz w:val="20"/>
                <w:szCs w:val="20"/>
              </w:rPr>
            </w:pPr>
            <w:r w:rsidRPr="0035358E">
              <w:rPr>
                <w:rFonts w:ascii="Arial Narrow" w:eastAsia="TimesNewRoman" w:hAnsi="Arial Narrow" w:cstheme="minorHAnsi"/>
                <w:b/>
                <w:sz w:val="20"/>
                <w:szCs w:val="20"/>
              </w:rPr>
              <w:t>SAVVY</w:t>
            </w:r>
          </w:p>
          <w:p w14:paraId="6DB43381" w14:textId="77777777" w:rsidR="00F1459A" w:rsidRPr="0035358E" w:rsidRDefault="00F1459A" w:rsidP="00A12388">
            <w:pPr>
              <w:pStyle w:val="TableText0"/>
              <w:rPr>
                <w:rFonts w:ascii="Times" w:hAnsi="Times"/>
              </w:rPr>
            </w:pPr>
            <w:r w:rsidRPr="0035358E">
              <w:rPr>
                <w:rFonts w:eastAsia="TimesNewRoman" w:cstheme="minorHAnsi"/>
                <w:szCs w:val="20"/>
              </w:rPr>
              <w:t>NCT04032093</w:t>
            </w:r>
          </w:p>
        </w:tc>
        <w:tc>
          <w:tcPr>
            <w:tcW w:w="2803" w:type="pct"/>
            <w:tcBorders>
              <w:bottom w:val="nil"/>
            </w:tcBorders>
            <w:vAlign w:val="center"/>
          </w:tcPr>
          <w:p w14:paraId="3528D686" w14:textId="77777777" w:rsidR="00F1459A" w:rsidRPr="0035358E" w:rsidRDefault="00F1459A" w:rsidP="00A12388">
            <w:pPr>
              <w:keepNext/>
              <w:autoSpaceDE w:val="0"/>
              <w:autoSpaceDN w:val="0"/>
              <w:adjustRightInd w:val="0"/>
              <w:spacing w:before="40" w:after="40"/>
              <w:ind w:right="91"/>
              <w:rPr>
                <w:rFonts w:ascii="Arial Narrow" w:eastAsia="TimesNewRoman" w:hAnsi="Arial Narrow" w:cstheme="minorHAnsi"/>
                <w:sz w:val="20"/>
                <w:szCs w:val="20"/>
              </w:rPr>
            </w:pPr>
            <w:r w:rsidRPr="0035358E">
              <w:rPr>
                <w:rFonts w:ascii="Arial Narrow" w:eastAsia="TimesNewRoman" w:hAnsi="Arial Narrow" w:cstheme="minorHAnsi"/>
                <w:sz w:val="20"/>
                <w:szCs w:val="20"/>
              </w:rPr>
              <w:t>Protocol and Primary Analysis Report (C3671003): A Phase 2b placebo-controlled, randomized study of an RSV vaccine in pregnant women</w:t>
            </w:r>
          </w:p>
          <w:p w14:paraId="7ABA937D" w14:textId="77777777" w:rsidR="00F1459A" w:rsidRPr="0035358E" w:rsidRDefault="00F1459A" w:rsidP="00A12388">
            <w:pPr>
              <w:pStyle w:val="TableText0"/>
              <w:ind w:right="91"/>
              <w:rPr>
                <w:rFonts w:ascii="Times" w:hAnsi="Times"/>
              </w:rPr>
            </w:pPr>
          </w:p>
        </w:tc>
        <w:tc>
          <w:tcPr>
            <w:tcW w:w="1402" w:type="pct"/>
            <w:tcBorders>
              <w:bottom w:val="nil"/>
            </w:tcBorders>
            <w:vAlign w:val="center"/>
          </w:tcPr>
          <w:p w14:paraId="62B9272E" w14:textId="77777777" w:rsidR="00F1459A" w:rsidRPr="0035358E" w:rsidRDefault="00F1459A" w:rsidP="00A12388">
            <w:pPr>
              <w:pStyle w:val="TableText0"/>
            </w:pPr>
            <w:r w:rsidRPr="0035358E">
              <w:t>July 2019</w:t>
            </w:r>
          </w:p>
        </w:tc>
      </w:tr>
      <w:tr w:rsidR="00F1459A" w:rsidRPr="0035358E" w14:paraId="2E226368" w14:textId="77777777" w:rsidTr="001275F8">
        <w:trPr>
          <w:cantSplit/>
        </w:trPr>
        <w:tc>
          <w:tcPr>
            <w:tcW w:w="795" w:type="pct"/>
            <w:vMerge/>
            <w:vAlign w:val="center"/>
          </w:tcPr>
          <w:p w14:paraId="32A8DE7A" w14:textId="77777777" w:rsidR="00F1459A" w:rsidRPr="0035358E" w:rsidRDefault="00F1459A" w:rsidP="00A12388">
            <w:pPr>
              <w:pStyle w:val="TableText0"/>
              <w:jc w:val="center"/>
            </w:pPr>
          </w:p>
        </w:tc>
        <w:tc>
          <w:tcPr>
            <w:tcW w:w="2803" w:type="pct"/>
            <w:tcBorders>
              <w:top w:val="nil"/>
              <w:bottom w:val="nil"/>
            </w:tcBorders>
            <w:vAlign w:val="center"/>
          </w:tcPr>
          <w:p w14:paraId="136BAD30" w14:textId="77777777" w:rsidR="00F1459A" w:rsidRPr="0035358E" w:rsidRDefault="00F1459A" w:rsidP="00A12388">
            <w:pPr>
              <w:pStyle w:val="TableText0"/>
              <w:spacing w:before="40" w:after="40"/>
              <w:ind w:right="91"/>
              <w:rPr>
                <w:rFonts w:eastAsia="TimesNewRoman" w:cstheme="minorHAnsi"/>
                <w:szCs w:val="20"/>
              </w:rPr>
            </w:pPr>
            <w:r w:rsidRPr="0035358E">
              <w:rPr>
                <w:rFonts w:eastAsia="TimesNewRoman" w:cstheme="minorHAnsi"/>
                <w:szCs w:val="20"/>
              </w:rPr>
              <w:t>Simoes, E.A.F., Center, K.J., Tita, A.T.N. et al. Prefusion F Protein-Based Respiratory Syncytial Virus Immunization in Pregnancy.</w:t>
            </w:r>
          </w:p>
          <w:p w14:paraId="24DFCD20" w14:textId="77777777" w:rsidR="00F1459A" w:rsidRPr="0035358E" w:rsidRDefault="00F1459A" w:rsidP="00A12388">
            <w:pPr>
              <w:pStyle w:val="TableText0"/>
              <w:ind w:right="91"/>
            </w:pPr>
          </w:p>
        </w:tc>
        <w:tc>
          <w:tcPr>
            <w:tcW w:w="1402" w:type="pct"/>
            <w:tcBorders>
              <w:top w:val="nil"/>
              <w:bottom w:val="nil"/>
            </w:tcBorders>
            <w:vAlign w:val="center"/>
          </w:tcPr>
          <w:p w14:paraId="38CD116D" w14:textId="77777777" w:rsidR="00F1459A" w:rsidRPr="0035358E" w:rsidRDefault="00F1459A" w:rsidP="00A12388">
            <w:pPr>
              <w:pStyle w:val="TableText0"/>
              <w:rPr>
                <w:i/>
              </w:rPr>
            </w:pPr>
            <w:r w:rsidRPr="0035358E">
              <w:t xml:space="preserve">N Engl J Med 2022; 386: 1615-26 </w:t>
            </w:r>
          </w:p>
        </w:tc>
      </w:tr>
      <w:tr w:rsidR="00F1459A" w:rsidRPr="0035358E" w14:paraId="4C06D331" w14:textId="77777777" w:rsidTr="001275F8">
        <w:trPr>
          <w:cantSplit/>
        </w:trPr>
        <w:tc>
          <w:tcPr>
            <w:tcW w:w="795" w:type="pct"/>
            <w:vMerge/>
            <w:tcBorders>
              <w:bottom w:val="nil"/>
            </w:tcBorders>
            <w:vAlign w:val="center"/>
          </w:tcPr>
          <w:p w14:paraId="784C5A54" w14:textId="77777777" w:rsidR="00F1459A" w:rsidRPr="0035358E" w:rsidRDefault="00F1459A" w:rsidP="00A12388">
            <w:pPr>
              <w:pStyle w:val="TableText0"/>
              <w:jc w:val="center"/>
            </w:pPr>
          </w:p>
        </w:tc>
        <w:tc>
          <w:tcPr>
            <w:tcW w:w="2803" w:type="pct"/>
            <w:tcBorders>
              <w:top w:val="nil"/>
              <w:bottom w:val="nil"/>
            </w:tcBorders>
            <w:vAlign w:val="center"/>
          </w:tcPr>
          <w:p w14:paraId="243248A5" w14:textId="77777777" w:rsidR="00F1459A" w:rsidRPr="0035358E" w:rsidRDefault="00F1459A" w:rsidP="00A12388">
            <w:pPr>
              <w:pStyle w:val="TableText0"/>
              <w:ind w:right="91"/>
              <w:rPr>
                <w:szCs w:val="20"/>
              </w:rPr>
            </w:pPr>
            <w:r w:rsidRPr="0035358E">
              <w:rPr>
                <w:rFonts w:eastAsia="TimesNewRoman" w:cstheme="minorHAnsi"/>
                <w:szCs w:val="20"/>
              </w:rPr>
              <w:t>Simoes, E.A.F., Madhi, S.A., Center, K.J. et al. Establishing Proof of Concept for a Bivalent RSVpreF Subunit Vaccine for Maternal Immunization.</w:t>
            </w:r>
          </w:p>
        </w:tc>
        <w:tc>
          <w:tcPr>
            <w:tcW w:w="1402" w:type="pct"/>
            <w:tcBorders>
              <w:top w:val="nil"/>
              <w:bottom w:val="nil"/>
            </w:tcBorders>
            <w:vAlign w:val="center"/>
          </w:tcPr>
          <w:p w14:paraId="3819ACCC" w14:textId="77777777" w:rsidR="00F1459A" w:rsidRPr="0035358E" w:rsidRDefault="00F1459A" w:rsidP="00A12388">
            <w:pPr>
              <w:pStyle w:val="TableText0"/>
              <w:rPr>
                <w:rFonts w:ascii="Times" w:hAnsi="Times"/>
              </w:rPr>
            </w:pPr>
            <w:r w:rsidRPr="0035358E">
              <w:t>OFID Conference Abstract 2022; 9(Suppl 2): S13</w:t>
            </w:r>
          </w:p>
        </w:tc>
      </w:tr>
      <w:tr w:rsidR="00F1459A" w:rsidRPr="0035358E" w14:paraId="2CC03431" w14:textId="77777777" w:rsidTr="001275F8">
        <w:trPr>
          <w:cantSplit/>
        </w:trPr>
        <w:tc>
          <w:tcPr>
            <w:tcW w:w="795" w:type="pct"/>
            <w:vMerge w:val="restart"/>
            <w:vAlign w:val="center"/>
          </w:tcPr>
          <w:p w14:paraId="3CE0EAC6" w14:textId="77777777" w:rsidR="00F1459A" w:rsidRPr="0035358E" w:rsidRDefault="00F1459A" w:rsidP="00A12388">
            <w:pPr>
              <w:keepNext/>
              <w:spacing w:before="40" w:after="40"/>
              <w:rPr>
                <w:rFonts w:ascii="Arial Narrow" w:eastAsia="TimesNewRoman" w:hAnsi="Arial Narrow" w:cstheme="minorHAnsi"/>
                <w:b/>
                <w:sz w:val="20"/>
                <w:szCs w:val="20"/>
              </w:rPr>
            </w:pPr>
            <w:r w:rsidRPr="0035358E">
              <w:rPr>
                <w:rFonts w:ascii="Arial Narrow" w:eastAsia="TimesNewRoman" w:hAnsi="Arial Narrow" w:cstheme="minorHAnsi"/>
                <w:b/>
                <w:sz w:val="20"/>
                <w:szCs w:val="20"/>
              </w:rPr>
              <w:t>Study 1004</w:t>
            </w:r>
          </w:p>
          <w:p w14:paraId="1B9B7DF5" w14:textId="77777777" w:rsidR="00F1459A" w:rsidRPr="0035358E" w:rsidRDefault="00F1459A" w:rsidP="00A12388">
            <w:pPr>
              <w:pStyle w:val="TableText0"/>
            </w:pPr>
            <w:r w:rsidRPr="0035358E">
              <w:rPr>
                <w:rFonts w:eastAsia="TimesNewRoman" w:cstheme="minorHAnsi"/>
                <w:szCs w:val="20"/>
              </w:rPr>
              <w:t>NCT04071158</w:t>
            </w:r>
          </w:p>
        </w:tc>
        <w:tc>
          <w:tcPr>
            <w:tcW w:w="2803" w:type="pct"/>
            <w:tcBorders>
              <w:bottom w:val="nil"/>
            </w:tcBorders>
            <w:vAlign w:val="center"/>
          </w:tcPr>
          <w:p w14:paraId="373BD32E" w14:textId="77777777" w:rsidR="00F1459A" w:rsidRPr="0035358E" w:rsidRDefault="00F1459A" w:rsidP="00A12388">
            <w:pPr>
              <w:keepNext/>
              <w:autoSpaceDE w:val="0"/>
              <w:autoSpaceDN w:val="0"/>
              <w:adjustRightInd w:val="0"/>
              <w:spacing w:before="40" w:after="40"/>
              <w:ind w:right="91"/>
              <w:rPr>
                <w:rFonts w:ascii="Arial Narrow" w:eastAsia="TimesNewRoman" w:hAnsi="Arial Narrow" w:cstheme="minorHAnsi"/>
                <w:sz w:val="19"/>
                <w:szCs w:val="19"/>
              </w:rPr>
            </w:pPr>
            <w:r w:rsidRPr="0035358E">
              <w:rPr>
                <w:rFonts w:ascii="Arial Narrow" w:eastAsia="TimesNewRoman" w:hAnsi="Arial Narrow" w:cstheme="minorHAnsi"/>
                <w:sz w:val="19"/>
                <w:szCs w:val="19"/>
              </w:rPr>
              <w:t>Protocol and Primary Analysis Report (C3671004): A study of an RSV vaccine when given together with Tdap in healthy nonpregnant women aged between 18 to 49 years</w:t>
            </w:r>
          </w:p>
          <w:p w14:paraId="0D2167E0" w14:textId="77777777" w:rsidR="00F1459A" w:rsidRPr="0035358E" w:rsidRDefault="00F1459A" w:rsidP="00A12388">
            <w:pPr>
              <w:keepNext/>
              <w:autoSpaceDE w:val="0"/>
              <w:autoSpaceDN w:val="0"/>
              <w:adjustRightInd w:val="0"/>
              <w:spacing w:before="40" w:after="40"/>
              <w:ind w:right="91"/>
              <w:rPr>
                <w:rFonts w:ascii="Arial Narrow" w:eastAsia="TimesNewRoman" w:hAnsi="Arial Narrow" w:cstheme="minorHAnsi"/>
                <w:sz w:val="19"/>
                <w:szCs w:val="19"/>
              </w:rPr>
            </w:pPr>
          </w:p>
        </w:tc>
        <w:tc>
          <w:tcPr>
            <w:tcW w:w="1402" w:type="pct"/>
            <w:tcBorders>
              <w:bottom w:val="nil"/>
            </w:tcBorders>
            <w:vAlign w:val="center"/>
          </w:tcPr>
          <w:p w14:paraId="559ABFE2" w14:textId="77777777" w:rsidR="00F1459A" w:rsidRPr="0035358E" w:rsidRDefault="00F1459A" w:rsidP="00A12388">
            <w:pPr>
              <w:pStyle w:val="TableText0"/>
              <w:rPr>
                <w:rFonts w:ascii="Times" w:hAnsi="Times"/>
              </w:rPr>
            </w:pPr>
            <w:r w:rsidRPr="0035358E">
              <w:t>September 2019</w:t>
            </w:r>
          </w:p>
        </w:tc>
      </w:tr>
      <w:tr w:rsidR="00F1459A" w:rsidRPr="0035358E" w14:paraId="1C5CC7CE" w14:textId="77777777" w:rsidTr="001275F8">
        <w:trPr>
          <w:cantSplit/>
          <w:trHeight w:val="667"/>
        </w:trPr>
        <w:tc>
          <w:tcPr>
            <w:tcW w:w="795" w:type="pct"/>
            <w:vMerge/>
            <w:tcBorders>
              <w:bottom w:val="single" w:sz="4" w:space="0" w:color="auto"/>
            </w:tcBorders>
            <w:vAlign w:val="center"/>
          </w:tcPr>
          <w:p w14:paraId="649F15A3" w14:textId="77777777" w:rsidR="00F1459A" w:rsidRPr="0035358E" w:rsidRDefault="00F1459A" w:rsidP="00A12388">
            <w:pPr>
              <w:pStyle w:val="Tabletext"/>
              <w:keepNext/>
              <w:keepLines/>
            </w:pPr>
          </w:p>
        </w:tc>
        <w:tc>
          <w:tcPr>
            <w:tcW w:w="2803" w:type="pct"/>
            <w:tcBorders>
              <w:top w:val="nil"/>
              <w:bottom w:val="single" w:sz="4" w:space="0" w:color="auto"/>
            </w:tcBorders>
            <w:vAlign w:val="center"/>
          </w:tcPr>
          <w:p w14:paraId="460E0640" w14:textId="77777777" w:rsidR="00F1459A" w:rsidRPr="0035358E" w:rsidRDefault="00F1459A" w:rsidP="00A12388">
            <w:pPr>
              <w:pStyle w:val="TableText0"/>
              <w:ind w:right="91"/>
              <w:rPr>
                <w:szCs w:val="20"/>
              </w:rPr>
            </w:pPr>
            <w:r w:rsidRPr="0035358E">
              <w:rPr>
                <w:rFonts w:eastAsia="TimesNewRoman" w:cstheme="minorHAnsi"/>
                <w:szCs w:val="20"/>
              </w:rPr>
              <w:t>Peterson, J.T., Zareba, A.M., Fitz-Patrick, D. et al. Safety and Immunogenicity of a Respiratory Syncytial Virus Prefusion F Vaccine When Coadministered With a Tetanus, Diphtheria, and Acellular Pertussis Vaccine.</w:t>
            </w:r>
          </w:p>
        </w:tc>
        <w:tc>
          <w:tcPr>
            <w:tcW w:w="1402" w:type="pct"/>
            <w:tcBorders>
              <w:top w:val="nil"/>
              <w:bottom w:val="single" w:sz="4" w:space="0" w:color="auto"/>
            </w:tcBorders>
            <w:vAlign w:val="center"/>
          </w:tcPr>
          <w:p w14:paraId="23129EA4" w14:textId="77777777" w:rsidR="00F1459A" w:rsidRPr="0035358E" w:rsidRDefault="00F1459A" w:rsidP="00A12388">
            <w:pPr>
              <w:pStyle w:val="TableText0"/>
            </w:pPr>
            <w:r w:rsidRPr="0035358E">
              <w:t xml:space="preserve">JID 2022; 225: 2077-86 </w:t>
            </w:r>
          </w:p>
        </w:tc>
      </w:tr>
    </w:tbl>
    <w:p w14:paraId="2E69F597" w14:textId="77777777" w:rsidR="00F1459A" w:rsidRPr="0035358E" w:rsidRDefault="00F1459A" w:rsidP="00F1459A">
      <w:pPr>
        <w:pStyle w:val="FooterTableFigure"/>
        <w:rPr>
          <w:sz w:val="20"/>
        </w:rPr>
      </w:pPr>
      <w:r w:rsidRPr="0035358E">
        <w:t>Source: Table 2.2.1, p40 of the submission.</w:t>
      </w:r>
    </w:p>
    <w:p w14:paraId="31FF6DD5" w14:textId="523CD9D2" w:rsidR="00F1459A" w:rsidRPr="0035358E" w:rsidRDefault="00F1459A" w:rsidP="00DD4B2C">
      <w:pPr>
        <w:pStyle w:val="3-BodyText"/>
        <w:rPr>
          <w:color w:val="0066FF"/>
        </w:rPr>
      </w:pPr>
      <w:r w:rsidRPr="0035358E">
        <w:t xml:space="preserve">The key features of the included evidence are summarised in </w:t>
      </w:r>
      <w:r w:rsidRPr="0035358E">
        <w:fldChar w:fldCharType="begin"/>
      </w:r>
      <w:r w:rsidRPr="0035358E">
        <w:instrText xml:space="preserve"> REF _Ref104804098 \h  \* MERGEFORMAT </w:instrText>
      </w:r>
      <w:r w:rsidRPr="0035358E">
        <w:fldChar w:fldCharType="separate"/>
      </w:r>
      <w:r w:rsidR="00A46CAC" w:rsidRPr="00A46CAC">
        <w:t>Table 3</w:t>
      </w:r>
      <w:r w:rsidRPr="0035358E">
        <w:fldChar w:fldCharType="end"/>
      </w:r>
      <w:r w:rsidRPr="0035358E">
        <w:t>.</w:t>
      </w:r>
    </w:p>
    <w:p w14:paraId="2F256543" w14:textId="48E7C8B6" w:rsidR="00F1459A" w:rsidRPr="0035358E" w:rsidRDefault="00F1459A" w:rsidP="00CB5ECD">
      <w:pPr>
        <w:pStyle w:val="Caption"/>
        <w:rPr>
          <w:rStyle w:val="CommentReference"/>
          <w:rFonts w:eastAsiaTheme="majorEastAsia" w:cstheme="majorBidi"/>
          <w:b/>
          <w:szCs w:val="24"/>
        </w:rPr>
      </w:pPr>
      <w:bookmarkStart w:id="32" w:name="_Ref104804098"/>
      <w:r w:rsidRPr="0035358E">
        <w:rPr>
          <w:rStyle w:val="CommentReference"/>
          <w:rFonts w:eastAsiaTheme="majorEastAsia" w:cstheme="majorBidi"/>
          <w:b/>
          <w:szCs w:val="24"/>
        </w:rPr>
        <w:t xml:space="preserve">Table </w:t>
      </w:r>
      <w:r w:rsidRPr="0035358E">
        <w:rPr>
          <w:rStyle w:val="CommentReference"/>
          <w:rFonts w:eastAsiaTheme="majorEastAsia" w:cstheme="majorBidi"/>
          <w:b/>
          <w:szCs w:val="24"/>
        </w:rPr>
        <w:fldChar w:fldCharType="begin"/>
      </w:r>
      <w:r w:rsidRPr="0035358E">
        <w:rPr>
          <w:rStyle w:val="CommentReference"/>
          <w:rFonts w:eastAsiaTheme="majorEastAsia" w:cstheme="majorBidi"/>
          <w:b/>
          <w:szCs w:val="24"/>
        </w:rPr>
        <w:instrText xml:space="preserve"> SEQ Table \* ARABIC </w:instrText>
      </w:r>
      <w:r w:rsidRPr="0035358E">
        <w:rPr>
          <w:rStyle w:val="CommentReference"/>
          <w:rFonts w:eastAsiaTheme="majorEastAsia" w:cstheme="majorBidi"/>
          <w:b/>
          <w:szCs w:val="24"/>
        </w:rPr>
        <w:fldChar w:fldCharType="separate"/>
      </w:r>
      <w:r w:rsidR="00A46CAC">
        <w:rPr>
          <w:rStyle w:val="CommentReference"/>
          <w:rFonts w:eastAsiaTheme="majorEastAsia" w:cstheme="majorBidi"/>
          <w:b/>
          <w:noProof/>
          <w:szCs w:val="24"/>
        </w:rPr>
        <w:t>3</w:t>
      </w:r>
      <w:r w:rsidRPr="0035358E">
        <w:rPr>
          <w:rStyle w:val="CommentReference"/>
          <w:rFonts w:eastAsiaTheme="majorEastAsia" w:cstheme="majorBidi"/>
          <w:b/>
          <w:szCs w:val="24"/>
        </w:rPr>
        <w:fldChar w:fldCharType="end"/>
      </w:r>
      <w:bookmarkEnd w:id="32"/>
      <w:r w:rsidRPr="0035358E">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F1459A" w:rsidRPr="0035358E" w14:paraId="1AEAF6D8" w14:textId="77777777" w:rsidTr="001275F8">
        <w:trPr>
          <w:cantSplit/>
          <w:tblHeader/>
        </w:trPr>
        <w:tc>
          <w:tcPr>
            <w:tcW w:w="713" w:type="pct"/>
            <w:shd w:val="clear" w:color="auto" w:fill="auto"/>
            <w:vAlign w:val="center"/>
          </w:tcPr>
          <w:p w14:paraId="48AA8FDC" w14:textId="77777777" w:rsidR="00F1459A" w:rsidRPr="0035358E" w:rsidRDefault="00F1459A" w:rsidP="00CB5ECD">
            <w:pPr>
              <w:pStyle w:val="In-tableHeading"/>
              <w:rPr>
                <w:lang w:val="en-AU"/>
              </w:rPr>
            </w:pPr>
            <w:r w:rsidRPr="0035358E">
              <w:rPr>
                <w:lang w:val="en-AU"/>
              </w:rPr>
              <w:t>Trial</w:t>
            </w:r>
          </w:p>
        </w:tc>
        <w:tc>
          <w:tcPr>
            <w:tcW w:w="466" w:type="pct"/>
            <w:shd w:val="clear" w:color="auto" w:fill="auto"/>
            <w:vAlign w:val="center"/>
          </w:tcPr>
          <w:p w14:paraId="525DC090" w14:textId="4603DAA5" w:rsidR="00F1459A" w:rsidRPr="0035358E" w:rsidRDefault="00F1459A" w:rsidP="00CB5ECD">
            <w:pPr>
              <w:pStyle w:val="In-tableHeading"/>
              <w:jc w:val="center"/>
              <w:rPr>
                <w:vertAlign w:val="superscript"/>
                <w:lang w:val="en-AU"/>
              </w:rPr>
            </w:pPr>
            <w:r w:rsidRPr="0035358E">
              <w:rPr>
                <w:lang w:val="en-AU"/>
              </w:rPr>
              <w:t>N</w:t>
            </w:r>
          </w:p>
        </w:tc>
        <w:tc>
          <w:tcPr>
            <w:tcW w:w="782" w:type="pct"/>
            <w:shd w:val="clear" w:color="auto" w:fill="auto"/>
            <w:vAlign w:val="center"/>
          </w:tcPr>
          <w:p w14:paraId="71B145C0" w14:textId="77777777" w:rsidR="00F1459A" w:rsidRPr="0035358E" w:rsidRDefault="00F1459A" w:rsidP="00CB5ECD">
            <w:pPr>
              <w:pStyle w:val="In-tableHeading"/>
              <w:jc w:val="center"/>
              <w:rPr>
                <w:lang w:val="en-AU"/>
              </w:rPr>
            </w:pPr>
            <w:r w:rsidRPr="0035358E">
              <w:rPr>
                <w:lang w:val="en-AU"/>
              </w:rPr>
              <w:t>Design/ duration</w:t>
            </w:r>
          </w:p>
        </w:tc>
        <w:tc>
          <w:tcPr>
            <w:tcW w:w="621" w:type="pct"/>
            <w:shd w:val="clear" w:color="auto" w:fill="auto"/>
            <w:vAlign w:val="center"/>
          </w:tcPr>
          <w:p w14:paraId="38CDD71A" w14:textId="77777777" w:rsidR="00F1459A" w:rsidRPr="0035358E" w:rsidRDefault="00F1459A" w:rsidP="00CB5ECD">
            <w:pPr>
              <w:pStyle w:val="In-tableHeading"/>
              <w:jc w:val="center"/>
              <w:rPr>
                <w:lang w:val="en-AU"/>
              </w:rPr>
            </w:pPr>
            <w:r w:rsidRPr="0035358E">
              <w:rPr>
                <w:lang w:val="en-AU"/>
              </w:rPr>
              <w:t>Risk of bias</w:t>
            </w:r>
          </w:p>
        </w:tc>
        <w:tc>
          <w:tcPr>
            <w:tcW w:w="857" w:type="pct"/>
            <w:shd w:val="clear" w:color="auto" w:fill="auto"/>
            <w:vAlign w:val="center"/>
          </w:tcPr>
          <w:p w14:paraId="4BC1E021" w14:textId="77777777" w:rsidR="00F1459A" w:rsidRPr="0035358E" w:rsidRDefault="00F1459A" w:rsidP="00CB5ECD">
            <w:pPr>
              <w:pStyle w:val="In-tableHeading"/>
              <w:jc w:val="center"/>
              <w:rPr>
                <w:lang w:val="en-AU"/>
              </w:rPr>
            </w:pPr>
            <w:r w:rsidRPr="0035358E">
              <w:rPr>
                <w:lang w:val="en-AU"/>
              </w:rPr>
              <w:t>Patient population</w:t>
            </w:r>
          </w:p>
        </w:tc>
        <w:tc>
          <w:tcPr>
            <w:tcW w:w="622" w:type="pct"/>
            <w:shd w:val="clear" w:color="auto" w:fill="auto"/>
            <w:vAlign w:val="center"/>
          </w:tcPr>
          <w:p w14:paraId="67C02A1A" w14:textId="77777777" w:rsidR="00F1459A" w:rsidRPr="0035358E" w:rsidRDefault="00F1459A" w:rsidP="00CB5ECD">
            <w:pPr>
              <w:pStyle w:val="In-tableHeading"/>
              <w:jc w:val="center"/>
              <w:rPr>
                <w:lang w:val="en-AU"/>
              </w:rPr>
            </w:pPr>
            <w:r w:rsidRPr="0035358E">
              <w:rPr>
                <w:lang w:val="en-AU"/>
              </w:rPr>
              <w:t>Outcome(s)</w:t>
            </w:r>
          </w:p>
        </w:tc>
        <w:tc>
          <w:tcPr>
            <w:tcW w:w="939" w:type="pct"/>
            <w:shd w:val="clear" w:color="auto" w:fill="auto"/>
            <w:vAlign w:val="center"/>
          </w:tcPr>
          <w:p w14:paraId="521C18A9" w14:textId="77777777" w:rsidR="00F1459A" w:rsidRPr="0035358E" w:rsidRDefault="00F1459A" w:rsidP="00CB5ECD">
            <w:pPr>
              <w:pStyle w:val="In-tableHeading"/>
              <w:jc w:val="center"/>
              <w:rPr>
                <w:lang w:val="en-AU"/>
              </w:rPr>
            </w:pPr>
            <w:r w:rsidRPr="0035358E">
              <w:rPr>
                <w:lang w:val="en-AU"/>
              </w:rPr>
              <w:t>Use in modelled evaluation</w:t>
            </w:r>
          </w:p>
        </w:tc>
      </w:tr>
      <w:tr w:rsidR="00F1459A" w:rsidRPr="0035358E" w14:paraId="2F3A0E95" w14:textId="77777777" w:rsidTr="001275F8">
        <w:trPr>
          <w:cantSplit/>
        </w:trPr>
        <w:tc>
          <w:tcPr>
            <w:tcW w:w="713" w:type="pct"/>
            <w:shd w:val="clear" w:color="auto" w:fill="auto"/>
            <w:vAlign w:val="center"/>
          </w:tcPr>
          <w:p w14:paraId="430C8214" w14:textId="77777777" w:rsidR="00F1459A" w:rsidRPr="0035358E" w:rsidRDefault="00F1459A" w:rsidP="00CB5ECD">
            <w:pPr>
              <w:pStyle w:val="TableText0"/>
            </w:pPr>
            <w:r w:rsidRPr="0035358E">
              <w:t>MATISSE</w:t>
            </w:r>
          </w:p>
        </w:tc>
        <w:tc>
          <w:tcPr>
            <w:tcW w:w="466" w:type="pct"/>
            <w:shd w:val="clear" w:color="auto" w:fill="auto"/>
            <w:vAlign w:val="center"/>
          </w:tcPr>
          <w:p w14:paraId="51E7094A" w14:textId="77777777" w:rsidR="00F1459A" w:rsidRPr="0035358E" w:rsidRDefault="00F1459A" w:rsidP="00CB5ECD">
            <w:pPr>
              <w:pStyle w:val="TableText0"/>
              <w:jc w:val="center"/>
            </w:pPr>
            <w:r w:rsidRPr="0035358E">
              <w:t>7,392 women</w:t>
            </w:r>
          </w:p>
          <w:p w14:paraId="275C356D" w14:textId="77777777" w:rsidR="00F1459A" w:rsidRPr="0035358E" w:rsidRDefault="00F1459A" w:rsidP="00CB5ECD">
            <w:pPr>
              <w:pStyle w:val="TableText0"/>
              <w:jc w:val="center"/>
            </w:pPr>
            <w:r w:rsidRPr="0035358E">
              <w:t>7,128 infants</w:t>
            </w:r>
          </w:p>
        </w:tc>
        <w:tc>
          <w:tcPr>
            <w:tcW w:w="782" w:type="pct"/>
            <w:shd w:val="clear" w:color="auto" w:fill="auto"/>
            <w:vAlign w:val="center"/>
          </w:tcPr>
          <w:p w14:paraId="177A4C66" w14:textId="77777777" w:rsidR="00F1459A" w:rsidRPr="0035358E" w:rsidRDefault="00F1459A" w:rsidP="00CB5ECD">
            <w:pPr>
              <w:pStyle w:val="TableText0"/>
              <w:jc w:val="center"/>
            </w:pPr>
            <w:r w:rsidRPr="0035358E">
              <w:t>R, DB, MC, PC</w:t>
            </w:r>
          </w:p>
          <w:p w14:paraId="49D1A891" w14:textId="77777777" w:rsidR="00F1459A" w:rsidRPr="0035358E" w:rsidRDefault="00F1459A" w:rsidP="00CB5ECD">
            <w:pPr>
              <w:pStyle w:val="TableText0"/>
              <w:jc w:val="center"/>
            </w:pPr>
            <w:r w:rsidRPr="0035358E">
              <w:t>24 mths</w:t>
            </w:r>
          </w:p>
        </w:tc>
        <w:tc>
          <w:tcPr>
            <w:tcW w:w="621" w:type="pct"/>
            <w:shd w:val="clear" w:color="auto" w:fill="auto"/>
            <w:vAlign w:val="center"/>
          </w:tcPr>
          <w:p w14:paraId="0B3C8F68" w14:textId="77777777" w:rsidR="00F1459A" w:rsidRPr="0035358E" w:rsidRDefault="00F1459A" w:rsidP="00CB5ECD">
            <w:pPr>
              <w:pStyle w:val="TableText0"/>
              <w:jc w:val="center"/>
            </w:pPr>
            <w:r w:rsidRPr="0035358E">
              <w:t>Low</w:t>
            </w:r>
          </w:p>
        </w:tc>
        <w:tc>
          <w:tcPr>
            <w:tcW w:w="857" w:type="pct"/>
            <w:shd w:val="clear" w:color="auto" w:fill="auto"/>
            <w:vAlign w:val="center"/>
          </w:tcPr>
          <w:p w14:paraId="2D563C42" w14:textId="77777777" w:rsidR="00F1459A" w:rsidRPr="0035358E" w:rsidRDefault="00F1459A" w:rsidP="00CB5ECD">
            <w:pPr>
              <w:pStyle w:val="TableText0"/>
              <w:jc w:val="center"/>
            </w:pPr>
            <w:r w:rsidRPr="0035358E">
              <w:t>Pregnant women between 24 – 36 weeks gestational age.</w:t>
            </w:r>
          </w:p>
        </w:tc>
        <w:tc>
          <w:tcPr>
            <w:tcW w:w="622" w:type="pct"/>
            <w:shd w:val="clear" w:color="auto" w:fill="auto"/>
            <w:vAlign w:val="center"/>
          </w:tcPr>
          <w:p w14:paraId="605281A6" w14:textId="77777777" w:rsidR="00F1459A" w:rsidRPr="0035358E" w:rsidRDefault="00F1459A" w:rsidP="00CB5ECD">
            <w:pPr>
              <w:pStyle w:val="TableText0"/>
              <w:jc w:val="center"/>
            </w:pPr>
            <w:r w:rsidRPr="0035358E">
              <w:t>MA-LRTI</w:t>
            </w:r>
          </w:p>
          <w:p w14:paraId="584496B1" w14:textId="77777777" w:rsidR="00F1459A" w:rsidRPr="0035358E" w:rsidRDefault="00F1459A" w:rsidP="00CB5ECD">
            <w:pPr>
              <w:pStyle w:val="TableText0"/>
              <w:jc w:val="center"/>
            </w:pPr>
            <w:r w:rsidRPr="0035358E">
              <w:t>Severe MA-LRTI</w:t>
            </w:r>
          </w:p>
        </w:tc>
        <w:tc>
          <w:tcPr>
            <w:tcW w:w="939" w:type="pct"/>
            <w:shd w:val="clear" w:color="auto" w:fill="auto"/>
            <w:vAlign w:val="center"/>
          </w:tcPr>
          <w:p w14:paraId="5A55F8E3" w14:textId="77777777" w:rsidR="00F1459A" w:rsidRPr="0035358E" w:rsidRDefault="00F1459A" w:rsidP="00CB5ECD">
            <w:pPr>
              <w:pStyle w:val="TableText0"/>
              <w:jc w:val="center"/>
            </w:pPr>
            <w:r w:rsidRPr="0035358E">
              <w:t>Used</w:t>
            </w:r>
          </w:p>
        </w:tc>
      </w:tr>
      <w:tr w:rsidR="00F1459A" w:rsidRPr="0035358E" w14:paraId="2795374C" w14:textId="77777777" w:rsidTr="001275F8">
        <w:trPr>
          <w:cantSplit/>
        </w:trPr>
        <w:tc>
          <w:tcPr>
            <w:tcW w:w="713" w:type="pct"/>
            <w:shd w:val="clear" w:color="auto" w:fill="auto"/>
            <w:vAlign w:val="center"/>
          </w:tcPr>
          <w:p w14:paraId="614E361B" w14:textId="77777777" w:rsidR="00F1459A" w:rsidRPr="0035358E" w:rsidRDefault="00F1459A" w:rsidP="00CB5ECD">
            <w:pPr>
              <w:pStyle w:val="TableText0"/>
            </w:pPr>
            <w:r w:rsidRPr="0035358E">
              <w:t>SAVVY</w:t>
            </w:r>
          </w:p>
        </w:tc>
        <w:tc>
          <w:tcPr>
            <w:tcW w:w="466" w:type="pct"/>
            <w:shd w:val="clear" w:color="auto" w:fill="auto"/>
            <w:vAlign w:val="center"/>
          </w:tcPr>
          <w:p w14:paraId="107E8AB2" w14:textId="77777777" w:rsidR="00F1459A" w:rsidRPr="0035358E" w:rsidRDefault="00F1459A" w:rsidP="00CB5ECD">
            <w:pPr>
              <w:pStyle w:val="TableText0"/>
              <w:jc w:val="center"/>
            </w:pPr>
            <w:r w:rsidRPr="0035358E">
              <w:t>581 women</w:t>
            </w:r>
          </w:p>
          <w:p w14:paraId="619B7CD1" w14:textId="77777777" w:rsidR="00F1459A" w:rsidRPr="0035358E" w:rsidRDefault="00F1459A" w:rsidP="00CB5ECD">
            <w:pPr>
              <w:pStyle w:val="TableText0"/>
              <w:jc w:val="center"/>
            </w:pPr>
            <w:r w:rsidRPr="0035358E">
              <w:t>572 infants</w:t>
            </w:r>
          </w:p>
        </w:tc>
        <w:tc>
          <w:tcPr>
            <w:tcW w:w="782" w:type="pct"/>
            <w:shd w:val="clear" w:color="auto" w:fill="auto"/>
            <w:vAlign w:val="center"/>
          </w:tcPr>
          <w:p w14:paraId="251059EF" w14:textId="77777777" w:rsidR="00F1459A" w:rsidRPr="0035358E" w:rsidRDefault="00F1459A" w:rsidP="00CB5ECD">
            <w:pPr>
              <w:pStyle w:val="TableText0"/>
              <w:jc w:val="center"/>
            </w:pPr>
            <w:r w:rsidRPr="0035358E">
              <w:t>R, DB, PC</w:t>
            </w:r>
          </w:p>
          <w:p w14:paraId="7F56F0E6" w14:textId="77777777" w:rsidR="00F1459A" w:rsidRPr="0035358E" w:rsidRDefault="00F1459A" w:rsidP="00CB5ECD">
            <w:pPr>
              <w:pStyle w:val="TableText0"/>
              <w:jc w:val="center"/>
            </w:pPr>
            <w:r w:rsidRPr="0035358E">
              <w:t>12 mths</w:t>
            </w:r>
          </w:p>
        </w:tc>
        <w:tc>
          <w:tcPr>
            <w:tcW w:w="621" w:type="pct"/>
            <w:shd w:val="clear" w:color="auto" w:fill="auto"/>
            <w:vAlign w:val="center"/>
          </w:tcPr>
          <w:p w14:paraId="4564A7E8" w14:textId="77777777" w:rsidR="00F1459A" w:rsidRPr="0035358E" w:rsidRDefault="00F1459A" w:rsidP="00CB5ECD">
            <w:pPr>
              <w:pStyle w:val="TableText0"/>
              <w:jc w:val="center"/>
            </w:pPr>
            <w:r w:rsidRPr="0035358E">
              <w:t>Low</w:t>
            </w:r>
          </w:p>
        </w:tc>
        <w:tc>
          <w:tcPr>
            <w:tcW w:w="857" w:type="pct"/>
            <w:shd w:val="clear" w:color="auto" w:fill="auto"/>
            <w:vAlign w:val="center"/>
          </w:tcPr>
          <w:p w14:paraId="418A4EF7" w14:textId="77777777" w:rsidR="00F1459A" w:rsidRPr="0035358E" w:rsidRDefault="00F1459A" w:rsidP="00CB5ECD">
            <w:pPr>
              <w:pStyle w:val="TableText0"/>
              <w:jc w:val="center"/>
            </w:pPr>
            <w:r w:rsidRPr="0035358E">
              <w:t>Pregnant women between 24 – 36 weeks gestational age.</w:t>
            </w:r>
          </w:p>
        </w:tc>
        <w:tc>
          <w:tcPr>
            <w:tcW w:w="622" w:type="pct"/>
            <w:shd w:val="clear" w:color="auto" w:fill="auto"/>
            <w:vAlign w:val="center"/>
          </w:tcPr>
          <w:p w14:paraId="720431D8" w14:textId="77777777" w:rsidR="00F1459A" w:rsidRPr="0035358E" w:rsidRDefault="00F1459A" w:rsidP="00CB5ECD">
            <w:pPr>
              <w:pStyle w:val="TableText0"/>
              <w:jc w:val="center"/>
            </w:pPr>
            <w:r w:rsidRPr="0035358E">
              <w:t>MA-LRTI</w:t>
            </w:r>
          </w:p>
          <w:p w14:paraId="25F91CB0" w14:textId="77777777" w:rsidR="00F1459A" w:rsidRPr="0035358E" w:rsidRDefault="00F1459A" w:rsidP="00CB5ECD">
            <w:pPr>
              <w:pStyle w:val="TableText0"/>
              <w:jc w:val="center"/>
            </w:pPr>
            <w:r w:rsidRPr="0035358E">
              <w:t>Severe MA-LRTI</w:t>
            </w:r>
          </w:p>
          <w:p w14:paraId="60CE5118" w14:textId="77777777" w:rsidR="00F1459A" w:rsidRPr="0035358E" w:rsidRDefault="00F1459A" w:rsidP="00CB5ECD">
            <w:pPr>
              <w:pStyle w:val="TableText0"/>
              <w:jc w:val="center"/>
            </w:pPr>
            <w:r w:rsidRPr="0035358E">
              <w:t>neutralising antibody titers</w:t>
            </w:r>
          </w:p>
        </w:tc>
        <w:tc>
          <w:tcPr>
            <w:tcW w:w="939" w:type="pct"/>
            <w:shd w:val="clear" w:color="auto" w:fill="auto"/>
            <w:vAlign w:val="center"/>
          </w:tcPr>
          <w:p w14:paraId="6609F8A8" w14:textId="77777777" w:rsidR="00F1459A" w:rsidRPr="0035358E" w:rsidRDefault="00F1459A" w:rsidP="00CB5ECD">
            <w:pPr>
              <w:pStyle w:val="TableText0"/>
              <w:jc w:val="center"/>
            </w:pPr>
            <w:r w:rsidRPr="0035358E">
              <w:t>Not used</w:t>
            </w:r>
          </w:p>
        </w:tc>
      </w:tr>
      <w:tr w:rsidR="00F1459A" w:rsidRPr="0035358E" w14:paraId="57FE328C" w14:textId="77777777" w:rsidTr="001275F8">
        <w:trPr>
          <w:cantSplit/>
        </w:trPr>
        <w:tc>
          <w:tcPr>
            <w:tcW w:w="713" w:type="pct"/>
            <w:shd w:val="clear" w:color="auto" w:fill="auto"/>
            <w:vAlign w:val="center"/>
          </w:tcPr>
          <w:p w14:paraId="22773887" w14:textId="77777777" w:rsidR="00F1459A" w:rsidRPr="0035358E" w:rsidRDefault="00F1459A" w:rsidP="00CB5ECD">
            <w:pPr>
              <w:pStyle w:val="TableText0"/>
            </w:pPr>
            <w:r w:rsidRPr="0035358E">
              <w:t>Study 1004</w:t>
            </w:r>
          </w:p>
        </w:tc>
        <w:tc>
          <w:tcPr>
            <w:tcW w:w="466" w:type="pct"/>
            <w:shd w:val="clear" w:color="auto" w:fill="auto"/>
            <w:vAlign w:val="center"/>
          </w:tcPr>
          <w:p w14:paraId="52C04552" w14:textId="77777777" w:rsidR="00F1459A" w:rsidRPr="0035358E" w:rsidRDefault="00F1459A" w:rsidP="00CB5ECD">
            <w:pPr>
              <w:pStyle w:val="TableText0"/>
              <w:jc w:val="center"/>
            </w:pPr>
            <w:r w:rsidRPr="0035358E">
              <w:t>713</w:t>
            </w:r>
          </w:p>
        </w:tc>
        <w:tc>
          <w:tcPr>
            <w:tcW w:w="782" w:type="pct"/>
            <w:shd w:val="clear" w:color="auto" w:fill="auto"/>
            <w:vAlign w:val="center"/>
          </w:tcPr>
          <w:p w14:paraId="3530300F" w14:textId="77777777" w:rsidR="00F1459A" w:rsidRPr="0035358E" w:rsidRDefault="00F1459A" w:rsidP="00CB5ECD">
            <w:pPr>
              <w:pStyle w:val="TableText0"/>
              <w:jc w:val="center"/>
            </w:pPr>
            <w:r w:rsidRPr="0035358E">
              <w:t>R, DB, PC, MC</w:t>
            </w:r>
          </w:p>
          <w:p w14:paraId="14B07E0D" w14:textId="3CA5D99A" w:rsidR="00F1459A" w:rsidRPr="0035358E" w:rsidRDefault="00F1459A" w:rsidP="00CB5ECD">
            <w:pPr>
              <w:pStyle w:val="TableText0"/>
              <w:jc w:val="center"/>
            </w:pPr>
            <w:r w:rsidRPr="0035358E">
              <w:t>1 mth</w:t>
            </w:r>
          </w:p>
        </w:tc>
        <w:tc>
          <w:tcPr>
            <w:tcW w:w="621" w:type="pct"/>
            <w:shd w:val="clear" w:color="auto" w:fill="auto"/>
            <w:vAlign w:val="center"/>
          </w:tcPr>
          <w:p w14:paraId="51E080F4" w14:textId="77777777" w:rsidR="00F1459A" w:rsidRPr="0035358E" w:rsidRDefault="00F1459A" w:rsidP="00CB5ECD">
            <w:pPr>
              <w:pStyle w:val="TableText0"/>
              <w:jc w:val="center"/>
            </w:pPr>
            <w:r w:rsidRPr="0035358E">
              <w:t>Low</w:t>
            </w:r>
          </w:p>
        </w:tc>
        <w:tc>
          <w:tcPr>
            <w:tcW w:w="857" w:type="pct"/>
            <w:shd w:val="clear" w:color="auto" w:fill="auto"/>
            <w:vAlign w:val="center"/>
          </w:tcPr>
          <w:p w14:paraId="2CBFEE61" w14:textId="77777777" w:rsidR="00F1459A" w:rsidRPr="0035358E" w:rsidRDefault="00F1459A" w:rsidP="00CB5ECD">
            <w:pPr>
              <w:pStyle w:val="TableText0"/>
              <w:jc w:val="center"/>
            </w:pPr>
            <w:r w:rsidRPr="0035358E">
              <w:t>Non-pregnant women between 18 and 49 years old</w:t>
            </w:r>
          </w:p>
        </w:tc>
        <w:tc>
          <w:tcPr>
            <w:tcW w:w="622" w:type="pct"/>
            <w:shd w:val="clear" w:color="auto" w:fill="auto"/>
            <w:vAlign w:val="center"/>
          </w:tcPr>
          <w:p w14:paraId="5A28BBA1" w14:textId="77777777" w:rsidR="00F1459A" w:rsidRPr="0035358E" w:rsidRDefault="00F1459A" w:rsidP="00CB5ECD">
            <w:pPr>
              <w:pStyle w:val="TableText0"/>
              <w:jc w:val="center"/>
            </w:pPr>
            <w:r w:rsidRPr="0035358E">
              <w:t>neutralising antibody titers</w:t>
            </w:r>
          </w:p>
        </w:tc>
        <w:tc>
          <w:tcPr>
            <w:tcW w:w="939" w:type="pct"/>
            <w:shd w:val="clear" w:color="auto" w:fill="auto"/>
            <w:vAlign w:val="center"/>
          </w:tcPr>
          <w:p w14:paraId="67B2F8C3" w14:textId="77777777" w:rsidR="00F1459A" w:rsidRPr="0035358E" w:rsidRDefault="00F1459A" w:rsidP="00CB5ECD">
            <w:pPr>
              <w:pStyle w:val="TableText0"/>
              <w:jc w:val="center"/>
            </w:pPr>
            <w:r w:rsidRPr="0035358E">
              <w:t>Not used</w:t>
            </w:r>
          </w:p>
        </w:tc>
      </w:tr>
    </w:tbl>
    <w:p w14:paraId="4DE5F94E" w14:textId="77777777" w:rsidR="00F1459A" w:rsidRPr="0035358E" w:rsidRDefault="00F1459A" w:rsidP="00CB5ECD">
      <w:pPr>
        <w:pStyle w:val="FooterTableFigure"/>
        <w:keepNext/>
      </w:pPr>
      <w:r w:rsidRPr="0035358E">
        <w:t>Source: Table 2.3.1, pp44-45, and Table 2.4.1, p49 of the submission.</w:t>
      </w:r>
    </w:p>
    <w:p w14:paraId="0A99F404" w14:textId="63B4A33B" w:rsidR="00F1459A" w:rsidRPr="0035358E" w:rsidRDefault="00AC6CE4" w:rsidP="00F1459A">
      <w:pPr>
        <w:pStyle w:val="FooterTableFigure"/>
        <w:rPr>
          <w:szCs w:val="18"/>
        </w:rPr>
      </w:pPr>
      <w:r>
        <w:t xml:space="preserve">Abbreviations: </w:t>
      </w:r>
      <w:r w:rsidR="00F1459A" w:rsidRPr="0035358E">
        <w:t xml:space="preserve">DB = double blind; MA-LRTI = medically attended lower respiratory tract illness; MC = multi-centre; PC = placebo controlled; R = randomised; RSVpreF = </w:t>
      </w:r>
      <w:r w:rsidR="00F1459A" w:rsidRPr="0035358E">
        <w:rPr>
          <w:szCs w:val="18"/>
        </w:rPr>
        <w:t>respiratory syncytial virus pre-fusion F protein vaccine.</w:t>
      </w:r>
    </w:p>
    <w:p w14:paraId="6EB97E7F" w14:textId="79A6D1BE" w:rsidR="00F1459A" w:rsidRPr="0035358E" w:rsidRDefault="00F1459A" w:rsidP="00DD4B2C">
      <w:pPr>
        <w:pStyle w:val="3-BodyText"/>
        <w:rPr>
          <w:color w:val="0066FF"/>
        </w:rPr>
      </w:pPr>
      <w:r w:rsidRPr="0035358E">
        <w:t xml:space="preserve">MATISSE and SAVVY were both head-to-head randomised controlled trials of RSVpreF versus placebo. However, Study 1004 was </w:t>
      </w:r>
      <w:bookmarkStart w:id="33" w:name="_Hlk163124690"/>
      <w:r w:rsidRPr="0035358E">
        <w:t xml:space="preserve">designed to look at co-administration of </w:t>
      </w:r>
      <w:r w:rsidRPr="0035358E">
        <w:lastRenderedPageBreak/>
        <w:t xml:space="preserve">RSVpreF with dTpa </w:t>
      </w:r>
      <w:r w:rsidR="00A75628" w:rsidRPr="0035358E">
        <w:t xml:space="preserve">(in non-pregnant women) </w:t>
      </w:r>
      <w:bookmarkEnd w:id="33"/>
      <w:r w:rsidRPr="0035358E">
        <w:t xml:space="preserve">and so the groups were RSVpreF + dTpa versus </w:t>
      </w:r>
      <w:r w:rsidR="0048750D" w:rsidRPr="0035358E">
        <w:t>p</w:t>
      </w:r>
      <w:r w:rsidRPr="0035358E">
        <w:t>lacebo + dTpa.</w:t>
      </w:r>
    </w:p>
    <w:p w14:paraId="18BEB14D" w14:textId="48B14BE0" w:rsidR="005D023A" w:rsidRPr="0035358E" w:rsidRDefault="005D023A" w:rsidP="00DD4B2C">
      <w:pPr>
        <w:pStyle w:val="3-BodyText"/>
      </w:pPr>
      <w:bookmarkStart w:id="34" w:name="_Ref163593559"/>
      <w:r w:rsidRPr="0035358E">
        <w:t>The submission presented results from the primary analysis of the MATISSE trial, corresponding to a data cut-off date of 30 September 2022</w:t>
      </w:r>
      <w:r w:rsidR="00C93F78" w:rsidRPr="0035358E">
        <w:t xml:space="preserve">. </w:t>
      </w:r>
      <w:r w:rsidRPr="0035358E">
        <w:t>The pre-PBAC response presented a small subset of results from the final analysis of the MATISSE trial, corresponding to a data cut-off date of October 2023 (Munjal et al., 2024</w:t>
      </w:r>
      <w:r w:rsidRPr="0035358E">
        <w:rPr>
          <w:vertAlign w:val="superscript"/>
        </w:rPr>
        <w:footnoteReference w:id="18"/>
      </w:r>
      <w:r w:rsidRPr="0035358E">
        <w:t>)</w:t>
      </w:r>
      <w:r w:rsidR="00C93F78" w:rsidRPr="0035358E">
        <w:t xml:space="preserve">. </w:t>
      </w:r>
      <w:r w:rsidRPr="0035358E">
        <w:t>The pre-PBAC response stated that the final data from the MATISSE trial is planned for submission to the TGA later in 2024.</w:t>
      </w:r>
      <w:bookmarkEnd w:id="34"/>
    </w:p>
    <w:p w14:paraId="5B3900A6" w14:textId="77777777" w:rsidR="00DB24CC" w:rsidRDefault="00F1459A" w:rsidP="00944DCD">
      <w:pPr>
        <w:pStyle w:val="4-SubsectionHeading"/>
      </w:pPr>
      <w:bookmarkStart w:id="35" w:name="_Toc22897641"/>
      <w:bookmarkStart w:id="36" w:name="_Toc156993551"/>
      <w:r w:rsidRPr="0035358E">
        <w:t>Comparative effectiveness</w:t>
      </w:r>
      <w:bookmarkEnd w:id="35"/>
      <w:bookmarkEnd w:id="36"/>
    </w:p>
    <w:p w14:paraId="163B6389" w14:textId="6939A782" w:rsidR="00F1459A" w:rsidRPr="0035358E" w:rsidRDefault="00F1459A" w:rsidP="00DD4B2C">
      <w:pPr>
        <w:pStyle w:val="3-BodyText"/>
        <w:rPr>
          <w:color w:val="0066FF"/>
        </w:rPr>
      </w:pPr>
      <w:r w:rsidRPr="0035358E">
        <w:t>The primary endpoint for the MATISSE trial of RSV-positive MA-LRTI in infants through 180 days</w:t>
      </w:r>
      <w:r w:rsidR="00212BFF" w:rsidRPr="0035358E">
        <w:t xml:space="preserve"> after birth</w:t>
      </w:r>
      <w:r w:rsidRPr="0035358E">
        <w:t xml:space="preserve"> is summarised in </w:t>
      </w:r>
      <w:r w:rsidRPr="0035358E">
        <w:fldChar w:fldCharType="begin"/>
      </w:r>
      <w:r w:rsidRPr="0035358E">
        <w:instrText xml:space="preserve"> REF _Ref152040019 \h </w:instrText>
      </w:r>
      <w:r w:rsidRPr="0035358E">
        <w:fldChar w:fldCharType="separate"/>
      </w:r>
      <w:r w:rsidR="00A46CAC" w:rsidRPr="0035358E">
        <w:t xml:space="preserve">Table </w:t>
      </w:r>
      <w:r w:rsidR="00A46CAC">
        <w:rPr>
          <w:noProof/>
        </w:rPr>
        <w:t>4</w:t>
      </w:r>
      <w:r w:rsidRPr="0035358E">
        <w:fldChar w:fldCharType="end"/>
      </w:r>
      <w:r w:rsidRPr="0035358E">
        <w:t xml:space="preserve"> and the corresponding Kaplan-Meier (KM) curves are presented in </w:t>
      </w:r>
      <w:r w:rsidRPr="0035358E">
        <w:fldChar w:fldCharType="begin"/>
      </w:r>
      <w:r w:rsidRPr="0035358E">
        <w:instrText xml:space="preserve"> REF _Ref152040065 \h </w:instrText>
      </w:r>
      <w:r w:rsidRPr="0035358E">
        <w:fldChar w:fldCharType="separate"/>
      </w:r>
      <w:r w:rsidR="00A46CAC" w:rsidRPr="0035358E">
        <w:t xml:space="preserve">Figure </w:t>
      </w:r>
      <w:r w:rsidR="00A46CAC">
        <w:rPr>
          <w:noProof/>
        </w:rPr>
        <w:t>1</w:t>
      </w:r>
      <w:r w:rsidRPr="0035358E">
        <w:fldChar w:fldCharType="end"/>
      </w:r>
      <w:r w:rsidRPr="0035358E">
        <w:t>.</w:t>
      </w:r>
    </w:p>
    <w:p w14:paraId="49E403EB" w14:textId="77777777" w:rsidR="00DB24CC" w:rsidRDefault="00914A93" w:rsidP="00DD4B2C">
      <w:pPr>
        <w:pStyle w:val="3-BodyText"/>
      </w:pPr>
      <w:r w:rsidRPr="0035358E">
        <w:t xml:space="preserve">RSV-positive </w:t>
      </w:r>
      <w:r w:rsidR="00614465" w:rsidRPr="0035358E">
        <w:t>MA-LRTI is defined as an infant participant having been seen by a healthcare provider with one or more symptom of a respiratory tract infection and:</w:t>
      </w:r>
    </w:p>
    <w:p w14:paraId="4CC99342" w14:textId="34DAD32C" w:rsidR="00614465" w:rsidRPr="0035358E" w:rsidRDefault="00614465" w:rsidP="00CB5ECD">
      <w:pPr>
        <w:pStyle w:val="ListParagraph"/>
      </w:pPr>
      <w:r w:rsidRPr="0035358E">
        <w:t>Fast breathing (</w:t>
      </w:r>
      <w:r w:rsidR="00930998" w:rsidRPr="0035358E">
        <w:t>respiratory rate</w:t>
      </w:r>
      <w:r w:rsidRPr="0035358E">
        <w:t xml:space="preserve"> ≥60 bpm for &lt;2 months of age [&lt;60 days of age] or ≥50 bpm for ≥2 to &lt;12 months of age, or ≥40 bpm for ≥12 months to 24</w:t>
      </w:r>
      <w:r w:rsidR="00CB5ECD">
        <w:t> </w:t>
      </w:r>
      <w:r w:rsidRPr="0035358E">
        <w:t>months of age), OR</w:t>
      </w:r>
    </w:p>
    <w:p w14:paraId="6C231BBF" w14:textId="68DDF9ED" w:rsidR="00614465" w:rsidRPr="0035358E" w:rsidRDefault="00930998" w:rsidP="00CB5ECD">
      <w:pPr>
        <w:pStyle w:val="ListParagraph"/>
      </w:pPr>
      <w:r w:rsidRPr="0035358E">
        <w:t>Oxygen saturation (</w:t>
      </w:r>
      <w:r w:rsidR="00614465" w:rsidRPr="0035358E">
        <w:t>SpO</w:t>
      </w:r>
      <w:r w:rsidR="00614465" w:rsidRPr="0035358E">
        <w:rPr>
          <w:vertAlign w:val="subscript"/>
        </w:rPr>
        <w:t>2</w:t>
      </w:r>
      <w:r w:rsidRPr="0035358E">
        <w:t>)</w:t>
      </w:r>
      <w:r w:rsidR="00614465" w:rsidRPr="0035358E">
        <w:t xml:space="preserve"> &lt;95%, OR</w:t>
      </w:r>
    </w:p>
    <w:p w14:paraId="19EC6740" w14:textId="77777777" w:rsidR="00614465" w:rsidRPr="0035358E" w:rsidRDefault="00614465" w:rsidP="00CB5ECD">
      <w:pPr>
        <w:pStyle w:val="ListParagraph"/>
      </w:pPr>
      <w:r w:rsidRPr="0035358E">
        <w:t>Chest wall indrawing, AND</w:t>
      </w:r>
    </w:p>
    <w:p w14:paraId="3D6AD5A7" w14:textId="18D1D0D5" w:rsidR="00614465" w:rsidRPr="0035358E" w:rsidRDefault="005A7DF3" w:rsidP="00CB5ECD">
      <w:pPr>
        <w:pStyle w:val="ListParagraph"/>
      </w:pPr>
      <w:r w:rsidRPr="0035358E">
        <w:t>An RSV-positive test result.</w:t>
      </w:r>
    </w:p>
    <w:p w14:paraId="35EF6A0C" w14:textId="77777777" w:rsidR="00DB24CC" w:rsidRDefault="00F35B67" w:rsidP="00DD4B2C">
      <w:pPr>
        <w:pStyle w:val="3-BodyText"/>
      </w:pPr>
      <w:r w:rsidRPr="0035358E">
        <w:t xml:space="preserve">In the primary analysis, at </w:t>
      </w:r>
      <w:r w:rsidR="00F1459A" w:rsidRPr="0035358E">
        <w:t>90 days after birth there were 24 (0.7%) cases of RSV-positive MA-LRTI in infants in the RSVpreF group and 56 (1.6%) cases in the placebo group, corresponding to a vaccine efficacy (VE) of 57.1% (99.5% CI</w:t>
      </w:r>
      <w:r w:rsidR="00A77C45" w:rsidRPr="0035358E">
        <w:t>:</w:t>
      </w:r>
      <w:r w:rsidR="00F1459A" w:rsidRPr="0035358E">
        <w:t>14.7%, 79.8%) for RSVpreF. This did not meet the pre-defined statistical criterion for success (CI lower bound &gt;20%)</w:t>
      </w:r>
      <w:r w:rsidR="00C93F78" w:rsidRPr="0035358E">
        <w:t xml:space="preserve">. </w:t>
      </w:r>
      <w:r w:rsidR="00F1459A" w:rsidRPr="0035358E">
        <w:t>At 180 days after birth, there were 57 (1.6%) cases of RSV-positive MA-LRTI in the RSVpreF group and 117 (3.4%) cases in the placebo group, corresponding to a VE of 51.3% (97.58% CI</w:t>
      </w:r>
      <w:r w:rsidR="00A77C45" w:rsidRPr="0035358E">
        <w:t>:</w:t>
      </w:r>
      <w:r w:rsidR="00F1459A" w:rsidRPr="0035358E">
        <w:t>29.4%, 66.8%) for RSVpreF. This did meet the predefined statistical criterion for success of a CI lower bound &gt; 20%.</w:t>
      </w:r>
    </w:p>
    <w:p w14:paraId="07497140" w14:textId="3F920B16" w:rsidR="008A3095" w:rsidRPr="0035358E" w:rsidRDefault="008A3095" w:rsidP="00DD4B2C">
      <w:pPr>
        <w:pStyle w:val="3-BodyText"/>
      </w:pPr>
      <w:r w:rsidRPr="0035358E">
        <w:t xml:space="preserve">The pre-PBAC response </w:t>
      </w:r>
      <w:r w:rsidR="000834E8" w:rsidRPr="0035358E">
        <w:t>stated</w:t>
      </w:r>
      <w:r w:rsidRPr="0035358E">
        <w:t xml:space="preserve"> that the final analysis was consistent with the primary analysis for the RSV-positive MA-LRTI endpoint, and that RSVpreF was 57.6% (95% CI: 31.3%, 74.6%) and 49.2% </w:t>
      </w:r>
      <w:r w:rsidR="000834E8" w:rsidRPr="0035358E">
        <w:t>(</w:t>
      </w:r>
      <w:r w:rsidRPr="0035358E">
        <w:t>95% CI: 31.4%, 62.8%) efficacious in reducing the incidence of MA-LRTI within 3 months and 6 months after birth, respectively (</w:t>
      </w:r>
      <w:r w:rsidRPr="0035358E">
        <w:fldChar w:fldCharType="begin"/>
      </w:r>
      <w:r w:rsidRPr="0035358E">
        <w:instrText xml:space="preserve"> REF _Ref152040019 \h </w:instrText>
      </w:r>
      <w:r w:rsidRPr="0035358E">
        <w:fldChar w:fldCharType="separate"/>
      </w:r>
      <w:r w:rsidR="00A46CAC" w:rsidRPr="0035358E">
        <w:t xml:space="preserve">Table </w:t>
      </w:r>
      <w:r w:rsidR="00A46CAC">
        <w:rPr>
          <w:noProof/>
        </w:rPr>
        <w:t>4</w:t>
      </w:r>
      <w:r w:rsidRPr="0035358E">
        <w:fldChar w:fldCharType="end"/>
      </w:r>
      <w:r w:rsidRPr="0035358E">
        <w:t>).</w:t>
      </w:r>
    </w:p>
    <w:p w14:paraId="5CFDA9D5" w14:textId="1179F8AB" w:rsidR="00F1459A" w:rsidRPr="0035358E" w:rsidRDefault="00F1459A" w:rsidP="00AE0C2A">
      <w:pPr>
        <w:pStyle w:val="TableFigureHeading"/>
        <w:rPr>
          <w:rStyle w:val="CommentReference"/>
          <w:b/>
          <w:szCs w:val="24"/>
        </w:rPr>
      </w:pPr>
      <w:bookmarkStart w:id="37" w:name="_Ref152040019"/>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4</w:t>
      </w:r>
      <w:r w:rsidR="00560E31">
        <w:rPr>
          <w:noProof/>
        </w:rPr>
        <w:fldChar w:fldCharType="end"/>
      </w:r>
      <w:bookmarkEnd w:id="37"/>
      <w:r w:rsidRPr="0035358E">
        <w:t>:</w:t>
      </w:r>
      <w:r w:rsidRPr="0035358E">
        <w:rPr>
          <w:rStyle w:val="CommentReference"/>
          <w:b/>
          <w:szCs w:val="24"/>
        </w:rPr>
        <w:t xml:space="preserve"> RSV-positive MA-LRTI occurring in infants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SV-positive MA-LRTI occurring in infants"/>
      </w:tblPr>
      <w:tblGrid>
        <w:gridCol w:w="1915"/>
        <w:gridCol w:w="1804"/>
        <w:gridCol w:w="1761"/>
        <w:gridCol w:w="1687"/>
        <w:gridCol w:w="1850"/>
      </w:tblGrid>
      <w:tr w:rsidR="00F0666C" w:rsidRPr="0035358E" w14:paraId="0E724AF6" w14:textId="77777777" w:rsidTr="001275F8">
        <w:trPr>
          <w:tblHeader/>
        </w:trPr>
        <w:tc>
          <w:tcPr>
            <w:tcW w:w="0" w:type="auto"/>
            <w:vAlign w:val="center"/>
          </w:tcPr>
          <w:p w14:paraId="0A692F18" w14:textId="77777777" w:rsidR="00F1459A" w:rsidRPr="0035358E" w:rsidRDefault="00F1459A" w:rsidP="00CB5ECD">
            <w:pPr>
              <w:pStyle w:val="In-tableHeading"/>
              <w:rPr>
                <w:szCs w:val="20"/>
                <w:lang w:val="en-AU"/>
              </w:rPr>
            </w:pPr>
            <w:r w:rsidRPr="0035358E">
              <w:rPr>
                <w:rFonts w:cs="Arial"/>
                <w:bCs/>
                <w:szCs w:val="20"/>
                <w:lang w:val="en-AU"/>
              </w:rPr>
              <w:t>Time interval</w:t>
            </w:r>
          </w:p>
        </w:tc>
        <w:tc>
          <w:tcPr>
            <w:tcW w:w="0" w:type="auto"/>
            <w:vAlign w:val="center"/>
          </w:tcPr>
          <w:p w14:paraId="00404F9D" w14:textId="77777777" w:rsidR="00F1459A" w:rsidRPr="0035358E" w:rsidRDefault="00F1459A" w:rsidP="00CB5ECD">
            <w:pPr>
              <w:keepNext/>
              <w:keepLines/>
              <w:ind w:firstLine="45"/>
              <w:jc w:val="center"/>
              <w:rPr>
                <w:rFonts w:ascii="Arial Narrow" w:hAnsi="Arial Narrow"/>
                <w:b/>
                <w:bCs/>
                <w:sz w:val="20"/>
                <w:szCs w:val="20"/>
              </w:rPr>
            </w:pPr>
            <w:r w:rsidRPr="0035358E">
              <w:rPr>
                <w:rFonts w:ascii="Arial Narrow" w:hAnsi="Arial Narrow"/>
                <w:b/>
                <w:bCs/>
                <w:sz w:val="20"/>
                <w:szCs w:val="20"/>
              </w:rPr>
              <w:t>RSVpreF 120 ug</w:t>
            </w:r>
          </w:p>
          <w:p w14:paraId="3E3AEDBC" w14:textId="652B496B" w:rsidR="00F1459A" w:rsidRPr="0035358E" w:rsidRDefault="00F1459A" w:rsidP="00CB5ECD">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212BFF" w:rsidRPr="0035358E">
              <w:rPr>
                <w:rFonts w:ascii="Arial Narrow" w:hAnsi="Arial Narrow"/>
                <w:b/>
                <w:bCs/>
                <w:sz w:val="20"/>
                <w:szCs w:val="20"/>
              </w:rPr>
              <w:t>,</w:t>
            </w:r>
            <w:r w:rsidRPr="0035358E">
              <w:rPr>
                <w:rFonts w:ascii="Arial Narrow" w:hAnsi="Arial Narrow"/>
                <w:b/>
                <w:bCs/>
                <w:sz w:val="20"/>
                <w:szCs w:val="20"/>
              </w:rPr>
              <w:t>495</w:t>
            </w:r>
          </w:p>
          <w:p w14:paraId="75BF2BDF" w14:textId="77777777" w:rsidR="00F1459A" w:rsidRPr="0035358E" w:rsidRDefault="00F1459A" w:rsidP="00CB5ECD">
            <w:pPr>
              <w:pStyle w:val="In-tableHeading"/>
              <w:jc w:val="center"/>
              <w:rPr>
                <w:szCs w:val="20"/>
                <w:lang w:val="en-AU"/>
              </w:rPr>
            </w:pPr>
            <w:r w:rsidRPr="0035358E">
              <w:rPr>
                <w:rFonts w:cs="Arial"/>
                <w:bCs/>
                <w:szCs w:val="20"/>
                <w:lang w:val="en-AU"/>
              </w:rPr>
              <w:t>No. of cases (%)</w:t>
            </w:r>
          </w:p>
        </w:tc>
        <w:tc>
          <w:tcPr>
            <w:tcW w:w="0" w:type="auto"/>
            <w:vAlign w:val="center"/>
          </w:tcPr>
          <w:p w14:paraId="42030BCA" w14:textId="77777777" w:rsidR="00F1459A" w:rsidRPr="0035358E" w:rsidRDefault="00F1459A" w:rsidP="00CB5ECD">
            <w:pPr>
              <w:keepNext/>
              <w:keepLines/>
              <w:ind w:firstLine="45"/>
              <w:jc w:val="center"/>
              <w:rPr>
                <w:rFonts w:ascii="Arial Narrow" w:hAnsi="Arial Narrow"/>
                <w:b/>
                <w:bCs/>
                <w:sz w:val="20"/>
                <w:szCs w:val="20"/>
              </w:rPr>
            </w:pPr>
            <w:r w:rsidRPr="0035358E">
              <w:rPr>
                <w:rFonts w:ascii="Arial Narrow" w:hAnsi="Arial Narrow"/>
                <w:b/>
                <w:bCs/>
                <w:sz w:val="20"/>
                <w:szCs w:val="20"/>
              </w:rPr>
              <w:t>Placebo</w:t>
            </w:r>
          </w:p>
          <w:p w14:paraId="09E80EF1" w14:textId="6FB7EBC5" w:rsidR="00F1459A" w:rsidRPr="0035358E" w:rsidRDefault="00F1459A" w:rsidP="00CB5ECD">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212BFF" w:rsidRPr="0035358E">
              <w:rPr>
                <w:rFonts w:ascii="Arial Narrow" w:hAnsi="Arial Narrow"/>
                <w:b/>
                <w:bCs/>
                <w:sz w:val="20"/>
                <w:szCs w:val="20"/>
              </w:rPr>
              <w:t>,</w:t>
            </w:r>
            <w:r w:rsidRPr="0035358E">
              <w:rPr>
                <w:rFonts w:ascii="Arial Narrow" w:hAnsi="Arial Narrow"/>
                <w:b/>
                <w:bCs/>
                <w:sz w:val="20"/>
                <w:szCs w:val="20"/>
              </w:rPr>
              <w:t>480</w:t>
            </w:r>
          </w:p>
          <w:p w14:paraId="2691DCC3" w14:textId="77777777" w:rsidR="00F1459A" w:rsidRPr="0035358E" w:rsidRDefault="00F1459A" w:rsidP="00CB5ECD">
            <w:pPr>
              <w:pStyle w:val="In-tableHeading"/>
              <w:jc w:val="center"/>
              <w:rPr>
                <w:szCs w:val="20"/>
                <w:lang w:val="en-AU"/>
              </w:rPr>
            </w:pPr>
            <w:r w:rsidRPr="0035358E">
              <w:rPr>
                <w:rFonts w:cs="Arial"/>
                <w:bCs/>
                <w:szCs w:val="20"/>
                <w:lang w:val="en-AU"/>
              </w:rPr>
              <w:t>No. of cases (%)</w:t>
            </w:r>
          </w:p>
        </w:tc>
        <w:tc>
          <w:tcPr>
            <w:tcW w:w="0" w:type="auto"/>
            <w:vAlign w:val="center"/>
          </w:tcPr>
          <w:p w14:paraId="44CEFAEF" w14:textId="77777777" w:rsidR="00F1459A" w:rsidRPr="0035358E" w:rsidRDefault="00F1459A" w:rsidP="00CB5ECD">
            <w:pPr>
              <w:pStyle w:val="In-tableHeading"/>
              <w:jc w:val="center"/>
              <w:rPr>
                <w:szCs w:val="20"/>
                <w:lang w:val="en-AU"/>
              </w:rPr>
            </w:pPr>
            <w:r w:rsidRPr="0035358E">
              <w:rPr>
                <w:rFonts w:cs="Arial"/>
                <w:bCs/>
                <w:szCs w:val="20"/>
                <w:lang w:val="en-AU"/>
              </w:rPr>
              <w:t>VE</w:t>
            </w:r>
            <w:r w:rsidRPr="0035358E">
              <w:rPr>
                <w:rFonts w:cs="Arial"/>
                <w:bCs/>
                <w:szCs w:val="20"/>
                <w:vertAlign w:val="superscript"/>
                <w:lang w:val="en-AU"/>
              </w:rPr>
              <w:t>b</w:t>
            </w:r>
            <w:r w:rsidRPr="0035358E">
              <w:rPr>
                <w:rFonts w:cs="Arial"/>
                <w:bCs/>
                <w:szCs w:val="20"/>
                <w:lang w:val="en-AU"/>
              </w:rPr>
              <w:t>, % (CI</w:t>
            </w:r>
            <w:r w:rsidRPr="0035358E">
              <w:rPr>
                <w:rFonts w:cs="Arial"/>
                <w:bCs/>
                <w:szCs w:val="20"/>
                <w:vertAlign w:val="superscript"/>
                <w:lang w:val="en-AU"/>
              </w:rPr>
              <w:t>c</w:t>
            </w:r>
            <w:r w:rsidRPr="0035358E">
              <w:rPr>
                <w:rFonts w:cs="Arial"/>
                <w:bCs/>
                <w:szCs w:val="20"/>
                <w:lang w:val="en-AU"/>
              </w:rPr>
              <w:t>)</w:t>
            </w:r>
          </w:p>
        </w:tc>
        <w:tc>
          <w:tcPr>
            <w:tcW w:w="0" w:type="auto"/>
            <w:vAlign w:val="center"/>
          </w:tcPr>
          <w:p w14:paraId="537D7159" w14:textId="77777777" w:rsidR="00F1459A" w:rsidRPr="0035358E" w:rsidRDefault="00F1459A" w:rsidP="00CB5ECD">
            <w:pPr>
              <w:pStyle w:val="In-tableHeading"/>
              <w:jc w:val="center"/>
              <w:rPr>
                <w:szCs w:val="20"/>
                <w:lang w:val="en-AU"/>
              </w:rPr>
            </w:pPr>
            <w:r w:rsidRPr="0035358E">
              <w:rPr>
                <w:rFonts w:cs="Arial"/>
                <w:bCs/>
                <w:szCs w:val="20"/>
                <w:lang w:val="en-AU"/>
              </w:rPr>
              <w:t>Nominal P-value</w:t>
            </w:r>
            <w:r w:rsidRPr="0035358E">
              <w:rPr>
                <w:rFonts w:cs="Arial"/>
                <w:bCs/>
                <w:szCs w:val="20"/>
                <w:vertAlign w:val="superscript"/>
                <w:lang w:val="en-AU"/>
              </w:rPr>
              <w:t>d</w:t>
            </w:r>
          </w:p>
        </w:tc>
      </w:tr>
      <w:tr w:rsidR="00690CC4" w:rsidRPr="0035358E" w14:paraId="0C6E3358" w14:textId="77777777" w:rsidTr="002A74D6">
        <w:trPr>
          <w:tblHeader/>
        </w:trPr>
        <w:tc>
          <w:tcPr>
            <w:tcW w:w="0" w:type="auto"/>
            <w:gridSpan w:val="5"/>
            <w:vAlign w:val="center"/>
          </w:tcPr>
          <w:p w14:paraId="737853DE" w14:textId="00ED2C87" w:rsidR="00216575" w:rsidRPr="0035358E" w:rsidRDefault="00216575" w:rsidP="00CB5ECD">
            <w:pPr>
              <w:pStyle w:val="In-tableHeading"/>
              <w:rPr>
                <w:rFonts w:cs="Arial"/>
                <w:bCs/>
                <w:szCs w:val="20"/>
                <w:lang w:val="en-AU"/>
              </w:rPr>
            </w:pPr>
            <w:r w:rsidRPr="0035358E">
              <w:rPr>
                <w:rFonts w:cs="Arial"/>
                <w:bCs/>
                <w:szCs w:val="20"/>
                <w:lang w:val="en-AU"/>
              </w:rPr>
              <w:t>Primary Analysis (reported in submission)</w:t>
            </w:r>
          </w:p>
        </w:tc>
      </w:tr>
      <w:tr w:rsidR="00F0666C" w:rsidRPr="0035358E" w14:paraId="3574DDF7" w14:textId="77777777" w:rsidTr="001275F8">
        <w:tc>
          <w:tcPr>
            <w:tcW w:w="0" w:type="auto"/>
            <w:vAlign w:val="center"/>
          </w:tcPr>
          <w:p w14:paraId="51B27ADC" w14:textId="77777777" w:rsidR="00216575" w:rsidRPr="0035358E" w:rsidRDefault="00216575" w:rsidP="00CB5ECD">
            <w:pPr>
              <w:pStyle w:val="TableText0"/>
              <w:rPr>
                <w:szCs w:val="20"/>
              </w:rPr>
            </w:pPr>
            <w:r w:rsidRPr="0035358E">
              <w:rPr>
                <w:rFonts w:eastAsia="Arial Narrow" w:cs="Arial"/>
                <w:szCs w:val="20"/>
              </w:rPr>
              <w:t>90 days post birth</w:t>
            </w:r>
          </w:p>
        </w:tc>
        <w:tc>
          <w:tcPr>
            <w:tcW w:w="0" w:type="auto"/>
            <w:vAlign w:val="center"/>
          </w:tcPr>
          <w:p w14:paraId="47202C4D" w14:textId="77777777" w:rsidR="00216575" w:rsidRPr="0035358E" w:rsidRDefault="00216575" w:rsidP="00CB5ECD">
            <w:pPr>
              <w:pStyle w:val="TableText0"/>
              <w:jc w:val="center"/>
              <w:rPr>
                <w:szCs w:val="20"/>
              </w:rPr>
            </w:pPr>
            <w:r w:rsidRPr="0035358E">
              <w:rPr>
                <w:rFonts w:eastAsia="Arial Narrow" w:cs="Arial"/>
                <w:szCs w:val="20"/>
              </w:rPr>
              <w:t>24 (0.7)</w:t>
            </w:r>
          </w:p>
        </w:tc>
        <w:tc>
          <w:tcPr>
            <w:tcW w:w="0" w:type="auto"/>
            <w:vAlign w:val="center"/>
          </w:tcPr>
          <w:p w14:paraId="385072C5" w14:textId="77777777" w:rsidR="00216575" w:rsidRPr="0035358E" w:rsidRDefault="00216575" w:rsidP="00CB5ECD">
            <w:pPr>
              <w:pStyle w:val="TableText0"/>
              <w:jc w:val="center"/>
              <w:rPr>
                <w:szCs w:val="20"/>
              </w:rPr>
            </w:pPr>
            <w:r w:rsidRPr="0035358E">
              <w:rPr>
                <w:rFonts w:eastAsia="Arial Narrow" w:cs="Arial"/>
                <w:szCs w:val="20"/>
              </w:rPr>
              <w:t>56 (1.6)</w:t>
            </w:r>
          </w:p>
        </w:tc>
        <w:tc>
          <w:tcPr>
            <w:tcW w:w="0" w:type="auto"/>
            <w:vAlign w:val="center"/>
          </w:tcPr>
          <w:p w14:paraId="014FBF85" w14:textId="77777777" w:rsidR="00216575" w:rsidRPr="0035358E" w:rsidRDefault="00216575" w:rsidP="00CB5ECD">
            <w:pPr>
              <w:pStyle w:val="TableText0"/>
              <w:jc w:val="center"/>
              <w:rPr>
                <w:b/>
                <w:bCs w:val="0"/>
                <w:szCs w:val="20"/>
              </w:rPr>
            </w:pPr>
            <w:r w:rsidRPr="0035358E">
              <w:rPr>
                <w:rFonts w:eastAsia="Arial Narrow" w:cs="Arial"/>
                <w:b/>
                <w:bCs w:val="0"/>
                <w:szCs w:val="20"/>
              </w:rPr>
              <w:t>57.1 (14.7, 79.8)</w:t>
            </w:r>
          </w:p>
        </w:tc>
        <w:tc>
          <w:tcPr>
            <w:tcW w:w="0" w:type="auto"/>
            <w:vAlign w:val="center"/>
          </w:tcPr>
          <w:p w14:paraId="6B72FD86" w14:textId="77777777" w:rsidR="00216575" w:rsidRPr="0035358E" w:rsidRDefault="00216575" w:rsidP="00CB5ECD">
            <w:pPr>
              <w:pStyle w:val="TableText0"/>
              <w:jc w:val="center"/>
              <w:rPr>
                <w:b/>
                <w:bCs w:val="0"/>
                <w:szCs w:val="20"/>
              </w:rPr>
            </w:pPr>
            <w:r w:rsidRPr="0035358E">
              <w:rPr>
                <w:rFonts w:eastAsia="Arial Narrow" w:cs="Arial"/>
                <w:b/>
                <w:bCs w:val="0"/>
                <w:szCs w:val="20"/>
              </w:rPr>
              <w:t>0.0058</w:t>
            </w:r>
          </w:p>
        </w:tc>
      </w:tr>
      <w:tr w:rsidR="00F0666C" w:rsidRPr="0035358E" w14:paraId="76543403" w14:textId="77777777" w:rsidTr="001275F8">
        <w:tc>
          <w:tcPr>
            <w:tcW w:w="0" w:type="auto"/>
            <w:vAlign w:val="center"/>
          </w:tcPr>
          <w:p w14:paraId="5F741B7A" w14:textId="77777777" w:rsidR="00216575" w:rsidRPr="0035358E" w:rsidRDefault="00216575" w:rsidP="00CB5ECD">
            <w:pPr>
              <w:pStyle w:val="TableText0"/>
              <w:rPr>
                <w:szCs w:val="20"/>
              </w:rPr>
            </w:pPr>
            <w:r w:rsidRPr="0035358E">
              <w:rPr>
                <w:rFonts w:eastAsia="Arial Narrow" w:cs="Arial"/>
                <w:szCs w:val="20"/>
              </w:rPr>
              <w:t>120 days post birth</w:t>
            </w:r>
          </w:p>
        </w:tc>
        <w:tc>
          <w:tcPr>
            <w:tcW w:w="0" w:type="auto"/>
            <w:vAlign w:val="center"/>
          </w:tcPr>
          <w:p w14:paraId="044F13DB" w14:textId="77777777" w:rsidR="00216575" w:rsidRPr="0035358E" w:rsidRDefault="00216575" w:rsidP="00CB5ECD">
            <w:pPr>
              <w:pStyle w:val="TableText0"/>
              <w:jc w:val="center"/>
              <w:rPr>
                <w:szCs w:val="20"/>
              </w:rPr>
            </w:pPr>
            <w:r w:rsidRPr="0035358E">
              <w:rPr>
                <w:rFonts w:eastAsia="Arial Narrow" w:cs="Arial"/>
                <w:szCs w:val="20"/>
              </w:rPr>
              <w:t>35 (1.0)</w:t>
            </w:r>
          </w:p>
        </w:tc>
        <w:tc>
          <w:tcPr>
            <w:tcW w:w="0" w:type="auto"/>
            <w:vAlign w:val="center"/>
          </w:tcPr>
          <w:p w14:paraId="68B967B0" w14:textId="77777777" w:rsidR="00216575" w:rsidRPr="0035358E" w:rsidRDefault="00216575" w:rsidP="00CB5ECD">
            <w:pPr>
              <w:pStyle w:val="TableText0"/>
              <w:jc w:val="center"/>
              <w:rPr>
                <w:szCs w:val="20"/>
              </w:rPr>
            </w:pPr>
            <w:r w:rsidRPr="0035358E">
              <w:rPr>
                <w:rFonts w:eastAsia="Arial Narrow" w:cs="Arial"/>
                <w:szCs w:val="20"/>
              </w:rPr>
              <w:t>81 (2.3)</w:t>
            </w:r>
          </w:p>
        </w:tc>
        <w:tc>
          <w:tcPr>
            <w:tcW w:w="0" w:type="auto"/>
            <w:vAlign w:val="center"/>
          </w:tcPr>
          <w:p w14:paraId="2BCBAE72" w14:textId="77777777" w:rsidR="00216575" w:rsidRPr="0035358E" w:rsidRDefault="00216575" w:rsidP="00CB5ECD">
            <w:pPr>
              <w:pStyle w:val="TableText0"/>
              <w:jc w:val="center"/>
              <w:rPr>
                <w:b/>
                <w:bCs w:val="0"/>
                <w:szCs w:val="20"/>
              </w:rPr>
            </w:pPr>
            <w:r w:rsidRPr="0035358E">
              <w:rPr>
                <w:rFonts w:eastAsia="Arial Narrow" w:cs="Arial"/>
                <w:b/>
                <w:bCs w:val="0"/>
                <w:szCs w:val="20"/>
              </w:rPr>
              <w:t>56.8 (31.2, 73.5)</w:t>
            </w:r>
          </w:p>
        </w:tc>
        <w:tc>
          <w:tcPr>
            <w:tcW w:w="0" w:type="auto"/>
            <w:vAlign w:val="center"/>
          </w:tcPr>
          <w:p w14:paraId="3FF00748" w14:textId="77777777" w:rsidR="00216575" w:rsidRPr="0035358E" w:rsidRDefault="00216575" w:rsidP="00CB5ECD">
            <w:pPr>
              <w:pStyle w:val="TableText0"/>
              <w:jc w:val="center"/>
              <w:rPr>
                <w:b/>
                <w:bCs w:val="0"/>
                <w:szCs w:val="20"/>
              </w:rPr>
            </w:pPr>
            <w:r w:rsidRPr="0035358E">
              <w:rPr>
                <w:rFonts w:eastAsia="Arial Narrow" w:cs="Arial"/>
                <w:b/>
                <w:bCs w:val="0"/>
                <w:szCs w:val="20"/>
              </w:rPr>
              <w:t>0.0012</w:t>
            </w:r>
          </w:p>
        </w:tc>
      </w:tr>
      <w:tr w:rsidR="00F0666C" w:rsidRPr="0035358E" w14:paraId="7BC7D0BC" w14:textId="77777777" w:rsidTr="001275F8">
        <w:tc>
          <w:tcPr>
            <w:tcW w:w="0" w:type="auto"/>
            <w:vAlign w:val="center"/>
          </w:tcPr>
          <w:p w14:paraId="175C55A6" w14:textId="77777777" w:rsidR="00216575" w:rsidRPr="0035358E" w:rsidRDefault="00216575" w:rsidP="00CB5ECD">
            <w:pPr>
              <w:pStyle w:val="TableText0"/>
              <w:rPr>
                <w:szCs w:val="20"/>
              </w:rPr>
            </w:pPr>
            <w:r w:rsidRPr="0035358E">
              <w:rPr>
                <w:rFonts w:eastAsia="Arial Narrow" w:cs="Arial"/>
                <w:szCs w:val="20"/>
              </w:rPr>
              <w:t>150 days post birth</w:t>
            </w:r>
          </w:p>
        </w:tc>
        <w:tc>
          <w:tcPr>
            <w:tcW w:w="0" w:type="auto"/>
            <w:vAlign w:val="center"/>
          </w:tcPr>
          <w:p w14:paraId="4C4E6CD6" w14:textId="77777777" w:rsidR="00216575" w:rsidRPr="0035358E" w:rsidRDefault="00216575" w:rsidP="00CB5ECD">
            <w:pPr>
              <w:pStyle w:val="TableText0"/>
              <w:jc w:val="center"/>
              <w:rPr>
                <w:szCs w:val="20"/>
              </w:rPr>
            </w:pPr>
            <w:r w:rsidRPr="0035358E">
              <w:rPr>
                <w:rFonts w:eastAsia="Arial Narrow" w:cs="Arial"/>
                <w:szCs w:val="20"/>
              </w:rPr>
              <w:t>47 (1.3)</w:t>
            </w:r>
          </w:p>
        </w:tc>
        <w:tc>
          <w:tcPr>
            <w:tcW w:w="0" w:type="auto"/>
            <w:vAlign w:val="center"/>
          </w:tcPr>
          <w:p w14:paraId="77B23C09" w14:textId="77777777" w:rsidR="00216575" w:rsidRPr="0035358E" w:rsidRDefault="00216575" w:rsidP="00CB5ECD">
            <w:pPr>
              <w:pStyle w:val="TableText0"/>
              <w:jc w:val="center"/>
              <w:rPr>
                <w:szCs w:val="20"/>
              </w:rPr>
            </w:pPr>
            <w:r w:rsidRPr="0035358E">
              <w:rPr>
                <w:rFonts w:eastAsia="Arial Narrow" w:cs="Arial"/>
                <w:szCs w:val="20"/>
              </w:rPr>
              <w:t>99 (2.8)</w:t>
            </w:r>
          </w:p>
        </w:tc>
        <w:tc>
          <w:tcPr>
            <w:tcW w:w="0" w:type="auto"/>
            <w:vAlign w:val="center"/>
          </w:tcPr>
          <w:p w14:paraId="0BB60D80" w14:textId="77777777" w:rsidR="00216575" w:rsidRPr="0035358E" w:rsidRDefault="00216575" w:rsidP="00CB5ECD">
            <w:pPr>
              <w:pStyle w:val="TableText0"/>
              <w:jc w:val="center"/>
              <w:rPr>
                <w:b/>
                <w:bCs w:val="0"/>
                <w:szCs w:val="20"/>
              </w:rPr>
            </w:pPr>
            <w:r w:rsidRPr="0035358E">
              <w:rPr>
                <w:rFonts w:eastAsia="Arial Narrow" w:cs="Arial"/>
                <w:b/>
                <w:bCs w:val="0"/>
                <w:szCs w:val="20"/>
              </w:rPr>
              <w:t>52.5 (28.7, 68.9)</w:t>
            </w:r>
          </w:p>
        </w:tc>
        <w:tc>
          <w:tcPr>
            <w:tcW w:w="0" w:type="auto"/>
            <w:vAlign w:val="center"/>
          </w:tcPr>
          <w:p w14:paraId="62308E16" w14:textId="77777777" w:rsidR="00216575" w:rsidRPr="0035358E" w:rsidRDefault="00216575" w:rsidP="00CB5ECD">
            <w:pPr>
              <w:pStyle w:val="TableText0"/>
              <w:jc w:val="center"/>
              <w:rPr>
                <w:b/>
                <w:bCs w:val="0"/>
                <w:szCs w:val="20"/>
              </w:rPr>
            </w:pPr>
            <w:r w:rsidRPr="0035358E">
              <w:rPr>
                <w:rFonts w:eastAsia="Arial Narrow" w:cs="Arial"/>
                <w:b/>
                <w:bCs w:val="0"/>
                <w:szCs w:val="20"/>
              </w:rPr>
              <w:t>0.0017</w:t>
            </w:r>
          </w:p>
        </w:tc>
      </w:tr>
      <w:tr w:rsidR="00F0666C" w:rsidRPr="0035358E" w14:paraId="06D8B283" w14:textId="77777777" w:rsidTr="001275F8">
        <w:tc>
          <w:tcPr>
            <w:tcW w:w="0" w:type="auto"/>
            <w:vAlign w:val="center"/>
          </w:tcPr>
          <w:p w14:paraId="3B9FA7F8" w14:textId="31B1AA46" w:rsidR="00216575" w:rsidRPr="0035358E" w:rsidRDefault="00216575" w:rsidP="00CB5ECD">
            <w:pPr>
              <w:pStyle w:val="TableText0"/>
              <w:rPr>
                <w:szCs w:val="20"/>
              </w:rPr>
            </w:pPr>
            <w:r w:rsidRPr="0035358E">
              <w:rPr>
                <w:rFonts w:eastAsia="Arial Narrow" w:cs="Arial"/>
                <w:szCs w:val="20"/>
              </w:rPr>
              <w:t>180 days post</w:t>
            </w:r>
            <w:r w:rsidR="004E7C77" w:rsidRPr="0035358E">
              <w:rPr>
                <w:rFonts w:eastAsia="Arial Narrow" w:cs="Arial"/>
                <w:szCs w:val="20"/>
              </w:rPr>
              <w:t xml:space="preserve"> </w:t>
            </w:r>
            <w:r w:rsidRPr="0035358E">
              <w:rPr>
                <w:rFonts w:eastAsia="Arial Narrow" w:cs="Arial"/>
                <w:szCs w:val="20"/>
              </w:rPr>
              <w:t>birth</w:t>
            </w:r>
          </w:p>
        </w:tc>
        <w:tc>
          <w:tcPr>
            <w:tcW w:w="0" w:type="auto"/>
            <w:vAlign w:val="center"/>
          </w:tcPr>
          <w:p w14:paraId="76FBAFAE" w14:textId="77777777" w:rsidR="00216575" w:rsidRPr="0035358E" w:rsidRDefault="00216575" w:rsidP="00CB5ECD">
            <w:pPr>
              <w:pStyle w:val="TableText0"/>
              <w:jc w:val="center"/>
              <w:rPr>
                <w:szCs w:val="20"/>
              </w:rPr>
            </w:pPr>
            <w:r w:rsidRPr="0035358E">
              <w:rPr>
                <w:rFonts w:eastAsia="Arial Narrow" w:cs="Arial"/>
                <w:szCs w:val="20"/>
              </w:rPr>
              <w:t>57 (1.6)</w:t>
            </w:r>
          </w:p>
        </w:tc>
        <w:tc>
          <w:tcPr>
            <w:tcW w:w="0" w:type="auto"/>
            <w:vAlign w:val="center"/>
          </w:tcPr>
          <w:p w14:paraId="308F9734" w14:textId="77777777" w:rsidR="00216575" w:rsidRPr="0035358E" w:rsidRDefault="00216575" w:rsidP="00CB5ECD">
            <w:pPr>
              <w:pStyle w:val="TableText0"/>
              <w:jc w:val="center"/>
              <w:rPr>
                <w:szCs w:val="20"/>
              </w:rPr>
            </w:pPr>
            <w:r w:rsidRPr="0035358E">
              <w:rPr>
                <w:rFonts w:eastAsia="Arial Narrow" w:cs="Arial"/>
                <w:szCs w:val="20"/>
              </w:rPr>
              <w:t>117 (3.4)</w:t>
            </w:r>
          </w:p>
        </w:tc>
        <w:tc>
          <w:tcPr>
            <w:tcW w:w="0" w:type="auto"/>
            <w:vAlign w:val="center"/>
          </w:tcPr>
          <w:p w14:paraId="0FA87C70" w14:textId="77777777" w:rsidR="00216575" w:rsidRPr="0035358E" w:rsidRDefault="00216575" w:rsidP="00CB5ECD">
            <w:pPr>
              <w:pStyle w:val="TableText0"/>
              <w:jc w:val="center"/>
              <w:rPr>
                <w:b/>
                <w:bCs w:val="0"/>
                <w:szCs w:val="20"/>
              </w:rPr>
            </w:pPr>
            <w:r w:rsidRPr="0035358E">
              <w:rPr>
                <w:rFonts w:eastAsia="Arial Narrow" w:cs="Arial"/>
                <w:b/>
                <w:bCs w:val="0"/>
                <w:szCs w:val="20"/>
              </w:rPr>
              <w:t>51.3 (29.4, 66.8)</w:t>
            </w:r>
          </w:p>
        </w:tc>
        <w:tc>
          <w:tcPr>
            <w:tcW w:w="0" w:type="auto"/>
            <w:vAlign w:val="center"/>
          </w:tcPr>
          <w:p w14:paraId="4DBA804C" w14:textId="77777777" w:rsidR="00216575" w:rsidRPr="0035358E" w:rsidRDefault="00216575" w:rsidP="00CB5ECD">
            <w:pPr>
              <w:pStyle w:val="TableText0"/>
              <w:jc w:val="center"/>
              <w:rPr>
                <w:b/>
                <w:bCs w:val="0"/>
                <w:szCs w:val="20"/>
              </w:rPr>
            </w:pPr>
            <w:r w:rsidRPr="0035358E">
              <w:rPr>
                <w:rFonts w:eastAsia="Arial Narrow" w:cs="Arial"/>
                <w:b/>
                <w:bCs w:val="0"/>
                <w:szCs w:val="20"/>
              </w:rPr>
              <w:t>0.0011</w:t>
            </w:r>
          </w:p>
        </w:tc>
      </w:tr>
      <w:tr w:rsidR="00690CC4" w:rsidRPr="0035358E" w14:paraId="6DDCD450" w14:textId="77777777" w:rsidTr="009705F9">
        <w:tc>
          <w:tcPr>
            <w:tcW w:w="0" w:type="auto"/>
            <w:gridSpan w:val="5"/>
            <w:vAlign w:val="center"/>
          </w:tcPr>
          <w:p w14:paraId="3008CA39" w14:textId="40797C2F" w:rsidR="00216575" w:rsidRPr="0035358E" w:rsidRDefault="00216575" w:rsidP="00CB5ECD">
            <w:pPr>
              <w:pStyle w:val="TableText0"/>
              <w:rPr>
                <w:rFonts w:eastAsia="Arial Narrow" w:cs="Arial"/>
                <w:b/>
                <w:bCs w:val="0"/>
                <w:szCs w:val="20"/>
              </w:rPr>
            </w:pPr>
            <w:r w:rsidRPr="0035358E">
              <w:rPr>
                <w:rFonts w:cs="Arial"/>
                <w:b/>
                <w:szCs w:val="20"/>
              </w:rPr>
              <w:t>Final Analysis (reported in pre-PBAC response)</w:t>
            </w:r>
          </w:p>
        </w:tc>
      </w:tr>
      <w:tr w:rsidR="00690CC4" w:rsidRPr="0035358E" w14:paraId="79405FCC" w14:textId="77777777" w:rsidTr="001275F8">
        <w:tc>
          <w:tcPr>
            <w:tcW w:w="0" w:type="auto"/>
            <w:vAlign w:val="center"/>
          </w:tcPr>
          <w:p w14:paraId="7C79841D" w14:textId="401B954D" w:rsidR="00216575" w:rsidRPr="0035358E" w:rsidRDefault="00216575" w:rsidP="00CB5ECD">
            <w:pPr>
              <w:pStyle w:val="TableText0"/>
              <w:rPr>
                <w:rFonts w:eastAsia="Arial Narrow" w:cs="Arial"/>
                <w:b/>
                <w:bCs w:val="0"/>
                <w:szCs w:val="20"/>
              </w:rPr>
            </w:pPr>
            <w:r w:rsidRPr="0035358E">
              <w:rPr>
                <w:rFonts w:cs="Arial"/>
                <w:b/>
                <w:bCs w:val="0"/>
                <w:szCs w:val="20"/>
              </w:rPr>
              <w:t>Time interval</w:t>
            </w:r>
          </w:p>
        </w:tc>
        <w:tc>
          <w:tcPr>
            <w:tcW w:w="0" w:type="auto"/>
            <w:vAlign w:val="center"/>
          </w:tcPr>
          <w:p w14:paraId="7D3B90A6" w14:textId="77777777" w:rsidR="00216575" w:rsidRPr="0035358E" w:rsidRDefault="00216575" w:rsidP="00CB5ECD">
            <w:pPr>
              <w:keepNext/>
              <w:ind w:firstLine="45"/>
              <w:jc w:val="center"/>
              <w:rPr>
                <w:rFonts w:ascii="Arial Narrow" w:hAnsi="Arial Narrow"/>
                <w:b/>
                <w:bCs/>
                <w:sz w:val="20"/>
                <w:szCs w:val="20"/>
              </w:rPr>
            </w:pPr>
            <w:r w:rsidRPr="0035358E">
              <w:rPr>
                <w:rFonts w:ascii="Arial Narrow" w:hAnsi="Arial Narrow"/>
                <w:b/>
                <w:bCs/>
                <w:sz w:val="20"/>
                <w:szCs w:val="20"/>
              </w:rPr>
              <w:t>RSVpreF 120 ug</w:t>
            </w:r>
          </w:p>
          <w:p w14:paraId="71291CCC" w14:textId="77777777" w:rsidR="00216575" w:rsidRPr="0035358E" w:rsidRDefault="00216575" w:rsidP="00CB5ECD">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3,585</w:t>
            </w:r>
          </w:p>
          <w:p w14:paraId="5CCE4578" w14:textId="5142BEE9" w:rsidR="00216575" w:rsidRPr="0035358E" w:rsidRDefault="00216575" w:rsidP="00CB5ECD">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08A2D3C7" w14:textId="77777777" w:rsidR="00216575" w:rsidRPr="0035358E" w:rsidRDefault="00216575" w:rsidP="00CB5ECD">
            <w:pPr>
              <w:keepNext/>
              <w:ind w:firstLine="45"/>
              <w:jc w:val="center"/>
              <w:rPr>
                <w:rFonts w:ascii="Arial Narrow" w:hAnsi="Arial Narrow"/>
                <w:b/>
                <w:bCs/>
                <w:sz w:val="20"/>
                <w:szCs w:val="20"/>
              </w:rPr>
            </w:pPr>
            <w:r w:rsidRPr="0035358E">
              <w:rPr>
                <w:rFonts w:ascii="Arial Narrow" w:hAnsi="Arial Narrow"/>
                <w:b/>
                <w:bCs/>
                <w:sz w:val="20"/>
                <w:szCs w:val="20"/>
              </w:rPr>
              <w:t>Placebo</w:t>
            </w:r>
          </w:p>
          <w:p w14:paraId="69A338AE" w14:textId="77777777" w:rsidR="00216575" w:rsidRPr="0035358E" w:rsidRDefault="00216575" w:rsidP="00CB5ECD">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3,563</w:t>
            </w:r>
          </w:p>
          <w:p w14:paraId="704BED06" w14:textId="35C25EAD" w:rsidR="00216575" w:rsidRPr="0035358E" w:rsidRDefault="00216575" w:rsidP="00CB5ECD">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2BD0F69E" w14:textId="77C7756B" w:rsidR="00216575" w:rsidRPr="0035358E" w:rsidRDefault="0048750D" w:rsidP="00CB5ECD">
            <w:pPr>
              <w:pStyle w:val="TableText0"/>
              <w:jc w:val="center"/>
              <w:rPr>
                <w:rFonts w:eastAsia="Arial Narrow" w:cs="Arial"/>
                <w:b/>
                <w:bCs w:val="0"/>
                <w:szCs w:val="20"/>
              </w:rPr>
            </w:pPr>
            <w:r w:rsidRPr="0035358E">
              <w:rPr>
                <w:rFonts w:cs="Arial"/>
                <w:b/>
                <w:bCs w:val="0"/>
                <w:szCs w:val="20"/>
              </w:rPr>
              <w:t>VE</w:t>
            </w:r>
            <w:r w:rsidR="00216575" w:rsidRPr="0035358E">
              <w:rPr>
                <w:rFonts w:cs="Arial"/>
                <w:b/>
                <w:bCs w:val="0"/>
                <w:szCs w:val="20"/>
                <w:vertAlign w:val="superscript"/>
              </w:rPr>
              <w:t>b</w:t>
            </w:r>
            <w:r w:rsidR="00216575" w:rsidRPr="0035358E">
              <w:rPr>
                <w:rFonts w:cs="Arial"/>
                <w:b/>
                <w:bCs w:val="0"/>
                <w:szCs w:val="20"/>
              </w:rPr>
              <w:t>, % (CI</w:t>
            </w:r>
            <w:r w:rsidR="00216575" w:rsidRPr="0035358E">
              <w:rPr>
                <w:rFonts w:cs="Arial"/>
                <w:b/>
                <w:bCs w:val="0"/>
                <w:szCs w:val="20"/>
                <w:vertAlign w:val="superscript"/>
              </w:rPr>
              <w:t>c</w:t>
            </w:r>
            <w:r w:rsidR="00216575" w:rsidRPr="0035358E">
              <w:rPr>
                <w:rFonts w:cs="Arial"/>
                <w:b/>
                <w:bCs w:val="0"/>
                <w:szCs w:val="20"/>
              </w:rPr>
              <w:t>)</w:t>
            </w:r>
          </w:p>
        </w:tc>
        <w:tc>
          <w:tcPr>
            <w:tcW w:w="0" w:type="auto"/>
            <w:vAlign w:val="center"/>
          </w:tcPr>
          <w:p w14:paraId="0A91D38F" w14:textId="0734D4A7" w:rsidR="00216575" w:rsidRPr="0035358E" w:rsidRDefault="007F7381" w:rsidP="00CB5ECD">
            <w:pPr>
              <w:pStyle w:val="TableText0"/>
              <w:jc w:val="center"/>
              <w:rPr>
                <w:rFonts w:eastAsia="Arial Narrow" w:cs="Arial"/>
                <w:b/>
                <w:bCs w:val="0"/>
                <w:szCs w:val="20"/>
              </w:rPr>
            </w:pPr>
            <w:r w:rsidRPr="0035358E">
              <w:rPr>
                <w:rFonts w:cs="Arial"/>
                <w:b/>
                <w:bCs w:val="0"/>
                <w:szCs w:val="20"/>
              </w:rPr>
              <w:t>Nominal P-value</w:t>
            </w:r>
          </w:p>
        </w:tc>
      </w:tr>
      <w:tr w:rsidR="00690CC4" w:rsidRPr="0035358E" w14:paraId="38B6D958" w14:textId="77777777" w:rsidTr="001275F8">
        <w:tc>
          <w:tcPr>
            <w:tcW w:w="0" w:type="auto"/>
            <w:vAlign w:val="center"/>
          </w:tcPr>
          <w:p w14:paraId="0E739AFF" w14:textId="3664C223" w:rsidR="00216575" w:rsidRPr="0035358E" w:rsidRDefault="00216575" w:rsidP="00CB5ECD">
            <w:pPr>
              <w:pStyle w:val="TableText0"/>
              <w:rPr>
                <w:rFonts w:eastAsia="Arial Narrow" w:cs="Arial"/>
                <w:szCs w:val="20"/>
              </w:rPr>
            </w:pPr>
            <w:r w:rsidRPr="0035358E">
              <w:rPr>
                <w:rFonts w:eastAsia="Arial Narrow" w:cs="Arial"/>
                <w:szCs w:val="20"/>
              </w:rPr>
              <w:t>3 months</w:t>
            </w:r>
            <w:r w:rsidR="00F35B67" w:rsidRPr="0035358E">
              <w:rPr>
                <w:rFonts w:eastAsia="Arial Narrow" w:cs="Arial"/>
                <w:szCs w:val="20"/>
              </w:rPr>
              <w:t xml:space="preserve"> post birth</w:t>
            </w:r>
          </w:p>
        </w:tc>
        <w:tc>
          <w:tcPr>
            <w:tcW w:w="0" w:type="auto"/>
            <w:vAlign w:val="center"/>
          </w:tcPr>
          <w:p w14:paraId="040DD9B8" w14:textId="3D0E1CB1" w:rsidR="00216575" w:rsidRPr="0035358E" w:rsidRDefault="00216575" w:rsidP="00CB5ECD">
            <w:pPr>
              <w:pStyle w:val="TableText0"/>
              <w:jc w:val="center"/>
              <w:rPr>
                <w:rFonts w:eastAsia="Arial Narrow" w:cs="Arial"/>
                <w:szCs w:val="20"/>
              </w:rPr>
            </w:pPr>
            <w:r w:rsidRPr="0035358E">
              <w:rPr>
                <w:rFonts w:eastAsia="Arial Narrow" w:cs="Arial"/>
                <w:szCs w:val="20"/>
              </w:rPr>
              <w:t>25 (0.7)</w:t>
            </w:r>
          </w:p>
        </w:tc>
        <w:tc>
          <w:tcPr>
            <w:tcW w:w="0" w:type="auto"/>
            <w:vAlign w:val="center"/>
          </w:tcPr>
          <w:p w14:paraId="22661A59" w14:textId="6A1F7ED3" w:rsidR="00216575" w:rsidRPr="0035358E" w:rsidRDefault="00216575" w:rsidP="00CB5ECD">
            <w:pPr>
              <w:pStyle w:val="TableText0"/>
              <w:jc w:val="center"/>
              <w:rPr>
                <w:rFonts w:eastAsia="Arial Narrow" w:cs="Arial"/>
                <w:szCs w:val="20"/>
              </w:rPr>
            </w:pPr>
            <w:r w:rsidRPr="0035358E">
              <w:rPr>
                <w:rFonts w:eastAsia="Arial Narrow" w:cs="Arial"/>
                <w:szCs w:val="20"/>
              </w:rPr>
              <w:t>59 (1.7)</w:t>
            </w:r>
          </w:p>
        </w:tc>
        <w:tc>
          <w:tcPr>
            <w:tcW w:w="0" w:type="auto"/>
            <w:vAlign w:val="center"/>
          </w:tcPr>
          <w:p w14:paraId="420D8C24" w14:textId="0B3C4EFA" w:rsidR="00216575" w:rsidRPr="0035358E" w:rsidRDefault="00216575" w:rsidP="00CB5ECD">
            <w:pPr>
              <w:pStyle w:val="TableText0"/>
              <w:jc w:val="center"/>
              <w:rPr>
                <w:rFonts w:eastAsia="Arial Narrow" w:cs="Arial"/>
                <w:b/>
                <w:bCs w:val="0"/>
                <w:szCs w:val="20"/>
              </w:rPr>
            </w:pPr>
            <w:r w:rsidRPr="0035358E">
              <w:rPr>
                <w:rFonts w:eastAsia="Arial Narrow" w:cs="Arial"/>
                <w:szCs w:val="20"/>
              </w:rPr>
              <w:t>57.6 (31.3, 74.6)</w:t>
            </w:r>
          </w:p>
        </w:tc>
        <w:tc>
          <w:tcPr>
            <w:tcW w:w="0" w:type="auto"/>
            <w:vAlign w:val="center"/>
          </w:tcPr>
          <w:p w14:paraId="1CC629AE" w14:textId="6FF44063" w:rsidR="00216575" w:rsidRPr="0035358E" w:rsidRDefault="007F7381" w:rsidP="00CB5ECD">
            <w:pPr>
              <w:pStyle w:val="TableText0"/>
              <w:jc w:val="center"/>
              <w:rPr>
                <w:rFonts w:eastAsia="Arial Narrow" w:cs="Arial"/>
                <w:b/>
                <w:bCs w:val="0"/>
                <w:szCs w:val="20"/>
              </w:rPr>
            </w:pPr>
            <w:r w:rsidRPr="0035358E">
              <w:rPr>
                <w:rFonts w:eastAsia="Arial Narrow" w:cs="Arial"/>
                <w:szCs w:val="20"/>
              </w:rPr>
              <w:t>n.r.</w:t>
            </w:r>
          </w:p>
        </w:tc>
      </w:tr>
      <w:tr w:rsidR="00690CC4" w:rsidRPr="0035358E" w14:paraId="2F1CF3E4" w14:textId="77777777" w:rsidTr="001275F8">
        <w:tc>
          <w:tcPr>
            <w:tcW w:w="0" w:type="auto"/>
            <w:vAlign w:val="center"/>
          </w:tcPr>
          <w:p w14:paraId="57D1E0D9" w14:textId="42DFEDBA" w:rsidR="00216575" w:rsidRPr="0035358E" w:rsidRDefault="00216575" w:rsidP="00CB5ECD">
            <w:pPr>
              <w:pStyle w:val="TableText0"/>
              <w:rPr>
                <w:rFonts w:eastAsia="Arial Narrow" w:cs="Arial"/>
                <w:szCs w:val="20"/>
              </w:rPr>
            </w:pPr>
            <w:r w:rsidRPr="0035358E">
              <w:rPr>
                <w:rFonts w:eastAsia="Arial Narrow" w:cs="Arial"/>
                <w:szCs w:val="20"/>
              </w:rPr>
              <w:t>6 months</w:t>
            </w:r>
            <w:r w:rsidR="00F35B67" w:rsidRPr="0035358E">
              <w:rPr>
                <w:rFonts w:eastAsia="Arial Narrow" w:cs="Arial"/>
                <w:szCs w:val="20"/>
              </w:rPr>
              <w:t xml:space="preserve"> post birth</w:t>
            </w:r>
          </w:p>
        </w:tc>
        <w:tc>
          <w:tcPr>
            <w:tcW w:w="0" w:type="auto"/>
            <w:vAlign w:val="center"/>
          </w:tcPr>
          <w:p w14:paraId="29ABD7A0" w14:textId="2FE5D2B5" w:rsidR="00216575" w:rsidRPr="0035358E" w:rsidRDefault="00216575" w:rsidP="00CB5ECD">
            <w:pPr>
              <w:pStyle w:val="TableText0"/>
              <w:jc w:val="center"/>
              <w:rPr>
                <w:rFonts w:eastAsia="Arial Narrow" w:cs="Arial"/>
                <w:szCs w:val="20"/>
              </w:rPr>
            </w:pPr>
            <w:r w:rsidRPr="0035358E">
              <w:rPr>
                <w:rFonts w:eastAsia="Arial Narrow" w:cs="Arial"/>
                <w:szCs w:val="20"/>
              </w:rPr>
              <w:t>67 (1.9)</w:t>
            </w:r>
          </w:p>
        </w:tc>
        <w:tc>
          <w:tcPr>
            <w:tcW w:w="0" w:type="auto"/>
            <w:vAlign w:val="center"/>
          </w:tcPr>
          <w:p w14:paraId="407BD317" w14:textId="3FF6C229" w:rsidR="00216575" w:rsidRPr="0035358E" w:rsidRDefault="00216575" w:rsidP="00CB5ECD">
            <w:pPr>
              <w:pStyle w:val="TableText0"/>
              <w:jc w:val="center"/>
              <w:rPr>
                <w:rFonts w:eastAsia="Arial Narrow" w:cs="Arial"/>
                <w:szCs w:val="20"/>
              </w:rPr>
            </w:pPr>
            <w:r w:rsidRPr="0035358E">
              <w:rPr>
                <w:rFonts w:eastAsia="Arial Narrow" w:cs="Arial"/>
                <w:szCs w:val="20"/>
              </w:rPr>
              <w:t>132 (3.7)</w:t>
            </w:r>
          </w:p>
        </w:tc>
        <w:tc>
          <w:tcPr>
            <w:tcW w:w="0" w:type="auto"/>
            <w:vAlign w:val="center"/>
          </w:tcPr>
          <w:p w14:paraId="695DFB82" w14:textId="5945C2B5" w:rsidR="00216575" w:rsidRPr="0035358E" w:rsidRDefault="00216575" w:rsidP="00CB5ECD">
            <w:pPr>
              <w:pStyle w:val="TableText0"/>
              <w:jc w:val="center"/>
              <w:rPr>
                <w:rFonts w:eastAsia="Arial Narrow" w:cs="Arial"/>
                <w:b/>
                <w:bCs w:val="0"/>
                <w:szCs w:val="20"/>
              </w:rPr>
            </w:pPr>
            <w:bookmarkStart w:id="38" w:name="_Hlk163161636"/>
            <w:r w:rsidRPr="0035358E">
              <w:rPr>
                <w:rFonts w:eastAsia="Arial Narrow" w:cs="Arial"/>
                <w:szCs w:val="20"/>
              </w:rPr>
              <w:t>49.2 (31.4, 62.8)</w:t>
            </w:r>
            <w:bookmarkEnd w:id="38"/>
          </w:p>
        </w:tc>
        <w:tc>
          <w:tcPr>
            <w:tcW w:w="0" w:type="auto"/>
            <w:vAlign w:val="center"/>
          </w:tcPr>
          <w:p w14:paraId="5586A87B" w14:textId="7990C44A" w:rsidR="00216575" w:rsidRPr="0035358E" w:rsidRDefault="007F7381" w:rsidP="00CB5ECD">
            <w:pPr>
              <w:pStyle w:val="TableText0"/>
              <w:jc w:val="center"/>
              <w:rPr>
                <w:rFonts w:eastAsia="Arial Narrow" w:cs="Arial"/>
                <w:b/>
                <w:bCs w:val="0"/>
                <w:szCs w:val="20"/>
              </w:rPr>
            </w:pPr>
            <w:r w:rsidRPr="0035358E">
              <w:rPr>
                <w:rFonts w:eastAsia="Arial Narrow" w:cs="Arial"/>
                <w:szCs w:val="20"/>
              </w:rPr>
              <w:t>n.r.</w:t>
            </w:r>
          </w:p>
        </w:tc>
      </w:tr>
    </w:tbl>
    <w:p w14:paraId="42450955" w14:textId="5B6348FF" w:rsidR="00F1459A" w:rsidRPr="0035358E" w:rsidRDefault="00F1459A" w:rsidP="00CB5ECD">
      <w:pPr>
        <w:pStyle w:val="FooterTableFigure"/>
        <w:keepNext/>
      </w:pPr>
      <w:r w:rsidRPr="0035358E">
        <w:t>Source: Table 2.5.1, p61 of the submission</w:t>
      </w:r>
      <w:r w:rsidR="00F0666C" w:rsidRPr="0035358E">
        <w:t xml:space="preserve">, </w:t>
      </w:r>
      <w:r w:rsidR="00F0666C" w:rsidRPr="0035358E">
        <w:rPr>
          <w:rFonts w:eastAsia="Calibri"/>
        </w:rPr>
        <w:t xml:space="preserve">Pre-PBAC response Table 2 (from </w:t>
      </w:r>
      <w:r w:rsidR="00F0666C" w:rsidRPr="0035358E">
        <w:rPr>
          <w:szCs w:val="18"/>
        </w:rPr>
        <w:t>Munjal et al., 2024).</w:t>
      </w:r>
    </w:p>
    <w:p w14:paraId="4C1EC002" w14:textId="3F9DDC9D" w:rsidR="00DB24CC" w:rsidRDefault="00AC6CE4" w:rsidP="00CB5ECD">
      <w:pPr>
        <w:pStyle w:val="FooterTableFigure"/>
        <w:keepNext/>
        <w:rPr>
          <w:rFonts w:eastAsia="Calibri"/>
        </w:rPr>
      </w:pPr>
      <w:r>
        <w:t>Abbreviations</w:t>
      </w:r>
      <w:r>
        <w:rPr>
          <w:rFonts w:eastAsia="Calibri"/>
        </w:rPr>
        <w:t xml:space="preserve">: </w:t>
      </w:r>
      <w:r w:rsidR="00F1459A" w:rsidRPr="0035358E">
        <w:rPr>
          <w:rFonts w:eastAsia="Calibri"/>
        </w:rPr>
        <w:t xml:space="preserve">CI = confidence interval; MA-LRTI = medically attended lower respiratory tract illness; N = total participants in group; </w:t>
      </w:r>
      <w:r w:rsidR="0048750D" w:rsidRPr="0035358E">
        <w:rPr>
          <w:rFonts w:eastAsia="Calibri"/>
        </w:rPr>
        <w:t xml:space="preserve">n.r = not reported; </w:t>
      </w:r>
      <w:r w:rsidR="00F1459A" w:rsidRPr="0035358E">
        <w:rPr>
          <w:rFonts w:eastAsia="Calibri"/>
        </w:rPr>
        <w:t xml:space="preserve">RSV = respiratory syncytial virus; RSVpreF = </w:t>
      </w:r>
      <w:r w:rsidR="00F1459A" w:rsidRPr="0035358E">
        <w:rPr>
          <w:szCs w:val="18"/>
        </w:rPr>
        <w:t>respiratory syncytial virus pre-fusion F protein vaccine; VE = vaccine efficacy.</w:t>
      </w:r>
    </w:p>
    <w:p w14:paraId="74AE093D" w14:textId="3CC42726" w:rsidR="00F1459A" w:rsidRPr="0035358E" w:rsidRDefault="00F1459A" w:rsidP="00CB5ECD">
      <w:pPr>
        <w:pStyle w:val="FooterTableFigure"/>
        <w:keepNext/>
        <w:rPr>
          <w:rFonts w:eastAsia="Calibri"/>
          <w:bCs/>
        </w:rPr>
      </w:pPr>
      <w:r w:rsidRPr="00AC6CE4">
        <w:rPr>
          <w:rFonts w:eastAsia="Calibri"/>
          <w:bCs/>
          <w:vertAlign w:val="superscript"/>
        </w:rPr>
        <w:t>a</w:t>
      </w:r>
      <w:r w:rsidRPr="0035358E">
        <w:rPr>
          <w:rFonts w:eastAsia="Calibri"/>
          <w:bCs/>
        </w:rPr>
        <w:t xml:space="preserve"> Number of participants (at risk). Value used as denominator for percentage calculations.</w:t>
      </w:r>
    </w:p>
    <w:p w14:paraId="53A56ADC" w14:textId="77777777" w:rsidR="00F1459A" w:rsidRPr="0035358E" w:rsidRDefault="00F1459A" w:rsidP="00CB5ECD">
      <w:pPr>
        <w:pStyle w:val="FooterTableFigure"/>
        <w:keepNext/>
        <w:rPr>
          <w:rFonts w:eastAsia="Calibri"/>
          <w:bCs/>
        </w:rPr>
      </w:pPr>
      <w:r w:rsidRPr="00AC6CE4">
        <w:rPr>
          <w:rFonts w:eastAsia="Calibri"/>
          <w:bCs/>
          <w:vertAlign w:val="superscript"/>
        </w:rPr>
        <w:t>b</w:t>
      </w:r>
      <w:r w:rsidRPr="0035358E">
        <w:rPr>
          <w:rFonts w:eastAsia="Calibri"/>
          <w:bCs/>
        </w:rPr>
        <w:t xml:space="preserve"> Calculated as 1-(P/[1-P]), where P is the number of cases in the RSVpreF group divided by the total number of cases.</w:t>
      </w:r>
    </w:p>
    <w:p w14:paraId="0C0163F3" w14:textId="77777777" w:rsidR="00F1459A" w:rsidRPr="0035358E" w:rsidRDefault="00F1459A" w:rsidP="00CB5ECD">
      <w:pPr>
        <w:pStyle w:val="FooterTableFigure"/>
        <w:keepNext/>
        <w:rPr>
          <w:rFonts w:eastAsia="Calibri"/>
          <w:bCs/>
        </w:rPr>
      </w:pPr>
      <w:r w:rsidRPr="00AC6CE4">
        <w:rPr>
          <w:rFonts w:eastAsia="Calibri"/>
          <w:bCs/>
          <w:vertAlign w:val="superscript"/>
        </w:rPr>
        <w:t xml:space="preserve">c </w:t>
      </w:r>
      <w:r w:rsidRPr="0035358E">
        <w:rPr>
          <w:rFonts w:eastAsia="Calibri"/>
          <w:bCs/>
        </w:rPr>
        <w:t>99.5% CI at 90 days (as determined by the alpha spending function and adjusted using the Bonferroni procedure), and 97.58% CI at later intervals (based on 2-sided alpha of 0.0483 adjusted using the Bonferroni procedure).</w:t>
      </w:r>
    </w:p>
    <w:p w14:paraId="2C641594" w14:textId="77777777" w:rsidR="00F1459A" w:rsidRPr="0035358E" w:rsidRDefault="00F1459A" w:rsidP="00CB5ECD">
      <w:pPr>
        <w:pStyle w:val="FooterTableFigure"/>
        <w:keepNext/>
        <w:rPr>
          <w:rFonts w:eastAsia="Calibri"/>
          <w:bCs/>
        </w:rPr>
      </w:pPr>
      <w:r w:rsidRPr="00AC6CE4">
        <w:rPr>
          <w:rFonts w:eastAsia="Calibri"/>
          <w:bCs/>
          <w:vertAlign w:val="superscript"/>
        </w:rPr>
        <w:t>d</w:t>
      </w:r>
      <w:r w:rsidRPr="0035358E">
        <w:rPr>
          <w:rFonts w:eastAsia="Calibri"/>
          <w:bCs/>
        </w:rPr>
        <w:t xml:space="preserve"> Unadjusted 1-sided nominal p-value for the null hypothesis that vaccine efficacy ≤ 20% (P-values were included as a post-hoc analysis)</w:t>
      </w:r>
    </w:p>
    <w:p w14:paraId="169CA05E" w14:textId="77777777" w:rsidR="00F1459A" w:rsidRPr="0035358E" w:rsidRDefault="00F1459A" w:rsidP="00F1459A">
      <w:pPr>
        <w:pStyle w:val="FooterTableFigure"/>
        <w:rPr>
          <w:rFonts w:eastAsia="Calibri"/>
        </w:rPr>
      </w:pPr>
      <w:r w:rsidRPr="0035358E">
        <w:rPr>
          <w:rFonts w:eastAsia="Calibri"/>
          <w:b/>
        </w:rPr>
        <w:t>Bold</w:t>
      </w:r>
      <w:r w:rsidRPr="0035358E">
        <w:rPr>
          <w:rFonts w:eastAsia="Calibri"/>
        </w:rPr>
        <w:t xml:space="preserve"> indicates statistically significant results.</w:t>
      </w:r>
    </w:p>
    <w:p w14:paraId="11C0E236" w14:textId="0E3B0836" w:rsidR="00F1459A" w:rsidRPr="0035358E" w:rsidRDefault="00F1459A" w:rsidP="00CB5ECD">
      <w:pPr>
        <w:pStyle w:val="Caption"/>
      </w:pPr>
      <w:bookmarkStart w:id="39" w:name="_Ref152040065"/>
      <w:r w:rsidRPr="0035358E">
        <w:t xml:space="preserve">Figure </w:t>
      </w:r>
      <w:r w:rsidR="00560E31">
        <w:fldChar w:fldCharType="begin"/>
      </w:r>
      <w:r w:rsidR="00560E31">
        <w:instrText xml:space="preserve"> SEQ Figure \* ARABIC </w:instrText>
      </w:r>
      <w:r w:rsidR="00560E31">
        <w:fldChar w:fldCharType="separate"/>
      </w:r>
      <w:r w:rsidR="00A46CAC">
        <w:rPr>
          <w:noProof/>
        </w:rPr>
        <w:t>1</w:t>
      </w:r>
      <w:r w:rsidR="00560E31">
        <w:rPr>
          <w:noProof/>
        </w:rPr>
        <w:fldChar w:fldCharType="end"/>
      </w:r>
      <w:bookmarkEnd w:id="39"/>
      <w:r w:rsidRPr="0035358E">
        <w:t>: KM curves for RSV-positive MA-LRTI occurring in infants through 180 days after birth.</w:t>
      </w:r>
    </w:p>
    <w:p w14:paraId="2FB2DD9A" w14:textId="77777777" w:rsidR="00F1459A" w:rsidRPr="0035358E" w:rsidRDefault="00F1459A" w:rsidP="00CB5ECD">
      <w:pPr>
        <w:pStyle w:val="3-BodyText"/>
        <w:keepNext/>
        <w:numPr>
          <w:ilvl w:val="0"/>
          <w:numId w:val="0"/>
        </w:numPr>
        <w:spacing w:after="0"/>
        <w:rPr>
          <w:color w:val="0066FF"/>
        </w:rPr>
      </w:pPr>
      <w:r w:rsidRPr="0035358E">
        <w:rPr>
          <w:noProof/>
        </w:rPr>
        <w:drawing>
          <wp:inline distT="0" distB="0" distL="0" distR="0" wp14:anchorId="0103992E" wp14:editId="51A1D7A0">
            <wp:extent cx="5732145" cy="3015615"/>
            <wp:effectExtent l="0" t="0" r="1905" b="0"/>
            <wp:docPr id="1198809663" name="Picture 1198809663" descr="Figure 1: KM curves for RSV-positive MA-LRTI occurring in infants through 180 days after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09663" name="Picture 1198809663" descr="Figure 1: KM curves for RSV-positive MA-LRTI occurring in infants through 180 days after birth."/>
                    <pic:cNvPicPr/>
                  </pic:nvPicPr>
                  <pic:blipFill>
                    <a:blip r:embed="rId8"/>
                    <a:stretch>
                      <a:fillRect/>
                    </a:stretch>
                  </pic:blipFill>
                  <pic:spPr>
                    <a:xfrm>
                      <a:off x="0" y="0"/>
                      <a:ext cx="5732145" cy="3015615"/>
                    </a:xfrm>
                    <a:prstGeom prst="rect">
                      <a:avLst/>
                    </a:prstGeom>
                  </pic:spPr>
                </pic:pic>
              </a:graphicData>
            </a:graphic>
          </wp:inline>
        </w:drawing>
      </w:r>
    </w:p>
    <w:p w14:paraId="7BEC2852" w14:textId="13627612" w:rsidR="00F1459A" w:rsidRPr="0035358E" w:rsidRDefault="00F1459A" w:rsidP="00CB5ECD">
      <w:pPr>
        <w:keepNext/>
        <w:rPr>
          <w:rFonts w:ascii="Arial Narrow" w:hAnsi="Arial Narrow"/>
          <w:sz w:val="18"/>
          <w:szCs w:val="18"/>
        </w:rPr>
      </w:pPr>
      <w:r w:rsidRPr="0035358E">
        <w:rPr>
          <w:rFonts w:ascii="Arial Narrow" w:hAnsi="Arial Narrow"/>
          <w:sz w:val="18"/>
          <w:szCs w:val="18"/>
        </w:rPr>
        <w:t>Source: Figure 2.5.1, p62 of the submission</w:t>
      </w:r>
      <w:r w:rsidR="00F35B67" w:rsidRPr="0035358E">
        <w:rPr>
          <w:rFonts w:ascii="Arial Narrow" w:hAnsi="Arial Narrow"/>
          <w:sz w:val="18"/>
          <w:szCs w:val="18"/>
        </w:rPr>
        <w:t xml:space="preserve"> (primary analysis, corresponding to a data cut-off date of 30 September 2022)</w:t>
      </w:r>
      <w:r w:rsidRPr="0035358E">
        <w:rPr>
          <w:rFonts w:ascii="Arial Narrow" w:hAnsi="Arial Narrow"/>
          <w:sz w:val="18"/>
          <w:szCs w:val="18"/>
        </w:rPr>
        <w:t>.</w:t>
      </w:r>
    </w:p>
    <w:p w14:paraId="2DD3C7A7" w14:textId="179EB5C6" w:rsidR="00F1459A" w:rsidRPr="0035358E" w:rsidRDefault="00AC6CE4" w:rsidP="00CB5ECD">
      <w:pPr>
        <w:spacing w:after="120"/>
        <w:rPr>
          <w:rFonts w:ascii="Arial Narrow" w:hAnsi="Arial Narrow"/>
          <w:sz w:val="18"/>
          <w:szCs w:val="18"/>
        </w:rPr>
      </w:pPr>
      <w:r w:rsidRPr="00AC6CE4">
        <w:rPr>
          <w:rFonts w:ascii="Arial Narrow" w:hAnsi="Arial Narrow"/>
          <w:sz w:val="18"/>
          <w:szCs w:val="18"/>
        </w:rPr>
        <w:t>Abbreviations</w:t>
      </w:r>
      <w:r>
        <w:rPr>
          <w:rFonts w:ascii="Arial Narrow" w:hAnsi="Arial Narrow"/>
          <w:sz w:val="18"/>
          <w:szCs w:val="18"/>
        </w:rPr>
        <w:t xml:space="preserve">: </w:t>
      </w:r>
      <w:r w:rsidR="00F1459A" w:rsidRPr="0035358E">
        <w:rPr>
          <w:rFonts w:ascii="Arial Narrow" w:hAnsi="Arial Narrow"/>
          <w:sz w:val="18"/>
          <w:szCs w:val="18"/>
        </w:rPr>
        <w:t>KM = Kaplan-Meier; MA-LRTI = medically attended lower respiratory tract illness; RSV = respiratory syncytial virus; RSVpreF = respiratory syncytial virus pre-fusion F protein vaccine.</w:t>
      </w:r>
    </w:p>
    <w:p w14:paraId="12198315" w14:textId="356ECEB2" w:rsidR="000869D6" w:rsidRPr="0035358E" w:rsidRDefault="009A3F07" w:rsidP="00DD4B2C">
      <w:pPr>
        <w:pStyle w:val="3-BodyText"/>
      </w:pPr>
      <w:r w:rsidRPr="0035358E">
        <w:t>Given the ATAGI advice supporting administration from 28 weeks gestation, the PSCR presented additional analyses</w:t>
      </w:r>
      <w:r w:rsidR="00CA37A1" w:rsidRPr="0035358E">
        <w:t xml:space="preserve"> for the subgroup vaccinated from 28 weeks to &lt;</w:t>
      </w:r>
      <w:r w:rsidR="00071A99">
        <w:t> </w:t>
      </w:r>
      <w:r w:rsidR="00CA37A1" w:rsidRPr="0035358E">
        <w:t>37</w:t>
      </w:r>
      <w:r w:rsidR="00071A99">
        <w:t> </w:t>
      </w:r>
      <w:r w:rsidR="00CA37A1" w:rsidRPr="0035358E">
        <w:t>weeks gestation</w:t>
      </w:r>
      <w:r w:rsidR="000869D6" w:rsidRPr="0035358E">
        <w:t xml:space="preserve"> </w:t>
      </w:r>
      <w:r w:rsidR="00AE444D" w:rsidRPr="0035358E">
        <w:t>for RSV-positive MA-LRTI</w:t>
      </w:r>
      <w:r w:rsidR="00BC3819" w:rsidRPr="0035358E">
        <w:t xml:space="preserve"> in the MATISSE </w:t>
      </w:r>
      <w:r w:rsidR="006012AB" w:rsidRPr="0035358E">
        <w:t xml:space="preserve">trial </w:t>
      </w:r>
      <w:r w:rsidR="00AE444D" w:rsidRPr="0035358E">
        <w:t>(</w:t>
      </w:r>
      <w:r w:rsidR="00AE444D" w:rsidRPr="0035358E">
        <w:fldChar w:fldCharType="begin"/>
      </w:r>
      <w:r w:rsidR="00AE444D" w:rsidRPr="0035358E">
        <w:instrText xml:space="preserve"> REF _Ref159652766 \h  \* MERGEFORMAT </w:instrText>
      </w:r>
      <w:r w:rsidR="00AE444D" w:rsidRPr="0035358E">
        <w:fldChar w:fldCharType="separate"/>
      </w:r>
      <w:r w:rsidR="00A46CAC" w:rsidRPr="0035358E">
        <w:t xml:space="preserve">Table </w:t>
      </w:r>
      <w:r w:rsidR="00A46CAC">
        <w:t>5</w:t>
      </w:r>
      <w:r w:rsidR="00AE444D" w:rsidRPr="0035358E">
        <w:fldChar w:fldCharType="end"/>
      </w:r>
      <w:r w:rsidR="00AE444D" w:rsidRPr="0035358E">
        <w:t>)</w:t>
      </w:r>
      <w:r w:rsidRPr="0035358E">
        <w:t xml:space="preserve">. </w:t>
      </w:r>
      <w:r w:rsidR="000869D6" w:rsidRPr="0035358E">
        <w:t>For RSV</w:t>
      </w:r>
      <w:r w:rsidR="000834E8" w:rsidRPr="0035358E">
        <w:noBreakHyphen/>
      </w:r>
      <w:r w:rsidR="000869D6" w:rsidRPr="0035358E">
        <w:t xml:space="preserve">positive MA-LRTI, there were 35 cases in infants within 180 days after birth in the </w:t>
      </w:r>
      <w:r w:rsidR="000869D6" w:rsidRPr="0035358E">
        <w:lastRenderedPageBreak/>
        <w:t>RSVpreF group and 90 cases in the placebo group, corresponding to a VE of 61.0% (95% CI: 41.7, 74.4) for RSVpreF (</w:t>
      </w:r>
      <w:r w:rsidR="000869D6" w:rsidRPr="0035358E">
        <w:fldChar w:fldCharType="begin"/>
      </w:r>
      <w:r w:rsidR="000869D6" w:rsidRPr="0035358E">
        <w:instrText xml:space="preserve"> REF _Ref159652766 \h  \* MERGEFORMAT </w:instrText>
      </w:r>
      <w:r w:rsidR="000869D6" w:rsidRPr="0035358E">
        <w:fldChar w:fldCharType="separate"/>
      </w:r>
      <w:r w:rsidR="00A46CAC" w:rsidRPr="0035358E">
        <w:t xml:space="preserve">Table </w:t>
      </w:r>
      <w:r w:rsidR="00A46CAC">
        <w:t>5</w:t>
      </w:r>
      <w:r w:rsidR="000869D6" w:rsidRPr="0035358E">
        <w:fldChar w:fldCharType="end"/>
      </w:r>
      <w:r w:rsidR="000869D6" w:rsidRPr="0035358E">
        <w:t xml:space="preserve">) which was </w:t>
      </w:r>
      <w:r w:rsidR="007431F0" w:rsidRPr="0035358E">
        <w:t>higher than</w:t>
      </w:r>
      <w:r w:rsidR="000869D6" w:rsidRPr="0035358E">
        <w:t xml:space="preserve"> that reported for the overall population</w:t>
      </w:r>
      <w:r w:rsidR="00DB24CC">
        <w:t xml:space="preserve"> </w:t>
      </w:r>
      <w:r w:rsidR="000869D6" w:rsidRPr="0035358E">
        <w:t>(VE of 51.3% (97.58% CI:29.4%, 66.8%) for RSVpreF (</w:t>
      </w:r>
      <w:r w:rsidR="000869D6" w:rsidRPr="0035358E">
        <w:fldChar w:fldCharType="begin"/>
      </w:r>
      <w:r w:rsidR="000869D6" w:rsidRPr="0035358E">
        <w:instrText xml:space="preserve"> REF _Ref152040019 \h  \* MERGEFORMAT </w:instrText>
      </w:r>
      <w:r w:rsidR="000869D6" w:rsidRPr="0035358E">
        <w:fldChar w:fldCharType="separate"/>
      </w:r>
      <w:r w:rsidR="00A46CAC" w:rsidRPr="0035358E">
        <w:t xml:space="preserve">Table </w:t>
      </w:r>
      <w:r w:rsidR="00A46CAC">
        <w:t>4</w:t>
      </w:r>
      <w:r w:rsidR="000869D6" w:rsidRPr="0035358E">
        <w:fldChar w:fldCharType="end"/>
      </w:r>
      <w:r w:rsidR="000869D6" w:rsidRPr="0035358E">
        <w:t>).</w:t>
      </w:r>
      <w:r w:rsidR="00272A67" w:rsidRPr="0035358E">
        <w:t xml:space="preserve"> </w:t>
      </w:r>
      <w:r w:rsidR="00173E6F" w:rsidRPr="0035358E">
        <w:t xml:space="preserve">The ESC noted the subgroup of women from 28 weeks to &lt; 37 weeks gestation represented approximately 2/3 of the MATISSE </w:t>
      </w:r>
      <w:r w:rsidR="006012AB" w:rsidRPr="0035358E">
        <w:t xml:space="preserve">trial </w:t>
      </w:r>
      <w:r w:rsidR="00173E6F" w:rsidRPr="0035358E">
        <w:t xml:space="preserve">population. </w:t>
      </w:r>
      <w:r w:rsidR="00272A67" w:rsidRPr="0035358E">
        <w:t xml:space="preserve">The ESC noted that the number of cases reported in this subgroup analysis ranged from 18 to 35 in the RSVpreF group and 43 to 90 in the placebo group. The ESC </w:t>
      </w:r>
      <w:r w:rsidR="00311446" w:rsidRPr="0035358E">
        <w:t>noted</w:t>
      </w:r>
      <w:r w:rsidR="00272A67" w:rsidRPr="0035358E">
        <w:t xml:space="preserve"> </w:t>
      </w:r>
      <w:r w:rsidR="00051BC7" w:rsidRPr="0035358E">
        <w:t xml:space="preserve">that </w:t>
      </w:r>
      <w:r w:rsidR="00272A67" w:rsidRPr="0035358E">
        <w:t xml:space="preserve">the subgroup results </w:t>
      </w:r>
      <w:r w:rsidR="00051BC7" w:rsidRPr="0035358E">
        <w:t>suggested improved efficacy when the vaccine was administered between 28</w:t>
      </w:r>
      <w:r w:rsidR="00071A99">
        <w:t> </w:t>
      </w:r>
      <w:r w:rsidR="00051BC7" w:rsidRPr="0035358E">
        <w:t>weeks to &lt;</w:t>
      </w:r>
      <w:r w:rsidR="00071A99">
        <w:t> </w:t>
      </w:r>
      <w:r w:rsidR="00051BC7" w:rsidRPr="0035358E">
        <w:t>37</w:t>
      </w:r>
      <w:r w:rsidR="00071A99">
        <w:t> </w:t>
      </w:r>
      <w:r w:rsidR="00051BC7" w:rsidRPr="0035358E">
        <w:t>weeks gestation</w:t>
      </w:r>
      <w:r w:rsidR="00311446" w:rsidRPr="0035358E">
        <w:t>, although the magnitude of effect in the subgroup was less</w:t>
      </w:r>
      <w:r w:rsidR="00272A67" w:rsidRPr="0035358E">
        <w:t xml:space="preserve"> certain due to the relatively small number of cases in comparison with the </w:t>
      </w:r>
      <w:r w:rsidR="00251D28" w:rsidRPr="0035358E">
        <w:t xml:space="preserve">overall </w:t>
      </w:r>
      <w:r w:rsidR="00272A67" w:rsidRPr="0035358E">
        <w:t>analysis</w:t>
      </w:r>
      <w:r w:rsidR="00C93F78" w:rsidRPr="0035358E">
        <w:t xml:space="preserve">. </w:t>
      </w:r>
      <w:r w:rsidR="006C41EF" w:rsidRPr="0035358E">
        <w:t>The pre-PBAC response stated that results based on the final analysis were consistent with the primary analysis for analyses by timing of dosing (</w:t>
      </w:r>
      <w:r w:rsidR="006C41EF" w:rsidRPr="0035358E">
        <w:fldChar w:fldCharType="begin"/>
      </w:r>
      <w:r w:rsidR="006C41EF" w:rsidRPr="0035358E">
        <w:instrText xml:space="preserve"> REF _Ref159652766 \h </w:instrText>
      </w:r>
      <w:r w:rsidR="00062914" w:rsidRPr="0035358E">
        <w:instrText xml:space="preserve"> \* MERGEFORMAT </w:instrText>
      </w:r>
      <w:r w:rsidR="006C41EF" w:rsidRPr="0035358E">
        <w:fldChar w:fldCharType="separate"/>
      </w:r>
      <w:r w:rsidR="00A46CAC" w:rsidRPr="0035358E">
        <w:t xml:space="preserve">Table </w:t>
      </w:r>
      <w:r w:rsidR="00A46CAC">
        <w:t>5</w:t>
      </w:r>
      <w:r w:rsidR="006C41EF" w:rsidRPr="0035358E">
        <w:fldChar w:fldCharType="end"/>
      </w:r>
      <w:r w:rsidR="006C41EF" w:rsidRPr="0035358E">
        <w:t>).</w:t>
      </w:r>
    </w:p>
    <w:p w14:paraId="47E47755" w14:textId="48A5DD62" w:rsidR="009A3F07" w:rsidRPr="0035358E" w:rsidRDefault="009A3F07" w:rsidP="00AE0C2A">
      <w:pPr>
        <w:pStyle w:val="TableFigureHeading"/>
        <w:rPr>
          <w:rStyle w:val="CommentReference"/>
          <w:b/>
          <w:szCs w:val="24"/>
        </w:rPr>
      </w:pPr>
      <w:bookmarkStart w:id="40" w:name="_Ref159652766"/>
      <w:r w:rsidRPr="0035358E">
        <w:t xml:space="preserve">Table </w:t>
      </w:r>
      <w:r w:rsidR="00560E31">
        <w:fldChar w:fldCharType="begin"/>
      </w:r>
      <w:r w:rsidR="00560E31">
        <w:instrText xml:space="preserve"> SEQ Table \* ARABIC </w:instrText>
      </w:r>
      <w:r w:rsidR="00560E31">
        <w:fldChar w:fldCharType="separate"/>
      </w:r>
      <w:r w:rsidR="00A46CAC">
        <w:rPr>
          <w:noProof/>
        </w:rPr>
        <w:t>5</w:t>
      </w:r>
      <w:r w:rsidR="00560E31">
        <w:rPr>
          <w:noProof/>
        </w:rPr>
        <w:fldChar w:fldCharType="end"/>
      </w:r>
      <w:bookmarkEnd w:id="40"/>
      <w:r w:rsidRPr="0035358E">
        <w:t>:</w:t>
      </w:r>
      <w:r w:rsidRPr="0035358E">
        <w:rPr>
          <w:rStyle w:val="CommentReference"/>
          <w:b/>
          <w:szCs w:val="24"/>
        </w:rPr>
        <w:t xml:space="preserve"> RSV-positive MA-LRTI occurring in infants through 180 days after birth </w:t>
      </w:r>
      <w:bookmarkStart w:id="41" w:name="_Hlk164145244"/>
      <w:r w:rsidRPr="0035358E">
        <w:rPr>
          <w:rStyle w:val="CommentReference"/>
          <w:b/>
          <w:szCs w:val="24"/>
        </w:rPr>
        <w:t>– Subgroup vaccinated from 28 weeks to &lt;37 weeks gestation</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SV-positive MA-LRTI occurring in infants through 180 days after birth – Subgroup vaccinated from 28 weeks to &lt;37 weeks gestation"/>
      </w:tblPr>
      <w:tblGrid>
        <w:gridCol w:w="2409"/>
        <w:gridCol w:w="2270"/>
        <w:gridCol w:w="2216"/>
        <w:gridCol w:w="2122"/>
      </w:tblGrid>
      <w:tr w:rsidR="00690CC4" w:rsidRPr="0035358E" w14:paraId="561F8D1A" w14:textId="77777777" w:rsidTr="00263227">
        <w:trPr>
          <w:tblHeader/>
        </w:trPr>
        <w:tc>
          <w:tcPr>
            <w:tcW w:w="0" w:type="auto"/>
            <w:vAlign w:val="center"/>
          </w:tcPr>
          <w:p w14:paraId="22C2C535" w14:textId="77777777" w:rsidR="00CA37A1" w:rsidRPr="0035358E" w:rsidRDefault="00CA37A1" w:rsidP="00071A99">
            <w:pPr>
              <w:pStyle w:val="In-tableHeading"/>
              <w:rPr>
                <w:szCs w:val="20"/>
                <w:lang w:val="en-AU"/>
              </w:rPr>
            </w:pPr>
            <w:r w:rsidRPr="0035358E">
              <w:rPr>
                <w:rFonts w:cs="Arial"/>
                <w:bCs/>
                <w:szCs w:val="20"/>
                <w:lang w:val="en-AU"/>
              </w:rPr>
              <w:t>Time interval</w:t>
            </w:r>
          </w:p>
        </w:tc>
        <w:tc>
          <w:tcPr>
            <w:tcW w:w="0" w:type="auto"/>
            <w:vAlign w:val="center"/>
          </w:tcPr>
          <w:p w14:paraId="2514471D" w14:textId="77777777" w:rsidR="00CA37A1" w:rsidRPr="0035358E" w:rsidRDefault="00CA37A1" w:rsidP="00071A99">
            <w:pPr>
              <w:keepNext/>
              <w:keepLines/>
              <w:ind w:firstLine="45"/>
              <w:jc w:val="center"/>
              <w:rPr>
                <w:rFonts w:ascii="Arial Narrow" w:hAnsi="Arial Narrow"/>
                <w:b/>
                <w:bCs/>
                <w:sz w:val="20"/>
                <w:szCs w:val="20"/>
              </w:rPr>
            </w:pPr>
            <w:r w:rsidRPr="0035358E">
              <w:rPr>
                <w:rFonts w:ascii="Arial Narrow" w:hAnsi="Arial Narrow"/>
                <w:b/>
                <w:bCs/>
                <w:sz w:val="20"/>
                <w:szCs w:val="20"/>
              </w:rPr>
              <w:t>RSVpreF 120 ug</w:t>
            </w:r>
          </w:p>
          <w:p w14:paraId="15F8FA9B" w14:textId="4718E366" w:rsidR="00CA37A1" w:rsidRPr="0035358E" w:rsidRDefault="00CA37A1"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2,605</w:t>
            </w:r>
          </w:p>
          <w:p w14:paraId="0BB2C256" w14:textId="77777777" w:rsidR="00CA37A1" w:rsidRPr="0035358E" w:rsidRDefault="00CA37A1" w:rsidP="00071A99">
            <w:pPr>
              <w:pStyle w:val="In-tableHeading"/>
              <w:jc w:val="center"/>
              <w:rPr>
                <w:szCs w:val="20"/>
                <w:lang w:val="en-AU"/>
              </w:rPr>
            </w:pPr>
            <w:r w:rsidRPr="0035358E">
              <w:rPr>
                <w:rFonts w:cs="Arial"/>
                <w:bCs/>
                <w:szCs w:val="20"/>
                <w:lang w:val="en-AU"/>
              </w:rPr>
              <w:t>No. of cases (%)</w:t>
            </w:r>
          </w:p>
        </w:tc>
        <w:tc>
          <w:tcPr>
            <w:tcW w:w="0" w:type="auto"/>
            <w:vAlign w:val="center"/>
          </w:tcPr>
          <w:p w14:paraId="63D60F4B" w14:textId="77777777" w:rsidR="00CA37A1" w:rsidRPr="0035358E" w:rsidRDefault="00CA37A1" w:rsidP="00071A99">
            <w:pPr>
              <w:keepNext/>
              <w:keepLines/>
              <w:ind w:firstLine="45"/>
              <w:jc w:val="center"/>
              <w:rPr>
                <w:rFonts w:ascii="Arial Narrow" w:hAnsi="Arial Narrow"/>
                <w:b/>
                <w:bCs/>
                <w:sz w:val="20"/>
                <w:szCs w:val="20"/>
              </w:rPr>
            </w:pPr>
            <w:r w:rsidRPr="0035358E">
              <w:rPr>
                <w:rFonts w:ascii="Arial Narrow" w:hAnsi="Arial Narrow"/>
                <w:b/>
                <w:bCs/>
                <w:sz w:val="20"/>
                <w:szCs w:val="20"/>
              </w:rPr>
              <w:t>Placebo</w:t>
            </w:r>
          </w:p>
          <w:p w14:paraId="261596FA" w14:textId="236CDB6E" w:rsidR="00CA37A1" w:rsidRPr="0035358E" w:rsidRDefault="00CA37A1"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2,614</w:t>
            </w:r>
          </w:p>
          <w:p w14:paraId="254DA96C" w14:textId="77777777" w:rsidR="00CA37A1" w:rsidRPr="0035358E" w:rsidRDefault="00CA37A1" w:rsidP="00071A99">
            <w:pPr>
              <w:pStyle w:val="In-tableHeading"/>
              <w:jc w:val="center"/>
              <w:rPr>
                <w:szCs w:val="20"/>
                <w:lang w:val="en-AU"/>
              </w:rPr>
            </w:pPr>
            <w:r w:rsidRPr="0035358E">
              <w:rPr>
                <w:rFonts w:cs="Arial"/>
                <w:bCs/>
                <w:szCs w:val="20"/>
                <w:lang w:val="en-AU"/>
              </w:rPr>
              <w:t>No. of cases (%)</w:t>
            </w:r>
          </w:p>
        </w:tc>
        <w:tc>
          <w:tcPr>
            <w:tcW w:w="0" w:type="auto"/>
            <w:vAlign w:val="center"/>
          </w:tcPr>
          <w:p w14:paraId="2F695B58" w14:textId="5EA3ED9D" w:rsidR="00CA37A1" w:rsidRPr="0035358E" w:rsidRDefault="00CA37A1" w:rsidP="00071A99">
            <w:pPr>
              <w:pStyle w:val="In-tableHeading"/>
              <w:jc w:val="center"/>
              <w:rPr>
                <w:szCs w:val="20"/>
                <w:lang w:val="en-AU"/>
              </w:rPr>
            </w:pPr>
            <w:r w:rsidRPr="0035358E">
              <w:rPr>
                <w:rFonts w:cs="Arial"/>
                <w:bCs/>
                <w:szCs w:val="20"/>
                <w:lang w:val="en-AU"/>
              </w:rPr>
              <w:t>VE</w:t>
            </w:r>
            <w:r w:rsidRPr="0035358E">
              <w:rPr>
                <w:rFonts w:cs="Arial"/>
                <w:bCs/>
                <w:szCs w:val="20"/>
                <w:vertAlign w:val="superscript"/>
                <w:lang w:val="en-AU"/>
              </w:rPr>
              <w:t>b</w:t>
            </w:r>
            <w:r w:rsidRPr="0035358E">
              <w:rPr>
                <w:rFonts w:cs="Arial"/>
                <w:bCs/>
                <w:szCs w:val="20"/>
                <w:lang w:val="en-AU"/>
              </w:rPr>
              <w:t>, 95% (CI)</w:t>
            </w:r>
          </w:p>
        </w:tc>
      </w:tr>
      <w:tr w:rsidR="006D69B4" w:rsidRPr="0035358E" w14:paraId="7ED077E3" w14:textId="77777777" w:rsidTr="0015613B">
        <w:trPr>
          <w:tblHeader/>
        </w:trPr>
        <w:tc>
          <w:tcPr>
            <w:tcW w:w="0" w:type="auto"/>
            <w:gridSpan w:val="4"/>
            <w:vAlign w:val="center"/>
          </w:tcPr>
          <w:p w14:paraId="354A4F49" w14:textId="5E3954DC" w:rsidR="008D0146" w:rsidRPr="0035358E" w:rsidRDefault="008D0146" w:rsidP="008D0146">
            <w:pPr>
              <w:pStyle w:val="In-tableHeading"/>
              <w:rPr>
                <w:rFonts w:cs="Arial"/>
                <w:bCs/>
                <w:szCs w:val="20"/>
                <w:lang w:val="en-AU"/>
              </w:rPr>
            </w:pPr>
            <w:r w:rsidRPr="0035358E">
              <w:rPr>
                <w:rFonts w:cs="Arial"/>
                <w:bCs/>
                <w:szCs w:val="20"/>
                <w:lang w:val="en-AU"/>
              </w:rPr>
              <w:t>Primary Analysis (reported in PSCR)</w:t>
            </w:r>
          </w:p>
        </w:tc>
      </w:tr>
      <w:tr w:rsidR="00690CC4" w:rsidRPr="0035358E" w14:paraId="392FBFC2" w14:textId="77777777" w:rsidTr="00263227">
        <w:tc>
          <w:tcPr>
            <w:tcW w:w="0" w:type="auto"/>
            <w:vAlign w:val="center"/>
          </w:tcPr>
          <w:p w14:paraId="065DE75C" w14:textId="77777777" w:rsidR="00CA37A1" w:rsidRPr="0035358E" w:rsidRDefault="00CA37A1" w:rsidP="00100354">
            <w:pPr>
              <w:pStyle w:val="TableText0"/>
              <w:rPr>
                <w:szCs w:val="20"/>
              </w:rPr>
            </w:pPr>
            <w:r w:rsidRPr="0035358E">
              <w:rPr>
                <w:rFonts w:eastAsia="Arial Narrow" w:cs="Arial"/>
                <w:szCs w:val="20"/>
              </w:rPr>
              <w:t>90 days post birth</w:t>
            </w:r>
          </w:p>
        </w:tc>
        <w:tc>
          <w:tcPr>
            <w:tcW w:w="0" w:type="auto"/>
            <w:vAlign w:val="center"/>
          </w:tcPr>
          <w:p w14:paraId="5B815ED4" w14:textId="6D642CE0" w:rsidR="00CA37A1" w:rsidRPr="0035358E" w:rsidRDefault="00CA37A1" w:rsidP="00100354">
            <w:pPr>
              <w:pStyle w:val="TableText0"/>
              <w:jc w:val="center"/>
              <w:rPr>
                <w:szCs w:val="20"/>
              </w:rPr>
            </w:pPr>
            <w:r w:rsidRPr="0035358E">
              <w:rPr>
                <w:rFonts w:eastAsia="Arial Narrow" w:cs="Arial"/>
                <w:szCs w:val="20"/>
              </w:rPr>
              <w:t>18 (0.7)</w:t>
            </w:r>
          </w:p>
        </w:tc>
        <w:tc>
          <w:tcPr>
            <w:tcW w:w="0" w:type="auto"/>
            <w:vAlign w:val="center"/>
          </w:tcPr>
          <w:p w14:paraId="0D1FE3E1" w14:textId="3FB02812" w:rsidR="00CA37A1" w:rsidRPr="0035358E" w:rsidRDefault="00CA37A1" w:rsidP="00100354">
            <w:pPr>
              <w:pStyle w:val="TableText0"/>
              <w:jc w:val="center"/>
              <w:rPr>
                <w:szCs w:val="20"/>
              </w:rPr>
            </w:pPr>
            <w:r w:rsidRPr="0035358E">
              <w:rPr>
                <w:rFonts w:eastAsia="Arial Narrow" w:cs="Arial"/>
                <w:szCs w:val="20"/>
              </w:rPr>
              <w:t>43 (1.6)</w:t>
            </w:r>
          </w:p>
        </w:tc>
        <w:tc>
          <w:tcPr>
            <w:tcW w:w="0" w:type="auto"/>
            <w:vAlign w:val="center"/>
          </w:tcPr>
          <w:p w14:paraId="1B75E1B1" w14:textId="472402A0" w:rsidR="00CA37A1" w:rsidRPr="0035358E" w:rsidRDefault="00CA37A1" w:rsidP="00100354">
            <w:pPr>
              <w:pStyle w:val="TableText0"/>
              <w:jc w:val="center"/>
              <w:rPr>
                <w:szCs w:val="20"/>
              </w:rPr>
            </w:pPr>
            <w:r w:rsidRPr="0035358E">
              <w:rPr>
                <w:rFonts w:eastAsia="Arial Narrow" w:cs="Arial"/>
                <w:szCs w:val="20"/>
              </w:rPr>
              <w:t>58.0 (25.6, 77.2)</w:t>
            </w:r>
          </w:p>
        </w:tc>
      </w:tr>
      <w:tr w:rsidR="00690CC4" w:rsidRPr="0035358E" w14:paraId="03840D2E" w14:textId="77777777" w:rsidTr="00263227">
        <w:tc>
          <w:tcPr>
            <w:tcW w:w="0" w:type="auto"/>
            <w:vAlign w:val="center"/>
          </w:tcPr>
          <w:p w14:paraId="68746D41" w14:textId="77777777" w:rsidR="00CA37A1" w:rsidRPr="0035358E" w:rsidRDefault="00CA37A1" w:rsidP="00100354">
            <w:pPr>
              <w:pStyle w:val="TableText0"/>
              <w:rPr>
                <w:szCs w:val="20"/>
              </w:rPr>
            </w:pPr>
            <w:r w:rsidRPr="0035358E">
              <w:rPr>
                <w:rFonts w:eastAsia="Arial Narrow" w:cs="Arial"/>
                <w:szCs w:val="20"/>
              </w:rPr>
              <w:t>120 days post birth</w:t>
            </w:r>
          </w:p>
        </w:tc>
        <w:tc>
          <w:tcPr>
            <w:tcW w:w="0" w:type="auto"/>
            <w:vAlign w:val="center"/>
          </w:tcPr>
          <w:p w14:paraId="55903B04" w14:textId="6DFC3B1F" w:rsidR="00CA37A1" w:rsidRPr="0035358E" w:rsidRDefault="00CA37A1" w:rsidP="00100354">
            <w:pPr>
              <w:pStyle w:val="TableText0"/>
              <w:jc w:val="center"/>
              <w:rPr>
                <w:szCs w:val="20"/>
              </w:rPr>
            </w:pPr>
            <w:r w:rsidRPr="0035358E">
              <w:rPr>
                <w:rFonts w:eastAsia="Arial Narrow" w:cs="Arial"/>
                <w:szCs w:val="20"/>
              </w:rPr>
              <w:t>25 (1.0)</w:t>
            </w:r>
          </w:p>
        </w:tc>
        <w:tc>
          <w:tcPr>
            <w:tcW w:w="0" w:type="auto"/>
            <w:vAlign w:val="center"/>
          </w:tcPr>
          <w:p w14:paraId="1934F195" w14:textId="30FCAC98" w:rsidR="00CA37A1" w:rsidRPr="0035358E" w:rsidRDefault="00CA37A1" w:rsidP="00100354">
            <w:pPr>
              <w:pStyle w:val="TableText0"/>
              <w:jc w:val="center"/>
              <w:rPr>
                <w:szCs w:val="20"/>
              </w:rPr>
            </w:pPr>
            <w:r w:rsidRPr="0035358E">
              <w:rPr>
                <w:rFonts w:eastAsia="Arial Narrow" w:cs="Arial"/>
                <w:szCs w:val="20"/>
              </w:rPr>
              <w:t>61 (2.3)</w:t>
            </w:r>
          </w:p>
        </w:tc>
        <w:tc>
          <w:tcPr>
            <w:tcW w:w="0" w:type="auto"/>
            <w:vAlign w:val="center"/>
          </w:tcPr>
          <w:p w14:paraId="1F248E8A" w14:textId="7E788D0B" w:rsidR="00CA37A1" w:rsidRPr="0035358E" w:rsidRDefault="00CA37A1" w:rsidP="00100354">
            <w:pPr>
              <w:pStyle w:val="TableText0"/>
              <w:jc w:val="center"/>
              <w:rPr>
                <w:szCs w:val="20"/>
              </w:rPr>
            </w:pPr>
            <w:r w:rsidRPr="0035358E">
              <w:rPr>
                <w:rFonts w:eastAsia="Arial Narrow" w:cs="Arial"/>
                <w:szCs w:val="20"/>
              </w:rPr>
              <w:t>58.9 (33.5, 75.3)</w:t>
            </w:r>
          </w:p>
        </w:tc>
      </w:tr>
      <w:tr w:rsidR="00690CC4" w:rsidRPr="0035358E" w14:paraId="0C3B6D59" w14:textId="77777777" w:rsidTr="00263227">
        <w:tc>
          <w:tcPr>
            <w:tcW w:w="0" w:type="auto"/>
            <w:vAlign w:val="center"/>
          </w:tcPr>
          <w:p w14:paraId="3A98DA34" w14:textId="77777777" w:rsidR="00CA37A1" w:rsidRPr="0035358E" w:rsidRDefault="00CA37A1" w:rsidP="00100354">
            <w:pPr>
              <w:pStyle w:val="TableText0"/>
              <w:rPr>
                <w:szCs w:val="20"/>
              </w:rPr>
            </w:pPr>
            <w:r w:rsidRPr="0035358E">
              <w:rPr>
                <w:rFonts w:eastAsia="Arial Narrow" w:cs="Arial"/>
                <w:szCs w:val="20"/>
              </w:rPr>
              <w:t>150 days post birth</w:t>
            </w:r>
          </w:p>
        </w:tc>
        <w:tc>
          <w:tcPr>
            <w:tcW w:w="0" w:type="auto"/>
            <w:vAlign w:val="center"/>
          </w:tcPr>
          <w:p w14:paraId="14F7D95B" w14:textId="1FBA1269" w:rsidR="00CA37A1" w:rsidRPr="0035358E" w:rsidRDefault="00CA37A1" w:rsidP="00100354">
            <w:pPr>
              <w:pStyle w:val="TableText0"/>
              <w:jc w:val="center"/>
              <w:rPr>
                <w:szCs w:val="20"/>
              </w:rPr>
            </w:pPr>
            <w:r w:rsidRPr="0035358E">
              <w:rPr>
                <w:rFonts w:eastAsia="Arial Narrow" w:cs="Arial"/>
                <w:szCs w:val="20"/>
              </w:rPr>
              <w:t>30 (1.2)</w:t>
            </w:r>
          </w:p>
        </w:tc>
        <w:tc>
          <w:tcPr>
            <w:tcW w:w="0" w:type="auto"/>
            <w:vAlign w:val="center"/>
          </w:tcPr>
          <w:p w14:paraId="035A3115" w14:textId="63D5EE29" w:rsidR="00CA37A1" w:rsidRPr="0035358E" w:rsidRDefault="00CA37A1" w:rsidP="00100354">
            <w:pPr>
              <w:pStyle w:val="TableText0"/>
              <w:jc w:val="center"/>
              <w:rPr>
                <w:szCs w:val="20"/>
              </w:rPr>
            </w:pPr>
            <w:r w:rsidRPr="0035358E">
              <w:rPr>
                <w:rFonts w:eastAsia="Arial Narrow" w:cs="Arial"/>
                <w:szCs w:val="20"/>
              </w:rPr>
              <w:t>76 (2.9)</w:t>
            </w:r>
          </w:p>
        </w:tc>
        <w:tc>
          <w:tcPr>
            <w:tcW w:w="0" w:type="auto"/>
            <w:vAlign w:val="center"/>
          </w:tcPr>
          <w:p w14:paraId="3619AEDF" w14:textId="21CFE094" w:rsidR="00CA37A1" w:rsidRPr="0035358E" w:rsidRDefault="00CA37A1" w:rsidP="00100354">
            <w:pPr>
              <w:pStyle w:val="TableText0"/>
              <w:jc w:val="center"/>
              <w:rPr>
                <w:szCs w:val="20"/>
              </w:rPr>
            </w:pPr>
            <w:r w:rsidRPr="0035358E">
              <w:rPr>
                <w:rFonts w:eastAsia="Arial Narrow" w:cs="Arial"/>
                <w:szCs w:val="20"/>
              </w:rPr>
              <w:t>60.4 (38.8, 74.9)</w:t>
            </w:r>
          </w:p>
        </w:tc>
      </w:tr>
      <w:tr w:rsidR="00690CC4" w:rsidRPr="0035358E" w14:paraId="49761485" w14:textId="77777777" w:rsidTr="00263227">
        <w:tc>
          <w:tcPr>
            <w:tcW w:w="0" w:type="auto"/>
            <w:vAlign w:val="center"/>
          </w:tcPr>
          <w:p w14:paraId="1C9439DB" w14:textId="77777777" w:rsidR="00CA37A1" w:rsidRPr="0035358E" w:rsidRDefault="00CA37A1" w:rsidP="00100354">
            <w:pPr>
              <w:pStyle w:val="TableText0"/>
              <w:rPr>
                <w:szCs w:val="20"/>
              </w:rPr>
            </w:pPr>
            <w:r w:rsidRPr="0035358E">
              <w:rPr>
                <w:rFonts w:eastAsia="Arial Narrow" w:cs="Arial"/>
                <w:szCs w:val="20"/>
              </w:rPr>
              <w:t>180 days post-birth</w:t>
            </w:r>
          </w:p>
        </w:tc>
        <w:tc>
          <w:tcPr>
            <w:tcW w:w="0" w:type="auto"/>
            <w:vAlign w:val="center"/>
          </w:tcPr>
          <w:p w14:paraId="7D7C35E9" w14:textId="454F4103" w:rsidR="00CA37A1" w:rsidRPr="0035358E" w:rsidRDefault="00CA37A1" w:rsidP="00100354">
            <w:pPr>
              <w:pStyle w:val="TableText0"/>
              <w:jc w:val="center"/>
              <w:rPr>
                <w:szCs w:val="20"/>
              </w:rPr>
            </w:pPr>
            <w:r w:rsidRPr="0035358E">
              <w:rPr>
                <w:rFonts w:eastAsia="Arial Narrow" w:cs="Arial"/>
                <w:szCs w:val="20"/>
              </w:rPr>
              <w:t>35 (1.3)</w:t>
            </w:r>
          </w:p>
        </w:tc>
        <w:tc>
          <w:tcPr>
            <w:tcW w:w="0" w:type="auto"/>
            <w:vAlign w:val="center"/>
          </w:tcPr>
          <w:p w14:paraId="212D240E" w14:textId="1E45A4F2" w:rsidR="00CA37A1" w:rsidRPr="0035358E" w:rsidRDefault="00CA37A1" w:rsidP="00100354">
            <w:pPr>
              <w:pStyle w:val="TableText0"/>
              <w:jc w:val="center"/>
              <w:rPr>
                <w:szCs w:val="20"/>
              </w:rPr>
            </w:pPr>
            <w:r w:rsidRPr="0035358E">
              <w:rPr>
                <w:rFonts w:eastAsia="Arial Narrow" w:cs="Arial"/>
                <w:szCs w:val="20"/>
              </w:rPr>
              <w:t>90 (3.4)</w:t>
            </w:r>
          </w:p>
        </w:tc>
        <w:tc>
          <w:tcPr>
            <w:tcW w:w="0" w:type="auto"/>
            <w:vAlign w:val="center"/>
          </w:tcPr>
          <w:p w14:paraId="5BCD0307" w14:textId="33E42737" w:rsidR="00CA37A1" w:rsidRPr="0035358E" w:rsidRDefault="00CA37A1" w:rsidP="00100354">
            <w:pPr>
              <w:pStyle w:val="TableText0"/>
              <w:jc w:val="center"/>
              <w:rPr>
                <w:szCs w:val="20"/>
              </w:rPr>
            </w:pPr>
            <w:r w:rsidRPr="0035358E">
              <w:rPr>
                <w:rFonts w:eastAsia="Arial Narrow" w:cs="Arial"/>
                <w:szCs w:val="20"/>
              </w:rPr>
              <w:t>61.0 (41.7, 74.4)</w:t>
            </w:r>
          </w:p>
        </w:tc>
      </w:tr>
      <w:tr w:rsidR="006D69B4" w:rsidRPr="0035358E" w14:paraId="3D60A0AC" w14:textId="77777777" w:rsidTr="00BB3C3E">
        <w:tc>
          <w:tcPr>
            <w:tcW w:w="0" w:type="auto"/>
            <w:gridSpan w:val="4"/>
            <w:vAlign w:val="center"/>
          </w:tcPr>
          <w:p w14:paraId="2251F63F" w14:textId="77777777" w:rsidR="008D0146" w:rsidRPr="0035358E" w:rsidRDefault="008D0146" w:rsidP="00BB3C3E">
            <w:pPr>
              <w:pStyle w:val="TableText0"/>
              <w:rPr>
                <w:rFonts w:eastAsia="Arial Narrow" w:cs="Arial"/>
                <w:b/>
                <w:szCs w:val="20"/>
              </w:rPr>
            </w:pPr>
            <w:bookmarkStart w:id="42" w:name="_Hlk163581678"/>
            <w:r w:rsidRPr="0035358E">
              <w:rPr>
                <w:rFonts w:cs="Arial"/>
                <w:b/>
                <w:szCs w:val="20"/>
              </w:rPr>
              <w:t>Final Analysis (reported in pre-PBAC response)</w:t>
            </w:r>
          </w:p>
        </w:tc>
      </w:tr>
      <w:tr w:rsidR="00690CC4" w:rsidRPr="0035358E" w14:paraId="76B749A8" w14:textId="77777777" w:rsidTr="00071A99">
        <w:tc>
          <w:tcPr>
            <w:tcW w:w="0" w:type="auto"/>
            <w:vAlign w:val="center"/>
          </w:tcPr>
          <w:p w14:paraId="3F00CE26" w14:textId="45E91D11" w:rsidR="008D0146" w:rsidRPr="0035358E" w:rsidRDefault="004E7C77" w:rsidP="00071A99">
            <w:pPr>
              <w:pStyle w:val="TableText0"/>
              <w:rPr>
                <w:rFonts w:eastAsia="Arial Narrow" w:cs="Arial"/>
                <w:b/>
                <w:bCs w:val="0"/>
                <w:szCs w:val="20"/>
              </w:rPr>
            </w:pPr>
            <w:r w:rsidRPr="0035358E">
              <w:rPr>
                <w:rFonts w:cs="Arial"/>
                <w:b/>
                <w:bCs w:val="0"/>
                <w:szCs w:val="20"/>
              </w:rPr>
              <w:t>Time interval</w:t>
            </w:r>
          </w:p>
        </w:tc>
        <w:tc>
          <w:tcPr>
            <w:tcW w:w="0" w:type="auto"/>
          </w:tcPr>
          <w:p w14:paraId="1CF159EE" w14:textId="77777777" w:rsidR="008D0146" w:rsidRPr="0035358E" w:rsidRDefault="008D0146" w:rsidP="00071A99">
            <w:pPr>
              <w:ind w:firstLine="45"/>
              <w:jc w:val="center"/>
              <w:rPr>
                <w:rFonts w:ascii="Arial Narrow" w:hAnsi="Arial Narrow"/>
                <w:b/>
                <w:sz w:val="20"/>
                <w:szCs w:val="20"/>
              </w:rPr>
            </w:pPr>
            <w:r w:rsidRPr="0035358E">
              <w:rPr>
                <w:rFonts w:ascii="Arial Narrow" w:hAnsi="Arial Narrow"/>
                <w:b/>
                <w:sz w:val="20"/>
                <w:szCs w:val="20"/>
              </w:rPr>
              <w:t>RSVpreF 120 ug</w:t>
            </w:r>
          </w:p>
          <w:p w14:paraId="7213B5EE" w14:textId="77777777" w:rsidR="008D0146" w:rsidRPr="0035358E" w:rsidRDefault="008D0146" w:rsidP="00071A99">
            <w:pPr>
              <w:pStyle w:val="TableText0"/>
              <w:jc w:val="center"/>
              <w:rPr>
                <w:rFonts w:cs="Arial"/>
                <w:b/>
                <w:bCs w:val="0"/>
                <w:szCs w:val="20"/>
              </w:rPr>
            </w:pPr>
            <w:r w:rsidRPr="0035358E">
              <w:rPr>
                <w:rFonts w:cs="Arial"/>
                <w:b/>
                <w:bCs w:val="0"/>
                <w:szCs w:val="20"/>
              </w:rPr>
              <w:t>N</w:t>
            </w:r>
            <w:r w:rsidRPr="0035358E">
              <w:rPr>
                <w:rFonts w:cs="Arial"/>
                <w:b/>
                <w:bCs w:val="0"/>
                <w:szCs w:val="20"/>
                <w:vertAlign w:val="superscript"/>
              </w:rPr>
              <w:t>a</w:t>
            </w:r>
            <w:r w:rsidRPr="0035358E">
              <w:rPr>
                <w:rFonts w:cs="Arial"/>
                <w:b/>
                <w:bCs w:val="0"/>
                <w:szCs w:val="20"/>
              </w:rPr>
              <w:t xml:space="preserve"> = 2,669</w:t>
            </w:r>
          </w:p>
          <w:p w14:paraId="79376DAF" w14:textId="77777777" w:rsidR="008D0146" w:rsidRPr="0035358E" w:rsidRDefault="008D0146" w:rsidP="00071A99">
            <w:pPr>
              <w:pStyle w:val="TableText0"/>
              <w:jc w:val="center"/>
              <w:rPr>
                <w:rFonts w:eastAsia="Arial Narrow" w:cs="Arial"/>
                <w:b/>
                <w:bCs w:val="0"/>
                <w:szCs w:val="20"/>
              </w:rPr>
            </w:pPr>
            <w:r w:rsidRPr="0035358E">
              <w:rPr>
                <w:rFonts w:cs="Arial"/>
                <w:b/>
                <w:bCs w:val="0"/>
                <w:szCs w:val="20"/>
              </w:rPr>
              <w:t>No. of cases (%)</w:t>
            </w:r>
          </w:p>
        </w:tc>
        <w:tc>
          <w:tcPr>
            <w:tcW w:w="0" w:type="auto"/>
          </w:tcPr>
          <w:p w14:paraId="5E77C716" w14:textId="77777777" w:rsidR="008D0146" w:rsidRPr="0035358E" w:rsidRDefault="008D0146" w:rsidP="00071A99">
            <w:pPr>
              <w:ind w:firstLine="45"/>
              <w:jc w:val="center"/>
              <w:rPr>
                <w:rFonts w:ascii="Arial Narrow" w:hAnsi="Arial Narrow"/>
                <w:b/>
                <w:sz w:val="20"/>
                <w:szCs w:val="20"/>
              </w:rPr>
            </w:pPr>
            <w:r w:rsidRPr="0035358E">
              <w:rPr>
                <w:rFonts w:ascii="Arial Narrow" w:hAnsi="Arial Narrow"/>
                <w:b/>
                <w:sz w:val="20"/>
                <w:szCs w:val="20"/>
              </w:rPr>
              <w:t>Placebo</w:t>
            </w:r>
          </w:p>
          <w:p w14:paraId="341D8237" w14:textId="77777777" w:rsidR="008D0146" w:rsidRPr="0035358E" w:rsidRDefault="008D0146" w:rsidP="00071A99">
            <w:pPr>
              <w:pStyle w:val="TableText0"/>
              <w:jc w:val="center"/>
              <w:rPr>
                <w:rFonts w:cs="Arial"/>
                <w:b/>
                <w:bCs w:val="0"/>
                <w:szCs w:val="20"/>
              </w:rPr>
            </w:pPr>
            <w:r w:rsidRPr="0035358E">
              <w:rPr>
                <w:rFonts w:cs="Arial"/>
                <w:b/>
                <w:bCs w:val="0"/>
                <w:szCs w:val="20"/>
              </w:rPr>
              <w:t>N</w:t>
            </w:r>
            <w:r w:rsidRPr="0035358E">
              <w:rPr>
                <w:rFonts w:cs="Arial"/>
                <w:b/>
                <w:bCs w:val="0"/>
                <w:szCs w:val="20"/>
                <w:vertAlign w:val="superscript"/>
              </w:rPr>
              <w:t>a</w:t>
            </w:r>
            <w:r w:rsidRPr="0035358E">
              <w:rPr>
                <w:rFonts w:cs="Arial"/>
                <w:b/>
                <w:bCs w:val="0"/>
                <w:szCs w:val="20"/>
              </w:rPr>
              <w:t xml:space="preserve"> = 2,676</w:t>
            </w:r>
          </w:p>
          <w:p w14:paraId="6B194F0B" w14:textId="77777777" w:rsidR="008D0146" w:rsidRPr="0035358E" w:rsidRDefault="008D0146" w:rsidP="00071A99">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44FA5BBF" w14:textId="4404B08C" w:rsidR="008D0146" w:rsidRPr="0035358E" w:rsidRDefault="008D0146" w:rsidP="00071A99">
            <w:pPr>
              <w:pStyle w:val="TableText0"/>
              <w:jc w:val="center"/>
              <w:rPr>
                <w:rFonts w:eastAsia="Arial Narrow" w:cs="Arial"/>
                <w:b/>
                <w:bCs w:val="0"/>
                <w:szCs w:val="20"/>
              </w:rPr>
            </w:pPr>
            <w:r w:rsidRPr="0035358E">
              <w:rPr>
                <w:rFonts w:eastAsia="Arial Narrow" w:cs="Arial"/>
                <w:b/>
                <w:bCs w:val="0"/>
                <w:szCs w:val="20"/>
              </w:rPr>
              <w:t>VE</w:t>
            </w:r>
            <w:r w:rsidRPr="0035358E">
              <w:rPr>
                <w:rFonts w:eastAsia="Arial Narrow" w:cs="Arial"/>
                <w:b/>
                <w:bCs w:val="0"/>
                <w:szCs w:val="20"/>
                <w:vertAlign w:val="superscript"/>
              </w:rPr>
              <w:t>b</w:t>
            </w:r>
            <w:r w:rsidRPr="0035358E">
              <w:rPr>
                <w:rFonts w:eastAsia="Arial Narrow" w:cs="Arial"/>
                <w:b/>
                <w:bCs w:val="0"/>
                <w:szCs w:val="20"/>
              </w:rPr>
              <w:t xml:space="preserve">, </w:t>
            </w:r>
            <w:r w:rsidR="00D77B87" w:rsidRPr="0035358E">
              <w:rPr>
                <w:rFonts w:eastAsia="Arial Narrow" w:cs="Arial"/>
                <w:b/>
                <w:bCs w:val="0"/>
                <w:szCs w:val="20"/>
              </w:rPr>
              <w:t>95</w:t>
            </w:r>
            <w:r w:rsidRPr="0035358E">
              <w:rPr>
                <w:rFonts w:eastAsia="Arial Narrow" w:cs="Arial"/>
                <w:b/>
                <w:bCs w:val="0"/>
                <w:szCs w:val="20"/>
              </w:rPr>
              <w:t>% (CI)</w:t>
            </w:r>
          </w:p>
        </w:tc>
      </w:tr>
      <w:tr w:rsidR="00690CC4" w:rsidRPr="0035358E" w14:paraId="4D859759" w14:textId="77777777" w:rsidTr="00BB3C3E">
        <w:tc>
          <w:tcPr>
            <w:tcW w:w="0" w:type="auto"/>
            <w:vAlign w:val="center"/>
          </w:tcPr>
          <w:p w14:paraId="03A92D13" w14:textId="77777777" w:rsidR="008D0146" w:rsidRPr="0035358E" w:rsidRDefault="008D0146" w:rsidP="008D0146">
            <w:pPr>
              <w:pStyle w:val="TableText0"/>
              <w:rPr>
                <w:rFonts w:eastAsia="Arial Narrow" w:cs="Arial"/>
                <w:szCs w:val="20"/>
              </w:rPr>
            </w:pPr>
            <w:r w:rsidRPr="0035358E">
              <w:rPr>
                <w:rFonts w:eastAsia="Arial Narrow" w:cs="Arial"/>
                <w:szCs w:val="20"/>
              </w:rPr>
              <w:t>90 days post birth</w:t>
            </w:r>
          </w:p>
        </w:tc>
        <w:tc>
          <w:tcPr>
            <w:tcW w:w="0" w:type="auto"/>
          </w:tcPr>
          <w:p w14:paraId="0C32E262" w14:textId="5E73B325" w:rsidR="008D0146" w:rsidRPr="0035358E" w:rsidRDefault="008D0146" w:rsidP="008D0146">
            <w:pPr>
              <w:pStyle w:val="TableText0"/>
              <w:jc w:val="center"/>
            </w:pPr>
            <w:r w:rsidRPr="0035358E">
              <w:t>19 (0.7)</w:t>
            </w:r>
          </w:p>
        </w:tc>
        <w:tc>
          <w:tcPr>
            <w:tcW w:w="0" w:type="auto"/>
          </w:tcPr>
          <w:p w14:paraId="17239116" w14:textId="4E46E65E" w:rsidR="008D0146" w:rsidRPr="0035358E" w:rsidRDefault="008D0146" w:rsidP="008D0146">
            <w:pPr>
              <w:pStyle w:val="TableText0"/>
              <w:jc w:val="center"/>
            </w:pPr>
            <w:r w:rsidRPr="0035358E">
              <w:t>46 (1.7)</w:t>
            </w:r>
          </w:p>
        </w:tc>
        <w:tc>
          <w:tcPr>
            <w:tcW w:w="0" w:type="auto"/>
          </w:tcPr>
          <w:p w14:paraId="4A81B768" w14:textId="5DB9E461" w:rsidR="008D0146" w:rsidRPr="0035358E" w:rsidRDefault="008D0146" w:rsidP="008D0146">
            <w:pPr>
              <w:pStyle w:val="TableText0"/>
              <w:jc w:val="center"/>
            </w:pPr>
            <w:r w:rsidRPr="0035358E">
              <w:t>58.6 (27.9, 77.1)</w:t>
            </w:r>
          </w:p>
        </w:tc>
      </w:tr>
      <w:tr w:rsidR="00690CC4" w:rsidRPr="0035358E" w14:paraId="0DCEB8BC" w14:textId="77777777" w:rsidTr="00BB3C3E">
        <w:tc>
          <w:tcPr>
            <w:tcW w:w="0" w:type="auto"/>
            <w:vAlign w:val="center"/>
          </w:tcPr>
          <w:p w14:paraId="7BA9F320" w14:textId="4D361A63" w:rsidR="008D0146" w:rsidRPr="0035358E" w:rsidRDefault="008D0146" w:rsidP="00071A99">
            <w:pPr>
              <w:pStyle w:val="TableText0"/>
              <w:rPr>
                <w:rFonts w:eastAsia="Arial Narrow" w:cs="Arial"/>
                <w:szCs w:val="20"/>
              </w:rPr>
            </w:pPr>
            <w:r w:rsidRPr="0035358E">
              <w:rPr>
                <w:rFonts w:eastAsia="Arial Narrow" w:cs="Arial"/>
                <w:szCs w:val="20"/>
              </w:rPr>
              <w:t>1</w:t>
            </w:r>
            <w:r w:rsidR="000834E8" w:rsidRPr="0035358E">
              <w:rPr>
                <w:rFonts w:eastAsia="Arial Narrow" w:cs="Arial"/>
                <w:szCs w:val="20"/>
              </w:rPr>
              <w:t>8</w:t>
            </w:r>
            <w:r w:rsidRPr="0035358E">
              <w:rPr>
                <w:rFonts w:eastAsia="Arial Narrow" w:cs="Arial"/>
                <w:szCs w:val="20"/>
              </w:rPr>
              <w:t>0 days post birth</w:t>
            </w:r>
          </w:p>
        </w:tc>
        <w:tc>
          <w:tcPr>
            <w:tcW w:w="0" w:type="auto"/>
          </w:tcPr>
          <w:p w14:paraId="41E1179F" w14:textId="765E5C07" w:rsidR="008D0146" w:rsidRPr="0035358E" w:rsidRDefault="008D0146" w:rsidP="00071A99">
            <w:pPr>
              <w:pStyle w:val="TableText0"/>
              <w:jc w:val="center"/>
              <w:rPr>
                <w:rFonts w:eastAsia="Arial Narrow" w:cs="Arial"/>
                <w:szCs w:val="20"/>
              </w:rPr>
            </w:pPr>
            <w:r w:rsidRPr="0035358E">
              <w:t>41 (1.5)</w:t>
            </w:r>
          </w:p>
        </w:tc>
        <w:tc>
          <w:tcPr>
            <w:tcW w:w="0" w:type="auto"/>
          </w:tcPr>
          <w:p w14:paraId="7354187C" w14:textId="41C377EE" w:rsidR="008D0146" w:rsidRPr="0035358E" w:rsidRDefault="008D0146" w:rsidP="00071A99">
            <w:pPr>
              <w:pStyle w:val="TableText0"/>
              <w:jc w:val="center"/>
              <w:rPr>
                <w:rFonts w:eastAsia="Arial Narrow" w:cs="Arial"/>
                <w:szCs w:val="20"/>
              </w:rPr>
            </w:pPr>
            <w:r w:rsidRPr="0035358E">
              <w:t>101 (3.8)</w:t>
            </w:r>
          </w:p>
        </w:tc>
        <w:tc>
          <w:tcPr>
            <w:tcW w:w="0" w:type="auto"/>
          </w:tcPr>
          <w:p w14:paraId="7C3C3232" w14:textId="6B9AC803" w:rsidR="008D0146" w:rsidRPr="0035358E" w:rsidRDefault="008D0146" w:rsidP="00071A99">
            <w:pPr>
              <w:pStyle w:val="TableText0"/>
              <w:jc w:val="center"/>
              <w:rPr>
                <w:rFonts w:eastAsia="Arial Narrow" w:cs="Arial"/>
                <w:b/>
                <w:bCs w:val="0"/>
                <w:szCs w:val="20"/>
              </w:rPr>
            </w:pPr>
            <w:r w:rsidRPr="0035358E">
              <w:t>59.3 (40.9, 72.4)</w:t>
            </w:r>
          </w:p>
        </w:tc>
      </w:tr>
    </w:tbl>
    <w:bookmarkEnd w:id="42"/>
    <w:p w14:paraId="1543A0BA" w14:textId="45A4F170" w:rsidR="004B7E98" w:rsidRPr="0035358E" w:rsidRDefault="009A3F07" w:rsidP="00071A99">
      <w:pPr>
        <w:pStyle w:val="FooterTableFigure"/>
        <w:keepNext/>
      </w:pPr>
      <w:r w:rsidRPr="0035358E">
        <w:t>Source: PSCR Table 2</w:t>
      </w:r>
      <w:r w:rsidR="008D0146" w:rsidRPr="0035358E">
        <w:rPr>
          <w:rFonts w:eastAsia="Calibri"/>
          <w:snapToGrid/>
        </w:rPr>
        <w:t xml:space="preserve">, </w:t>
      </w:r>
      <w:r w:rsidR="008D0146" w:rsidRPr="0035358E">
        <w:rPr>
          <w:rFonts w:eastAsia="Calibri"/>
        </w:rPr>
        <w:t>Pre-PBAC response Table 3</w:t>
      </w:r>
      <w:r w:rsidR="00EE78B1" w:rsidRPr="0035358E">
        <w:rPr>
          <w:rFonts w:eastAsia="Calibri"/>
        </w:rPr>
        <w:t xml:space="preserve"> </w:t>
      </w:r>
      <w:r w:rsidR="00EE78B1" w:rsidRPr="0035358E">
        <w:rPr>
          <w:snapToGrid/>
        </w:rPr>
        <w:t>however the results could not be verified as the source data table was not provided</w:t>
      </w:r>
      <w:r w:rsidR="008D0146" w:rsidRPr="0035358E">
        <w:rPr>
          <w:rFonts w:eastAsia="Calibri"/>
          <w:snapToGrid/>
        </w:rPr>
        <w:t>.</w:t>
      </w:r>
    </w:p>
    <w:p w14:paraId="1D4679C3" w14:textId="7B8B1182" w:rsidR="00DB24CC" w:rsidRDefault="00AC6CE4" w:rsidP="00071A99">
      <w:pPr>
        <w:pStyle w:val="FooterTableFigure"/>
        <w:keepNext/>
        <w:rPr>
          <w:rFonts w:eastAsia="Calibri"/>
        </w:rPr>
      </w:pPr>
      <w:r>
        <w:t>Abbreviations</w:t>
      </w:r>
      <w:r>
        <w:rPr>
          <w:rFonts w:eastAsia="Calibri"/>
        </w:rPr>
        <w:t xml:space="preserve">: </w:t>
      </w:r>
      <w:r w:rsidR="009A3F07" w:rsidRPr="0035358E">
        <w:rPr>
          <w:rFonts w:eastAsia="Calibri"/>
        </w:rPr>
        <w:t xml:space="preserve">CI = confidence interval; MA-LRTI = medically attended lower respiratory tract illness; N = total participants in group; RSV = respiratory syncytial virus; RSVpreF = </w:t>
      </w:r>
      <w:r w:rsidR="009A3F07" w:rsidRPr="0035358E">
        <w:rPr>
          <w:szCs w:val="18"/>
        </w:rPr>
        <w:t>respiratory syncytial virus pre-fusion F protein vaccine; VE = vaccine efficacy.</w:t>
      </w:r>
    </w:p>
    <w:p w14:paraId="1891D35C" w14:textId="52B8F972" w:rsidR="009A3F07" w:rsidRPr="0035358E" w:rsidRDefault="009A3F07" w:rsidP="00071A99">
      <w:pPr>
        <w:pStyle w:val="FooterTableFigure"/>
        <w:keepNext/>
        <w:rPr>
          <w:rFonts w:eastAsia="Calibri"/>
          <w:bCs/>
        </w:rPr>
      </w:pPr>
      <w:r w:rsidRPr="00AC6CE4">
        <w:rPr>
          <w:rFonts w:eastAsia="Calibri"/>
          <w:bCs/>
          <w:vertAlign w:val="superscript"/>
        </w:rPr>
        <w:t>a</w:t>
      </w:r>
      <w:r w:rsidRPr="0035358E">
        <w:rPr>
          <w:rFonts w:eastAsia="Calibri"/>
          <w:bCs/>
        </w:rPr>
        <w:t xml:space="preserve"> Number of participants (at risk). Value used as denominator for percentage calculations.</w:t>
      </w:r>
    </w:p>
    <w:p w14:paraId="2D661D3B" w14:textId="77777777" w:rsidR="009A3F07" w:rsidRPr="0035358E" w:rsidRDefault="009A3F07" w:rsidP="009A3F07">
      <w:pPr>
        <w:pStyle w:val="FooterTableFigure"/>
        <w:rPr>
          <w:rFonts w:eastAsia="Calibri"/>
          <w:bCs/>
        </w:rPr>
      </w:pPr>
      <w:r w:rsidRPr="00AC6CE4">
        <w:rPr>
          <w:rFonts w:eastAsia="Calibri"/>
          <w:bCs/>
          <w:vertAlign w:val="superscript"/>
        </w:rPr>
        <w:t>b</w:t>
      </w:r>
      <w:r w:rsidRPr="0035358E">
        <w:rPr>
          <w:rFonts w:eastAsia="Calibri"/>
          <w:bCs/>
        </w:rPr>
        <w:t xml:space="preserve"> Calculated as 1-(P/[1-P]), where P is the number of cases in the RSVpreF group divided by the total number of cases.</w:t>
      </w:r>
    </w:p>
    <w:p w14:paraId="63BCBE43" w14:textId="236B09FB" w:rsidR="00F1459A" w:rsidRPr="0035358E" w:rsidRDefault="00F1459A" w:rsidP="00DD4B2C">
      <w:pPr>
        <w:pStyle w:val="3-BodyText"/>
      </w:pPr>
      <w:r w:rsidRPr="0035358E">
        <w:t xml:space="preserve">The results for the second primary end point in MATISSE of RSV-positive severe MA-LRTI occurring in infants out to 180 days </w:t>
      </w:r>
      <w:r w:rsidR="00212BFF" w:rsidRPr="0035358E">
        <w:t xml:space="preserve">after birth </w:t>
      </w:r>
      <w:r w:rsidRPr="0035358E">
        <w:t xml:space="preserve">are presented in </w:t>
      </w:r>
      <w:r w:rsidRPr="0035358E">
        <w:fldChar w:fldCharType="begin"/>
      </w:r>
      <w:r w:rsidRPr="0035358E">
        <w:instrText xml:space="preserve"> REF _Ref152040231 \h </w:instrText>
      </w:r>
      <w:r w:rsidRPr="0035358E">
        <w:fldChar w:fldCharType="separate"/>
      </w:r>
      <w:r w:rsidR="00A46CAC" w:rsidRPr="0035358E">
        <w:t xml:space="preserve">Table </w:t>
      </w:r>
      <w:r w:rsidR="00A46CAC">
        <w:rPr>
          <w:noProof/>
        </w:rPr>
        <w:t>6</w:t>
      </w:r>
      <w:r w:rsidRPr="0035358E">
        <w:fldChar w:fldCharType="end"/>
      </w:r>
      <w:r w:rsidRPr="0035358E">
        <w:t xml:space="preserve"> and the corresponding KM curves are presented in </w:t>
      </w:r>
      <w:r w:rsidRPr="0035358E">
        <w:fldChar w:fldCharType="begin"/>
      </w:r>
      <w:r w:rsidRPr="0035358E">
        <w:instrText xml:space="preserve"> REF _Ref152040203 \h </w:instrText>
      </w:r>
      <w:r w:rsidRPr="0035358E">
        <w:fldChar w:fldCharType="separate"/>
      </w:r>
      <w:r w:rsidR="00A46CAC" w:rsidRPr="0035358E">
        <w:t xml:space="preserve">Figure </w:t>
      </w:r>
      <w:r w:rsidR="00A46CAC">
        <w:rPr>
          <w:noProof/>
        </w:rPr>
        <w:t>2</w:t>
      </w:r>
      <w:r w:rsidRPr="0035358E">
        <w:fldChar w:fldCharType="end"/>
      </w:r>
      <w:r w:rsidRPr="0035358E">
        <w:t>.</w:t>
      </w:r>
    </w:p>
    <w:p w14:paraId="2889109D" w14:textId="77777777" w:rsidR="005A7DF3" w:rsidRPr="0035358E" w:rsidRDefault="005A7DF3" w:rsidP="00DD4B2C">
      <w:pPr>
        <w:pStyle w:val="3-BodyText"/>
      </w:pPr>
      <w:r w:rsidRPr="0035358E">
        <w:t>RSV-positive severe MA-LRTI was defined as:</w:t>
      </w:r>
    </w:p>
    <w:p w14:paraId="4F15228D" w14:textId="77777777" w:rsidR="005A7DF3" w:rsidRPr="0035358E" w:rsidRDefault="005A7DF3" w:rsidP="00071A99">
      <w:pPr>
        <w:pStyle w:val="ListParagraph"/>
      </w:pPr>
      <w:r w:rsidRPr="0035358E">
        <w:t>Infant with an MA-RTI visit, AND</w:t>
      </w:r>
    </w:p>
    <w:p w14:paraId="78DB4E2A" w14:textId="6E637CAD" w:rsidR="005A7DF3" w:rsidRPr="0035358E" w:rsidRDefault="005A7DF3" w:rsidP="00071A99">
      <w:pPr>
        <w:pStyle w:val="ListParagraph"/>
      </w:pPr>
      <w:r w:rsidRPr="0035358E">
        <w:t>Fast breathing (</w:t>
      </w:r>
      <w:r w:rsidR="00410AB1" w:rsidRPr="0035358E">
        <w:t>respiratory rate</w:t>
      </w:r>
      <w:r w:rsidRPr="0035358E">
        <w:t xml:space="preserve"> ≥70 bpm for &lt;2 months of age [&lt;60 days of age], ≥60 bpm for ≥2 months to &lt;12 months of age, or ≥50 bpm for ≥12 months to 24</w:t>
      </w:r>
      <w:r w:rsidR="00071A99">
        <w:t> </w:t>
      </w:r>
      <w:r w:rsidRPr="0035358E">
        <w:t>months of age), OR</w:t>
      </w:r>
    </w:p>
    <w:p w14:paraId="1052A463" w14:textId="77777777" w:rsidR="005A7DF3" w:rsidRPr="0035358E" w:rsidRDefault="005A7DF3" w:rsidP="00071A99">
      <w:pPr>
        <w:pStyle w:val="ListParagraph"/>
      </w:pPr>
      <w:r w:rsidRPr="0035358E">
        <w:t>SpO</w:t>
      </w:r>
      <w:r w:rsidRPr="0035358E">
        <w:rPr>
          <w:vertAlign w:val="subscript"/>
        </w:rPr>
        <w:t>2</w:t>
      </w:r>
      <w:r w:rsidRPr="0035358E">
        <w:t xml:space="preserve"> &lt;93%, OR</w:t>
      </w:r>
    </w:p>
    <w:p w14:paraId="4D7918A5" w14:textId="5398CE4C" w:rsidR="005A7DF3" w:rsidRPr="0035358E" w:rsidRDefault="005A7DF3" w:rsidP="00071A99">
      <w:pPr>
        <w:pStyle w:val="ListParagraph"/>
      </w:pPr>
      <w:r w:rsidRPr="0035358E">
        <w:t>High-flow nasal cannula or mechanical ventilation (i.e., invasive, or non-invasive), OR</w:t>
      </w:r>
    </w:p>
    <w:p w14:paraId="39B35200" w14:textId="73B3C076" w:rsidR="005A7DF3" w:rsidRPr="0035358E" w:rsidRDefault="00410AB1" w:rsidP="00071A99">
      <w:pPr>
        <w:pStyle w:val="ListParagraph"/>
      </w:pPr>
      <w:r w:rsidRPr="0035358E">
        <w:lastRenderedPageBreak/>
        <w:t>Intensive care unit (</w:t>
      </w:r>
      <w:r w:rsidR="005A7DF3" w:rsidRPr="0035358E">
        <w:t>ICU</w:t>
      </w:r>
      <w:r w:rsidRPr="0035358E">
        <w:t>)</w:t>
      </w:r>
      <w:r w:rsidR="005A7DF3" w:rsidRPr="0035358E">
        <w:t xml:space="preserve"> admission for &gt;4 hours, OR</w:t>
      </w:r>
    </w:p>
    <w:p w14:paraId="2F5D9E98" w14:textId="77777777" w:rsidR="005A7DF3" w:rsidRPr="0035358E" w:rsidRDefault="005A7DF3" w:rsidP="00071A99">
      <w:pPr>
        <w:pStyle w:val="ListParagraph"/>
      </w:pPr>
      <w:r w:rsidRPr="0035358E">
        <w:t>Failure to respond/unconscious, AND</w:t>
      </w:r>
    </w:p>
    <w:p w14:paraId="7C8CF787" w14:textId="77777777" w:rsidR="00DB24CC" w:rsidRDefault="005A7DF3" w:rsidP="00071A99">
      <w:pPr>
        <w:pStyle w:val="ListParagraph"/>
      </w:pPr>
      <w:r w:rsidRPr="0035358E">
        <w:t>RSV-positive test result</w:t>
      </w:r>
    </w:p>
    <w:p w14:paraId="5ADBF378" w14:textId="33B9DE2B" w:rsidR="00F1459A" w:rsidRPr="0035358E" w:rsidRDefault="008A3095" w:rsidP="00DD4B2C">
      <w:pPr>
        <w:pStyle w:val="3-BodyText"/>
      </w:pPr>
      <w:r w:rsidRPr="0035358E">
        <w:t>In the primary analysis, a</w:t>
      </w:r>
      <w:r w:rsidR="00F1459A" w:rsidRPr="0035358E">
        <w:t>t 90 days after birth there were 6 (0.2%) cases of RSV-positive severe MA-LRTI in infants in the RSVpreF group and 33 (0.9%) cases in the placebo group, corresponding to a VE of 81.8% (99.5% CI</w:t>
      </w:r>
      <w:r w:rsidR="00A77C45" w:rsidRPr="0035358E">
        <w:t>:</w:t>
      </w:r>
      <w:r w:rsidR="00F1459A" w:rsidRPr="0035358E">
        <w:t>40.6%, 96.3%) for RSVpreF. At 180 days after birth, there were 19 (0.5%) cases of RSV-positive severe MA-LRTI in the RSVpreF group and 62 (1.8%) cases in the placebo group, corresponding to a VE of 69.4% (97.58% CI</w:t>
      </w:r>
      <w:r w:rsidR="00A77C45" w:rsidRPr="0035358E">
        <w:t>:</w:t>
      </w:r>
      <w:r w:rsidR="00F1459A" w:rsidRPr="0035358E">
        <w:t xml:space="preserve">44.3%, 84.1%) for RSVpreF. Results for severe MA-LRTI met the statistical criterion for success at all timepoints through to 180 days after birth. The results </w:t>
      </w:r>
      <w:r w:rsidR="00410AB1" w:rsidRPr="0035358E">
        <w:t>suggest</w:t>
      </w:r>
      <w:r w:rsidR="00F1459A" w:rsidRPr="0035358E">
        <w:t xml:space="preserve"> some waning in vaccine efficacy </w:t>
      </w:r>
      <w:r w:rsidR="008877C2" w:rsidRPr="0035358E">
        <w:t xml:space="preserve">may occur </w:t>
      </w:r>
      <w:r w:rsidR="00F1459A" w:rsidRPr="0035358E">
        <w:t>over time.</w:t>
      </w:r>
    </w:p>
    <w:p w14:paraId="0813C1BF" w14:textId="46845191" w:rsidR="00DB24CC" w:rsidRDefault="008A3095" w:rsidP="00DD4B2C">
      <w:pPr>
        <w:pStyle w:val="3-BodyText"/>
      </w:pPr>
      <w:r w:rsidRPr="0035358E">
        <w:t xml:space="preserve">The pre-PBAC response reported that the final analysis was consistent with the primary analysis for the RSV-positive severe MA-LRTI endpoint, with </w:t>
      </w:r>
      <w:r w:rsidR="0096656E" w:rsidRPr="0035358E">
        <w:t xml:space="preserve">VE of </w:t>
      </w:r>
      <w:r w:rsidRPr="0035358E">
        <w:t>82.4% (95% CI: 57.5%, 93.9%) in infants within 90 days after birth and 70.0% (95% CI: 50.6%, 82.5%) within 180 days</w:t>
      </w:r>
      <w:r w:rsidR="0096656E" w:rsidRPr="0035358E">
        <w:t xml:space="preserve"> </w:t>
      </w:r>
      <w:r w:rsidRPr="0035358E">
        <w:t>(</w:t>
      </w:r>
      <w:r w:rsidRPr="0035358E">
        <w:fldChar w:fldCharType="begin"/>
      </w:r>
      <w:r w:rsidRPr="0035358E">
        <w:instrText xml:space="preserve"> REF _Ref152040231 \h </w:instrText>
      </w:r>
      <w:r w:rsidR="000834E8" w:rsidRPr="0035358E">
        <w:instrText xml:space="preserve"> \* MERGEFORMAT </w:instrText>
      </w:r>
      <w:r w:rsidRPr="0035358E">
        <w:fldChar w:fldCharType="separate"/>
      </w:r>
      <w:r w:rsidR="00A46CAC" w:rsidRPr="0035358E">
        <w:t xml:space="preserve">Table </w:t>
      </w:r>
      <w:r w:rsidR="00A46CAC">
        <w:t>6</w:t>
      </w:r>
      <w:r w:rsidRPr="0035358E">
        <w:fldChar w:fldCharType="end"/>
      </w:r>
      <w:r w:rsidRPr="0035358E">
        <w:t>)</w:t>
      </w:r>
      <w:r w:rsidR="00C93F78" w:rsidRPr="0035358E">
        <w:t xml:space="preserve">. </w:t>
      </w:r>
      <w:r w:rsidR="007B4AE0" w:rsidRPr="0035358E">
        <w:t>R</w:t>
      </w:r>
      <w:r w:rsidR="0096656E" w:rsidRPr="0035358E">
        <w:t>esults</w:t>
      </w:r>
      <w:r w:rsidR="004E7C77" w:rsidRPr="0035358E">
        <w:t xml:space="preserve"> for</w:t>
      </w:r>
      <w:r w:rsidR="0096656E" w:rsidRPr="0035358E">
        <w:t xml:space="preserve"> 12 months and 24 months post birth were also provided, </w:t>
      </w:r>
      <w:r w:rsidR="007B4AE0" w:rsidRPr="0035358E">
        <w:t>which</w:t>
      </w:r>
      <w:r w:rsidR="0096656E" w:rsidRPr="0035358E">
        <w:t xml:space="preserve"> indicated lower VE at these time points (</w:t>
      </w:r>
      <w:r w:rsidR="0096656E" w:rsidRPr="0035358E">
        <w:fldChar w:fldCharType="begin"/>
      </w:r>
      <w:r w:rsidR="0096656E" w:rsidRPr="0035358E">
        <w:instrText xml:space="preserve"> REF _Ref152040231 \h </w:instrText>
      </w:r>
      <w:r w:rsidR="000834E8" w:rsidRPr="0035358E">
        <w:instrText xml:space="preserve"> \* MERGEFORMAT </w:instrText>
      </w:r>
      <w:r w:rsidR="0096656E" w:rsidRPr="0035358E">
        <w:fldChar w:fldCharType="separate"/>
      </w:r>
      <w:r w:rsidR="00A46CAC" w:rsidRPr="0035358E">
        <w:t xml:space="preserve">Table </w:t>
      </w:r>
      <w:r w:rsidR="00A46CAC">
        <w:t>6</w:t>
      </w:r>
      <w:r w:rsidR="0096656E" w:rsidRPr="0035358E">
        <w:fldChar w:fldCharType="end"/>
      </w:r>
      <w:r w:rsidR="0096656E" w:rsidRPr="0035358E">
        <w:t>).</w:t>
      </w:r>
    </w:p>
    <w:p w14:paraId="43182859" w14:textId="5D36F6CD" w:rsidR="00F1459A" w:rsidRPr="0035358E" w:rsidRDefault="00F1459A" w:rsidP="00071A99">
      <w:pPr>
        <w:pStyle w:val="Caption"/>
      </w:pPr>
      <w:bookmarkStart w:id="43" w:name="_Ref152040231"/>
      <w:r w:rsidRPr="0035358E">
        <w:t xml:space="preserve">Table </w:t>
      </w:r>
      <w:r w:rsidR="00560E31">
        <w:fldChar w:fldCharType="begin"/>
      </w:r>
      <w:r w:rsidR="00560E31">
        <w:instrText xml:space="preserve"> SEQ Table \* ARABIC </w:instrText>
      </w:r>
      <w:r w:rsidR="00560E31">
        <w:fldChar w:fldCharType="separate"/>
      </w:r>
      <w:r w:rsidR="00A46CAC">
        <w:rPr>
          <w:noProof/>
        </w:rPr>
        <w:t>6</w:t>
      </w:r>
      <w:r w:rsidR="00560E31">
        <w:rPr>
          <w:noProof/>
        </w:rPr>
        <w:fldChar w:fldCharType="end"/>
      </w:r>
      <w:bookmarkEnd w:id="43"/>
      <w:r w:rsidRPr="0035358E">
        <w:t xml:space="preserve">: </w:t>
      </w:r>
      <w:bookmarkStart w:id="44" w:name="_Hlk164145069"/>
      <w:r w:rsidRPr="0035358E">
        <w:t>RSV-positive severe MA-LRTI occurring in infants</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SV-positive severe MA-LRTI occurring in infants"/>
      </w:tblPr>
      <w:tblGrid>
        <w:gridCol w:w="2233"/>
        <w:gridCol w:w="1991"/>
        <w:gridCol w:w="1944"/>
        <w:gridCol w:w="2849"/>
      </w:tblGrid>
      <w:tr w:rsidR="00690CC4" w:rsidRPr="0035358E" w14:paraId="4A51FE56" w14:textId="77777777" w:rsidTr="001275F8">
        <w:trPr>
          <w:tblHeader/>
        </w:trPr>
        <w:tc>
          <w:tcPr>
            <w:tcW w:w="0" w:type="auto"/>
            <w:vAlign w:val="center"/>
          </w:tcPr>
          <w:p w14:paraId="10D0AB70" w14:textId="77777777" w:rsidR="00F1459A" w:rsidRPr="0035358E" w:rsidRDefault="00F1459A" w:rsidP="00071A99">
            <w:pPr>
              <w:pStyle w:val="In-tableHeading"/>
              <w:rPr>
                <w:szCs w:val="20"/>
                <w:lang w:val="en-AU"/>
              </w:rPr>
            </w:pPr>
            <w:r w:rsidRPr="0035358E">
              <w:rPr>
                <w:rFonts w:cs="Arial"/>
                <w:bCs/>
                <w:szCs w:val="20"/>
                <w:lang w:val="en-AU"/>
              </w:rPr>
              <w:t>Time interval</w:t>
            </w:r>
          </w:p>
        </w:tc>
        <w:tc>
          <w:tcPr>
            <w:tcW w:w="0" w:type="auto"/>
            <w:vAlign w:val="center"/>
          </w:tcPr>
          <w:p w14:paraId="304D97A5" w14:textId="77777777" w:rsidR="00F1459A" w:rsidRPr="0035358E" w:rsidRDefault="00F1459A" w:rsidP="00071A99">
            <w:pPr>
              <w:keepNext/>
              <w:ind w:firstLine="45"/>
              <w:jc w:val="center"/>
              <w:rPr>
                <w:rFonts w:ascii="Arial Narrow" w:hAnsi="Arial Narrow"/>
                <w:b/>
                <w:bCs/>
                <w:sz w:val="20"/>
                <w:szCs w:val="20"/>
              </w:rPr>
            </w:pPr>
            <w:r w:rsidRPr="0035358E">
              <w:rPr>
                <w:rFonts w:ascii="Arial Narrow" w:hAnsi="Arial Narrow"/>
                <w:b/>
                <w:bCs/>
                <w:sz w:val="20"/>
                <w:szCs w:val="20"/>
              </w:rPr>
              <w:t>RSVpreF 120 ug</w:t>
            </w:r>
          </w:p>
          <w:p w14:paraId="2BBF5202" w14:textId="0D83BE38" w:rsidR="00F1459A" w:rsidRPr="0035358E" w:rsidRDefault="00F1459A" w:rsidP="00071A99">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212BFF" w:rsidRPr="0035358E">
              <w:rPr>
                <w:rFonts w:ascii="Arial Narrow" w:hAnsi="Arial Narrow"/>
                <w:b/>
                <w:bCs/>
                <w:sz w:val="20"/>
                <w:szCs w:val="20"/>
              </w:rPr>
              <w:t>,</w:t>
            </w:r>
            <w:r w:rsidRPr="0035358E">
              <w:rPr>
                <w:rFonts w:ascii="Arial Narrow" w:hAnsi="Arial Narrow"/>
                <w:b/>
                <w:bCs/>
                <w:sz w:val="20"/>
                <w:szCs w:val="20"/>
              </w:rPr>
              <w:t>495</w:t>
            </w:r>
          </w:p>
          <w:p w14:paraId="65B9F1FD" w14:textId="77777777" w:rsidR="00F1459A" w:rsidRPr="0035358E" w:rsidRDefault="00F1459A" w:rsidP="00071A99">
            <w:pPr>
              <w:pStyle w:val="In-tableHeading"/>
              <w:jc w:val="center"/>
              <w:rPr>
                <w:szCs w:val="20"/>
                <w:lang w:val="en-AU"/>
              </w:rPr>
            </w:pPr>
            <w:r w:rsidRPr="0035358E">
              <w:rPr>
                <w:rFonts w:cs="Arial"/>
                <w:bCs/>
                <w:szCs w:val="20"/>
                <w:lang w:val="en-AU"/>
              </w:rPr>
              <w:t>No. of cases (%)</w:t>
            </w:r>
          </w:p>
        </w:tc>
        <w:tc>
          <w:tcPr>
            <w:tcW w:w="0" w:type="auto"/>
            <w:vAlign w:val="center"/>
          </w:tcPr>
          <w:p w14:paraId="298559E4" w14:textId="77777777" w:rsidR="00F1459A" w:rsidRPr="0035358E" w:rsidRDefault="00F1459A" w:rsidP="00071A99">
            <w:pPr>
              <w:keepNext/>
              <w:ind w:firstLine="45"/>
              <w:jc w:val="center"/>
              <w:rPr>
                <w:rFonts w:ascii="Arial Narrow" w:hAnsi="Arial Narrow"/>
                <w:b/>
                <w:bCs/>
                <w:sz w:val="20"/>
                <w:szCs w:val="20"/>
              </w:rPr>
            </w:pPr>
            <w:r w:rsidRPr="0035358E">
              <w:rPr>
                <w:rFonts w:ascii="Arial Narrow" w:hAnsi="Arial Narrow"/>
                <w:b/>
                <w:bCs/>
                <w:sz w:val="20"/>
                <w:szCs w:val="20"/>
              </w:rPr>
              <w:t>Placebo</w:t>
            </w:r>
          </w:p>
          <w:p w14:paraId="7BD657A4" w14:textId="3906BB6F" w:rsidR="00F1459A" w:rsidRPr="0035358E" w:rsidRDefault="00F1459A" w:rsidP="00071A99">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212BFF" w:rsidRPr="0035358E">
              <w:rPr>
                <w:rFonts w:ascii="Arial Narrow" w:hAnsi="Arial Narrow"/>
                <w:b/>
                <w:bCs/>
                <w:sz w:val="20"/>
                <w:szCs w:val="20"/>
              </w:rPr>
              <w:t>,</w:t>
            </w:r>
            <w:r w:rsidRPr="0035358E">
              <w:rPr>
                <w:rFonts w:ascii="Arial Narrow" w:hAnsi="Arial Narrow"/>
                <w:b/>
                <w:bCs/>
                <w:sz w:val="20"/>
                <w:szCs w:val="20"/>
              </w:rPr>
              <w:t>480</w:t>
            </w:r>
          </w:p>
          <w:p w14:paraId="68ED2A48" w14:textId="77777777" w:rsidR="00F1459A" w:rsidRPr="0035358E" w:rsidRDefault="00F1459A" w:rsidP="00071A99">
            <w:pPr>
              <w:pStyle w:val="In-tableHeading"/>
              <w:jc w:val="center"/>
              <w:rPr>
                <w:szCs w:val="20"/>
                <w:lang w:val="en-AU"/>
              </w:rPr>
            </w:pPr>
            <w:r w:rsidRPr="0035358E">
              <w:rPr>
                <w:rFonts w:cs="Arial"/>
                <w:bCs/>
                <w:szCs w:val="20"/>
                <w:lang w:val="en-AU"/>
              </w:rPr>
              <w:t>No. of cases (%)</w:t>
            </w:r>
          </w:p>
        </w:tc>
        <w:tc>
          <w:tcPr>
            <w:tcW w:w="0" w:type="auto"/>
            <w:vAlign w:val="center"/>
          </w:tcPr>
          <w:p w14:paraId="6D7C0829" w14:textId="77777777" w:rsidR="00F1459A" w:rsidRPr="0035358E" w:rsidRDefault="00F1459A" w:rsidP="00071A99">
            <w:pPr>
              <w:pStyle w:val="In-tableHeading"/>
              <w:jc w:val="center"/>
              <w:rPr>
                <w:szCs w:val="20"/>
                <w:lang w:val="en-AU"/>
              </w:rPr>
            </w:pPr>
            <w:r w:rsidRPr="0035358E">
              <w:rPr>
                <w:rFonts w:cs="Arial"/>
                <w:bCs/>
                <w:szCs w:val="20"/>
                <w:lang w:val="en-AU"/>
              </w:rPr>
              <w:t>Vaccine efficacy</w:t>
            </w:r>
            <w:r w:rsidRPr="0035358E">
              <w:rPr>
                <w:rFonts w:cs="Arial"/>
                <w:bCs/>
                <w:szCs w:val="20"/>
                <w:vertAlign w:val="superscript"/>
                <w:lang w:val="en-AU"/>
              </w:rPr>
              <w:t>b</w:t>
            </w:r>
            <w:r w:rsidRPr="0035358E">
              <w:rPr>
                <w:rFonts w:cs="Arial"/>
                <w:bCs/>
                <w:szCs w:val="20"/>
                <w:lang w:val="en-AU"/>
              </w:rPr>
              <w:t>, % (CI</w:t>
            </w:r>
            <w:r w:rsidRPr="0035358E">
              <w:rPr>
                <w:rFonts w:cs="Arial"/>
                <w:bCs/>
                <w:szCs w:val="20"/>
                <w:vertAlign w:val="superscript"/>
                <w:lang w:val="en-AU"/>
              </w:rPr>
              <w:t>c</w:t>
            </w:r>
            <w:r w:rsidRPr="0035358E">
              <w:rPr>
                <w:rFonts w:cs="Arial"/>
                <w:bCs/>
                <w:szCs w:val="20"/>
                <w:lang w:val="en-AU"/>
              </w:rPr>
              <w:t>)</w:t>
            </w:r>
          </w:p>
        </w:tc>
      </w:tr>
      <w:tr w:rsidR="006D69B4" w:rsidRPr="0035358E" w14:paraId="1915CED5" w14:textId="77777777" w:rsidTr="00394DA0">
        <w:trPr>
          <w:tblHeader/>
        </w:trPr>
        <w:tc>
          <w:tcPr>
            <w:tcW w:w="0" w:type="auto"/>
            <w:gridSpan w:val="4"/>
            <w:vAlign w:val="center"/>
          </w:tcPr>
          <w:p w14:paraId="05229AAD" w14:textId="42BAA696" w:rsidR="001A47C3" w:rsidRPr="0035358E" w:rsidRDefault="001A47C3" w:rsidP="00071A99">
            <w:pPr>
              <w:pStyle w:val="In-tableHeading"/>
              <w:rPr>
                <w:rFonts w:cs="Arial"/>
                <w:bCs/>
                <w:szCs w:val="20"/>
                <w:lang w:val="en-AU"/>
              </w:rPr>
            </w:pPr>
            <w:r w:rsidRPr="0035358E">
              <w:rPr>
                <w:rFonts w:cs="Arial"/>
                <w:bCs/>
                <w:szCs w:val="20"/>
                <w:lang w:val="en-AU"/>
              </w:rPr>
              <w:t>Primary Analysis (reported in submission)</w:t>
            </w:r>
          </w:p>
        </w:tc>
      </w:tr>
      <w:tr w:rsidR="00690CC4" w:rsidRPr="0035358E" w14:paraId="037EA353" w14:textId="77777777" w:rsidTr="001275F8">
        <w:tc>
          <w:tcPr>
            <w:tcW w:w="0" w:type="auto"/>
            <w:vAlign w:val="center"/>
          </w:tcPr>
          <w:p w14:paraId="46970361" w14:textId="77777777" w:rsidR="00F1459A" w:rsidRPr="0035358E" w:rsidRDefault="00F1459A" w:rsidP="00071A99">
            <w:pPr>
              <w:pStyle w:val="TableText0"/>
              <w:rPr>
                <w:szCs w:val="20"/>
              </w:rPr>
            </w:pPr>
            <w:r w:rsidRPr="0035358E">
              <w:rPr>
                <w:rFonts w:eastAsia="Arial Narrow" w:cs="Arial"/>
                <w:szCs w:val="20"/>
              </w:rPr>
              <w:t>90 days post birth</w:t>
            </w:r>
          </w:p>
        </w:tc>
        <w:tc>
          <w:tcPr>
            <w:tcW w:w="0" w:type="auto"/>
            <w:vAlign w:val="center"/>
          </w:tcPr>
          <w:p w14:paraId="2A698DC9" w14:textId="77777777" w:rsidR="00F1459A" w:rsidRPr="0035358E" w:rsidRDefault="00F1459A" w:rsidP="00071A99">
            <w:pPr>
              <w:pStyle w:val="TableText0"/>
              <w:jc w:val="center"/>
              <w:rPr>
                <w:szCs w:val="20"/>
              </w:rPr>
            </w:pPr>
            <w:r w:rsidRPr="0035358E">
              <w:rPr>
                <w:rFonts w:eastAsia="Arial Narrow" w:cs="Arial"/>
                <w:szCs w:val="20"/>
              </w:rPr>
              <w:t>6 (0.2)</w:t>
            </w:r>
          </w:p>
        </w:tc>
        <w:tc>
          <w:tcPr>
            <w:tcW w:w="0" w:type="auto"/>
            <w:vAlign w:val="center"/>
          </w:tcPr>
          <w:p w14:paraId="2E7120ED" w14:textId="77777777" w:rsidR="00F1459A" w:rsidRPr="0035358E" w:rsidRDefault="00F1459A" w:rsidP="00071A99">
            <w:pPr>
              <w:pStyle w:val="TableText0"/>
              <w:jc w:val="center"/>
              <w:rPr>
                <w:szCs w:val="20"/>
              </w:rPr>
            </w:pPr>
            <w:r w:rsidRPr="0035358E">
              <w:rPr>
                <w:rFonts w:eastAsia="Arial Narrow" w:cs="Arial"/>
                <w:szCs w:val="20"/>
              </w:rPr>
              <w:t>33 (0.9)</w:t>
            </w:r>
          </w:p>
        </w:tc>
        <w:tc>
          <w:tcPr>
            <w:tcW w:w="0" w:type="auto"/>
            <w:vAlign w:val="center"/>
          </w:tcPr>
          <w:p w14:paraId="4508F3D2" w14:textId="77777777" w:rsidR="00F1459A" w:rsidRPr="0035358E" w:rsidRDefault="00F1459A" w:rsidP="00071A99">
            <w:pPr>
              <w:pStyle w:val="TableText0"/>
              <w:jc w:val="center"/>
              <w:rPr>
                <w:szCs w:val="20"/>
              </w:rPr>
            </w:pPr>
            <w:r w:rsidRPr="0035358E">
              <w:rPr>
                <w:rFonts w:eastAsia="Arial Narrow" w:cs="Arial"/>
                <w:szCs w:val="20"/>
              </w:rPr>
              <w:t>81.8 (40.6, 96.3)</w:t>
            </w:r>
          </w:p>
        </w:tc>
      </w:tr>
      <w:tr w:rsidR="00690CC4" w:rsidRPr="0035358E" w14:paraId="7DC57FD4" w14:textId="77777777" w:rsidTr="001275F8">
        <w:tc>
          <w:tcPr>
            <w:tcW w:w="0" w:type="auto"/>
            <w:vAlign w:val="center"/>
          </w:tcPr>
          <w:p w14:paraId="2C4C4713" w14:textId="77777777" w:rsidR="00F1459A" w:rsidRPr="0035358E" w:rsidRDefault="00F1459A" w:rsidP="00071A99">
            <w:pPr>
              <w:pStyle w:val="TableText0"/>
              <w:rPr>
                <w:szCs w:val="20"/>
              </w:rPr>
            </w:pPr>
            <w:r w:rsidRPr="0035358E">
              <w:rPr>
                <w:rFonts w:eastAsia="Arial Narrow" w:cs="Arial"/>
                <w:szCs w:val="20"/>
              </w:rPr>
              <w:t>120 days post birth</w:t>
            </w:r>
          </w:p>
        </w:tc>
        <w:tc>
          <w:tcPr>
            <w:tcW w:w="0" w:type="auto"/>
            <w:vAlign w:val="center"/>
          </w:tcPr>
          <w:p w14:paraId="054F65EB" w14:textId="77777777" w:rsidR="00F1459A" w:rsidRPr="0035358E" w:rsidRDefault="00F1459A" w:rsidP="00071A99">
            <w:pPr>
              <w:pStyle w:val="TableText0"/>
              <w:jc w:val="center"/>
              <w:rPr>
                <w:szCs w:val="20"/>
              </w:rPr>
            </w:pPr>
            <w:r w:rsidRPr="0035358E">
              <w:rPr>
                <w:rFonts w:eastAsia="Arial Narrow" w:cs="Arial"/>
                <w:szCs w:val="20"/>
              </w:rPr>
              <w:t>12 (0.3)</w:t>
            </w:r>
          </w:p>
        </w:tc>
        <w:tc>
          <w:tcPr>
            <w:tcW w:w="0" w:type="auto"/>
            <w:vAlign w:val="center"/>
          </w:tcPr>
          <w:p w14:paraId="52059CD2" w14:textId="77777777" w:rsidR="00F1459A" w:rsidRPr="0035358E" w:rsidRDefault="00F1459A" w:rsidP="00071A99">
            <w:pPr>
              <w:pStyle w:val="TableText0"/>
              <w:jc w:val="center"/>
              <w:rPr>
                <w:szCs w:val="20"/>
              </w:rPr>
            </w:pPr>
            <w:r w:rsidRPr="0035358E">
              <w:rPr>
                <w:rFonts w:eastAsia="Arial Narrow" w:cs="Arial"/>
                <w:szCs w:val="20"/>
              </w:rPr>
              <w:t>46 (1.3)</w:t>
            </w:r>
          </w:p>
        </w:tc>
        <w:tc>
          <w:tcPr>
            <w:tcW w:w="0" w:type="auto"/>
            <w:vAlign w:val="center"/>
          </w:tcPr>
          <w:p w14:paraId="3C5E03D3" w14:textId="77777777" w:rsidR="00F1459A" w:rsidRPr="0035358E" w:rsidRDefault="00F1459A" w:rsidP="00071A99">
            <w:pPr>
              <w:pStyle w:val="TableText0"/>
              <w:jc w:val="center"/>
              <w:rPr>
                <w:szCs w:val="20"/>
              </w:rPr>
            </w:pPr>
            <w:r w:rsidRPr="0035358E">
              <w:rPr>
                <w:rFonts w:eastAsia="Arial Narrow" w:cs="Arial"/>
                <w:szCs w:val="20"/>
              </w:rPr>
              <w:t>73.9 (45.6, 88.8)</w:t>
            </w:r>
          </w:p>
        </w:tc>
      </w:tr>
      <w:tr w:rsidR="00690CC4" w:rsidRPr="0035358E" w14:paraId="50160569" w14:textId="77777777" w:rsidTr="001275F8">
        <w:tc>
          <w:tcPr>
            <w:tcW w:w="0" w:type="auto"/>
            <w:vAlign w:val="center"/>
          </w:tcPr>
          <w:p w14:paraId="1CC5E17A" w14:textId="77777777" w:rsidR="00F1459A" w:rsidRPr="0035358E" w:rsidRDefault="00F1459A" w:rsidP="00071A99">
            <w:pPr>
              <w:pStyle w:val="TableText0"/>
              <w:rPr>
                <w:szCs w:val="20"/>
              </w:rPr>
            </w:pPr>
            <w:r w:rsidRPr="0035358E">
              <w:rPr>
                <w:rFonts w:eastAsia="Arial Narrow" w:cs="Arial"/>
                <w:szCs w:val="20"/>
              </w:rPr>
              <w:t>150 days post birth</w:t>
            </w:r>
          </w:p>
        </w:tc>
        <w:tc>
          <w:tcPr>
            <w:tcW w:w="0" w:type="auto"/>
            <w:vAlign w:val="center"/>
          </w:tcPr>
          <w:p w14:paraId="6E67C9BA" w14:textId="77777777" w:rsidR="00F1459A" w:rsidRPr="0035358E" w:rsidRDefault="00F1459A" w:rsidP="00071A99">
            <w:pPr>
              <w:pStyle w:val="TableText0"/>
              <w:jc w:val="center"/>
              <w:rPr>
                <w:szCs w:val="20"/>
              </w:rPr>
            </w:pPr>
            <w:r w:rsidRPr="0035358E">
              <w:rPr>
                <w:rFonts w:eastAsia="Arial Narrow" w:cs="Arial"/>
                <w:szCs w:val="20"/>
              </w:rPr>
              <w:t>16 (0.5)</w:t>
            </w:r>
          </w:p>
        </w:tc>
        <w:tc>
          <w:tcPr>
            <w:tcW w:w="0" w:type="auto"/>
            <w:vAlign w:val="center"/>
          </w:tcPr>
          <w:p w14:paraId="1EB2DE8E" w14:textId="77777777" w:rsidR="00F1459A" w:rsidRPr="0035358E" w:rsidRDefault="00F1459A" w:rsidP="00071A99">
            <w:pPr>
              <w:pStyle w:val="TableText0"/>
              <w:jc w:val="center"/>
              <w:rPr>
                <w:szCs w:val="20"/>
              </w:rPr>
            </w:pPr>
            <w:r w:rsidRPr="0035358E">
              <w:rPr>
                <w:rFonts w:eastAsia="Arial Narrow" w:cs="Arial"/>
                <w:szCs w:val="20"/>
              </w:rPr>
              <w:t>55 (1.6)</w:t>
            </w:r>
          </w:p>
        </w:tc>
        <w:tc>
          <w:tcPr>
            <w:tcW w:w="0" w:type="auto"/>
            <w:vAlign w:val="center"/>
          </w:tcPr>
          <w:p w14:paraId="4F10BC56" w14:textId="77777777" w:rsidR="00F1459A" w:rsidRPr="0035358E" w:rsidRDefault="00F1459A" w:rsidP="00071A99">
            <w:pPr>
              <w:pStyle w:val="TableText0"/>
              <w:jc w:val="center"/>
              <w:rPr>
                <w:szCs w:val="20"/>
              </w:rPr>
            </w:pPr>
            <w:r w:rsidRPr="0035358E">
              <w:rPr>
                <w:rFonts w:eastAsia="Arial Narrow" w:cs="Arial"/>
                <w:szCs w:val="20"/>
              </w:rPr>
              <w:t>70.9 (44.5, 85.9)</w:t>
            </w:r>
          </w:p>
        </w:tc>
      </w:tr>
      <w:tr w:rsidR="00690CC4" w:rsidRPr="0035358E" w14:paraId="5620FB2E" w14:textId="77777777" w:rsidTr="001275F8">
        <w:tc>
          <w:tcPr>
            <w:tcW w:w="0" w:type="auto"/>
            <w:vAlign w:val="center"/>
          </w:tcPr>
          <w:p w14:paraId="77DA62A2" w14:textId="4199BFCA" w:rsidR="00F1459A" w:rsidRPr="0035358E" w:rsidRDefault="00F1459A" w:rsidP="00071A99">
            <w:pPr>
              <w:pStyle w:val="TableText0"/>
              <w:rPr>
                <w:szCs w:val="20"/>
              </w:rPr>
            </w:pPr>
            <w:r w:rsidRPr="0035358E">
              <w:rPr>
                <w:rFonts w:eastAsia="Arial Narrow" w:cs="Arial"/>
                <w:szCs w:val="20"/>
              </w:rPr>
              <w:t>180 days post</w:t>
            </w:r>
            <w:r w:rsidR="00212BFF" w:rsidRPr="0035358E">
              <w:rPr>
                <w:rFonts w:eastAsia="Arial Narrow" w:cs="Arial"/>
                <w:szCs w:val="20"/>
              </w:rPr>
              <w:t xml:space="preserve"> </w:t>
            </w:r>
            <w:r w:rsidRPr="0035358E">
              <w:rPr>
                <w:rFonts w:eastAsia="Arial Narrow" w:cs="Arial"/>
                <w:szCs w:val="20"/>
              </w:rPr>
              <w:t>birth</w:t>
            </w:r>
          </w:p>
        </w:tc>
        <w:tc>
          <w:tcPr>
            <w:tcW w:w="0" w:type="auto"/>
            <w:vAlign w:val="center"/>
          </w:tcPr>
          <w:p w14:paraId="1006EAB9" w14:textId="77777777" w:rsidR="00F1459A" w:rsidRPr="0035358E" w:rsidRDefault="00F1459A" w:rsidP="00071A99">
            <w:pPr>
              <w:pStyle w:val="TableText0"/>
              <w:jc w:val="center"/>
              <w:rPr>
                <w:szCs w:val="20"/>
              </w:rPr>
            </w:pPr>
            <w:r w:rsidRPr="0035358E">
              <w:rPr>
                <w:rFonts w:eastAsia="Arial Narrow" w:cs="Arial"/>
                <w:szCs w:val="20"/>
              </w:rPr>
              <w:t>19 (0.5)</w:t>
            </w:r>
          </w:p>
        </w:tc>
        <w:tc>
          <w:tcPr>
            <w:tcW w:w="0" w:type="auto"/>
            <w:vAlign w:val="center"/>
          </w:tcPr>
          <w:p w14:paraId="74677712" w14:textId="77777777" w:rsidR="00F1459A" w:rsidRPr="0035358E" w:rsidRDefault="00F1459A" w:rsidP="00071A99">
            <w:pPr>
              <w:pStyle w:val="TableText0"/>
              <w:jc w:val="center"/>
              <w:rPr>
                <w:szCs w:val="20"/>
              </w:rPr>
            </w:pPr>
            <w:r w:rsidRPr="0035358E">
              <w:rPr>
                <w:rFonts w:eastAsia="Arial Narrow" w:cs="Arial"/>
                <w:szCs w:val="20"/>
              </w:rPr>
              <w:t>62 (1.8)</w:t>
            </w:r>
          </w:p>
        </w:tc>
        <w:tc>
          <w:tcPr>
            <w:tcW w:w="0" w:type="auto"/>
            <w:vAlign w:val="center"/>
          </w:tcPr>
          <w:p w14:paraId="404FF2C3" w14:textId="77777777" w:rsidR="00F1459A" w:rsidRPr="0035358E" w:rsidRDefault="00F1459A" w:rsidP="00071A99">
            <w:pPr>
              <w:pStyle w:val="TableText0"/>
              <w:jc w:val="center"/>
              <w:rPr>
                <w:szCs w:val="20"/>
              </w:rPr>
            </w:pPr>
            <w:r w:rsidRPr="0035358E">
              <w:rPr>
                <w:rFonts w:eastAsia="Arial Narrow" w:cs="Arial"/>
                <w:szCs w:val="20"/>
              </w:rPr>
              <w:t>69.4 (44.3, 84.1)</w:t>
            </w:r>
          </w:p>
        </w:tc>
      </w:tr>
      <w:tr w:rsidR="006D69B4" w:rsidRPr="0035358E" w14:paraId="24682ACD" w14:textId="77777777" w:rsidTr="00F6238C">
        <w:tc>
          <w:tcPr>
            <w:tcW w:w="0" w:type="auto"/>
            <w:gridSpan w:val="4"/>
            <w:vAlign w:val="center"/>
          </w:tcPr>
          <w:p w14:paraId="7CE626B7" w14:textId="59B32148" w:rsidR="001A47C3" w:rsidRPr="0035358E" w:rsidRDefault="001A47C3" w:rsidP="00071A99">
            <w:pPr>
              <w:pStyle w:val="TableText0"/>
              <w:rPr>
                <w:rFonts w:eastAsia="Arial Narrow" w:cs="Arial"/>
                <w:b/>
                <w:szCs w:val="20"/>
              </w:rPr>
            </w:pPr>
            <w:r w:rsidRPr="0035358E">
              <w:rPr>
                <w:rFonts w:cs="Arial"/>
                <w:b/>
                <w:szCs w:val="20"/>
              </w:rPr>
              <w:t>Final Analysis (reported in pre-PBAC response)</w:t>
            </w:r>
          </w:p>
        </w:tc>
      </w:tr>
      <w:tr w:rsidR="00690CC4" w:rsidRPr="0035358E" w14:paraId="737B80F2" w14:textId="77777777" w:rsidTr="001275F8">
        <w:tc>
          <w:tcPr>
            <w:tcW w:w="0" w:type="auto"/>
            <w:vAlign w:val="center"/>
          </w:tcPr>
          <w:p w14:paraId="06305BF3" w14:textId="0FED5D4B" w:rsidR="00EB2F88" w:rsidRPr="0035358E" w:rsidRDefault="00EB2F88" w:rsidP="00071A99">
            <w:pPr>
              <w:pStyle w:val="TableText0"/>
              <w:rPr>
                <w:rFonts w:eastAsia="Arial Narrow" w:cs="Arial"/>
                <w:b/>
                <w:bCs w:val="0"/>
                <w:szCs w:val="20"/>
              </w:rPr>
            </w:pPr>
            <w:r w:rsidRPr="0035358E">
              <w:rPr>
                <w:rFonts w:cs="Arial"/>
                <w:b/>
                <w:bCs w:val="0"/>
                <w:szCs w:val="20"/>
              </w:rPr>
              <w:t>Time interval</w:t>
            </w:r>
          </w:p>
        </w:tc>
        <w:tc>
          <w:tcPr>
            <w:tcW w:w="0" w:type="auto"/>
            <w:vAlign w:val="center"/>
          </w:tcPr>
          <w:p w14:paraId="2020CEA1" w14:textId="77777777" w:rsidR="00EB2F88" w:rsidRPr="0035358E" w:rsidRDefault="00EB2F88" w:rsidP="00071A99">
            <w:pPr>
              <w:keepNext/>
              <w:ind w:firstLine="45"/>
              <w:jc w:val="center"/>
              <w:rPr>
                <w:rFonts w:ascii="Arial Narrow" w:hAnsi="Arial Narrow"/>
                <w:b/>
                <w:bCs/>
                <w:sz w:val="20"/>
                <w:szCs w:val="20"/>
              </w:rPr>
            </w:pPr>
            <w:r w:rsidRPr="0035358E">
              <w:rPr>
                <w:rFonts w:ascii="Arial Narrow" w:hAnsi="Arial Narrow"/>
                <w:b/>
                <w:bCs/>
                <w:sz w:val="20"/>
                <w:szCs w:val="20"/>
              </w:rPr>
              <w:t>RSVpreF 120 ug</w:t>
            </w:r>
          </w:p>
          <w:p w14:paraId="25A3BBCD" w14:textId="2CC0461F" w:rsidR="00EB2F88" w:rsidRPr="0035358E" w:rsidRDefault="00EB2F88" w:rsidP="00071A99">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3,585</w:t>
            </w:r>
          </w:p>
          <w:p w14:paraId="084439DF" w14:textId="15685BA0" w:rsidR="00EB2F88" w:rsidRPr="0035358E" w:rsidRDefault="00EB2F88" w:rsidP="00071A99">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5F8FCCC9" w14:textId="77777777" w:rsidR="00EB2F88" w:rsidRPr="0035358E" w:rsidRDefault="00EB2F88" w:rsidP="00071A99">
            <w:pPr>
              <w:keepNext/>
              <w:ind w:firstLine="45"/>
              <w:jc w:val="center"/>
              <w:rPr>
                <w:rFonts w:ascii="Arial Narrow" w:hAnsi="Arial Narrow"/>
                <w:b/>
                <w:bCs/>
                <w:sz w:val="20"/>
                <w:szCs w:val="20"/>
              </w:rPr>
            </w:pPr>
            <w:r w:rsidRPr="0035358E">
              <w:rPr>
                <w:rFonts w:ascii="Arial Narrow" w:hAnsi="Arial Narrow"/>
                <w:b/>
                <w:bCs/>
                <w:sz w:val="20"/>
                <w:szCs w:val="20"/>
              </w:rPr>
              <w:t>Placebo</w:t>
            </w:r>
          </w:p>
          <w:p w14:paraId="2AB015AF" w14:textId="1D4E4057" w:rsidR="00EB2F88" w:rsidRPr="0035358E" w:rsidRDefault="00EB2F88" w:rsidP="00071A99">
            <w:pPr>
              <w:keepNext/>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3,563</w:t>
            </w:r>
          </w:p>
          <w:p w14:paraId="3C6CC327" w14:textId="403CAC2C" w:rsidR="00EB2F88" w:rsidRPr="0035358E" w:rsidRDefault="00EB2F88" w:rsidP="00071A99">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33879047" w14:textId="72A5E667" w:rsidR="00EB2F88" w:rsidRPr="0035358E" w:rsidRDefault="00EB2F88" w:rsidP="00071A99">
            <w:pPr>
              <w:pStyle w:val="TableText0"/>
              <w:jc w:val="center"/>
              <w:rPr>
                <w:rFonts w:eastAsia="Arial Narrow" w:cs="Arial"/>
                <w:b/>
                <w:bCs w:val="0"/>
                <w:szCs w:val="20"/>
              </w:rPr>
            </w:pPr>
            <w:r w:rsidRPr="0035358E">
              <w:rPr>
                <w:rFonts w:cs="Arial"/>
                <w:b/>
                <w:bCs w:val="0"/>
                <w:szCs w:val="20"/>
              </w:rPr>
              <w:t>Vaccine efficacy</w:t>
            </w:r>
            <w:r w:rsidRPr="0035358E">
              <w:rPr>
                <w:rFonts w:cs="Arial"/>
                <w:b/>
                <w:bCs w:val="0"/>
                <w:szCs w:val="20"/>
                <w:vertAlign w:val="superscript"/>
              </w:rPr>
              <w:t>b</w:t>
            </w:r>
            <w:r w:rsidRPr="0035358E">
              <w:rPr>
                <w:rFonts w:cs="Arial"/>
                <w:b/>
                <w:bCs w:val="0"/>
                <w:szCs w:val="20"/>
              </w:rPr>
              <w:t>, % (CI</w:t>
            </w:r>
            <w:r w:rsidRPr="0035358E">
              <w:rPr>
                <w:rFonts w:cs="Arial"/>
                <w:b/>
                <w:bCs w:val="0"/>
                <w:szCs w:val="20"/>
                <w:vertAlign w:val="superscript"/>
              </w:rPr>
              <w:t>c</w:t>
            </w:r>
            <w:r w:rsidRPr="0035358E">
              <w:rPr>
                <w:rFonts w:cs="Arial"/>
                <w:b/>
                <w:bCs w:val="0"/>
                <w:szCs w:val="20"/>
              </w:rPr>
              <w:t>)</w:t>
            </w:r>
          </w:p>
        </w:tc>
      </w:tr>
      <w:tr w:rsidR="00690CC4" w:rsidRPr="0035358E" w14:paraId="43C639D7" w14:textId="77777777" w:rsidTr="001275F8">
        <w:tc>
          <w:tcPr>
            <w:tcW w:w="0" w:type="auto"/>
            <w:vAlign w:val="center"/>
          </w:tcPr>
          <w:p w14:paraId="61043620" w14:textId="580A2030" w:rsidR="00EB2F88" w:rsidRPr="0035358E" w:rsidRDefault="00EB2F88" w:rsidP="00071A99">
            <w:pPr>
              <w:pStyle w:val="TableText0"/>
              <w:rPr>
                <w:rFonts w:eastAsia="Arial Narrow" w:cs="Arial"/>
                <w:szCs w:val="20"/>
              </w:rPr>
            </w:pPr>
            <w:r w:rsidRPr="0035358E">
              <w:rPr>
                <w:rFonts w:eastAsia="Arial Narrow" w:cs="Arial"/>
                <w:szCs w:val="20"/>
              </w:rPr>
              <w:t>3 months</w:t>
            </w:r>
            <w:r w:rsidR="00AD504A" w:rsidRPr="0035358E">
              <w:rPr>
                <w:rFonts w:eastAsia="Arial Narrow" w:cs="Arial"/>
                <w:szCs w:val="20"/>
              </w:rPr>
              <w:t xml:space="preserve"> post birth</w:t>
            </w:r>
          </w:p>
        </w:tc>
        <w:tc>
          <w:tcPr>
            <w:tcW w:w="0" w:type="auto"/>
            <w:vAlign w:val="center"/>
          </w:tcPr>
          <w:p w14:paraId="799D5EBC" w14:textId="6110D5B9" w:rsidR="00EB2F88" w:rsidRPr="0035358E" w:rsidRDefault="00FF221C" w:rsidP="00071A99">
            <w:pPr>
              <w:pStyle w:val="TableText0"/>
              <w:jc w:val="center"/>
              <w:rPr>
                <w:rFonts w:eastAsia="Arial Narrow" w:cs="Arial"/>
                <w:szCs w:val="20"/>
              </w:rPr>
            </w:pPr>
            <w:r w:rsidRPr="0035358E">
              <w:rPr>
                <w:rFonts w:eastAsia="Arial Narrow" w:cs="Arial"/>
                <w:szCs w:val="20"/>
              </w:rPr>
              <w:t>6 (0.2)</w:t>
            </w:r>
          </w:p>
        </w:tc>
        <w:tc>
          <w:tcPr>
            <w:tcW w:w="0" w:type="auto"/>
            <w:vAlign w:val="center"/>
          </w:tcPr>
          <w:p w14:paraId="25484ED4" w14:textId="14A41014" w:rsidR="00EB2F88" w:rsidRPr="0035358E" w:rsidRDefault="00FF221C" w:rsidP="00071A99">
            <w:pPr>
              <w:pStyle w:val="TableText0"/>
              <w:jc w:val="center"/>
              <w:rPr>
                <w:rFonts w:eastAsia="Arial Narrow" w:cs="Arial"/>
                <w:szCs w:val="20"/>
              </w:rPr>
            </w:pPr>
            <w:r w:rsidRPr="0035358E">
              <w:rPr>
                <w:rFonts w:eastAsia="Arial Narrow" w:cs="Arial"/>
                <w:szCs w:val="20"/>
              </w:rPr>
              <w:t>34 (1.0)</w:t>
            </w:r>
          </w:p>
        </w:tc>
        <w:tc>
          <w:tcPr>
            <w:tcW w:w="0" w:type="auto"/>
            <w:vAlign w:val="center"/>
          </w:tcPr>
          <w:p w14:paraId="6204F0A8" w14:textId="210F48E5" w:rsidR="00EB2F88" w:rsidRPr="0035358E" w:rsidRDefault="00FF221C" w:rsidP="00071A99">
            <w:pPr>
              <w:pStyle w:val="TableText0"/>
              <w:jc w:val="center"/>
              <w:rPr>
                <w:rFonts w:eastAsia="Arial Narrow" w:cs="Arial"/>
                <w:szCs w:val="20"/>
              </w:rPr>
            </w:pPr>
            <w:r w:rsidRPr="0035358E">
              <w:rPr>
                <w:rFonts w:eastAsia="Arial Narrow" w:cs="Arial"/>
                <w:szCs w:val="20"/>
              </w:rPr>
              <w:t>82.4 (57.5, 93.9)</w:t>
            </w:r>
          </w:p>
        </w:tc>
      </w:tr>
      <w:tr w:rsidR="00690CC4" w:rsidRPr="0035358E" w14:paraId="35BE0317" w14:textId="77777777" w:rsidTr="001275F8">
        <w:tc>
          <w:tcPr>
            <w:tcW w:w="0" w:type="auto"/>
            <w:vAlign w:val="center"/>
          </w:tcPr>
          <w:p w14:paraId="5BC49234" w14:textId="185072D5" w:rsidR="00EB2F88" w:rsidRPr="0035358E" w:rsidRDefault="00EB2F88" w:rsidP="00071A99">
            <w:pPr>
              <w:pStyle w:val="TableText0"/>
              <w:rPr>
                <w:rFonts w:eastAsia="Arial Narrow" w:cs="Arial"/>
                <w:szCs w:val="20"/>
              </w:rPr>
            </w:pPr>
            <w:r w:rsidRPr="0035358E">
              <w:rPr>
                <w:rFonts w:eastAsia="Arial Narrow" w:cs="Arial"/>
                <w:szCs w:val="20"/>
              </w:rPr>
              <w:t>6 months</w:t>
            </w:r>
            <w:r w:rsidR="00AD504A" w:rsidRPr="0035358E">
              <w:rPr>
                <w:rFonts w:eastAsia="Arial Narrow" w:cs="Arial"/>
                <w:szCs w:val="20"/>
              </w:rPr>
              <w:t xml:space="preserve"> post birth</w:t>
            </w:r>
          </w:p>
        </w:tc>
        <w:tc>
          <w:tcPr>
            <w:tcW w:w="0" w:type="auto"/>
            <w:vAlign w:val="center"/>
          </w:tcPr>
          <w:p w14:paraId="1F29CE20" w14:textId="0DAAEB3C" w:rsidR="00EB2F88" w:rsidRPr="0035358E" w:rsidRDefault="00FF221C" w:rsidP="00071A99">
            <w:pPr>
              <w:pStyle w:val="TableText0"/>
              <w:jc w:val="center"/>
              <w:rPr>
                <w:rFonts w:eastAsia="Arial Narrow" w:cs="Arial"/>
                <w:szCs w:val="20"/>
              </w:rPr>
            </w:pPr>
            <w:r w:rsidRPr="0035358E">
              <w:rPr>
                <w:rFonts w:eastAsia="Arial Narrow" w:cs="Arial"/>
                <w:szCs w:val="20"/>
              </w:rPr>
              <w:t>21 (0.6)</w:t>
            </w:r>
          </w:p>
        </w:tc>
        <w:tc>
          <w:tcPr>
            <w:tcW w:w="0" w:type="auto"/>
            <w:vAlign w:val="center"/>
          </w:tcPr>
          <w:p w14:paraId="21D5776C" w14:textId="0FBCCA60" w:rsidR="00EB2F88" w:rsidRPr="0035358E" w:rsidRDefault="00FF221C" w:rsidP="00071A99">
            <w:pPr>
              <w:pStyle w:val="TableText0"/>
              <w:jc w:val="center"/>
              <w:rPr>
                <w:rFonts w:eastAsia="Arial Narrow" w:cs="Arial"/>
                <w:szCs w:val="20"/>
              </w:rPr>
            </w:pPr>
            <w:r w:rsidRPr="0035358E">
              <w:rPr>
                <w:rFonts w:eastAsia="Arial Narrow" w:cs="Arial"/>
                <w:szCs w:val="20"/>
              </w:rPr>
              <w:t>70 (2.0)</w:t>
            </w:r>
          </w:p>
        </w:tc>
        <w:tc>
          <w:tcPr>
            <w:tcW w:w="0" w:type="auto"/>
            <w:vAlign w:val="center"/>
          </w:tcPr>
          <w:p w14:paraId="15531CE4" w14:textId="1B081003" w:rsidR="00EB2F88" w:rsidRPr="0035358E" w:rsidRDefault="00FF221C" w:rsidP="00071A99">
            <w:pPr>
              <w:pStyle w:val="TableText0"/>
              <w:jc w:val="center"/>
              <w:rPr>
                <w:rFonts w:eastAsia="Arial Narrow" w:cs="Arial"/>
                <w:szCs w:val="20"/>
              </w:rPr>
            </w:pPr>
            <w:bookmarkStart w:id="45" w:name="_Hlk163161696"/>
            <w:r w:rsidRPr="0035358E">
              <w:rPr>
                <w:rFonts w:eastAsia="Arial Narrow" w:cs="Arial"/>
                <w:szCs w:val="20"/>
              </w:rPr>
              <w:t>70.0 (50.6, 82.5)</w:t>
            </w:r>
            <w:bookmarkEnd w:id="45"/>
          </w:p>
        </w:tc>
      </w:tr>
      <w:tr w:rsidR="00690CC4" w:rsidRPr="0035358E" w14:paraId="4E327040" w14:textId="77777777" w:rsidTr="001275F8">
        <w:tc>
          <w:tcPr>
            <w:tcW w:w="0" w:type="auto"/>
            <w:vAlign w:val="center"/>
          </w:tcPr>
          <w:p w14:paraId="322C0857" w14:textId="2BF04F71" w:rsidR="00EB2F88" w:rsidRPr="0035358E" w:rsidRDefault="00EB2F88" w:rsidP="00071A99">
            <w:pPr>
              <w:pStyle w:val="TableText0"/>
              <w:rPr>
                <w:rFonts w:eastAsia="Arial Narrow" w:cs="Arial"/>
                <w:szCs w:val="20"/>
              </w:rPr>
            </w:pPr>
            <w:r w:rsidRPr="0035358E">
              <w:rPr>
                <w:rFonts w:eastAsia="Arial Narrow" w:cs="Arial"/>
                <w:szCs w:val="20"/>
              </w:rPr>
              <w:t>12 months</w:t>
            </w:r>
            <w:r w:rsidR="00AD504A" w:rsidRPr="0035358E">
              <w:rPr>
                <w:rFonts w:eastAsia="Arial Narrow" w:cs="Arial"/>
                <w:szCs w:val="20"/>
              </w:rPr>
              <w:t xml:space="preserve"> post birth</w:t>
            </w:r>
          </w:p>
        </w:tc>
        <w:tc>
          <w:tcPr>
            <w:tcW w:w="0" w:type="auto"/>
            <w:vAlign w:val="center"/>
          </w:tcPr>
          <w:p w14:paraId="5E48C72C" w14:textId="683D3EA7" w:rsidR="00EB2F88" w:rsidRPr="0035358E" w:rsidRDefault="00FF221C" w:rsidP="00071A99">
            <w:pPr>
              <w:pStyle w:val="TableText0"/>
              <w:jc w:val="center"/>
              <w:rPr>
                <w:rFonts w:eastAsia="Arial Narrow" w:cs="Arial"/>
                <w:szCs w:val="20"/>
              </w:rPr>
            </w:pPr>
            <w:r w:rsidRPr="0035358E">
              <w:rPr>
                <w:rFonts w:eastAsia="Arial Narrow" w:cs="Arial"/>
                <w:szCs w:val="20"/>
              </w:rPr>
              <w:t>61 (1.7)</w:t>
            </w:r>
          </w:p>
        </w:tc>
        <w:tc>
          <w:tcPr>
            <w:tcW w:w="0" w:type="auto"/>
            <w:vAlign w:val="center"/>
          </w:tcPr>
          <w:p w14:paraId="290DCD76" w14:textId="49FCFC2A" w:rsidR="00EB2F88" w:rsidRPr="0035358E" w:rsidRDefault="00FF221C" w:rsidP="00071A99">
            <w:pPr>
              <w:pStyle w:val="TableText0"/>
              <w:jc w:val="center"/>
              <w:rPr>
                <w:rFonts w:eastAsia="Arial Narrow" w:cs="Arial"/>
                <w:szCs w:val="20"/>
              </w:rPr>
            </w:pPr>
            <w:r w:rsidRPr="0035358E">
              <w:rPr>
                <w:rFonts w:eastAsia="Arial Narrow" w:cs="Arial"/>
                <w:szCs w:val="20"/>
              </w:rPr>
              <w:t>102 (2.9)</w:t>
            </w:r>
          </w:p>
        </w:tc>
        <w:tc>
          <w:tcPr>
            <w:tcW w:w="0" w:type="auto"/>
            <w:vAlign w:val="center"/>
          </w:tcPr>
          <w:p w14:paraId="118FDF9E" w14:textId="54ADFC3C" w:rsidR="00EB2F88" w:rsidRPr="0035358E" w:rsidRDefault="00FF221C" w:rsidP="00071A99">
            <w:pPr>
              <w:pStyle w:val="TableText0"/>
              <w:jc w:val="center"/>
              <w:rPr>
                <w:rFonts w:eastAsia="Arial Narrow" w:cs="Arial"/>
                <w:szCs w:val="20"/>
              </w:rPr>
            </w:pPr>
            <w:r w:rsidRPr="0035358E">
              <w:rPr>
                <w:rFonts w:eastAsia="Arial Narrow" w:cs="Arial"/>
                <w:szCs w:val="20"/>
              </w:rPr>
              <w:t>40.2 (17.1, 57.2)</w:t>
            </w:r>
          </w:p>
        </w:tc>
      </w:tr>
      <w:tr w:rsidR="00690CC4" w:rsidRPr="0035358E" w14:paraId="2C15D069" w14:textId="77777777" w:rsidTr="001275F8">
        <w:tc>
          <w:tcPr>
            <w:tcW w:w="0" w:type="auto"/>
            <w:vAlign w:val="center"/>
          </w:tcPr>
          <w:p w14:paraId="5879D76D" w14:textId="12A87DE8" w:rsidR="00EB2F88" w:rsidRPr="0035358E" w:rsidRDefault="00EB2F88" w:rsidP="00071A99">
            <w:pPr>
              <w:pStyle w:val="TableText0"/>
              <w:rPr>
                <w:rFonts w:eastAsia="Arial Narrow" w:cs="Arial"/>
                <w:szCs w:val="20"/>
              </w:rPr>
            </w:pPr>
            <w:r w:rsidRPr="0035358E">
              <w:rPr>
                <w:rFonts w:eastAsia="Arial Narrow" w:cs="Arial"/>
                <w:szCs w:val="20"/>
              </w:rPr>
              <w:t>24 months</w:t>
            </w:r>
            <w:r w:rsidR="00AD504A" w:rsidRPr="0035358E">
              <w:rPr>
                <w:rFonts w:eastAsia="Arial Narrow" w:cs="Arial"/>
                <w:szCs w:val="20"/>
              </w:rPr>
              <w:t xml:space="preserve"> post birth</w:t>
            </w:r>
          </w:p>
        </w:tc>
        <w:tc>
          <w:tcPr>
            <w:tcW w:w="0" w:type="auto"/>
            <w:vAlign w:val="center"/>
          </w:tcPr>
          <w:p w14:paraId="554A663C" w14:textId="23087DEC" w:rsidR="00EB2F88" w:rsidRPr="0035358E" w:rsidRDefault="00FF221C" w:rsidP="00071A99">
            <w:pPr>
              <w:pStyle w:val="TableText0"/>
              <w:jc w:val="center"/>
              <w:rPr>
                <w:rFonts w:eastAsia="Arial Narrow" w:cs="Arial"/>
                <w:szCs w:val="20"/>
              </w:rPr>
            </w:pPr>
            <w:r w:rsidRPr="0035358E">
              <w:rPr>
                <w:rFonts w:eastAsia="Arial Narrow" w:cs="Arial"/>
                <w:szCs w:val="20"/>
              </w:rPr>
              <w:t>75 (2.1)</w:t>
            </w:r>
            <w:r w:rsidR="00EB2F88" w:rsidRPr="0035358E">
              <w:rPr>
                <w:rFonts w:eastAsia="Arial Narrow" w:cs="Arial"/>
                <w:szCs w:val="20"/>
              </w:rPr>
              <w:t xml:space="preserve"> </w:t>
            </w:r>
          </w:p>
        </w:tc>
        <w:tc>
          <w:tcPr>
            <w:tcW w:w="0" w:type="auto"/>
            <w:vAlign w:val="center"/>
          </w:tcPr>
          <w:p w14:paraId="2240EC62" w14:textId="47BC7303" w:rsidR="00EB2F88" w:rsidRPr="0035358E" w:rsidRDefault="00FF221C" w:rsidP="00071A99">
            <w:pPr>
              <w:pStyle w:val="TableText0"/>
              <w:jc w:val="center"/>
              <w:rPr>
                <w:rFonts w:eastAsia="Arial Narrow" w:cs="Arial"/>
                <w:szCs w:val="20"/>
              </w:rPr>
            </w:pPr>
            <w:r w:rsidRPr="0035358E">
              <w:rPr>
                <w:rFonts w:eastAsia="Arial Narrow" w:cs="Arial"/>
                <w:szCs w:val="20"/>
              </w:rPr>
              <w:t>118 (3.3)</w:t>
            </w:r>
          </w:p>
        </w:tc>
        <w:tc>
          <w:tcPr>
            <w:tcW w:w="0" w:type="auto"/>
            <w:vAlign w:val="center"/>
          </w:tcPr>
          <w:p w14:paraId="2FB92440" w14:textId="486A3AB5" w:rsidR="00EB2F88" w:rsidRPr="0035358E" w:rsidRDefault="00FF221C" w:rsidP="00071A99">
            <w:pPr>
              <w:pStyle w:val="TableText0"/>
              <w:jc w:val="center"/>
              <w:rPr>
                <w:rFonts w:eastAsia="Arial Narrow" w:cs="Arial"/>
                <w:szCs w:val="20"/>
              </w:rPr>
            </w:pPr>
            <w:r w:rsidRPr="0035358E">
              <w:rPr>
                <w:rFonts w:eastAsia="Arial Narrow" w:cs="Arial"/>
                <w:szCs w:val="20"/>
              </w:rPr>
              <w:t>36.4 (14.4, 53.1)</w:t>
            </w:r>
          </w:p>
        </w:tc>
      </w:tr>
    </w:tbl>
    <w:p w14:paraId="4A50F378" w14:textId="6E7C5921" w:rsidR="00F1459A" w:rsidRPr="0035358E" w:rsidRDefault="00F1459A" w:rsidP="00071A99">
      <w:pPr>
        <w:pStyle w:val="FooterTableFigure"/>
        <w:keepNext/>
        <w:spacing w:after="0"/>
      </w:pPr>
      <w:r w:rsidRPr="0035358E">
        <w:rPr>
          <w:szCs w:val="18"/>
        </w:rPr>
        <w:t>Source: Table 2.5.2, p63 of the submission</w:t>
      </w:r>
      <w:r w:rsidR="00FF221C" w:rsidRPr="0035358E">
        <w:rPr>
          <w:szCs w:val="18"/>
        </w:rPr>
        <w:t xml:space="preserve">, </w:t>
      </w:r>
      <w:r w:rsidR="00022745" w:rsidRPr="0035358E">
        <w:rPr>
          <w:rFonts w:eastAsia="Calibri"/>
        </w:rPr>
        <w:t xml:space="preserve">Pre-PBAC response Table 1 (from </w:t>
      </w:r>
      <w:r w:rsidR="00FF221C" w:rsidRPr="0035358E">
        <w:rPr>
          <w:szCs w:val="18"/>
        </w:rPr>
        <w:t>Munjal et al., 2024</w:t>
      </w:r>
      <w:r w:rsidR="00022745" w:rsidRPr="0035358E">
        <w:rPr>
          <w:szCs w:val="18"/>
        </w:rPr>
        <w:t>)</w:t>
      </w:r>
    </w:p>
    <w:p w14:paraId="1E9921AE" w14:textId="736B71B1" w:rsidR="00F1459A" w:rsidRPr="00AC6CE4" w:rsidRDefault="00AC6CE4" w:rsidP="00071A99">
      <w:pPr>
        <w:keepNext/>
        <w:rPr>
          <w:rFonts w:ascii="Arial Narrow" w:hAnsi="Arial Narrow"/>
          <w:sz w:val="18"/>
          <w:szCs w:val="18"/>
        </w:rPr>
      </w:pPr>
      <w:r w:rsidRPr="00AC6CE4">
        <w:rPr>
          <w:rFonts w:ascii="Arial Narrow" w:hAnsi="Arial Narrow"/>
          <w:sz w:val="18"/>
          <w:szCs w:val="18"/>
        </w:rPr>
        <w:t>Abbreviations</w:t>
      </w:r>
      <w:r>
        <w:rPr>
          <w:rFonts w:ascii="Arial Narrow" w:hAnsi="Arial Narrow"/>
          <w:sz w:val="18"/>
          <w:szCs w:val="18"/>
        </w:rPr>
        <w:t xml:space="preserve">: </w:t>
      </w:r>
      <w:r w:rsidR="00F1459A" w:rsidRPr="0035358E">
        <w:rPr>
          <w:rFonts w:ascii="Arial Narrow" w:hAnsi="Arial Narrow"/>
          <w:sz w:val="18"/>
          <w:szCs w:val="18"/>
        </w:rPr>
        <w:t>CI = confidence interval; MA-LRTI = medically attended lower respiratory tract illness; RSV = respiratory syncytial virus; RSVpreF =</w:t>
      </w:r>
      <w:r w:rsidR="00F1459A" w:rsidRPr="00AC6CE4">
        <w:rPr>
          <w:rFonts w:ascii="Arial Narrow" w:hAnsi="Arial Narrow"/>
          <w:sz w:val="18"/>
          <w:szCs w:val="18"/>
        </w:rPr>
        <w:t>respiratory syncytial virus pre-fusion F protein vaccine.</w:t>
      </w:r>
    </w:p>
    <w:p w14:paraId="73ADD6F1" w14:textId="77777777" w:rsidR="00F1459A" w:rsidRPr="00AC6CE4" w:rsidRDefault="00F1459A" w:rsidP="00071A99">
      <w:pPr>
        <w:pStyle w:val="Caption"/>
        <w:rPr>
          <w:b w:val="0"/>
          <w:bCs w:val="0"/>
          <w:sz w:val="18"/>
        </w:rPr>
      </w:pPr>
      <w:r w:rsidRPr="00AC6CE4">
        <w:rPr>
          <w:b w:val="0"/>
          <w:bCs w:val="0"/>
          <w:sz w:val="18"/>
          <w:vertAlign w:val="superscript"/>
        </w:rPr>
        <w:t>a</w:t>
      </w:r>
      <w:r w:rsidRPr="00AC6CE4">
        <w:rPr>
          <w:b w:val="0"/>
          <w:bCs w:val="0"/>
          <w:sz w:val="18"/>
        </w:rPr>
        <w:t xml:space="preserve"> Number of participants (at risk). Value used as denominator for percentage calculations.</w:t>
      </w:r>
    </w:p>
    <w:p w14:paraId="6F1BC75F" w14:textId="77777777" w:rsidR="00F1459A" w:rsidRPr="00AC6CE4" w:rsidRDefault="00F1459A" w:rsidP="00071A99">
      <w:pPr>
        <w:pStyle w:val="Caption"/>
        <w:rPr>
          <w:b w:val="0"/>
          <w:bCs w:val="0"/>
          <w:sz w:val="18"/>
        </w:rPr>
      </w:pPr>
      <w:r w:rsidRPr="00AC6CE4">
        <w:rPr>
          <w:b w:val="0"/>
          <w:bCs w:val="0"/>
          <w:sz w:val="18"/>
          <w:vertAlign w:val="superscript"/>
        </w:rPr>
        <w:t>b</w:t>
      </w:r>
      <w:r w:rsidRPr="00AC6CE4">
        <w:rPr>
          <w:b w:val="0"/>
          <w:bCs w:val="0"/>
          <w:sz w:val="18"/>
        </w:rPr>
        <w:t xml:space="preserve"> Calculated as 1-(P/[1-P]), where P is the number of cases in the RSVpreF group divided by the total number of cases.</w:t>
      </w:r>
    </w:p>
    <w:p w14:paraId="59FF895B" w14:textId="79B2D827" w:rsidR="00071A99" w:rsidRPr="00AC6CE4" w:rsidRDefault="00F1459A" w:rsidP="00071A99">
      <w:pPr>
        <w:rPr>
          <w:rFonts w:ascii="Arial Narrow" w:hAnsi="Arial Narrow"/>
        </w:rPr>
      </w:pPr>
      <w:r w:rsidRPr="00AC6CE4">
        <w:rPr>
          <w:rFonts w:ascii="Arial Narrow" w:hAnsi="Arial Narrow"/>
          <w:sz w:val="18"/>
        </w:rPr>
        <w:t>c 99.5% CI at 90 days (as determined by the alpha spending function and adjusted using the Bonferroni procedure), and 97.58% CI at later intervals (based on 2-sided alpha of 0.0483 adjusted using the Bonferroni procedure).</w:t>
      </w:r>
    </w:p>
    <w:p w14:paraId="5EAE60FA" w14:textId="38191EC1" w:rsidR="00F1459A" w:rsidRPr="0035358E" w:rsidRDefault="00F1459A" w:rsidP="00071A99">
      <w:pPr>
        <w:pStyle w:val="Caption"/>
      </w:pPr>
      <w:bookmarkStart w:id="46" w:name="_Ref152040203"/>
      <w:r w:rsidRPr="0035358E">
        <w:lastRenderedPageBreak/>
        <w:t xml:space="preserve">Figure </w:t>
      </w:r>
      <w:r w:rsidR="00560E31">
        <w:fldChar w:fldCharType="begin"/>
      </w:r>
      <w:r w:rsidR="00560E31">
        <w:instrText xml:space="preserve"> SEQ Figure \* ARABIC </w:instrText>
      </w:r>
      <w:r w:rsidR="00560E31">
        <w:fldChar w:fldCharType="separate"/>
      </w:r>
      <w:r w:rsidR="00A46CAC">
        <w:rPr>
          <w:noProof/>
        </w:rPr>
        <w:t>2</w:t>
      </w:r>
      <w:r w:rsidR="00560E31">
        <w:rPr>
          <w:noProof/>
        </w:rPr>
        <w:fldChar w:fldCharType="end"/>
      </w:r>
      <w:bookmarkEnd w:id="46"/>
      <w:r w:rsidRPr="0035358E">
        <w:t>: KM curves of RSV-positive severe MA-LRTI occurring in infants through 180 days after birth</w:t>
      </w:r>
    </w:p>
    <w:p w14:paraId="62CB43FD" w14:textId="387EA40C" w:rsidR="00F1459A" w:rsidRPr="0035358E" w:rsidRDefault="00F1459A" w:rsidP="00071A99">
      <w:pPr>
        <w:pStyle w:val="Caption"/>
      </w:pPr>
      <w:r w:rsidRPr="0035358E">
        <w:rPr>
          <w:rFonts w:ascii="Arial" w:hAnsi="Arial"/>
          <w:noProof/>
        </w:rPr>
        <w:drawing>
          <wp:inline distT="0" distB="0" distL="0" distR="0" wp14:anchorId="73BB656B" wp14:editId="107E4D2D">
            <wp:extent cx="5732145" cy="2937510"/>
            <wp:effectExtent l="0" t="0" r="1905" b="0"/>
            <wp:docPr id="1029403616" name="Picture 1029403616" descr="Figure 2: KM curves of RSV-positive severe MA-LRTI occurring in infants through 180 days after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03616" name="Picture 1029403616" descr="Figure 2: KM curves of RSV-positive severe MA-LRTI occurring in infants through 180 days after birth."/>
                    <pic:cNvPicPr/>
                  </pic:nvPicPr>
                  <pic:blipFill rotWithShape="1">
                    <a:blip r:embed="rId9"/>
                    <a:srcRect t="1188"/>
                    <a:stretch/>
                  </pic:blipFill>
                  <pic:spPr bwMode="auto">
                    <a:xfrm>
                      <a:off x="0" y="0"/>
                      <a:ext cx="5732145" cy="2937510"/>
                    </a:xfrm>
                    <a:prstGeom prst="rect">
                      <a:avLst/>
                    </a:prstGeom>
                    <a:ln>
                      <a:noFill/>
                    </a:ln>
                    <a:extLst>
                      <a:ext uri="{53640926-AAD7-44D8-BBD7-CCE9431645EC}">
                        <a14:shadowObscured xmlns:a14="http://schemas.microsoft.com/office/drawing/2010/main"/>
                      </a:ext>
                    </a:extLst>
                  </pic:spPr>
                </pic:pic>
              </a:graphicData>
            </a:graphic>
          </wp:inline>
        </w:drawing>
      </w:r>
    </w:p>
    <w:p w14:paraId="2AFC33B4" w14:textId="0576D2C4" w:rsidR="00F1459A" w:rsidRPr="0035358E" w:rsidRDefault="00F1459A" w:rsidP="00071A99">
      <w:pPr>
        <w:keepNext/>
        <w:rPr>
          <w:rFonts w:ascii="Arial Narrow" w:hAnsi="Arial Narrow"/>
          <w:sz w:val="18"/>
          <w:szCs w:val="18"/>
        </w:rPr>
      </w:pPr>
      <w:r w:rsidRPr="0035358E">
        <w:rPr>
          <w:rFonts w:ascii="Arial Narrow" w:hAnsi="Arial Narrow"/>
          <w:sz w:val="18"/>
          <w:szCs w:val="18"/>
        </w:rPr>
        <w:t>Source: Figure 2.5.2, p64 of the submission</w:t>
      </w:r>
      <w:r w:rsidR="00F35B67" w:rsidRPr="0035358E">
        <w:rPr>
          <w:rFonts w:ascii="Arial Narrow" w:hAnsi="Arial Narrow"/>
          <w:sz w:val="18"/>
          <w:szCs w:val="18"/>
        </w:rPr>
        <w:t xml:space="preserve"> (primary analysis, corresponding to a data cut-off date of 30 September 2022)</w:t>
      </w:r>
      <w:r w:rsidRPr="0035358E">
        <w:rPr>
          <w:rFonts w:ascii="Arial Narrow" w:hAnsi="Arial Narrow"/>
          <w:sz w:val="18"/>
          <w:szCs w:val="18"/>
        </w:rPr>
        <w:t>.</w:t>
      </w:r>
    </w:p>
    <w:p w14:paraId="5C5D0B37" w14:textId="5172358E" w:rsidR="00F1459A" w:rsidRPr="0035358E" w:rsidRDefault="00AC6CE4" w:rsidP="00071A99">
      <w:pPr>
        <w:spacing w:after="120"/>
        <w:rPr>
          <w:rFonts w:ascii="Arial Narrow" w:hAnsi="Arial Narrow"/>
          <w:sz w:val="18"/>
          <w:szCs w:val="18"/>
        </w:rPr>
      </w:pPr>
      <w:r>
        <w:rPr>
          <w:rFonts w:ascii="Arial Narrow" w:hAnsi="Arial Narrow"/>
          <w:sz w:val="18"/>
          <w:szCs w:val="18"/>
        </w:rPr>
        <w:t xml:space="preserve">Abbreviations: </w:t>
      </w:r>
      <w:r w:rsidR="00F1459A" w:rsidRPr="0035358E">
        <w:rPr>
          <w:rFonts w:ascii="Arial Narrow" w:hAnsi="Arial Narrow"/>
          <w:sz w:val="18"/>
          <w:szCs w:val="18"/>
        </w:rPr>
        <w:t>KM = Kaplan-Meier; MA-LRTI = medically attended lower respiratory tract illness; RSV = respiratory syncytial virus; RSVpreF = respiratory syncytial virus pre-fusion F protein vaccine.</w:t>
      </w:r>
    </w:p>
    <w:p w14:paraId="548ACC0F" w14:textId="2E2C9718" w:rsidR="00C14239" w:rsidRPr="0035358E" w:rsidRDefault="00C14239" w:rsidP="00DD4B2C">
      <w:pPr>
        <w:pStyle w:val="3-BodyText"/>
      </w:pPr>
      <w:r w:rsidRPr="0035358E">
        <w:t>Given the ATAGI advice supporting administration from 28 weeks gestation, the PSCR presented additional analyses for the subgroup vaccinated from 28 weeks to &lt;</w:t>
      </w:r>
      <w:r w:rsidR="00071A99">
        <w:t> </w:t>
      </w:r>
      <w:r w:rsidRPr="0035358E">
        <w:t>37</w:t>
      </w:r>
      <w:r w:rsidR="00071A99">
        <w:t> </w:t>
      </w:r>
      <w:r w:rsidRPr="0035358E">
        <w:t xml:space="preserve">weeks gestation for RSV-positive severe MA-LRTI in the MATISSE </w:t>
      </w:r>
      <w:r w:rsidR="006012AB" w:rsidRPr="0035358E">
        <w:t xml:space="preserve">trial </w:t>
      </w:r>
      <w:r w:rsidRPr="0035358E">
        <w:t>(</w:t>
      </w:r>
      <w:r w:rsidRPr="0035358E">
        <w:fldChar w:fldCharType="begin"/>
      </w:r>
      <w:r w:rsidRPr="0035358E">
        <w:instrText xml:space="preserve"> REF _Ref159653342 \h  \* MERGEFORMAT </w:instrText>
      </w:r>
      <w:r w:rsidRPr="0035358E">
        <w:fldChar w:fldCharType="separate"/>
      </w:r>
      <w:r w:rsidR="00A46CAC" w:rsidRPr="0035358E">
        <w:t xml:space="preserve">Table </w:t>
      </w:r>
      <w:r w:rsidR="00A46CAC">
        <w:t>7</w:t>
      </w:r>
      <w:r w:rsidRPr="0035358E">
        <w:fldChar w:fldCharType="end"/>
      </w:r>
      <w:r w:rsidRPr="0035358E">
        <w:t>). There were 8 cases of RSV-positive severe MA-LRTI in infants within 180 days after birth in the RSVpreF group and 43 cases in the placebo group, corresponding to a VE of 81.3% (95% CI: 59.8, 92.4) for RSVpreF (</w:t>
      </w:r>
      <w:r w:rsidRPr="0035358E">
        <w:fldChar w:fldCharType="begin"/>
      </w:r>
      <w:r w:rsidRPr="0035358E">
        <w:instrText xml:space="preserve"> REF _Ref159653342 \h  \* MERGEFORMAT </w:instrText>
      </w:r>
      <w:r w:rsidRPr="0035358E">
        <w:fldChar w:fldCharType="separate"/>
      </w:r>
      <w:r w:rsidR="00A46CAC" w:rsidRPr="0035358E">
        <w:t xml:space="preserve">Table </w:t>
      </w:r>
      <w:r w:rsidR="00A46CAC">
        <w:t>7</w:t>
      </w:r>
      <w:r w:rsidRPr="0035358E">
        <w:fldChar w:fldCharType="end"/>
      </w:r>
      <w:r w:rsidRPr="0035358E">
        <w:t>) which was higher than that reported for the overall population VE of 69.4% (97.58% CI:44.3%, 84.1%) for RSVpreF (</w:t>
      </w:r>
      <w:r w:rsidRPr="0035358E">
        <w:fldChar w:fldCharType="begin"/>
      </w:r>
      <w:r w:rsidRPr="0035358E">
        <w:instrText xml:space="preserve"> REF _Ref152040231 \h  \* MERGEFORMAT </w:instrText>
      </w:r>
      <w:r w:rsidRPr="0035358E">
        <w:fldChar w:fldCharType="separate"/>
      </w:r>
      <w:r w:rsidR="00A46CAC" w:rsidRPr="0035358E">
        <w:t xml:space="preserve">Table </w:t>
      </w:r>
      <w:r w:rsidR="00A46CAC">
        <w:t>6</w:t>
      </w:r>
      <w:r w:rsidRPr="0035358E">
        <w:fldChar w:fldCharType="end"/>
      </w:r>
      <w:r w:rsidRPr="0035358E">
        <w:t xml:space="preserve">). The ESC noted that the number of cases reported in this subgroup analysis ranged from 2 to 8 in the RSVpreF group and 22 to 43 in the placebo group. The ESC noted that the subgroup results suggested improved efficacy when the vaccine was administered between 28 weeks to &lt;37 weeks gestation, although the magnitude of effect in the subgroup was less certain due to the relatively small number of cases in comparison with the </w:t>
      </w:r>
      <w:r w:rsidR="00251D28" w:rsidRPr="0035358E">
        <w:t xml:space="preserve">overall </w:t>
      </w:r>
      <w:r w:rsidRPr="0035358E">
        <w:t>analysis</w:t>
      </w:r>
      <w:r w:rsidR="00C93F78" w:rsidRPr="0035358E">
        <w:t xml:space="preserve">. </w:t>
      </w:r>
      <w:r w:rsidR="004B7E98" w:rsidRPr="0035358E">
        <w:t xml:space="preserve">The pre-PBAC response </w:t>
      </w:r>
      <w:r w:rsidR="006C41EF" w:rsidRPr="0035358E">
        <w:t xml:space="preserve">stated </w:t>
      </w:r>
      <w:r w:rsidR="008D0146" w:rsidRPr="0035358E">
        <w:t xml:space="preserve">that results based on the final analysis were consistent with the primary analysis for analyses </w:t>
      </w:r>
      <w:r w:rsidR="004B7E98" w:rsidRPr="0035358E">
        <w:t>by timing of dosing (</w:t>
      </w:r>
      <w:r w:rsidR="008D0146" w:rsidRPr="0035358E">
        <w:fldChar w:fldCharType="begin"/>
      </w:r>
      <w:r w:rsidR="008D0146" w:rsidRPr="0035358E">
        <w:instrText xml:space="preserve"> REF _Ref159653342 \h </w:instrText>
      </w:r>
      <w:r w:rsidR="00062914" w:rsidRPr="0035358E">
        <w:instrText xml:space="preserve"> \* MERGEFORMAT </w:instrText>
      </w:r>
      <w:r w:rsidR="008D0146" w:rsidRPr="0035358E">
        <w:fldChar w:fldCharType="separate"/>
      </w:r>
      <w:r w:rsidR="00A46CAC" w:rsidRPr="0035358E">
        <w:t xml:space="preserve">Table </w:t>
      </w:r>
      <w:r w:rsidR="00A46CAC">
        <w:t>7</w:t>
      </w:r>
      <w:r w:rsidR="008D0146" w:rsidRPr="0035358E">
        <w:fldChar w:fldCharType="end"/>
      </w:r>
      <w:r w:rsidR="004B7E98" w:rsidRPr="0035358E">
        <w:t>).</w:t>
      </w:r>
    </w:p>
    <w:p w14:paraId="3216015C" w14:textId="0EFD7DE4" w:rsidR="00C14239" w:rsidRPr="0035358E" w:rsidRDefault="00C14239" w:rsidP="00AE0C2A">
      <w:pPr>
        <w:pStyle w:val="TableFigureHeading"/>
        <w:rPr>
          <w:rStyle w:val="CommentReference"/>
          <w:b/>
          <w:szCs w:val="24"/>
        </w:rPr>
      </w:pPr>
      <w:bookmarkStart w:id="47" w:name="_Ref159653342"/>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7</w:t>
      </w:r>
      <w:r w:rsidR="00560E31">
        <w:rPr>
          <w:noProof/>
        </w:rPr>
        <w:fldChar w:fldCharType="end"/>
      </w:r>
      <w:bookmarkEnd w:id="47"/>
      <w:r w:rsidRPr="0035358E">
        <w:t>:</w:t>
      </w:r>
      <w:r w:rsidRPr="0035358E">
        <w:rPr>
          <w:rStyle w:val="CommentReference"/>
          <w:b/>
          <w:szCs w:val="24"/>
        </w:rPr>
        <w:t xml:space="preserve"> RSV-positive severe MA-LRTI occurring in infants through 180 days after birth – Subgroup vaccinated from 28 weeks to &lt;37 weeks gestation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SV-positive severe MA-LRTI occurring in infants through 180 days after birth – Subgroup vaccinated from 28 weeks to &lt;37 weeks gestation"/>
      </w:tblPr>
      <w:tblGrid>
        <w:gridCol w:w="1979"/>
        <w:gridCol w:w="2269"/>
        <w:gridCol w:w="2536"/>
        <w:gridCol w:w="2233"/>
      </w:tblGrid>
      <w:tr w:rsidR="008D0146" w:rsidRPr="0035358E" w14:paraId="79657A77" w14:textId="77777777" w:rsidTr="00BB3C3E">
        <w:trPr>
          <w:tblHeader/>
        </w:trPr>
        <w:tc>
          <w:tcPr>
            <w:tcW w:w="0" w:type="auto"/>
            <w:vAlign w:val="center"/>
          </w:tcPr>
          <w:p w14:paraId="113EFC98" w14:textId="77777777" w:rsidR="00C14239" w:rsidRPr="0035358E" w:rsidRDefault="00C14239" w:rsidP="00071A99">
            <w:pPr>
              <w:pStyle w:val="In-tableHeading"/>
              <w:rPr>
                <w:szCs w:val="20"/>
                <w:lang w:val="en-AU"/>
              </w:rPr>
            </w:pPr>
            <w:r w:rsidRPr="0035358E">
              <w:rPr>
                <w:rFonts w:cs="Arial"/>
                <w:bCs/>
                <w:szCs w:val="20"/>
                <w:lang w:val="en-AU"/>
              </w:rPr>
              <w:t>Time interval</w:t>
            </w:r>
          </w:p>
        </w:tc>
        <w:tc>
          <w:tcPr>
            <w:tcW w:w="0" w:type="auto"/>
            <w:vAlign w:val="center"/>
          </w:tcPr>
          <w:p w14:paraId="386D0259" w14:textId="77777777" w:rsidR="00C14239" w:rsidRPr="0035358E" w:rsidRDefault="00C14239" w:rsidP="00071A99">
            <w:pPr>
              <w:keepNext/>
              <w:keepLines/>
              <w:ind w:firstLine="45"/>
              <w:jc w:val="center"/>
              <w:rPr>
                <w:rFonts w:ascii="Arial Narrow" w:hAnsi="Arial Narrow"/>
                <w:b/>
                <w:bCs/>
                <w:sz w:val="20"/>
                <w:szCs w:val="20"/>
              </w:rPr>
            </w:pPr>
            <w:r w:rsidRPr="0035358E">
              <w:rPr>
                <w:rFonts w:ascii="Arial Narrow" w:hAnsi="Arial Narrow"/>
                <w:b/>
                <w:bCs/>
                <w:sz w:val="20"/>
                <w:szCs w:val="20"/>
              </w:rPr>
              <w:t>RSVpreF 120 ug</w:t>
            </w:r>
          </w:p>
          <w:p w14:paraId="48FFF3D6" w14:textId="77777777" w:rsidR="00C14239" w:rsidRPr="0035358E" w:rsidRDefault="00C14239"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2,605</w:t>
            </w:r>
          </w:p>
          <w:p w14:paraId="1E3A3AFA" w14:textId="77777777" w:rsidR="00C14239" w:rsidRPr="0035358E" w:rsidRDefault="00C14239" w:rsidP="00071A99">
            <w:pPr>
              <w:pStyle w:val="In-tableHeading"/>
              <w:jc w:val="center"/>
              <w:rPr>
                <w:szCs w:val="20"/>
                <w:lang w:val="en-AU"/>
              </w:rPr>
            </w:pPr>
            <w:r w:rsidRPr="0035358E">
              <w:rPr>
                <w:rFonts w:cs="Arial"/>
                <w:bCs/>
                <w:szCs w:val="20"/>
                <w:lang w:val="en-AU"/>
              </w:rPr>
              <w:t>No. of cases (%)</w:t>
            </w:r>
          </w:p>
        </w:tc>
        <w:tc>
          <w:tcPr>
            <w:tcW w:w="0" w:type="auto"/>
            <w:vAlign w:val="center"/>
          </w:tcPr>
          <w:p w14:paraId="3AF54151" w14:textId="77777777" w:rsidR="00C14239" w:rsidRPr="0035358E" w:rsidRDefault="00C14239" w:rsidP="00071A99">
            <w:pPr>
              <w:keepNext/>
              <w:keepLines/>
              <w:ind w:firstLine="45"/>
              <w:jc w:val="center"/>
              <w:rPr>
                <w:rFonts w:ascii="Arial Narrow" w:hAnsi="Arial Narrow"/>
                <w:b/>
                <w:bCs/>
                <w:sz w:val="20"/>
                <w:szCs w:val="20"/>
              </w:rPr>
            </w:pPr>
            <w:r w:rsidRPr="0035358E">
              <w:rPr>
                <w:rFonts w:ascii="Arial Narrow" w:hAnsi="Arial Narrow"/>
                <w:b/>
                <w:bCs/>
                <w:sz w:val="20"/>
                <w:szCs w:val="20"/>
              </w:rPr>
              <w:t>Placebo</w:t>
            </w:r>
          </w:p>
          <w:p w14:paraId="6DD7989D" w14:textId="77777777" w:rsidR="00C14239" w:rsidRPr="0035358E" w:rsidRDefault="00C14239"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2,614</w:t>
            </w:r>
          </w:p>
          <w:p w14:paraId="0306B739" w14:textId="77777777" w:rsidR="00C14239" w:rsidRPr="0035358E" w:rsidRDefault="00C14239" w:rsidP="00071A99">
            <w:pPr>
              <w:pStyle w:val="In-tableHeading"/>
              <w:jc w:val="center"/>
              <w:rPr>
                <w:szCs w:val="20"/>
                <w:lang w:val="en-AU"/>
              </w:rPr>
            </w:pPr>
            <w:r w:rsidRPr="0035358E">
              <w:rPr>
                <w:rFonts w:cs="Arial"/>
                <w:bCs/>
                <w:szCs w:val="20"/>
                <w:lang w:val="en-AU"/>
              </w:rPr>
              <w:t>No. of cases (%)</w:t>
            </w:r>
          </w:p>
        </w:tc>
        <w:tc>
          <w:tcPr>
            <w:tcW w:w="0" w:type="auto"/>
            <w:vAlign w:val="center"/>
          </w:tcPr>
          <w:p w14:paraId="33AFC6AC" w14:textId="77777777" w:rsidR="00C14239" w:rsidRPr="0035358E" w:rsidRDefault="00C14239" w:rsidP="00071A99">
            <w:pPr>
              <w:pStyle w:val="In-tableHeading"/>
              <w:jc w:val="center"/>
              <w:rPr>
                <w:szCs w:val="20"/>
                <w:lang w:val="en-AU"/>
              </w:rPr>
            </w:pPr>
            <w:r w:rsidRPr="0035358E">
              <w:rPr>
                <w:rFonts w:cs="Arial"/>
                <w:bCs/>
                <w:szCs w:val="20"/>
                <w:lang w:val="en-AU"/>
              </w:rPr>
              <w:t>VE</w:t>
            </w:r>
            <w:r w:rsidRPr="0035358E">
              <w:rPr>
                <w:rFonts w:cs="Arial"/>
                <w:bCs/>
                <w:szCs w:val="20"/>
                <w:vertAlign w:val="superscript"/>
                <w:lang w:val="en-AU"/>
              </w:rPr>
              <w:t>b</w:t>
            </w:r>
            <w:r w:rsidRPr="0035358E">
              <w:rPr>
                <w:rFonts w:cs="Arial"/>
                <w:bCs/>
                <w:szCs w:val="20"/>
                <w:lang w:val="en-AU"/>
              </w:rPr>
              <w:t>, 95% (CI)</w:t>
            </w:r>
          </w:p>
        </w:tc>
      </w:tr>
      <w:tr w:rsidR="008D0146" w:rsidRPr="0035358E" w14:paraId="17D56212" w14:textId="77777777" w:rsidTr="00C90D90">
        <w:trPr>
          <w:tblHeader/>
        </w:trPr>
        <w:tc>
          <w:tcPr>
            <w:tcW w:w="0" w:type="auto"/>
            <w:gridSpan w:val="4"/>
            <w:vAlign w:val="center"/>
          </w:tcPr>
          <w:p w14:paraId="49172438" w14:textId="647DF231" w:rsidR="008D0146" w:rsidRPr="0035358E" w:rsidRDefault="008D0146" w:rsidP="00071A99">
            <w:pPr>
              <w:pStyle w:val="In-tableHeading"/>
              <w:rPr>
                <w:rFonts w:cs="Arial"/>
                <w:bCs/>
                <w:szCs w:val="20"/>
                <w:lang w:val="en-AU"/>
              </w:rPr>
            </w:pPr>
            <w:r w:rsidRPr="0035358E">
              <w:rPr>
                <w:rFonts w:cs="Arial"/>
                <w:bCs/>
                <w:szCs w:val="20"/>
                <w:lang w:val="en-AU"/>
              </w:rPr>
              <w:t>Primary Analysis (reported in PSCR)</w:t>
            </w:r>
          </w:p>
        </w:tc>
      </w:tr>
      <w:tr w:rsidR="008D0146" w:rsidRPr="0035358E" w14:paraId="2556AFEC" w14:textId="77777777" w:rsidTr="00BB3C3E">
        <w:tc>
          <w:tcPr>
            <w:tcW w:w="0" w:type="auto"/>
            <w:vAlign w:val="center"/>
          </w:tcPr>
          <w:p w14:paraId="45183119" w14:textId="77777777" w:rsidR="00C14239" w:rsidRPr="0035358E" w:rsidRDefault="00C14239" w:rsidP="00071A99">
            <w:pPr>
              <w:pStyle w:val="TableText0"/>
              <w:rPr>
                <w:szCs w:val="20"/>
              </w:rPr>
            </w:pPr>
            <w:r w:rsidRPr="0035358E">
              <w:rPr>
                <w:rFonts w:eastAsia="Arial Narrow" w:cs="Arial"/>
                <w:szCs w:val="20"/>
              </w:rPr>
              <w:t>90 days post birth</w:t>
            </w:r>
          </w:p>
        </w:tc>
        <w:tc>
          <w:tcPr>
            <w:tcW w:w="0" w:type="auto"/>
            <w:vAlign w:val="center"/>
          </w:tcPr>
          <w:p w14:paraId="4C206E50" w14:textId="77777777" w:rsidR="00C14239" w:rsidRPr="0035358E" w:rsidRDefault="00C14239" w:rsidP="00071A99">
            <w:pPr>
              <w:pStyle w:val="TableText0"/>
              <w:jc w:val="center"/>
              <w:rPr>
                <w:szCs w:val="20"/>
              </w:rPr>
            </w:pPr>
            <w:r w:rsidRPr="0035358E">
              <w:rPr>
                <w:rFonts w:eastAsia="Arial Narrow" w:cs="Arial"/>
                <w:szCs w:val="20"/>
              </w:rPr>
              <w:t>2 (&lt;0.1)</w:t>
            </w:r>
          </w:p>
        </w:tc>
        <w:tc>
          <w:tcPr>
            <w:tcW w:w="0" w:type="auto"/>
            <w:vAlign w:val="center"/>
          </w:tcPr>
          <w:p w14:paraId="1334D1ED" w14:textId="77777777" w:rsidR="00C14239" w:rsidRPr="0035358E" w:rsidRDefault="00C14239" w:rsidP="00071A99">
            <w:pPr>
              <w:pStyle w:val="TableText0"/>
              <w:jc w:val="center"/>
              <w:rPr>
                <w:szCs w:val="20"/>
              </w:rPr>
            </w:pPr>
            <w:r w:rsidRPr="0035358E">
              <w:rPr>
                <w:rFonts w:eastAsia="Arial Narrow" w:cs="Arial"/>
                <w:szCs w:val="20"/>
              </w:rPr>
              <w:t>22 (0.8)</w:t>
            </w:r>
          </w:p>
        </w:tc>
        <w:tc>
          <w:tcPr>
            <w:tcW w:w="0" w:type="auto"/>
            <w:vAlign w:val="center"/>
          </w:tcPr>
          <w:p w14:paraId="6C6622EC" w14:textId="77777777" w:rsidR="00C14239" w:rsidRPr="0035358E" w:rsidRDefault="00C14239" w:rsidP="00071A99">
            <w:pPr>
              <w:pStyle w:val="TableText0"/>
              <w:jc w:val="center"/>
              <w:rPr>
                <w:szCs w:val="20"/>
              </w:rPr>
            </w:pPr>
            <w:r w:rsidRPr="0035358E">
              <w:rPr>
                <w:rFonts w:eastAsia="Arial Narrow" w:cs="Arial"/>
                <w:b/>
                <w:bCs w:val="0"/>
                <w:szCs w:val="20"/>
              </w:rPr>
              <w:t>90.9 (62.9, 99.0</w:t>
            </w:r>
            <w:r w:rsidRPr="0035358E">
              <w:rPr>
                <w:rFonts w:eastAsia="Arial Narrow" w:cs="Arial"/>
                <w:szCs w:val="20"/>
              </w:rPr>
              <w:t>)</w:t>
            </w:r>
          </w:p>
        </w:tc>
      </w:tr>
      <w:tr w:rsidR="008D0146" w:rsidRPr="0035358E" w14:paraId="501A92AB" w14:textId="77777777" w:rsidTr="00BB3C3E">
        <w:tc>
          <w:tcPr>
            <w:tcW w:w="0" w:type="auto"/>
            <w:vAlign w:val="center"/>
          </w:tcPr>
          <w:p w14:paraId="09A7B1B3" w14:textId="77777777" w:rsidR="00C14239" w:rsidRPr="0035358E" w:rsidRDefault="00C14239" w:rsidP="00071A99">
            <w:pPr>
              <w:pStyle w:val="TableText0"/>
              <w:rPr>
                <w:szCs w:val="20"/>
              </w:rPr>
            </w:pPr>
            <w:r w:rsidRPr="0035358E">
              <w:rPr>
                <w:rFonts w:eastAsia="Arial Narrow" w:cs="Arial"/>
                <w:szCs w:val="20"/>
              </w:rPr>
              <w:t>120 days post birth</w:t>
            </w:r>
          </w:p>
        </w:tc>
        <w:tc>
          <w:tcPr>
            <w:tcW w:w="0" w:type="auto"/>
            <w:vAlign w:val="center"/>
          </w:tcPr>
          <w:p w14:paraId="0158E604" w14:textId="77777777" w:rsidR="00C14239" w:rsidRPr="0035358E" w:rsidRDefault="00C14239" w:rsidP="00071A99">
            <w:pPr>
              <w:pStyle w:val="TableText0"/>
              <w:jc w:val="center"/>
              <w:rPr>
                <w:szCs w:val="20"/>
              </w:rPr>
            </w:pPr>
            <w:r w:rsidRPr="0035358E">
              <w:rPr>
                <w:rFonts w:eastAsia="Arial Narrow" w:cs="Arial"/>
                <w:szCs w:val="20"/>
              </w:rPr>
              <w:t>5 (0.2)</w:t>
            </w:r>
          </w:p>
        </w:tc>
        <w:tc>
          <w:tcPr>
            <w:tcW w:w="0" w:type="auto"/>
            <w:vAlign w:val="center"/>
          </w:tcPr>
          <w:p w14:paraId="4A7CCD97" w14:textId="77777777" w:rsidR="00C14239" w:rsidRPr="0035358E" w:rsidRDefault="00C14239" w:rsidP="00071A99">
            <w:pPr>
              <w:pStyle w:val="TableText0"/>
              <w:jc w:val="center"/>
              <w:rPr>
                <w:szCs w:val="20"/>
              </w:rPr>
            </w:pPr>
            <w:r w:rsidRPr="0035358E">
              <w:rPr>
                <w:rFonts w:eastAsia="Arial Narrow" w:cs="Arial"/>
                <w:szCs w:val="20"/>
              </w:rPr>
              <w:t>31 (1.2)</w:t>
            </w:r>
          </w:p>
        </w:tc>
        <w:tc>
          <w:tcPr>
            <w:tcW w:w="0" w:type="auto"/>
            <w:vAlign w:val="center"/>
          </w:tcPr>
          <w:p w14:paraId="30E80528" w14:textId="77777777" w:rsidR="00C14239" w:rsidRPr="0035358E" w:rsidRDefault="00C14239" w:rsidP="00071A99">
            <w:pPr>
              <w:pStyle w:val="TableText0"/>
              <w:jc w:val="center"/>
              <w:rPr>
                <w:b/>
                <w:bCs w:val="0"/>
                <w:szCs w:val="20"/>
              </w:rPr>
            </w:pPr>
            <w:r w:rsidRPr="0035358E">
              <w:rPr>
                <w:rFonts w:eastAsia="Arial Narrow" w:cs="Arial"/>
                <w:b/>
                <w:bCs w:val="0"/>
                <w:szCs w:val="20"/>
              </w:rPr>
              <w:t>83.8 (58.0, 95.1)</w:t>
            </w:r>
          </w:p>
        </w:tc>
      </w:tr>
      <w:tr w:rsidR="008D0146" w:rsidRPr="0035358E" w14:paraId="26F5554E" w14:textId="77777777" w:rsidTr="00BB3C3E">
        <w:tc>
          <w:tcPr>
            <w:tcW w:w="0" w:type="auto"/>
            <w:vAlign w:val="center"/>
          </w:tcPr>
          <w:p w14:paraId="26797A5F" w14:textId="77777777" w:rsidR="00C14239" w:rsidRPr="0035358E" w:rsidRDefault="00C14239" w:rsidP="00071A99">
            <w:pPr>
              <w:pStyle w:val="TableText0"/>
              <w:rPr>
                <w:szCs w:val="20"/>
              </w:rPr>
            </w:pPr>
            <w:r w:rsidRPr="0035358E">
              <w:rPr>
                <w:rFonts w:eastAsia="Arial Narrow" w:cs="Arial"/>
                <w:szCs w:val="20"/>
              </w:rPr>
              <w:t>150 days post birth</w:t>
            </w:r>
          </w:p>
        </w:tc>
        <w:tc>
          <w:tcPr>
            <w:tcW w:w="0" w:type="auto"/>
            <w:vAlign w:val="center"/>
          </w:tcPr>
          <w:p w14:paraId="1D585698" w14:textId="77777777" w:rsidR="00C14239" w:rsidRPr="0035358E" w:rsidRDefault="00C14239" w:rsidP="00071A99">
            <w:pPr>
              <w:pStyle w:val="TableText0"/>
              <w:jc w:val="center"/>
              <w:rPr>
                <w:szCs w:val="20"/>
              </w:rPr>
            </w:pPr>
            <w:r w:rsidRPr="0035358E">
              <w:rPr>
                <w:rFonts w:eastAsia="Arial Narrow" w:cs="Arial"/>
                <w:szCs w:val="20"/>
              </w:rPr>
              <w:t>6 (0.2)</w:t>
            </w:r>
          </w:p>
        </w:tc>
        <w:tc>
          <w:tcPr>
            <w:tcW w:w="0" w:type="auto"/>
            <w:vAlign w:val="center"/>
          </w:tcPr>
          <w:p w14:paraId="60FED504" w14:textId="77777777" w:rsidR="00C14239" w:rsidRPr="0035358E" w:rsidRDefault="00C14239" w:rsidP="00071A99">
            <w:pPr>
              <w:pStyle w:val="TableText0"/>
              <w:jc w:val="center"/>
              <w:rPr>
                <w:szCs w:val="20"/>
              </w:rPr>
            </w:pPr>
            <w:r w:rsidRPr="0035358E">
              <w:rPr>
                <w:rFonts w:eastAsia="Arial Narrow" w:cs="Arial"/>
                <w:szCs w:val="20"/>
              </w:rPr>
              <w:t>38 (1.5)</w:t>
            </w:r>
          </w:p>
        </w:tc>
        <w:tc>
          <w:tcPr>
            <w:tcW w:w="0" w:type="auto"/>
            <w:vAlign w:val="center"/>
          </w:tcPr>
          <w:p w14:paraId="2B3EE574" w14:textId="77777777" w:rsidR="00C14239" w:rsidRPr="0035358E" w:rsidRDefault="00C14239" w:rsidP="00071A99">
            <w:pPr>
              <w:pStyle w:val="TableText0"/>
              <w:jc w:val="center"/>
              <w:rPr>
                <w:b/>
                <w:bCs w:val="0"/>
                <w:szCs w:val="20"/>
              </w:rPr>
            </w:pPr>
            <w:r w:rsidRPr="0035358E">
              <w:rPr>
                <w:rFonts w:eastAsia="Arial Narrow" w:cs="Arial"/>
                <w:b/>
                <w:bCs w:val="0"/>
                <w:szCs w:val="20"/>
              </w:rPr>
              <w:t>84.2 (62.2, 94.5)</w:t>
            </w:r>
          </w:p>
        </w:tc>
      </w:tr>
      <w:tr w:rsidR="008D0146" w:rsidRPr="0035358E" w14:paraId="19F996F1" w14:textId="77777777" w:rsidTr="00BB3C3E">
        <w:tc>
          <w:tcPr>
            <w:tcW w:w="0" w:type="auto"/>
            <w:vAlign w:val="center"/>
          </w:tcPr>
          <w:p w14:paraId="2CD653B9" w14:textId="77777777" w:rsidR="00C14239" w:rsidRPr="0035358E" w:rsidRDefault="00C14239" w:rsidP="00071A99">
            <w:pPr>
              <w:pStyle w:val="TableText0"/>
              <w:rPr>
                <w:szCs w:val="20"/>
              </w:rPr>
            </w:pPr>
            <w:r w:rsidRPr="0035358E">
              <w:rPr>
                <w:rFonts w:eastAsia="Arial Narrow" w:cs="Arial"/>
                <w:szCs w:val="20"/>
              </w:rPr>
              <w:t>180 days post-birth</w:t>
            </w:r>
          </w:p>
        </w:tc>
        <w:tc>
          <w:tcPr>
            <w:tcW w:w="0" w:type="auto"/>
            <w:vAlign w:val="center"/>
          </w:tcPr>
          <w:p w14:paraId="3556B780" w14:textId="77777777" w:rsidR="00C14239" w:rsidRPr="0035358E" w:rsidRDefault="00C14239" w:rsidP="00071A99">
            <w:pPr>
              <w:pStyle w:val="TableText0"/>
              <w:jc w:val="center"/>
              <w:rPr>
                <w:szCs w:val="20"/>
              </w:rPr>
            </w:pPr>
            <w:r w:rsidRPr="0035358E">
              <w:rPr>
                <w:rFonts w:eastAsia="Arial Narrow" w:cs="Arial"/>
                <w:szCs w:val="20"/>
              </w:rPr>
              <w:t>8 (0.3)</w:t>
            </w:r>
          </w:p>
        </w:tc>
        <w:tc>
          <w:tcPr>
            <w:tcW w:w="0" w:type="auto"/>
            <w:vAlign w:val="center"/>
          </w:tcPr>
          <w:p w14:paraId="5ACA746D" w14:textId="77777777" w:rsidR="00C14239" w:rsidRPr="0035358E" w:rsidRDefault="00C14239" w:rsidP="00071A99">
            <w:pPr>
              <w:pStyle w:val="TableText0"/>
              <w:jc w:val="center"/>
              <w:rPr>
                <w:szCs w:val="20"/>
              </w:rPr>
            </w:pPr>
            <w:r w:rsidRPr="0035358E">
              <w:rPr>
                <w:rFonts w:eastAsia="Arial Narrow" w:cs="Arial"/>
                <w:szCs w:val="20"/>
              </w:rPr>
              <w:t>43 (1.6)</w:t>
            </w:r>
          </w:p>
        </w:tc>
        <w:tc>
          <w:tcPr>
            <w:tcW w:w="0" w:type="auto"/>
            <w:vAlign w:val="center"/>
          </w:tcPr>
          <w:p w14:paraId="23E16C04" w14:textId="77777777" w:rsidR="00C14239" w:rsidRPr="0035358E" w:rsidRDefault="00C14239" w:rsidP="00071A99">
            <w:pPr>
              <w:pStyle w:val="TableText0"/>
              <w:jc w:val="center"/>
              <w:rPr>
                <w:b/>
                <w:bCs w:val="0"/>
                <w:szCs w:val="20"/>
              </w:rPr>
            </w:pPr>
            <w:r w:rsidRPr="0035358E">
              <w:rPr>
                <w:rFonts w:eastAsia="Arial Narrow" w:cs="Arial"/>
                <w:b/>
                <w:bCs w:val="0"/>
                <w:szCs w:val="20"/>
              </w:rPr>
              <w:t>81.3 (59.8, 94.2)</w:t>
            </w:r>
          </w:p>
        </w:tc>
      </w:tr>
      <w:tr w:rsidR="006D69B4" w:rsidRPr="0035358E" w14:paraId="466B1757" w14:textId="77777777" w:rsidTr="00755E2C">
        <w:tc>
          <w:tcPr>
            <w:tcW w:w="0" w:type="auto"/>
            <w:gridSpan w:val="4"/>
            <w:vAlign w:val="center"/>
          </w:tcPr>
          <w:p w14:paraId="090267D4" w14:textId="4D23F92E" w:rsidR="008D0146" w:rsidRPr="0035358E" w:rsidRDefault="008D0146" w:rsidP="00071A99">
            <w:pPr>
              <w:pStyle w:val="TableText0"/>
              <w:rPr>
                <w:rFonts w:eastAsia="Arial Narrow" w:cs="Arial"/>
                <w:b/>
                <w:szCs w:val="20"/>
              </w:rPr>
            </w:pPr>
            <w:r w:rsidRPr="0035358E">
              <w:rPr>
                <w:rFonts w:cs="Arial"/>
                <w:b/>
                <w:szCs w:val="20"/>
              </w:rPr>
              <w:t>Final Analysis (reported in pre-PBAC response)</w:t>
            </w:r>
          </w:p>
        </w:tc>
      </w:tr>
      <w:tr w:rsidR="00690CC4" w:rsidRPr="0035358E" w14:paraId="05ECF84A" w14:textId="77777777" w:rsidTr="00071A99">
        <w:tc>
          <w:tcPr>
            <w:tcW w:w="1097" w:type="pct"/>
            <w:vAlign w:val="center"/>
          </w:tcPr>
          <w:p w14:paraId="31A13BFD" w14:textId="5FB32078" w:rsidR="008D0146" w:rsidRPr="0035358E" w:rsidRDefault="004E7C77" w:rsidP="00071A99">
            <w:pPr>
              <w:pStyle w:val="TableText0"/>
              <w:rPr>
                <w:rFonts w:eastAsia="Arial Narrow" w:cs="Arial"/>
                <w:b/>
                <w:bCs w:val="0"/>
                <w:szCs w:val="20"/>
              </w:rPr>
            </w:pPr>
            <w:r w:rsidRPr="0035358E">
              <w:rPr>
                <w:rFonts w:cs="Arial"/>
                <w:b/>
                <w:bCs w:val="0"/>
                <w:szCs w:val="20"/>
              </w:rPr>
              <w:t>Time interval</w:t>
            </w:r>
          </w:p>
        </w:tc>
        <w:tc>
          <w:tcPr>
            <w:tcW w:w="1258" w:type="pct"/>
          </w:tcPr>
          <w:p w14:paraId="794C2F58" w14:textId="77777777" w:rsidR="008D0146" w:rsidRPr="0035358E" w:rsidRDefault="008D0146" w:rsidP="00071A99">
            <w:pPr>
              <w:keepNext/>
              <w:spacing w:before="20" w:after="20"/>
              <w:ind w:firstLine="45"/>
              <w:jc w:val="center"/>
              <w:rPr>
                <w:rFonts w:ascii="Arial Narrow" w:hAnsi="Arial Narrow"/>
                <w:b/>
                <w:sz w:val="20"/>
                <w:szCs w:val="20"/>
              </w:rPr>
            </w:pPr>
            <w:r w:rsidRPr="0035358E">
              <w:rPr>
                <w:rFonts w:ascii="Arial Narrow" w:hAnsi="Arial Narrow"/>
                <w:b/>
                <w:sz w:val="20"/>
                <w:szCs w:val="20"/>
              </w:rPr>
              <w:t>RSVpreF 120 ug</w:t>
            </w:r>
          </w:p>
          <w:p w14:paraId="4E528371" w14:textId="267F296E" w:rsidR="008D0146" w:rsidRPr="0035358E" w:rsidRDefault="008D0146" w:rsidP="00071A99">
            <w:pPr>
              <w:pStyle w:val="TableText0"/>
              <w:jc w:val="center"/>
              <w:rPr>
                <w:rFonts w:cs="Arial"/>
                <w:b/>
                <w:bCs w:val="0"/>
                <w:szCs w:val="20"/>
              </w:rPr>
            </w:pPr>
            <w:r w:rsidRPr="0035358E">
              <w:rPr>
                <w:rFonts w:cs="Arial"/>
                <w:b/>
                <w:bCs w:val="0"/>
                <w:szCs w:val="20"/>
              </w:rPr>
              <w:t>N</w:t>
            </w:r>
            <w:r w:rsidRPr="0035358E">
              <w:rPr>
                <w:rFonts w:cs="Arial"/>
                <w:b/>
                <w:bCs w:val="0"/>
                <w:szCs w:val="20"/>
                <w:vertAlign w:val="superscript"/>
              </w:rPr>
              <w:t>a</w:t>
            </w:r>
            <w:r w:rsidRPr="0035358E">
              <w:rPr>
                <w:rFonts w:cs="Arial"/>
                <w:b/>
                <w:bCs w:val="0"/>
                <w:szCs w:val="20"/>
              </w:rPr>
              <w:t xml:space="preserve"> = 2,669</w:t>
            </w:r>
          </w:p>
          <w:p w14:paraId="11873407" w14:textId="223FB3AA" w:rsidR="008D0146" w:rsidRPr="0035358E" w:rsidRDefault="008D0146" w:rsidP="00071A99">
            <w:pPr>
              <w:pStyle w:val="TableText0"/>
              <w:jc w:val="center"/>
              <w:rPr>
                <w:rFonts w:eastAsia="Arial Narrow" w:cs="Arial"/>
                <w:b/>
                <w:bCs w:val="0"/>
                <w:szCs w:val="20"/>
              </w:rPr>
            </w:pPr>
            <w:r w:rsidRPr="0035358E">
              <w:rPr>
                <w:rFonts w:cs="Arial"/>
                <w:b/>
                <w:bCs w:val="0"/>
                <w:szCs w:val="20"/>
              </w:rPr>
              <w:t>No. of cases (%)</w:t>
            </w:r>
          </w:p>
        </w:tc>
        <w:tc>
          <w:tcPr>
            <w:tcW w:w="1406" w:type="pct"/>
          </w:tcPr>
          <w:p w14:paraId="5FEAC6CE" w14:textId="77777777" w:rsidR="008D0146" w:rsidRPr="0035358E" w:rsidRDefault="008D0146" w:rsidP="00071A99">
            <w:pPr>
              <w:keepNext/>
              <w:spacing w:before="20" w:after="20"/>
              <w:ind w:firstLine="45"/>
              <w:jc w:val="center"/>
              <w:rPr>
                <w:rFonts w:ascii="Arial Narrow" w:hAnsi="Arial Narrow"/>
                <w:b/>
                <w:sz w:val="20"/>
                <w:szCs w:val="20"/>
              </w:rPr>
            </w:pPr>
            <w:r w:rsidRPr="0035358E">
              <w:rPr>
                <w:rFonts w:ascii="Arial Narrow" w:hAnsi="Arial Narrow"/>
                <w:b/>
                <w:sz w:val="20"/>
                <w:szCs w:val="20"/>
              </w:rPr>
              <w:t>Placebo</w:t>
            </w:r>
          </w:p>
          <w:p w14:paraId="116144CD" w14:textId="0BEC2EFD" w:rsidR="008D0146" w:rsidRPr="0035358E" w:rsidRDefault="008D0146" w:rsidP="00071A99">
            <w:pPr>
              <w:pStyle w:val="TableText0"/>
              <w:jc w:val="center"/>
              <w:rPr>
                <w:rFonts w:cs="Arial"/>
                <w:b/>
                <w:bCs w:val="0"/>
                <w:szCs w:val="20"/>
              </w:rPr>
            </w:pPr>
            <w:r w:rsidRPr="0035358E">
              <w:rPr>
                <w:rFonts w:cs="Arial"/>
                <w:b/>
                <w:bCs w:val="0"/>
                <w:szCs w:val="20"/>
              </w:rPr>
              <w:t>N</w:t>
            </w:r>
            <w:r w:rsidRPr="0035358E">
              <w:rPr>
                <w:rFonts w:cs="Arial"/>
                <w:b/>
                <w:bCs w:val="0"/>
                <w:szCs w:val="20"/>
                <w:vertAlign w:val="superscript"/>
              </w:rPr>
              <w:t>a</w:t>
            </w:r>
            <w:r w:rsidRPr="0035358E">
              <w:rPr>
                <w:rFonts w:cs="Arial"/>
                <w:b/>
                <w:bCs w:val="0"/>
                <w:szCs w:val="20"/>
              </w:rPr>
              <w:t xml:space="preserve"> = 2,676</w:t>
            </w:r>
          </w:p>
          <w:p w14:paraId="0AE39F3A" w14:textId="4D139801" w:rsidR="008D0146" w:rsidRPr="0035358E" w:rsidRDefault="008D0146" w:rsidP="00071A99">
            <w:pPr>
              <w:pStyle w:val="TableText0"/>
              <w:jc w:val="center"/>
              <w:rPr>
                <w:rFonts w:eastAsia="Arial Narrow" w:cs="Arial"/>
                <w:b/>
                <w:bCs w:val="0"/>
                <w:szCs w:val="20"/>
              </w:rPr>
            </w:pPr>
            <w:r w:rsidRPr="0035358E">
              <w:rPr>
                <w:rFonts w:cs="Arial"/>
                <w:b/>
                <w:bCs w:val="0"/>
                <w:szCs w:val="20"/>
              </w:rPr>
              <w:t>No. of cases (%)</w:t>
            </w:r>
          </w:p>
        </w:tc>
        <w:tc>
          <w:tcPr>
            <w:tcW w:w="0" w:type="auto"/>
            <w:vAlign w:val="center"/>
          </w:tcPr>
          <w:p w14:paraId="59602DC4" w14:textId="25A30CFF" w:rsidR="008D0146" w:rsidRPr="0035358E" w:rsidRDefault="008D0146" w:rsidP="00071A99">
            <w:pPr>
              <w:pStyle w:val="TableText0"/>
              <w:jc w:val="center"/>
              <w:rPr>
                <w:rFonts w:eastAsia="Arial Narrow" w:cs="Arial"/>
                <w:b/>
                <w:bCs w:val="0"/>
                <w:szCs w:val="20"/>
              </w:rPr>
            </w:pPr>
            <w:r w:rsidRPr="0035358E">
              <w:rPr>
                <w:rFonts w:eastAsia="Arial Narrow" w:cs="Arial"/>
                <w:b/>
                <w:bCs w:val="0"/>
                <w:szCs w:val="20"/>
              </w:rPr>
              <w:t>VE</w:t>
            </w:r>
            <w:r w:rsidRPr="0035358E">
              <w:rPr>
                <w:rFonts w:eastAsia="Arial Narrow" w:cs="Arial"/>
                <w:b/>
                <w:bCs w:val="0"/>
                <w:szCs w:val="20"/>
                <w:vertAlign w:val="superscript"/>
              </w:rPr>
              <w:t>b</w:t>
            </w:r>
            <w:r w:rsidRPr="0035358E">
              <w:rPr>
                <w:rFonts w:eastAsia="Arial Narrow" w:cs="Arial"/>
                <w:b/>
                <w:bCs w:val="0"/>
                <w:szCs w:val="20"/>
              </w:rPr>
              <w:t xml:space="preserve">, </w:t>
            </w:r>
            <w:r w:rsidR="00D77B87" w:rsidRPr="0035358E">
              <w:rPr>
                <w:rFonts w:eastAsia="Arial Narrow" w:cs="Arial"/>
                <w:b/>
                <w:bCs w:val="0"/>
                <w:szCs w:val="20"/>
              </w:rPr>
              <w:t>95</w:t>
            </w:r>
            <w:r w:rsidRPr="0035358E">
              <w:rPr>
                <w:rFonts w:eastAsia="Arial Narrow" w:cs="Arial"/>
                <w:b/>
                <w:bCs w:val="0"/>
                <w:szCs w:val="20"/>
              </w:rPr>
              <w:t>% (CI)</w:t>
            </w:r>
          </w:p>
        </w:tc>
      </w:tr>
      <w:tr w:rsidR="00690CC4" w:rsidRPr="0035358E" w14:paraId="71A395AA" w14:textId="77777777" w:rsidTr="0048750D">
        <w:tc>
          <w:tcPr>
            <w:tcW w:w="1097" w:type="pct"/>
            <w:vAlign w:val="center"/>
          </w:tcPr>
          <w:p w14:paraId="2D93982C" w14:textId="34E25CB1" w:rsidR="008D0146" w:rsidRPr="0035358E" w:rsidRDefault="008D0146" w:rsidP="00071A99">
            <w:pPr>
              <w:pStyle w:val="TableText0"/>
              <w:rPr>
                <w:rFonts w:eastAsia="Arial Narrow" w:cs="Arial"/>
                <w:szCs w:val="20"/>
              </w:rPr>
            </w:pPr>
            <w:r w:rsidRPr="0035358E">
              <w:rPr>
                <w:rFonts w:eastAsia="Arial Narrow" w:cs="Arial"/>
                <w:szCs w:val="20"/>
              </w:rPr>
              <w:t>90 days post birth</w:t>
            </w:r>
          </w:p>
        </w:tc>
        <w:tc>
          <w:tcPr>
            <w:tcW w:w="1258" w:type="pct"/>
          </w:tcPr>
          <w:p w14:paraId="12418FE7" w14:textId="6B0ABCC7" w:rsidR="008D0146" w:rsidRPr="0035358E" w:rsidRDefault="008D0146" w:rsidP="00071A99">
            <w:pPr>
              <w:pStyle w:val="TableText0"/>
              <w:jc w:val="center"/>
            </w:pPr>
            <w:r w:rsidRPr="0035358E">
              <w:t>2 (&lt;0.1)</w:t>
            </w:r>
          </w:p>
        </w:tc>
        <w:tc>
          <w:tcPr>
            <w:tcW w:w="1406" w:type="pct"/>
          </w:tcPr>
          <w:p w14:paraId="783A4211" w14:textId="15F90D44" w:rsidR="008D0146" w:rsidRPr="0035358E" w:rsidRDefault="008D0146" w:rsidP="00071A99">
            <w:pPr>
              <w:pStyle w:val="TableText0"/>
              <w:jc w:val="center"/>
            </w:pPr>
            <w:r w:rsidRPr="0035358E">
              <w:t>23 (0.9)</w:t>
            </w:r>
          </w:p>
        </w:tc>
        <w:tc>
          <w:tcPr>
            <w:tcW w:w="0" w:type="auto"/>
          </w:tcPr>
          <w:p w14:paraId="6E058C5F" w14:textId="0E7E9DA2" w:rsidR="008D0146" w:rsidRPr="0035358E" w:rsidRDefault="008D0146" w:rsidP="00071A99">
            <w:pPr>
              <w:pStyle w:val="TableText0"/>
              <w:jc w:val="center"/>
            </w:pPr>
            <w:r w:rsidRPr="0035358E">
              <w:t>91.3 (64.7, 99.0)</w:t>
            </w:r>
          </w:p>
        </w:tc>
      </w:tr>
      <w:tr w:rsidR="00690CC4" w:rsidRPr="0035358E" w14:paraId="59901552" w14:textId="77777777" w:rsidTr="0048750D">
        <w:tc>
          <w:tcPr>
            <w:tcW w:w="1098" w:type="pct"/>
            <w:vAlign w:val="center"/>
          </w:tcPr>
          <w:p w14:paraId="4E03C80D" w14:textId="2BFC7299" w:rsidR="008D0146" w:rsidRPr="0035358E" w:rsidRDefault="008D0146" w:rsidP="00071A99">
            <w:pPr>
              <w:pStyle w:val="TableText0"/>
              <w:rPr>
                <w:rFonts w:eastAsia="Arial Narrow" w:cs="Arial"/>
                <w:szCs w:val="20"/>
              </w:rPr>
            </w:pPr>
            <w:r w:rsidRPr="0035358E">
              <w:rPr>
                <w:rFonts w:eastAsia="Arial Narrow" w:cs="Arial"/>
                <w:szCs w:val="20"/>
              </w:rPr>
              <w:t>1</w:t>
            </w:r>
            <w:r w:rsidR="0078274A" w:rsidRPr="0035358E">
              <w:rPr>
                <w:rFonts w:eastAsia="Arial Narrow" w:cs="Arial"/>
                <w:szCs w:val="20"/>
              </w:rPr>
              <w:t>8</w:t>
            </w:r>
            <w:r w:rsidRPr="0035358E">
              <w:rPr>
                <w:rFonts w:eastAsia="Arial Narrow" w:cs="Arial"/>
                <w:szCs w:val="20"/>
              </w:rPr>
              <w:t>0 days post birth</w:t>
            </w:r>
          </w:p>
        </w:tc>
        <w:tc>
          <w:tcPr>
            <w:tcW w:w="1257" w:type="pct"/>
          </w:tcPr>
          <w:p w14:paraId="021E70E5" w14:textId="21A81420" w:rsidR="008D0146" w:rsidRPr="0035358E" w:rsidRDefault="008D0146" w:rsidP="00071A99">
            <w:pPr>
              <w:pStyle w:val="TableText0"/>
              <w:jc w:val="center"/>
              <w:rPr>
                <w:rFonts w:eastAsia="Arial Narrow" w:cs="Arial"/>
                <w:szCs w:val="20"/>
              </w:rPr>
            </w:pPr>
            <w:r w:rsidRPr="0035358E">
              <w:t>9 (0.3)</w:t>
            </w:r>
          </w:p>
        </w:tc>
        <w:tc>
          <w:tcPr>
            <w:tcW w:w="0" w:type="auto"/>
          </w:tcPr>
          <w:p w14:paraId="64DDB052" w14:textId="7ADBD8C6" w:rsidR="008D0146" w:rsidRPr="0035358E" w:rsidRDefault="008D0146" w:rsidP="00071A99">
            <w:pPr>
              <w:pStyle w:val="TableText0"/>
              <w:jc w:val="center"/>
              <w:rPr>
                <w:rFonts w:eastAsia="Arial Narrow" w:cs="Arial"/>
                <w:szCs w:val="20"/>
              </w:rPr>
            </w:pPr>
            <w:r w:rsidRPr="0035358E">
              <w:t xml:space="preserve">49 (1.8) </w:t>
            </w:r>
          </w:p>
        </w:tc>
        <w:tc>
          <w:tcPr>
            <w:tcW w:w="0" w:type="auto"/>
          </w:tcPr>
          <w:p w14:paraId="27C21D4C" w14:textId="3DB30CB7" w:rsidR="008D0146" w:rsidRPr="0035358E" w:rsidRDefault="008D0146" w:rsidP="00071A99">
            <w:pPr>
              <w:pStyle w:val="TableText0"/>
              <w:jc w:val="center"/>
              <w:rPr>
                <w:rFonts w:eastAsia="Arial Narrow" w:cs="Arial"/>
                <w:b/>
                <w:bCs w:val="0"/>
                <w:szCs w:val="20"/>
              </w:rPr>
            </w:pPr>
            <w:r w:rsidRPr="0035358E">
              <w:t>81.6 (62.1, 92.0)</w:t>
            </w:r>
          </w:p>
        </w:tc>
      </w:tr>
    </w:tbl>
    <w:p w14:paraId="17206BF4" w14:textId="65E84501" w:rsidR="00C14239" w:rsidRPr="0035358E" w:rsidRDefault="00C14239" w:rsidP="00071A99">
      <w:pPr>
        <w:keepNext/>
        <w:rPr>
          <w:rFonts w:ascii="Arial Narrow" w:hAnsi="Arial Narrow"/>
          <w:sz w:val="18"/>
          <w:szCs w:val="18"/>
        </w:rPr>
      </w:pPr>
      <w:r w:rsidRPr="0035358E">
        <w:rPr>
          <w:rFonts w:ascii="Arial Narrow" w:eastAsia="Calibri" w:hAnsi="Arial Narrow"/>
          <w:snapToGrid w:val="0"/>
          <w:sz w:val="18"/>
          <w:szCs w:val="22"/>
        </w:rPr>
        <w:t>Source: PSCR Table 1</w:t>
      </w:r>
      <w:r w:rsidR="008D0146" w:rsidRPr="0035358E">
        <w:rPr>
          <w:rFonts w:ascii="Arial Narrow" w:eastAsia="Calibri" w:hAnsi="Arial Narrow"/>
          <w:snapToGrid w:val="0"/>
          <w:sz w:val="18"/>
          <w:szCs w:val="22"/>
        </w:rPr>
        <w:t>, Pre-PBAC response Table 3</w:t>
      </w:r>
      <w:r w:rsidR="00EE78B1" w:rsidRPr="0035358E">
        <w:rPr>
          <w:rFonts w:ascii="Arial Narrow" w:eastAsia="Calibri" w:hAnsi="Arial Narrow"/>
          <w:snapToGrid w:val="0"/>
          <w:sz w:val="18"/>
          <w:szCs w:val="22"/>
        </w:rPr>
        <w:t xml:space="preserve"> however the results could not be verified as the source data table was not provided</w:t>
      </w:r>
      <w:r w:rsidRPr="0035358E">
        <w:rPr>
          <w:rFonts w:ascii="Arial Narrow" w:eastAsia="Calibri" w:hAnsi="Arial Narrow"/>
          <w:snapToGrid w:val="0"/>
          <w:sz w:val="18"/>
          <w:szCs w:val="22"/>
        </w:rPr>
        <w:t>.</w:t>
      </w:r>
    </w:p>
    <w:p w14:paraId="057678D1" w14:textId="4AC3B4F7" w:rsidR="00DB24CC" w:rsidRDefault="00AC6CE4" w:rsidP="00071A99">
      <w:pPr>
        <w:pStyle w:val="FooterTableFigure"/>
        <w:keepNext/>
        <w:rPr>
          <w:rFonts w:eastAsia="Calibri"/>
        </w:rPr>
      </w:pPr>
      <w:r>
        <w:rPr>
          <w:rFonts w:eastAsia="Calibri"/>
        </w:rPr>
        <w:t xml:space="preserve">Abbreviations: </w:t>
      </w:r>
      <w:r w:rsidR="00C14239" w:rsidRPr="0035358E">
        <w:rPr>
          <w:rFonts w:eastAsia="Calibri"/>
        </w:rPr>
        <w:t xml:space="preserve">CI = confidence interval; MA-LRTI = medically attended lower respiratory tract illness; N = total participants in group; RSV = respiratory syncytial virus; RSVpreF = </w:t>
      </w:r>
      <w:r w:rsidR="00C14239" w:rsidRPr="0035358E">
        <w:rPr>
          <w:szCs w:val="18"/>
        </w:rPr>
        <w:t>respiratory syncytial virus pre-fusion F protein vaccine; VE = vaccine efficacy.</w:t>
      </w:r>
    </w:p>
    <w:p w14:paraId="37EF6E2B" w14:textId="78FC6332" w:rsidR="00C14239" w:rsidRPr="0035358E" w:rsidRDefault="00C14239" w:rsidP="00071A99">
      <w:pPr>
        <w:pStyle w:val="FooterTableFigure"/>
        <w:keepNext/>
        <w:rPr>
          <w:rFonts w:eastAsia="Calibri"/>
          <w:bCs/>
        </w:rPr>
      </w:pPr>
      <w:r w:rsidRPr="00194C04">
        <w:rPr>
          <w:rFonts w:eastAsia="Calibri"/>
          <w:bCs/>
          <w:vertAlign w:val="superscript"/>
        </w:rPr>
        <w:t>a</w:t>
      </w:r>
      <w:r w:rsidRPr="0035358E">
        <w:rPr>
          <w:rFonts w:eastAsia="Calibri"/>
          <w:bCs/>
        </w:rPr>
        <w:t xml:space="preserve"> Number of participants (at risk). Value used as denominator for percentage calculations.</w:t>
      </w:r>
    </w:p>
    <w:p w14:paraId="77622D00" w14:textId="77777777" w:rsidR="00C14239" w:rsidRPr="0035358E" w:rsidRDefault="00C14239" w:rsidP="00C14239">
      <w:pPr>
        <w:pStyle w:val="FooterTableFigure"/>
        <w:rPr>
          <w:rFonts w:eastAsia="Calibri"/>
          <w:bCs/>
        </w:rPr>
      </w:pPr>
      <w:r w:rsidRPr="00194C04">
        <w:rPr>
          <w:rFonts w:eastAsia="Calibri"/>
          <w:bCs/>
          <w:vertAlign w:val="superscript"/>
        </w:rPr>
        <w:t>b</w:t>
      </w:r>
      <w:r w:rsidRPr="0035358E">
        <w:rPr>
          <w:rFonts w:eastAsia="Calibri"/>
          <w:bCs/>
        </w:rPr>
        <w:t xml:space="preserve"> Calculated as 1-(P/[1-P]), where P is the number of cases in the RSVpreF group divided by the total number of cases.</w:t>
      </w:r>
    </w:p>
    <w:p w14:paraId="4C490085" w14:textId="104BE9D9" w:rsidR="00DB24CC" w:rsidRDefault="00251D28" w:rsidP="00DD4B2C">
      <w:pPr>
        <w:pStyle w:val="3-BodyText"/>
        <w:rPr>
          <w:snapToGrid w:val="0"/>
        </w:rPr>
      </w:pPr>
      <w:r w:rsidRPr="0035358E">
        <w:rPr>
          <w:snapToGrid w:val="0"/>
        </w:rPr>
        <w:t>The PBAC noted that the subgroup results</w:t>
      </w:r>
      <w:r w:rsidR="00524FFC" w:rsidRPr="0035358E">
        <w:rPr>
          <w:snapToGrid w:val="0"/>
        </w:rPr>
        <w:t xml:space="preserve"> (</w:t>
      </w:r>
      <w:r w:rsidR="00524FFC" w:rsidRPr="0035358E">
        <w:rPr>
          <w:snapToGrid w:val="0"/>
        </w:rPr>
        <w:fldChar w:fldCharType="begin"/>
      </w:r>
      <w:r w:rsidR="00524FFC" w:rsidRPr="0035358E">
        <w:rPr>
          <w:snapToGrid w:val="0"/>
        </w:rPr>
        <w:instrText xml:space="preserve"> REF _Ref159652766 \h </w:instrText>
      </w:r>
      <w:r w:rsidR="00141E8E" w:rsidRPr="0035358E">
        <w:instrText xml:space="preserve"> \* MERGEFORMAT </w:instrText>
      </w:r>
      <w:r w:rsidR="00524FFC" w:rsidRPr="0035358E">
        <w:rPr>
          <w:snapToGrid w:val="0"/>
        </w:rPr>
      </w:r>
      <w:r w:rsidR="00524FFC" w:rsidRPr="0035358E">
        <w:rPr>
          <w:snapToGrid w:val="0"/>
        </w:rPr>
        <w:fldChar w:fldCharType="separate"/>
      </w:r>
      <w:r w:rsidR="00A46CAC" w:rsidRPr="00A46CAC">
        <w:rPr>
          <w:snapToGrid w:val="0"/>
        </w:rPr>
        <w:t>Table 5</w:t>
      </w:r>
      <w:r w:rsidR="00524FFC" w:rsidRPr="0035358E">
        <w:rPr>
          <w:snapToGrid w:val="0"/>
        </w:rPr>
        <w:fldChar w:fldCharType="end"/>
      </w:r>
      <w:r w:rsidR="00524FFC" w:rsidRPr="0035358E">
        <w:rPr>
          <w:snapToGrid w:val="0"/>
        </w:rPr>
        <w:t xml:space="preserve">, </w:t>
      </w:r>
      <w:r w:rsidR="00524FFC" w:rsidRPr="0035358E">
        <w:rPr>
          <w:snapToGrid w:val="0"/>
        </w:rPr>
        <w:fldChar w:fldCharType="begin"/>
      </w:r>
      <w:r w:rsidR="00524FFC" w:rsidRPr="0035358E">
        <w:rPr>
          <w:snapToGrid w:val="0"/>
        </w:rPr>
        <w:instrText xml:space="preserve"> REF _Ref159653342 \h </w:instrText>
      </w:r>
      <w:r w:rsidR="00141E8E" w:rsidRPr="0035358E">
        <w:instrText xml:space="preserve"> \* MERGEFORMAT </w:instrText>
      </w:r>
      <w:r w:rsidR="00524FFC" w:rsidRPr="0035358E">
        <w:rPr>
          <w:snapToGrid w:val="0"/>
        </w:rPr>
      </w:r>
      <w:r w:rsidR="00524FFC" w:rsidRPr="0035358E">
        <w:rPr>
          <w:snapToGrid w:val="0"/>
        </w:rPr>
        <w:fldChar w:fldCharType="separate"/>
      </w:r>
      <w:r w:rsidR="00A46CAC" w:rsidRPr="00A46CAC">
        <w:rPr>
          <w:snapToGrid w:val="0"/>
        </w:rPr>
        <w:t>Table 7</w:t>
      </w:r>
      <w:r w:rsidR="00524FFC" w:rsidRPr="0035358E">
        <w:rPr>
          <w:snapToGrid w:val="0"/>
        </w:rPr>
        <w:fldChar w:fldCharType="end"/>
      </w:r>
      <w:r w:rsidR="00524FFC" w:rsidRPr="0035358E">
        <w:rPr>
          <w:snapToGrid w:val="0"/>
        </w:rPr>
        <w:t xml:space="preserve">) </w:t>
      </w:r>
      <w:r w:rsidRPr="0035358E">
        <w:rPr>
          <w:snapToGrid w:val="0"/>
        </w:rPr>
        <w:t>suggested improved efficacy when the vaccine was administered between 28 weeks to &lt;37</w:t>
      </w:r>
      <w:r w:rsidR="00071A99">
        <w:rPr>
          <w:snapToGrid w:val="0"/>
        </w:rPr>
        <w:t> </w:t>
      </w:r>
      <w:r w:rsidRPr="0035358E">
        <w:rPr>
          <w:snapToGrid w:val="0"/>
        </w:rPr>
        <w:t xml:space="preserve">weeks </w:t>
      </w:r>
      <w:r w:rsidRPr="0035358E">
        <w:t>gestation</w:t>
      </w:r>
      <w:r w:rsidR="00524FFC" w:rsidRPr="0035358E">
        <w:rPr>
          <w:snapToGrid w:val="0"/>
        </w:rPr>
        <w:t xml:space="preserve"> compared with the overall MATISSE trial population (24 weeks to &lt;37</w:t>
      </w:r>
      <w:r w:rsidR="00071A99">
        <w:rPr>
          <w:snapToGrid w:val="0"/>
        </w:rPr>
        <w:t> </w:t>
      </w:r>
      <w:r w:rsidR="00524FFC" w:rsidRPr="0035358E">
        <w:rPr>
          <w:snapToGrid w:val="0"/>
        </w:rPr>
        <w:t>weeks gestation)</w:t>
      </w:r>
      <w:r w:rsidRPr="0035358E">
        <w:rPr>
          <w:snapToGrid w:val="0"/>
        </w:rPr>
        <w:t>, although the magnitude of effect in the subgroup was less certain due to the relatively small number of cases in comparison with the overall analysis</w:t>
      </w:r>
      <w:r w:rsidR="00C93F78" w:rsidRPr="0035358E">
        <w:rPr>
          <w:snapToGrid w:val="0"/>
        </w:rPr>
        <w:t>.</w:t>
      </w:r>
    </w:p>
    <w:p w14:paraId="57BF1940" w14:textId="074FEAD9" w:rsidR="00141E8E" w:rsidRPr="0035358E" w:rsidRDefault="00F1459A" w:rsidP="00DD4B2C">
      <w:pPr>
        <w:pStyle w:val="3-BodyText"/>
      </w:pPr>
      <w:r w:rsidRPr="0035358E">
        <w:t xml:space="preserve">The results for hospitalisations due to RSV in infants through 360 days are presented in </w:t>
      </w:r>
      <w:r w:rsidRPr="0035358E">
        <w:fldChar w:fldCharType="begin"/>
      </w:r>
      <w:r w:rsidRPr="0035358E">
        <w:instrText xml:space="preserve"> REF _Ref152040529 \h </w:instrText>
      </w:r>
      <w:r w:rsidR="00F43500" w:rsidRPr="0035358E">
        <w:instrText xml:space="preserve"> \* MERGEFORMAT </w:instrText>
      </w:r>
      <w:r w:rsidRPr="0035358E">
        <w:fldChar w:fldCharType="separate"/>
      </w:r>
      <w:r w:rsidR="00A46CAC" w:rsidRPr="0035358E">
        <w:t xml:space="preserve">Table </w:t>
      </w:r>
      <w:r w:rsidR="00A46CAC">
        <w:t>8</w:t>
      </w:r>
      <w:r w:rsidRPr="0035358E">
        <w:fldChar w:fldCharType="end"/>
      </w:r>
      <w:r w:rsidRPr="0035358E">
        <w:t>. This was a key secondary outcome in MATISSE.</w:t>
      </w:r>
    </w:p>
    <w:p w14:paraId="00158547" w14:textId="28B5D0CD" w:rsidR="00643159" w:rsidRPr="0035358E" w:rsidRDefault="00F1459A" w:rsidP="00DD4B2C">
      <w:pPr>
        <w:pStyle w:val="3-BodyText"/>
      </w:pPr>
      <w:r w:rsidRPr="0035358E">
        <w:t>At 90 days after birth there were 10 (0.3%) hospitalisations due to end-point adjudication committee (EAC)-confirmed RSV in infants in the RSVpreF group, and 31 (0.9%) hospitalisations in the placebo group, corresponding to a VE of 67.7% (99.17% CI</w:t>
      </w:r>
      <w:r w:rsidR="00A77C45" w:rsidRPr="0035358E">
        <w:t>:</w:t>
      </w:r>
      <w:r w:rsidRPr="0035358E">
        <w:t>15.9</w:t>
      </w:r>
      <w:r w:rsidR="00A77C45" w:rsidRPr="0035358E">
        <w:t>%</w:t>
      </w:r>
      <w:r w:rsidRPr="0035358E">
        <w:t>, 89.5</w:t>
      </w:r>
      <w:r w:rsidR="00A77C45" w:rsidRPr="0035358E">
        <w:t>%</w:t>
      </w:r>
      <w:r w:rsidRPr="0035358E">
        <w:t>) for RSVpreF. At 180 days after birth, there were 19 (0.5%) hospitalisations due to RSV in infants in the RSVpreF group, and 44 (1.3%) hospitalisations in the placebo group, corresponding to a VE of 56.8% (99.17% CI</w:t>
      </w:r>
      <w:r w:rsidR="00A77C45" w:rsidRPr="0035358E">
        <w:t>:</w:t>
      </w:r>
      <w:r w:rsidRPr="0035358E">
        <w:t>10.1</w:t>
      </w:r>
      <w:r w:rsidR="00A77C45" w:rsidRPr="0035358E">
        <w:t>%</w:t>
      </w:r>
      <w:r w:rsidRPr="0035358E">
        <w:t>, 80.7</w:t>
      </w:r>
      <w:r w:rsidR="00A77C45" w:rsidRPr="0035358E">
        <w:t>%</w:t>
      </w:r>
      <w:r w:rsidRPr="0035358E">
        <w:t>). Results up to 180 days after birth all met the statistical criterion for success. However, at 360 days after birth there were 38 (1.1%) hospitalisations due to RSV in the RSVpreF group and 57 (1.6%) in the placebo group, corresponding to a VE of 33.3% (99.17% CI</w:t>
      </w:r>
      <w:r w:rsidR="00A77C45" w:rsidRPr="0035358E">
        <w:t>:</w:t>
      </w:r>
      <w:r w:rsidRPr="0035358E">
        <w:t>-17.6</w:t>
      </w:r>
      <w:r w:rsidR="00A77C45" w:rsidRPr="0035358E">
        <w:t>%</w:t>
      </w:r>
      <w:r w:rsidRPr="0035358E">
        <w:t>, 62.9</w:t>
      </w:r>
      <w:r w:rsidR="00A77C45" w:rsidRPr="0035358E">
        <w:t>%</w:t>
      </w:r>
      <w:r w:rsidRPr="0035358E">
        <w:t>) which did not meet the criterion for statistical success</w:t>
      </w:r>
      <w:r w:rsidR="00C93F78" w:rsidRPr="0035358E">
        <w:t xml:space="preserve">. </w:t>
      </w:r>
      <w:r w:rsidR="00643159" w:rsidRPr="0035358E">
        <w:t xml:space="preserve">The pre-PBAC response provided results for 90 and 180 days post birth as shown in </w:t>
      </w:r>
      <w:r w:rsidR="00643159" w:rsidRPr="0035358E">
        <w:rPr>
          <w:snapToGrid w:val="0"/>
        </w:rPr>
        <w:fldChar w:fldCharType="begin"/>
      </w:r>
      <w:r w:rsidR="00643159" w:rsidRPr="0035358E">
        <w:instrText xml:space="preserve"> REF _Ref152040529 \h </w:instrText>
      </w:r>
      <w:r w:rsidR="00643159" w:rsidRPr="0035358E">
        <w:rPr>
          <w:snapToGrid w:val="0"/>
        </w:rPr>
      </w:r>
      <w:r w:rsidR="00643159" w:rsidRPr="0035358E">
        <w:rPr>
          <w:snapToGrid w:val="0"/>
        </w:rPr>
        <w:fldChar w:fldCharType="separate"/>
      </w:r>
      <w:r w:rsidR="00A46CAC" w:rsidRPr="0035358E">
        <w:t xml:space="preserve">Table </w:t>
      </w:r>
      <w:r w:rsidR="00A46CAC">
        <w:rPr>
          <w:noProof/>
        </w:rPr>
        <w:t>8</w:t>
      </w:r>
      <w:r w:rsidR="00643159" w:rsidRPr="0035358E">
        <w:rPr>
          <w:snapToGrid w:val="0"/>
        </w:rPr>
        <w:fldChar w:fldCharType="end"/>
      </w:r>
      <w:r w:rsidR="00643159" w:rsidRPr="0035358E">
        <w:t>.</w:t>
      </w:r>
    </w:p>
    <w:p w14:paraId="67EAC099" w14:textId="34B89CD6" w:rsidR="00F1459A" w:rsidRPr="0035358E" w:rsidRDefault="00F1459A" w:rsidP="00071A99">
      <w:pPr>
        <w:pStyle w:val="Caption"/>
      </w:pPr>
      <w:bookmarkStart w:id="48" w:name="_Ref152040529"/>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8</w:t>
      </w:r>
      <w:r w:rsidR="00560E31">
        <w:rPr>
          <w:noProof/>
        </w:rPr>
        <w:fldChar w:fldCharType="end"/>
      </w:r>
      <w:bookmarkEnd w:id="48"/>
      <w:r w:rsidRPr="0035358E">
        <w:t xml:space="preserve">: </w:t>
      </w:r>
      <w:bookmarkStart w:id="49" w:name="_Hlk164145457"/>
      <w:r w:rsidRPr="0035358E">
        <w:t xml:space="preserve">Hospitalisations due to RSV </w:t>
      </w:r>
      <w:bookmarkEnd w:id="49"/>
      <w:r w:rsidRPr="0035358E">
        <w:t>(confirmed by EAC) occurring in infants through 360 days after birth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Hospitalisations due to RSV (confirmed by EAC) occurring in infants through 360 days after birth"/>
      </w:tblPr>
      <w:tblGrid>
        <w:gridCol w:w="2481"/>
        <w:gridCol w:w="2351"/>
        <w:gridCol w:w="2295"/>
        <w:gridCol w:w="630"/>
        <w:gridCol w:w="630"/>
        <w:gridCol w:w="630"/>
      </w:tblGrid>
      <w:tr w:rsidR="00141E8E" w:rsidRPr="0035358E" w14:paraId="6163660C" w14:textId="77777777" w:rsidTr="001275F8">
        <w:trPr>
          <w:tblHeader/>
        </w:trPr>
        <w:tc>
          <w:tcPr>
            <w:tcW w:w="0" w:type="auto"/>
            <w:vAlign w:val="center"/>
          </w:tcPr>
          <w:p w14:paraId="33EB9881" w14:textId="77777777" w:rsidR="00F1459A" w:rsidRPr="0035358E" w:rsidRDefault="00F1459A" w:rsidP="00071A99">
            <w:pPr>
              <w:pStyle w:val="In-tableHeading"/>
              <w:rPr>
                <w:szCs w:val="20"/>
                <w:lang w:val="en-AU"/>
              </w:rPr>
            </w:pPr>
            <w:r w:rsidRPr="0035358E">
              <w:rPr>
                <w:rFonts w:cs="Arial"/>
                <w:bCs/>
                <w:szCs w:val="20"/>
                <w:lang w:val="en-AU"/>
              </w:rPr>
              <w:t>Time interval</w:t>
            </w:r>
          </w:p>
        </w:tc>
        <w:tc>
          <w:tcPr>
            <w:tcW w:w="0" w:type="auto"/>
            <w:vAlign w:val="center"/>
          </w:tcPr>
          <w:p w14:paraId="70466E6B" w14:textId="77777777" w:rsidR="00F1459A" w:rsidRPr="0035358E" w:rsidRDefault="00F1459A" w:rsidP="00071A99">
            <w:pPr>
              <w:keepNext/>
              <w:keepLines/>
              <w:ind w:firstLine="45"/>
              <w:jc w:val="center"/>
              <w:rPr>
                <w:rFonts w:ascii="Arial Narrow" w:hAnsi="Arial Narrow"/>
                <w:b/>
                <w:bCs/>
                <w:sz w:val="20"/>
                <w:szCs w:val="20"/>
              </w:rPr>
            </w:pPr>
            <w:r w:rsidRPr="0035358E">
              <w:rPr>
                <w:rFonts w:ascii="Arial Narrow" w:hAnsi="Arial Narrow"/>
                <w:b/>
                <w:bCs/>
                <w:sz w:val="20"/>
                <w:szCs w:val="20"/>
              </w:rPr>
              <w:t>RSVpreF 120 ug</w:t>
            </w:r>
          </w:p>
          <w:p w14:paraId="5906EBBE" w14:textId="78F92747" w:rsidR="00F1459A" w:rsidRPr="0035358E" w:rsidRDefault="00F1459A"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48750D" w:rsidRPr="0035358E">
              <w:rPr>
                <w:rFonts w:ascii="Arial Narrow" w:hAnsi="Arial Narrow"/>
                <w:b/>
                <w:bCs/>
                <w:sz w:val="20"/>
                <w:szCs w:val="20"/>
              </w:rPr>
              <w:t>,</w:t>
            </w:r>
            <w:r w:rsidRPr="0035358E">
              <w:rPr>
                <w:rFonts w:ascii="Arial Narrow" w:hAnsi="Arial Narrow"/>
                <w:b/>
                <w:bCs/>
                <w:sz w:val="20"/>
                <w:szCs w:val="20"/>
              </w:rPr>
              <w:t>495</w:t>
            </w:r>
          </w:p>
          <w:p w14:paraId="798EAF03" w14:textId="77777777" w:rsidR="00F1459A" w:rsidRPr="0035358E" w:rsidRDefault="00F1459A" w:rsidP="00071A99">
            <w:pPr>
              <w:pStyle w:val="In-tableHeading"/>
              <w:jc w:val="center"/>
              <w:rPr>
                <w:szCs w:val="20"/>
                <w:lang w:val="en-AU"/>
              </w:rPr>
            </w:pPr>
            <w:r w:rsidRPr="0035358E">
              <w:rPr>
                <w:rFonts w:cs="Arial"/>
                <w:bCs/>
                <w:szCs w:val="20"/>
                <w:lang w:val="en-AU"/>
              </w:rPr>
              <w:t>No. of cases (%)</w:t>
            </w:r>
          </w:p>
        </w:tc>
        <w:tc>
          <w:tcPr>
            <w:tcW w:w="0" w:type="auto"/>
            <w:vAlign w:val="center"/>
          </w:tcPr>
          <w:p w14:paraId="71DD01DE" w14:textId="77777777" w:rsidR="00F1459A" w:rsidRPr="0035358E" w:rsidRDefault="00F1459A" w:rsidP="00071A99">
            <w:pPr>
              <w:keepNext/>
              <w:keepLines/>
              <w:ind w:firstLine="45"/>
              <w:jc w:val="center"/>
              <w:rPr>
                <w:rFonts w:ascii="Arial Narrow" w:hAnsi="Arial Narrow"/>
                <w:b/>
                <w:bCs/>
                <w:sz w:val="20"/>
                <w:szCs w:val="20"/>
              </w:rPr>
            </w:pPr>
            <w:r w:rsidRPr="0035358E">
              <w:rPr>
                <w:rFonts w:ascii="Arial Narrow" w:hAnsi="Arial Narrow"/>
                <w:b/>
                <w:bCs/>
                <w:sz w:val="20"/>
                <w:szCs w:val="20"/>
              </w:rPr>
              <w:t>Placebo</w:t>
            </w:r>
          </w:p>
          <w:p w14:paraId="469DA48C" w14:textId="167D5E34" w:rsidR="00F1459A" w:rsidRPr="0035358E" w:rsidRDefault="00F1459A" w:rsidP="00071A99">
            <w:pPr>
              <w:keepNext/>
              <w:keepLines/>
              <w:ind w:firstLine="45"/>
              <w:jc w:val="center"/>
              <w:rPr>
                <w:rFonts w:ascii="Arial Narrow" w:hAnsi="Arial Narrow"/>
                <w:b/>
                <w:bCs/>
                <w:sz w:val="20"/>
                <w:szCs w:val="20"/>
              </w:rPr>
            </w:pPr>
            <w:r w:rsidRPr="0035358E">
              <w:rPr>
                <w:rFonts w:ascii="Arial Narrow" w:hAnsi="Arial Narrow"/>
                <w:b/>
                <w:bCs/>
                <w:sz w:val="20"/>
                <w:szCs w:val="20"/>
              </w:rPr>
              <w:t>N</w:t>
            </w:r>
            <w:r w:rsidRPr="0035358E">
              <w:rPr>
                <w:rFonts w:ascii="Arial Narrow" w:hAnsi="Arial Narrow"/>
                <w:b/>
                <w:bCs/>
                <w:sz w:val="20"/>
                <w:szCs w:val="20"/>
                <w:vertAlign w:val="superscript"/>
              </w:rPr>
              <w:t>a</w:t>
            </w:r>
            <w:r w:rsidRPr="0035358E">
              <w:rPr>
                <w:rFonts w:ascii="Arial Narrow" w:hAnsi="Arial Narrow"/>
                <w:b/>
                <w:bCs/>
                <w:sz w:val="20"/>
                <w:szCs w:val="20"/>
              </w:rPr>
              <w:t xml:space="preserve"> = 3</w:t>
            </w:r>
            <w:r w:rsidR="0048750D" w:rsidRPr="0035358E">
              <w:rPr>
                <w:rFonts w:ascii="Arial Narrow" w:hAnsi="Arial Narrow"/>
                <w:b/>
                <w:bCs/>
                <w:sz w:val="20"/>
                <w:szCs w:val="20"/>
              </w:rPr>
              <w:t>,</w:t>
            </w:r>
            <w:r w:rsidRPr="0035358E">
              <w:rPr>
                <w:rFonts w:ascii="Arial Narrow" w:hAnsi="Arial Narrow"/>
                <w:b/>
                <w:bCs/>
                <w:sz w:val="20"/>
                <w:szCs w:val="20"/>
              </w:rPr>
              <w:t>480</w:t>
            </w:r>
          </w:p>
          <w:p w14:paraId="28BE754A" w14:textId="77777777" w:rsidR="00F1459A" w:rsidRPr="0035358E" w:rsidRDefault="00F1459A" w:rsidP="00071A99">
            <w:pPr>
              <w:pStyle w:val="In-tableHeading"/>
              <w:jc w:val="center"/>
              <w:rPr>
                <w:szCs w:val="20"/>
                <w:lang w:val="en-AU"/>
              </w:rPr>
            </w:pPr>
            <w:r w:rsidRPr="0035358E">
              <w:rPr>
                <w:rFonts w:cs="Arial"/>
                <w:bCs/>
                <w:szCs w:val="20"/>
                <w:lang w:val="en-AU"/>
              </w:rPr>
              <w:t>No. of cases (%)</w:t>
            </w:r>
          </w:p>
        </w:tc>
        <w:tc>
          <w:tcPr>
            <w:tcW w:w="0" w:type="auto"/>
            <w:gridSpan w:val="3"/>
            <w:vAlign w:val="center"/>
          </w:tcPr>
          <w:p w14:paraId="2DA656F9" w14:textId="77777777" w:rsidR="00F1459A" w:rsidRPr="0035358E" w:rsidRDefault="00F1459A" w:rsidP="00071A99">
            <w:pPr>
              <w:pStyle w:val="In-tableHeading"/>
              <w:jc w:val="center"/>
              <w:rPr>
                <w:szCs w:val="20"/>
                <w:lang w:val="en-AU"/>
              </w:rPr>
            </w:pPr>
            <w:r w:rsidRPr="0035358E">
              <w:rPr>
                <w:rFonts w:cs="Arial"/>
                <w:bCs/>
                <w:szCs w:val="20"/>
                <w:lang w:val="en-AU"/>
              </w:rPr>
              <w:t>VE</w:t>
            </w:r>
            <w:r w:rsidRPr="0035358E">
              <w:rPr>
                <w:rFonts w:cs="Arial"/>
                <w:bCs/>
                <w:szCs w:val="20"/>
                <w:vertAlign w:val="superscript"/>
                <w:lang w:val="en-AU"/>
              </w:rPr>
              <w:t>b</w:t>
            </w:r>
            <w:r w:rsidRPr="0035358E">
              <w:rPr>
                <w:rFonts w:cs="Arial"/>
                <w:bCs/>
                <w:szCs w:val="20"/>
                <w:lang w:val="en-AU"/>
              </w:rPr>
              <w:t>, % (99.17% CI)</w:t>
            </w:r>
          </w:p>
        </w:tc>
      </w:tr>
      <w:tr w:rsidR="00141E8E" w:rsidRPr="0035358E" w14:paraId="05C8223F" w14:textId="77777777" w:rsidTr="001275F8">
        <w:trPr>
          <w:tblHeader/>
        </w:trPr>
        <w:tc>
          <w:tcPr>
            <w:tcW w:w="0" w:type="auto"/>
            <w:gridSpan w:val="3"/>
            <w:vAlign w:val="center"/>
          </w:tcPr>
          <w:p w14:paraId="0B5EA2E5" w14:textId="1CDBF872" w:rsidR="0078274A" w:rsidRPr="0035358E" w:rsidRDefault="0078274A" w:rsidP="00071A99">
            <w:pPr>
              <w:pStyle w:val="In-tableHeading"/>
              <w:rPr>
                <w:rFonts w:cs="Arial"/>
                <w:bCs/>
                <w:szCs w:val="20"/>
                <w:lang w:val="en-AU"/>
              </w:rPr>
            </w:pPr>
            <w:r w:rsidRPr="0035358E">
              <w:rPr>
                <w:rFonts w:cs="Arial"/>
                <w:bCs/>
                <w:szCs w:val="20"/>
                <w:lang w:val="en-AU"/>
              </w:rPr>
              <w:t>Primary Analysis (reported in submission</w:t>
            </w:r>
            <w:r w:rsidR="004E7C77" w:rsidRPr="0035358E">
              <w:rPr>
                <w:rFonts w:cs="Arial"/>
                <w:bCs/>
                <w:szCs w:val="20"/>
                <w:lang w:val="en-AU"/>
              </w:rPr>
              <w:t>)</w:t>
            </w:r>
            <w:r w:rsidR="00141E8E" w:rsidRPr="0035358E">
              <w:rPr>
                <w:rFonts w:cs="Arial"/>
                <w:bCs/>
                <w:szCs w:val="20"/>
                <w:lang w:val="en-AU"/>
              </w:rPr>
              <w:t xml:space="preserve"> – Overall MATISSE trial population</w:t>
            </w:r>
          </w:p>
        </w:tc>
        <w:tc>
          <w:tcPr>
            <w:tcW w:w="0" w:type="auto"/>
            <w:vAlign w:val="center"/>
          </w:tcPr>
          <w:p w14:paraId="489BEFE7" w14:textId="77777777" w:rsidR="0078274A" w:rsidRPr="0035358E" w:rsidRDefault="0078274A" w:rsidP="00071A99">
            <w:pPr>
              <w:keepNext/>
              <w:keepLines/>
              <w:ind w:firstLine="45"/>
              <w:jc w:val="center"/>
              <w:rPr>
                <w:rFonts w:ascii="Arial Narrow" w:hAnsi="Arial Narrow"/>
                <w:b/>
                <w:bCs/>
                <w:sz w:val="20"/>
                <w:szCs w:val="20"/>
              </w:rPr>
            </w:pPr>
          </w:p>
        </w:tc>
        <w:tc>
          <w:tcPr>
            <w:tcW w:w="0" w:type="auto"/>
            <w:vAlign w:val="center"/>
          </w:tcPr>
          <w:p w14:paraId="214F3A0D" w14:textId="77777777" w:rsidR="0078274A" w:rsidRPr="0035358E" w:rsidRDefault="0078274A" w:rsidP="00071A99">
            <w:pPr>
              <w:keepNext/>
              <w:keepLines/>
              <w:ind w:firstLine="45"/>
              <w:jc w:val="center"/>
              <w:rPr>
                <w:rFonts w:ascii="Arial Narrow" w:hAnsi="Arial Narrow"/>
                <w:b/>
                <w:bCs/>
                <w:sz w:val="20"/>
                <w:szCs w:val="20"/>
              </w:rPr>
            </w:pPr>
          </w:p>
        </w:tc>
        <w:tc>
          <w:tcPr>
            <w:tcW w:w="0" w:type="auto"/>
            <w:vAlign w:val="center"/>
          </w:tcPr>
          <w:p w14:paraId="7772C2FC" w14:textId="77777777" w:rsidR="0078274A" w:rsidRPr="0035358E" w:rsidRDefault="0078274A" w:rsidP="00071A99">
            <w:pPr>
              <w:pStyle w:val="In-tableHeading"/>
              <w:jc w:val="center"/>
              <w:rPr>
                <w:rFonts w:cs="Arial"/>
                <w:bCs/>
                <w:szCs w:val="20"/>
                <w:lang w:val="en-AU"/>
              </w:rPr>
            </w:pPr>
          </w:p>
        </w:tc>
      </w:tr>
      <w:tr w:rsidR="00141E8E" w:rsidRPr="0035358E" w14:paraId="3AA77C2C" w14:textId="77777777" w:rsidTr="001275F8">
        <w:tc>
          <w:tcPr>
            <w:tcW w:w="0" w:type="auto"/>
            <w:vAlign w:val="center"/>
          </w:tcPr>
          <w:p w14:paraId="3D4EC129" w14:textId="77777777" w:rsidR="00F1459A" w:rsidRPr="0035358E" w:rsidRDefault="00F1459A" w:rsidP="00071A99">
            <w:pPr>
              <w:pStyle w:val="TableText0"/>
              <w:rPr>
                <w:szCs w:val="20"/>
              </w:rPr>
            </w:pPr>
            <w:r w:rsidRPr="0035358E">
              <w:rPr>
                <w:rFonts w:eastAsia="Arial Narrow" w:cs="Arial"/>
                <w:szCs w:val="20"/>
              </w:rPr>
              <w:t>90 days post birth</w:t>
            </w:r>
          </w:p>
        </w:tc>
        <w:tc>
          <w:tcPr>
            <w:tcW w:w="0" w:type="auto"/>
            <w:vAlign w:val="center"/>
          </w:tcPr>
          <w:p w14:paraId="115523D4" w14:textId="77777777" w:rsidR="00F1459A" w:rsidRPr="0035358E" w:rsidRDefault="00F1459A" w:rsidP="00071A99">
            <w:pPr>
              <w:pStyle w:val="TableText0"/>
              <w:jc w:val="center"/>
              <w:rPr>
                <w:szCs w:val="20"/>
              </w:rPr>
            </w:pPr>
            <w:r w:rsidRPr="0035358E">
              <w:rPr>
                <w:rFonts w:eastAsia="Arial Narrow" w:cs="Arial"/>
                <w:szCs w:val="20"/>
              </w:rPr>
              <w:t>10 (0.3)</w:t>
            </w:r>
          </w:p>
        </w:tc>
        <w:tc>
          <w:tcPr>
            <w:tcW w:w="0" w:type="auto"/>
            <w:vAlign w:val="center"/>
          </w:tcPr>
          <w:p w14:paraId="0A4C3F01" w14:textId="77777777" w:rsidR="00F1459A" w:rsidRPr="0035358E" w:rsidRDefault="00F1459A" w:rsidP="00071A99">
            <w:pPr>
              <w:pStyle w:val="TableText0"/>
              <w:jc w:val="center"/>
              <w:rPr>
                <w:szCs w:val="20"/>
              </w:rPr>
            </w:pPr>
            <w:r w:rsidRPr="0035358E">
              <w:rPr>
                <w:rFonts w:eastAsia="Arial Narrow" w:cs="Arial"/>
                <w:szCs w:val="20"/>
              </w:rPr>
              <w:t>31 (0.9)</w:t>
            </w:r>
          </w:p>
        </w:tc>
        <w:tc>
          <w:tcPr>
            <w:tcW w:w="0" w:type="auto"/>
            <w:gridSpan w:val="3"/>
            <w:vAlign w:val="center"/>
          </w:tcPr>
          <w:p w14:paraId="2A19CBAD" w14:textId="77777777" w:rsidR="00F1459A" w:rsidRPr="0035358E" w:rsidRDefault="00F1459A" w:rsidP="00071A99">
            <w:pPr>
              <w:pStyle w:val="TableText0"/>
              <w:jc w:val="center"/>
              <w:rPr>
                <w:szCs w:val="20"/>
              </w:rPr>
            </w:pPr>
            <w:r w:rsidRPr="0035358E">
              <w:rPr>
                <w:rFonts w:eastAsia="Arial Narrow" w:cs="Arial"/>
                <w:szCs w:val="20"/>
              </w:rPr>
              <w:t>67.7 (15.9, 89.5)</w:t>
            </w:r>
          </w:p>
        </w:tc>
      </w:tr>
      <w:tr w:rsidR="00141E8E" w:rsidRPr="0035358E" w14:paraId="5384C7D3" w14:textId="77777777" w:rsidTr="001275F8">
        <w:tc>
          <w:tcPr>
            <w:tcW w:w="0" w:type="auto"/>
            <w:vAlign w:val="center"/>
          </w:tcPr>
          <w:p w14:paraId="46537309" w14:textId="77777777" w:rsidR="00F1459A" w:rsidRPr="0035358E" w:rsidRDefault="00F1459A" w:rsidP="00071A99">
            <w:pPr>
              <w:pStyle w:val="TableText0"/>
              <w:rPr>
                <w:szCs w:val="20"/>
              </w:rPr>
            </w:pPr>
            <w:r w:rsidRPr="0035358E">
              <w:rPr>
                <w:rFonts w:eastAsia="Arial Narrow" w:cs="Arial"/>
                <w:szCs w:val="20"/>
              </w:rPr>
              <w:t>120 days post birth</w:t>
            </w:r>
          </w:p>
        </w:tc>
        <w:tc>
          <w:tcPr>
            <w:tcW w:w="0" w:type="auto"/>
            <w:vAlign w:val="center"/>
          </w:tcPr>
          <w:p w14:paraId="0A70EBF3" w14:textId="77777777" w:rsidR="00F1459A" w:rsidRPr="0035358E" w:rsidRDefault="00F1459A" w:rsidP="00071A99">
            <w:pPr>
              <w:pStyle w:val="TableText0"/>
              <w:jc w:val="center"/>
              <w:rPr>
                <w:szCs w:val="20"/>
              </w:rPr>
            </w:pPr>
            <w:r w:rsidRPr="0035358E">
              <w:rPr>
                <w:rFonts w:eastAsia="Arial Narrow" w:cs="Arial"/>
                <w:szCs w:val="20"/>
              </w:rPr>
              <w:t>15 (0.4)</w:t>
            </w:r>
          </w:p>
        </w:tc>
        <w:tc>
          <w:tcPr>
            <w:tcW w:w="0" w:type="auto"/>
            <w:vAlign w:val="center"/>
          </w:tcPr>
          <w:p w14:paraId="29188E4A" w14:textId="77777777" w:rsidR="00F1459A" w:rsidRPr="0035358E" w:rsidRDefault="00F1459A" w:rsidP="00071A99">
            <w:pPr>
              <w:pStyle w:val="TableText0"/>
              <w:jc w:val="center"/>
              <w:rPr>
                <w:szCs w:val="20"/>
              </w:rPr>
            </w:pPr>
            <w:r w:rsidRPr="0035358E">
              <w:rPr>
                <w:rFonts w:eastAsia="Arial Narrow" w:cs="Arial"/>
                <w:szCs w:val="20"/>
              </w:rPr>
              <w:t>37 (1.1)</w:t>
            </w:r>
          </w:p>
        </w:tc>
        <w:tc>
          <w:tcPr>
            <w:tcW w:w="0" w:type="auto"/>
            <w:gridSpan w:val="3"/>
            <w:vAlign w:val="center"/>
          </w:tcPr>
          <w:p w14:paraId="2E176B86" w14:textId="77777777" w:rsidR="00F1459A" w:rsidRPr="0035358E" w:rsidRDefault="00F1459A" w:rsidP="00071A99">
            <w:pPr>
              <w:pStyle w:val="TableText0"/>
              <w:jc w:val="center"/>
              <w:rPr>
                <w:szCs w:val="20"/>
              </w:rPr>
            </w:pPr>
            <w:r w:rsidRPr="0035358E">
              <w:rPr>
                <w:rFonts w:eastAsia="Arial Narrow" w:cs="Arial"/>
                <w:szCs w:val="20"/>
              </w:rPr>
              <w:t>59.5 (8.3, 93.7)</w:t>
            </w:r>
          </w:p>
        </w:tc>
      </w:tr>
      <w:tr w:rsidR="00141E8E" w:rsidRPr="0035358E" w14:paraId="2D46083F" w14:textId="77777777" w:rsidTr="001275F8">
        <w:tc>
          <w:tcPr>
            <w:tcW w:w="0" w:type="auto"/>
            <w:vAlign w:val="center"/>
          </w:tcPr>
          <w:p w14:paraId="27F2C2D2" w14:textId="77777777" w:rsidR="00F1459A" w:rsidRPr="0035358E" w:rsidRDefault="00F1459A" w:rsidP="00071A99">
            <w:pPr>
              <w:pStyle w:val="TableText0"/>
              <w:rPr>
                <w:szCs w:val="20"/>
              </w:rPr>
            </w:pPr>
            <w:r w:rsidRPr="0035358E">
              <w:rPr>
                <w:rFonts w:eastAsia="Arial Narrow" w:cs="Arial"/>
                <w:szCs w:val="20"/>
              </w:rPr>
              <w:t>150 days post birth</w:t>
            </w:r>
          </w:p>
        </w:tc>
        <w:tc>
          <w:tcPr>
            <w:tcW w:w="0" w:type="auto"/>
            <w:vAlign w:val="center"/>
          </w:tcPr>
          <w:p w14:paraId="2728AB9C" w14:textId="77777777" w:rsidR="00F1459A" w:rsidRPr="0035358E" w:rsidRDefault="00F1459A" w:rsidP="00071A99">
            <w:pPr>
              <w:pStyle w:val="TableText0"/>
              <w:jc w:val="center"/>
              <w:rPr>
                <w:szCs w:val="20"/>
              </w:rPr>
            </w:pPr>
            <w:r w:rsidRPr="0035358E">
              <w:rPr>
                <w:rFonts w:eastAsia="Arial Narrow" w:cs="Arial"/>
                <w:szCs w:val="20"/>
              </w:rPr>
              <w:t>17 (0.5)</w:t>
            </w:r>
          </w:p>
        </w:tc>
        <w:tc>
          <w:tcPr>
            <w:tcW w:w="0" w:type="auto"/>
            <w:vAlign w:val="center"/>
          </w:tcPr>
          <w:p w14:paraId="5E4C57C9" w14:textId="77777777" w:rsidR="00F1459A" w:rsidRPr="0035358E" w:rsidRDefault="00F1459A" w:rsidP="00071A99">
            <w:pPr>
              <w:pStyle w:val="TableText0"/>
              <w:jc w:val="center"/>
              <w:rPr>
                <w:szCs w:val="20"/>
              </w:rPr>
            </w:pPr>
            <w:r w:rsidRPr="0035358E">
              <w:rPr>
                <w:rFonts w:eastAsia="Arial Narrow" w:cs="Arial"/>
                <w:szCs w:val="20"/>
              </w:rPr>
              <w:t>39 (1.1)</w:t>
            </w:r>
          </w:p>
        </w:tc>
        <w:tc>
          <w:tcPr>
            <w:tcW w:w="0" w:type="auto"/>
            <w:gridSpan w:val="3"/>
            <w:vAlign w:val="center"/>
          </w:tcPr>
          <w:p w14:paraId="31D0AB3D" w14:textId="77777777" w:rsidR="00F1459A" w:rsidRPr="0035358E" w:rsidRDefault="00F1459A" w:rsidP="00071A99">
            <w:pPr>
              <w:pStyle w:val="TableText0"/>
              <w:jc w:val="center"/>
              <w:rPr>
                <w:szCs w:val="20"/>
              </w:rPr>
            </w:pPr>
            <w:r w:rsidRPr="0035358E">
              <w:rPr>
                <w:rFonts w:eastAsia="Arial Narrow" w:cs="Arial"/>
                <w:szCs w:val="20"/>
              </w:rPr>
              <w:t>56.4 (5.2, 81.5)</w:t>
            </w:r>
          </w:p>
        </w:tc>
      </w:tr>
      <w:tr w:rsidR="00141E8E" w:rsidRPr="0035358E" w14:paraId="23ED48CB" w14:textId="77777777" w:rsidTr="001275F8">
        <w:tc>
          <w:tcPr>
            <w:tcW w:w="0" w:type="auto"/>
            <w:vAlign w:val="center"/>
          </w:tcPr>
          <w:p w14:paraId="72B71E7E" w14:textId="425F6FDD" w:rsidR="00F1459A" w:rsidRPr="0035358E" w:rsidRDefault="00F1459A" w:rsidP="00071A99">
            <w:pPr>
              <w:pStyle w:val="TableText0"/>
              <w:rPr>
                <w:szCs w:val="20"/>
              </w:rPr>
            </w:pPr>
            <w:r w:rsidRPr="0035358E">
              <w:rPr>
                <w:rFonts w:eastAsia="Arial Narrow" w:cs="Arial"/>
                <w:szCs w:val="20"/>
              </w:rPr>
              <w:t>180 days post</w:t>
            </w:r>
            <w:r w:rsidR="00212BFF" w:rsidRPr="0035358E">
              <w:rPr>
                <w:rFonts w:eastAsia="Arial Narrow" w:cs="Arial"/>
                <w:szCs w:val="20"/>
              </w:rPr>
              <w:t xml:space="preserve"> </w:t>
            </w:r>
            <w:r w:rsidRPr="0035358E">
              <w:rPr>
                <w:rFonts w:eastAsia="Arial Narrow" w:cs="Arial"/>
                <w:szCs w:val="20"/>
              </w:rPr>
              <w:t>birth</w:t>
            </w:r>
          </w:p>
        </w:tc>
        <w:tc>
          <w:tcPr>
            <w:tcW w:w="0" w:type="auto"/>
            <w:vAlign w:val="center"/>
          </w:tcPr>
          <w:p w14:paraId="7619BE28" w14:textId="77777777" w:rsidR="00F1459A" w:rsidRPr="0035358E" w:rsidRDefault="00F1459A" w:rsidP="00071A99">
            <w:pPr>
              <w:pStyle w:val="TableText0"/>
              <w:jc w:val="center"/>
              <w:rPr>
                <w:szCs w:val="20"/>
              </w:rPr>
            </w:pPr>
            <w:r w:rsidRPr="0035358E">
              <w:rPr>
                <w:rFonts w:eastAsia="Arial Narrow" w:cs="Arial"/>
                <w:szCs w:val="20"/>
              </w:rPr>
              <w:t>19 (0.5)</w:t>
            </w:r>
          </w:p>
        </w:tc>
        <w:tc>
          <w:tcPr>
            <w:tcW w:w="0" w:type="auto"/>
            <w:vAlign w:val="center"/>
          </w:tcPr>
          <w:p w14:paraId="54A1046F" w14:textId="77777777" w:rsidR="00F1459A" w:rsidRPr="0035358E" w:rsidRDefault="00F1459A" w:rsidP="00071A99">
            <w:pPr>
              <w:pStyle w:val="TableText0"/>
              <w:jc w:val="center"/>
              <w:rPr>
                <w:szCs w:val="20"/>
              </w:rPr>
            </w:pPr>
            <w:r w:rsidRPr="0035358E">
              <w:rPr>
                <w:rFonts w:eastAsia="Arial Narrow" w:cs="Arial"/>
                <w:szCs w:val="20"/>
              </w:rPr>
              <w:t>44 (1.3)</w:t>
            </w:r>
          </w:p>
        </w:tc>
        <w:tc>
          <w:tcPr>
            <w:tcW w:w="0" w:type="auto"/>
            <w:gridSpan w:val="3"/>
            <w:vAlign w:val="center"/>
          </w:tcPr>
          <w:p w14:paraId="4033F290" w14:textId="77777777" w:rsidR="00F1459A" w:rsidRPr="0035358E" w:rsidRDefault="00F1459A" w:rsidP="00071A99">
            <w:pPr>
              <w:pStyle w:val="TableText0"/>
              <w:jc w:val="center"/>
              <w:rPr>
                <w:szCs w:val="20"/>
              </w:rPr>
            </w:pPr>
            <w:r w:rsidRPr="0035358E">
              <w:rPr>
                <w:rFonts w:eastAsia="Arial Narrow" w:cs="Arial"/>
                <w:szCs w:val="20"/>
              </w:rPr>
              <w:t>56.8 (10.1, 80.7)</w:t>
            </w:r>
          </w:p>
        </w:tc>
      </w:tr>
      <w:tr w:rsidR="00141E8E" w:rsidRPr="0035358E" w14:paraId="44748129" w14:textId="77777777" w:rsidTr="001275F8">
        <w:tc>
          <w:tcPr>
            <w:tcW w:w="0" w:type="auto"/>
            <w:vAlign w:val="center"/>
          </w:tcPr>
          <w:p w14:paraId="610E5C5A" w14:textId="62535610" w:rsidR="00F1459A" w:rsidRPr="0035358E" w:rsidRDefault="00F1459A" w:rsidP="00071A99">
            <w:pPr>
              <w:pStyle w:val="TableText0"/>
              <w:rPr>
                <w:rFonts w:eastAsia="Arial Narrow" w:cs="Arial"/>
                <w:szCs w:val="20"/>
              </w:rPr>
            </w:pPr>
            <w:r w:rsidRPr="0035358E">
              <w:rPr>
                <w:rFonts w:eastAsia="Arial Narrow" w:cs="Arial"/>
                <w:szCs w:val="20"/>
              </w:rPr>
              <w:t>360 days post</w:t>
            </w:r>
            <w:r w:rsidR="00212BFF" w:rsidRPr="0035358E">
              <w:rPr>
                <w:rFonts w:eastAsia="Arial Narrow" w:cs="Arial"/>
                <w:szCs w:val="20"/>
              </w:rPr>
              <w:t xml:space="preserve"> </w:t>
            </w:r>
            <w:r w:rsidRPr="0035358E">
              <w:rPr>
                <w:rFonts w:eastAsia="Arial Narrow" w:cs="Arial"/>
                <w:szCs w:val="20"/>
              </w:rPr>
              <w:t>birth</w:t>
            </w:r>
          </w:p>
        </w:tc>
        <w:tc>
          <w:tcPr>
            <w:tcW w:w="0" w:type="auto"/>
            <w:vAlign w:val="center"/>
          </w:tcPr>
          <w:p w14:paraId="7EF9C2E8" w14:textId="77777777" w:rsidR="00F1459A" w:rsidRPr="0035358E" w:rsidRDefault="00F1459A" w:rsidP="00071A99">
            <w:pPr>
              <w:pStyle w:val="TableText0"/>
              <w:jc w:val="center"/>
              <w:rPr>
                <w:rFonts w:eastAsia="Arial Narrow" w:cs="Arial"/>
                <w:szCs w:val="20"/>
              </w:rPr>
            </w:pPr>
            <w:r w:rsidRPr="0035358E">
              <w:rPr>
                <w:rFonts w:eastAsia="Arial Narrow" w:cs="Arial"/>
                <w:szCs w:val="20"/>
              </w:rPr>
              <w:t>38 (1.1)</w:t>
            </w:r>
          </w:p>
        </w:tc>
        <w:tc>
          <w:tcPr>
            <w:tcW w:w="0" w:type="auto"/>
            <w:vAlign w:val="center"/>
          </w:tcPr>
          <w:p w14:paraId="4EB732CB" w14:textId="77777777" w:rsidR="00F1459A" w:rsidRPr="0035358E" w:rsidRDefault="00F1459A" w:rsidP="00071A99">
            <w:pPr>
              <w:pStyle w:val="TableText0"/>
              <w:jc w:val="center"/>
              <w:rPr>
                <w:rFonts w:eastAsia="Arial Narrow" w:cs="Arial"/>
                <w:szCs w:val="20"/>
              </w:rPr>
            </w:pPr>
            <w:r w:rsidRPr="0035358E">
              <w:rPr>
                <w:rFonts w:eastAsia="Arial Narrow" w:cs="Arial"/>
                <w:szCs w:val="20"/>
              </w:rPr>
              <w:t>57 (1.6)</w:t>
            </w:r>
          </w:p>
        </w:tc>
        <w:tc>
          <w:tcPr>
            <w:tcW w:w="0" w:type="auto"/>
            <w:gridSpan w:val="3"/>
            <w:vAlign w:val="center"/>
          </w:tcPr>
          <w:p w14:paraId="652480F7" w14:textId="77777777" w:rsidR="00F1459A" w:rsidRPr="0035358E" w:rsidRDefault="00F1459A" w:rsidP="00071A99">
            <w:pPr>
              <w:pStyle w:val="TableText0"/>
              <w:jc w:val="center"/>
              <w:rPr>
                <w:rFonts w:eastAsia="Arial Narrow" w:cs="Arial"/>
                <w:szCs w:val="20"/>
              </w:rPr>
            </w:pPr>
            <w:r w:rsidRPr="0035358E">
              <w:rPr>
                <w:rFonts w:eastAsia="Arial Narrow" w:cs="Arial"/>
                <w:szCs w:val="20"/>
              </w:rPr>
              <w:t>33.3 (-17.6, 62.9)</w:t>
            </w:r>
          </w:p>
        </w:tc>
      </w:tr>
      <w:tr w:rsidR="006D69B4" w:rsidRPr="0035358E" w14:paraId="5DD6D52D" w14:textId="77777777" w:rsidTr="007843F4">
        <w:tc>
          <w:tcPr>
            <w:tcW w:w="0" w:type="auto"/>
            <w:gridSpan w:val="6"/>
            <w:vAlign w:val="center"/>
          </w:tcPr>
          <w:p w14:paraId="3ADAF262" w14:textId="2B386CF5" w:rsidR="0078274A" w:rsidRPr="0035358E" w:rsidRDefault="0078274A" w:rsidP="00071A99">
            <w:pPr>
              <w:pStyle w:val="TableText0"/>
              <w:rPr>
                <w:rFonts w:eastAsia="Arial Narrow" w:cs="Arial"/>
                <w:szCs w:val="20"/>
              </w:rPr>
            </w:pPr>
            <w:r w:rsidRPr="0035358E">
              <w:rPr>
                <w:rFonts w:cs="Arial"/>
                <w:b/>
                <w:szCs w:val="20"/>
              </w:rPr>
              <w:t>Final Analysis (reported in pre-PBAC response) -– Subgroup vaccinated from 28 weeks to &lt;37 weeks gestation</w:t>
            </w:r>
          </w:p>
        </w:tc>
      </w:tr>
      <w:tr w:rsidR="00141E8E" w:rsidRPr="0035358E" w14:paraId="54D46323" w14:textId="77777777" w:rsidTr="001275F8">
        <w:tc>
          <w:tcPr>
            <w:tcW w:w="0" w:type="auto"/>
            <w:vAlign w:val="center"/>
          </w:tcPr>
          <w:p w14:paraId="02883392" w14:textId="4CCD8AB2" w:rsidR="00D77B87" w:rsidRPr="0035358E" w:rsidRDefault="00D77B87" w:rsidP="00071A99">
            <w:pPr>
              <w:pStyle w:val="TableText0"/>
              <w:rPr>
                <w:rFonts w:eastAsia="Arial Narrow" w:cs="Arial"/>
                <w:szCs w:val="20"/>
              </w:rPr>
            </w:pPr>
            <w:r w:rsidRPr="0035358E">
              <w:rPr>
                <w:rFonts w:cs="Arial"/>
                <w:szCs w:val="20"/>
              </w:rPr>
              <w:t>Time interval</w:t>
            </w:r>
          </w:p>
        </w:tc>
        <w:tc>
          <w:tcPr>
            <w:tcW w:w="0" w:type="auto"/>
            <w:vAlign w:val="center"/>
          </w:tcPr>
          <w:p w14:paraId="044EB9D1" w14:textId="77777777" w:rsidR="00D77B87" w:rsidRPr="0035358E" w:rsidRDefault="00D77B87" w:rsidP="00071A99">
            <w:pPr>
              <w:keepNext/>
              <w:keepLines/>
              <w:ind w:firstLine="45"/>
              <w:jc w:val="center"/>
              <w:rPr>
                <w:rFonts w:ascii="Arial Narrow" w:hAnsi="Arial Narrow"/>
                <w:b/>
                <w:bCs/>
                <w:sz w:val="20"/>
                <w:szCs w:val="20"/>
              </w:rPr>
            </w:pPr>
            <w:r w:rsidRPr="0035358E">
              <w:rPr>
                <w:rFonts w:ascii="Arial Narrow" w:hAnsi="Arial Narrow"/>
                <w:b/>
                <w:bCs/>
                <w:sz w:val="20"/>
                <w:szCs w:val="20"/>
              </w:rPr>
              <w:t>RSVpreF 120 ug</w:t>
            </w:r>
          </w:p>
          <w:p w14:paraId="5B3B30A9" w14:textId="32A6DB0C" w:rsidR="00D77B87" w:rsidRPr="0035358E" w:rsidRDefault="00D77B87" w:rsidP="00071A99">
            <w:pPr>
              <w:keepNext/>
              <w:keepLines/>
              <w:ind w:firstLine="45"/>
              <w:jc w:val="center"/>
              <w:rPr>
                <w:rFonts w:ascii="Arial Narrow" w:hAnsi="Arial Narrow"/>
                <w:b/>
                <w:bCs/>
                <w:sz w:val="20"/>
                <w:szCs w:val="20"/>
              </w:rPr>
            </w:pPr>
            <w:r w:rsidRPr="0035358E">
              <w:rPr>
                <w:rFonts w:ascii="Arial Narrow" w:hAnsi="Arial Narrow"/>
                <w:b/>
                <w:bCs/>
                <w:sz w:val="20"/>
                <w:szCs w:val="20"/>
              </w:rPr>
              <w:t>N = n.r.</w:t>
            </w:r>
          </w:p>
          <w:p w14:paraId="3E2F2242" w14:textId="0A429239" w:rsidR="00D77B87" w:rsidRPr="0035358E" w:rsidRDefault="00D77B87" w:rsidP="00071A99">
            <w:pPr>
              <w:pStyle w:val="TableText0"/>
              <w:jc w:val="center"/>
              <w:rPr>
                <w:rFonts w:eastAsia="Arial Narrow" w:cs="Arial"/>
                <w:b/>
                <w:bCs w:val="0"/>
                <w:szCs w:val="20"/>
              </w:rPr>
            </w:pPr>
            <w:r w:rsidRPr="0035358E">
              <w:rPr>
                <w:rFonts w:cs="Arial"/>
                <w:b/>
                <w:bCs w:val="0"/>
                <w:szCs w:val="20"/>
              </w:rPr>
              <w:t>No. of cases</w:t>
            </w:r>
          </w:p>
        </w:tc>
        <w:tc>
          <w:tcPr>
            <w:tcW w:w="0" w:type="auto"/>
            <w:vAlign w:val="center"/>
          </w:tcPr>
          <w:p w14:paraId="478AACF5" w14:textId="77777777" w:rsidR="00D77B87" w:rsidRPr="0035358E" w:rsidRDefault="00D77B87" w:rsidP="00071A99">
            <w:pPr>
              <w:keepNext/>
              <w:keepLines/>
              <w:ind w:firstLine="45"/>
              <w:jc w:val="center"/>
              <w:rPr>
                <w:rFonts w:ascii="Arial Narrow" w:hAnsi="Arial Narrow"/>
                <w:b/>
                <w:bCs/>
                <w:sz w:val="20"/>
                <w:szCs w:val="20"/>
              </w:rPr>
            </w:pPr>
            <w:r w:rsidRPr="0035358E">
              <w:rPr>
                <w:rFonts w:ascii="Arial Narrow" w:hAnsi="Arial Narrow"/>
                <w:b/>
                <w:bCs/>
                <w:sz w:val="20"/>
                <w:szCs w:val="20"/>
              </w:rPr>
              <w:t>Placebo</w:t>
            </w:r>
          </w:p>
          <w:p w14:paraId="2E1A1D41" w14:textId="48927742" w:rsidR="00D77B87" w:rsidRPr="0035358E" w:rsidRDefault="00D77B87" w:rsidP="00071A99">
            <w:pPr>
              <w:keepNext/>
              <w:keepLines/>
              <w:ind w:firstLine="45"/>
              <w:jc w:val="center"/>
              <w:rPr>
                <w:rFonts w:ascii="Arial Narrow" w:hAnsi="Arial Narrow"/>
                <w:b/>
                <w:bCs/>
                <w:sz w:val="20"/>
                <w:szCs w:val="20"/>
              </w:rPr>
            </w:pPr>
            <w:r w:rsidRPr="0035358E">
              <w:rPr>
                <w:rFonts w:ascii="Arial Narrow" w:hAnsi="Arial Narrow"/>
                <w:b/>
                <w:bCs/>
                <w:sz w:val="20"/>
                <w:szCs w:val="20"/>
              </w:rPr>
              <w:t>N = n.r.</w:t>
            </w:r>
          </w:p>
          <w:p w14:paraId="31421CFD" w14:textId="33AA34D9" w:rsidR="00D77B87" w:rsidRPr="0035358E" w:rsidRDefault="00D77B87" w:rsidP="00071A99">
            <w:pPr>
              <w:pStyle w:val="TableText0"/>
              <w:jc w:val="center"/>
              <w:rPr>
                <w:rFonts w:eastAsia="Arial Narrow" w:cs="Arial"/>
                <w:b/>
                <w:bCs w:val="0"/>
                <w:szCs w:val="20"/>
              </w:rPr>
            </w:pPr>
            <w:r w:rsidRPr="0035358E">
              <w:rPr>
                <w:rFonts w:cs="Arial"/>
                <w:b/>
                <w:bCs w:val="0"/>
                <w:szCs w:val="20"/>
              </w:rPr>
              <w:t>No. of cases</w:t>
            </w:r>
          </w:p>
        </w:tc>
        <w:tc>
          <w:tcPr>
            <w:tcW w:w="0" w:type="auto"/>
            <w:gridSpan w:val="3"/>
            <w:vAlign w:val="center"/>
          </w:tcPr>
          <w:p w14:paraId="505EECAD" w14:textId="1E647E52" w:rsidR="00D77B87" w:rsidRPr="0035358E" w:rsidRDefault="00D77B87" w:rsidP="00071A99">
            <w:pPr>
              <w:pStyle w:val="TableText0"/>
              <w:jc w:val="center"/>
              <w:rPr>
                <w:rFonts w:asciiTheme="minorHAnsi" w:hAnsiTheme="minorHAnsi" w:cs="Arial"/>
                <w:b/>
                <w:bCs w:val="0"/>
              </w:rPr>
            </w:pPr>
            <w:r w:rsidRPr="0035358E">
              <w:rPr>
                <w:rFonts w:cs="Arial"/>
                <w:b/>
                <w:bCs w:val="0"/>
                <w:szCs w:val="20"/>
              </w:rPr>
              <w:t>VE</w:t>
            </w:r>
            <w:r w:rsidRPr="0035358E">
              <w:rPr>
                <w:rFonts w:cs="Arial"/>
                <w:b/>
                <w:bCs w:val="0"/>
                <w:szCs w:val="20"/>
                <w:vertAlign w:val="superscript"/>
              </w:rPr>
              <w:t>b</w:t>
            </w:r>
            <w:r w:rsidRPr="0035358E">
              <w:rPr>
                <w:rFonts w:cs="Arial"/>
                <w:b/>
                <w:bCs w:val="0"/>
                <w:szCs w:val="20"/>
              </w:rPr>
              <w:t>, % (95% CI)</w:t>
            </w:r>
          </w:p>
        </w:tc>
      </w:tr>
      <w:tr w:rsidR="00141E8E" w:rsidRPr="0035358E" w14:paraId="27987A2C" w14:textId="77777777" w:rsidTr="001275F8">
        <w:tc>
          <w:tcPr>
            <w:tcW w:w="0" w:type="auto"/>
            <w:vAlign w:val="center"/>
          </w:tcPr>
          <w:p w14:paraId="3A2D561F" w14:textId="5480596A" w:rsidR="00D77B87" w:rsidRPr="0035358E" w:rsidRDefault="00D77B87" w:rsidP="00071A99">
            <w:pPr>
              <w:pStyle w:val="TableText0"/>
              <w:rPr>
                <w:rFonts w:eastAsia="Arial Narrow" w:cs="Arial"/>
                <w:szCs w:val="20"/>
              </w:rPr>
            </w:pPr>
            <w:r w:rsidRPr="0035358E">
              <w:rPr>
                <w:rFonts w:eastAsia="Arial Narrow" w:cs="Arial"/>
                <w:szCs w:val="20"/>
              </w:rPr>
              <w:t>90 days post birth</w:t>
            </w:r>
          </w:p>
        </w:tc>
        <w:tc>
          <w:tcPr>
            <w:tcW w:w="0" w:type="auto"/>
            <w:vAlign w:val="center"/>
          </w:tcPr>
          <w:p w14:paraId="784DA8CB" w14:textId="5AF30881" w:rsidR="00D77B87" w:rsidRPr="0035358E" w:rsidRDefault="00D77B87" w:rsidP="00071A99">
            <w:pPr>
              <w:pStyle w:val="TableText0"/>
              <w:jc w:val="center"/>
              <w:rPr>
                <w:rFonts w:eastAsia="Arial Narrow" w:cs="Arial"/>
                <w:szCs w:val="20"/>
              </w:rPr>
            </w:pPr>
            <w:r w:rsidRPr="0035358E">
              <w:rPr>
                <w:rFonts w:eastAsia="Arial Narrow" w:cs="Arial"/>
                <w:szCs w:val="20"/>
              </w:rPr>
              <w:t>6</w:t>
            </w:r>
          </w:p>
        </w:tc>
        <w:tc>
          <w:tcPr>
            <w:tcW w:w="0" w:type="auto"/>
            <w:vAlign w:val="center"/>
          </w:tcPr>
          <w:p w14:paraId="5651632A" w14:textId="389A2444" w:rsidR="00D77B87" w:rsidRPr="0035358E" w:rsidRDefault="00D77B87" w:rsidP="00071A99">
            <w:pPr>
              <w:pStyle w:val="TableText0"/>
              <w:jc w:val="center"/>
              <w:rPr>
                <w:rFonts w:eastAsia="Arial Narrow" w:cs="Arial"/>
                <w:szCs w:val="20"/>
              </w:rPr>
            </w:pPr>
            <w:r w:rsidRPr="0035358E">
              <w:rPr>
                <w:rFonts w:eastAsia="Arial Narrow" w:cs="Arial"/>
                <w:szCs w:val="20"/>
              </w:rPr>
              <w:t>23</w:t>
            </w:r>
          </w:p>
        </w:tc>
        <w:tc>
          <w:tcPr>
            <w:tcW w:w="0" w:type="auto"/>
            <w:gridSpan w:val="3"/>
            <w:vAlign w:val="center"/>
          </w:tcPr>
          <w:p w14:paraId="0B561FFF" w14:textId="265B5E28" w:rsidR="00D77B87" w:rsidRPr="0035358E" w:rsidRDefault="00D77B87" w:rsidP="00071A99">
            <w:pPr>
              <w:pStyle w:val="TableText0"/>
              <w:jc w:val="center"/>
              <w:rPr>
                <w:rFonts w:eastAsia="Arial Narrow" w:cs="Arial"/>
                <w:szCs w:val="20"/>
              </w:rPr>
            </w:pPr>
            <w:r w:rsidRPr="0035358E">
              <w:rPr>
                <w:rFonts w:eastAsia="Arial Narrow" w:cs="Arial"/>
                <w:szCs w:val="20"/>
              </w:rPr>
              <w:t>73.8 (33.9, 91.3)</w:t>
            </w:r>
          </w:p>
        </w:tc>
      </w:tr>
      <w:tr w:rsidR="00141E8E" w:rsidRPr="0035358E" w14:paraId="4A3660AB" w14:textId="77777777" w:rsidTr="001275F8">
        <w:tc>
          <w:tcPr>
            <w:tcW w:w="0" w:type="auto"/>
            <w:vAlign w:val="center"/>
          </w:tcPr>
          <w:p w14:paraId="5B3A6B9C" w14:textId="14CF846E" w:rsidR="00D77B87" w:rsidRPr="0035358E" w:rsidRDefault="00D77B87" w:rsidP="00071A99">
            <w:pPr>
              <w:pStyle w:val="TableText0"/>
              <w:rPr>
                <w:rFonts w:cs="Arial"/>
                <w:b/>
                <w:szCs w:val="20"/>
              </w:rPr>
            </w:pPr>
            <w:r w:rsidRPr="0035358E">
              <w:rPr>
                <w:rFonts w:eastAsia="Arial Narrow" w:cs="Arial"/>
                <w:szCs w:val="20"/>
              </w:rPr>
              <w:t>180 days post birth</w:t>
            </w:r>
          </w:p>
        </w:tc>
        <w:tc>
          <w:tcPr>
            <w:tcW w:w="0" w:type="auto"/>
            <w:vAlign w:val="center"/>
          </w:tcPr>
          <w:p w14:paraId="6B3F1BFB" w14:textId="6ABB150F" w:rsidR="00D77B87" w:rsidRPr="0035358E" w:rsidRDefault="00D77B87" w:rsidP="00071A99">
            <w:pPr>
              <w:pStyle w:val="TableText0"/>
              <w:jc w:val="center"/>
              <w:rPr>
                <w:rFonts w:eastAsia="Arial Narrow" w:cs="Arial"/>
                <w:szCs w:val="20"/>
              </w:rPr>
            </w:pPr>
            <w:r w:rsidRPr="0035358E">
              <w:rPr>
                <w:rFonts w:eastAsia="Arial Narrow" w:cs="Arial"/>
                <w:szCs w:val="20"/>
              </w:rPr>
              <w:t>12</w:t>
            </w:r>
          </w:p>
        </w:tc>
        <w:tc>
          <w:tcPr>
            <w:tcW w:w="0" w:type="auto"/>
            <w:vAlign w:val="center"/>
          </w:tcPr>
          <w:p w14:paraId="6F2163FE" w14:textId="227991C3" w:rsidR="00D77B87" w:rsidRPr="0035358E" w:rsidRDefault="00D77B87" w:rsidP="00071A99">
            <w:pPr>
              <w:pStyle w:val="TableText0"/>
              <w:jc w:val="center"/>
              <w:rPr>
                <w:rFonts w:eastAsia="Arial Narrow" w:cs="Arial"/>
                <w:szCs w:val="20"/>
              </w:rPr>
            </w:pPr>
            <w:r w:rsidRPr="0035358E">
              <w:rPr>
                <w:rFonts w:eastAsia="Arial Narrow" w:cs="Arial"/>
                <w:szCs w:val="20"/>
              </w:rPr>
              <w:t>33</w:t>
            </w:r>
          </w:p>
        </w:tc>
        <w:tc>
          <w:tcPr>
            <w:tcW w:w="0" w:type="auto"/>
            <w:gridSpan w:val="3"/>
            <w:vAlign w:val="center"/>
          </w:tcPr>
          <w:p w14:paraId="6F05F232" w14:textId="1A37DAC8" w:rsidR="00D77B87" w:rsidRPr="0035358E" w:rsidRDefault="00D77B87" w:rsidP="00071A99">
            <w:pPr>
              <w:pStyle w:val="TableText0"/>
              <w:jc w:val="center"/>
              <w:rPr>
                <w:rFonts w:eastAsia="Arial Narrow" w:cs="Arial"/>
                <w:szCs w:val="20"/>
              </w:rPr>
            </w:pPr>
            <w:r w:rsidRPr="0035358E">
              <w:rPr>
                <w:rFonts w:eastAsia="Arial Narrow" w:cs="Arial"/>
                <w:szCs w:val="20"/>
              </w:rPr>
              <w:t>63.5 (27.6, 82.9)</w:t>
            </w:r>
          </w:p>
        </w:tc>
      </w:tr>
    </w:tbl>
    <w:p w14:paraId="448BDE48" w14:textId="2BB586FE" w:rsidR="00F1459A" w:rsidRPr="0035358E" w:rsidRDefault="00F1459A" w:rsidP="00071A99">
      <w:pPr>
        <w:keepNext/>
        <w:rPr>
          <w:rFonts w:ascii="Arial Narrow" w:hAnsi="Arial Narrow"/>
          <w:sz w:val="18"/>
          <w:szCs w:val="18"/>
        </w:rPr>
      </w:pPr>
      <w:r w:rsidRPr="0035358E">
        <w:rPr>
          <w:rFonts w:ascii="Arial Narrow" w:hAnsi="Arial Narrow"/>
          <w:sz w:val="18"/>
          <w:szCs w:val="18"/>
        </w:rPr>
        <w:t>Source: Table 2.5.4, p66 of the submission</w:t>
      </w:r>
      <w:r w:rsidR="00D77B87" w:rsidRPr="0035358E">
        <w:rPr>
          <w:rFonts w:ascii="Arial Narrow" w:hAnsi="Arial Narrow"/>
          <w:sz w:val="18"/>
          <w:szCs w:val="18"/>
        </w:rPr>
        <w:t>, pre-PBAC response p2</w:t>
      </w:r>
      <w:r w:rsidR="00EE78B1" w:rsidRPr="0035358E">
        <w:rPr>
          <w:rFonts w:ascii="Arial Narrow" w:hAnsi="Arial Narrow"/>
          <w:sz w:val="18"/>
          <w:szCs w:val="18"/>
        </w:rPr>
        <w:t xml:space="preserve"> however the results could not be verified as the source data table was not provided</w:t>
      </w:r>
      <w:r w:rsidRPr="0035358E">
        <w:rPr>
          <w:rFonts w:ascii="Arial Narrow" w:hAnsi="Arial Narrow"/>
          <w:sz w:val="18"/>
          <w:szCs w:val="18"/>
        </w:rPr>
        <w:t>.</w:t>
      </w:r>
    </w:p>
    <w:p w14:paraId="44DB4892" w14:textId="061C2BB3" w:rsidR="00F1459A" w:rsidRPr="0035358E" w:rsidRDefault="00AC6CE4" w:rsidP="00071A99">
      <w:pPr>
        <w:keepNext/>
        <w:rPr>
          <w:rFonts w:ascii="Arial Narrow" w:hAnsi="Arial Narrow"/>
          <w:sz w:val="18"/>
          <w:szCs w:val="18"/>
        </w:rPr>
      </w:pPr>
      <w:r>
        <w:rPr>
          <w:rFonts w:ascii="Arial Narrow" w:hAnsi="Arial Narrow"/>
          <w:sz w:val="18"/>
          <w:szCs w:val="18"/>
        </w:rPr>
        <w:t xml:space="preserve">Abbreviations: </w:t>
      </w:r>
      <w:r w:rsidR="00F1459A" w:rsidRPr="0035358E">
        <w:rPr>
          <w:rFonts w:ascii="Arial Narrow" w:hAnsi="Arial Narrow"/>
          <w:sz w:val="18"/>
          <w:szCs w:val="18"/>
        </w:rPr>
        <w:t xml:space="preserve">CI = confidence interval; EAC = endpoint adjudication committee; </w:t>
      </w:r>
      <w:r w:rsidR="0048750D" w:rsidRPr="0035358E">
        <w:rPr>
          <w:rFonts w:ascii="Arial Narrow" w:hAnsi="Arial Narrow"/>
          <w:sz w:val="18"/>
          <w:szCs w:val="18"/>
        </w:rPr>
        <w:t xml:space="preserve">n.r = not reported; </w:t>
      </w:r>
      <w:r w:rsidR="00F1459A" w:rsidRPr="0035358E">
        <w:rPr>
          <w:rFonts w:ascii="Arial Narrow" w:hAnsi="Arial Narrow"/>
          <w:sz w:val="18"/>
          <w:szCs w:val="18"/>
        </w:rPr>
        <w:t>RSV = respiratory syncytial virus; RSVpreF = respiratory syncytial virus pre-fusion F protein vaccine; VE = vaccine efficacy.</w:t>
      </w:r>
    </w:p>
    <w:p w14:paraId="2B7BEFC4" w14:textId="77777777" w:rsidR="00F1459A" w:rsidRPr="0035358E" w:rsidRDefault="00F1459A" w:rsidP="00071A99">
      <w:pPr>
        <w:keepNext/>
        <w:rPr>
          <w:rFonts w:ascii="Arial Narrow" w:hAnsi="Arial Narrow"/>
          <w:sz w:val="18"/>
          <w:szCs w:val="18"/>
        </w:rPr>
      </w:pPr>
      <w:r w:rsidRPr="00AC6CE4">
        <w:rPr>
          <w:rFonts w:ascii="Arial Narrow" w:hAnsi="Arial Narrow"/>
          <w:sz w:val="18"/>
          <w:szCs w:val="18"/>
          <w:vertAlign w:val="superscript"/>
        </w:rPr>
        <w:t>a</w:t>
      </w:r>
      <w:r w:rsidRPr="0035358E">
        <w:rPr>
          <w:rFonts w:ascii="Arial Narrow" w:hAnsi="Arial Narrow"/>
          <w:sz w:val="18"/>
          <w:szCs w:val="18"/>
        </w:rPr>
        <w:t xml:space="preserve"> Number of participants (at risk). Value used as denominator for percentage calculations.</w:t>
      </w:r>
    </w:p>
    <w:p w14:paraId="61590AAB" w14:textId="102735E7" w:rsidR="0078274A" w:rsidRPr="0035358E" w:rsidRDefault="00F1459A" w:rsidP="00071A99">
      <w:pPr>
        <w:spacing w:after="120"/>
      </w:pPr>
      <w:r w:rsidRPr="00AC6CE4">
        <w:rPr>
          <w:rFonts w:ascii="Arial Narrow" w:hAnsi="Arial Narrow"/>
          <w:sz w:val="18"/>
          <w:szCs w:val="18"/>
          <w:vertAlign w:val="superscript"/>
        </w:rPr>
        <w:t>b</w:t>
      </w:r>
      <w:r w:rsidRPr="0035358E">
        <w:rPr>
          <w:rFonts w:ascii="Arial Narrow" w:hAnsi="Arial Narrow"/>
          <w:sz w:val="18"/>
          <w:szCs w:val="18"/>
        </w:rPr>
        <w:t xml:space="preserve"> Calculated as 1-(P/[1-P]), where P is the number of cases in the RSVpreF group divided by the total number of cases. The CI was adjusted using Bonferroni procedure and accounting for the primary endpoint results.</w:t>
      </w:r>
    </w:p>
    <w:p w14:paraId="3B9154DF" w14:textId="77777777" w:rsidR="00F1459A" w:rsidRPr="0035358E" w:rsidRDefault="00F1459A" w:rsidP="00DD4B2C">
      <w:pPr>
        <w:pStyle w:val="3-BodyText"/>
      </w:pPr>
      <w:r w:rsidRPr="0035358E">
        <w:t xml:space="preserve">Two studies, SAVVY and Study 1004, provided data to support the key (MATISSE) trial. </w:t>
      </w:r>
      <w:bookmarkStart w:id="50" w:name="_Hlk163124751"/>
      <w:r w:rsidRPr="0035358E">
        <w:t xml:space="preserve">The Phase 2b SAVVY trial assessed rates of RSV-associated LRTI among infants as an exploratory endpoint. Cases of RSV-associated LRTI ranged from 0 to 2 infants in the RSVpreF groups to 3 infants in the placebo group. When all vaccine groups were combined and compared to placebo, the efficacy of RSVpreF was 75%, 75% and 83% at preventing RSV-associated medically significant LRTI, MA-LRTI and severe MA-LRTI, respectively. </w:t>
      </w:r>
      <w:r w:rsidRPr="0035358E">
        <w:rPr>
          <w:iCs/>
        </w:rPr>
        <w:t>None of these results were statistically significant. However, it should be noted that the SAVVY trial was not powered to detect this difference.</w:t>
      </w:r>
    </w:p>
    <w:p w14:paraId="5171C2DB" w14:textId="77777777" w:rsidR="00F1459A" w:rsidRPr="0035358E" w:rsidRDefault="00F1459A" w:rsidP="00DD4B2C">
      <w:pPr>
        <w:pStyle w:val="3-BodyText"/>
      </w:pPr>
      <w:bookmarkStart w:id="51" w:name="_Hlk163128214"/>
      <w:r w:rsidRPr="0035358E">
        <w:t>The SAVVY trial additionally provided data on the immunogenicity of RSVpreF to support the clinical claim.</w:t>
      </w:r>
    </w:p>
    <w:p w14:paraId="144D2F37" w14:textId="77777777" w:rsidR="00F1459A" w:rsidRPr="0035358E" w:rsidRDefault="00F1459A" w:rsidP="00DD4B2C">
      <w:pPr>
        <w:pStyle w:val="3-BodyText"/>
      </w:pPr>
      <w:bookmarkStart w:id="52" w:name="_Ref163128383"/>
      <w:bookmarkEnd w:id="50"/>
      <w:r w:rsidRPr="0035358E">
        <w:t>Key maternal immunogenicity data demonstrated the generation of robust neutralising titres to RSV-A and RSV-B post-RSVpreF 120ug:</w:t>
      </w:r>
      <w:bookmarkEnd w:id="52"/>
    </w:p>
    <w:p w14:paraId="1E35F59E" w14:textId="77777777" w:rsidR="00DB24CC" w:rsidRDefault="00F1459A" w:rsidP="005B5E66">
      <w:pPr>
        <w:pStyle w:val="ListParagraph"/>
      </w:pPr>
      <w:r w:rsidRPr="005B5E66">
        <w:t>Peak neutralising titres amongst maternal participants was observed two weeks post-vaccination (geometric mean ratio [GMR]: 22.0, 95%</w:t>
      </w:r>
      <w:r w:rsidR="00A77C45" w:rsidRPr="005B5E66">
        <w:t xml:space="preserve"> </w:t>
      </w:r>
      <w:r w:rsidRPr="005B5E66">
        <w:t>CI:17.7, 27.4) following RSVpreF 120ug</w:t>
      </w:r>
      <w:r w:rsidR="00C93F78" w:rsidRPr="005B5E66">
        <w:t>.</w:t>
      </w:r>
    </w:p>
    <w:p w14:paraId="0E2567A4" w14:textId="27A5C9A8" w:rsidR="00F1459A" w:rsidRPr="005B5E66" w:rsidRDefault="00F1459A" w:rsidP="005B5E66">
      <w:pPr>
        <w:pStyle w:val="ListParagraph"/>
      </w:pPr>
      <w:r w:rsidRPr="005B5E66">
        <w:t>Sustained neutralising titres amongst maternal participants were observed at the time of delivery (GMR: 12.4, 95%</w:t>
      </w:r>
      <w:r w:rsidR="00A77C45" w:rsidRPr="005B5E66">
        <w:t xml:space="preserve"> </w:t>
      </w:r>
      <w:r w:rsidRPr="005B5E66">
        <w:t>CI:9.7, 15.8) following RSVpreF 120ug and out to 6 months after vaccination.</w:t>
      </w:r>
    </w:p>
    <w:p w14:paraId="4C05B128" w14:textId="77777777" w:rsidR="00F1459A" w:rsidRPr="0035358E" w:rsidRDefault="00F1459A" w:rsidP="00DD4B2C">
      <w:pPr>
        <w:pStyle w:val="3-BodyText"/>
      </w:pPr>
      <w:bookmarkStart w:id="53" w:name="_Ref163128388"/>
      <w:r w:rsidRPr="0035358E">
        <w:t>Key infant immunogenicity data were:</w:t>
      </w:r>
      <w:bookmarkEnd w:id="53"/>
    </w:p>
    <w:p w14:paraId="3BB7A870" w14:textId="77777777" w:rsidR="00DB24CC" w:rsidRDefault="00F1459A" w:rsidP="005B5E66">
      <w:pPr>
        <w:pStyle w:val="ListParagraph"/>
      </w:pPr>
      <w:r w:rsidRPr="005B5E66">
        <w:t>Peak neutralising titres amongst infants at birth (GMR: 12.6, 95%</w:t>
      </w:r>
      <w:r w:rsidR="00A77C45" w:rsidRPr="005B5E66">
        <w:t xml:space="preserve"> </w:t>
      </w:r>
      <w:r w:rsidRPr="005B5E66">
        <w:t>CI:9.6, 16.5) following maternal RSVpreF 120ug</w:t>
      </w:r>
      <w:r w:rsidR="00C93F78" w:rsidRPr="005B5E66">
        <w:t>.</w:t>
      </w:r>
    </w:p>
    <w:p w14:paraId="2C00DC2B" w14:textId="77777777" w:rsidR="00DB24CC" w:rsidRDefault="00F1459A" w:rsidP="005B5E66">
      <w:pPr>
        <w:pStyle w:val="ListParagraph"/>
      </w:pPr>
      <w:r w:rsidRPr="005B5E66">
        <w:lastRenderedPageBreak/>
        <w:t>Maternal-to-infant placental transfer greater than 1.0 (1.83, 95%</w:t>
      </w:r>
      <w:r w:rsidR="00A77C45" w:rsidRPr="005B5E66">
        <w:t xml:space="preserve"> </w:t>
      </w:r>
      <w:r w:rsidRPr="005B5E66">
        <w:t>CI:1.44, 2.31) following maternal RSVpreF 120ug.</w:t>
      </w:r>
    </w:p>
    <w:p w14:paraId="1C877327" w14:textId="77777777" w:rsidR="00DB24CC" w:rsidRDefault="00F1459A" w:rsidP="005B5E66">
      <w:pPr>
        <w:pStyle w:val="ListParagraph"/>
      </w:pPr>
      <w:r w:rsidRPr="005B5E66">
        <w:t>Sustained neutralising titres amongst infants from birth (GMR: 12.6, 95%</w:t>
      </w:r>
      <w:r w:rsidR="00A77C45" w:rsidRPr="005B5E66">
        <w:t xml:space="preserve"> </w:t>
      </w:r>
      <w:r w:rsidRPr="005B5E66">
        <w:t>CI:9.6, 16.5) until 6 months (GMR: 6.8, 95%</w:t>
      </w:r>
      <w:r w:rsidR="00A77C45" w:rsidRPr="005B5E66">
        <w:t xml:space="preserve"> </w:t>
      </w:r>
      <w:r w:rsidRPr="005B5E66">
        <w:t>CI:4.6, 9.9) post-delivery following maternal RSVpreF 120ug.</w:t>
      </w:r>
      <w:bookmarkEnd w:id="51"/>
    </w:p>
    <w:p w14:paraId="1C1CF117" w14:textId="380B173E" w:rsidR="00F1459A" w:rsidRPr="0035358E" w:rsidRDefault="00F1459A" w:rsidP="00DD4B2C">
      <w:pPr>
        <w:pStyle w:val="3-BodyText"/>
      </w:pPr>
      <w:r w:rsidRPr="0035358E">
        <w:t xml:space="preserve">A primary objective of Study 1004 </w:t>
      </w:r>
      <w:r w:rsidR="00212BFF" w:rsidRPr="0035358E">
        <w:t xml:space="preserve">(in non-pregnant women) </w:t>
      </w:r>
      <w:r w:rsidRPr="0035358E">
        <w:t>was to examine the immune responses elicited by dTpa when co-administered with RSVpreF (RSVpreF/dTpa) compared to those elicited by dTpa alone.</w:t>
      </w:r>
    </w:p>
    <w:p w14:paraId="1D59C9C3" w14:textId="06E8393D" w:rsidR="00F1459A" w:rsidRPr="0035358E" w:rsidRDefault="00F1459A" w:rsidP="00DD4B2C">
      <w:pPr>
        <w:pStyle w:val="3-BodyText"/>
      </w:pPr>
      <w:r w:rsidRPr="0035358E">
        <w:t>A key outcome from this study was that at 1 month after vaccination, the ratios of anti-pertussis toxin, anti-filamentous hemagglutinin, and anti-pertactin</w:t>
      </w:r>
      <w:r w:rsidRPr="0035358E" w:rsidDel="0035063E">
        <w:t xml:space="preserve"> </w:t>
      </w:r>
      <w:r w:rsidRPr="0035358E">
        <w:t>antibody GMCs for the combined RSVpreF/dTpa groups relative to the placebo/dTpa group were 0.80 (95% CI:0.64, 1.00), 0.59 (95% CI:0.50, 0.70) and 0.60 (95% CI:0.48, 0.76), respectively. Thus, compared with a 95% lower bound criterion of 0.67, noninferiority was not established for these components.</w:t>
      </w:r>
    </w:p>
    <w:p w14:paraId="189DFF7B" w14:textId="77777777" w:rsidR="00F1459A" w:rsidRPr="0035358E" w:rsidRDefault="00F1459A" w:rsidP="00F1459A">
      <w:pPr>
        <w:pStyle w:val="4-SubsectionHeading"/>
      </w:pPr>
      <w:bookmarkStart w:id="54" w:name="_Toc22897642"/>
      <w:bookmarkStart w:id="55" w:name="_Toc156993552"/>
      <w:r w:rsidRPr="0035358E">
        <w:t>Comparative harms</w:t>
      </w:r>
      <w:bookmarkEnd w:id="54"/>
      <w:bookmarkEnd w:id="55"/>
    </w:p>
    <w:p w14:paraId="005EC9A9" w14:textId="6F54D89F" w:rsidR="00F1459A" w:rsidRPr="0035358E" w:rsidRDefault="00F1459A" w:rsidP="00DD4B2C">
      <w:pPr>
        <w:pStyle w:val="3-BodyText"/>
      </w:pPr>
      <w:bookmarkStart w:id="56" w:name="_Hlk104801403"/>
      <w:r w:rsidRPr="0035358E">
        <w:t>A summary o</w:t>
      </w:r>
      <w:bookmarkEnd w:id="56"/>
      <w:r w:rsidRPr="0035358E">
        <w:t xml:space="preserve">f key adverse events in the MATISSE trial is presented in </w:t>
      </w:r>
      <w:r w:rsidRPr="0035358E">
        <w:fldChar w:fldCharType="begin"/>
      </w:r>
      <w:r w:rsidRPr="0035358E">
        <w:instrText xml:space="preserve"> REF _Ref152041365 \h </w:instrText>
      </w:r>
      <w:r w:rsidRPr="0035358E">
        <w:fldChar w:fldCharType="separate"/>
      </w:r>
      <w:r w:rsidR="00A46CAC" w:rsidRPr="0035358E">
        <w:t xml:space="preserve">Table </w:t>
      </w:r>
      <w:r w:rsidR="00A46CAC">
        <w:rPr>
          <w:noProof/>
        </w:rPr>
        <w:t>9</w:t>
      </w:r>
      <w:r w:rsidRPr="0035358E">
        <w:fldChar w:fldCharType="end"/>
      </w:r>
      <w:r w:rsidRPr="0035358E">
        <w:t>. Data are presented for both maternal and infant participants.</w:t>
      </w:r>
    </w:p>
    <w:p w14:paraId="4F6AFFCE" w14:textId="4DFAB338" w:rsidR="00F1459A" w:rsidRPr="0035358E" w:rsidRDefault="00F1459A" w:rsidP="00AE0C2A">
      <w:pPr>
        <w:pStyle w:val="TableFigureHeading"/>
        <w:rPr>
          <w:rStyle w:val="CommentReference"/>
          <w:b/>
          <w:szCs w:val="24"/>
        </w:rPr>
      </w:pPr>
      <w:bookmarkStart w:id="57" w:name="_Ref152041365"/>
      <w:r w:rsidRPr="0035358E">
        <w:t xml:space="preserve">Table </w:t>
      </w:r>
      <w:r w:rsidR="00560E31">
        <w:fldChar w:fldCharType="begin"/>
      </w:r>
      <w:r w:rsidR="00560E31">
        <w:instrText xml:space="preserve"> SEQ Table \* ARABIC </w:instrText>
      </w:r>
      <w:r w:rsidR="00560E31">
        <w:fldChar w:fldCharType="separate"/>
      </w:r>
      <w:r w:rsidR="00A46CAC">
        <w:rPr>
          <w:noProof/>
        </w:rPr>
        <w:t>9</w:t>
      </w:r>
      <w:r w:rsidR="00560E31">
        <w:rPr>
          <w:noProof/>
        </w:rPr>
        <w:fldChar w:fldCharType="end"/>
      </w:r>
      <w:bookmarkEnd w:id="57"/>
      <w:r w:rsidRPr="0035358E">
        <w:t xml:space="preserve">: </w:t>
      </w:r>
      <w:r w:rsidRPr="0035358E">
        <w:rPr>
          <w:rStyle w:val="CommentReference"/>
          <w:b/>
          <w:szCs w:val="24"/>
        </w:rPr>
        <w:t>Summary of key adverse events in the MATISSE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Summary of key adverse events in the MATISSE trial"/>
      </w:tblPr>
      <w:tblGrid>
        <w:gridCol w:w="3090"/>
        <w:gridCol w:w="2959"/>
        <w:gridCol w:w="2968"/>
      </w:tblGrid>
      <w:tr w:rsidR="00F1459A" w:rsidRPr="0035358E" w14:paraId="565C0F00" w14:textId="77777777" w:rsidTr="001275F8">
        <w:trPr>
          <w:cantSplit/>
          <w:tblHeader/>
        </w:trPr>
        <w:tc>
          <w:tcPr>
            <w:tcW w:w="1713" w:type="pct"/>
            <w:vAlign w:val="center"/>
          </w:tcPr>
          <w:p w14:paraId="56E47081" w14:textId="77777777" w:rsidR="00F1459A" w:rsidRPr="0035358E" w:rsidRDefault="00F1459A" w:rsidP="001275F8">
            <w:pPr>
              <w:pStyle w:val="In-tableHeading"/>
              <w:rPr>
                <w:lang w:val="en-AU"/>
              </w:rPr>
            </w:pPr>
            <w:r w:rsidRPr="0035358E">
              <w:rPr>
                <w:lang w:val="en-AU"/>
              </w:rPr>
              <w:t>MATISSE</w:t>
            </w:r>
          </w:p>
        </w:tc>
        <w:tc>
          <w:tcPr>
            <w:tcW w:w="1641" w:type="pct"/>
            <w:vAlign w:val="center"/>
          </w:tcPr>
          <w:p w14:paraId="14BCF7F5" w14:textId="77777777" w:rsidR="00F1459A" w:rsidRPr="0035358E" w:rsidRDefault="00F1459A" w:rsidP="001275F8">
            <w:pPr>
              <w:pStyle w:val="In-tableHeading"/>
              <w:jc w:val="center"/>
              <w:rPr>
                <w:lang w:val="en-AU"/>
              </w:rPr>
            </w:pPr>
            <w:r w:rsidRPr="0035358E">
              <w:rPr>
                <w:lang w:val="en-AU"/>
              </w:rPr>
              <w:t>RSVpreF</w:t>
            </w:r>
          </w:p>
          <w:p w14:paraId="3081257B" w14:textId="77777777" w:rsidR="00F1459A" w:rsidRPr="0035358E" w:rsidRDefault="00F1459A" w:rsidP="001275F8">
            <w:pPr>
              <w:pStyle w:val="In-tableHeading"/>
              <w:jc w:val="center"/>
              <w:rPr>
                <w:lang w:val="en-AU"/>
              </w:rPr>
            </w:pPr>
            <w:r w:rsidRPr="0035358E">
              <w:rPr>
                <w:lang w:val="en-AU"/>
              </w:rPr>
              <w:t>n with event/N (%)</w:t>
            </w:r>
          </w:p>
        </w:tc>
        <w:tc>
          <w:tcPr>
            <w:tcW w:w="1646" w:type="pct"/>
            <w:vAlign w:val="center"/>
          </w:tcPr>
          <w:p w14:paraId="6587B15A" w14:textId="77777777" w:rsidR="00F1459A" w:rsidRPr="0035358E" w:rsidRDefault="00F1459A" w:rsidP="001275F8">
            <w:pPr>
              <w:pStyle w:val="In-tableHeading"/>
              <w:jc w:val="center"/>
              <w:rPr>
                <w:lang w:val="en-AU"/>
              </w:rPr>
            </w:pPr>
            <w:r w:rsidRPr="0035358E">
              <w:rPr>
                <w:lang w:val="en-AU"/>
              </w:rPr>
              <w:t>Placebo</w:t>
            </w:r>
          </w:p>
          <w:p w14:paraId="21ABC973" w14:textId="77777777" w:rsidR="00F1459A" w:rsidRPr="0035358E" w:rsidRDefault="00F1459A" w:rsidP="001275F8">
            <w:pPr>
              <w:pStyle w:val="In-tableHeading"/>
              <w:jc w:val="center"/>
              <w:rPr>
                <w:lang w:val="en-AU"/>
              </w:rPr>
            </w:pPr>
            <w:r w:rsidRPr="0035358E">
              <w:rPr>
                <w:lang w:val="en-AU"/>
              </w:rPr>
              <w:t>n with event/N (%)</w:t>
            </w:r>
          </w:p>
        </w:tc>
      </w:tr>
      <w:tr w:rsidR="00F1459A" w:rsidRPr="0035358E" w14:paraId="510BFBE0" w14:textId="77777777" w:rsidTr="001275F8">
        <w:trPr>
          <w:cantSplit/>
        </w:trPr>
        <w:tc>
          <w:tcPr>
            <w:tcW w:w="5000" w:type="pct"/>
            <w:gridSpan w:val="3"/>
            <w:vAlign w:val="center"/>
          </w:tcPr>
          <w:p w14:paraId="24B8651E" w14:textId="77777777" w:rsidR="00F1459A" w:rsidRPr="0035358E" w:rsidRDefault="00F1459A" w:rsidP="001275F8">
            <w:pPr>
              <w:pStyle w:val="TableText0"/>
              <w:rPr>
                <w:b/>
                <w:bCs w:val="0"/>
              </w:rPr>
            </w:pPr>
            <w:r w:rsidRPr="0035358E">
              <w:rPr>
                <w:b/>
                <w:bCs w:val="0"/>
              </w:rPr>
              <w:t>Maternal participants</w:t>
            </w:r>
          </w:p>
        </w:tc>
      </w:tr>
      <w:tr w:rsidR="00F1459A" w:rsidRPr="0035358E" w14:paraId="26F7A9BC" w14:textId="77777777" w:rsidTr="001275F8">
        <w:trPr>
          <w:cantSplit/>
        </w:trPr>
        <w:tc>
          <w:tcPr>
            <w:tcW w:w="1713" w:type="pct"/>
            <w:vAlign w:val="center"/>
          </w:tcPr>
          <w:p w14:paraId="53CAA142" w14:textId="77777777" w:rsidR="00F1459A" w:rsidRPr="0035358E" w:rsidRDefault="00F1459A" w:rsidP="001275F8">
            <w:pPr>
              <w:pStyle w:val="TableText0"/>
            </w:pPr>
            <w:r w:rsidRPr="0035358E">
              <w:t>Any AE</w:t>
            </w:r>
          </w:p>
        </w:tc>
        <w:tc>
          <w:tcPr>
            <w:tcW w:w="1641" w:type="pct"/>
            <w:vAlign w:val="center"/>
          </w:tcPr>
          <w:p w14:paraId="1F99357F" w14:textId="77777777" w:rsidR="00F1459A" w:rsidRPr="0035358E" w:rsidRDefault="00F1459A" w:rsidP="001275F8">
            <w:pPr>
              <w:pStyle w:val="TableText0"/>
              <w:jc w:val="center"/>
            </w:pPr>
            <w:r w:rsidRPr="0035358E">
              <w:t>507/3682 (13.8%)</w:t>
            </w:r>
          </w:p>
        </w:tc>
        <w:tc>
          <w:tcPr>
            <w:tcW w:w="1646" w:type="pct"/>
            <w:vAlign w:val="center"/>
          </w:tcPr>
          <w:p w14:paraId="53A61EC7" w14:textId="77777777" w:rsidR="00F1459A" w:rsidRPr="0035358E" w:rsidRDefault="00F1459A" w:rsidP="001275F8">
            <w:pPr>
              <w:pStyle w:val="TableText0"/>
              <w:jc w:val="center"/>
            </w:pPr>
            <w:r w:rsidRPr="0035358E">
              <w:t>483/3675 (13.1%)</w:t>
            </w:r>
          </w:p>
        </w:tc>
      </w:tr>
      <w:tr w:rsidR="00F1459A" w:rsidRPr="0035358E" w14:paraId="39674BB1" w14:textId="77777777" w:rsidTr="001275F8">
        <w:trPr>
          <w:cantSplit/>
        </w:trPr>
        <w:tc>
          <w:tcPr>
            <w:tcW w:w="1713" w:type="pct"/>
            <w:vAlign w:val="center"/>
          </w:tcPr>
          <w:p w14:paraId="06376B4A" w14:textId="77777777" w:rsidR="00F1459A" w:rsidRPr="0035358E" w:rsidRDefault="00F1459A" w:rsidP="001275F8">
            <w:pPr>
              <w:pStyle w:val="TableText0"/>
            </w:pPr>
            <w:r w:rsidRPr="0035358E">
              <w:t>Serious AE</w:t>
            </w:r>
          </w:p>
        </w:tc>
        <w:tc>
          <w:tcPr>
            <w:tcW w:w="1641" w:type="pct"/>
            <w:vAlign w:val="center"/>
          </w:tcPr>
          <w:p w14:paraId="171BAF21" w14:textId="77777777" w:rsidR="00F1459A" w:rsidRPr="0035358E" w:rsidRDefault="00F1459A" w:rsidP="001275F8">
            <w:pPr>
              <w:pStyle w:val="TableText0"/>
              <w:jc w:val="center"/>
            </w:pPr>
            <w:r w:rsidRPr="0035358E">
              <w:t>154/3682 (4.2%)</w:t>
            </w:r>
          </w:p>
        </w:tc>
        <w:tc>
          <w:tcPr>
            <w:tcW w:w="1646" w:type="pct"/>
            <w:vAlign w:val="center"/>
          </w:tcPr>
          <w:p w14:paraId="1C1A5623" w14:textId="77777777" w:rsidR="00F1459A" w:rsidRPr="0035358E" w:rsidRDefault="00F1459A" w:rsidP="001275F8">
            <w:pPr>
              <w:pStyle w:val="TableText0"/>
              <w:jc w:val="center"/>
            </w:pPr>
            <w:r w:rsidRPr="0035358E">
              <w:t>137/3675 (3.7%)</w:t>
            </w:r>
          </w:p>
        </w:tc>
      </w:tr>
      <w:tr w:rsidR="00F1459A" w:rsidRPr="0035358E" w14:paraId="392B1E20" w14:textId="77777777" w:rsidTr="001275F8">
        <w:trPr>
          <w:cantSplit/>
        </w:trPr>
        <w:tc>
          <w:tcPr>
            <w:tcW w:w="1713" w:type="pct"/>
            <w:vAlign w:val="center"/>
          </w:tcPr>
          <w:p w14:paraId="4ACF8A02" w14:textId="77777777" w:rsidR="00F1459A" w:rsidRPr="0035358E" w:rsidRDefault="00F1459A" w:rsidP="001275F8">
            <w:pPr>
              <w:pStyle w:val="TableText0"/>
            </w:pPr>
            <w:r w:rsidRPr="0035358E">
              <w:t>Pain at injection site</w:t>
            </w:r>
          </w:p>
        </w:tc>
        <w:tc>
          <w:tcPr>
            <w:tcW w:w="1641" w:type="pct"/>
            <w:vAlign w:val="center"/>
          </w:tcPr>
          <w:p w14:paraId="16EE5E39" w14:textId="77777777" w:rsidR="00F1459A" w:rsidRPr="0035358E" w:rsidRDefault="00F1459A" w:rsidP="001275F8">
            <w:pPr>
              <w:pStyle w:val="TableText0"/>
              <w:jc w:val="center"/>
            </w:pPr>
            <w:r w:rsidRPr="0035358E">
              <w:t>1488/3663 (40.6%)</w:t>
            </w:r>
          </w:p>
        </w:tc>
        <w:tc>
          <w:tcPr>
            <w:tcW w:w="1646" w:type="pct"/>
            <w:vAlign w:val="center"/>
          </w:tcPr>
          <w:p w14:paraId="51A16EF9" w14:textId="77777777" w:rsidR="00F1459A" w:rsidRPr="0035358E" w:rsidRDefault="00F1459A" w:rsidP="001275F8">
            <w:pPr>
              <w:pStyle w:val="TableText0"/>
              <w:jc w:val="center"/>
            </w:pPr>
            <w:r w:rsidRPr="0035358E">
              <w:t>369/3639 (10.1%)</w:t>
            </w:r>
          </w:p>
        </w:tc>
      </w:tr>
      <w:tr w:rsidR="00F1459A" w:rsidRPr="0035358E" w14:paraId="35CFDB0B" w14:textId="77777777" w:rsidTr="001275F8">
        <w:trPr>
          <w:cantSplit/>
        </w:trPr>
        <w:tc>
          <w:tcPr>
            <w:tcW w:w="1713" w:type="pct"/>
            <w:vAlign w:val="center"/>
          </w:tcPr>
          <w:p w14:paraId="462F7908" w14:textId="77777777" w:rsidR="00F1459A" w:rsidRPr="0035358E" w:rsidRDefault="00F1459A" w:rsidP="001275F8">
            <w:pPr>
              <w:pStyle w:val="TableText0"/>
            </w:pPr>
            <w:r w:rsidRPr="0035358E">
              <w:t>Muscle pain</w:t>
            </w:r>
          </w:p>
        </w:tc>
        <w:tc>
          <w:tcPr>
            <w:tcW w:w="1641" w:type="pct"/>
            <w:vAlign w:val="center"/>
          </w:tcPr>
          <w:p w14:paraId="264305B8" w14:textId="77777777" w:rsidR="00F1459A" w:rsidRPr="0035358E" w:rsidRDefault="00F1459A" w:rsidP="001275F8">
            <w:pPr>
              <w:pStyle w:val="TableText0"/>
              <w:jc w:val="center"/>
            </w:pPr>
            <w:r w:rsidRPr="0035358E">
              <w:t>972/3663 (27.5%)</w:t>
            </w:r>
          </w:p>
        </w:tc>
        <w:tc>
          <w:tcPr>
            <w:tcW w:w="1646" w:type="pct"/>
            <w:vAlign w:val="center"/>
          </w:tcPr>
          <w:p w14:paraId="743F2734" w14:textId="77777777" w:rsidR="00F1459A" w:rsidRPr="0035358E" w:rsidRDefault="00F1459A" w:rsidP="001275F8">
            <w:pPr>
              <w:pStyle w:val="TableText0"/>
              <w:jc w:val="center"/>
            </w:pPr>
            <w:r w:rsidRPr="0035358E">
              <w:t>623/3639 (17.1%)</w:t>
            </w:r>
          </w:p>
        </w:tc>
      </w:tr>
      <w:tr w:rsidR="00F1459A" w:rsidRPr="0035358E" w14:paraId="316EEAEE" w14:textId="77777777" w:rsidTr="001275F8">
        <w:trPr>
          <w:cantSplit/>
        </w:trPr>
        <w:tc>
          <w:tcPr>
            <w:tcW w:w="5000" w:type="pct"/>
            <w:gridSpan w:val="3"/>
            <w:vAlign w:val="center"/>
          </w:tcPr>
          <w:p w14:paraId="0213173B" w14:textId="77777777" w:rsidR="00F1459A" w:rsidRPr="0035358E" w:rsidRDefault="00F1459A" w:rsidP="001275F8">
            <w:pPr>
              <w:pStyle w:val="TableText0"/>
              <w:rPr>
                <w:b/>
                <w:bCs w:val="0"/>
              </w:rPr>
            </w:pPr>
            <w:r w:rsidRPr="0035358E">
              <w:rPr>
                <w:b/>
                <w:bCs w:val="0"/>
              </w:rPr>
              <w:t>Infant participants</w:t>
            </w:r>
          </w:p>
        </w:tc>
      </w:tr>
      <w:tr w:rsidR="00F1459A" w:rsidRPr="0035358E" w14:paraId="1E881B3B" w14:textId="77777777" w:rsidTr="001275F8">
        <w:trPr>
          <w:cantSplit/>
        </w:trPr>
        <w:tc>
          <w:tcPr>
            <w:tcW w:w="1713" w:type="pct"/>
            <w:vAlign w:val="center"/>
          </w:tcPr>
          <w:p w14:paraId="073784A8" w14:textId="77777777" w:rsidR="00F1459A" w:rsidRPr="0035358E" w:rsidRDefault="00F1459A" w:rsidP="001275F8">
            <w:pPr>
              <w:pStyle w:val="TableText0"/>
            </w:pPr>
            <w:r w:rsidRPr="0035358E">
              <w:t>Any AE</w:t>
            </w:r>
          </w:p>
        </w:tc>
        <w:tc>
          <w:tcPr>
            <w:tcW w:w="1641" w:type="pct"/>
            <w:vAlign w:val="center"/>
          </w:tcPr>
          <w:p w14:paraId="77E8E37D" w14:textId="77777777" w:rsidR="00F1459A" w:rsidRPr="0035358E" w:rsidRDefault="00F1459A" w:rsidP="001275F8">
            <w:pPr>
              <w:pStyle w:val="TableText0"/>
              <w:jc w:val="center"/>
            </w:pPr>
            <w:r w:rsidRPr="0035358E">
              <w:t>1324/3568 (37.1%)</w:t>
            </w:r>
          </w:p>
        </w:tc>
        <w:tc>
          <w:tcPr>
            <w:tcW w:w="1646" w:type="pct"/>
            <w:vAlign w:val="center"/>
          </w:tcPr>
          <w:p w14:paraId="3C6C3709" w14:textId="77777777" w:rsidR="00F1459A" w:rsidRPr="0035358E" w:rsidRDefault="00F1459A" w:rsidP="001275F8">
            <w:pPr>
              <w:pStyle w:val="TableText0"/>
              <w:jc w:val="center"/>
            </w:pPr>
            <w:r w:rsidRPr="0035358E">
              <w:t>1229/3558 (34.5%)</w:t>
            </w:r>
          </w:p>
        </w:tc>
      </w:tr>
      <w:tr w:rsidR="00F1459A" w:rsidRPr="0035358E" w14:paraId="433B3692" w14:textId="77777777" w:rsidTr="001275F8">
        <w:trPr>
          <w:cantSplit/>
        </w:trPr>
        <w:tc>
          <w:tcPr>
            <w:tcW w:w="1713" w:type="pct"/>
            <w:vAlign w:val="center"/>
          </w:tcPr>
          <w:p w14:paraId="66895A6F" w14:textId="77777777" w:rsidR="00F1459A" w:rsidRPr="0035358E" w:rsidRDefault="00F1459A" w:rsidP="001275F8">
            <w:pPr>
              <w:pStyle w:val="TableText0"/>
            </w:pPr>
            <w:r w:rsidRPr="0035358E">
              <w:t>Serious AE</w:t>
            </w:r>
          </w:p>
        </w:tc>
        <w:tc>
          <w:tcPr>
            <w:tcW w:w="1641" w:type="pct"/>
            <w:vAlign w:val="center"/>
          </w:tcPr>
          <w:p w14:paraId="3E5F3069" w14:textId="77777777" w:rsidR="00F1459A" w:rsidRPr="0035358E" w:rsidRDefault="00F1459A" w:rsidP="001275F8">
            <w:pPr>
              <w:pStyle w:val="TableText0"/>
              <w:jc w:val="center"/>
            </w:pPr>
            <w:r w:rsidRPr="0035358E">
              <w:t>553/3568 (15.5%)</w:t>
            </w:r>
          </w:p>
        </w:tc>
        <w:tc>
          <w:tcPr>
            <w:tcW w:w="1646" w:type="pct"/>
            <w:vAlign w:val="center"/>
          </w:tcPr>
          <w:p w14:paraId="64D10F0C" w14:textId="77777777" w:rsidR="00F1459A" w:rsidRPr="0035358E" w:rsidRDefault="00F1459A" w:rsidP="001275F8">
            <w:pPr>
              <w:pStyle w:val="TableText0"/>
              <w:jc w:val="center"/>
            </w:pPr>
            <w:r w:rsidRPr="0035358E">
              <w:t>541/3558 (15.2%)</w:t>
            </w:r>
          </w:p>
        </w:tc>
      </w:tr>
      <w:tr w:rsidR="00F1459A" w:rsidRPr="0035358E" w14:paraId="78E12EFA" w14:textId="77777777" w:rsidTr="001275F8">
        <w:trPr>
          <w:cantSplit/>
        </w:trPr>
        <w:tc>
          <w:tcPr>
            <w:tcW w:w="1713" w:type="pct"/>
            <w:vAlign w:val="center"/>
          </w:tcPr>
          <w:p w14:paraId="51A95881" w14:textId="77777777" w:rsidR="00F1459A" w:rsidRPr="0035358E" w:rsidRDefault="00F1459A" w:rsidP="001275F8">
            <w:pPr>
              <w:pStyle w:val="TableText0"/>
            </w:pPr>
            <w:r w:rsidRPr="0035358E">
              <w:t>Jaundice neonatal</w:t>
            </w:r>
          </w:p>
        </w:tc>
        <w:tc>
          <w:tcPr>
            <w:tcW w:w="1641" w:type="pct"/>
            <w:vAlign w:val="center"/>
          </w:tcPr>
          <w:p w14:paraId="68B5220E" w14:textId="77777777" w:rsidR="00F1459A" w:rsidRPr="0035358E" w:rsidRDefault="00F1459A" w:rsidP="001275F8">
            <w:pPr>
              <w:pStyle w:val="TableText0"/>
              <w:jc w:val="center"/>
            </w:pPr>
            <w:r w:rsidRPr="0035358E">
              <w:t>257/3568 (7.2%)</w:t>
            </w:r>
          </w:p>
        </w:tc>
        <w:tc>
          <w:tcPr>
            <w:tcW w:w="1646" w:type="pct"/>
            <w:vAlign w:val="center"/>
          </w:tcPr>
          <w:p w14:paraId="07E86116" w14:textId="77777777" w:rsidR="00F1459A" w:rsidRPr="0035358E" w:rsidRDefault="00F1459A" w:rsidP="001275F8">
            <w:pPr>
              <w:pStyle w:val="TableText0"/>
              <w:jc w:val="center"/>
            </w:pPr>
            <w:r w:rsidRPr="0035358E">
              <w:t>241/3558 (6.8%)</w:t>
            </w:r>
          </w:p>
        </w:tc>
      </w:tr>
      <w:tr w:rsidR="00F1459A" w:rsidRPr="0035358E" w14:paraId="2E0339FA" w14:textId="77777777" w:rsidTr="001275F8">
        <w:trPr>
          <w:cantSplit/>
        </w:trPr>
        <w:tc>
          <w:tcPr>
            <w:tcW w:w="1713" w:type="pct"/>
            <w:vAlign w:val="center"/>
          </w:tcPr>
          <w:p w14:paraId="71D4308B" w14:textId="77777777" w:rsidR="00F1459A" w:rsidRPr="0035358E" w:rsidRDefault="00F1459A" w:rsidP="001275F8">
            <w:pPr>
              <w:pStyle w:val="TableText0"/>
            </w:pPr>
            <w:r w:rsidRPr="0035358E">
              <w:t>Premature baby</w:t>
            </w:r>
          </w:p>
        </w:tc>
        <w:tc>
          <w:tcPr>
            <w:tcW w:w="1641" w:type="pct"/>
            <w:vAlign w:val="center"/>
          </w:tcPr>
          <w:p w14:paraId="74572AEC" w14:textId="77777777" w:rsidR="00F1459A" w:rsidRPr="0035358E" w:rsidRDefault="00F1459A" w:rsidP="001275F8">
            <w:pPr>
              <w:pStyle w:val="TableText0"/>
              <w:jc w:val="center"/>
            </w:pPr>
            <w:r w:rsidRPr="0035358E">
              <w:t>202/3568 (5.7%)</w:t>
            </w:r>
          </w:p>
        </w:tc>
        <w:tc>
          <w:tcPr>
            <w:tcW w:w="1646" w:type="pct"/>
            <w:vAlign w:val="center"/>
          </w:tcPr>
          <w:p w14:paraId="4F168543" w14:textId="77777777" w:rsidR="00F1459A" w:rsidRPr="0035358E" w:rsidRDefault="00F1459A" w:rsidP="001275F8">
            <w:pPr>
              <w:pStyle w:val="TableText0"/>
              <w:jc w:val="center"/>
            </w:pPr>
            <w:r w:rsidRPr="0035358E">
              <w:t>169/3558 (4.7%)</w:t>
            </w:r>
          </w:p>
        </w:tc>
      </w:tr>
    </w:tbl>
    <w:p w14:paraId="65CCC9B7" w14:textId="77777777" w:rsidR="00DB24CC" w:rsidRDefault="00F1459A" w:rsidP="00F1459A">
      <w:pPr>
        <w:pStyle w:val="FooterTableFigure"/>
      </w:pPr>
      <w:r w:rsidRPr="0035358E">
        <w:t xml:space="preserve">Source: Table 18, pp69-70, Table 19 pp71-72, </w:t>
      </w:r>
      <w:r w:rsidRPr="0035358E">
        <w:rPr>
          <w:szCs w:val="18"/>
        </w:rPr>
        <w:t>Table 14.72, pp400-405 and Table 14.90, pp809-839</w:t>
      </w:r>
      <w:r w:rsidRPr="0035358E">
        <w:t xml:space="preserve"> of the MATISSE CSR</w:t>
      </w:r>
      <w:r w:rsidR="00C93F78" w:rsidRPr="0035358E">
        <w:t>.</w:t>
      </w:r>
    </w:p>
    <w:p w14:paraId="0DC7427B" w14:textId="28AFD3EB" w:rsidR="00F1459A" w:rsidRPr="00AC6CE4" w:rsidRDefault="00AC6CE4" w:rsidP="00F1459A">
      <w:pPr>
        <w:pStyle w:val="FooterTableFigure"/>
        <w:rPr>
          <w:rFonts w:eastAsia="Calibri"/>
        </w:rPr>
      </w:pPr>
      <w:r>
        <w:rPr>
          <w:rFonts w:eastAsia="Calibri"/>
        </w:rPr>
        <w:t xml:space="preserve">Abbreviations: </w:t>
      </w:r>
      <w:r w:rsidR="00F1459A" w:rsidRPr="0035358E">
        <w:rPr>
          <w:rFonts w:eastAsia="Calibri"/>
        </w:rPr>
        <w:t xml:space="preserve">PBO = placebo; RSVpreF = </w:t>
      </w:r>
      <w:r w:rsidR="00F1459A" w:rsidRPr="0035358E">
        <w:rPr>
          <w:szCs w:val="18"/>
        </w:rPr>
        <w:t>respiratory syncytial virus pre-fusion F protein vaccine</w:t>
      </w:r>
      <w:r>
        <w:rPr>
          <w:szCs w:val="18"/>
        </w:rPr>
        <w:t>;</w:t>
      </w:r>
      <w:r w:rsidRPr="00AC6CE4">
        <w:rPr>
          <w:rFonts w:eastAsia="Calibri"/>
        </w:rPr>
        <w:t xml:space="preserve"> </w:t>
      </w:r>
      <w:r w:rsidRPr="0035358E">
        <w:rPr>
          <w:rFonts w:eastAsia="Calibri"/>
        </w:rPr>
        <w:t>n = number of participants reporting data; N = total participants in group</w:t>
      </w:r>
    </w:p>
    <w:p w14:paraId="304E12DF" w14:textId="5BF64476" w:rsidR="00F1459A" w:rsidRPr="0035358E" w:rsidRDefault="00F1459A" w:rsidP="00DD4B2C">
      <w:pPr>
        <w:pStyle w:val="3-BodyText"/>
      </w:pPr>
      <w:r w:rsidRPr="0035358E">
        <w:t xml:space="preserve">In maternal participants, </w:t>
      </w:r>
      <w:bookmarkStart w:id="58" w:name="_Hlk152047375"/>
      <w:r w:rsidRPr="0035358E">
        <w:t>local reactions were more frequently reported in RSVpreF recipients (42.5%) compared with placebo recipients (10.4%)</w:t>
      </w:r>
      <w:r w:rsidR="00C93F78" w:rsidRPr="0035358E">
        <w:t xml:space="preserve">. </w:t>
      </w:r>
      <w:r w:rsidRPr="0035358E">
        <w:t>The most common local reaction was pain at the injection site, reported in 1488 (40.6%) participants in the RSVpreF group and 369 (10.1%) in the placebo group.</w:t>
      </w:r>
      <w:bookmarkEnd w:id="58"/>
      <w:r w:rsidRPr="0035358E">
        <w:t xml:space="preserve"> Severe local reactions were rarely reported (10 [0.3%] in RSVpreF recipients [severe redness (&gt;10cm), n=5; severe swelling (&gt;10cm), n=3; severe pain (prevents daily activity), n=4]; none in placebo recipients).</w:t>
      </w:r>
    </w:p>
    <w:p w14:paraId="3E36B29A" w14:textId="77777777" w:rsidR="00F1459A" w:rsidRPr="0035358E" w:rsidRDefault="00F1459A" w:rsidP="00DD4B2C">
      <w:pPr>
        <w:pStyle w:val="3-BodyText"/>
      </w:pPr>
      <w:r w:rsidRPr="0035358E">
        <w:t xml:space="preserve">Systemic reactions within 7 days were reported at a similar rate for any systemic adverse event (AE) in RSVpreF (62.2%) and placebo recipients (59.2%); similarly, for severe systemic AEs (2.3% vs 2.3%). Fatigue, headache, nausea, and muscle pain were </w:t>
      </w:r>
      <w:r w:rsidRPr="0035358E">
        <w:lastRenderedPageBreak/>
        <w:t>most frequently reported for those injected with RSVpreF, with the difference in muscle pain compared to placebo (26.5% vs 17.1%) being most notable. There were no significant differences in the proportion of recipients reporting moderate to severe adverse events.</w:t>
      </w:r>
    </w:p>
    <w:p w14:paraId="536EA39F" w14:textId="4DD035D3" w:rsidR="00F1459A" w:rsidRPr="0035358E" w:rsidRDefault="00F1459A" w:rsidP="00DD4B2C">
      <w:pPr>
        <w:pStyle w:val="3-BodyText"/>
      </w:pPr>
      <w:r w:rsidRPr="0035358E">
        <w:t>The proportions of infant participants with any AE reported from birth to 24 months of age were 41.3% in the RSVpreF group and 39.4% in the placebo group. The most frequently reported AEs were in the system organ classes of Pregnancy, puerperium and perinatal conditions (16.8% versus 15.6%), Congenital, familial and genetic disorders (8.0% versus 8.3%), and Respiratory, thoracic and mediastinal disorders (7.7% versus 7.3%). By preferred term, the most frequently reported AE in the RSVpreF group from birth to 24 months of age was neonatal jaundice (7.2%) which was also reported in 6.8% of the placebo group.</w:t>
      </w:r>
    </w:p>
    <w:p w14:paraId="5687F742" w14:textId="77777777" w:rsidR="00F1459A" w:rsidRPr="0035358E" w:rsidRDefault="00F1459A" w:rsidP="00DD4B2C">
      <w:pPr>
        <w:pStyle w:val="3-BodyText"/>
      </w:pPr>
      <w:r w:rsidRPr="0035358E">
        <w:t>Overall, the proportions of infants with any serious adverse events (SAEs) reported from birth to 24 months of age were the same in the RSVpreF (17.5%) and placebo (17.5%) groups. For both groups, most SAEs occurred from birth to 1 month of age (≤ 15.5%). There were no SAEs in infant participants that were considered related to maternal vaccination by the investigators.</w:t>
      </w:r>
    </w:p>
    <w:p w14:paraId="3925796A" w14:textId="77777777" w:rsidR="00F1459A" w:rsidRPr="0035358E" w:rsidRDefault="00F1459A" w:rsidP="00DD4B2C">
      <w:pPr>
        <w:pStyle w:val="3-BodyText"/>
      </w:pPr>
      <w:r w:rsidRPr="0035358E">
        <w:t>Congenital anomalies reported as SAEs occurred at a similar frequency in the RSVpreF and placebo groups (5.0% and 6.2%).</w:t>
      </w:r>
    </w:p>
    <w:p w14:paraId="6DAFBA90" w14:textId="77777777" w:rsidR="00F1459A" w:rsidRPr="0035358E" w:rsidRDefault="00F1459A" w:rsidP="00DD4B2C">
      <w:pPr>
        <w:pStyle w:val="3-BodyText"/>
      </w:pPr>
      <w:r w:rsidRPr="0035358E">
        <w:t>There were 17 infant deaths reported from birth to 24 months of age in the study: 5 (0.1%) in the RSVpreF group and 12 (0.3%) in the placebo group. In the RSVpreF group, each death event term was reported for one infant. No infant deaths were assessed by the investigator as related to maternal vaccination. One death in the placebo group, which occurred from 1 month to 6 months of age, was adjudicated by the EAC as being caused by “acute respiratory illness due to RSV”.</w:t>
      </w:r>
    </w:p>
    <w:p w14:paraId="08E8937B" w14:textId="77777777" w:rsidR="00DB24CC" w:rsidRDefault="00F1459A" w:rsidP="00DD4B2C">
      <w:pPr>
        <w:pStyle w:val="3-BodyText"/>
      </w:pPr>
      <w:r w:rsidRPr="0035358E">
        <w:t xml:space="preserve">AEs of special interest included premature baby (RSVpreF = 5.7% </w:t>
      </w:r>
      <w:r w:rsidRPr="0035358E">
        <w:rPr>
          <w:iCs/>
        </w:rPr>
        <w:t xml:space="preserve">vs. </w:t>
      </w:r>
      <w:r w:rsidRPr="0035358E">
        <w:t xml:space="preserve">placebo = 4.7%), low birthweight (RSVpreF = 5.1% </w:t>
      </w:r>
      <w:r w:rsidRPr="0035358E">
        <w:rPr>
          <w:iCs/>
        </w:rPr>
        <w:t>vs.</w:t>
      </w:r>
      <w:r w:rsidRPr="0035358E">
        <w:t xml:space="preserve"> placebo</w:t>
      </w:r>
      <w:r w:rsidR="00914A93" w:rsidRPr="0035358E">
        <w:t xml:space="preserve"> </w:t>
      </w:r>
      <w:r w:rsidRPr="0035358E">
        <w:t>=</w:t>
      </w:r>
      <w:r w:rsidR="00914A93" w:rsidRPr="0035358E">
        <w:t xml:space="preserve"> </w:t>
      </w:r>
      <w:r w:rsidRPr="0035358E">
        <w:t xml:space="preserve">4.3%), and speech disorder development (RSVpreF = 0.1% </w:t>
      </w:r>
      <w:r w:rsidRPr="0035358E">
        <w:rPr>
          <w:iCs/>
        </w:rPr>
        <w:t>vs</w:t>
      </w:r>
      <w:r w:rsidR="00C93F78" w:rsidRPr="0035358E">
        <w:rPr>
          <w:iCs/>
        </w:rPr>
        <w:t xml:space="preserve">. </w:t>
      </w:r>
      <w:r w:rsidRPr="0035358E">
        <w:t>placebo = &lt;0.1%).</w:t>
      </w:r>
      <w:r w:rsidR="006A7A9D" w:rsidRPr="0035358E">
        <w:t xml:space="preserve"> The RSVpreF arm reported a higher rate of premature births</w:t>
      </w:r>
      <w:r w:rsidR="00C332AF" w:rsidRPr="0035358E">
        <w:t xml:space="preserve"> </w:t>
      </w:r>
      <w:r w:rsidR="006A7A9D" w:rsidRPr="0035358E">
        <w:t xml:space="preserve">and low birth weight. </w:t>
      </w:r>
      <w:r w:rsidR="00263BB3" w:rsidRPr="0035358E">
        <w:t>T</w:t>
      </w:r>
      <w:r w:rsidR="006A7A9D" w:rsidRPr="0035358E">
        <w:t>he</w:t>
      </w:r>
      <w:r w:rsidR="00C332AF" w:rsidRPr="0035358E">
        <w:t xml:space="preserve"> trial was not statistically powered to detect any differences between the intervention arms.</w:t>
      </w:r>
    </w:p>
    <w:p w14:paraId="75A4AF26" w14:textId="77777777" w:rsidR="00DB24CC" w:rsidRDefault="007C5DDC" w:rsidP="00DD4B2C">
      <w:pPr>
        <w:pStyle w:val="3-BodyText"/>
      </w:pPr>
      <w:r w:rsidRPr="0035358E">
        <w:t xml:space="preserve">The potential safety signal of premature birth has been noted by the TGA and ATAGI. </w:t>
      </w:r>
      <w:r w:rsidR="0020095A" w:rsidRPr="0035358E">
        <w:t xml:space="preserve">ATAGI stated “when focusing on adverse events of special interest, no statistically significant safety signal has been identified. The numerically higher rate of premature deliveries and low birth weight babies observed in the MATISSE </w:t>
      </w:r>
      <w:r w:rsidR="006012AB" w:rsidRPr="0035358E">
        <w:t>trial</w:t>
      </w:r>
      <w:r w:rsidR="0020095A" w:rsidRPr="0035358E">
        <w:t xml:space="preserve"> is not associated with an increased number of </w:t>
      </w:r>
      <w:r w:rsidR="00E60D73" w:rsidRPr="0035358E">
        <w:t>foetal</w:t>
      </w:r>
      <w:r w:rsidR="0020095A" w:rsidRPr="0035358E">
        <w:t xml:space="preserve"> or infant deaths with a trend towards lower serious adverse events of infant deaths or congenital anomalies in the vaccine group.” (ATAGI Advice to the PBAC). </w:t>
      </w:r>
      <w:r w:rsidR="00263BB3" w:rsidRPr="0035358E">
        <w:t>T</w:t>
      </w:r>
      <w:r w:rsidR="006A7A9D" w:rsidRPr="0035358E">
        <w:t>he TGA</w:t>
      </w:r>
      <w:r w:rsidR="008220D3" w:rsidRPr="0035358E">
        <w:t xml:space="preserve"> </w:t>
      </w:r>
      <w:r w:rsidR="008433E5" w:rsidRPr="0035358E">
        <w:t xml:space="preserve">noted the imbalance and stated that it may be due to the timing of the vaccination with respect to the gestational age (Abrysvo TGA Delegate’s Overview). Additionally, the sponsor argued to the TGA that results stratified by high- and low-income countries indicate that the imbalance was not </w:t>
      </w:r>
      <w:r w:rsidR="008433E5" w:rsidRPr="0035358E">
        <w:lastRenderedPageBreak/>
        <w:t>observed in high income countries implying that it may be related to antenatal care (Abrysvo TGA Delegate’s Overview).</w:t>
      </w:r>
    </w:p>
    <w:p w14:paraId="4933DFF2" w14:textId="5D6E905A" w:rsidR="00EE56B4" w:rsidRPr="0035358E" w:rsidRDefault="00EE56B4" w:rsidP="00DD4B2C">
      <w:pPr>
        <w:pStyle w:val="3-BodyText"/>
      </w:pPr>
      <w:r w:rsidRPr="0035358E">
        <w:t xml:space="preserve">The pre-PBAC response reported that RSVpreF </w:t>
      </w:r>
      <w:r w:rsidR="00F455DA" w:rsidRPr="0035358E">
        <w:t>was</w:t>
      </w:r>
      <w:r w:rsidRPr="0035358E">
        <w:t xml:space="preserve"> safe and well tolerated by maternal participants, and no safety signals were detected in infant participants through 24 months after birth</w:t>
      </w:r>
      <w:r w:rsidR="00F455DA" w:rsidRPr="0035358E">
        <w:t>, based on the final analysis of the MATISSE trial</w:t>
      </w:r>
      <w:r w:rsidR="00C93F78" w:rsidRPr="0035358E">
        <w:t xml:space="preserve">. </w:t>
      </w:r>
      <w:r w:rsidR="00F455DA" w:rsidRPr="0035358E">
        <w:t>It was reported that AE incidences were similar in the vaccine and placebo groups for mothers and infants</w:t>
      </w:r>
      <w:r w:rsidR="00C93F78" w:rsidRPr="0035358E">
        <w:t xml:space="preserve">. </w:t>
      </w:r>
      <w:r w:rsidR="00F455DA" w:rsidRPr="0035358E">
        <w:t>It was stated that a</w:t>
      </w:r>
      <w:r w:rsidRPr="0035358E">
        <w:t>n additional 9 preterm births</w:t>
      </w:r>
      <w:r w:rsidR="00F455DA" w:rsidRPr="0035358E">
        <w:t xml:space="preserve"> (&lt;37 weeks</w:t>
      </w:r>
      <w:r w:rsidR="00093DB0" w:rsidRPr="0035358E">
        <w:t>,</w:t>
      </w:r>
      <w:r w:rsidR="00F455DA" w:rsidRPr="0035358E">
        <w:t xml:space="preserve"> including 6</w:t>
      </w:r>
      <w:r w:rsidRPr="0035358E">
        <w:t xml:space="preserve"> RSVpreF</w:t>
      </w:r>
      <w:r w:rsidR="00F455DA" w:rsidRPr="0035358E">
        <w:t xml:space="preserve"> and</w:t>
      </w:r>
      <w:r w:rsidRPr="0035358E">
        <w:t xml:space="preserve"> 3 placebo) were included in the </w:t>
      </w:r>
      <w:r w:rsidR="00F455DA" w:rsidRPr="0035358E">
        <w:t>final analysis and the relative risk of preterm birth</w:t>
      </w:r>
      <w:r w:rsidR="00093DB0" w:rsidRPr="0035358E">
        <w:t xml:space="preserve"> was</w:t>
      </w:r>
      <w:r w:rsidR="00F455DA" w:rsidRPr="0035358E">
        <w:t xml:space="preserve"> 1.2 (</w:t>
      </w:r>
      <w:r w:rsidR="00093DB0" w:rsidRPr="0035358E">
        <w:t xml:space="preserve">95% CI: </w:t>
      </w:r>
      <w:r w:rsidR="00F455DA" w:rsidRPr="0035358E">
        <w:t>0.98, 1.46)</w:t>
      </w:r>
      <w:r w:rsidR="00C93F78" w:rsidRPr="0035358E">
        <w:t xml:space="preserve">. </w:t>
      </w:r>
      <w:r w:rsidR="00093DB0" w:rsidRPr="0035358E">
        <w:rPr>
          <w:szCs w:val="18"/>
        </w:rPr>
        <w:t>Munjal et al., 2024 (provided with pre-PBAC response) reported that m</w:t>
      </w:r>
      <w:r w:rsidRPr="0035358E">
        <w:t>aternal AEs of hypertensive conditions</w:t>
      </w:r>
      <w:r w:rsidR="00093DB0" w:rsidRPr="0035358E">
        <w:t xml:space="preserve"> </w:t>
      </w:r>
      <w:r w:rsidRPr="0035358E">
        <w:t>(</w:t>
      </w:r>
      <w:r w:rsidR="00093DB0" w:rsidRPr="0035358E">
        <w:t>including</w:t>
      </w:r>
      <w:r w:rsidRPr="0035358E">
        <w:t xml:space="preserve"> </w:t>
      </w:r>
      <w:r w:rsidR="00093DB0" w:rsidRPr="0035358E">
        <w:t>g</w:t>
      </w:r>
      <w:r w:rsidRPr="0035358E">
        <w:t xml:space="preserve">estational </w:t>
      </w:r>
      <w:r w:rsidR="00093DB0" w:rsidRPr="0035358E">
        <w:t>h</w:t>
      </w:r>
      <w:r w:rsidRPr="0035358E">
        <w:t>ypertension,</w:t>
      </w:r>
      <w:r w:rsidR="00093DB0" w:rsidRPr="0035358E">
        <w:t xml:space="preserve"> p</w:t>
      </w:r>
      <w:r w:rsidRPr="0035358E">
        <w:t xml:space="preserve">reeclampsia, </w:t>
      </w:r>
      <w:r w:rsidR="00093DB0" w:rsidRPr="0035358E">
        <w:t>e</w:t>
      </w:r>
      <w:r w:rsidRPr="0035358E">
        <w:t>clampsia and HELLP syndrome) were reported more commonly in those with preterm birth and were more commonly seen in the RSVpreF group</w:t>
      </w:r>
      <w:r w:rsidR="00093DB0" w:rsidRPr="0035358E">
        <w:t>.</w:t>
      </w:r>
    </w:p>
    <w:p w14:paraId="2B31A327" w14:textId="77777777" w:rsidR="00F1459A" w:rsidRPr="0035358E" w:rsidRDefault="00F1459A" w:rsidP="00F1459A">
      <w:pPr>
        <w:pStyle w:val="4-SubsectionHeading"/>
      </w:pPr>
      <w:bookmarkStart w:id="59" w:name="_Toc22897643"/>
      <w:bookmarkStart w:id="60" w:name="_Toc156993553"/>
      <w:r w:rsidRPr="0035358E">
        <w:t>Benefits/harms</w:t>
      </w:r>
      <w:bookmarkEnd w:id="59"/>
      <w:bookmarkEnd w:id="60"/>
    </w:p>
    <w:p w14:paraId="2A4CCBA3" w14:textId="4CF1B38A" w:rsidR="00F1459A" w:rsidRPr="0035358E" w:rsidRDefault="00F1459A" w:rsidP="00DD4B2C">
      <w:pPr>
        <w:pStyle w:val="3-BodyText"/>
        <w:rPr>
          <w:rStyle w:val="CommentReference"/>
          <w:color w:val="0066FF"/>
        </w:rPr>
      </w:pPr>
      <w:r w:rsidRPr="0035358E">
        <w:t xml:space="preserve">A summary of the comparative benefits and harms for RSVpreF versus placebo is presented in </w:t>
      </w:r>
      <w:r w:rsidRPr="0035358E">
        <w:fldChar w:fldCharType="begin"/>
      </w:r>
      <w:r w:rsidRPr="0035358E">
        <w:instrText xml:space="preserve"> REF _Ref104805037 \h </w:instrText>
      </w:r>
      <w:r w:rsidRPr="0035358E">
        <w:fldChar w:fldCharType="separate"/>
      </w:r>
      <w:r w:rsidR="00A46CAC" w:rsidRPr="0035358E">
        <w:t xml:space="preserve">Table </w:t>
      </w:r>
      <w:r w:rsidR="00A46CAC">
        <w:rPr>
          <w:noProof/>
        </w:rPr>
        <w:t>10</w:t>
      </w:r>
      <w:r w:rsidRPr="0035358E">
        <w:fldChar w:fldCharType="end"/>
      </w:r>
      <w:r w:rsidRPr="0035358E">
        <w:t>.</w:t>
      </w:r>
    </w:p>
    <w:p w14:paraId="5F2CF618" w14:textId="1811A117" w:rsidR="00F1459A" w:rsidRPr="0035358E" w:rsidRDefault="00F1459A" w:rsidP="005B5E66">
      <w:pPr>
        <w:pStyle w:val="Caption"/>
        <w:rPr>
          <w:rStyle w:val="CommentReference"/>
          <w:b/>
          <w:szCs w:val="24"/>
        </w:rPr>
      </w:pPr>
      <w:bookmarkStart w:id="61" w:name="_Ref104805037"/>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10</w:t>
      </w:r>
      <w:r w:rsidR="00560E31">
        <w:rPr>
          <w:noProof/>
        </w:rPr>
        <w:fldChar w:fldCharType="end"/>
      </w:r>
      <w:bookmarkEnd w:id="61"/>
      <w:r w:rsidRPr="0035358E">
        <w:t xml:space="preserve">: </w:t>
      </w:r>
      <w:r w:rsidRPr="0035358E">
        <w:rPr>
          <w:rStyle w:val="CommentReference"/>
          <w:b/>
          <w:szCs w:val="24"/>
        </w:rPr>
        <w:t>Summary of comparative benefits and harms for RSVpreF and placebo</w:t>
      </w:r>
      <w:r w:rsidR="00B75C34" w:rsidRPr="0035358E">
        <w:rPr>
          <w:rStyle w:val="CommentReference"/>
          <w:b/>
          <w:szCs w:val="24"/>
        </w:rPr>
        <w:t xml:space="preserve"> (primary analysis)</w:t>
      </w:r>
    </w:p>
    <w:tbl>
      <w:tblPr>
        <w:tblStyle w:val="TableGrid"/>
        <w:tblW w:w="5000" w:type="pct"/>
        <w:tblLayout w:type="fixed"/>
        <w:tblCellMar>
          <w:left w:w="28" w:type="dxa"/>
          <w:right w:w="28" w:type="dxa"/>
        </w:tblCellMar>
        <w:tblLook w:val="04A0" w:firstRow="1" w:lastRow="0" w:firstColumn="1" w:lastColumn="0" w:noHBand="0" w:noVBand="1"/>
        <w:tblCaption w:val="Table 10: Summary of comparative benefits and harms for RSVpreF and placebo (primary analysis)"/>
      </w:tblPr>
      <w:tblGrid>
        <w:gridCol w:w="2464"/>
        <w:gridCol w:w="1446"/>
        <w:gridCol w:w="1515"/>
        <w:gridCol w:w="2007"/>
        <w:gridCol w:w="1585"/>
      </w:tblGrid>
      <w:tr w:rsidR="00F1459A" w:rsidRPr="0035358E" w14:paraId="57828927" w14:textId="77777777" w:rsidTr="001275F8">
        <w:trPr>
          <w:trHeight w:val="20"/>
        </w:trPr>
        <w:tc>
          <w:tcPr>
            <w:tcW w:w="5000" w:type="pct"/>
            <w:gridSpan w:val="5"/>
            <w:shd w:val="clear" w:color="auto" w:fill="auto"/>
          </w:tcPr>
          <w:p w14:paraId="5AE9D44E" w14:textId="77777777" w:rsidR="00F1459A" w:rsidRPr="0035358E" w:rsidRDefault="00F1459A" w:rsidP="005B5E66">
            <w:pPr>
              <w:pStyle w:val="In-tableHeading"/>
              <w:rPr>
                <w:lang w:val="en-AU"/>
              </w:rPr>
            </w:pPr>
            <w:r w:rsidRPr="0035358E">
              <w:rPr>
                <w:lang w:val="en-AU"/>
              </w:rPr>
              <w:t>RSV-positive MA-LRTI</w:t>
            </w:r>
          </w:p>
        </w:tc>
      </w:tr>
      <w:tr w:rsidR="00F1459A" w:rsidRPr="0035358E" w14:paraId="4E0A305E" w14:textId="77777777" w:rsidTr="001275F8">
        <w:trPr>
          <w:trHeight w:val="20"/>
        </w:trPr>
        <w:tc>
          <w:tcPr>
            <w:tcW w:w="1366" w:type="pct"/>
            <w:tcBorders>
              <w:bottom w:val="single" w:sz="4" w:space="0" w:color="auto"/>
            </w:tcBorders>
            <w:shd w:val="clear" w:color="auto" w:fill="auto"/>
          </w:tcPr>
          <w:p w14:paraId="45D48EAF" w14:textId="77777777" w:rsidR="00F1459A" w:rsidRPr="0035358E" w:rsidRDefault="00F1459A" w:rsidP="005B5E66">
            <w:pPr>
              <w:pStyle w:val="In-tableHeading"/>
              <w:rPr>
                <w:lang w:val="en-AU"/>
              </w:rPr>
            </w:pPr>
            <w:r w:rsidRPr="0035358E">
              <w:rPr>
                <w:lang w:val="en-AU"/>
              </w:rPr>
              <w:t>Event</w:t>
            </w:r>
          </w:p>
        </w:tc>
        <w:tc>
          <w:tcPr>
            <w:tcW w:w="802" w:type="pct"/>
            <w:tcBorders>
              <w:bottom w:val="single" w:sz="4" w:space="0" w:color="auto"/>
            </w:tcBorders>
            <w:shd w:val="clear" w:color="auto" w:fill="auto"/>
          </w:tcPr>
          <w:p w14:paraId="0672B089" w14:textId="77777777" w:rsidR="00F1459A" w:rsidRPr="0035358E" w:rsidRDefault="00F1459A" w:rsidP="005B5E66">
            <w:pPr>
              <w:pStyle w:val="In-tableHeading"/>
              <w:jc w:val="center"/>
              <w:rPr>
                <w:lang w:val="en-AU"/>
              </w:rPr>
            </w:pPr>
            <w:r w:rsidRPr="0035358E">
              <w:rPr>
                <w:lang w:val="en-AU"/>
              </w:rPr>
              <w:t>RSVpreF</w:t>
            </w:r>
          </w:p>
        </w:tc>
        <w:tc>
          <w:tcPr>
            <w:tcW w:w="840" w:type="pct"/>
            <w:tcBorders>
              <w:bottom w:val="single" w:sz="4" w:space="0" w:color="auto"/>
            </w:tcBorders>
            <w:shd w:val="clear" w:color="auto" w:fill="auto"/>
          </w:tcPr>
          <w:p w14:paraId="78EB2CE4" w14:textId="77777777" w:rsidR="00F1459A" w:rsidRPr="0035358E" w:rsidRDefault="00F1459A" w:rsidP="005B5E66">
            <w:pPr>
              <w:pStyle w:val="In-tableHeading"/>
              <w:jc w:val="center"/>
              <w:rPr>
                <w:lang w:val="en-AU"/>
              </w:rPr>
            </w:pPr>
            <w:r w:rsidRPr="0035358E">
              <w:rPr>
                <w:lang w:val="en-AU"/>
              </w:rPr>
              <w:t>Placebo</w:t>
            </w:r>
          </w:p>
        </w:tc>
        <w:tc>
          <w:tcPr>
            <w:tcW w:w="1113" w:type="pct"/>
            <w:tcBorders>
              <w:bottom w:val="single" w:sz="4" w:space="0" w:color="auto"/>
            </w:tcBorders>
            <w:shd w:val="clear" w:color="auto" w:fill="auto"/>
          </w:tcPr>
          <w:p w14:paraId="71261EB6" w14:textId="77777777" w:rsidR="00F1459A" w:rsidRPr="0035358E" w:rsidRDefault="00F1459A" w:rsidP="005B5E66">
            <w:pPr>
              <w:pStyle w:val="In-tableHeading"/>
              <w:jc w:val="center"/>
              <w:rPr>
                <w:rFonts w:asciiTheme="minorHAnsi" w:hAnsiTheme="minorHAnsi"/>
                <w:lang w:val="en-AU"/>
              </w:rPr>
            </w:pPr>
            <w:r w:rsidRPr="0035358E">
              <w:rPr>
                <w:lang w:val="en-AU"/>
              </w:rPr>
              <w:t>Absolute Difference</w:t>
            </w:r>
          </w:p>
        </w:tc>
        <w:tc>
          <w:tcPr>
            <w:tcW w:w="879" w:type="pct"/>
            <w:tcBorders>
              <w:bottom w:val="single" w:sz="4" w:space="0" w:color="auto"/>
            </w:tcBorders>
            <w:shd w:val="clear" w:color="auto" w:fill="auto"/>
          </w:tcPr>
          <w:p w14:paraId="5E751DEF" w14:textId="09FC2946" w:rsidR="00F1459A" w:rsidRPr="0035358E" w:rsidRDefault="00F1459A" w:rsidP="005B5E66">
            <w:pPr>
              <w:pStyle w:val="In-tableHeading"/>
              <w:jc w:val="center"/>
              <w:rPr>
                <w:lang w:val="en-AU"/>
              </w:rPr>
            </w:pPr>
            <w:r w:rsidRPr="0035358E">
              <w:rPr>
                <w:lang w:val="en-AU"/>
              </w:rPr>
              <w:t>VE</w:t>
            </w:r>
            <w:r w:rsidRPr="0035358E">
              <w:rPr>
                <w:vertAlign w:val="superscript"/>
                <w:lang w:val="en-AU"/>
              </w:rPr>
              <w:t>a</w:t>
            </w:r>
            <w:r w:rsidR="00914A93" w:rsidRPr="0035358E">
              <w:rPr>
                <w:vertAlign w:val="superscript"/>
                <w:lang w:val="en-AU"/>
              </w:rPr>
              <w:t xml:space="preserve">, </w:t>
            </w:r>
            <w:r w:rsidR="00914A93" w:rsidRPr="0035358E">
              <w:rPr>
                <w:lang w:val="en-AU"/>
              </w:rPr>
              <w:t>%</w:t>
            </w:r>
            <w:r w:rsidR="00914A93" w:rsidRPr="0035358E">
              <w:rPr>
                <w:vertAlign w:val="superscript"/>
                <w:lang w:val="en-AU"/>
              </w:rPr>
              <w:t>,</w:t>
            </w:r>
            <w:r w:rsidRPr="0035358E">
              <w:rPr>
                <w:lang w:val="en-AU"/>
              </w:rPr>
              <w:t xml:space="preserve"> (CI</w:t>
            </w:r>
            <w:r w:rsidRPr="0035358E">
              <w:rPr>
                <w:vertAlign w:val="superscript"/>
                <w:lang w:val="en-AU"/>
              </w:rPr>
              <w:t>b</w:t>
            </w:r>
            <w:r w:rsidRPr="0035358E">
              <w:rPr>
                <w:lang w:val="en-AU"/>
              </w:rPr>
              <w:t>)</w:t>
            </w:r>
          </w:p>
        </w:tc>
      </w:tr>
      <w:tr w:rsidR="00F1459A" w:rsidRPr="0035358E" w14:paraId="3FD97D41" w14:textId="77777777" w:rsidTr="001275F8">
        <w:trPr>
          <w:trHeight w:val="20"/>
        </w:trPr>
        <w:tc>
          <w:tcPr>
            <w:tcW w:w="1366" w:type="pct"/>
            <w:tcBorders>
              <w:bottom w:val="single" w:sz="4" w:space="0" w:color="auto"/>
              <w:right w:val="single" w:sz="4" w:space="0" w:color="auto"/>
            </w:tcBorders>
            <w:shd w:val="clear" w:color="auto" w:fill="auto"/>
            <w:vAlign w:val="center"/>
          </w:tcPr>
          <w:p w14:paraId="77EE581E" w14:textId="77777777" w:rsidR="00F1459A" w:rsidRPr="0035358E" w:rsidRDefault="00F1459A" w:rsidP="005B5E66">
            <w:pPr>
              <w:pStyle w:val="TableText0"/>
              <w:keepLines/>
              <w:widowControl w:val="0"/>
            </w:pPr>
            <w:r w:rsidRPr="0035358E">
              <w:rPr>
                <w:rFonts w:eastAsia="Arial Narrow" w:cs="Arial"/>
                <w:szCs w:val="20"/>
              </w:rPr>
              <w:t>Cases 90 days post birth</w:t>
            </w:r>
          </w:p>
        </w:tc>
        <w:tc>
          <w:tcPr>
            <w:tcW w:w="802" w:type="pct"/>
            <w:tcBorders>
              <w:left w:val="single" w:sz="4" w:space="0" w:color="auto"/>
              <w:bottom w:val="single" w:sz="4" w:space="0" w:color="auto"/>
              <w:right w:val="single" w:sz="4" w:space="0" w:color="auto"/>
            </w:tcBorders>
            <w:shd w:val="clear" w:color="auto" w:fill="auto"/>
          </w:tcPr>
          <w:p w14:paraId="0DB76C2A" w14:textId="77777777" w:rsidR="00F1459A" w:rsidRPr="0035358E" w:rsidRDefault="00F1459A" w:rsidP="005B5E66">
            <w:pPr>
              <w:pStyle w:val="TableText0"/>
              <w:keepLines/>
              <w:widowControl w:val="0"/>
              <w:jc w:val="center"/>
            </w:pPr>
            <w:r w:rsidRPr="0035358E">
              <w:rPr>
                <w:rFonts w:cs="Times New Roman"/>
                <w:szCs w:val="20"/>
              </w:rPr>
              <w:t>24/3495 (0.7%)</w:t>
            </w:r>
          </w:p>
        </w:tc>
        <w:tc>
          <w:tcPr>
            <w:tcW w:w="840" w:type="pct"/>
            <w:tcBorders>
              <w:left w:val="single" w:sz="4" w:space="0" w:color="auto"/>
              <w:bottom w:val="single" w:sz="4" w:space="0" w:color="auto"/>
              <w:right w:val="single" w:sz="4" w:space="0" w:color="auto"/>
            </w:tcBorders>
            <w:shd w:val="clear" w:color="auto" w:fill="auto"/>
          </w:tcPr>
          <w:p w14:paraId="50BD4513" w14:textId="77777777" w:rsidR="00F1459A" w:rsidRPr="0035358E" w:rsidRDefault="00F1459A" w:rsidP="005B5E66">
            <w:pPr>
              <w:pStyle w:val="TableText0"/>
              <w:keepLines/>
              <w:widowControl w:val="0"/>
              <w:jc w:val="center"/>
            </w:pPr>
            <w:r w:rsidRPr="0035358E">
              <w:rPr>
                <w:rFonts w:cs="Times New Roman"/>
                <w:szCs w:val="20"/>
              </w:rPr>
              <w:t>56/3480 (1.6%)</w:t>
            </w:r>
          </w:p>
        </w:tc>
        <w:tc>
          <w:tcPr>
            <w:tcW w:w="1113" w:type="pct"/>
            <w:tcBorders>
              <w:left w:val="single" w:sz="4" w:space="0" w:color="auto"/>
              <w:bottom w:val="single" w:sz="4" w:space="0" w:color="auto"/>
              <w:right w:val="single" w:sz="4" w:space="0" w:color="auto"/>
            </w:tcBorders>
            <w:shd w:val="clear" w:color="auto" w:fill="auto"/>
          </w:tcPr>
          <w:p w14:paraId="080FBE20" w14:textId="77777777" w:rsidR="00F1459A" w:rsidRPr="0035358E" w:rsidRDefault="00F1459A" w:rsidP="005B5E66">
            <w:pPr>
              <w:pStyle w:val="TableText0"/>
              <w:keepLines/>
              <w:widowControl w:val="0"/>
              <w:jc w:val="center"/>
            </w:pPr>
            <w:r w:rsidRPr="0035358E">
              <w:t>0.9%</w:t>
            </w:r>
          </w:p>
        </w:tc>
        <w:tc>
          <w:tcPr>
            <w:tcW w:w="879" w:type="pct"/>
            <w:tcBorders>
              <w:left w:val="single" w:sz="4" w:space="0" w:color="auto"/>
              <w:bottom w:val="single" w:sz="4" w:space="0" w:color="auto"/>
            </w:tcBorders>
            <w:shd w:val="clear" w:color="auto" w:fill="auto"/>
            <w:vAlign w:val="center"/>
          </w:tcPr>
          <w:p w14:paraId="5EFD8B65" w14:textId="68B7A2BC" w:rsidR="00F1459A" w:rsidRPr="0035358E" w:rsidRDefault="00F1459A" w:rsidP="005B5E66">
            <w:pPr>
              <w:pStyle w:val="TableText0"/>
              <w:keepLines/>
              <w:widowControl w:val="0"/>
              <w:jc w:val="center"/>
            </w:pPr>
            <w:r w:rsidRPr="0035358E">
              <w:rPr>
                <w:rFonts w:eastAsia="Arial Narrow" w:cs="Arial"/>
                <w:szCs w:val="20"/>
              </w:rPr>
              <w:t>57.1 (14.7, 79.8)</w:t>
            </w:r>
          </w:p>
        </w:tc>
      </w:tr>
      <w:tr w:rsidR="00F1459A" w:rsidRPr="0035358E" w14:paraId="38F99BD2" w14:textId="77777777" w:rsidTr="001275F8">
        <w:trPr>
          <w:trHeight w:val="20"/>
        </w:trPr>
        <w:tc>
          <w:tcPr>
            <w:tcW w:w="1366" w:type="pct"/>
            <w:tcBorders>
              <w:bottom w:val="single" w:sz="4" w:space="0" w:color="auto"/>
              <w:right w:val="single" w:sz="4" w:space="0" w:color="auto"/>
            </w:tcBorders>
            <w:shd w:val="clear" w:color="auto" w:fill="auto"/>
            <w:vAlign w:val="center"/>
          </w:tcPr>
          <w:p w14:paraId="15A6FF1B" w14:textId="77777777" w:rsidR="00F1459A" w:rsidRPr="0035358E" w:rsidRDefault="00F1459A" w:rsidP="005B5E66">
            <w:pPr>
              <w:pStyle w:val="TableText0"/>
              <w:keepLines/>
              <w:widowControl w:val="0"/>
            </w:pPr>
            <w:r w:rsidRPr="0035358E">
              <w:rPr>
                <w:rFonts w:eastAsia="Arial Narrow" w:cs="Arial"/>
                <w:szCs w:val="20"/>
              </w:rPr>
              <w:t>Cases 120 days post birth</w:t>
            </w:r>
          </w:p>
        </w:tc>
        <w:tc>
          <w:tcPr>
            <w:tcW w:w="802" w:type="pct"/>
            <w:tcBorders>
              <w:left w:val="single" w:sz="4" w:space="0" w:color="auto"/>
              <w:bottom w:val="single" w:sz="4" w:space="0" w:color="auto"/>
              <w:right w:val="single" w:sz="4" w:space="0" w:color="auto"/>
            </w:tcBorders>
            <w:shd w:val="clear" w:color="auto" w:fill="auto"/>
          </w:tcPr>
          <w:p w14:paraId="42957624" w14:textId="77777777" w:rsidR="00F1459A" w:rsidRPr="0035358E" w:rsidRDefault="00F1459A" w:rsidP="005B5E66">
            <w:pPr>
              <w:pStyle w:val="TableText0"/>
              <w:keepLines/>
              <w:widowControl w:val="0"/>
              <w:jc w:val="center"/>
              <w:rPr>
                <w:rFonts w:cs="Times New Roman"/>
                <w:szCs w:val="20"/>
              </w:rPr>
            </w:pPr>
            <w:r w:rsidRPr="0035358E">
              <w:rPr>
                <w:rFonts w:cs="Times New Roman"/>
                <w:szCs w:val="20"/>
              </w:rPr>
              <w:t>35/3495 (1.0%)</w:t>
            </w:r>
          </w:p>
        </w:tc>
        <w:tc>
          <w:tcPr>
            <w:tcW w:w="840" w:type="pct"/>
            <w:tcBorders>
              <w:left w:val="single" w:sz="4" w:space="0" w:color="auto"/>
              <w:bottom w:val="single" w:sz="4" w:space="0" w:color="auto"/>
              <w:right w:val="single" w:sz="4" w:space="0" w:color="auto"/>
            </w:tcBorders>
            <w:shd w:val="clear" w:color="auto" w:fill="auto"/>
          </w:tcPr>
          <w:p w14:paraId="7AE219EB" w14:textId="77777777" w:rsidR="00F1459A" w:rsidRPr="0035358E" w:rsidRDefault="00F1459A" w:rsidP="005B5E66">
            <w:pPr>
              <w:pStyle w:val="TableText0"/>
              <w:keepLines/>
              <w:widowControl w:val="0"/>
              <w:jc w:val="center"/>
              <w:rPr>
                <w:rFonts w:cs="Times New Roman"/>
                <w:szCs w:val="20"/>
              </w:rPr>
            </w:pPr>
            <w:r w:rsidRPr="0035358E">
              <w:rPr>
                <w:rFonts w:cs="Times New Roman"/>
                <w:szCs w:val="20"/>
              </w:rPr>
              <w:t>81/3480 (2.3%)</w:t>
            </w:r>
          </w:p>
        </w:tc>
        <w:tc>
          <w:tcPr>
            <w:tcW w:w="1113" w:type="pct"/>
            <w:tcBorders>
              <w:left w:val="single" w:sz="4" w:space="0" w:color="auto"/>
              <w:bottom w:val="single" w:sz="4" w:space="0" w:color="auto"/>
              <w:right w:val="single" w:sz="4" w:space="0" w:color="auto"/>
            </w:tcBorders>
            <w:shd w:val="clear" w:color="auto" w:fill="auto"/>
          </w:tcPr>
          <w:p w14:paraId="4F093A37" w14:textId="77777777" w:rsidR="00F1459A" w:rsidRPr="0035358E" w:rsidRDefault="00F1459A" w:rsidP="005B5E66">
            <w:pPr>
              <w:pStyle w:val="TableText0"/>
              <w:keepLines/>
              <w:widowControl w:val="0"/>
              <w:jc w:val="center"/>
            </w:pPr>
            <w:r w:rsidRPr="0035358E">
              <w:t>1.3%</w:t>
            </w:r>
          </w:p>
        </w:tc>
        <w:tc>
          <w:tcPr>
            <w:tcW w:w="879" w:type="pct"/>
            <w:tcBorders>
              <w:top w:val="single" w:sz="4" w:space="0" w:color="auto"/>
              <w:left w:val="single" w:sz="4" w:space="0" w:color="auto"/>
              <w:bottom w:val="single" w:sz="4" w:space="0" w:color="auto"/>
            </w:tcBorders>
            <w:shd w:val="clear" w:color="auto" w:fill="auto"/>
            <w:vAlign w:val="center"/>
          </w:tcPr>
          <w:p w14:paraId="300B34E9" w14:textId="67EAE514" w:rsidR="00F1459A" w:rsidRPr="0035358E" w:rsidRDefault="00F1459A" w:rsidP="005B5E66">
            <w:pPr>
              <w:pStyle w:val="TableText0"/>
              <w:keepLines/>
              <w:widowControl w:val="0"/>
              <w:jc w:val="center"/>
              <w:rPr>
                <w:szCs w:val="20"/>
              </w:rPr>
            </w:pPr>
            <w:r w:rsidRPr="0035358E">
              <w:rPr>
                <w:rFonts w:eastAsia="Arial Narrow" w:cs="Arial"/>
                <w:b/>
                <w:bCs w:val="0"/>
                <w:szCs w:val="20"/>
              </w:rPr>
              <w:t>56.8 (31.2, 73.5)</w:t>
            </w:r>
          </w:p>
        </w:tc>
      </w:tr>
      <w:tr w:rsidR="00F1459A" w:rsidRPr="0035358E" w14:paraId="2CD821FF" w14:textId="77777777" w:rsidTr="001275F8">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5ADBA493" w14:textId="77777777" w:rsidR="00F1459A" w:rsidRPr="0035358E" w:rsidRDefault="00F1459A" w:rsidP="005B5E66">
            <w:pPr>
              <w:pStyle w:val="TableText0"/>
              <w:keepLines/>
              <w:widowControl w:val="0"/>
            </w:pPr>
            <w:r w:rsidRPr="0035358E">
              <w:rPr>
                <w:rFonts w:eastAsia="Arial Narrow" w:cs="Arial"/>
                <w:szCs w:val="20"/>
              </w:rPr>
              <w:t>Cases 150 days post birth</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7457AB6" w14:textId="77777777" w:rsidR="00F1459A" w:rsidRPr="0035358E" w:rsidRDefault="00F1459A" w:rsidP="005B5E66">
            <w:pPr>
              <w:pStyle w:val="TableText0"/>
              <w:keepLines/>
              <w:widowControl w:val="0"/>
              <w:jc w:val="center"/>
            </w:pPr>
            <w:r w:rsidRPr="0035358E">
              <w:t>47/3495 (1.3%)</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F8173C0" w14:textId="77777777" w:rsidR="00F1459A" w:rsidRPr="0035358E" w:rsidRDefault="00F1459A" w:rsidP="005B5E66">
            <w:pPr>
              <w:pStyle w:val="TableText0"/>
              <w:keepLines/>
              <w:widowControl w:val="0"/>
              <w:jc w:val="center"/>
              <w:rPr>
                <w:szCs w:val="20"/>
              </w:rPr>
            </w:pPr>
            <w:r w:rsidRPr="0035358E">
              <w:rPr>
                <w:szCs w:val="20"/>
              </w:rPr>
              <w:t>99/3480 (2.8%)</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4429293" w14:textId="77777777" w:rsidR="00F1459A" w:rsidRPr="0035358E" w:rsidRDefault="00F1459A" w:rsidP="005B5E66">
            <w:pPr>
              <w:pStyle w:val="TableText0"/>
              <w:keepLines/>
              <w:widowControl w:val="0"/>
              <w:jc w:val="center"/>
            </w:pPr>
            <w:r w:rsidRPr="0035358E">
              <w:t>1.5%</w:t>
            </w:r>
          </w:p>
        </w:tc>
        <w:tc>
          <w:tcPr>
            <w:tcW w:w="879" w:type="pct"/>
            <w:tcBorders>
              <w:top w:val="single" w:sz="4" w:space="0" w:color="auto"/>
              <w:left w:val="single" w:sz="4" w:space="0" w:color="auto"/>
              <w:bottom w:val="single" w:sz="4" w:space="0" w:color="auto"/>
            </w:tcBorders>
            <w:shd w:val="clear" w:color="auto" w:fill="auto"/>
            <w:vAlign w:val="center"/>
          </w:tcPr>
          <w:p w14:paraId="28FDD4C4" w14:textId="27D47417" w:rsidR="00F1459A" w:rsidRPr="0035358E" w:rsidRDefault="00F1459A" w:rsidP="005B5E66">
            <w:pPr>
              <w:pStyle w:val="TableText0"/>
              <w:keepLines/>
              <w:widowControl w:val="0"/>
              <w:jc w:val="center"/>
            </w:pPr>
            <w:r w:rsidRPr="0035358E">
              <w:rPr>
                <w:rFonts w:eastAsia="Arial Narrow" w:cs="Arial"/>
                <w:b/>
                <w:bCs w:val="0"/>
                <w:szCs w:val="20"/>
              </w:rPr>
              <w:t>52.5 (28.7, 68.9)</w:t>
            </w:r>
          </w:p>
        </w:tc>
      </w:tr>
      <w:tr w:rsidR="00F1459A" w:rsidRPr="0035358E" w14:paraId="17446074" w14:textId="77777777" w:rsidTr="001275F8">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7A9CEF5A" w14:textId="77777777" w:rsidR="00F1459A" w:rsidRPr="0035358E" w:rsidRDefault="00F1459A" w:rsidP="005B5E66">
            <w:pPr>
              <w:pStyle w:val="TableText0"/>
              <w:keepLines/>
              <w:widowControl w:val="0"/>
            </w:pPr>
            <w:r w:rsidRPr="0035358E">
              <w:rPr>
                <w:rFonts w:eastAsia="Arial Narrow" w:cs="Arial"/>
                <w:szCs w:val="20"/>
              </w:rPr>
              <w:t>Cases 180 days post-birth</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9746FA" w14:textId="77777777" w:rsidR="00F1459A" w:rsidRPr="0035358E" w:rsidRDefault="00F1459A" w:rsidP="005B5E66">
            <w:pPr>
              <w:pStyle w:val="TableText0"/>
              <w:keepLines/>
              <w:widowControl w:val="0"/>
              <w:jc w:val="center"/>
              <w:rPr>
                <w:szCs w:val="20"/>
              </w:rPr>
            </w:pPr>
            <w:r w:rsidRPr="0035358E">
              <w:rPr>
                <w:szCs w:val="20"/>
              </w:rPr>
              <w:t>57/3495 (1.6%)</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538AEB9E" w14:textId="77777777" w:rsidR="00F1459A" w:rsidRPr="0035358E" w:rsidRDefault="00F1459A" w:rsidP="005B5E66">
            <w:pPr>
              <w:pStyle w:val="TableText0"/>
              <w:keepLines/>
              <w:widowControl w:val="0"/>
              <w:jc w:val="center"/>
              <w:rPr>
                <w:szCs w:val="20"/>
              </w:rPr>
            </w:pPr>
            <w:r w:rsidRPr="0035358E">
              <w:rPr>
                <w:szCs w:val="20"/>
              </w:rPr>
              <w:t>117/3480 (3.4%)</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37DDD8C" w14:textId="77777777" w:rsidR="00F1459A" w:rsidRPr="0035358E" w:rsidRDefault="00F1459A" w:rsidP="005B5E66">
            <w:pPr>
              <w:pStyle w:val="TableText0"/>
              <w:keepLines/>
              <w:widowControl w:val="0"/>
              <w:jc w:val="center"/>
              <w:rPr>
                <w:rFonts w:cs="Times New Roman"/>
                <w:szCs w:val="20"/>
              </w:rPr>
            </w:pPr>
            <w:r w:rsidRPr="0035358E">
              <w:rPr>
                <w:rFonts w:cs="Times New Roman"/>
                <w:szCs w:val="20"/>
              </w:rPr>
              <w:t>1.8%</w:t>
            </w:r>
          </w:p>
        </w:tc>
        <w:tc>
          <w:tcPr>
            <w:tcW w:w="879" w:type="pct"/>
            <w:tcBorders>
              <w:top w:val="single" w:sz="4" w:space="0" w:color="auto"/>
              <w:left w:val="single" w:sz="4" w:space="0" w:color="auto"/>
              <w:bottom w:val="single" w:sz="4" w:space="0" w:color="auto"/>
            </w:tcBorders>
            <w:shd w:val="clear" w:color="auto" w:fill="auto"/>
            <w:vAlign w:val="center"/>
          </w:tcPr>
          <w:p w14:paraId="5EA912D5" w14:textId="6DE37A58" w:rsidR="00F1459A" w:rsidRPr="0035358E" w:rsidRDefault="00F1459A" w:rsidP="005B5E66">
            <w:pPr>
              <w:pStyle w:val="TableText0"/>
              <w:keepLines/>
              <w:widowControl w:val="0"/>
              <w:jc w:val="center"/>
            </w:pPr>
            <w:r w:rsidRPr="0035358E">
              <w:rPr>
                <w:rFonts w:eastAsia="Arial Narrow" w:cs="Arial"/>
                <w:b/>
                <w:bCs w:val="0"/>
                <w:szCs w:val="20"/>
              </w:rPr>
              <w:t>51.3 (29.4, 66.8)</w:t>
            </w:r>
          </w:p>
        </w:tc>
      </w:tr>
      <w:tr w:rsidR="00F1459A" w:rsidRPr="0035358E" w14:paraId="4EFE3AB2" w14:textId="77777777" w:rsidTr="001275F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5350B46" w14:textId="2658DD65" w:rsidR="00F1459A" w:rsidRPr="0035358E" w:rsidRDefault="00914A93" w:rsidP="005B5E66">
            <w:pPr>
              <w:pStyle w:val="In-tableHeading"/>
              <w:rPr>
                <w:lang w:val="en-AU"/>
              </w:rPr>
            </w:pPr>
            <w:r w:rsidRPr="0035358E">
              <w:rPr>
                <w:lang w:val="en-AU"/>
              </w:rPr>
              <w:t>RSV-positive s</w:t>
            </w:r>
            <w:r w:rsidR="00F1459A" w:rsidRPr="0035358E">
              <w:rPr>
                <w:lang w:val="en-AU"/>
              </w:rPr>
              <w:t>evere MA-LRTI</w:t>
            </w:r>
          </w:p>
        </w:tc>
      </w:tr>
      <w:tr w:rsidR="00F1459A" w:rsidRPr="0035358E" w14:paraId="68C64C24" w14:textId="77777777" w:rsidTr="001275F8">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0A1E9655" w14:textId="77777777" w:rsidR="00F1459A" w:rsidRPr="0035358E" w:rsidRDefault="00F1459A" w:rsidP="005B5E66">
            <w:pPr>
              <w:pStyle w:val="TableText0"/>
              <w:keepLines/>
              <w:widowControl w:val="0"/>
            </w:pPr>
            <w:r w:rsidRPr="0035358E">
              <w:rPr>
                <w:rFonts w:eastAsia="Arial Narrow" w:cs="Arial"/>
                <w:szCs w:val="20"/>
              </w:rPr>
              <w:t>Cases 90 days post birth</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7A0249" w14:textId="77777777" w:rsidR="00F1459A" w:rsidRPr="0035358E" w:rsidRDefault="00F1459A" w:rsidP="005B5E66">
            <w:pPr>
              <w:pStyle w:val="TableText0"/>
              <w:keepLines/>
              <w:widowControl w:val="0"/>
              <w:jc w:val="center"/>
            </w:pPr>
            <w:r w:rsidRPr="0035358E">
              <w:t>6/3495 (0.2%)</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2DB68855" w14:textId="77777777" w:rsidR="00F1459A" w:rsidRPr="0035358E" w:rsidRDefault="00F1459A" w:rsidP="005B5E66">
            <w:pPr>
              <w:pStyle w:val="TableText0"/>
              <w:keepLines/>
              <w:widowControl w:val="0"/>
              <w:jc w:val="center"/>
            </w:pPr>
            <w:r w:rsidRPr="0035358E">
              <w:t>33/3480 (0.9%)</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E98E83D" w14:textId="77777777" w:rsidR="00F1459A" w:rsidRPr="0035358E" w:rsidRDefault="00F1459A" w:rsidP="005B5E66">
            <w:pPr>
              <w:pStyle w:val="TableText0"/>
              <w:keepLines/>
              <w:widowControl w:val="0"/>
              <w:jc w:val="center"/>
            </w:pPr>
            <w:r w:rsidRPr="0035358E">
              <w:t>0.7%</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B125150" w14:textId="77777777" w:rsidR="00F1459A" w:rsidRPr="0035358E" w:rsidRDefault="00F1459A" w:rsidP="005B5E66">
            <w:pPr>
              <w:pStyle w:val="TableText0"/>
              <w:keepLines/>
              <w:widowControl w:val="0"/>
              <w:jc w:val="center"/>
              <w:rPr>
                <w:b/>
                <w:bCs w:val="0"/>
              </w:rPr>
            </w:pPr>
            <w:r w:rsidRPr="0035358E">
              <w:rPr>
                <w:rFonts w:eastAsia="Arial Narrow" w:cs="Arial"/>
                <w:b/>
                <w:bCs w:val="0"/>
                <w:szCs w:val="20"/>
              </w:rPr>
              <w:t>81.8 (40.6, 96.3)</w:t>
            </w:r>
          </w:p>
        </w:tc>
      </w:tr>
      <w:tr w:rsidR="00F1459A" w:rsidRPr="0035358E" w14:paraId="3C4BCAAA" w14:textId="77777777" w:rsidTr="001275F8">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1A63F85E" w14:textId="77777777" w:rsidR="00F1459A" w:rsidRPr="0035358E" w:rsidRDefault="00F1459A" w:rsidP="005B5E66">
            <w:pPr>
              <w:pStyle w:val="TableText0"/>
              <w:keepLines/>
              <w:widowControl w:val="0"/>
            </w:pPr>
            <w:r w:rsidRPr="0035358E">
              <w:rPr>
                <w:rFonts w:eastAsia="Arial Narrow" w:cs="Arial"/>
                <w:szCs w:val="20"/>
              </w:rPr>
              <w:t>Cases 120 days post birth</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83BE839" w14:textId="77777777" w:rsidR="00F1459A" w:rsidRPr="0035358E" w:rsidRDefault="00F1459A" w:rsidP="005B5E66">
            <w:pPr>
              <w:pStyle w:val="TableText0"/>
              <w:keepLines/>
              <w:widowControl w:val="0"/>
              <w:jc w:val="center"/>
              <w:rPr>
                <w:rFonts w:cs="Times New Roman"/>
                <w:szCs w:val="20"/>
              </w:rPr>
            </w:pPr>
            <w:r w:rsidRPr="0035358E">
              <w:rPr>
                <w:rFonts w:cs="Times New Roman"/>
                <w:szCs w:val="20"/>
              </w:rPr>
              <w:t>12/3495 (0.3%)</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D487D6A" w14:textId="77777777" w:rsidR="00F1459A" w:rsidRPr="0035358E" w:rsidRDefault="00F1459A" w:rsidP="005B5E66">
            <w:pPr>
              <w:pStyle w:val="TableText0"/>
              <w:keepLines/>
              <w:widowControl w:val="0"/>
              <w:jc w:val="center"/>
              <w:rPr>
                <w:rFonts w:cs="Times New Roman"/>
                <w:szCs w:val="20"/>
              </w:rPr>
            </w:pPr>
            <w:r w:rsidRPr="0035358E">
              <w:rPr>
                <w:rFonts w:cs="Times New Roman"/>
                <w:szCs w:val="20"/>
              </w:rPr>
              <w:t>46/3480 (1.3%)</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10039E0" w14:textId="77777777" w:rsidR="00F1459A" w:rsidRPr="0035358E" w:rsidRDefault="00F1459A" w:rsidP="005B5E66">
            <w:pPr>
              <w:pStyle w:val="TableText0"/>
              <w:keepLines/>
              <w:widowControl w:val="0"/>
              <w:jc w:val="center"/>
            </w:pPr>
            <w:r w:rsidRPr="0035358E">
              <w:t>1.0%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60B935A4" w14:textId="77777777" w:rsidR="00F1459A" w:rsidRPr="0035358E" w:rsidRDefault="00F1459A" w:rsidP="005B5E66">
            <w:pPr>
              <w:pStyle w:val="TableText0"/>
              <w:keepLines/>
              <w:widowControl w:val="0"/>
              <w:jc w:val="center"/>
              <w:rPr>
                <w:b/>
                <w:bCs w:val="0"/>
                <w:szCs w:val="20"/>
              </w:rPr>
            </w:pPr>
            <w:r w:rsidRPr="0035358E">
              <w:rPr>
                <w:rFonts w:eastAsia="Arial Narrow" w:cs="Arial"/>
                <w:b/>
                <w:bCs w:val="0"/>
                <w:szCs w:val="20"/>
              </w:rPr>
              <w:t>73.9 (45.6, 88.8)</w:t>
            </w:r>
          </w:p>
        </w:tc>
      </w:tr>
      <w:tr w:rsidR="00F1459A" w:rsidRPr="0035358E" w14:paraId="3013FAED" w14:textId="77777777" w:rsidTr="001275F8">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42AABFCA" w14:textId="77777777" w:rsidR="00F1459A" w:rsidRPr="0035358E" w:rsidRDefault="00F1459A" w:rsidP="005B5E66">
            <w:pPr>
              <w:pStyle w:val="TableText0"/>
              <w:keepLines/>
              <w:widowControl w:val="0"/>
            </w:pPr>
            <w:r w:rsidRPr="0035358E">
              <w:rPr>
                <w:rFonts w:eastAsia="Arial Narrow" w:cs="Arial"/>
                <w:szCs w:val="20"/>
              </w:rPr>
              <w:t>Cases 150 days post birth</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B8C6EAB" w14:textId="77777777" w:rsidR="00F1459A" w:rsidRPr="0035358E" w:rsidRDefault="00F1459A" w:rsidP="005B5E66">
            <w:pPr>
              <w:pStyle w:val="TableText0"/>
              <w:keepLines/>
              <w:widowControl w:val="0"/>
              <w:jc w:val="center"/>
            </w:pPr>
            <w:r w:rsidRPr="0035358E">
              <w:t>16/3495 (0.5%)</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457E5822" w14:textId="77777777" w:rsidR="00F1459A" w:rsidRPr="0035358E" w:rsidRDefault="00F1459A" w:rsidP="005B5E66">
            <w:pPr>
              <w:pStyle w:val="TableText0"/>
              <w:keepLines/>
              <w:widowControl w:val="0"/>
              <w:jc w:val="center"/>
              <w:rPr>
                <w:szCs w:val="20"/>
              </w:rPr>
            </w:pPr>
            <w:r w:rsidRPr="0035358E">
              <w:rPr>
                <w:szCs w:val="20"/>
              </w:rPr>
              <w:t>55/3480 (1.6%)</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B07EB2B" w14:textId="77777777" w:rsidR="00F1459A" w:rsidRPr="0035358E" w:rsidRDefault="00F1459A" w:rsidP="005B5E66">
            <w:pPr>
              <w:pStyle w:val="TableText0"/>
              <w:keepLines/>
              <w:widowControl w:val="0"/>
              <w:jc w:val="center"/>
            </w:pPr>
            <w:r w:rsidRPr="0035358E">
              <w:t>1.1%</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19D589CB" w14:textId="77777777" w:rsidR="00F1459A" w:rsidRPr="0035358E" w:rsidRDefault="00F1459A" w:rsidP="005B5E66">
            <w:pPr>
              <w:pStyle w:val="TableText0"/>
              <w:keepLines/>
              <w:widowControl w:val="0"/>
              <w:jc w:val="center"/>
              <w:rPr>
                <w:b/>
                <w:bCs w:val="0"/>
              </w:rPr>
            </w:pPr>
            <w:r w:rsidRPr="0035358E">
              <w:rPr>
                <w:rFonts w:eastAsia="Arial Narrow" w:cs="Arial"/>
                <w:b/>
                <w:bCs w:val="0"/>
                <w:szCs w:val="20"/>
              </w:rPr>
              <w:t>70.9 (44.5, 85.9)</w:t>
            </w:r>
          </w:p>
        </w:tc>
      </w:tr>
      <w:tr w:rsidR="00F1459A" w:rsidRPr="0035358E" w14:paraId="3264D05B" w14:textId="77777777" w:rsidTr="001275F8">
        <w:trPr>
          <w:trHeight w:val="20"/>
        </w:trPr>
        <w:tc>
          <w:tcPr>
            <w:tcW w:w="1366" w:type="pct"/>
            <w:tcBorders>
              <w:top w:val="single" w:sz="4" w:space="0" w:color="auto"/>
              <w:left w:val="single" w:sz="4" w:space="0" w:color="auto"/>
              <w:bottom w:val="double" w:sz="4" w:space="0" w:color="auto"/>
              <w:right w:val="single" w:sz="4" w:space="0" w:color="auto"/>
            </w:tcBorders>
            <w:shd w:val="clear" w:color="auto" w:fill="auto"/>
            <w:vAlign w:val="center"/>
          </w:tcPr>
          <w:p w14:paraId="098E2932" w14:textId="77777777" w:rsidR="00F1459A" w:rsidRPr="0035358E" w:rsidRDefault="00F1459A" w:rsidP="005B5E66">
            <w:pPr>
              <w:pStyle w:val="TableText0"/>
              <w:keepLines/>
              <w:widowControl w:val="0"/>
            </w:pPr>
            <w:r w:rsidRPr="0035358E">
              <w:rPr>
                <w:rFonts w:eastAsia="Arial Narrow" w:cs="Arial"/>
                <w:szCs w:val="20"/>
              </w:rPr>
              <w:t>Cases 180 days post-birth</w:t>
            </w:r>
          </w:p>
        </w:tc>
        <w:tc>
          <w:tcPr>
            <w:tcW w:w="802" w:type="pct"/>
            <w:tcBorders>
              <w:top w:val="single" w:sz="4" w:space="0" w:color="auto"/>
              <w:left w:val="single" w:sz="4" w:space="0" w:color="auto"/>
              <w:bottom w:val="double" w:sz="4" w:space="0" w:color="auto"/>
              <w:right w:val="single" w:sz="4" w:space="0" w:color="auto"/>
            </w:tcBorders>
            <w:shd w:val="clear" w:color="auto" w:fill="auto"/>
          </w:tcPr>
          <w:p w14:paraId="2DCF2780" w14:textId="77777777" w:rsidR="00F1459A" w:rsidRPr="0035358E" w:rsidRDefault="00F1459A" w:rsidP="005B5E66">
            <w:pPr>
              <w:pStyle w:val="TableText0"/>
              <w:keepLines/>
              <w:widowControl w:val="0"/>
              <w:jc w:val="center"/>
              <w:rPr>
                <w:szCs w:val="20"/>
              </w:rPr>
            </w:pPr>
            <w:r w:rsidRPr="0035358E">
              <w:rPr>
                <w:szCs w:val="20"/>
              </w:rPr>
              <w:t>19/3495 (0.5%)</w:t>
            </w:r>
          </w:p>
        </w:tc>
        <w:tc>
          <w:tcPr>
            <w:tcW w:w="840" w:type="pct"/>
            <w:tcBorders>
              <w:top w:val="single" w:sz="4" w:space="0" w:color="auto"/>
              <w:left w:val="single" w:sz="4" w:space="0" w:color="auto"/>
              <w:bottom w:val="double" w:sz="4" w:space="0" w:color="auto"/>
              <w:right w:val="single" w:sz="4" w:space="0" w:color="auto"/>
            </w:tcBorders>
            <w:shd w:val="clear" w:color="auto" w:fill="auto"/>
          </w:tcPr>
          <w:p w14:paraId="7F2B2626" w14:textId="77777777" w:rsidR="00F1459A" w:rsidRPr="0035358E" w:rsidRDefault="00F1459A" w:rsidP="005B5E66">
            <w:pPr>
              <w:pStyle w:val="TableText0"/>
              <w:keepLines/>
              <w:widowControl w:val="0"/>
              <w:jc w:val="center"/>
              <w:rPr>
                <w:szCs w:val="20"/>
              </w:rPr>
            </w:pPr>
            <w:r w:rsidRPr="0035358E">
              <w:rPr>
                <w:szCs w:val="20"/>
              </w:rPr>
              <w:t>62/3480 (1.8%)</w:t>
            </w:r>
          </w:p>
        </w:tc>
        <w:tc>
          <w:tcPr>
            <w:tcW w:w="1113" w:type="pct"/>
            <w:tcBorders>
              <w:top w:val="single" w:sz="4" w:space="0" w:color="auto"/>
              <w:left w:val="single" w:sz="4" w:space="0" w:color="auto"/>
              <w:bottom w:val="double" w:sz="4" w:space="0" w:color="auto"/>
              <w:right w:val="single" w:sz="4" w:space="0" w:color="auto"/>
            </w:tcBorders>
            <w:shd w:val="clear" w:color="auto" w:fill="auto"/>
          </w:tcPr>
          <w:p w14:paraId="3563790A" w14:textId="77777777" w:rsidR="00F1459A" w:rsidRPr="0035358E" w:rsidRDefault="00F1459A" w:rsidP="005B5E66">
            <w:pPr>
              <w:pStyle w:val="TableText0"/>
              <w:keepLines/>
              <w:widowControl w:val="0"/>
              <w:jc w:val="center"/>
            </w:pPr>
            <w:r w:rsidRPr="0035358E">
              <w:t>1.3%</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4274A93" w14:textId="77777777" w:rsidR="00F1459A" w:rsidRPr="0035358E" w:rsidRDefault="00F1459A" w:rsidP="005B5E66">
            <w:pPr>
              <w:pStyle w:val="TableText0"/>
              <w:keepLines/>
              <w:widowControl w:val="0"/>
              <w:jc w:val="center"/>
              <w:rPr>
                <w:b/>
                <w:bCs w:val="0"/>
              </w:rPr>
            </w:pPr>
            <w:r w:rsidRPr="0035358E">
              <w:rPr>
                <w:rFonts w:eastAsia="Arial Narrow" w:cs="Arial"/>
                <w:b/>
                <w:bCs w:val="0"/>
                <w:szCs w:val="20"/>
              </w:rPr>
              <w:t>69.4 (44.3, 84.1)</w:t>
            </w:r>
          </w:p>
        </w:tc>
      </w:tr>
    </w:tbl>
    <w:tbl>
      <w:tblPr>
        <w:tblW w:w="5000" w:type="pct"/>
        <w:tblLayout w:type="fixed"/>
        <w:tblCellMar>
          <w:left w:w="28" w:type="dxa"/>
          <w:right w:w="28" w:type="dxa"/>
        </w:tblCellMar>
        <w:tblLook w:val="04A0" w:firstRow="1" w:lastRow="0" w:firstColumn="1" w:lastColumn="0" w:noHBand="0" w:noVBand="1"/>
        <w:tblCaption w:val="Table 10: Summary of comparative benefits and harms for RSVpreF and placebo (primary analysis)"/>
      </w:tblPr>
      <w:tblGrid>
        <w:gridCol w:w="1153"/>
        <w:gridCol w:w="1141"/>
        <w:gridCol w:w="1284"/>
        <w:gridCol w:w="1555"/>
        <w:gridCol w:w="1133"/>
        <w:gridCol w:w="1362"/>
        <w:gridCol w:w="1389"/>
      </w:tblGrid>
      <w:tr w:rsidR="00F1459A" w:rsidRPr="0035358E" w14:paraId="0E7B016C" w14:textId="77777777" w:rsidTr="001275F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099FC90" w14:textId="77777777" w:rsidR="00F1459A" w:rsidRPr="0035358E" w:rsidRDefault="00F1459A" w:rsidP="005B5E66">
            <w:pPr>
              <w:pStyle w:val="In-tableHeading"/>
              <w:rPr>
                <w:lang w:val="en-AU"/>
              </w:rPr>
            </w:pPr>
            <w:r w:rsidRPr="0035358E">
              <w:rPr>
                <w:lang w:val="en-AU"/>
              </w:rPr>
              <w:t xml:space="preserve">Harms </w:t>
            </w:r>
          </w:p>
        </w:tc>
      </w:tr>
      <w:tr w:rsidR="00F1459A" w:rsidRPr="0035358E" w14:paraId="00489A0B" w14:textId="77777777" w:rsidTr="001275F8">
        <w:trPr>
          <w:trHeight w:val="70"/>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24F4C" w14:textId="77777777" w:rsidR="00F1459A" w:rsidRPr="0035358E" w:rsidRDefault="00F1459A" w:rsidP="005B5E66">
            <w:pPr>
              <w:pStyle w:val="In-tableHeading"/>
              <w:rPr>
                <w:lang w:val="en-AU"/>
              </w:rPr>
            </w:pPr>
            <w:r w:rsidRPr="0035358E">
              <w:rPr>
                <w:lang w:val="en-AU"/>
              </w:rPr>
              <w:t>MATISSE</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14:paraId="2DD8DFE4" w14:textId="77777777" w:rsidR="00F1459A" w:rsidRPr="0035358E" w:rsidRDefault="00F1459A" w:rsidP="005B5E66">
            <w:pPr>
              <w:pStyle w:val="In-tableHeading"/>
              <w:jc w:val="center"/>
              <w:rPr>
                <w:lang w:val="en-AU"/>
              </w:rPr>
            </w:pPr>
            <w:r w:rsidRPr="0035358E">
              <w:rPr>
                <w:lang w:val="en-AU"/>
              </w:rPr>
              <w:t>RSVpreF</w:t>
            </w:r>
          </w:p>
          <w:p w14:paraId="7411FA07" w14:textId="77777777" w:rsidR="00F1459A" w:rsidRPr="0035358E" w:rsidRDefault="00F1459A" w:rsidP="005B5E66">
            <w:pPr>
              <w:pStyle w:val="In-tableHeading"/>
              <w:jc w:val="center"/>
              <w:rPr>
                <w:lang w:val="en-AU"/>
              </w:rPr>
            </w:pPr>
            <w:r w:rsidRPr="0035358E">
              <w:rPr>
                <w:lang w:val="en-AU"/>
              </w:rP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70B1D454" w14:textId="77777777" w:rsidR="00F1459A" w:rsidRPr="0035358E" w:rsidRDefault="00F1459A" w:rsidP="005B5E66">
            <w:pPr>
              <w:pStyle w:val="In-tableHeading"/>
              <w:jc w:val="center"/>
              <w:rPr>
                <w:lang w:val="en-AU"/>
              </w:rPr>
            </w:pPr>
            <w:r w:rsidRPr="0035358E">
              <w:rPr>
                <w:lang w:val="en-AU"/>
              </w:rPr>
              <w:t>Placebo</w:t>
            </w:r>
          </w:p>
          <w:p w14:paraId="712B8908" w14:textId="77777777" w:rsidR="00F1459A" w:rsidRPr="0035358E" w:rsidRDefault="00F1459A" w:rsidP="005B5E66">
            <w:pPr>
              <w:pStyle w:val="In-tableHeading"/>
              <w:jc w:val="center"/>
              <w:rPr>
                <w:lang w:val="en-AU"/>
              </w:rPr>
            </w:pPr>
            <w:r w:rsidRPr="0035358E">
              <w:rPr>
                <w:lang w:val="en-AU"/>
              </w:rP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2E34F51D" w14:textId="77777777" w:rsidR="00F1459A" w:rsidRPr="0035358E" w:rsidRDefault="00F1459A" w:rsidP="005B5E66">
            <w:pPr>
              <w:pStyle w:val="In-tableHeading"/>
              <w:jc w:val="center"/>
              <w:rPr>
                <w:lang w:val="en-AU"/>
              </w:rPr>
            </w:pPr>
            <w:r w:rsidRPr="0035358E">
              <w:rPr>
                <w:lang w:val="en-AU"/>
              </w:rPr>
              <w:t>RR</w:t>
            </w:r>
          </w:p>
          <w:p w14:paraId="40AC2118" w14:textId="77777777" w:rsidR="00F1459A" w:rsidRPr="0035358E" w:rsidRDefault="00F1459A" w:rsidP="005B5E66">
            <w:pPr>
              <w:pStyle w:val="In-tableHeading"/>
              <w:jc w:val="center"/>
              <w:rPr>
                <w:lang w:val="en-AU"/>
              </w:rPr>
            </w:pPr>
            <w:r w:rsidRPr="0035358E">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14:paraId="267E5B1B" w14:textId="77777777" w:rsidR="00F1459A" w:rsidRPr="0035358E" w:rsidRDefault="00F1459A" w:rsidP="005B5E66">
            <w:pPr>
              <w:pStyle w:val="In-tableHeading"/>
              <w:jc w:val="center"/>
              <w:rPr>
                <w:lang w:val="en-AU"/>
              </w:rPr>
            </w:pPr>
            <w:r w:rsidRPr="0035358E">
              <w:rPr>
                <w:lang w:val="en-AU"/>
              </w:rPr>
              <w:t>Event rate/100 patients*</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14:paraId="5879D5ED" w14:textId="77777777" w:rsidR="00F1459A" w:rsidRPr="0035358E" w:rsidRDefault="00F1459A" w:rsidP="005B5E66">
            <w:pPr>
              <w:pStyle w:val="In-tableHeading"/>
              <w:jc w:val="center"/>
              <w:rPr>
                <w:lang w:val="en-AU"/>
              </w:rPr>
            </w:pPr>
            <w:r w:rsidRPr="0035358E">
              <w:rPr>
                <w:lang w:val="en-AU"/>
              </w:rPr>
              <w:t>RD</w:t>
            </w:r>
          </w:p>
          <w:p w14:paraId="5510CB00" w14:textId="77777777" w:rsidR="00F1459A" w:rsidRPr="0035358E" w:rsidRDefault="00F1459A" w:rsidP="005B5E66">
            <w:pPr>
              <w:pStyle w:val="In-tableHeading"/>
              <w:jc w:val="center"/>
              <w:rPr>
                <w:lang w:val="en-AU"/>
              </w:rPr>
            </w:pPr>
            <w:r w:rsidRPr="0035358E">
              <w:rPr>
                <w:lang w:val="en-AU"/>
              </w:rPr>
              <w:t>(95% CI)</w:t>
            </w:r>
          </w:p>
        </w:tc>
      </w:tr>
      <w:tr w:rsidR="00F1459A" w:rsidRPr="0035358E" w14:paraId="062F4314" w14:textId="77777777" w:rsidTr="001275F8">
        <w:trPr>
          <w:trHeight w:val="390"/>
        </w:trPr>
        <w:tc>
          <w:tcPr>
            <w:tcW w:w="6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4A3FB4" w14:textId="77777777" w:rsidR="00F1459A" w:rsidRPr="0035358E" w:rsidRDefault="00F1459A" w:rsidP="005B5E66">
            <w:pPr>
              <w:pStyle w:val="In-tableHeading"/>
              <w:rPr>
                <w:lang w:val="en-AU"/>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477AE6EF" w14:textId="77777777" w:rsidR="00F1459A" w:rsidRPr="0035358E" w:rsidRDefault="00F1459A" w:rsidP="005B5E66">
            <w:pPr>
              <w:pStyle w:val="In-tableHeading"/>
              <w:rPr>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50FA4181" w14:textId="77777777" w:rsidR="00F1459A" w:rsidRPr="0035358E" w:rsidRDefault="00F1459A" w:rsidP="005B5E66">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BAFD42C" w14:textId="77777777" w:rsidR="00F1459A" w:rsidRPr="0035358E" w:rsidRDefault="00F1459A" w:rsidP="005B5E66">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136B5B74" w14:textId="77777777" w:rsidR="00F1459A" w:rsidRPr="0035358E" w:rsidRDefault="00F1459A" w:rsidP="005B5E66">
            <w:pPr>
              <w:pStyle w:val="In-tableHeading"/>
              <w:jc w:val="center"/>
              <w:rPr>
                <w:lang w:val="en-AU"/>
              </w:rPr>
            </w:pPr>
            <w:r w:rsidRPr="0035358E">
              <w:rPr>
                <w:lang w:val="en-AU"/>
              </w:rPr>
              <w:t>RSVpreF</w:t>
            </w:r>
          </w:p>
        </w:tc>
        <w:tc>
          <w:tcPr>
            <w:tcW w:w="755" w:type="pct"/>
            <w:tcBorders>
              <w:top w:val="single" w:sz="4" w:space="0" w:color="auto"/>
              <w:left w:val="single" w:sz="4" w:space="0" w:color="auto"/>
              <w:bottom w:val="single" w:sz="4" w:space="0" w:color="auto"/>
              <w:right w:val="single" w:sz="4" w:space="0" w:color="auto"/>
            </w:tcBorders>
            <w:vAlign w:val="center"/>
          </w:tcPr>
          <w:p w14:paraId="18A01EDA" w14:textId="77777777" w:rsidR="00F1459A" w:rsidRPr="0035358E" w:rsidRDefault="00F1459A" w:rsidP="005B5E66">
            <w:pPr>
              <w:pStyle w:val="In-tableHeading"/>
              <w:jc w:val="center"/>
              <w:rPr>
                <w:lang w:val="en-AU"/>
              </w:rPr>
            </w:pPr>
            <w:r w:rsidRPr="0035358E">
              <w:rPr>
                <w:lang w:val="en-AU"/>
              </w:rPr>
              <w:t>Comparator/</w:t>
            </w:r>
          </w:p>
          <w:p w14:paraId="51CC3D07" w14:textId="77777777" w:rsidR="00F1459A" w:rsidRPr="0035358E" w:rsidRDefault="00F1459A" w:rsidP="005B5E66">
            <w:pPr>
              <w:pStyle w:val="In-tableHeading"/>
              <w:jc w:val="center"/>
              <w:rPr>
                <w:lang w:val="en-AU"/>
              </w:rPr>
            </w:pPr>
            <w:r w:rsidRPr="0035358E">
              <w:rPr>
                <w:lang w:val="en-AU"/>
              </w:rPr>
              <w:t>PBO</w:t>
            </w:r>
          </w:p>
        </w:tc>
        <w:tc>
          <w:tcPr>
            <w:tcW w:w="769" w:type="pct"/>
            <w:vMerge/>
            <w:tcBorders>
              <w:top w:val="single" w:sz="4" w:space="0" w:color="auto"/>
              <w:left w:val="single" w:sz="4" w:space="0" w:color="auto"/>
              <w:bottom w:val="single" w:sz="4" w:space="0" w:color="auto"/>
              <w:right w:val="single" w:sz="4" w:space="0" w:color="auto"/>
            </w:tcBorders>
            <w:vAlign w:val="center"/>
          </w:tcPr>
          <w:p w14:paraId="234E1959" w14:textId="77777777" w:rsidR="00F1459A" w:rsidRPr="0035358E" w:rsidRDefault="00F1459A" w:rsidP="005B5E66">
            <w:pPr>
              <w:pStyle w:val="In-tableHeading"/>
              <w:rPr>
                <w:lang w:val="en-AU"/>
              </w:rPr>
            </w:pPr>
          </w:p>
        </w:tc>
      </w:tr>
      <w:tr w:rsidR="00F1459A" w:rsidRPr="0035358E" w14:paraId="7F23C37B" w14:textId="77777777" w:rsidTr="001275F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2CFE47" w14:textId="77777777" w:rsidR="00F1459A" w:rsidRPr="0035358E" w:rsidRDefault="00F1459A" w:rsidP="005B5E66">
            <w:pPr>
              <w:pStyle w:val="In-tableHeading"/>
              <w:jc w:val="both"/>
              <w:rPr>
                <w:lang w:val="en-AU"/>
              </w:rPr>
            </w:pPr>
            <w:r w:rsidRPr="0035358E">
              <w:rPr>
                <w:lang w:val="en-AU"/>
              </w:rPr>
              <w:t>Maternal participants</w:t>
            </w:r>
          </w:p>
        </w:tc>
      </w:tr>
      <w:tr w:rsidR="00F1459A" w:rsidRPr="0035358E" w14:paraId="0131B1B7"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1A0F2FC9" w14:textId="77777777" w:rsidR="00F1459A" w:rsidRPr="0035358E" w:rsidRDefault="00F1459A" w:rsidP="005B5E66">
            <w:pPr>
              <w:pStyle w:val="TableText0"/>
            </w:pPr>
            <w:r w:rsidRPr="0035358E">
              <w:t>Any AE</w:t>
            </w:r>
          </w:p>
        </w:tc>
        <w:tc>
          <w:tcPr>
            <w:tcW w:w="633" w:type="pct"/>
            <w:tcBorders>
              <w:top w:val="single" w:sz="4" w:space="0" w:color="auto"/>
              <w:left w:val="single" w:sz="4" w:space="0" w:color="auto"/>
              <w:bottom w:val="single" w:sz="4" w:space="0" w:color="auto"/>
              <w:right w:val="single" w:sz="4" w:space="0" w:color="auto"/>
            </w:tcBorders>
            <w:vAlign w:val="center"/>
          </w:tcPr>
          <w:p w14:paraId="53A8ED49" w14:textId="77777777" w:rsidR="00F1459A" w:rsidRPr="0035358E" w:rsidRDefault="00F1459A" w:rsidP="005B5E66">
            <w:pPr>
              <w:pStyle w:val="TableText0"/>
              <w:jc w:val="center"/>
            </w:pPr>
            <w:r w:rsidRPr="0035358E">
              <w:t>507/3682</w:t>
            </w:r>
          </w:p>
        </w:tc>
        <w:tc>
          <w:tcPr>
            <w:tcW w:w="712" w:type="pct"/>
            <w:tcBorders>
              <w:top w:val="single" w:sz="4" w:space="0" w:color="auto"/>
              <w:left w:val="single" w:sz="4" w:space="0" w:color="auto"/>
              <w:bottom w:val="single" w:sz="4" w:space="0" w:color="auto"/>
              <w:right w:val="single" w:sz="4" w:space="0" w:color="auto"/>
            </w:tcBorders>
            <w:vAlign w:val="center"/>
          </w:tcPr>
          <w:p w14:paraId="12A3FD5D" w14:textId="77777777" w:rsidR="00F1459A" w:rsidRPr="0035358E" w:rsidRDefault="00F1459A" w:rsidP="005B5E66">
            <w:pPr>
              <w:pStyle w:val="TableText0"/>
              <w:jc w:val="center"/>
            </w:pPr>
            <w:r w:rsidRPr="0035358E">
              <w:t>483/3675</w:t>
            </w:r>
          </w:p>
        </w:tc>
        <w:tc>
          <w:tcPr>
            <w:tcW w:w="862" w:type="pct"/>
            <w:tcBorders>
              <w:top w:val="single" w:sz="4" w:space="0" w:color="auto"/>
              <w:left w:val="single" w:sz="4" w:space="0" w:color="auto"/>
              <w:bottom w:val="single" w:sz="4" w:space="0" w:color="auto"/>
              <w:right w:val="single" w:sz="4" w:space="0" w:color="auto"/>
            </w:tcBorders>
            <w:vAlign w:val="center"/>
          </w:tcPr>
          <w:p w14:paraId="383B8538" w14:textId="77777777" w:rsidR="00F1459A" w:rsidRPr="0035358E" w:rsidRDefault="00F1459A" w:rsidP="005B5E66">
            <w:pPr>
              <w:pStyle w:val="TableText0"/>
              <w:jc w:val="center"/>
              <w:rPr>
                <w:iCs/>
              </w:rPr>
            </w:pPr>
            <w:r w:rsidRPr="0035358E">
              <w:rPr>
                <w:iCs/>
              </w:rPr>
              <w:t>1.05 (0.93, 1.18)</w:t>
            </w:r>
          </w:p>
        </w:tc>
        <w:tc>
          <w:tcPr>
            <w:tcW w:w="628" w:type="pct"/>
            <w:tcBorders>
              <w:top w:val="single" w:sz="4" w:space="0" w:color="auto"/>
              <w:left w:val="single" w:sz="4" w:space="0" w:color="auto"/>
              <w:bottom w:val="single" w:sz="4" w:space="0" w:color="auto"/>
              <w:right w:val="single" w:sz="4" w:space="0" w:color="auto"/>
            </w:tcBorders>
            <w:vAlign w:val="center"/>
          </w:tcPr>
          <w:p w14:paraId="5E72842B" w14:textId="77777777" w:rsidR="00F1459A" w:rsidRPr="0035358E" w:rsidRDefault="00F1459A" w:rsidP="005B5E66">
            <w:pPr>
              <w:pStyle w:val="TableText0"/>
              <w:jc w:val="center"/>
            </w:pPr>
            <w:r w:rsidRPr="0035358E">
              <w:t>13.8</w:t>
            </w:r>
          </w:p>
        </w:tc>
        <w:tc>
          <w:tcPr>
            <w:tcW w:w="755" w:type="pct"/>
            <w:tcBorders>
              <w:top w:val="single" w:sz="4" w:space="0" w:color="auto"/>
              <w:left w:val="single" w:sz="4" w:space="0" w:color="auto"/>
              <w:bottom w:val="single" w:sz="4" w:space="0" w:color="auto"/>
              <w:right w:val="single" w:sz="4" w:space="0" w:color="auto"/>
            </w:tcBorders>
            <w:vAlign w:val="center"/>
          </w:tcPr>
          <w:p w14:paraId="6A4542C1" w14:textId="77777777" w:rsidR="00F1459A" w:rsidRPr="0035358E" w:rsidRDefault="00F1459A" w:rsidP="005B5E66">
            <w:pPr>
              <w:pStyle w:val="TableText0"/>
              <w:jc w:val="center"/>
            </w:pPr>
            <w:r w:rsidRPr="0035358E">
              <w:t>13.1</w:t>
            </w:r>
          </w:p>
        </w:tc>
        <w:tc>
          <w:tcPr>
            <w:tcW w:w="769" w:type="pct"/>
            <w:tcBorders>
              <w:top w:val="single" w:sz="4" w:space="0" w:color="auto"/>
              <w:left w:val="single" w:sz="4" w:space="0" w:color="auto"/>
              <w:bottom w:val="single" w:sz="4" w:space="0" w:color="auto"/>
              <w:right w:val="single" w:sz="4" w:space="0" w:color="auto"/>
            </w:tcBorders>
            <w:vAlign w:val="center"/>
          </w:tcPr>
          <w:p w14:paraId="7E1EDDD8" w14:textId="77777777" w:rsidR="00F1459A" w:rsidRPr="0035358E" w:rsidRDefault="00F1459A" w:rsidP="005B5E66">
            <w:pPr>
              <w:pStyle w:val="TableText0"/>
              <w:jc w:val="center"/>
              <w:rPr>
                <w:iCs/>
              </w:rPr>
            </w:pPr>
            <w:r w:rsidRPr="0035358E">
              <w:rPr>
                <w:iCs/>
              </w:rPr>
              <w:t>0.01 (-0.01, 0.02)</w:t>
            </w:r>
          </w:p>
        </w:tc>
      </w:tr>
      <w:tr w:rsidR="00F1459A" w:rsidRPr="0035358E" w14:paraId="5FE51E0B"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A7B71E6" w14:textId="77777777" w:rsidR="00F1459A" w:rsidRPr="0035358E" w:rsidRDefault="00F1459A" w:rsidP="005B5E66">
            <w:pPr>
              <w:pStyle w:val="TableText0"/>
            </w:pPr>
            <w:r w:rsidRPr="0035358E">
              <w:t>Pain at injection site</w:t>
            </w:r>
          </w:p>
        </w:tc>
        <w:tc>
          <w:tcPr>
            <w:tcW w:w="633" w:type="pct"/>
            <w:tcBorders>
              <w:top w:val="single" w:sz="4" w:space="0" w:color="auto"/>
              <w:left w:val="single" w:sz="4" w:space="0" w:color="auto"/>
              <w:bottom w:val="single" w:sz="4" w:space="0" w:color="auto"/>
              <w:right w:val="single" w:sz="4" w:space="0" w:color="auto"/>
            </w:tcBorders>
            <w:vAlign w:val="center"/>
          </w:tcPr>
          <w:p w14:paraId="1CCD7C25" w14:textId="77777777" w:rsidR="00F1459A" w:rsidRPr="0035358E" w:rsidRDefault="00F1459A" w:rsidP="005B5E66">
            <w:pPr>
              <w:pStyle w:val="TableText0"/>
              <w:jc w:val="center"/>
            </w:pPr>
            <w:r w:rsidRPr="0035358E">
              <w:t>1488/3663</w:t>
            </w:r>
          </w:p>
        </w:tc>
        <w:tc>
          <w:tcPr>
            <w:tcW w:w="712" w:type="pct"/>
            <w:tcBorders>
              <w:top w:val="single" w:sz="4" w:space="0" w:color="auto"/>
              <w:left w:val="single" w:sz="4" w:space="0" w:color="auto"/>
              <w:bottom w:val="single" w:sz="4" w:space="0" w:color="auto"/>
              <w:right w:val="single" w:sz="4" w:space="0" w:color="auto"/>
            </w:tcBorders>
            <w:vAlign w:val="center"/>
          </w:tcPr>
          <w:p w14:paraId="1220527D" w14:textId="77777777" w:rsidR="00F1459A" w:rsidRPr="0035358E" w:rsidRDefault="00F1459A" w:rsidP="005B5E66">
            <w:pPr>
              <w:pStyle w:val="TableText0"/>
              <w:jc w:val="center"/>
            </w:pPr>
            <w:r w:rsidRPr="0035358E">
              <w:t>369/3639</w:t>
            </w:r>
          </w:p>
        </w:tc>
        <w:tc>
          <w:tcPr>
            <w:tcW w:w="862" w:type="pct"/>
            <w:tcBorders>
              <w:top w:val="single" w:sz="4" w:space="0" w:color="auto"/>
              <w:left w:val="single" w:sz="4" w:space="0" w:color="auto"/>
              <w:bottom w:val="single" w:sz="4" w:space="0" w:color="auto"/>
              <w:right w:val="single" w:sz="4" w:space="0" w:color="auto"/>
            </w:tcBorders>
            <w:vAlign w:val="center"/>
          </w:tcPr>
          <w:p w14:paraId="7D093DFA" w14:textId="77777777" w:rsidR="00F1459A" w:rsidRPr="0035358E" w:rsidRDefault="00F1459A" w:rsidP="005B5E66">
            <w:pPr>
              <w:pStyle w:val="TableText0"/>
              <w:jc w:val="center"/>
              <w:rPr>
                <w:b/>
                <w:bCs w:val="0"/>
                <w:iCs/>
              </w:rPr>
            </w:pPr>
            <w:r w:rsidRPr="0035358E">
              <w:rPr>
                <w:b/>
                <w:bCs w:val="0"/>
                <w:iCs/>
              </w:rPr>
              <w:t>4.00 (3.61, 4.45)</w:t>
            </w:r>
          </w:p>
        </w:tc>
        <w:tc>
          <w:tcPr>
            <w:tcW w:w="628" w:type="pct"/>
            <w:tcBorders>
              <w:top w:val="single" w:sz="4" w:space="0" w:color="auto"/>
              <w:left w:val="single" w:sz="4" w:space="0" w:color="auto"/>
              <w:bottom w:val="single" w:sz="4" w:space="0" w:color="auto"/>
              <w:right w:val="single" w:sz="4" w:space="0" w:color="auto"/>
            </w:tcBorders>
            <w:vAlign w:val="center"/>
          </w:tcPr>
          <w:p w14:paraId="669BA557" w14:textId="77777777" w:rsidR="00F1459A" w:rsidRPr="0035358E" w:rsidRDefault="00F1459A" w:rsidP="005B5E66">
            <w:pPr>
              <w:pStyle w:val="TableText0"/>
              <w:jc w:val="center"/>
            </w:pPr>
            <w:r w:rsidRPr="0035358E">
              <w:t>40.6</w:t>
            </w:r>
          </w:p>
        </w:tc>
        <w:tc>
          <w:tcPr>
            <w:tcW w:w="755" w:type="pct"/>
            <w:tcBorders>
              <w:top w:val="single" w:sz="4" w:space="0" w:color="auto"/>
              <w:left w:val="single" w:sz="4" w:space="0" w:color="auto"/>
              <w:bottom w:val="single" w:sz="4" w:space="0" w:color="auto"/>
              <w:right w:val="single" w:sz="4" w:space="0" w:color="auto"/>
            </w:tcBorders>
            <w:vAlign w:val="center"/>
          </w:tcPr>
          <w:p w14:paraId="7C22EED1" w14:textId="77777777" w:rsidR="00F1459A" w:rsidRPr="0035358E" w:rsidRDefault="00F1459A" w:rsidP="005B5E66">
            <w:pPr>
              <w:pStyle w:val="TableText0"/>
              <w:jc w:val="center"/>
            </w:pPr>
            <w:r w:rsidRPr="0035358E">
              <w:t>10.1</w:t>
            </w:r>
          </w:p>
        </w:tc>
        <w:tc>
          <w:tcPr>
            <w:tcW w:w="769" w:type="pct"/>
            <w:tcBorders>
              <w:top w:val="single" w:sz="4" w:space="0" w:color="auto"/>
              <w:left w:val="single" w:sz="4" w:space="0" w:color="auto"/>
              <w:bottom w:val="single" w:sz="4" w:space="0" w:color="auto"/>
              <w:right w:val="single" w:sz="4" w:space="0" w:color="auto"/>
            </w:tcBorders>
            <w:vAlign w:val="center"/>
          </w:tcPr>
          <w:p w14:paraId="6330BD90" w14:textId="77777777" w:rsidR="00F1459A" w:rsidRPr="0035358E" w:rsidRDefault="00F1459A" w:rsidP="005B5E66">
            <w:pPr>
              <w:pStyle w:val="TableText0"/>
              <w:jc w:val="center"/>
              <w:rPr>
                <w:b/>
                <w:bCs w:val="0"/>
                <w:iCs/>
              </w:rPr>
            </w:pPr>
            <w:r w:rsidRPr="0035358E">
              <w:rPr>
                <w:b/>
                <w:bCs w:val="0"/>
                <w:iCs/>
              </w:rPr>
              <w:t>0.30 (0.27, 0.32)</w:t>
            </w:r>
          </w:p>
        </w:tc>
      </w:tr>
      <w:tr w:rsidR="00F1459A" w:rsidRPr="0035358E" w14:paraId="5EA2CB92"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3BE78F0" w14:textId="77777777" w:rsidR="00F1459A" w:rsidRPr="0035358E" w:rsidRDefault="00F1459A" w:rsidP="005B5E66">
            <w:pPr>
              <w:pStyle w:val="TableText0"/>
            </w:pPr>
            <w:r w:rsidRPr="0035358E">
              <w:t>Muscle pain</w:t>
            </w:r>
          </w:p>
        </w:tc>
        <w:tc>
          <w:tcPr>
            <w:tcW w:w="633" w:type="pct"/>
            <w:tcBorders>
              <w:top w:val="single" w:sz="4" w:space="0" w:color="auto"/>
              <w:left w:val="single" w:sz="4" w:space="0" w:color="auto"/>
              <w:bottom w:val="single" w:sz="4" w:space="0" w:color="auto"/>
              <w:right w:val="single" w:sz="4" w:space="0" w:color="auto"/>
            </w:tcBorders>
            <w:vAlign w:val="center"/>
          </w:tcPr>
          <w:p w14:paraId="6D32936F" w14:textId="77777777" w:rsidR="00F1459A" w:rsidRPr="0035358E" w:rsidRDefault="00F1459A" w:rsidP="005B5E66">
            <w:pPr>
              <w:pStyle w:val="TableText0"/>
              <w:jc w:val="center"/>
            </w:pPr>
            <w:r w:rsidRPr="0035358E">
              <w:t>972/3663</w:t>
            </w:r>
          </w:p>
        </w:tc>
        <w:tc>
          <w:tcPr>
            <w:tcW w:w="712" w:type="pct"/>
            <w:tcBorders>
              <w:top w:val="single" w:sz="4" w:space="0" w:color="auto"/>
              <w:left w:val="single" w:sz="4" w:space="0" w:color="auto"/>
              <w:bottom w:val="single" w:sz="4" w:space="0" w:color="auto"/>
              <w:right w:val="single" w:sz="4" w:space="0" w:color="auto"/>
            </w:tcBorders>
            <w:vAlign w:val="center"/>
          </w:tcPr>
          <w:p w14:paraId="484EFA17" w14:textId="77777777" w:rsidR="00F1459A" w:rsidRPr="0035358E" w:rsidRDefault="00F1459A" w:rsidP="005B5E66">
            <w:pPr>
              <w:pStyle w:val="TableText0"/>
              <w:jc w:val="center"/>
            </w:pPr>
            <w:r w:rsidRPr="0035358E">
              <w:t>623/3639</w:t>
            </w:r>
          </w:p>
        </w:tc>
        <w:tc>
          <w:tcPr>
            <w:tcW w:w="862" w:type="pct"/>
            <w:tcBorders>
              <w:top w:val="single" w:sz="4" w:space="0" w:color="auto"/>
              <w:left w:val="single" w:sz="4" w:space="0" w:color="auto"/>
              <w:bottom w:val="single" w:sz="4" w:space="0" w:color="auto"/>
              <w:right w:val="single" w:sz="4" w:space="0" w:color="auto"/>
            </w:tcBorders>
            <w:vAlign w:val="center"/>
          </w:tcPr>
          <w:p w14:paraId="18DD2C6F" w14:textId="77777777" w:rsidR="00F1459A" w:rsidRPr="0035358E" w:rsidRDefault="00F1459A" w:rsidP="005B5E66">
            <w:pPr>
              <w:pStyle w:val="TableText0"/>
              <w:jc w:val="center"/>
              <w:rPr>
                <w:b/>
                <w:bCs w:val="0"/>
                <w:iCs/>
              </w:rPr>
            </w:pPr>
            <w:r w:rsidRPr="0035358E">
              <w:rPr>
                <w:b/>
                <w:bCs w:val="0"/>
                <w:iCs/>
              </w:rPr>
              <w:t>1.55 (1.42, 1.70)</w:t>
            </w:r>
          </w:p>
        </w:tc>
        <w:tc>
          <w:tcPr>
            <w:tcW w:w="628" w:type="pct"/>
            <w:tcBorders>
              <w:top w:val="single" w:sz="4" w:space="0" w:color="auto"/>
              <w:left w:val="single" w:sz="4" w:space="0" w:color="auto"/>
              <w:bottom w:val="single" w:sz="4" w:space="0" w:color="auto"/>
              <w:right w:val="single" w:sz="4" w:space="0" w:color="auto"/>
            </w:tcBorders>
            <w:vAlign w:val="center"/>
          </w:tcPr>
          <w:p w14:paraId="77FE5D43" w14:textId="77777777" w:rsidR="00F1459A" w:rsidRPr="0035358E" w:rsidRDefault="00F1459A" w:rsidP="005B5E66">
            <w:pPr>
              <w:pStyle w:val="TableText0"/>
              <w:jc w:val="center"/>
            </w:pPr>
            <w:r w:rsidRPr="0035358E">
              <w:t>27.5</w:t>
            </w:r>
          </w:p>
        </w:tc>
        <w:tc>
          <w:tcPr>
            <w:tcW w:w="755" w:type="pct"/>
            <w:tcBorders>
              <w:top w:val="single" w:sz="4" w:space="0" w:color="auto"/>
              <w:left w:val="single" w:sz="4" w:space="0" w:color="auto"/>
              <w:bottom w:val="single" w:sz="4" w:space="0" w:color="auto"/>
              <w:right w:val="single" w:sz="4" w:space="0" w:color="auto"/>
            </w:tcBorders>
            <w:vAlign w:val="center"/>
          </w:tcPr>
          <w:p w14:paraId="744CC35B" w14:textId="77777777" w:rsidR="00F1459A" w:rsidRPr="0035358E" w:rsidRDefault="00F1459A" w:rsidP="005B5E66">
            <w:pPr>
              <w:pStyle w:val="TableText0"/>
              <w:jc w:val="center"/>
            </w:pPr>
            <w:r w:rsidRPr="0035358E">
              <w:t>17.1</w:t>
            </w:r>
          </w:p>
        </w:tc>
        <w:tc>
          <w:tcPr>
            <w:tcW w:w="769" w:type="pct"/>
            <w:tcBorders>
              <w:top w:val="single" w:sz="4" w:space="0" w:color="auto"/>
              <w:left w:val="single" w:sz="4" w:space="0" w:color="auto"/>
              <w:bottom w:val="single" w:sz="4" w:space="0" w:color="auto"/>
              <w:right w:val="single" w:sz="4" w:space="0" w:color="auto"/>
            </w:tcBorders>
            <w:vAlign w:val="center"/>
          </w:tcPr>
          <w:p w14:paraId="3FEF692D" w14:textId="77777777" w:rsidR="00F1459A" w:rsidRPr="0035358E" w:rsidRDefault="00F1459A" w:rsidP="005B5E66">
            <w:pPr>
              <w:pStyle w:val="TableText0"/>
              <w:jc w:val="center"/>
              <w:rPr>
                <w:b/>
                <w:bCs w:val="0"/>
                <w:iCs/>
              </w:rPr>
            </w:pPr>
            <w:r w:rsidRPr="0035358E">
              <w:rPr>
                <w:b/>
                <w:bCs w:val="0"/>
                <w:iCs/>
              </w:rPr>
              <w:t>0.09 (0.08, 0.11)</w:t>
            </w:r>
          </w:p>
        </w:tc>
      </w:tr>
      <w:tr w:rsidR="00F1459A" w:rsidRPr="0035358E" w14:paraId="14E6F292" w14:textId="77777777" w:rsidTr="001275F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689348" w14:textId="77777777" w:rsidR="00F1459A" w:rsidRPr="0035358E" w:rsidRDefault="00F1459A" w:rsidP="005B5E66">
            <w:pPr>
              <w:pStyle w:val="In-tableHeading"/>
              <w:rPr>
                <w:lang w:val="en-AU"/>
              </w:rPr>
            </w:pPr>
            <w:r w:rsidRPr="0035358E">
              <w:rPr>
                <w:lang w:val="en-AU"/>
              </w:rPr>
              <w:t>Infant participants</w:t>
            </w:r>
          </w:p>
        </w:tc>
      </w:tr>
      <w:tr w:rsidR="00F1459A" w:rsidRPr="0035358E" w14:paraId="68A6E180"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AF49477" w14:textId="77777777" w:rsidR="00F1459A" w:rsidRPr="0035358E" w:rsidRDefault="00F1459A" w:rsidP="005B5E66">
            <w:pPr>
              <w:pStyle w:val="TableText0"/>
            </w:pPr>
            <w:r w:rsidRPr="0035358E">
              <w:t>Any AE</w:t>
            </w:r>
          </w:p>
        </w:tc>
        <w:tc>
          <w:tcPr>
            <w:tcW w:w="633" w:type="pct"/>
            <w:tcBorders>
              <w:top w:val="single" w:sz="4" w:space="0" w:color="auto"/>
              <w:left w:val="single" w:sz="4" w:space="0" w:color="auto"/>
              <w:bottom w:val="single" w:sz="4" w:space="0" w:color="auto"/>
              <w:right w:val="single" w:sz="4" w:space="0" w:color="auto"/>
            </w:tcBorders>
            <w:vAlign w:val="center"/>
          </w:tcPr>
          <w:p w14:paraId="13F099BC" w14:textId="77777777" w:rsidR="00F1459A" w:rsidRPr="0035358E" w:rsidRDefault="00F1459A" w:rsidP="005B5E66">
            <w:pPr>
              <w:pStyle w:val="TableText0"/>
              <w:jc w:val="center"/>
            </w:pPr>
            <w:r w:rsidRPr="0035358E">
              <w:t>1324/3568</w:t>
            </w:r>
          </w:p>
        </w:tc>
        <w:tc>
          <w:tcPr>
            <w:tcW w:w="712" w:type="pct"/>
            <w:tcBorders>
              <w:top w:val="single" w:sz="4" w:space="0" w:color="auto"/>
              <w:left w:val="single" w:sz="4" w:space="0" w:color="auto"/>
              <w:bottom w:val="single" w:sz="4" w:space="0" w:color="auto"/>
              <w:right w:val="single" w:sz="4" w:space="0" w:color="auto"/>
            </w:tcBorders>
            <w:vAlign w:val="center"/>
          </w:tcPr>
          <w:p w14:paraId="1046888F" w14:textId="77777777" w:rsidR="00F1459A" w:rsidRPr="0035358E" w:rsidRDefault="00F1459A" w:rsidP="005B5E66">
            <w:pPr>
              <w:pStyle w:val="TableText0"/>
              <w:jc w:val="center"/>
            </w:pPr>
            <w:r w:rsidRPr="0035358E">
              <w:t>1229/3558</w:t>
            </w:r>
          </w:p>
        </w:tc>
        <w:tc>
          <w:tcPr>
            <w:tcW w:w="862" w:type="pct"/>
            <w:tcBorders>
              <w:top w:val="single" w:sz="4" w:space="0" w:color="auto"/>
              <w:left w:val="single" w:sz="4" w:space="0" w:color="auto"/>
              <w:bottom w:val="single" w:sz="4" w:space="0" w:color="auto"/>
              <w:right w:val="single" w:sz="4" w:space="0" w:color="auto"/>
            </w:tcBorders>
            <w:vAlign w:val="center"/>
          </w:tcPr>
          <w:p w14:paraId="7CF17F75" w14:textId="77777777" w:rsidR="00F1459A" w:rsidRPr="0035358E" w:rsidRDefault="00F1459A" w:rsidP="005B5E66">
            <w:pPr>
              <w:pStyle w:val="TableText0"/>
              <w:jc w:val="center"/>
              <w:rPr>
                <w:b/>
                <w:bCs w:val="0"/>
                <w:iCs/>
              </w:rPr>
            </w:pPr>
            <w:r w:rsidRPr="0035358E">
              <w:rPr>
                <w:b/>
                <w:bCs w:val="0"/>
                <w:iCs/>
              </w:rPr>
              <w:t>1.07 (1.01, 1.14)</w:t>
            </w:r>
          </w:p>
        </w:tc>
        <w:tc>
          <w:tcPr>
            <w:tcW w:w="628" w:type="pct"/>
            <w:tcBorders>
              <w:top w:val="single" w:sz="4" w:space="0" w:color="auto"/>
              <w:left w:val="single" w:sz="4" w:space="0" w:color="auto"/>
              <w:bottom w:val="single" w:sz="4" w:space="0" w:color="auto"/>
              <w:right w:val="single" w:sz="4" w:space="0" w:color="auto"/>
            </w:tcBorders>
            <w:vAlign w:val="center"/>
          </w:tcPr>
          <w:p w14:paraId="57B39D78" w14:textId="77777777" w:rsidR="00F1459A" w:rsidRPr="0035358E" w:rsidRDefault="00F1459A" w:rsidP="005B5E66">
            <w:pPr>
              <w:pStyle w:val="TableText0"/>
              <w:jc w:val="center"/>
            </w:pPr>
            <w:r w:rsidRPr="0035358E">
              <w:t>37.1</w:t>
            </w:r>
          </w:p>
        </w:tc>
        <w:tc>
          <w:tcPr>
            <w:tcW w:w="755" w:type="pct"/>
            <w:tcBorders>
              <w:top w:val="single" w:sz="4" w:space="0" w:color="auto"/>
              <w:left w:val="single" w:sz="4" w:space="0" w:color="auto"/>
              <w:bottom w:val="single" w:sz="4" w:space="0" w:color="auto"/>
              <w:right w:val="single" w:sz="4" w:space="0" w:color="auto"/>
            </w:tcBorders>
            <w:vAlign w:val="center"/>
          </w:tcPr>
          <w:p w14:paraId="20ACE913" w14:textId="77777777" w:rsidR="00F1459A" w:rsidRPr="0035358E" w:rsidRDefault="00F1459A" w:rsidP="005B5E66">
            <w:pPr>
              <w:pStyle w:val="TableText0"/>
              <w:jc w:val="center"/>
            </w:pPr>
            <w:r w:rsidRPr="0035358E">
              <w:t>34.5</w:t>
            </w:r>
          </w:p>
        </w:tc>
        <w:tc>
          <w:tcPr>
            <w:tcW w:w="769" w:type="pct"/>
            <w:tcBorders>
              <w:top w:val="single" w:sz="4" w:space="0" w:color="auto"/>
              <w:left w:val="single" w:sz="4" w:space="0" w:color="auto"/>
              <w:bottom w:val="single" w:sz="4" w:space="0" w:color="auto"/>
              <w:right w:val="single" w:sz="4" w:space="0" w:color="auto"/>
            </w:tcBorders>
            <w:vAlign w:val="center"/>
          </w:tcPr>
          <w:p w14:paraId="247647A2" w14:textId="77777777" w:rsidR="00F1459A" w:rsidRPr="0035358E" w:rsidRDefault="00F1459A" w:rsidP="005B5E66">
            <w:pPr>
              <w:pStyle w:val="TableText0"/>
              <w:jc w:val="center"/>
              <w:rPr>
                <w:b/>
                <w:bCs w:val="0"/>
                <w:iCs/>
              </w:rPr>
            </w:pPr>
            <w:r w:rsidRPr="0035358E">
              <w:rPr>
                <w:b/>
                <w:bCs w:val="0"/>
                <w:iCs/>
              </w:rPr>
              <w:t>0.03 (0.00, 0.05)</w:t>
            </w:r>
          </w:p>
        </w:tc>
      </w:tr>
      <w:tr w:rsidR="00F1459A" w:rsidRPr="0035358E" w14:paraId="0411593E"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525C88F" w14:textId="77777777" w:rsidR="00F1459A" w:rsidRPr="0035358E" w:rsidRDefault="00F1459A" w:rsidP="005B5E66">
            <w:pPr>
              <w:pStyle w:val="TableText0"/>
            </w:pPr>
            <w:r w:rsidRPr="0035358E">
              <w:t>Jaundice neonatal</w:t>
            </w:r>
          </w:p>
        </w:tc>
        <w:tc>
          <w:tcPr>
            <w:tcW w:w="633" w:type="pct"/>
            <w:tcBorders>
              <w:top w:val="single" w:sz="4" w:space="0" w:color="auto"/>
              <w:left w:val="single" w:sz="4" w:space="0" w:color="auto"/>
              <w:bottom w:val="single" w:sz="4" w:space="0" w:color="auto"/>
              <w:right w:val="single" w:sz="4" w:space="0" w:color="auto"/>
            </w:tcBorders>
            <w:vAlign w:val="center"/>
          </w:tcPr>
          <w:p w14:paraId="758C06B7" w14:textId="77777777" w:rsidR="00F1459A" w:rsidRPr="0035358E" w:rsidRDefault="00F1459A" w:rsidP="005B5E66">
            <w:pPr>
              <w:pStyle w:val="TableText0"/>
              <w:jc w:val="center"/>
            </w:pPr>
            <w:r w:rsidRPr="0035358E">
              <w:t>257/3568</w:t>
            </w:r>
          </w:p>
        </w:tc>
        <w:tc>
          <w:tcPr>
            <w:tcW w:w="712" w:type="pct"/>
            <w:tcBorders>
              <w:top w:val="single" w:sz="4" w:space="0" w:color="auto"/>
              <w:left w:val="single" w:sz="4" w:space="0" w:color="auto"/>
              <w:bottom w:val="single" w:sz="4" w:space="0" w:color="auto"/>
              <w:right w:val="single" w:sz="4" w:space="0" w:color="auto"/>
            </w:tcBorders>
            <w:vAlign w:val="center"/>
          </w:tcPr>
          <w:p w14:paraId="17EA827C" w14:textId="77777777" w:rsidR="00F1459A" w:rsidRPr="0035358E" w:rsidRDefault="00F1459A" w:rsidP="005B5E66">
            <w:pPr>
              <w:pStyle w:val="TableText0"/>
              <w:jc w:val="center"/>
            </w:pPr>
            <w:r w:rsidRPr="0035358E">
              <w:t>241/3558</w:t>
            </w:r>
          </w:p>
        </w:tc>
        <w:tc>
          <w:tcPr>
            <w:tcW w:w="862" w:type="pct"/>
            <w:tcBorders>
              <w:top w:val="single" w:sz="4" w:space="0" w:color="auto"/>
              <w:left w:val="single" w:sz="4" w:space="0" w:color="auto"/>
              <w:bottom w:val="single" w:sz="4" w:space="0" w:color="auto"/>
              <w:right w:val="single" w:sz="4" w:space="0" w:color="auto"/>
            </w:tcBorders>
            <w:vAlign w:val="center"/>
          </w:tcPr>
          <w:p w14:paraId="1A9C8705" w14:textId="77777777" w:rsidR="00F1459A" w:rsidRPr="0035358E" w:rsidRDefault="00F1459A" w:rsidP="005B5E66">
            <w:pPr>
              <w:pStyle w:val="TableText0"/>
              <w:jc w:val="center"/>
              <w:rPr>
                <w:iCs/>
              </w:rPr>
            </w:pPr>
            <w:r w:rsidRPr="0035358E">
              <w:rPr>
                <w:iCs/>
              </w:rPr>
              <w:t>1.06 (0.90, 1.26)</w:t>
            </w:r>
          </w:p>
        </w:tc>
        <w:tc>
          <w:tcPr>
            <w:tcW w:w="628" w:type="pct"/>
            <w:tcBorders>
              <w:top w:val="single" w:sz="4" w:space="0" w:color="auto"/>
              <w:left w:val="single" w:sz="4" w:space="0" w:color="auto"/>
              <w:bottom w:val="single" w:sz="4" w:space="0" w:color="auto"/>
              <w:right w:val="single" w:sz="4" w:space="0" w:color="auto"/>
            </w:tcBorders>
            <w:vAlign w:val="center"/>
          </w:tcPr>
          <w:p w14:paraId="01F49899" w14:textId="77777777" w:rsidR="00F1459A" w:rsidRPr="0035358E" w:rsidRDefault="00F1459A" w:rsidP="005B5E66">
            <w:pPr>
              <w:pStyle w:val="TableText0"/>
              <w:jc w:val="center"/>
            </w:pPr>
            <w:r w:rsidRPr="0035358E">
              <w:t>7.2</w:t>
            </w:r>
          </w:p>
        </w:tc>
        <w:tc>
          <w:tcPr>
            <w:tcW w:w="755" w:type="pct"/>
            <w:tcBorders>
              <w:top w:val="single" w:sz="4" w:space="0" w:color="auto"/>
              <w:left w:val="single" w:sz="4" w:space="0" w:color="auto"/>
              <w:bottom w:val="single" w:sz="4" w:space="0" w:color="auto"/>
              <w:right w:val="single" w:sz="4" w:space="0" w:color="auto"/>
            </w:tcBorders>
            <w:vAlign w:val="center"/>
          </w:tcPr>
          <w:p w14:paraId="1F8EC787" w14:textId="77777777" w:rsidR="00F1459A" w:rsidRPr="0035358E" w:rsidRDefault="00F1459A" w:rsidP="005B5E66">
            <w:pPr>
              <w:pStyle w:val="TableText0"/>
              <w:jc w:val="center"/>
            </w:pPr>
            <w:r w:rsidRPr="0035358E">
              <w:t>6.8</w:t>
            </w:r>
          </w:p>
        </w:tc>
        <w:tc>
          <w:tcPr>
            <w:tcW w:w="769" w:type="pct"/>
            <w:tcBorders>
              <w:top w:val="single" w:sz="4" w:space="0" w:color="auto"/>
              <w:left w:val="single" w:sz="4" w:space="0" w:color="auto"/>
              <w:bottom w:val="single" w:sz="4" w:space="0" w:color="auto"/>
              <w:right w:val="single" w:sz="4" w:space="0" w:color="auto"/>
            </w:tcBorders>
            <w:vAlign w:val="center"/>
          </w:tcPr>
          <w:p w14:paraId="43894463" w14:textId="77777777" w:rsidR="00F1459A" w:rsidRPr="0035358E" w:rsidRDefault="00F1459A" w:rsidP="005B5E66">
            <w:pPr>
              <w:pStyle w:val="TableText0"/>
              <w:jc w:val="center"/>
              <w:rPr>
                <w:iCs/>
              </w:rPr>
            </w:pPr>
            <w:r w:rsidRPr="0035358E">
              <w:rPr>
                <w:iCs/>
              </w:rPr>
              <w:t>0.00 (-0.01, 0.02)</w:t>
            </w:r>
          </w:p>
        </w:tc>
      </w:tr>
      <w:tr w:rsidR="00F1459A" w:rsidRPr="0035358E" w14:paraId="50EA3160" w14:textId="77777777" w:rsidTr="001275F8">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289959BF" w14:textId="77777777" w:rsidR="00F1459A" w:rsidRPr="0035358E" w:rsidRDefault="00F1459A" w:rsidP="005B5E66">
            <w:pPr>
              <w:pStyle w:val="TableText0"/>
            </w:pPr>
            <w:r w:rsidRPr="0035358E">
              <w:t>Premature baby</w:t>
            </w:r>
          </w:p>
        </w:tc>
        <w:tc>
          <w:tcPr>
            <w:tcW w:w="633" w:type="pct"/>
            <w:tcBorders>
              <w:top w:val="single" w:sz="4" w:space="0" w:color="auto"/>
              <w:left w:val="single" w:sz="4" w:space="0" w:color="auto"/>
              <w:bottom w:val="single" w:sz="4" w:space="0" w:color="auto"/>
              <w:right w:val="single" w:sz="4" w:space="0" w:color="auto"/>
            </w:tcBorders>
            <w:vAlign w:val="center"/>
          </w:tcPr>
          <w:p w14:paraId="1E14AD09" w14:textId="77777777" w:rsidR="00F1459A" w:rsidRPr="0035358E" w:rsidRDefault="00F1459A" w:rsidP="005B5E66">
            <w:pPr>
              <w:pStyle w:val="TableText0"/>
              <w:jc w:val="center"/>
            </w:pPr>
            <w:r w:rsidRPr="0035358E">
              <w:t>202/3568</w:t>
            </w:r>
          </w:p>
        </w:tc>
        <w:tc>
          <w:tcPr>
            <w:tcW w:w="712" w:type="pct"/>
            <w:tcBorders>
              <w:top w:val="single" w:sz="4" w:space="0" w:color="auto"/>
              <w:left w:val="single" w:sz="4" w:space="0" w:color="auto"/>
              <w:bottom w:val="single" w:sz="4" w:space="0" w:color="auto"/>
              <w:right w:val="single" w:sz="4" w:space="0" w:color="auto"/>
            </w:tcBorders>
            <w:vAlign w:val="center"/>
          </w:tcPr>
          <w:p w14:paraId="1A3EF209" w14:textId="77777777" w:rsidR="00F1459A" w:rsidRPr="0035358E" w:rsidRDefault="00F1459A" w:rsidP="005B5E66">
            <w:pPr>
              <w:pStyle w:val="TableText0"/>
              <w:jc w:val="center"/>
            </w:pPr>
            <w:r w:rsidRPr="0035358E">
              <w:t>169/3558</w:t>
            </w:r>
          </w:p>
        </w:tc>
        <w:tc>
          <w:tcPr>
            <w:tcW w:w="862" w:type="pct"/>
            <w:tcBorders>
              <w:top w:val="single" w:sz="4" w:space="0" w:color="auto"/>
              <w:left w:val="single" w:sz="4" w:space="0" w:color="auto"/>
              <w:bottom w:val="single" w:sz="4" w:space="0" w:color="auto"/>
              <w:right w:val="single" w:sz="4" w:space="0" w:color="auto"/>
            </w:tcBorders>
            <w:vAlign w:val="center"/>
          </w:tcPr>
          <w:p w14:paraId="7BD80CD9" w14:textId="77777777" w:rsidR="00F1459A" w:rsidRPr="0035358E" w:rsidRDefault="00F1459A" w:rsidP="005B5E66">
            <w:pPr>
              <w:pStyle w:val="TableText0"/>
              <w:jc w:val="center"/>
              <w:rPr>
                <w:iCs/>
              </w:rPr>
            </w:pPr>
            <w:r w:rsidRPr="0035358E">
              <w:rPr>
                <w:iCs/>
              </w:rPr>
              <w:t>1.19 (0.98, 1.45)</w:t>
            </w:r>
          </w:p>
        </w:tc>
        <w:tc>
          <w:tcPr>
            <w:tcW w:w="628" w:type="pct"/>
            <w:tcBorders>
              <w:top w:val="single" w:sz="4" w:space="0" w:color="auto"/>
              <w:left w:val="single" w:sz="4" w:space="0" w:color="auto"/>
              <w:bottom w:val="single" w:sz="4" w:space="0" w:color="auto"/>
              <w:right w:val="single" w:sz="4" w:space="0" w:color="auto"/>
            </w:tcBorders>
            <w:vAlign w:val="center"/>
          </w:tcPr>
          <w:p w14:paraId="2A71C8E9" w14:textId="77777777" w:rsidR="00F1459A" w:rsidRPr="0035358E" w:rsidRDefault="00F1459A" w:rsidP="005B5E66">
            <w:pPr>
              <w:pStyle w:val="TableText0"/>
              <w:jc w:val="center"/>
            </w:pPr>
            <w:r w:rsidRPr="0035358E">
              <w:t>5.7</w:t>
            </w:r>
          </w:p>
        </w:tc>
        <w:tc>
          <w:tcPr>
            <w:tcW w:w="755" w:type="pct"/>
            <w:tcBorders>
              <w:top w:val="single" w:sz="4" w:space="0" w:color="auto"/>
              <w:left w:val="single" w:sz="4" w:space="0" w:color="auto"/>
              <w:bottom w:val="single" w:sz="4" w:space="0" w:color="auto"/>
              <w:right w:val="single" w:sz="4" w:space="0" w:color="auto"/>
            </w:tcBorders>
            <w:vAlign w:val="center"/>
          </w:tcPr>
          <w:p w14:paraId="6A3551A8" w14:textId="77777777" w:rsidR="00F1459A" w:rsidRPr="0035358E" w:rsidRDefault="00F1459A" w:rsidP="005B5E66">
            <w:pPr>
              <w:pStyle w:val="TableText0"/>
              <w:jc w:val="center"/>
            </w:pPr>
            <w:r w:rsidRPr="0035358E">
              <w:t>4.7</w:t>
            </w:r>
          </w:p>
        </w:tc>
        <w:tc>
          <w:tcPr>
            <w:tcW w:w="769" w:type="pct"/>
            <w:tcBorders>
              <w:top w:val="single" w:sz="4" w:space="0" w:color="auto"/>
              <w:left w:val="single" w:sz="4" w:space="0" w:color="auto"/>
              <w:bottom w:val="single" w:sz="4" w:space="0" w:color="auto"/>
              <w:right w:val="single" w:sz="4" w:space="0" w:color="auto"/>
            </w:tcBorders>
            <w:vAlign w:val="center"/>
          </w:tcPr>
          <w:p w14:paraId="1A8A9105" w14:textId="77777777" w:rsidR="00F1459A" w:rsidRPr="0035358E" w:rsidRDefault="00F1459A" w:rsidP="005B5E66">
            <w:pPr>
              <w:pStyle w:val="TableText0"/>
              <w:jc w:val="center"/>
              <w:rPr>
                <w:iCs/>
              </w:rPr>
            </w:pPr>
            <w:r w:rsidRPr="0035358E">
              <w:rPr>
                <w:iCs/>
              </w:rPr>
              <w:t>0.01 (-0.00, 0.02)</w:t>
            </w:r>
          </w:p>
        </w:tc>
      </w:tr>
    </w:tbl>
    <w:p w14:paraId="4375116F" w14:textId="77777777" w:rsidR="00F1459A" w:rsidRPr="0035358E" w:rsidRDefault="00F1459A" w:rsidP="005B5E66">
      <w:pPr>
        <w:pStyle w:val="FooterTableFigure"/>
        <w:keepNext/>
        <w:rPr>
          <w:sz w:val="20"/>
        </w:rPr>
      </w:pPr>
      <w:r w:rsidRPr="0035358E">
        <w:t xml:space="preserve">Source: Table 2.5.1, p61, and </w:t>
      </w:r>
      <w:r w:rsidRPr="0035358E">
        <w:rPr>
          <w:szCs w:val="18"/>
        </w:rPr>
        <w:t>Table 2.5.2, p63</w:t>
      </w:r>
      <w:r w:rsidRPr="0035358E">
        <w:t xml:space="preserve"> of the submission. Table 18, pp69-70, Table 19 pp71-72, </w:t>
      </w:r>
      <w:r w:rsidRPr="0035358E">
        <w:rPr>
          <w:szCs w:val="18"/>
        </w:rPr>
        <w:t>Table 14.72, pp400-405 and Table 14.90, pp809-839</w:t>
      </w:r>
      <w:r w:rsidRPr="0035358E">
        <w:t xml:space="preserve"> of the MATISSE CSR.</w:t>
      </w:r>
    </w:p>
    <w:p w14:paraId="7D2A95D4" w14:textId="7B7B5AB1" w:rsidR="00F1459A" w:rsidRPr="0035358E" w:rsidRDefault="00AC6CE4" w:rsidP="005B5E66">
      <w:pPr>
        <w:pStyle w:val="FooterTableFigure"/>
        <w:keepNext/>
      </w:pPr>
      <w:r>
        <w:t xml:space="preserve">Abbreviations: </w:t>
      </w:r>
      <w:r w:rsidR="00F1459A" w:rsidRPr="0035358E">
        <w:t xml:space="preserve">AE = adverse event; CI = confidence interval; </w:t>
      </w:r>
      <w:r w:rsidR="00F1459A" w:rsidRPr="0035358E">
        <w:rPr>
          <w:rFonts w:eastAsia="Calibri"/>
        </w:rPr>
        <w:t>MA-LRTI = medically attended lower respiratory tract illness</w:t>
      </w:r>
      <w:r w:rsidR="00F1459A" w:rsidRPr="0035358E">
        <w:t xml:space="preserve">; RD = risk difference; RR = risk ratio; </w:t>
      </w:r>
      <w:r w:rsidR="00F1459A" w:rsidRPr="0035358E">
        <w:rPr>
          <w:rFonts w:eastAsia="Calibri"/>
        </w:rPr>
        <w:t xml:space="preserve">RSV = respiratory syncytial virus; RSVpreF = </w:t>
      </w:r>
      <w:r w:rsidR="00F1459A" w:rsidRPr="0035358E">
        <w:rPr>
          <w:szCs w:val="18"/>
        </w:rPr>
        <w:t>respiratory syncytial virus pre-fusion F protein vaccine; VE = vaccine efficacy</w:t>
      </w:r>
    </w:p>
    <w:p w14:paraId="65C2E34B" w14:textId="77777777" w:rsidR="00F1459A" w:rsidRPr="0035358E" w:rsidRDefault="00F1459A" w:rsidP="005B5E66">
      <w:pPr>
        <w:pStyle w:val="FooterTableFigure"/>
        <w:keepNext/>
      </w:pPr>
      <w:r w:rsidRPr="0035358E">
        <w:t>* Maximum duration of follow-up = 24 months</w:t>
      </w:r>
    </w:p>
    <w:p w14:paraId="0096A910" w14:textId="77777777" w:rsidR="00F1459A" w:rsidRPr="0035358E" w:rsidRDefault="00F1459A" w:rsidP="005B5E66">
      <w:pPr>
        <w:pStyle w:val="FooterTableFigure"/>
        <w:keepNext/>
        <w:rPr>
          <w:rFonts w:eastAsia="Calibri"/>
          <w:bCs/>
        </w:rPr>
      </w:pPr>
      <w:r w:rsidRPr="0035358E">
        <w:rPr>
          <w:vertAlign w:val="superscript"/>
        </w:rPr>
        <w:t>a</w:t>
      </w:r>
      <w:r w:rsidRPr="0035358E">
        <w:t xml:space="preserve"> </w:t>
      </w:r>
      <w:r w:rsidRPr="0035358E">
        <w:rPr>
          <w:rFonts w:eastAsia="Calibri"/>
          <w:bCs/>
        </w:rPr>
        <w:t>Calculated as 1-(P/[1-P]), where P is the number of cases in the RSVpreF group divided by the total number of cases.</w:t>
      </w:r>
    </w:p>
    <w:p w14:paraId="2EE0851C" w14:textId="77777777" w:rsidR="00F1459A" w:rsidRPr="0035358E" w:rsidRDefault="00F1459A" w:rsidP="005B5E66">
      <w:pPr>
        <w:pStyle w:val="FooterTableFigure"/>
        <w:keepNext/>
        <w:rPr>
          <w:rFonts w:eastAsia="Calibri"/>
          <w:bCs/>
        </w:rPr>
      </w:pPr>
      <w:r w:rsidRPr="0035358E">
        <w:rPr>
          <w:rFonts w:eastAsia="Calibri"/>
          <w:bCs/>
          <w:vertAlign w:val="superscript"/>
        </w:rPr>
        <w:t xml:space="preserve">b </w:t>
      </w:r>
      <w:r w:rsidRPr="0035358E">
        <w:rPr>
          <w:rFonts w:eastAsia="Calibri"/>
          <w:bCs/>
        </w:rPr>
        <w:t>99.5% CI at 90 days (as determined by the alpha spending function and adjusted using the Bonferroni procedure), and 97.58% CI at later intervals (based on 2-sided alpha of 0.0483 adjusted using the Bonferroni procedure</w:t>
      </w:r>
    </w:p>
    <w:p w14:paraId="765F42C9" w14:textId="77777777" w:rsidR="00F1459A" w:rsidRPr="0035358E" w:rsidRDefault="00F1459A" w:rsidP="00F1459A">
      <w:pPr>
        <w:pStyle w:val="FooterTableFigure"/>
        <w:rPr>
          <w:vertAlign w:val="superscript"/>
        </w:rPr>
      </w:pPr>
      <w:r w:rsidRPr="0035358E">
        <w:rPr>
          <w:rFonts w:eastAsia="Calibri"/>
          <w:b/>
        </w:rPr>
        <w:t>Bold</w:t>
      </w:r>
      <w:r w:rsidRPr="0035358E">
        <w:rPr>
          <w:rFonts w:eastAsia="Calibri"/>
        </w:rPr>
        <w:t xml:space="preserve"> indicates statistically significant results.</w:t>
      </w:r>
    </w:p>
    <w:p w14:paraId="3F920687" w14:textId="2798EF7B" w:rsidR="00F1459A" w:rsidRPr="0035358E" w:rsidRDefault="00F1459A" w:rsidP="00DD4B2C">
      <w:pPr>
        <w:pStyle w:val="3-BodyText"/>
      </w:pPr>
      <w:r w:rsidRPr="0035358E">
        <w:t xml:space="preserve">Based on the direct evidence presented in the submission, for every 100 pregnant women </w:t>
      </w:r>
      <w:r w:rsidR="00977381" w:rsidRPr="0035358E">
        <w:t>administered</w:t>
      </w:r>
      <w:r w:rsidRPr="0035358E">
        <w:t xml:space="preserve"> RSVpreF in comparison with placebo (no vaccine):</w:t>
      </w:r>
    </w:p>
    <w:p w14:paraId="601141AE" w14:textId="321B9430" w:rsidR="00F1459A" w:rsidRPr="0035358E" w:rsidRDefault="00F1459A" w:rsidP="00DD4B2C">
      <w:pPr>
        <w:pStyle w:val="ListParagraph"/>
      </w:pPr>
      <w:r w:rsidRPr="0035358E">
        <w:t>Approximately 2 fewer infants would have RSV-positive MA-LRTI</w:t>
      </w:r>
      <w:r w:rsidR="0095567E" w:rsidRPr="0035358E">
        <w:t xml:space="preserve"> out to 180 days post birth</w:t>
      </w:r>
      <w:r w:rsidRPr="0035358E">
        <w:t>.</w:t>
      </w:r>
    </w:p>
    <w:p w14:paraId="1111ABD9" w14:textId="58A3AA16" w:rsidR="00F1459A" w:rsidRPr="0035358E" w:rsidRDefault="00F1459A" w:rsidP="00DD4B2C">
      <w:pPr>
        <w:pStyle w:val="ListParagraph"/>
      </w:pPr>
      <w:r w:rsidRPr="0035358E">
        <w:t>Approximately 1 less infant would have RSV-positive severe MA-LRTI</w:t>
      </w:r>
      <w:r w:rsidR="0095567E" w:rsidRPr="0035358E">
        <w:t xml:space="preserve"> out to 180 days post birth</w:t>
      </w:r>
      <w:r w:rsidRPr="0035358E">
        <w:t>.</w:t>
      </w:r>
    </w:p>
    <w:p w14:paraId="6DFA4C11" w14:textId="6D14A7A3" w:rsidR="00F1459A" w:rsidRPr="0035358E" w:rsidRDefault="00F1459A" w:rsidP="00DD4B2C">
      <w:pPr>
        <w:pStyle w:val="ListParagraph"/>
      </w:pPr>
      <w:r w:rsidRPr="0035358E">
        <w:t>Approximately 31 additional</w:t>
      </w:r>
      <w:r w:rsidR="00212BFF" w:rsidRPr="0035358E">
        <w:t xml:space="preserve"> women</w:t>
      </w:r>
      <w:r w:rsidRPr="0035358E">
        <w:t xml:space="preserve"> would experience pain at the injection site</w:t>
      </w:r>
      <w:r w:rsidR="0095567E" w:rsidRPr="0035358E">
        <w:t xml:space="preserve"> within 7 days after vaccination</w:t>
      </w:r>
      <w:r w:rsidRPr="0035358E">
        <w:t>.</w:t>
      </w:r>
    </w:p>
    <w:p w14:paraId="364516C5" w14:textId="0C9A2DE1" w:rsidR="00F1459A" w:rsidRPr="0035358E" w:rsidRDefault="00F1459A" w:rsidP="00DD4B2C">
      <w:pPr>
        <w:pStyle w:val="ListParagraph"/>
      </w:pPr>
      <w:r w:rsidRPr="0035358E">
        <w:t xml:space="preserve">Approximately 10 additional </w:t>
      </w:r>
      <w:r w:rsidR="00212BFF" w:rsidRPr="0035358E">
        <w:t xml:space="preserve">women </w:t>
      </w:r>
      <w:r w:rsidRPr="0035358E">
        <w:t>would experience muscle pain</w:t>
      </w:r>
      <w:r w:rsidR="0095567E" w:rsidRPr="0035358E">
        <w:t xml:space="preserve"> within 7 days after vaccination</w:t>
      </w:r>
      <w:r w:rsidRPr="0035358E">
        <w:t>.</w:t>
      </w:r>
    </w:p>
    <w:p w14:paraId="1387614E" w14:textId="77777777" w:rsidR="00F1459A" w:rsidRPr="0035358E" w:rsidRDefault="00F1459A" w:rsidP="00F1459A">
      <w:pPr>
        <w:pStyle w:val="4-SubsectionHeading"/>
      </w:pPr>
      <w:bookmarkStart w:id="62" w:name="_Toc22897644"/>
      <w:bookmarkStart w:id="63" w:name="_Toc156993554"/>
      <w:r w:rsidRPr="0035358E">
        <w:lastRenderedPageBreak/>
        <w:t>Clinical claim</w:t>
      </w:r>
      <w:bookmarkEnd w:id="62"/>
      <w:bookmarkEnd w:id="63"/>
    </w:p>
    <w:p w14:paraId="39E704F1" w14:textId="77777777" w:rsidR="00DB24CC" w:rsidRDefault="00F1459A" w:rsidP="00DD4B2C">
      <w:pPr>
        <w:pStyle w:val="3-BodyText"/>
        <w:rPr>
          <w:rFonts w:eastAsia="Calibri"/>
        </w:rPr>
      </w:pPr>
      <w:bookmarkStart w:id="64" w:name="_Hlk163161318"/>
      <w:r w:rsidRPr="0035358E">
        <w:rPr>
          <w:rFonts w:eastAsia="Calibri"/>
        </w:rPr>
        <w:t xml:space="preserve">The submission described RSVpreF as superior in terms of effectiveness compared to placebo. </w:t>
      </w:r>
      <w:r w:rsidR="0074187F" w:rsidRPr="0035358E">
        <w:rPr>
          <w:rFonts w:eastAsia="Calibri"/>
        </w:rPr>
        <w:t>The ESC agreed with the commentary that t</w:t>
      </w:r>
      <w:r w:rsidRPr="0035358E">
        <w:rPr>
          <w:rFonts w:eastAsia="Calibri"/>
        </w:rPr>
        <w:t xml:space="preserve">his claim was adequately supported. </w:t>
      </w:r>
      <w:r w:rsidRPr="0035358E">
        <w:rPr>
          <w:rFonts w:cstheme="minorHAnsi"/>
          <w:iCs/>
        </w:rPr>
        <w:t>In the key MATISSE trial, administration of RSVpreF to pregnant women resulted in a reduction in RSV-positive MA-LRTI in infants up to 180 days after birth, corresponding to a VE of 51.3% (97.58% CI</w:t>
      </w:r>
      <w:r w:rsidR="00A77C45" w:rsidRPr="0035358E">
        <w:rPr>
          <w:rFonts w:cstheme="minorHAnsi"/>
          <w:iCs/>
        </w:rPr>
        <w:t>:</w:t>
      </w:r>
      <w:r w:rsidRPr="0035358E">
        <w:rPr>
          <w:rFonts w:cstheme="minorHAnsi"/>
          <w:iCs/>
        </w:rPr>
        <w:t xml:space="preserve">29.4%, 66.8%), which </w:t>
      </w:r>
      <w:r w:rsidR="00114433" w:rsidRPr="0035358E">
        <w:rPr>
          <w:rFonts w:cstheme="minorHAnsi"/>
          <w:iCs/>
        </w:rPr>
        <w:t xml:space="preserve">met </w:t>
      </w:r>
      <w:r w:rsidRPr="0035358E">
        <w:rPr>
          <w:rFonts w:cstheme="minorHAnsi"/>
          <w:iCs/>
        </w:rPr>
        <w:t xml:space="preserve">the statistical criterion for success for the primary endpoint (a CI lower bound &gt; 20%). Additionally, RSVpreF administration resulted in a reduction in </w:t>
      </w:r>
      <w:r w:rsidR="00914A93" w:rsidRPr="0035358E">
        <w:rPr>
          <w:rFonts w:cstheme="minorHAnsi"/>
          <w:iCs/>
        </w:rPr>
        <w:t xml:space="preserve">RSV-positive </w:t>
      </w:r>
      <w:r w:rsidRPr="0035358E">
        <w:rPr>
          <w:rFonts w:cstheme="minorHAnsi"/>
          <w:iCs/>
        </w:rPr>
        <w:t>severe MA-LRTI in infants up to 180 days after birth resulting in a VE of 69.4% (97.58% CI</w:t>
      </w:r>
      <w:r w:rsidR="00A77C45" w:rsidRPr="0035358E">
        <w:rPr>
          <w:rFonts w:cstheme="minorHAnsi"/>
          <w:iCs/>
        </w:rPr>
        <w:t>:</w:t>
      </w:r>
      <w:r w:rsidRPr="0035358E">
        <w:rPr>
          <w:rFonts w:cstheme="minorHAnsi"/>
          <w:iCs/>
        </w:rPr>
        <w:t>44.3%, 84.1%). Hospitalisations due to RSV were also reduced in the RSVpreF group up to 180 days after birth, giving a VE of 56.8% (99.17% CI</w:t>
      </w:r>
      <w:r w:rsidR="00A77C45" w:rsidRPr="0035358E">
        <w:rPr>
          <w:rFonts w:cstheme="minorHAnsi"/>
          <w:iCs/>
        </w:rPr>
        <w:t>:</w:t>
      </w:r>
      <w:r w:rsidRPr="0035358E">
        <w:rPr>
          <w:rFonts w:cstheme="minorHAnsi"/>
          <w:iCs/>
        </w:rPr>
        <w:t>10.1%, 80.7%).</w:t>
      </w:r>
      <w:r w:rsidRPr="0035358E">
        <w:rPr>
          <w:rFonts w:cstheme="minorHAnsi"/>
        </w:rPr>
        <w:t xml:space="preserve"> </w:t>
      </w:r>
      <w:r w:rsidRPr="0035358E">
        <w:rPr>
          <w:rFonts w:eastAsia="Calibri"/>
        </w:rPr>
        <w:t xml:space="preserve">The key </w:t>
      </w:r>
      <w:r w:rsidR="0099665C" w:rsidRPr="0035358E">
        <w:rPr>
          <w:rFonts w:eastAsia="Calibri"/>
        </w:rPr>
        <w:t>areas of uncertainty</w:t>
      </w:r>
      <w:r w:rsidR="00914A93" w:rsidRPr="0035358E">
        <w:rPr>
          <w:rFonts w:eastAsia="Calibri"/>
        </w:rPr>
        <w:t xml:space="preserve"> include</w:t>
      </w:r>
      <w:r w:rsidRPr="0035358E">
        <w:rPr>
          <w:rFonts w:eastAsia="Calibri"/>
        </w:rPr>
        <w:t xml:space="preserve"> a lack of evidence for the efficacy of the vaccine in infants born prematurely, and those resulting from multiple pregnancies and non-healthy pregnancies.</w:t>
      </w:r>
    </w:p>
    <w:p w14:paraId="40E88CDF" w14:textId="77777777" w:rsidR="00DB24CC" w:rsidRDefault="00F1459A" w:rsidP="00DD4B2C">
      <w:pPr>
        <w:pStyle w:val="3-BodyText"/>
        <w:rPr>
          <w:iCs/>
        </w:rPr>
      </w:pPr>
      <w:r w:rsidRPr="0035358E">
        <w:rPr>
          <w:rFonts w:eastAsia="Calibri"/>
        </w:rPr>
        <w:t xml:space="preserve">The submission described RSVpreF as inferior in terms of safety compared to placebo. </w:t>
      </w:r>
      <w:r w:rsidR="0074187F" w:rsidRPr="0035358E">
        <w:rPr>
          <w:rFonts w:eastAsia="Calibri"/>
        </w:rPr>
        <w:t>The ESC agreed with the commentary that t</w:t>
      </w:r>
      <w:r w:rsidRPr="0035358E">
        <w:rPr>
          <w:rFonts w:eastAsia="Calibri"/>
        </w:rPr>
        <w:t>his claim was adequately supported as maternal RSVpreF recipients experienced local reactions more frequently (42.5%) compared with placebo recipients (10.4%). The most common local reaction was pain at the injection site, reported in 1</w:t>
      </w:r>
      <w:r w:rsidR="001E05EA" w:rsidRPr="0035358E">
        <w:rPr>
          <w:rFonts w:eastAsia="Calibri"/>
        </w:rPr>
        <w:t>,</w:t>
      </w:r>
      <w:r w:rsidRPr="0035358E">
        <w:rPr>
          <w:rFonts w:eastAsia="Calibri"/>
        </w:rPr>
        <w:t xml:space="preserve">488 (40.6%) participants in the RSVpreF group and 369 (10.1%) in the placebo group. Maternal participants who received RSVpreF were also more likely to experience muscle pain when compared with participants who received a placebo injection </w:t>
      </w:r>
      <w:r w:rsidRPr="0035358E">
        <w:rPr>
          <w:iCs/>
        </w:rPr>
        <w:t>(26.5% vs 17.1%).</w:t>
      </w:r>
      <w:r w:rsidR="00D870A3" w:rsidRPr="0035358E">
        <w:rPr>
          <w:iCs/>
        </w:rPr>
        <w:t xml:space="preserve"> In the RSVpreF arm of MATISSE, there were numerically higher rates of premature births (RSVpreF = 5.7% vs. placebo = 4.7%) and low birthweight births (RSVpreF = 5.1% vs. placebo=4.3%)</w:t>
      </w:r>
      <w:r w:rsidR="009C4A8B" w:rsidRPr="0035358E">
        <w:rPr>
          <w:iCs/>
        </w:rPr>
        <w:t>.</w:t>
      </w:r>
      <w:r w:rsidR="008433E5" w:rsidRPr="0035358E">
        <w:rPr>
          <w:iCs/>
        </w:rPr>
        <w:t xml:space="preserve"> </w:t>
      </w:r>
      <w:bookmarkStart w:id="65" w:name="_Hlk163162242"/>
      <w:r w:rsidR="008433E5" w:rsidRPr="0035358E">
        <w:rPr>
          <w:iCs/>
        </w:rPr>
        <w:t>The trial was not statistically powered to detect any differences between the intervention arms for these measures</w:t>
      </w:r>
      <w:r w:rsidR="00D870A3" w:rsidRPr="0035358E">
        <w:rPr>
          <w:iCs/>
        </w:rPr>
        <w:t>.</w:t>
      </w:r>
      <w:bookmarkEnd w:id="65"/>
    </w:p>
    <w:p w14:paraId="76E6E465" w14:textId="6EB56B76" w:rsidR="00B73F70" w:rsidRPr="0035358E" w:rsidRDefault="00B73F70" w:rsidP="00DD4B2C">
      <w:pPr>
        <w:pStyle w:val="3-BodyText"/>
        <w:rPr>
          <w:rFonts w:eastAsia="Calibri"/>
        </w:rPr>
      </w:pPr>
      <w:r w:rsidRPr="0035358E">
        <w:rPr>
          <w:rFonts w:eastAsia="Calibri"/>
        </w:rPr>
        <w:t xml:space="preserve">The safety and efficacy </w:t>
      </w:r>
      <w:r w:rsidR="00563E61" w:rsidRPr="0035358E">
        <w:rPr>
          <w:rFonts w:eastAsia="Calibri"/>
        </w:rPr>
        <w:t xml:space="preserve">claims in the submission </w:t>
      </w:r>
      <w:r w:rsidRPr="0035358E">
        <w:rPr>
          <w:rFonts w:eastAsia="Calibri"/>
        </w:rPr>
        <w:t xml:space="preserve">are consistent with the ATAGI advice and the </w:t>
      </w:r>
      <w:r w:rsidR="00D870A3" w:rsidRPr="0035358E">
        <w:rPr>
          <w:rFonts w:eastAsia="Calibri"/>
        </w:rPr>
        <w:t>TGA Delegate’s conclusions.</w:t>
      </w:r>
      <w:r w:rsidR="005E3278" w:rsidRPr="0035358E">
        <w:rPr>
          <w:rFonts w:eastAsia="Calibri"/>
        </w:rPr>
        <w:t xml:space="preserve"> </w:t>
      </w:r>
      <w:r w:rsidR="006979AD" w:rsidRPr="0035358E">
        <w:rPr>
          <w:rFonts w:eastAsia="Calibri"/>
        </w:rPr>
        <w:t xml:space="preserve">ATAGI concluded that the observed efficacy is clinically </w:t>
      </w:r>
      <w:r w:rsidR="00285BC5" w:rsidRPr="0035358E">
        <w:rPr>
          <w:rFonts w:eastAsia="Calibri"/>
        </w:rPr>
        <w:t>meaningful,</w:t>
      </w:r>
      <w:r w:rsidR="006979AD" w:rsidRPr="0035358E">
        <w:rPr>
          <w:rFonts w:eastAsia="Calibri"/>
        </w:rPr>
        <w:t xml:space="preserve"> and the data presented in MATISSE provide reassuring evidence about the safety of RSVpreF to both mothers and their babies (the ATAGI Advice to the PBAC). </w:t>
      </w:r>
      <w:r w:rsidR="00285BC5" w:rsidRPr="0035358E">
        <w:rPr>
          <w:rFonts w:eastAsia="Calibri"/>
        </w:rPr>
        <w:t>The TGA Delegate concluded that RSVpreF demonstrated a modest but clinically useful vaccine efficacy and that the adverse event profile was acceptable compared to placebo (</w:t>
      </w:r>
      <w:r w:rsidR="00A07662" w:rsidRPr="0035358E">
        <w:t>the TGA Delegates Overview</w:t>
      </w:r>
      <w:r w:rsidR="00E9219C" w:rsidRPr="0035358E">
        <w:rPr>
          <w:rFonts w:eastAsia="Calibri"/>
        </w:rPr>
        <w:t>)</w:t>
      </w:r>
      <w:r w:rsidR="007C5DDC" w:rsidRPr="0035358E">
        <w:rPr>
          <w:rFonts w:eastAsia="Calibri"/>
        </w:rPr>
        <w:t>.</w:t>
      </w:r>
    </w:p>
    <w:p w14:paraId="716BC641" w14:textId="24D8C66F" w:rsidR="00F43500" w:rsidRPr="0035358E" w:rsidRDefault="00F43500" w:rsidP="00F43500">
      <w:pPr>
        <w:widowControl w:val="0"/>
        <w:numPr>
          <w:ilvl w:val="1"/>
          <w:numId w:val="1"/>
        </w:numPr>
        <w:spacing w:after="120"/>
        <w:ind w:left="720" w:hanging="720"/>
        <w:rPr>
          <w:rFonts w:asciiTheme="minorHAnsi" w:hAnsiTheme="minorHAnsi"/>
          <w:snapToGrid w:val="0"/>
          <w:szCs w:val="20"/>
        </w:rPr>
      </w:pPr>
      <w:r w:rsidRPr="0035358E">
        <w:rPr>
          <w:rFonts w:asciiTheme="minorHAnsi" w:hAnsiTheme="minorHAnsi"/>
          <w:iCs/>
          <w:snapToGrid w:val="0"/>
        </w:rPr>
        <w:t>The</w:t>
      </w:r>
      <w:r w:rsidRPr="0035358E">
        <w:rPr>
          <w:rFonts w:asciiTheme="minorHAnsi" w:hAnsiTheme="minorHAnsi"/>
          <w:snapToGrid w:val="0"/>
          <w:szCs w:val="20"/>
        </w:rPr>
        <w:t xml:space="preserve"> PBAC considered that the claim of superior comparative effectiveness was reasonable.</w:t>
      </w:r>
    </w:p>
    <w:p w14:paraId="3F2EE421" w14:textId="10AFDB88" w:rsidR="007B0FDA" w:rsidRPr="0035358E" w:rsidRDefault="00F43500" w:rsidP="00DD4B2C">
      <w:pPr>
        <w:pStyle w:val="3-BodyText"/>
        <w:rPr>
          <w:rFonts w:eastAsia="Calibri"/>
          <w:iCs/>
        </w:rPr>
      </w:pPr>
      <w:r w:rsidRPr="0035358E">
        <w:t>The PBAC considered that the claim of inferior comparative safety was reasonable</w:t>
      </w:r>
      <w:r w:rsidR="009B3122" w:rsidRPr="0035358E">
        <w:t>.</w:t>
      </w:r>
    </w:p>
    <w:p w14:paraId="7259A4A0" w14:textId="77777777" w:rsidR="00DB24CC" w:rsidRDefault="00B60859" w:rsidP="00B60859">
      <w:pPr>
        <w:pStyle w:val="4-SubsectionHeading"/>
      </w:pPr>
      <w:bookmarkStart w:id="66" w:name="_Toc22897645"/>
      <w:bookmarkStart w:id="67" w:name="_Toc156993555"/>
      <w:bookmarkEnd w:id="64"/>
      <w:r w:rsidRPr="0035358E">
        <w:t>Economic analysis</w:t>
      </w:r>
      <w:bookmarkEnd w:id="66"/>
      <w:bookmarkEnd w:id="67"/>
    </w:p>
    <w:p w14:paraId="6C15BA3C" w14:textId="3F277026" w:rsidR="00B60859" w:rsidRPr="0035358E" w:rsidRDefault="00B60859" w:rsidP="00DD4B2C">
      <w:pPr>
        <w:pStyle w:val="3-BodyText"/>
        <w:rPr>
          <w:iCs/>
        </w:rPr>
      </w:pPr>
      <w:r w:rsidRPr="0035358E">
        <w:t xml:space="preserve">The submission presented a cost-utility analysis based on the MATISSE clinical trial, measuring outcomes in quality-adjusted life years (QALYs). </w:t>
      </w:r>
      <w:r w:rsidRPr="0035358E">
        <w:rPr>
          <w:iCs/>
        </w:rPr>
        <w:t xml:space="preserve">This was consistent with the clinical claim of superior effectiveness. Key components of the economic evaluation are presented in </w:t>
      </w:r>
      <w:r w:rsidRPr="0035358E">
        <w:rPr>
          <w:iCs/>
        </w:rPr>
        <w:fldChar w:fldCharType="begin"/>
      </w:r>
      <w:r w:rsidRPr="0035358E">
        <w:rPr>
          <w:iCs/>
        </w:rPr>
        <w:instrText xml:space="preserve"> REF _Ref151973393 \h  \* MERGEFORMAT </w:instrText>
      </w:r>
      <w:r w:rsidRPr="0035358E">
        <w:rPr>
          <w:iCs/>
        </w:rPr>
      </w:r>
      <w:r w:rsidRPr="0035358E">
        <w:rPr>
          <w:iCs/>
        </w:rPr>
        <w:fldChar w:fldCharType="separate"/>
      </w:r>
      <w:r w:rsidR="00A46CAC" w:rsidRPr="00A46CAC">
        <w:rPr>
          <w:iCs/>
        </w:rPr>
        <w:t>Table 11</w:t>
      </w:r>
      <w:r w:rsidRPr="0035358E">
        <w:rPr>
          <w:iCs/>
        </w:rPr>
        <w:fldChar w:fldCharType="end"/>
      </w:r>
      <w:r w:rsidRPr="0035358E">
        <w:rPr>
          <w:iCs/>
        </w:rPr>
        <w:t>.</w:t>
      </w:r>
    </w:p>
    <w:p w14:paraId="189682F7" w14:textId="36CF3DFC" w:rsidR="00B60859" w:rsidRPr="0035358E" w:rsidRDefault="00B60859" w:rsidP="00B60859">
      <w:pPr>
        <w:pStyle w:val="Caption"/>
        <w:jc w:val="left"/>
        <w:rPr>
          <w:rStyle w:val="CommentReference"/>
          <w:b/>
          <w:szCs w:val="24"/>
        </w:rPr>
      </w:pPr>
      <w:bookmarkStart w:id="68" w:name="_Ref151973393"/>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11</w:t>
      </w:r>
      <w:r w:rsidR="00560E31">
        <w:rPr>
          <w:noProof/>
        </w:rPr>
        <w:fldChar w:fldCharType="end"/>
      </w:r>
      <w:bookmarkEnd w:id="68"/>
      <w:r w:rsidRPr="0035358E">
        <w:t>:</w:t>
      </w:r>
      <w:r w:rsidRPr="0035358E">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1: Summary of model structure, key inputs and rationale"/>
      </w:tblPr>
      <w:tblGrid>
        <w:gridCol w:w="2518"/>
        <w:gridCol w:w="6499"/>
      </w:tblGrid>
      <w:tr w:rsidR="00B60859" w:rsidRPr="0035358E" w14:paraId="5205F235" w14:textId="77777777" w:rsidTr="00B177BE">
        <w:trPr>
          <w:tblHeader/>
        </w:trPr>
        <w:tc>
          <w:tcPr>
            <w:tcW w:w="1396" w:type="pct"/>
            <w:shd w:val="clear" w:color="auto" w:fill="auto"/>
            <w:vAlign w:val="center"/>
          </w:tcPr>
          <w:p w14:paraId="612AF83F" w14:textId="77777777" w:rsidR="00B60859" w:rsidRPr="0035358E" w:rsidRDefault="00B60859" w:rsidP="00B177BE">
            <w:pPr>
              <w:pStyle w:val="In-tableHeading"/>
              <w:rPr>
                <w:lang w:val="en-AU"/>
              </w:rPr>
            </w:pPr>
            <w:r w:rsidRPr="0035358E">
              <w:rPr>
                <w:lang w:val="en-AU"/>
              </w:rPr>
              <w:t>Component</w:t>
            </w:r>
          </w:p>
        </w:tc>
        <w:tc>
          <w:tcPr>
            <w:tcW w:w="3604" w:type="pct"/>
            <w:shd w:val="clear" w:color="auto" w:fill="auto"/>
            <w:vAlign w:val="center"/>
          </w:tcPr>
          <w:p w14:paraId="488283C5" w14:textId="77777777" w:rsidR="00B60859" w:rsidRPr="0035358E" w:rsidRDefault="00B60859" w:rsidP="00B177BE">
            <w:pPr>
              <w:pStyle w:val="In-tableHeading"/>
              <w:rPr>
                <w:lang w:val="en-AU"/>
              </w:rPr>
            </w:pPr>
            <w:r w:rsidRPr="0035358E">
              <w:rPr>
                <w:lang w:val="en-AU"/>
              </w:rPr>
              <w:t>Summary</w:t>
            </w:r>
          </w:p>
        </w:tc>
      </w:tr>
      <w:tr w:rsidR="00B60859" w:rsidRPr="0035358E" w14:paraId="57D2C046" w14:textId="77777777" w:rsidTr="00B177BE">
        <w:tc>
          <w:tcPr>
            <w:tcW w:w="1396" w:type="pct"/>
            <w:shd w:val="clear" w:color="auto" w:fill="auto"/>
            <w:vAlign w:val="center"/>
          </w:tcPr>
          <w:p w14:paraId="4929CCB2" w14:textId="77777777" w:rsidR="00B60859" w:rsidRPr="0035358E" w:rsidRDefault="00B60859" w:rsidP="00B177BE">
            <w:pPr>
              <w:pStyle w:val="TableText0"/>
            </w:pPr>
            <w:r w:rsidRPr="0035358E">
              <w:t>Treatments</w:t>
            </w:r>
          </w:p>
        </w:tc>
        <w:tc>
          <w:tcPr>
            <w:tcW w:w="3604" w:type="pct"/>
            <w:shd w:val="clear" w:color="auto" w:fill="auto"/>
            <w:vAlign w:val="center"/>
          </w:tcPr>
          <w:p w14:paraId="639EA2A7" w14:textId="77777777" w:rsidR="00B60859" w:rsidRPr="0035358E" w:rsidRDefault="00B60859" w:rsidP="00B177BE">
            <w:pPr>
              <w:pStyle w:val="TableText0"/>
            </w:pPr>
            <w:r w:rsidRPr="0035358E">
              <w:t>RSVpreF vaccine vs SOC (no vaccine)</w:t>
            </w:r>
          </w:p>
        </w:tc>
      </w:tr>
      <w:tr w:rsidR="00B60859" w:rsidRPr="0035358E" w14:paraId="7E1A8FC0" w14:textId="77777777" w:rsidTr="00B177BE">
        <w:tc>
          <w:tcPr>
            <w:tcW w:w="1396" w:type="pct"/>
            <w:shd w:val="clear" w:color="auto" w:fill="auto"/>
            <w:vAlign w:val="center"/>
          </w:tcPr>
          <w:p w14:paraId="4B2734F1" w14:textId="77777777" w:rsidR="00B60859" w:rsidRPr="0035358E" w:rsidRDefault="00B60859" w:rsidP="00B177BE">
            <w:pPr>
              <w:pStyle w:val="TableText0"/>
            </w:pPr>
            <w:r w:rsidRPr="0035358E">
              <w:t>Time horizon</w:t>
            </w:r>
          </w:p>
        </w:tc>
        <w:tc>
          <w:tcPr>
            <w:tcW w:w="3604" w:type="pct"/>
            <w:shd w:val="clear" w:color="auto" w:fill="auto"/>
            <w:vAlign w:val="center"/>
          </w:tcPr>
          <w:p w14:paraId="3A26D087" w14:textId="281F31B2" w:rsidR="00B60859" w:rsidRPr="0035358E" w:rsidRDefault="00B60859" w:rsidP="00B177BE">
            <w:pPr>
              <w:pStyle w:val="TableText0"/>
              <w:rPr>
                <w:i/>
                <w:iCs/>
              </w:rPr>
            </w:pPr>
            <w:r w:rsidRPr="0035358E">
              <w:t>One year (from birth of the infant) vs 360 days follow up post birth</w:t>
            </w:r>
            <w:r w:rsidR="00944DCD" w:rsidRPr="0035358E">
              <w:t xml:space="preserve"> in the MATISSE trial</w:t>
            </w:r>
            <w:r w:rsidRPr="0035358E">
              <w:t xml:space="preserve">. </w:t>
            </w:r>
            <w:r w:rsidRPr="0035358E">
              <w:rPr>
                <w:iCs/>
              </w:rPr>
              <w:t xml:space="preserve">As the model estimates the QALY difference over a lifetime, the time horizon is technically a lifetime. </w:t>
            </w:r>
          </w:p>
        </w:tc>
      </w:tr>
      <w:tr w:rsidR="00B60859" w:rsidRPr="0035358E" w14:paraId="79B8AAD5" w14:textId="77777777" w:rsidTr="00B177BE">
        <w:tc>
          <w:tcPr>
            <w:tcW w:w="1396" w:type="pct"/>
            <w:shd w:val="clear" w:color="auto" w:fill="auto"/>
            <w:vAlign w:val="center"/>
          </w:tcPr>
          <w:p w14:paraId="5C09A83E" w14:textId="77777777" w:rsidR="00B60859" w:rsidRPr="0035358E" w:rsidRDefault="00B60859" w:rsidP="00B177BE">
            <w:pPr>
              <w:pStyle w:val="TableText0"/>
            </w:pPr>
            <w:r w:rsidRPr="0035358E">
              <w:t>Methods used to generate results</w:t>
            </w:r>
          </w:p>
        </w:tc>
        <w:tc>
          <w:tcPr>
            <w:tcW w:w="3604" w:type="pct"/>
            <w:shd w:val="clear" w:color="auto" w:fill="auto"/>
            <w:vAlign w:val="center"/>
          </w:tcPr>
          <w:p w14:paraId="79883726" w14:textId="5DFD97A5" w:rsidR="00B60859" w:rsidRPr="0035358E" w:rsidRDefault="00B60859" w:rsidP="00B177BE">
            <w:pPr>
              <w:pStyle w:val="TableText0"/>
            </w:pPr>
            <w:r w:rsidRPr="0035358E">
              <w:t>Decision tree model where costs and QALYs lost are assigned to each event</w:t>
            </w:r>
            <w:r w:rsidR="00C93F78" w:rsidRPr="0035358E">
              <w:t xml:space="preserve">. </w:t>
            </w:r>
          </w:p>
        </w:tc>
      </w:tr>
      <w:tr w:rsidR="00B60859" w:rsidRPr="0035358E" w14:paraId="2B82CA6A" w14:textId="77777777" w:rsidTr="00B177BE">
        <w:tc>
          <w:tcPr>
            <w:tcW w:w="1396" w:type="pct"/>
            <w:shd w:val="clear" w:color="auto" w:fill="auto"/>
            <w:vAlign w:val="center"/>
          </w:tcPr>
          <w:p w14:paraId="3C7E9B4D" w14:textId="77777777" w:rsidR="00B60859" w:rsidRPr="0035358E" w:rsidRDefault="00B60859" w:rsidP="00B177BE">
            <w:pPr>
              <w:pStyle w:val="TableText0"/>
            </w:pPr>
            <w:r w:rsidRPr="0035358E">
              <w:t>Events</w:t>
            </w:r>
          </w:p>
        </w:tc>
        <w:tc>
          <w:tcPr>
            <w:tcW w:w="3604" w:type="pct"/>
            <w:shd w:val="clear" w:color="auto" w:fill="auto"/>
            <w:vAlign w:val="center"/>
          </w:tcPr>
          <w:p w14:paraId="60189E6E" w14:textId="77777777" w:rsidR="00B60859" w:rsidRPr="0035358E" w:rsidRDefault="00B60859" w:rsidP="00B177BE">
            <w:pPr>
              <w:pStyle w:val="TableText0"/>
            </w:pPr>
            <w:r w:rsidRPr="0035358E">
              <w:t>Hospitalised due to RSV; ED attendance due to RSV; Outpatient attendance due to RSV and death once hospitalised due to RSV.</w:t>
            </w:r>
          </w:p>
        </w:tc>
      </w:tr>
      <w:tr w:rsidR="00B60859" w:rsidRPr="0035358E" w14:paraId="3B8B2625" w14:textId="77777777" w:rsidTr="00B177BE">
        <w:tc>
          <w:tcPr>
            <w:tcW w:w="1396" w:type="pct"/>
            <w:shd w:val="clear" w:color="auto" w:fill="auto"/>
            <w:vAlign w:val="center"/>
          </w:tcPr>
          <w:p w14:paraId="539BFFED" w14:textId="77777777" w:rsidR="00B60859" w:rsidRPr="0035358E" w:rsidRDefault="00B60859" w:rsidP="00B177BE">
            <w:pPr>
              <w:pStyle w:val="TableText0"/>
            </w:pPr>
            <w:r w:rsidRPr="0035358E">
              <w:t>Event probabilities</w:t>
            </w:r>
          </w:p>
        </w:tc>
        <w:tc>
          <w:tcPr>
            <w:tcW w:w="3604" w:type="pct"/>
            <w:shd w:val="clear" w:color="auto" w:fill="auto"/>
            <w:vAlign w:val="center"/>
          </w:tcPr>
          <w:p w14:paraId="22B60283" w14:textId="76BC4B6F" w:rsidR="00B60859" w:rsidRPr="0035358E" w:rsidRDefault="00B60859" w:rsidP="00B177BE">
            <w:pPr>
              <w:pStyle w:val="TableText0"/>
            </w:pPr>
            <w:r w:rsidRPr="0035358E">
              <w:t xml:space="preserve">Event probabilities were derived from Australian studies as the MATISSE trial was conducted during the COVID-19 pandemic which may have impacted RSV transmission. </w:t>
            </w:r>
            <w:r w:rsidRPr="0035358E">
              <w:rPr>
                <w:iCs/>
              </w:rPr>
              <w:t xml:space="preserve">ATAGI considered these sources reasonable and mostly accurate given the lack of available data (ATAGI pre-submission advice). </w:t>
            </w:r>
          </w:p>
        </w:tc>
      </w:tr>
      <w:tr w:rsidR="00B60859" w:rsidRPr="0035358E" w14:paraId="527D4D62" w14:textId="77777777" w:rsidTr="00B177BE">
        <w:tc>
          <w:tcPr>
            <w:tcW w:w="1396" w:type="pct"/>
            <w:shd w:val="clear" w:color="auto" w:fill="auto"/>
            <w:vAlign w:val="center"/>
          </w:tcPr>
          <w:p w14:paraId="64432903" w14:textId="77777777" w:rsidR="00B60859" w:rsidRPr="0035358E" w:rsidRDefault="00B60859" w:rsidP="00B177BE">
            <w:pPr>
              <w:pStyle w:val="TableText0"/>
            </w:pPr>
            <w:r w:rsidRPr="0035358E">
              <w:t>VE of RSVpreF</w:t>
            </w:r>
          </w:p>
        </w:tc>
        <w:tc>
          <w:tcPr>
            <w:tcW w:w="3604" w:type="pct"/>
            <w:shd w:val="clear" w:color="auto" w:fill="auto"/>
            <w:vAlign w:val="center"/>
          </w:tcPr>
          <w:p w14:paraId="7F89548B" w14:textId="5E3CC25E" w:rsidR="00B60859" w:rsidRPr="0035358E" w:rsidRDefault="00B60859" w:rsidP="00B177BE">
            <w:pPr>
              <w:pStyle w:val="TableText0"/>
              <w:rPr>
                <w:i/>
              </w:rPr>
            </w:pPr>
            <w:r w:rsidRPr="0035358E">
              <w:t xml:space="preserve">The VE of RSVpreF for preventing MA-LRTI due to RSV at 360 days (41%) was applied to all event probabilities except for death, in the intervention arm. </w:t>
            </w:r>
            <w:r w:rsidRPr="0035358E">
              <w:rPr>
                <w:iCs/>
              </w:rPr>
              <w:t>The use of VE at a single time point may be conservative as it appeared to be higher at earlier time points. However, the VE for preventing hospitalisation at 360 days appeared to be lower in the trial (33%) than what was applied in the economic model.</w:t>
            </w:r>
            <w:r w:rsidR="00481F87" w:rsidRPr="0035358E">
              <w:rPr>
                <w:iCs/>
              </w:rPr>
              <w:t xml:space="preserve"> The ESC note</w:t>
            </w:r>
            <w:r w:rsidR="005F0A5D" w:rsidRPr="0035358E">
              <w:rPr>
                <w:iCs/>
              </w:rPr>
              <w:t>d</w:t>
            </w:r>
            <w:r w:rsidR="00481F87" w:rsidRPr="0035358E">
              <w:rPr>
                <w:iCs/>
              </w:rPr>
              <w:t xml:space="preserve"> the high sensitivity of the ICER to the VE for preventing hospitalisation</w:t>
            </w:r>
            <w:r w:rsidR="00D103A2" w:rsidRPr="0035358E">
              <w:rPr>
                <w:iCs/>
              </w:rPr>
              <w:t xml:space="preserve"> and considered</w:t>
            </w:r>
            <w:r w:rsidR="001B118F" w:rsidRPr="0035358E">
              <w:rPr>
                <w:iCs/>
              </w:rPr>
              <w:t xml:space="preserve"> </w:t>
            </w:r>
            <w:r w:rsidR="00481F87" w:rsidRPr="0035358E">
              <w:rPr>
                <w:iCs/>
              </w:rPr>
              <w:t xml:space="preserve">the </w:t>
            </w:r>
            <w:r w:rsidR="005F0A5D" w:rsidRPr="0035358E">
              <w:rPr>
                <w:iCs/>
              </w:rPr>
              <w:t>submission’s</w:t>
            </w:r>
            <w:r w:rsidR="00481F87" w:rsidRPr="0035358E">
              <w:rPr>
                <w:iCs/>
              </w:rPr>
              <w:t xml:space="preserve"> approach </w:t>
            </w:r>
            <w:r w:rsidR="005F0A5D" w:rsidRPr="0035358E">
              <w:rPr>
                <w:iCs/>
              </w:rPr>
              <w:t>was</w:t>
            </w:r>
            <w:r w:rsidR="00481F87" w:rsidRPr="0035358E">
              <w:rPr>
                <w:iCs/>
              </w:rPr>
              <w:t xml:space="preserve"> optimistic.</w:t>
            </w:r>
          </w:p>
        </w:tc>
      </w:tr>
      <w:tr w:rsidR="00B60859" w:rsidRPr="0035358E" w14:paraId="6D71807A" w14:textId="77777777" w:rsidTr="00B177BE">
        <w:tc>
          <w:tcPr>
            <w:tcW w:w="1396" w:type="pct"/>
            <w:shd w:val="clear" w:color="auto" w:fill="auto"/>
            <w:vAlign w:val="center"/>
          </w:tcPr>
          <w:p w14:paraId="2C0E903B" w14:textId="77777777" w:rsidR="00B60859" w:rsidRPr="0035358E" w:rsidRDefault="00B60859" w:rsidP="00B177BE">
            <w:pPr>
              <w:pStyle w:val="TableText0"/>
            </w:pPr>
            <w:r w:rsidRPr="0035358E">
              <w:t>Utility values</w:t>
            </w:r>
          </w:p>
        </w:tc>
        <w:tc>
          <w:tcPr>
            <w:tcW w:w="3604" w:type="pct"/>
            <w:shd w:val="clear" w:color="auto" w:fill="auto"/>
            <w:vAlign w:val="center"/>
          </w:tcPr>
          <w:p w14:paraId="45BFE2ED" w14:textId="77777777" w:rsidR="00B60859" w:rsidRPr="0035358E" w:rsidRDefault="00B60859" w:rsidP="00B177BE">
            <w:pPr>
              <w:pStyle w:val="TableText0"/>
            </w:pPr>
            <w:r w:rsidRPr="0035358E">
              <w:t>Disutility scores were sourced from Mao et al.</w:t>
            </w:r>
            <w:bookmarkStart w:id="69" w:name="_Ref155864551"/>
            <w:r w:rsidRPr="0035358E">
              <w:rPr>
                <w:rStyle w:val="FootnoteReference"/>
              </w:rPr>
              <w:footnoteReference w:id="19"/>
            </w:r>
            <w:bookmarkEnd w:id="69"/>
            <w:r w:rsidRPr="0035358E">
              <w:t xml:space="preserve"> and were applied to the infant and carer. QALYs lost over a lifetime were also calculated for deaths, assuming life-expectancy in line with the ABS life tables. </w:t>
            </w:r>
            <w:r w:rsidRPr="0035358E">
              <w:rPr>
                <w:iCs/>
              </w:rPr>
              <w:t>The Mao study estimated QoL in infants through their carer filling out the EQ-5D-3L-Y questionnaire on their behalf. This introduces uncertainty as the instrument is not recommended for children aged &lt;4 years and the questionnaire was altered to only capture certain domains. Disutilities associated with distress from the carer were included in the base case which is not consistent with the recommendations in the PBAC guidelines.</w:t>
            </w:r>
          </w:p>
        </w:tc>
      </w:tr>
      <w:tr w:rsidR="00B60859" w:rsidRPr="0035358E" w14:paraId="31E3CA67" w14:textId="77777777" w:rsidTr="00B177BE">
        <w:tc>
          <w:tcPr>
            <w:tcW w:w="1396" w:type="pct"/>
            <w:shd w:val="clear" w:color="auto" w:fill="auto"/>
            <w:vAlign w:val="center"/>
          </w:tcPr>
          <w:p w14:paraId="365AB51E" w14:textId="77777777" w:rsidR="00B60859" w:rsidRPr="0035358E" w:rsidRDefault="00B60859" w:rsidP="00B177BE">
            <w:pPr>
              <w:pStyle w:val="TableText0"/>
            </w:pPr>
            <w:r w:rsidRPr="0035358E">
              <w:t>Costs</w:t>
            </w:r>
          </w:p>
        </w:tc>
        <w:tc>
          <w:tcPr>
            <w:tcW w:w="3604" w:type="pct"/>
            <w:shd w:val="clear" w:color="auto" w:fill="auto"/>
            <w:vAlign w:val="center"/>
          </w:tcPr>
          <w:p w14:paraId="50E30FD9" w14:textId="59C215EF" w:rsidR="00B60859" w:rsidRPr="0035358E" w:rsidRDefault="00B60859" w:rsidP="00B177BE">
            <w:pPr>
              <w:pStyle w:val="TableText0"/>
            </w:pPr>
            <w:r w:rsidRPr="0035358E">
              <w:t>Costs for vaccine administration</w:t>
            </w:r>
            <w:r w:rsidRPr="0035358E">
              <w:rPr>
                <w:vertAlign w:val="superscript"/>
              </w:rPr>
              <w:t>a</w:t>
            </w:r>
            <w:r w:rsidR="006543D5" w:rsidRPr="0035358E">
              <w:t xml:space="preserve">, </w:t>
            </w:r>
            <w:r w:rsidRPr="0035358E">
              <w:t xml:space="preserve">hospitalisation, ED and outpatient attendance were derived from Australian sources. A gap-payment was included for outpatient (GP consultation) costs. </w:t>
            </w:r>
            <w:r w:rsidRPr="0035358E">
              <w:rPr>
                <w:iCs/>
              </w:rPr>
              <w:t xml:space="preserve">Including a gap-payment for GP consultations for infants was not reasonable and in contrast to the PBAC guidelines. </w:t>
            </w:r>
          </w:p>
        </w:tc>
      </w:tr>
    </w:tbl>
    <w:p w14:paraId="0AD8B1B4" w14:textId="77777777" w:rsidR="00B60859" w:rsidRPr="0035358E" w:rsidRDefault="00B60859" w:rsidP="00B60859">
      <w:pPr>
        <w:pStyle w:val="FooterTableFigure"/>
        <w:keepNext/>
      </w:pPr>
      <w:r w:rsidRPr="0035358E">
        <w:t xml:space="preserve">Source: </w:t>
      </w:r>
      <w:r w:rsidRPr="0035358E">
        <w:rPr>
          <w:iCs/>
        </w:rPr>
        <w:t>Constructed during the evaluation</w:t>
      </w:r>
      <w:r w:rsidRPr="0035358E">
        <w:t xml:space="preserve"> </w:t>
      </w:r>
      <w:r w:rsidRPr="0035358E">
        <w:rPr>
          <w:iCs/>
        </w:rPr>
        <w:t xml:space="preserve">from </w:t>
      </w:r>
      <w:r w:rsidRPr="0035358E">
        <w:t>the “ABRYSVO_Maternal_CEA_Base_Case” Excel Workbook provided with the submission.</w:t>
      </w:r>
    </w:p>
    <w:p w14:paraId="36260987" w14:textId="683AE9A9" w:rsidR="00B60859" w:rsidRPr="0035358E" w:rsidRDefault="00AC6CE4" w:rsidP="00B60859">
      <w:pPr>
        <w:pStyle w:val="FooterTableFigure"/>
        <w:keepNext/>
      </w:pPr>
      <w:r>
        <w:t xml:space="preserve">Abbreviations: </w:t>
      </w:r>
      <w:r w:rsidR="00B60859" w:rsidRPr="0035358E">
        <w:t>ABS = Australian Bureau of Statistics; ATAGI = Australian Technical Advisory Group on Immunisation; ED = emergency department; EQ-5D-3L-Y = EuroQol-5 dimensions-3 levels–youth version; ESC = Economic Sub-committee; MA-LRTI = medically attended – lower respiratory tract illness; PBAC = Pharmaceutical Benefits Advisory Committee; QALY = quality-adjusted life year; RSV = Respiratory Syncytial Virus; RSVpreF = recombinant respiratory syncytial virus pre-fusion F protein vaccine; SOC = standard of care; VE = vaccine efficacy.</w:t>
      </w:r>
    </w:p>
    <w:p w14:paraId="43D863C4" w14:textId="77777777" w:rsidR="00DB24CC" w:rsidRDefault="00B60859" w:rsidP="00986BAF">
      <w:pPr>
        <w:pStyle w:val="FooterTableFigure"/>
      </w:pPr>
      <w:r w:rsidRPr="0035358E">
        <w:rPr>
          <w:vertAlign w:val="superscript"/>
        </w:rPr>
        <w:t>a</w:t>
      </w:r>
      <w:r w:rsidRPr="0035358E">
        <w:t xml:space="preserve"> $7.00 vaccine administration cost was applied in the model, sourced from ESC’s advice for the maternal dTpa Vaccine </w:t>
      </w:r>
      <w:r w:rsidR="004A30D9" w:rsidRPr="004A30D9">
        <w:t xml:space="preserve">Public Summary Document </w:t>
      </w:r>
      <w:r w:rsidR="004A30D9">
        <w:t>(</w:t>
      </w:r>
      <w:r w:rsidRPr="0035358E">
        <w:t>PSD</w:t>
      </w:r>
      <w:r w:rsidR="004A30D9">
        <w:t>)</w:t>
      </w:r>
      <w:r w:rsidRPr="0035358E">
        <w:t xml:space="preserve"> (July 2016 PBAC Meeting).</w:t>
      </w:r>
    </w:p>
    <w:p w14:paraId="22B51234" w14:textId="2AB2B70C" w:rsidR="00DB24CC" w:rsidRDefault="00B60859" w:rsidP="00DD4B2C">
      <w:pPr>
        <w:pStyle w:val="3-BodyText"/>
      </w:pPr>
      <w:bookmarkStart w:id="70" w:name="_Ref164194284"/>
      <w:r w:rsidRPr="0035358E">
        <w:t xml:space="preserve">The submission nominated a time horizon of one year, starting from the birth of the infant. As the model estimated the QALY difference over a lifetime, technically </w:t>
      </w:r>
      <w:r w:rsidR="00914A93" w:rsidRPr="0035358E">
        <w:t xml:space="preserve">the </w:t>
      </w:r>
      <w:r w:rsidRPr="0035358E">
        <w:t xml:space="preserve">economic evaluation has adopted a lifetime time horizon. The modelled one-year decision tree reflects the treatment effect duration. However, it is not appropriate to delay the starting point of the model (and hence discounting) to a time after the intervention has been administered as the vaccine is administered at 24 – 36 weeks gestation. This has affected the cost-effectiveness estimate as discounting starts at </w:t>
      </w:r>
      <w:r w:rsidR="000D769D" w:rsidRPr="0035358E">
        <w:t xml:space="preserve">approximately 14 months </w:t>
      </w:r>
      <w:r w:rsidRPr="0035358E">
        <w:t xml:space="preserve">after the intervention is administered (and hence 2 months’ </w:t>
      </w:r>
      <w:r w:rsidRPr="0035358E">
        <w:lastRenderedPageBreak/>
        <w:t xml:space="preserve">worth of costs and outcomes </w:t>
      </w:r>
      <w:r w:rsidR="000D769D" w:rsidRPr="0035358E">
        <w:t xml:space="preserve">that occurred in the second year of the model </w:t>
      </w:r>
      <w:r w:rsidRPr="0035358E">
        <w:t>are not subject to discounting). To address this, the evaluation explored the effect of “</w:t>
      </w:r>
      <w:r w:rsidR="00625722" w:rsidRPr="0035358E">
        <w:t xml:space="preserve">reverse </w:t>
      </w:r>
      <w:r w:rsidRPr="0035358E">
        <w:t xml:space="preserve">discounting” the vaccine acquisition and administration costs by two months’ worth of discounting (resulting in a vaccine acquisition and administration cost of </w:t>
      </w:r>
      <w:r w:rsidRPr="00353F03">
        <w:t>$</w:t>
      </w:r>
      <w:r w:rsidR="00E96E79" w:rsidRPr="00A46CAC">
        <w:rPr>
          <w:color w:val="000000"/>
          <w:w w:val="15"/>
          <w:shd w:val="solid" w:color="000000" w:fill="000000"/>
          <w:fitText w:val="-20" w:id="-961850110"/>
          <w14:textFill>
            <w14:solidFill>
              <w14:srgbClr w14:val="000000">
                <w14:alpha w14:val="100000"/>
              </w14:srgbClr>
            </w14:solidFill>
          </w14:textFill>
        </w:rPr>
        <w:t>|</w:t>
      </w:r>
      <w:r w:rsidR="00C63E95" w:rsidRPr="00A46CAC">
        <w:rPr>
          <w:color w:val="000000"/>
          <w:w w:val="15"/>
          <w:shd w:val="solid" w:color="000000" w:fill="000000"/>
          <w:fitText w:val="-20" w:id="-961850110"/>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50110"/>
          <w14:textFill>
            <w14:solidFill>
              <w14:srgbClr w14:val="000000">
                <w14:alpha w14:val="100000"/>
              </w14:srgbClr>
            </w14:solidFill>
          </w14:textFill>
        </w:rPr>
        <w:t>|</w:t>
      </w:r>
      <w:r w:rsidRPr="00353F03">
        <w:t xml:space="preserve"> vs $</w:t>
      </w:r>
      <w:r w:rsidR="00E96E79" w:rsidRPr="00A46CAC">
        <w:rPr>
          <w:color w:val="000000"/>
          <w:w w:val="15"/>
          <w:shd w:val="solid" w:color="000000" w:fill="000000"/>
          <w:fitText w:val="-20" w:id="-961850109"/>
          <w14:textFill>
            <w14:solidFill>
              <w14:srgbClr w14:val="000000">
                <w14:alpha w14:val="100000"/>
              </w14:srgbClr>
            </w14:solidFill>
          </w14:textFill>
        </w:rPr>
        <w:t>|</w:t>
      </w:r>
      <w:r w:rsidR="00C63E95" w:rsidRPr="00A46CAC">
        <w:rPr>
          <w:color w:val="000000"/>
          <w:w w:val="15"/>
          <w:shd w:val="solid" w:color="000000" w:fill="000000"/>
          <w:fitText w:val="-20" w:id="-961850109"/>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50109"/>
          <w14:textFill>
            <w14:solidFill>
              <w14:srgbClr w14:val="000000">
                <w14:alpha w14:val="100000"/>
              </w14:srgbClr>
            </w14:solidFill>
          </w14:textFill>
        </w:rPr>
        <w:t>|</w:t>
      </w:r>
      <w:r w:rsidRPr="0035358E">
        <w:t xml:space="preserve"> undiscounted).</w:t>
      </w:r>
      <w:r w:rsidRPr="0035358E">
        <w:rPr>
          <w:rStyle w:val="FootnoteReference"/>
          <w:iCs/>
        </w:rPr>
        <w:footnoteReference w:id="20"/>
      </w:r>
      <w:r w:rsidRPr="0035358E">
        <w:t xml:space="preserve"> This increased the incremental cost-effectiveness ratio (ICER) by </w:t>
      </w:r>
      <w:r w:rsidR="00E96E79" w:rsidRPr="00A46CAC">
        <w:rPr>
          <w:color w:val="000000"/>
          <w:w w:val="15"/>
          <w:shd w:val="solid" w:color="000000" w:fill="000000"/>
          <w:fitText w:val="-20" w:id="-961850108"/>
          <w14:textFill>
            <w14:solidFill>
              <w14:srgbClr w14:val="000000">
                <w14:alpha w14:val="100000"/>
              </w14:srgbClr>
            </w14:solidFill>
          </w14:textFill>
        </w:rPr>
        <w:t>|</w:t>
      </w:r>
      <w:r w:rsidR="00C63E95" w:rsidRPr="00A46CAC">
        <w:rPr>
          <w:color w:val="000000"/>
          <w:w w:val="15"/>
          <w:shd w:val="solid" w:color="000000" w:fill="000000"/>
          <w:fitText w:val="-20" w:id="-961850108"/>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50108"/>
          <w14:textFill>
            <w14:solidFill>
              <w14:srgbClr w14:val="000000">
                <w14:alpha w14:val="100000"/>
              </w14:srgbClr>
            </w14:solidFill>
          </w14:textFill>
        </w:rPr>
        <w:t>|</w:t>
      </w:r>
      <w:r w:rsidRPr="0035358E">
        <w:t>% (from $</w:t>
      </w:r>
      <w:r w:rsidR="004A30D9" w:rsidRPr="004A30D9">
        <w:t>25,000 to &lt; $35,000</w:t>
      </w:r>
      <w:r w:rsidR="00EA01A3">
        <w:t xml:space="preserve"> </w:t>
      </w:r>
      <w:r w:rsidRPr="0035358E">
        <w:t>per QALY to $</w:t>
      </w:r>
      <w:r w:rsidR="004A30D9" w:rsidRPr="004A30D9">
        <w:t>25,000 to &lt;</w:t>
      </w:r>
      <w:r w:rsidR="003B3B7C">
        <w:t> </w:t>
      </w:r>
      <w:r w:rsidR="004A30D9" w:rsidRPr="004A30D9">
        <w:t>$35,000</w:t>
      </w:r>
      <w:r w:rsidR="00EA01A3">
        <w:t xml:space="preserve"> </w:t>
      </w:r>
      <w:r w:rsidRPr="0035358E">
        <w:t>per QALY)</w:t>
      </w:r>
      <w:r w:rsidR="00C93F78" w:rsidRPr="0035358E">
        <w:t xml:space="preserve">. </w:t>
      </w:r>
      <w:r w:rsidR="00493E79" w:rsidRPr="0035358E">
        <w:t>The sponsor accepted this correction in the PSCR</w:t>
      </w:r>
      <w:r w:rsidR="00C93F78" w:rsidRPr="0035358E">
        <w:t>.</w:t>
      </w:r>
      <w:bookmarkEnd w:id="70"/>
    </w:p>
    <w:p w14:paraId="599BC579" w14:textId="77777777" w:rsidR="00DB24CC" w:rsidRDefault="00B60859" w:rsidP="00DD4B2C">
      <w:pPr>
        <w:pStyle w:val="3-BodyText"/>
      </w:pPr>
      <w:r w:rsidRPr="0035358E">
        <w:t>The submission adopted a decision tree model structure where all infants were exposed to the events of hospitalisation due to RSV, attending the emergency department (ED) due to RSV and attending outpatient services due to RSV. Infants who were hospitalised were also at risk dying due to RSV. Each event was associated with costs and QALYs lost.</w:t>
      </w:r>
    </w:p>
    <w:p w14:paraId="67B1E5A8" w14:textId="3D6CE881" w:rsidR="00DB24CC" w:rsidRDefault="00B60859" w:rsidP="00DD4B2C">
      <w:pPr>
        <w:pStyle w:val="3-BodyText"/>
        <w:rPr>
          <w:iCs/>
        </w:rPr>
      </w:pPr>
      <w:r w:rsidRPr="0035358E">
        <w:t xml:space="preserve">All baseline event probabilities, which were applied to the SOC arm, were sourced from Australian studies. While the MATISSE trial did capture hospitalisation rates, the submission considered these to be impacted by the COVID-19 pandemic and hence unreliable. </w:t>
      </w:r>
      <w:r w:rsidRPr="0035358E">
        <w:rPr>
          <w:iCs/>
        </w:rPr>
        <w:t xml:space="preserve">ATAGI agreed that event probabilities based on published literature in the Australian setting were preferable over rates observed in the MATISSE trial and considered the sources used in the economic model to be most appropriate (ATAGI pre-submission advice). A summary of the baseline event probabilities applied in the economic model are presented in </w:t>
      </w:r>
      <w:r w:rsidRPr="0035358E">
        <w:rPr>
          <w:iCs/>
        </w:rPr>
        <w:fldChar w:fldCharType="begin"/>
      </w:r>
      <w:r w:rsidRPr="0035358E">
        <w:rPr>
          <w:iCs/>
        </w:rPr>
        <w:instrText xml:space="preserve"> REF _Ref151975009 \h  \* MERGEFORMAT </w:instrText>
      </w:r>
      <w:r w:rsidRPr="0035358E">
        <w:rPr>
          <w:iCs/>
        </w:rPr>
      </w:r>
      <w:r w:rsidRPr="0035358E">
        <w:rPr>
          <w:iCs/>
        </w:rPr>
        <w:fldChar w:fldCharType="separate"/>
      </w:r>
      <w:r w:rsidR="00A46CAC" w:rsidRPr="00A46CAC">
        <w:rPr>
          <w:iCs/>
        </w:rPr>
        <w:t>Table 12</w:t>
      </w:r>
      <w:r w:rsidRPr="0035358E">
        <w:rPr>
          <w:iCs/>
        </w:rPr>
        <w:fldChar w:fldCharType="end"/>
      </w:r>
      <w:r w:rsidRPr="0035358E">
        <w:rPr>
          <w:iCs/>
        </w:rPr>
        <w:t>.</w:t>
      </w:r>
    </w:p>
    <w:p w14:paraId="0B6C4F9E" w14:textId="35916089" w:rsidR="00B60859" w:rsidRPr="0035358E" w:rsidRDefault="00B60859" w:rsidP="00B60859">
      <w:pPr>
        <w:pStyle w:val="Caption"/>
      </w:pPr>
      <w:bookmarkStart w:id="71" w:name="_Ref151975009"/>
      <w:bookmarkStart w:id="72" w:name="_Ref151975006"/>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12</w:t>
      </w:r>
      <w:r w:rsidR="00560E31">
        <w:rPr>
          <w:noProof/>
        </w:rPr>
        <w:fldChar w:fldCharType="end"/>
      </w:r>
      <w:bookmarkEnd w:id="71"/>
      <w:r w:rsidRPr="0035358E">
        <w:t>: Baseline event probabilities</w:t>
      </w:r>
      <w:bookmarkEnd w:id="72"/>
    </w:p>
    <w:tbl>
      <w:tblPr>
        <w:tblStyle w:val="TableGrid"/>
        <w:tblW w:w="0" w:type="auto"/>
        <w:tblLook w:val="04A0" w:firstRow="1" w:lastRow="0" w:firstColumn="1" w:lastColumn="0" w:noHBand="0" w:noVBand="1"/>
        <w:tblCaption w:val="Table 12: Baseline event probabilities"/>
      </w:tblPr>
      <w:tblGrid>
        <w:gridCol w:w="1535"/>
        <w:gridCol w:w="1083"/>
        <w:gridCol w:w="2764"/>
        <w:gridCol w:w="3635"/>
      </w:tblGrid>
      <w:tr w:rsidR="00B60859" w:rsidRPr="0035358E" w14:paraId="392CE78A" w14:textId="77777777" w:rsidTr="00EA01A3">
        <w:trPr>
          <w:trHeight w:val="283"/>
        </w:trPr>
        <w:tc>
          <w:tcPr>
            <w:tcW w:w="1535" w:type="dxa"/>
            <w:vAlign w:val="center"/>
          </w:tcPr>
          <w:p w14:paraId="553715C9" w14:textId="77777777" w:rsidR="00B60859" w:rsidRPr="0035358E" w:rsidRDefault="00B60859" w:rsidP="00B177BE">
            <w:pPr>
              <w:pStyle w:val="In-tableHeading"/>
              <w:jc w:val="center"/>
              <w:rPr>
                <w:lang w:val="en-AU"/>
              </w:rPr>
            </w:pPr>
            <w:r w:rsidRPr="0035358E">
              <w:rPr>
                <w:lang w:val="en-AU"/>
              </w:rPr>
              <w:t>Event</w:t>
            </w:r>
          </w:p>
        </w:tc>
        <w:tc>
          <w:tcPr>
            <w:tcW w:w="1083" w:type="dxa"/>
            <w:vAlign w:val="center"/>
          </w:tcPr>
          <w:p w14:paraId="3D4B96C0" w14:textId="77777777" w:rsidR="00B60859" w:rsidRPr="0035358E" w:rsidRDefault="00B60859" w:rsidP="00B177BE">
            <w:pPr>
              <w:pStyle w:val="In-tableHeading"/>
              <w:jc w:val="center"/>
              <w:rPr>
                <w:lang w:val="en-AU"/>
              </w:rPr>
            </w:pPr>
            <w:r w:rsidRPr="0035358E">
              <w:rPr>
                <w:lang w:val="en-AU"/>
              </w:rPr>
              <w:t>Probability</w:t>
            </w:r>
          </w:p>
        </w:tc>
        <w:tc>
          <w:tcPr>
            <w:tcW w:w="2764" w:type="dxa"/>
            <w:vAlign w:val="center"/>
          </w:tcPr>
          <w:p w14:paraId="17E313ED" w14:textId="77777777" w:rsidR="00B60859" w:rsidRPr="0035358E" w:rsidRDefault="00B60859" w:rsidP="00B177BE">
            <w:pPr>
              <w:pStyle w:val="In-tableHeading"/>
              <w:jc w:val="center"/>
              <w:rPr>
                <w:lang w:val="en-AU"/>
              </w:rPr>
            </w:pPr>
            <w:r w:rsidRPr="0035358E">
              <w:rPr>
                <w:lang w:val="en-AU"/>
              </w:rPr>
              <w:t>Source</w:t>
            </w:r>
          </w:p>
        </w:tc>
        <w:tc>
          <w:tcPr>
            <w:tcW w:w="3635" w:type="dxa"/>
            <w:vAlign w:val="center"/>
          </w:tcPr>
          <w:p w14:paraId="7D802C35" w14:textId="77777777" w:rsidR="00B60859" w:rsidRPr="0035358E" w:rsidRDefault="00B60859" w:rsidP="00B177BE">
            <w:pPr>
              <w:pStyle w:val="In-tableHeading"/>
              <w:jc w:val="center"/>
              <w:rPr>
                <w:lang w:val="en-AU"/>
              </w:rPr>
            </w:pPr>
            <w:r w:rsidRPr="0035358E">
              <w:rPr>
                <w:lang w:val="en-AU"/>
              </w:rPr>
              <w:t>Comment</w:t>
            </w:r>
          </w:p>
        </w:tc>
      </w:tr>
      <w:tr w:rsidR="00B60859" w:rsidRPr="0035358E" w14:paraId="0D4D10B7" w14:textId="77777777" w:rsidTr="00B177BE">
        <w:trPr>
          <w:trHeight w:val="1547"/>
        </w:trPr>
        <w:tc>
          <w:tcPr>
            <w:tcW w:w="1535" w:type="dxa"/>
            <w:vAlign w:val="center"/>
          </w:tcPr>
          <w:p w14:paraId="0ABB5D65" w14:textId="77777777" w:rsidR="00B60859" w:rsidRPr="0035358E" w:rsidRDefault="00B60859" w:rsidP="00B177BE">
            <w:pPr>
              <w:pStyle w:val="TableText0"/>
              <w:jc w:val="center"/>
            </w:pPr>
            <w:r w:rsidRPr="0035358E">
              <w:t>Hospital admission due to RSV</w:t>
            </w:r>
          </w:p>
        </w:tc>
        <w:tc>
          <w:tcPr>
            <w:tcW w:w="1083" w:type="dxa"/>
            <w:vAlign w:val="center"/>
          </w:tcPr>
          <w:p w14:paraId="50FAB160" w14:textId="5BF97A05" w:rsidR="00B60859" w:rsidRPr="0035358E" w:rsidRDefault="00B60859" w:rsidP="00B177BE">
            <w:pPr>
              <w:pStyle w:val="TableText0"/>
              <w:jc w:val="center"/>
            </w:pPr>
            <w:r w:rsidRPr="0035358E">
              <w:t>2.3</w:t>
            </w:r>
            <w:r w:rsidR="005744B6" w:rsidRPr="0035358E">
              <w:t>3</w:t>
            </w:r>
            <w:r w:rsidRPr="0035358E">
              <w:t>%</w:t>
            </w:r>
          </w:p>
        </w:tc>
        <w:tc>
          <w:tcPr>
            <w:tcW w:w="2764" w:type="dxa"/>
            <w:vAlign w:val="center"/>
          </w:tcPr>
          <w:p w14:paraId="3C7386DE" w14:textId="77777777" w:rsidR="00B60859" w:rsidRPr="0035358E" w:rsidRDefault="00B60859" w:rsidP="00B177BE">
            <w:pPr>
              <w:pStyle w:val="TableText0"/>
            </w:pPr>
            <w:r w:rsidRPr="0035358E">
              <w:t>Mean predicted hospital incidence rate from 2000-2012 for &lt;1 year RSV cases reported in Gebremedhin et al.</w:t>
            </w:r>
            <w:bookmarkStart w:id="73" w:name="_Ref151990963"/>
            <w:r w:rsidRPr="0035358E">
              <w:rPr>
                <w:rStyle w:val="FootnoteReference"/>
              </w:rPr>
              <w:footnoteReference w:id="21"/>
            </w:r>
            <w:bookmarkEnd w:id="73"/>
            <w:r w:rsidRPr="0035358E">
              <w:t xml:space="preserve"> </w:t>
            </w:r>
          </w:p>
        </w:tc>
        <w:tc>
          <w:tcPr>
            <w:tcW w:w="3635" w:type="dxa"/>
            <w:vAlign w:val="center"/>
          </w:tcPr>
          <w:p w14:paraId="3A49A48B" w14:textId="734C0D88" w:rsidR="00DB24CC" w:rsidRDefault="00481F87" w:rsidP="00B177BE">
            <w:pPr>
              <w:pStyle w:val="TableText0"/>
              <w:rPr>
                <w:iCs/>
              </w:rPr>
            </w:pPr>
            <w:r w:rsidRPr="0035358E">
              <w:rPr>
                <w:iCs/>
              </w:rPr>
              <w:t>T</w:t>
            </w:r>
            <w:r w:rsidR="00B60859" w:rsidRPr="0035358E">
              <w:rPr>
                <w:iCs/>
              </w:rPr>
              <w:t>he incidence of hospitalisation appears to be decreasing over time and hence</w:t>
            </w:r>
            <w:r w:rsidR="00D103A2" w:rsidRPr="0035358E">
              <w:rPr>
                <w:iCs/>
              </w:rPr>
              <w:t xml:space="preserve"> the evaluation considered</w:t>
            </w:r>
            <w:r w:rsidR="00B60859" w:rsidRPr="0035358E">
              <w:rPr>
                <w:iCs/>
              </w:rPr>
              <w:t xml:space="preserve"> it may be preferable to select hospitalisation rates from a specific year, towards the end of the observation period, in Gebremedhin et al.</w:t>
            </w:r>
            <w:r w:rsidR="00B60859" w:rsidRPr="0035358E">
              <w:rPr>
                <w:i/>
                <w:iCs/>
              </w:rPr>
              <w:fldChar w:fldCharType="begin"/>
            </w:r>
            <w:r w:rsidR="00B60859" w:rsidRPr="0035358E">
              <w:rPr>
                <w:i/>
                <w:iCs/>
              </w:rPr>
              <w:instrText xml:space="preserve"> NOTEREF _Ref151990963 \f \h </w:instrText>
            </w:r>
            <w:r w:rsidR="00B60859" w:rsidRPr="0035358E">
              <w:rPr>
                <w:i/>
                <w:iCs/>
              </w:rPr>
            </w:r>
            <w:r w:rsidR="00B60859" w:rsidRPr="0035358E">
              <w:rPr>
                <w:i/>
                <w:iCs/>
              </w:rPr>
              <w:fldChar w:fldCharType="separate"/>
            </w:r>
            <w:r w:rsidR="00A46CAC" w:rsidRPr="00A46CAC">
              <w:rPr>
                <w:rStyle w:val="FootnoteReference"/>
              </w:rPr>
              <w:t>20</w:t>
            </w:r>
            <w:r w:rsidR="00B60859" w:rsidRPr="0035358E">
              <w:rPr>
                <w:i/>
                <w:iCs/>
              </w:rPr>
              <w:fldChar w:fldCharType="end"/>
            </w:r>
            <w:r w:rsidR="00B60859" w:rsidRPr="0035358E">
              <w:rPr>
                <w:iCs/>
              </w:rPr>
              <w:t xml:space="preserve"> The 2012 hospitalisation rate was 2.03%</w:t>
            </w:r>
            <w:r w:rsidRPr="0035358E">
              <w:rPr>
                <w:iCs/>
              </w:rPr>
              <w:t>, and the ESC note</w:t>
            </w:r>
            <w:r w:rsidR="005F0A5D" w:rsidRPr="0035358E">
              <w:rPr>
                <w:iCs/>
              </w:rPr>
              <w:t>d</w:t>
            </w:r>
            <w:r w:rsidRPr="0035358E">
              <w:rPr>
                <w:iCs/>
              </w:rPr>
              <w:t xml:space="preserve"> the sensitivity of the ICER to this</w:t>
            </w:r>
            <w:r w:rsidR="00B60859" w:rsidRPr="0035358E">
              <w:rPr>
                <w:iCs/>
              </w:rPr>
              <w:t>.</w:t>
            </w:r>
          </w:p>
          <w:p w14:paraId="76D85EC9" w14:textId="2EC442F6" w:rsidR="006739F7" w:rsidRPr="0035358E" w:rsidRDefault="006739F7" w:rsidP="00B177BE">
            <w:pPr>
              <w:pStyle w:val="TableText0"/>
              <w:rPr>
                <w:iCs/>
              </w:rPr>
            </w:pPr>
          </w:p>
          <w:p w14:paraId="3709C811" w14:textId="77F12063" w:rsidR="006739F7" w:rsidRPr="0035358E" w:rsidRDefault="006739F7" w:rsidP="00B177BE">
            <w:pPr>
              <w:pStyle w:val="TableText0"/>
              <w:rPr>
                <w:i/>
                <w:iCs/>
              </w:rPr>
            </w:pPr>
            <w:r w:rsidRPr="0035358E">
              <w:rPr>
                <w:iCs/>
              </w:rPr>
              <w:t>The PSCR noted that the hospitalisation rate of RSV applied in the base case, which was derived from the average of data for 2000-2012 reported by Gebremedhin, et al., 2022 (2.33%) was consistent with ATAGI advice, and likely to be a conservative estimate</w:t>
            </w:r>
            <w:r w:rsidR="00C93F78" w:rsidRPr="0035358E">
              <w:rPr>
                <w:iCs/>
              </w:rPr>
              <w:t xml:space="preserve">. </w:t>
            </w:r>
            <w:r w:rsidRPr="0035358E">
              <w:rPr>
                <w:iCs/>
              </w:rPr>
              <w:t>The ESC considered that the submission’s base case value was reasonable (2.33%)</w:t>
            </w:r>
            <w:r w:rsidR="00C93F78" w:rsidRPr="0035358E">
              <w:rPr>
                <w:iCs/>
              </w:rPr>
              <w:t xml:space="preserve">. </w:t>
            </w:r>
          </w:p>
        </w:tc>
      </w:tr>
      <w:tr w:rsidR="00B60859" w:rsidRPr="0035358E" w14:paraId="7D164769" w14:textId="77777777" w:rsidTr="00B177BE">
        <w:tc>
          <w:tcPr>
            <w:tcW w:w="1535" w:type="dxa"/>
            <w:vAlign w:val="center"/>
          </w:tcPr>
          <w:p w14:paraId="6086FC78" w14:textId="77777777" w:rsidR="00B60859" w:rsidRPr="0035358E" w:rsidRDefault="00B60859" w:rsidP="00B177BE">
            <w:pPr>
              <w:pStyle w:val="TableText0"/>
              <w:jc w:val="center"/>
            </w:pPr>
            <w:r w:rsidRPr="0035358E">
              <w:t>ED attendance due to RSV</w:t>
            </w:r>
          </w:p>
        </w:tc>
        <w:tc>
          <w:tcPr>
            <w:tcW w:w="1083" w:type="dxa"/>
            <w:vAlign w:val="center"/>
          </w:tcPr>
          <w:p w14:paraId="35906614" w14:textId="77777777" w:rsidR="00B60859" w:rsidRPr="0035358E" w:rsidRDefault="00B60859" w:rsidP="00B177BE">
            <w:pPr>
              <w:pStyle w:val="TableText0"/>
              <w:jc w:val="center"/>
            </w:pPr>
            <w:r w:rsidRPr="0035358E">
              <w:t>1.8%</w:t>
            </w:r>
          </w:p>
        </w:tc>
        <w:tc>
          <w:tcPr>
            <w:tcW w:w="2764" w:type="dxa"/>
            <w:vAlign w:val="center"/>
          </w:tcPr>
          <w:p w14:paraId="7FA8E8F9" w14:textId="1966B682" w:rsidR="00B60859" w:rsidRPr="0035358E" w:rsidRDefault="00B60859" w:rsidP="00B177BE">
            <w:pPr>
              <w:pStyle w:val="TableText0"/>
            </w:pPr>
            <w:r w:rsidRPr="0035358E">
              <w:t>Proportion of ALRI RSV cases (&lt;1 year) who only attended the ED in Takashima et al.</w:t>
            </w:r>
            <w:bookmarkStart w:id="74" w:name="_Ref151991441"/>
            <w:r w:rsidRPr="0035358E">
              <w:rPr>
                <w:rStyle w:val="FootnoteReference"/>
              </w:rPr>
              <w:footnoteReference w:id="22"/>
            </w:r>
            <w:bookmarkEnd w:id="74"/>
            <w:r w:rsidR="00C63E95">
              <w:t xml:space="preserve"> </w:t>
            </w:r>
            <w:r w:rsidRPr="0035358E">
              <w:t xml:space="preserve">multiplied by the symptomatic RSV incidence for infants aged &lt;1 year. </w:t>
            </w:r>
          </w:p>
        </w:tc>
        <w:tc>
          <w:tcPr>
            <w:tcW w:w="3635" w:type="dxa"/>
            <w:vAlign w:val="center"/>
          </w:tcPr>
          <w:p w14:paraId="0DFEA540" w14:textId="1F18E35A" w:rsidR="00B60859" w:rsidRPr="0035358E" w:rsidRDefault="00B60859" w:rsidP="00B177BE">
            <w:pPr>
              <w:pStyle w:val="TableText0"/>
              <w:rPr>
                <w:iCs/>
              </w:rPr>
            </w:pPr>
            <w:r w:rsidRPr="0035358E">
              <w:rPr>
                <w:iCs/>
              </w:rPr>
              <w:t>This was reasonable.</w:t>
            </w:r>
          </w:p>
        </w:tc>
      </w:tr>
      <w:tr w:rsidR="00B60859" w:rsidRPr="0035358E" w14:paraId="76233E02" w14:textId="77777777" w:rsidTr="00B177BE">
        <w:tc>
          <w:tcPr>
            <w:tcW w:w="1535" w:type="dxa"/>
            <w:vAlign w:val="center"/>
          </w:tcPr>
          <w:p w14:paraId="5ABE8C11" w14:textId="77777777" w:rsidR="00B60859" w:rsidRPr="0035358E" w:rsidRDefault="00B60859" w:rsidP="00B177BE">
            <w:pPr>
              <w:pStyle w:val="TableText0"/>
              <w:jc w:val="center"/>
            </w:pPr>
            <w:r w:rsidRPr="0035358E">
              <w:t>Outpatient attendance due to RSV</w:t>
            </w:r>
          </w:p>
        </w:tc>
        <w:tc>
          <w:tcPr>
            <w:tcW w:w="1083" w:type="dxa"/>
            <w:vAlign w:val="center"/>
          </w:tcPr>
          <w:p w14:paraId="5B104B01" w14:textId="77777777" w:rsidR="00B60859" w:rsidRPr="0035358E" w:rsidRDefault="00B60859" w:rsidP="00B177BE">
            <w:pPr>
              <w:pStyle w:val="TableText0"/>
              <w:jc w:val="center"/>
            </w:pPr>
            <w:r w:rsidRPr="0035358E">
              <w:t>8.1%</w:t>
            </w:r>
          </w:p>
        </w:tc>
        <w:tc>
          <w:tcPr>
            <w:tcW w:w="2764" w:type="dxa"/>
            <w:vAlign w:val="center"/>
          </w:tcPr>
          <w:p w14:paraId="1B1A559C" w14:textId="77777777" w:rsidR="00B60859" w:rsidRPr="0035358E" w:rsidRDefault="00B60859" w:rsidP="00B177BE">
            <w:pPr>
              <w:pStyle w:val="TableText0"/>
            </w:pPr>
            <w:r w:rsidRPr="0035358E">
              <w:t xml:space="preserve">Proportion of symptomatic ALRI RSV cases (&lt;1 year) who had healthcare contact but did not attend the emergency department or were not admitted into hospital in Takashima et al. multiplied by the symptomatic RSV incidence for infants &lt;1 year. </w:t>
            </w:r>
          </w:p>
        </w:tc>
        <w:tc>
          <w:tcPr>
            <w:tcW w:w="3635" w:type="dxa"/>
            <w:vAlign w:val="center"/>
          </w:tcPr>
          <w:p w14:paraId="5C52F8E5" w14:textId="17F55740" w:rsidR="00B60859" w:rsidRPr="0035358E" w:rsidRDefault="00B60859" w:rsidP="00B177BE">
            <w:pPr>
              <w:pStyle w:val="TableText0"/>
              <w:rPr>
                <w:iCs/>
              </w:rPr>
            </w:pPr>
            <w:r w:rsidRPr="0035358E">
              <w:rPr>
                <w:iCs/>
              </w:rPr>
              <w:t>This was reasonable.</w:t>
            </w:r>
          </w:p>
        </w:tc>
      </w:tr>
      <w:tr w:rsidR="00B60859" w:rsidRPr="0035358E" w14:paraId="493970B3" w14:textId="77777777" w:rsidTr="00B177BE">
        <w:tc>
          <w:tcPr>
            <w:tcW w:w="1535" w:type="dxa"/>
            <w:vAlign w:val="center"/>
          </w:tcPr>
          <w:p w14:paraId="410EC43E" w14:textId="77777777" w:rsidR="00B60859" w:rsidRPr="0035358E" w:rsidRDefault="00B60859" w:rsidP="00B177BE">
            <w:pPr>
              <w:pStyle w:val="TableText0"/>
              <w:jc w:val="center"/>
            </w:pPr>
            <w:r w:rsidRPr="0035358E">
              <w:t>Death once hospitalised due to RSV</w:t>
            </w:r>
          </w:p>
        </w:tc>
        <w:tc>
          <w:tcPr>
            <w:tcW w:w="1083" w:type="dxa"/>
            <w:vAlign w:val="center"/>
          </w:tcPr>
          <w:p w14:paraId="6E8B5F8E" w14:textId="77777777" w:rsidR="00B60859" w:rsidRPr="0035358E" w:rsidRDefault="00B60859" w:rsidP="00B177BE">
            <w:pPr>
              <w:pStyle w:val="TableText0"/>
              <w:jc w:val="center"/>
            </w:pPr>
            <w:r w:rsidRPr="0035358E">
              <w:t>0.2% of infant cases hospitalised</w:t>
            </w:r>
          </w:p>
        </w:tc>
        <w:tc>
          <w:tcPr>
            <w:tcW w:w="2764" w:type="dxa"/>
            <w:vAlign w:val="center"/>
          </w:tcPr>
          <w:p w14:paraId="73DDAD0A" w14:textId="77777777" w:rsidR="00B60859" w:rsidRPr="0035358E" w:rsidRDefault="00B60859" w:rsidP="00B177BE">
            <w:pPr>
              <w:pStyle w:val="TableText0"/>
            </w:pPr>
            <w:r w:rsidRPr="0035358E">
              <w:t>hCFR for RSV in patients &lt;16 years reported in Saravanos et al.</w:t>
            </w:r>
            <w:r w:rsidRPr="0035358E">
              <w:rPr>
                <w:rStyle w:val="FootnoteReference"/>
              </w:rPr>
              <w:footnoteReference w:id="23"/>
            </w:r>
            <w:r w:rsidRPr="0035358E">
              <w:t xml:space="preserve"> </w:t>
            </w:r>
          </w:p>
        </w:tc>
        <w:tc>
          <w:tcPr>
            <w:tcW w:w="3635" w:type="dxa"/>
            <w:vAlign w:val="center"/>
          </w:tcPr>
          <w:p w14:paraId="7493E8F6" w14:textId="77777777" w:rsidR="00DB24CC" w:rsidRDefault="00B60859" w:rsidP="00B177BE">
            <w:pPr>
              <w:pStyle w:val="TableText0"/>
              <w:rPr>
                <w:iCs/>
              </w:rPr>
            </w:pPr>
            <w:r w:rsidRPr="0035358E">
              <w:rPr>
                <w:iCs/>
              </w:rPr>
              <w:t>ATAGI considered this source was reasonable given the lack of available data, however noted that the use of hospital admissions data may underestimate the true hCFR for RSV deaths.</w:t>
            </w:r>
          </w:p>
          <w:p w14:paraId="5D1FA245" w14:textId="363A45C8" w:rsidR="00D176C8" w:rsidRPr="0035358E" w:rsidRDefault="00D176C8" w:rsidP="00B177BE">
            <w:pPr>
              <w:pStyle w:val="TableText0"/>
              <w:rPr>
                <w:iCs/>
              </w:rPr>
            </w:pPr>
          </w:p>
          <w:p w14:paraId="1A444C8D" w14:textId="27F77FBF" w:rsidR="00FE4DF4" w:rsidRPr="0035358E" w:rsidRDefault="00D176C8" w:rsidP="00D176C8">
            <w:pPr>
              <w:pStyle w:val="TableText0"/>
              <w:rPr>
                <w:i/>
              </w:rPr>
            </w:pPr>
            <w:r w:rsidRPr="0035358E">
              <w:rPr>
                <w:iCs/>
              </w:rPr>
              <w:t>The ESC noted an alternative estimate of the in-hospital CFR of 0.1% was reported in the ATAGI pre submission advice to PBAC, derived from the study by Li et al 2022</w:t>
            </w:r>
            <w:r w:rsidRPr="0035358E">
              <w:rPr>
                <w:iCs/>
                <w:vertAlign w:val="superscript"/>
              </w:rPr>
              <w:footnoteReference w:id="24"/>
            </w:r>
            <w:r w:rsidR="00354DA1" w:rsidRPr="0035358E">
              <w:rPr>
                <w:iCs/>
              </w:rPr>
              <w:t xml:space="preserve"> and</w:t>
            </w:r>
            <w:r w:rsidR="001B118F" w:rsidRPr="0035358E">
              <w:rPr>
                <w:iCs/>
              </w:rPr>
              <w:t xml:space="preserve"> noted the ICER was sensitive to this. </w:t>
            </w:r>
            <w:r w:rsidR="00A4250B" w:rsidRPr="0035358E">
              <w:rPr>
                <w:iCs/>
              </w:rPr>
              <w:t>The</w:t>
            </w:r>
            <w:r w:rsidR="00354DA1" w:rsidRPr="0035358E">
              <w:rPr>
                <w:iCs/>
              </w:rPr>
              <w:t xml:space="preserve"> ESC </w:t>
            </w:r>
            <w:r w:rsidR="00A4250B" w:rsidRPr="0035358E">
              <w:rPr>
                <w:iCs/>
              </w:rPr>
              <w:t xml:space="preserve">concluded that both figures were </w:t>
            </w:r>
            <w:r w:rsidR="00E82F4A" w:rsidRPr="0035358E">
              <w:rPr>
                <w:iCs/>
              </w:rPr>
              <w:t>reasonable and</w:t>
            </w:r>
            <w:r w:rsidR="00A4250B" w:rsidRPr="0035358E">
              <w:rPr>
                <w:iCs/>
              </w:rPr>
              <w:t xml:space="preserve"> note</w:t>
            </w:r>
            <w:r w:rsidR="00173E6F" w:rsidRPr="0035358E">
              <w:rPr>
                <w:iCs/>
              </w:rPr>
              <w:t>d</w:t>
            </w:r>
            <w:r w:rsidR="00A4250B" w:rsidRPr="0035358E">
              <w:rPr>
                <w:iCs/>
              </w:rPr>
              <w:t xml:space="preserve"> the sensitivity of the ICER to</w:t>
            </w:r>
            <w:r w:rsidR="00173E6F" w:rsidRPr="0035358E">
              <w:rPr>
                <w:iCs/>
              </w:rPr>
              <w:t xml:space="preserve"> the value used.</w:t>
            </w:r>
          </w:p>
        </w:tc>
      </w:tr>
    </w:tbl>
    <w:p w14:paraId="3BA554B3" w14:textId="5841BC3C" w:rsidR="00B60859" w:rsidRPr="0035358E" w:rsidRDefault="00B60859" w:rsidP="00B60859">
      <w:pPr>
        <w:pStyle w:val="FooterTableFigure"/>
        <w:keepNext/>
      </w:pPr>
      <w:r w:rsidRPr="0035358E">
        <w:t xml:space="preserve">Source: </w:t>
      </w:r>
      <w:r w:rsidRPr="0035358E">
        <w:rPr>
          <w:iCs/>
        </w:rPr>
        <w:t>Constructed during the evaluation</w:t>
      </w:r>
      <w:r w:rsidRPr="0035358E">
        <w:t xml:space="preserve"> </w:t>
      </w:r>
      <w:r w:rsidRPr="0035358E">
        <w:rPr>
          <w:iCs/>
        </w:rPr>
        <w:t xml:space="preserve">from </w:t>
      </w:r>
      <w:r w:rsidRPr="0035358E">
        <w:t xml:space="preserve">the submission </w:t>
      </w:r>
      <w:r w:rsidR="008462BA" w:rsidRPr="0035358E">
        <w:t xml:space="preserve">(pp 102 – 121) </w:t>
      </w:r>
      <w:r w:rsidRPr="0035358E">
        <w:t>and the “ABRYSVO_Maternal_CEA_Base_Case” Excel Workbook provided with the submission.</w:t>
      </w:r>
    </w:p>
    <w:p w14:paraId="35BC20AF" w14:textId="789ADD4D" w:rsidR="00DB24CC" w:rsidRDefault="00AC6CE4" w:rsidP="00134D9D">
      <w:pPr>
        <w:pStyle w:val="FooterTableFigure"/>
      </w:pPr>
      <w:r>
        <w:t xml:space="preserve">Abbreviations: </w:t>
      </w:r>
      <w:r w:rsidR="00B60859" w:rsidRPr="0035358E">
        <w:t>ALRI = acute lower respiratory tract infection; ARI = acute respiratory infection; ATAGI = Australian Technical Advisory Group on Immunisations; ED = emergency department; hCFR = hospital Case Fatality Ratio; MA-LRTI = medically attended – lower respiratory tract illness; NA = not applicable; RSV = Respiratory Syncytial Virus.</w:t>
      </w:r>
    </w:p>
    <w:p w14:paraId="371CF636" w14:textId="2102E9B2" w:rsidR="00DB24CC" w:rsidRDefault="00B60859" w:rsidP="00DD4B2C">
      <w:pPr>
        <w:pStyle w:val="3-BodyText"/>
      </w:pPr>
      <w:bookmarkStart w:id="75" w:name="_Ref163737432"/>
      <w:r w:rsidRPr="0035358E">
        <w:t xml:space="preserve">In the intervention arm, the baseline event probabilities (except for the risk of death) </w:t>
      </w:r>
      <w:r w:rsidR="00556DC7" w:rsidRPr="0035358E">
        <w:t xml:space="preserve">were </w:t>
      </w:r>
      <w:r w:rsidRPr="0035358E">
        <w:t xml:space="preserve">adjusted for a risk reduction associated with the VE of RSVpreF, which was calculated as the complement of the VE of RSVpreF for preventing MA-LRTI due to RSV at 360 days after birth (1 - 0.41 = 0.59), as observed in the MATISSE trial. The </w:t>
      </w:r>
      <w:r w:rsidRPr="0035358E">
        <w:lastRenderedPageBreak/>
        <w:t xml:space="preserve">submission has claimed that this was a conservative approach as the VE at earlier time points was higher. </w:t>
      </w:r>
      <w:r w:rsidRPr="0035358E">
        <w:rPr>
          <w:iCs/>
        </w:rPr>
        <w:t>This statement was reasonable for the ED and outpatient attendance events. However, the VE for preventing hospitalisations was lower (33%) in the MATISSE trial and hence was more reasonable to apply in the base case analysis. If applying the hospitalisation due to RSV VE, it would then be appropriate to adjust the VE for preventing MA-LRTI (applied to ED and outpatient attendances) to exclude hospitalisation, calculated as 45% during the evaluation (</w:t>
      </w:r>
      <w:r w:rsidRPr="0035358E">
        <w:rPr>
          <w:iCs/>
        </w:rPr>
        <w:fldChar w:fldCharType="begin"/>
      </w:r>
      <w:r w:rsidRPr="0035358E">
        <w:rPr>
          <w:iCs/>
        </w:rPr>
        <w:instrText xml:space="preserve"> REF _Ref155780912 \h  \* MERGEFORMAT </w:instrText>
      </w:r>
      <w:r w:rsidRPr="0035358E">
        <w:rPr>
          <w:iCs/>
        </w:rPr>
      </w:r>
      <w:r w:rsidRPr="0035358E">
        <w:rPr>
          <w:iCs/>
        </w:rPr>
        <w:fldChar w:fldCharType="separate"/>
      </w:r>
      <w:r w:rsidR="00A46CAC" w:rsidRPr="00A46CAC">
        <w:rPr>
          <w:iCs/>
        </w:rPr>
        <w:t>Table 13</w:t>
      </w:r>
      <w:r w:rsidRPr="0035358E">
        <w:rPr>
          <w:iCs/>
        </w:rPr>
        <w:fldChar w:fldCharType="end"/>
      </w:r>
      <w:r w:rsidRPr="0035358E">
        <w:rPr>
          <w:iCs/>
        </w:rPr>
        <w:t xml:space="preserve">). This approach increased the ICER by </w:t>
      </w:r>
      <w:r w:rsidR="00E96E79" w:rsidRPr="00A46CAC">
        <w:rPr>
          <w:iCs/>
          <w:color w:val="000000"/>
          <w:w w:val="15"/>
          <w:shd w:val="solid" w:color="000000" w:fill="000000"/>
          <w:fitText w:val="-20" w:id="-961850107"/>
          <w14:textFill>
            <w14:solidFill>
              <w14:srgbClr w14:val="000000">
                <w14:alpha w14:val="100000"/>
              </w14:srgbClr>
            </w14:solidFill>
          </w14:textFill>
        </w:rPr>
        <w:t>|</w:t>
      </w:r>
      <w:r w:rsidR="00C63E95" w:rsidRPr="00A46CAC">
        <w:rPr>
          <w:iCs/>
          <w:color w:val="000000"/>
          <w:w w:val="15"/>
          <w:shd w:val="solid" w:color="000000" w:fill="000000"/>
          <w:fitText w:val="-20" w:id="-961850107"/>
          <w14:textFill>
            <w14:solidFill>
              <w14:srgbClr w14:val="000000">
                <w14:alpha w14:val="100000"/>
              </w14:srgbClr>
            </w14:solidFill>
          </w14:textFill>
        </w:rPr>
        <w:t xml:space="preserve"> </w:t>
      </w:r>
      <w:r w:rsidR="00E96E79" w:rsidRPr="00A46CAC">
        <w:rPr>
          <w:iCs/>
          <w:color w:val="000000"/>
          <w:spacing w:val="-61"/>
          <w:w w:val="15"/>
          <w:shd w:val="solid" w:color="000000" w:fill="000000"/>
          <w:fitText w:val="-20" w:id="-961850107"/>
          <w14:textFill>
            <w14:solidFill>
              <w14:srgbClr w14:val="000000">
                <w14:alpha w14:val="100000"/>
              </w14:srgbClr>
            </w14:solidFill>
          </w14:textFill>
        </w:rPr>
        <w:t>|</w:t>
      </w:r>
      <w:r w:rsidRPr="0035358E">
        <w:rPr>
          <w:iCs/>
        </w:rPr>
        <w:t>% (from $</w:t>
      </w:r>
      <w:r w:rsidR="004A30D9" w:rsidRPr="004A30D9">
        <w:rPr>
          <w:iCs/>
        </w:rPr>
        <w:t>25,000 to &lt; $35,000</w:t>
      </w:r>
      <w:r w:rsidR="00EA01A3">
        <w:rPr>
          <w:iCs/>
        </w:rPr>
        <w:t xml:space="preserve"> </w:t>
      </w:r>
      <w:r w:rsidRPr="0035358E">
        <w:rPr>
          <w:iCs/>
        </w:rPr>
        <w:t>per QALY gained to $</w:t>
      </w:r>
      <w:r w:rsidR="004A30D9" w:rsidRPr="004A30D9">
        <w:rPr>
          <w:iCs/>
        </w:rPr>
        <w:t>75,000</w:t>
      </w:r>
      <w:r w:rsidR="00EA01A3">
        <w:rPr>
          <w:iCs/>
        </w:rPr>
        <w:t> </w:t>
      </w:r>
      <w:r w:rsidR="004A30D9" w:rsidRPr="004A30D9">
        <w:rPr>
          <w:iCs/>
        </w:rPr>
        <w:t>to</w:t>
      </w:r>
      <w:r w:rsidR="00EA01A3">
        <w:rPr>
          <w:iCs/>
        </w:rPr>
        <w:t> </w:t>
      </w:r>
      <w:r w:rsidR="004A30D9" w:rsidRPr="004A30D9">
        <w:rPr>
          <w:iCs/>
        </w:rPr>
        <w:t>&lt;</w:t>
      </w:r>
      <w:r w:rsidR="00EA01A3">
        <w:rPr>
          <w:iCs/>
        </w:rPr>
        <w:t> </w:t>
      </w:r>
      <w:r w:rsidR="004A30D9" w:rsidRPr="004A30D9">
        <w:rPr>
          <w:iCs/>
        </w:rPr>
        <w:t>$95,000</w:t>
      </w:r>
      <w:r w:rsidR="00EA01A3">
        <w:rPr>
          <w:iCs/>
        </w:rPr>
        <w:t xml:space="preserve"> </w:t>
      </w:r>
      <w:r w:rsidRPr="0035358E">
        <w:rPr>
          <w:iCs/>
        </w:rPr>
        <w:t>per QALY gained)</w:t>
      </w:r>
      <w:r w:rsidR="00C93F78" w:rsidRPr="0035358E">
        <w:rPr>
          <w:iCs/>
        </w:rPr>
        <w:t xml:space="preserve">. </w:t>
      </w:r>
      <w:r w:rsidR="00C44115" w:rsidRPr="0035358E">
        <w:t>The PSCR stated that the MATISSE trial is ongoing and incomplete data are available for 360 day outcomes resulting in relatively uncertain outcomes, as reflected in wide confidence intervals</w:t>
      </w:r>
      <w:r w:rsidR="00C818C2" w:rsidRPr="0035358E">
        <w:t xml:space="preserve"> for example in </w:t>
      </w:r>
      <w:r w:rsidR="00C44115" w:rsidRPr="0035358E">
        <w:t xml:space="preserve">the </w:t>
      </w:r>
      <w:r w:rsidR="005744B6" w:rsidRPr="0035358E">
        <w:t xml:space="preserve">primary </w:t>
      </w:r>
      <w:r w:rsidR="00C44115" w:rsidRPr="0035358E">
        <w:t>analysis of 360 day VE against hospitalised MA-LRTI, VE was 33.3% (99.17% CI:-17.6%, 62.9%)</w:t>
      </w:r>
      <w:r w:rsidR="005F0A5D" w:rsidRPr="0035358E">
        <w:t>.</w:t>
      </w:r>
      <w:bookmarkEnd w:id="75"/>
    </w:p>
    <w:p w14:paraId="62F6BECB" w14:textId="408EBFEC" w:rsidR="00B60859" w:rsidRPr="0035358E" w:rsidRDefault="00B60859" w:rsidP="00914A93">
      <w:pPr>
        <w:pStyle w:val="Caption"/>
      </w:pPr>
      <w:bookmarkStart w:id="76" w:name="_Ref155780912"/>
      <w:r w:rsidRPr="0035358E">
        <w:t xml:space="preserve">Table </w:t>
      </w:r>
      <w:r w:rsidR="00560E31">
        <w:fldChar w:fldCharType="begin"/>
      </w:r>
      <w:r w:rsidR="00560E31">
        <w:instrText xml:space="preserve"> SEQ Table \* ARABIC </w:instrText>
      </w:r>
      <w:r w:rsidR="00560E31">
        <w:fldChar w:fldCharType="separate"/>
      </w:r>
      <w:r w:rsidR="00A46CAC">
        <w:rPr>
          <w:noProof/>
        </w:rPr>
        <w:t>13</w:t>
      </w:r>
      <w:r w:rsidR="00560E31">
        <w:rPr>
          <w:noProof/>
        </w:rPr>
        <w:fldChar w:fldCharType="end"/>
      </w:r>
      <w:bookmarkEnd w:id="76"/>
      <w:r w:rsidRPr="0035358E">
        <w:t>: VE observed in the MATISSE trial versus modelled in the economic evaluation</w:t>
      </w:r>
    </w:p>
    <w:tbl>
      <w:tblPr>
        <w:tblStyle w:val="TableGrid"/>
        <w:tblW w:w="9128" w:type="dxa"/>
        <w:tblLayout w:type="fixed"/>
        <w:tblLook w:val="04A0" w:firstRow="1" w:lastRow="0" w:firstColumn="1" w:lastColumn="0" w:noHBand="0" w:noVBand="1"/>
        <w:tblCaption w:val="Table 13: VE observed in the MATISSE trial versus modelled in the economic evaluation"/>
      </w:tblPr>
      <w:tblGrid>
        <w:gridCol w:w="1141"/>
        <w:gridCol w:w="1122"/>
        <w:gridCol w:w="1160"/>
        <w:gridCol w:w="1141"/>
        <w:gridCol w:w="1243"/>
        <w:gridCol w:w="1039"/>
        <w:gridCol w:w="1141"/>
        <w:gridCol w:w="1131"/>
        <w:gridCol w:w="10"/>
      </w:tblGrid>
      <w:tr w:rsidR="00B60859" w:rsidRPr="0035358E" w14:paraId="49A67B72" w14:textId="77777777" w:rsidTr="00914A93">
        <w:trPr>
          <w:gridAfter w:val="1"/>
          <w:wAfter w:w="10" w:type="dxa"/>
          <w:trHeight w:val="210"/>
        </w:trPr>
        <w:tc>
          <w:tcPr>
            <w:tcW w:w="2263" w:type="dxa"/>
            <w:gridSpan w:val="2"/>
            <w:vAlign w:val="center"/>
          </w:tcPr>
          <w:p w14:paraId="2F025999" w14:textId="77777777" w:rsidR="00B60859" w:rsidRPr="0035358E" w:rsidRDefault="00B60859" w:rsidP="00B177BE">
            <w:pPr>
              <w:pStyle w:val="In-tableHeading"/>
              <w:jc w:val="center"/>
              <w:rPr>
                <w:lang w:val="en-AU"/>
              </w:rPr>
            </w:pPr>
            <w:r w:rsidRPr="0035358E">
              <w:rPr>
                <w:lang w:val="en-AU"/>
              </w:rPr>
              <w:t>MATISSE trial observed VEs at 360 days</w:t>
            </w:r>
          </w:p>
        </w:tc>
        <w:tc>
          <w:tcPr>
            <w:tcW w:w="3544" w:type="dxa"/>
            <w:gridSpan w:val="3"/>
            <w:vAlign w:val="center"/>
          </w:tcPr>
          <w:p w14:paraId="083412FC" w14:textId="77777777" w:rsidR="00B60859" w:rsidRPr="0035358E" w:rsidRDefault="00B60859" w:rsidP="00B177BE">
            <w:pPr>
              <w:pStyle w:val="In-tableHeading"/>
              <w:jc w:val="center"/>
              <w:rPr>
                <w:lang w:val="en-AU"/>
              </w:rPr>
            </w:pPr>
            <w:r w:rsidRPr="0035358E">
              <w:rPr>
                <w:lang w:val="en-AU"/>
              </w:rPr>
              <w:t>Submission base case VEs</w:t>
            </w:r>
          </w:p>
        </w:tc>
        <w:tc>
          <w:tcPr>
            <w:tcW w:w="3311" w:type="dxa"/>
            <w:gridSpan w:val="3"/>
            <w:vAlign w:val="center"/>
          </w:tcPr>
          <w:p w14:paraId="50C8FD33" w14:textId="77777777" w:rsidR="00B60859" w:rsidRPr="0035358E" w:rsidRDefault="00B60859" w:rsidP="00B177BE">
            <w:pPr>
              <w:pStyle w:val="In-tableHeading"/>
              <w:jc w:val="center"/>
              <w:rPr>
                <w:lang w:val="en-AU"/>
              </w:rPr>
            </w:pPr>
            <w:r w:rsidRPr="0035358E">
              <w:rPr>
                <w:lang w:val="en-AU"/>
              </w:rPr>
              <w:t>Hospitalisation specific VE approach</w:t>
            </w:r>
          </w:p>
        </w:tc>
      </w:tr>
      <w:tr w:rsidR="00B60859" w:rsidRPr="0035358E" w14:paraId="6162ACFC" w14:textId="77777777" w:rsidTr="00914A93">
        <w:trPr>
          <w:trHeight w:val="63"/>
        </w:trPr>
        <w:tc>
          <w:tcPr>
            <w:tcW w:w="1141" w:type="dxa"/>
            <w:vAlign w:val="center"/>
          </w:tcPr>
          <w:p w14:paraId="12DAB02A" w14:textId="77777777" w:rsidR="00B60859" w:rsidRPr="0035358E" w:rsidRDefault="00B60859" w:rsidP="00B177BE">
            <w:pPr>
              <w:pStyle w:val="In-tableHeading"/>
              <w:jc w:val="center"/>
              <w:rPr>
                <w:lang w:val="en-AU"/>
              </w:rPr>
            </w:pPr>
            <w:r w:rsidRPr="0035358E">
              <w:rPr>
                <w:lang w:val="en-AU"/>
              </w:rPr>
              <w:t>Hospital admission due to RSV</w:t>
            </w:r>
          </w:p>
        </w:tc>
        <w:tc>
          <w:tcPr>
            <w:tcW w:w="1122" w:type="dxa"/>
            <w:vAlign w:val="center"/>
          </w:tcPr>
          <w:p w14:paraId="6AA4F660" w14:textId="1F4B3776" w:rsidR="00B60859" w:rsidRPr="0035358E" w:rsidRDefault="00B60859" w:rsidP="00B177BE">
            <w:pPr>
              <w:pStyle w:val="In-tableHeading"/>
              <w:jc w:val="center"/>
              <w:rPr>
                <w:lang w:val="en-AU"/>
              </w:rPr>
            </w:pPr>
            <w:r w:rsidRPr="0035358E">
              <w:rPr>
                <w:lang w:val="en-AU"/>
              </w:rPr>
              <w:t>MA-LRTI RSV</w:t>
            </w:r>
          </w:p>
        </w:tc>
        <w:tc>
          <w:tcPr>
            <w:tcW w:w="1160" w:type="dxa"/>
            <w:vAlign w:val="center"/>
          </w:tcPr>
          <w:p w14:paraId="558CA6C7" w14:textId="6346CF93" w:rsidR="00B60859" w:rsidRPr="0035358E" w:rsidRDefault="00B60859" w:rsidP="00B177BE">
            <w:pPr>
              <w:pStyle w:val="In-tableHeading"/>
              <w:jc w:val="center"/>
              <w:rPr>
                <w:lang w:val="en-AU"/>
              </w:rPr>
            </w:pPr>
            <w:r w:rsidRPr="0035358E">
              <w:rPr>
                <w:lang w:val="en-AU"/>
              </w:rPr>
              <w:t>Hospital admission</w:t>
            </w:r>
            <w:r w:rsidR="00DB24CC">
              <w:rPr>
                <w:lang w:val="en-AU"/>
              </w:rPr>
              <w:t xml:space="preserve"> </w:t>
            </w:r>
            <w:r w:rsidRPr="0035358E">
              <w:rPr>
                <w:lang w:val="en-AU"/>
              </w:rPr>
              <w:t>due to RSV</w:t>
            </w:r>
          </w:p>
        </w:tc>
        <w:tc>
          <w:tcPr>
            <w:tcW w:w="1141" w:type="dxa"/>
            <w:vAlign w:val="center"/>
          </w:tcPr>
          <w:p w14:paraId="0FE6FB56" w14:textId="77777777" w:rsidR="00B60859" w:rsidRPr="0035358E" w:rsidRDefault="00B60859" w:rsidP="00B177BE">
            <w:pPr>
              <w:pStyle w:val="In-tableHeading"/>
              <w:jc w:val="center"/>
              <w:rPr>
                <w:lang w:val="en-AU"/>
              </w:rPr>
            </w:pPr>
            <w:r w:rsidRPr="0035358E">
              <w:rPr>
                <w:lang w:val="en-AU"/>
              </w:rPr>
              <w:t>ED attendance due to RSV</w:t>
            </w:r>
          </w:p>
        </w:tc>
        <w:tc>
          <w:tcPr>
            <w:tcW w:w="1243" w:type="dxa"/>
            <w:vAlign w:val="center"/>
          </w:tcPr>
          <w:p w14:paraId="2B44B9F5" w14:textId="77777777" w:rsidR="00B60859" w:rsidRPr="0035358E" w:rsidRDefault="00B60859" w:rsidP="00B177BE">
            <w:pPr>
              <w:pStyle w:val="In-tableHeading"/>
              <w:jc w:val="center"/>
              <w:rPr>
                <w:lang w:val="en-AU"/>
              </w:rPr>
            </w:pPr>
            <w:r w:rsidRPr="0035358E">
              <w:rPr>
                <w:lang w:val="en-AU"/>
              </w:rPr>
              <w:t>Outpatient attendance due to RSV</w:t>
            </w:r>
          </w:p>
        </w:tc>
        <w:tc>
          <w:tcPr>
            <w:tcW w:w="1039" w:type="dxa"/>
            <w:vAlign w:val="center"/>
          </w:tcPr>
          <w:p w14:paraId="069EA9D3" w14:textId="5049D370" w:rsidR="00B60859" w:rsidRPr="0035358E" w:rsidRDefault="00B60859" w:rsidP="00B177BE">
            <w:pPr>
              <w:pStyle w:val="In-tableHeading"/>
              <w:jc w:val="center"/>
              <w:rPr>
                <w:lang w:val="en-AU"/>
              </w:rPr>
            </w:pPr>
            <w:r w:rsidRPr="0035358E">
              <w:rPr>
                <w:lang w:val="en-AU"/>
              </w:rPr>
              <w:t>Hospital admission</w:t>
            </w:r>
            <w:r w:rsidR="00DB24CC">
              <w:rPr>
                <w:lang w:val="en-AU"/>
              </w:rPr>
              <w:t xml:space="preserve"> </w:t>
            </w:r>
            <w:r w:rsidRPr="0035358E">
              <w:rPr>
                <w:lang w:val="en-AU"/>
              </w:rPr>
              <w:t>due to RSV</w:t>
            </w:r>
          </w:p>
        </w:tc>
        <w:tc>
          <w:tcPr>
            <w:tcW w:w="1141" w:type="dxa"/>
            <w:vAlign w:val="center"/>
          </w:tcPr>
          <w:p w14:paraId="0FE5B183" w14:textId="77777777" w:rsidR="00B60859" w:rsidRPr="0035358E" w:rsidRDefault="00B60859" w:rsidP="00B177BE">
            <w:pPr>
              <w:pStyle w:val="In-tableHeading"/>
              <w:jc w:val="center"/>
              <w:rPr>
                <w:lang w:val="en-AU"/>
              </w:rPr>
            </w:pPr>
            <w:r w:rsidRPr="0035358E">
              <w:rPr>
                <w:lang w:val="en-AU"/>
              </w:rPr>
              <w:t>ED attendance due to RSV</w:t>
            </w:r>
          </w:p>
        </w:tc>
        <w:tc>
          <w:tcPr>
            <w:tcW w:w="1141" w:type="dxa"/>
            <w:gridSpan w:val="2"/>
            <w:vAlign w:val="center"/>
          </w:tcPr>
          <w:p w14:paraId="79D7A85B" w14:textId="77777777" w:rsidR="00B60859" w:rsidRPr="0035358E" w:rsidRDefault="00B60859" w:rsidP="00B177BE">
            <w:pPr>
              <w:pStyle w:val="In-tableHeading"/>
              <w:jc w:val="center"/>
              <w:rPr>
                <w:lang w:val="en-AU"/>
              </w:rPr>
            </w:pPr>
            <w:r w:rsidRPr="0035358E">
              <w:rPr>
                <w:lang w:val="en-AU"/>
              </w:rPr>
              <w:t>Outpatient attendance due to RSV</w:t>
            </w:r>
          </w:p>
        </w:tc>
      </w:tr>
      <w:tr w:rsidR="00B60859" w:rsidRPr="0035358E" w14:paraId="5714FB27" w14:textId="77777777" w:rsidTr="00B177BE">
        <w:trPr>
          <w:trHeight w:val="63"/>
        </w:trPr>
        <w:tc>
          <w:tcPr>
            <w:tcW w:w="1141" w:type="dxa"/>
            <w:vAlign w:val="center"/>
          </w:tcPr>
          <w:p w14:paraId="21931830" w14:textId="77777777" w:rsidR="00B60859" w:rsidRPr="0035358E" w:rsidRDefault="00B60859" w:rsidP="00B177BE">
            <w:pPr>
              <w:pStyle w:val="In-tableHeading"/>
              <w:jc w:val="center"/>
              <w:rPr>
                <w:b w:val="0"/>
                <w:bCs/>
                <w:lang w:val="en-AU"/>
              </w:rPr>
            </w:pPr>
            <w:r w:rsidRPr="0035358E">
              <w:rPr>
                <w:b w:val="0"/>
                <w:bCs/>
                <w:lang w:val="en-AU"/>
              </w:rPr>
              <w:t>33%</w:t>
            </w:r>
            <w:r w:rsidRPr="0035358E">
              <w:rPr>
                <w:b w:val="0"/>
                <w:bCs/>
                <w:vertAlign w:val="superscript"/>
                <w:lang w:val="en-AU"/>
              </w:rPr>
              <w:t>a</w:t>
            </w:r>
          </w:p>
        </w:tc>
        <w:tc>
          <w:tcPr>
            <w:tcW w:w="1122" w:type="dxa"/>
            <w:vAlign w:val="center"/>
          </w:tcPr>
          <w:p w14:paraId="2313BEB5" w14:textId="77777777" w:rsidR="00B60859" w:rsidRPr="0035358E" w:rsidRDefault="00B60859" w:rsidP="00B177BE">
            <w:pPr>
              <w:pStyle w:val="In-tableHeading"/>
              <w:jc w:val="center"/>
              <w:rPr>
                <w:b w:val="0"/>
                <w:bCs/>
                <w:lang w:val="en-AU"/>
              </w:rPr>
            </w:pPr>
            <w:r w:rsidRPr="0035358E">
              <w:rPr>
                <w:b w:val="0"/>
                <w:bCs/>
                <w:lang w:val="en-AU"/>
              </w:rPr>
              <w:t>41%</w:t>
            </w:r>
          </w:p>
        </w:tc>
        <w:tc>
          <w:tcPr>
            <w:tcW w:w="3544" w:type="dxa"/>
            <w:gridSpan w:val="3"/>
            <w:vAlign w:val="center"/>
          </w:tcPr>
          <w:p w14:paraId="4787F45B" w14:textId="77777777" w:rsidR="00B60859" w:rsidRPr="0035358E" w:rsidRDefault="00B60859" w:rsidP="00B177BE">
            <w:pPr>
              <w:pStyle w:val="In-tableHeading"/>
              <w:jc w:val="center"/>
              <w:rPr>
                <w:b w:val="0"/>
                <w:bCs/>
                <w:lang w:val="en-AU"/>
              </w:rPr>
            </w:pPr>
            <w:r w:rsidRPr="0035358E">
              <w:rPr>
                <w:b w:val="0"/>
                <w:bCs/>
                <w:lang w:val="en-AU"/>
              </w:rPr>
              <w:t>41%</w:t>
            </w:r>
          </w:p>
        </w:tc>
        <w:tc>
          <w:tcPr>
            <w:tcW w:w="1039" w:type="dxa"/>
            <w:vAlign w:val="center"/>
          </w:tcPr>
          <w:p w14:paraId="45B60F4A" w14:textId="77777777" w:rsidR="00B60859" w:rsidRPr="0035358E" w:rsidRDefault="00B60859" w:rsidP="00B177BE">
            <w:pPr>
              <w:pStyle w:val="In-tableHeading"/>
              <w:jc w:val="center"/>
              <w:rPr>
                <w:b w:val="0"/>
                <w:bCs/>
                <w:lang w:val="en-AU"/>
              </w:rPr>
            </w:pPr>
            <w:r w:rsidRPr="0035358E">
              <w:rPr>
                <w:b w:val="0"/>
                <w:bCs/>
                <w:lang w:val="en-AU"/>
              </w:rPr>
              <w:t>33%</w:t>
            </w:r>
          </w:p>
        </w:tc>
        <w:tc>
          <w:tcPr>
            <w:tcW w:w="2282" w:type="dxa"/>
            <w:gridSpan w:val="3"/>
            <w:vAlign w:val="center"/>
          </w:tcPr>
          <w:p w14:paraId="7475679D" w14:textId="49FC823A" w:rsidR="00B60859" w:rsidRPr="0035358E" w:rsidRDefault="00B60859" w:rsidP="00B177BE">
            <w:pPr>
              <w:pStyle w:val="In-tableHeading"/>
              <w:jc w:val="center"/>
              <w:rPr>
                <w:b w:val="0"/>
                <w:bCs/>
                <w:iCs/>
                <w:vertAlign w:val="superscript"/>
                <w:lang w:val="en-AU"/>
              </w:rPr>
            </w:pPr>
            <w:r w:rsidRPr="0035358E">
              <w:rPr>
                <w:b w:val="0"/>
                <w:bCs/>
                <w:iCs/>
                <w:lang w:val="en-AU"/>
              </w:rPr>
              <w:t>45%</w:t>
            </w:r>
            <w:r w:rsidRPr="0035358E">
              <w:rPr>
                <w:b w:val="0"/>
                <w:bCs/>
                <w:iCs/>
                <w:vertAlign w:val="superscript"/>
                <w:lang w:val="en-AU"/>
              </w:rPr>
              <w:t>b</w:t>
            </w:r>
          </w:p>
        </w:tc>
      </w:tr>
    </w:tbl>
    <w:p w14:paraId="5AF3F097" w14:textId="1787DFC5" w:rsidR="00B60859" w:rsidRPr="0035358E" w:rsidRDefault="00B60859" w:rsidP="003B3B7C">
      <w:pPr>
        <w:pStyle w:val="FooterTableFigure"/>
        <w:keepNext/>
      </w:pPr>
      <w:r w:rsidRPr="0035358E">
        <w:t xml:space="preserve">Source: </w:t>
      </w:r>
      <w:r w:rsidRPr="0035358E">
        <w:rPr>
          <w:iCs/>
        </w:rPr>
        <w:t>Constructed during the evaluation</w:t>
      </w:r>
      <w:r w:rsidRPr="0035358E">
        <w:t>.</w:t>
      </w:r>
    </w:p>
    <w:p w14:paraId="5B61C07F" w14:textId="6717FC2F" w:rsidR="00B60859" w:rsidRPr="0035358E" w:rsidRDefault="00FA2DA6" w:rsidP="003B3B7C">
      <w:pPr>
        <w:pStyle w:val="FooterTableFigure"/>
        <w:keepNext/>
      </w:pPr>
      <w:r>
        <w:t xml:space="preserve">Abbreviations: </w:t>
      </w:r>
      <w:r w:rsidR="00B60859" w:rsidRPr="0035358E">
        <w:t>ED = emergency department; MA-LRTI = medically attended – lower respiratory tract illness; RSV = Respiratory Syncytial Virus; VE = vaccine efficacy.</w:t>
      </w:r>
    </w:p>
    <w:p w14:paraId="3BA2124B" w14:textId="77777777" w:rsidR="00DB24CC" w:rsidRDefault="00B60859" w:rsidP="003B3B7C">
      <w:pPr>
        <w:pStyle w:val="FooterTableFigure"/>
        <w:keepNext/>
      </w:pPr>
      <w:r w:rsidRPr="0035358E">
        <w:rPr>
          <w:vertAlign w:val="superscript"/>
        </w:rPr>
        <w:t>a</w:t>
      </w:r>
      <w:r w:rsidRPr="0035358E">
        <w:rPr>
          <w:iCs/>
        </w:rPr>
        <w:t xml:space="preserve"> </w:t>
      </w:r>
      <w:r w:rsidRPr="0035358E">
        <w:t>Not statistically significant</w:t>
      </w:r>
      <w:r w:rsidR="00C93F78" w:rsidRPr="0035358E">
        <w:t>.</w:t>
      </w:r>
    </w:p>
    <w:p w14:paraId="42B4D694" w14:textId="6D1E39F3" w:rsidR="006863C8" w:rsidRPr="0035358E" w:rsidRDefault="00B60859" w:rsidP="006863C8">
      <w:pPr>
        <w:pStyle w:val="FooterTableFigure"/>
        <w:rPr>
          <w:iCs/>
        </w:rPr>
      </w:pPr>
      <w:r w:rsidRPr="0035358E">
        <w:rPr>
          <w:iCs/>
          <w:vertAlign w:val="superscript"/>
        </w:rPr>
        <w:t>b</w:t>
      </w:r>
      <w:r w:rsidRPr="0035358E">
        <w:rPr>
          <w:vertAlign w:val="superscript"/>
        </w:rPr>
        <w:t xml:space="preserve"> </w:t>
      </w:r>
      <w:r w:rsidRPr="0035358E">
        <w:rPr>
          <w:iCs/>
        </w:rPr>
        <w:t>VE for preventing MA-LRTI RSV, excluding hospitalisation</w:t>
      </w:r>
      <w:r w:rsidRPr="0035358E">
        <w:rPr>
          <w:iCs/>
          <w:vertAlign w:val="superscript"/>
        </w:rPr>
        <w:t>,</w:t>
      </w:r>
      <w:r w:rsidRPr="0035358E">
        <w:rPr>
          <w:iCs/>
        </w:rPr>
        <w:t xml:space="preserve"> calculated during the evaluation.</w:t>
      </w:r>
    </w:p>
    <w:p w14:paraId="6CBC268F" w14:textId="3AEF2B34" w:rsidR="00DB24CC" w:rsidRDefault="00B60859" w:rsidP="00DD4B2C">
      <w:pPr>
        <w:pStyle w:val="3-BodyText"/>
      </w:pPr>
      <w:r w:rsidRPr="0035358E">
        <w:t>The economic model included QALYs lost for the infant and the carer for each event. As the MATISSE trial did not capture quality-of-life data, QALYs lost for non-fatal events were sourced from Mao et al.</w:t>
      </w:r>
      <w:r w:rsidRPr="0035358E">
        <w:fldChar w:fldCharType="begin"/>
      </w:r>
      <w:r w:rsidRPr="0035358E">
        <w:instrText xml:space="preserve"> NOTEREF _Ref155864551 \f \h </w:instrText>
      </w:r>
      <w:r w:rsidRPr="0035358E">
        <w:fldChar w:fldCharType="separate"/>
      </w:r>
      <w:r w:rsidR="00A46CAC" w:rsidRPr="00A46CAC">
        <w:rPr>
          <w:rStyle w:val="FootnoteReference"/>
        </w:rPr>
        <w:t>18</w:t>
      </w:r>
      <w:r w:rsidRPr="0035358E">
        <w:fldChar w:fldCharType="end"/>
      </w:r>
      <w:r w:rsidRPr="0035358E">
        <w:t xml:space="preserve"> who aimed to measure the QALYs lost that were attributable to RSV infections for infants (&lt;1 year) and carers in several European countries. The QALYs lost were applied as a once-off to the proportion of infants and carers experiencing each event (</w:t>
      </w:r>
      <w:r w:rsidRPr="0035358E">
        <w:fldChar w:fldCharType="begin"/>
      </w:r>
      <w:r w:rsidRPr="0035358E">
        <w:instrText xml:space="preserve"> REF _Ref155781750 \h </w:instrText>
      </w:r>
      <w:r w:rsidRPr="0035358E">
        <w:fldChar w:fldCharType="separate"/>
      </w:r>
      <w:r w:rsidR="00A46CAC" w:rsidRPr="001C1B4E">
        <w:t xml:space="preserve">Table </w:t>
      </w:r>
      <w:r w:rsidR="00A46CAC">
        <w:rPr>
          <w:noProof/>
        </w:rPr>
        <w:t>14</w:t>
      </w:r>
      <w:r w:rsidRPr="0035358E">
        <w:fldChar w:fldCharType="end"/>
      </w:r>
      <w:r w:rsidRPr="0035358E">
        <w:t>)</w:t>
      </w:r>
      <w:r w:rsidR="00C93F78" w:rsidRPr="0035358E">
        <w:t>.</w:t>
      </w:r>
    </w:p>
    <w:p w14:paraId="6ED31865" w14:textId="62E04EF2" w:rsidR="00B60859" w:rsidRPr="001C1B4E" w:rsidRDefault="00B60859" w:rsidP="00914A93">
      <w:pPr>
        <w:pStyle w:val="Caption"/>
      </w:pPr>
      <w:bookmarkStart w:id="77" w:name="_Ref155781750"/>
      <w:r w:rsidRPr="001C1B4E">
        <w:lastRenderedPageBreak/>
        <w:t xml:space="preserve">Table </w:t>
      </w:r>
      <w:r w:rsidR="00560E31">
        <w:fldChar w:fldCharType="begin"/>
      </w:r>
      <w:r w:rsidR="00560E31">
        <w:instrText xml:space="preserve"> SEQ Table \* ARABIC </w:instrText>
      </w:r>
      <w:r w:rsidR="00560E31">
        <w:fldChar w:fldCharType="separate"/>
      </w:r>
      <w:r w:rsidR="00A46CAC">
        <w:rPr>
          <w:noProof/>
        </w:rPr>
        <w:t>14</w:t>
      </w:r>
      <w:r w:rsidR="00560E31">
        <w:rPr>
          <w:noProof/>
        </w:rPr>
        <w:fldChar w:fldCharType="end"/>
      </w:r>
      <w:bookmarkEnd w:id="77"/>
      <w:r w:rsidRPr="001C1B4E">
        <w:t xml:space="preserve">: </w:t>
      </w:r>
      <w:r w:rsidRPr="001C1B4E">
        <w:rPr>
          <w:rStyle w:val="CommentReference"/>
          <w:b/>
          <w:szCs w:val="24"/>
        </w:rPr>
        <w:t>QALYs lost applied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 QALYs lost applied in the economic evaluation"/>
      </w:tblPr>
      <w:tblGrid>
        <w:gridCol w:w="2353"/>
        <w:gridCol w:w="973"/>
        <w:gridCol w:w="974"/>
        <w:gridCol w:w="1665"/>
        <w:gridCol w:w="1526"/>
        <w:gridCol w:w="1526"/>
      </w:tblGrid>
      <w:tr w:rsidR="00B60859" w:rsidRPr="001C1B4E" w14:paraId="0D741C24" w14:textId="77777777" w:rsidTr="00263227">
        <w:trPr>
          <w:tblHeader/>
        </w:trPr>
        <w:tc>
          <w:tcPr>
            <w:tcW w:w="2405" w:type="dxa"/>
            <w:vMerge w:val="restart"/>
            <w:vAlign w:val="center"/>
          </w:tcPr>
          <w:p w14:paraId="335BC192" w14:textId="77777777" w:rsidR="00B60859" w:rsidRPr="001C1B4E" w:rsidRDefault="00B60859" w:rsidP="00B177BE">
            <w:pPr>
              <w:pStyle w:val="In-tableHeading"/>
              <w:jc w:val="center"/>
              <w:rPr>
                <w:lang w:val="en-AU"/>
              </w:rPr>
            </w:pPr>
            <w:r w:rsidRPr="001C1B4E">
              <w:rPr>
                <w:lang w:val="en-AU"/>
              </w:rPr>
              <w:t>Event</w:t>
            </w:r>
          </w:p>
        </w:tc>
        <w:tc>
          <w:tcPr>
            <w:tcW w:w="1985" w:type="dxa"/>
            <w:gridSpan w:val="2"/>
            <w:vAlign w:val="center"/>
          </w:tcPr>
          <w:p w14:paraId="621DC0A6" w14:textId="02BDE14B" w:rsidR="00B60859" w:rsidRPr="001C1B4E" w:rsidRDefault="00B60859" w:rsidP="00B177BE">
            <w:pPr>
              <w:pStyle w:val="In-tableHeading"/>
              <w:jc w:val="center"/>
              <w:rPr>
                <w:vertAlign w:val="superscript"/>
                <w:lang w:val="en-AU"/>
              </w:rPr>
            </w:pPr>
            <w:r w:rsidRPr="001C1B4E">
              <w:rPr>
                <w:lang w:val="en-AU"/>
              </w:rPr>
              <w:t>QALYs lost</w:t>
            </w:r>
            <w:r w:rsidR="00125EC9" w:rsidRPr="001C1B4E">
              <w:rPr>
                <w:lang w:val="en-AU"/>
              </w:rPr>
              <w:t xml:space="preserve"> per event</w:t>
            </w:r>
          </w:p>
        </w:tc>
        <w:tc>
          <w:tcPr>
            <w:tcW w:w="1701" w:type="dxa"/>
            <w:vMerge w:val="restart"/>
            <w:vAlign w:val="center"/>
          </w:tcPr>
          <w:p w14:paraId="2A748C81" w14:textId="77777777" w:rsidR="00B60859" w:rsidRPr="001C1B4E" w:rsidRDefault="00B60859" w:rsidP="00B177BE">
            <w:pPr>
              <w:pStyle w:val="In-tableHeading"/>
              <w:jc w:val="center"/>
              <w:rPr>
                <w:lang w:val="en-AU"/>
              </w:rPr>
            </w:pPr>
            <w:r w:rsidRPr="001C1B4E">
              <w:rPr>
                <w:lang w:val="en-AU"/>
              </w:rPr>
              <w:t>Source of estimate</w:t>
            </w:r>
          </w:p>
        </w:tc>
        <w:tc>
          <w:tcPr>
            <w:tcW w:w="3118" w:type="dxa"/>
            <w:gridSpan w:val="2"/>
            <w:vAlign w:val="center"/>
          </w:tcPr>
          <w:p w14:paraId="543EEF6D" w14:textId="77777777" w:rsidR="00B60859" w:rsidRPr="001C1B4E" w:rsidRDefault="00B60859" w:rsidP="00B177BE">
            <w:pPr>
              <w:pStyle w:val="In-tableHeading"/>
              <w:jc w:val="center"/>
              <w:rPr>
                <w:lang w:val="en-AU"/>
              </w:rPr>
            </w:pPr>
            <w:r w:rsidRPr="001C1B4E">
              <w:rPr>
                <w:lang w:val="en-AU"/>
              </w:rPr>
              <w:t>Proportion of patients</w:t>
            </w:r>
          </w:p>
        </w:tc>
      </w:tr>
      <w:tr w:rsidR="00B60859" w:rsidRPr="001C1B4E" w14:paraId="7B35A137" w14:textId="77777777" w:rsidTr="00263227">
        <w:trPr>
          <w:tblHeader/>
        </w:trPr>
        <w:tc>
          <w:tcPr>
            <w:tcW w:w="2405" w:type="dxa"/>
            <w:vMerge/>
            <w:vAlign w:val="center"/>
          </w:tcPr>
          <w:p w14:paraId="3A684800" w14:textId="77777777" w:rsidR="00B60859" w:rsidRPr="001C1B4E" w:rsidRDefault="00B60859" w:rsidP="00B177BE">
            <w:pPr>
              <w:pStyle w:val="In-tableHeading"/>
              <w:jc w:val="center"/>
              <w:rPr>
                <w:lang w:val="en-AU"/>
              </w:rPr>
            </w:pPr>
          </w:p>
        </w:tc>
        <w:tc>
          <w:tcPr>
            <w:tcW w:w="992" w:type="dxa"/>
            <w:vAlign w:val="center"/>
          </w:tcPr>
          <w:p w14:paraId="4D9F074F" w14:textId="77777777" w:rsidR="00B60859" w:rsidRPr="001C1B4E" w:rsidRDefault="00B60859" w:rsidP="00B177BE">
            <w:pPr>
              <w:pStyle w:val="In-tableHeading"/>
              <w:jc w:val="center"/>
              <w:rPr>
                <w:lang w:val="en-AU"/>
              </w:rPr>
            </w:pPr>
            <w:r w:rsidRPr="001C1B4E">
              <w:rPr>
                <w:lang w:val="en-AU"/>
              </w:rPr>
              <w:t>Infant</w:t>
            </w:r>
          </w:p>
        </w:tc>
        <w:tc>
          <w:tcPr>
            <w:tcW w:w="993" w:type="dxa"/>
            <w:vAlign w:val="center"/>
          </w:tcPr>
          <w:p w14:paraId="68E83D56" w14:textId="77777777" w:rsidR="00B60859" w:rsidRPr="001C1B4E" w:rsidRDefault="00B60859" w:rsidP="00B177BE">
            <w:pPr>
              <w:pStyle w:val="In-tableHeading"/>
              <w:jc w:val="center"/>
              <w:rPr>
                <w:lang w:val="en-AU"/>
              </w:rPr>
            </w:pPr>
            <w:r w:rsidRPr="001C1B4E">
              <w:rPr>
                <w:lang w:val="en-AU"/>
              </w:rPr>
              <w:t>Carer</w:t>
            </w:r>
          </w:p>
        </w:tc>
        <w:tc>
          <w:tcPr>
            <w:tcW w:w="1701" w:type="dxa"/>
            <w:vMerge/>
            <w:vAlign w:val="center"/>
          </w:tcPr>
          <w:p w14:paraId="3085EBB4" w14:textId="77777777" w:rsidR="00B60859" w:rsidRPr="001C1B4E" w:rsidRDefault="00B60859" w:rsidP="00B177BE">
            <w:pPr>
              <w:pStyle w:val="In-tableHeading"/>
              <w:jc w:val="center"/>
              <w:rPr>
                <w:lang w:val="en-AU"/>
              </w:rPr>
            </w:pPr>
          </w:p>
        </w:tc>
        <w:tc>
          <w:tcPr>
            <w:tcW w:w="1559" w:type="dxa"/>
            <w:vAlign w:val="center"/>
          </w:tcPr>
          <w:p w14:paraId="1CB01B9B" w14:textId="77777777" w:rsidR="00B60859" w:rsidRPr="001C1B4E" w:rsidRDefault="00B60859" w:rsidP="00B177BE">
            <w:pPr>
              <w:pStyle w:val="In-tableHeading"/>
              <w:jc w:val="center"/>
              <w:rPr>
                <w:lang w:val="en-AU"/>
              </w:rPr>
            </w:pPr>
            <w:r w:rsidRPr="001C1B4E">
              <w:rPr>
                <w:rStyle w:val="ui-provider"/>
                <w:lang w:val="en-AU"/>
              </w:rPr>
              <w:t>RSVpreF</w:t>
            </w:r>
          </w:p>
        </w:tc>
        <w:tc>
          <w:tcPr>
            <w:tcW w:w="1559" w:type="dxa"/>
            <w:vAlign w:val="center"/>
          </w:tcPr>
          <w:p w14:paraId="2B1FBA2A" w14:textId="77777777" w:rsidR="00B60859" w:rsidRPr="001C1B4E" w:rsidRDefault="00B60859" w:rsidP="00B177BE">
            <w:pPr>
              <w:pStyle w:val="In-tableHeading"/>
              <w:jc w:val="center"/>
              <w:rPr>
                <w:lang w:val="en-AU"/>
              </w:rPr>
            </w:pPr>
            <w:r w:rsidRPr="001C1B4E">
              <w:rPr>
                <w:lang w:val="en-AU"/>
              </w:rPr>
              <w:t>SOC</w:t>
            </w:r>
          </w:p>
        </w:tc>
      </w:tr>
      <w:tr w:rsidR="00B60859" w:rsidRPr="001C1B4E" w14:paraId="094431BA" w14:textId="77777777" w:rsidTr="00263227">
        <w:tc>
          <w:tcPr>
            <w:tcW w:w="2405" w:type="dxa"/>
            <w:vAlign w:val="center"/>
          </w:tcPr>
          <w:p w14:paraId="5376B184" w14:textId="77777777" w:rsidR="00B60859" w:rsidRPr="001C1B4E" w:rsidRDefault="00B60859" w:rsidP="00B177BE">
            <w:pPr>
              <w:pStyle w:val="TableText0"/>
            </w:pPr>
            <w:r w:rsidRPr="001C1B4E">
              <w:t>Attending the ED</w:t>
            </w:r>
          </w:p>
        </w:tc>
        <w:tc>
          <w:tcPr>
            <w:tcW w:w="992" w:type="dxa"/>
            <w:vMerge w:val="restart"/>
            <w:vAlign w:val="center"/>
          </w:tcPr>
          <w:p w14:paraId="0B84FC95" w14:textId="77777777" w:rsidR="00B60859" w:rsidRPr="001C1B4E" w:rsidRDefault="00B60859" w:rsidP="00B177BE">
            <w:pPr>
              <w:pStyle w:val="TableText0"/>
              <w:jc w:val="center"/>
            </w:pPr>
            <w:r w:rsidRPr="001C1B4E">
              <w:t>0.00630</w:t>
            </w:r>
            <w:r w:rsidRPr="001C1B4E">
              <w:rPr>
                <w:vertAlign w:val="superscript"/>
              </w:rPr>
              <w:t>a</w:t>
            </w:r>
          </w:p>
        </w:tc>
        <w:tc>
          <w:tcPr>
            <w:tcW w:w="993" w:type="dxa"/>
            <w:vMerge w:val="restart"/>
            <w:vAlign w:val="center"/>
          </w:tcPr>
          <w:p w14:paraId="07DA9BA0" w14:textId="77777777" w:rsidR="00B60859" w:rsidRPr="001C1B4E" w:rsidRDefault="00B60859" w:rsidP="00B177BE">
            <w:pPr>
              <w:pStyle w:val="TableText0"/>
              <w:jc w:val="center"/>
              <w:rPr>
                <w:vertAlign w:val="superscript"/>
              </w:rPr>
            </w:pPr>
            <w:r w:rsidRPr="001C1B4E">
              <w:t>0.00055</w:t>
            </w:r>
            <w:r w:rsidRPr="001C1B4E">
              <w:rPr>
                <w:vertAlign w:val="superscript"/>
              </w:rPr>
              <w:t>a</w:t>
            </w:r>
          </w:p>
        </w:tc>
        <w:tc>
          <w:tcPr>
            <w:tcW w:w="1701" w:type="dxa"/>
            <w:vMerge w:val="restart"/>
            <w:vAlign w:val="center"/>
          </w:tcPr>
          <w:p w14:paraId="68910524" w14:textId="6F1253E8" w:rsidR="00B60859" w:rsidRPr="001C1B4E" w:rsidRDefault="00B60859" w:rsidP="00B177BE">
            <w:pPr>
              <w:pStyle w:val="TableText0"/>
              <w:jc w:val="center"/>
            </w:pPr>
            <w:r w:rsidRPr="001C1B4E">
              <w:t xml:space="preserve">Mao et al. </w:t>
            </w:r>
            <w:r w:rsidRPr="001C1B4E">
              <w:fldChar w:fldCharType="begin"/>
            </w:r>
            <w:r w:rsidRPr="001C1B4E">
              <w:instrText xml:space="preserve"> NOTEREF _Ref155864551 \f \h </w:instrText>
            </w:r>
            <w:r w:rsidR="001C1B4E">
              <w:instrText xml:space="preserve"> \* MERGEFORMAT </w:instrText>
            </w:r>
            <w:r w:rsidRPr="001C1B4E">
              <w:fldChar w:fldCharType="separate"/>
            </w:r>
            <w:r w:rsidR="00A46CAC" w:rsidRPr="00A46CAC">
              <w:rPr>
                <w:rStyle w:val="FootnoteReference"/>
              </w:rPr>
              <w:t>18</w:t>
            </w:r>
            <w:r w:rsidRPr="001C1B4E">
              <w:fldChar w:fldCharType="end"/>
            </w:r>
          </w:p>
        </w:tc>
        <w:tc>
          <w:tcPr>
            <w:tcW w:w="1559" w:type="dxa"/>
            <w:vAlign w:val="center"/>
          </w:tcPr>
          <w:p w14:paraId="1E7F22E0" w14:textId="77777777" w:rsidR="00B60859" w:rsidRPr="001C1B4E" w:rsidRDefault="00B60859" w:rsidP="00B177BE">
            <w:pPr>
              <w:pStyle w:val="TableText0"/>
              <w:jc w:val="center"/>
            </w:pPr>
            <w:r w:rsidRPr="001C1B4E">
              <w:t>1.06%</w:t>
            </w:r>
          </w:p>
        </w:tc>
        <w:tc>
          <w:tcPr>
            <w:tcW w:w="1559" w:type="dxa"/>
            <w:vAlign w:val="center"/>
          </w:tcPr>
          <w:p w14:paraId="0E69BB54" w14:textId="77777777" w:rsidR="00B60859" w:rsidRPr="001C1B4E" w:rsidRDefault="00B60859" w:rsidP="00B177BE">
            <w:pPr>
              <w:pStyle w:val="TableText0"/>
              <w:jc w:val="center"/>
            </w:pPr>
            <w:r w:rsidRPr="001C1B4E">
              <w:t>1.80%</w:t>
            </w:r>
          </w:p>
        </w:tc>
      </w:tr>
      <w:tr w:rsidR="00B60859" w:rsidRPr="001C1B4E" w14:paraId="42BB8A7B" w14:textId="77777777" w:rsidTr="00263227">
        <w:tc>
          <w:tcPr>
            <w:tcW w:w="2405" w:type="dxa"/>
            <w:vAlign w:val="center"/>
          </w:tcPr>
          <w:p w14:paraId="1834667E" w14:textId="77777777" w:rsidR="00B60859" w:rsidRPr="001C1B4E" w:rsidRDefault="00B60859" w:rsidP="00B177BE">
            <w:pPr>
              <w:pStyle w:val="TableText0"/>
            </w:pPr>
            <w:r w:rsidRPr="001C1B4E">
              <w:t>Attending outpatient services</w:t>
            </w:r>
          </w:p>
        </w:tc>
        <w:tc>
          <w:tcPr>
            <w:tcW w:w="992" w:type="dxa"/>
            <w:vMerge/>
            <w:vAlign w:val="center"/>
          </w:tcPr>
          <w:p w14:paraId="2D4CB2E9" w14:textId="77777777" w:rsidR="00B60859" w:rsidRPr="001C1B4E" w:rsidRDefault="00B60859" w:rsidP="00B177BE">
            <w:pPr>
              <w:pStyle w:val="TableText0"/>
              <w:jc w:val="center"/>
            </w:pPr>
          </w:p>
        </w:tc>
        <w:tc>
          <w:tcPr>
            <w:tcW w:w="993" w:type="dxa"/>
            <w:vMerge/>
            <w:vAlign w:val="center"/>
          </w:tcPr>
          <w:p w14:paraId="727864E4" w14:textId="77777777" w:rsidR="00B60859" w:rsidRPr="001C1B4E" w:rsidRDefault="00B60859" w:rsidP="00B177BE">
            <w:pPr>
              <w:pStyle w:val="TableText0"/>
              <w:jc w:val="center"/>
            </w:pPr>
          </w:p>
        </w:tc>
        <w:tc>
          <w:tcPr>
            <w:tcW w:w="1701" w:type="dxa"/>
            <w:vMerge/>
            <w:vAlign w:val="center"/>
          </w:tcPr>
          <w:p w14:paraId="0FC36D47" w14:textId="77777777" w:rsidR="00B60859" w:rsidRPr="001C1B4E" w:rsidRDefault="00B60859" w:rsidP="00B177BE">
            <w:pPr>
              <w:pStyle w:val="TableText0"/>
            </w:pPr>
          </w:p>
        </w:tc>
        <w:tc>
          <w:tcPr>
            <w:tcW w:w="1559" w:type="dxa"/>
            <w:vAlign w:val="center"/>
          </w:tcPr>
          <w:p w14:paraId="5743E661" w14:textId="77777777" w:rsidR="00B60859" w:rsidRPr="001C1B4E" w:rsidRDefault="00B60859" w:rsidP="00B177BE">
            <w:pPr>
              <w:pStyle w:val="TableText0"/>
              <w:jc w:val="center"/>
            </w:pPr>
            <w:r w:rsidRPr="001C1B4E">
              <w:t>4.78%</w:t>
            </w:r>
          </w:p>
        </w:tc>
        <w:tc>
          <w:tcPr>
            <w:tcW w:w="1559" w:type="dxa"/>
            <w:vAlign w:val="center"/>
          </w:tcPr>
          <w:p w14:paraId="62E9E9CF" w14:textId="77777777" w:rsidR="00B60859" w:rsidRPr="001C1B4E" w:rsidRDefault="00B60859" w:rsidP="00B177BE">
            <w:pPr>
              <w:pStyle w:val="TableText0"/>
              <w:jc w:val="center"/>
            </w:pPr>
            <w:r w:rsidRPr="001C1B4E">
              <w:t>8.10%</w:t>
            </w:r>
          </w:p>
        </w:tc>
      </w:tr>
      <w:tr w:rsidR="00B60859" w:rsidRPr="001C1B4E" w14:paraId="0DEDD019" w14:textId="77777777" w:rsidTr="00263227">
        <w:tc>
          <w:tcPr>
            <w:tcW w:w="2405" w:type="dxa"/>
            <w:vAlign w:val="center"/>
          </w:tcPr>
          <w:p w14:paraId="2FBC7A2F" w14:textId="77777777" w:rsidR="00B60859" w:rsidRPr="001C1B4E" w:rsidRDefault="00B60859" w:rsidP="00B177BE">
            <w:pPr>
              <w:pStyle w:val="TableText0"/>
            </w:pPr>
            <w:r w:rsidRPr="001C1B4E">
              <w:t>Non-fatal hospitalisations</w:t>
            </w:r>
          </w:p>
        </w:tc>
        <w:tc>
          <w:tcPr>
            <w:tcW w:w="992" w:type="dxa"/>
            <w:vAlign w:val="center"/>
          </w:tcPr>
          <w:p w14:paraId="6CA82D52" w14:textId="77777777" w:rsidR="00B60859" w:rsidRPr="001C1B4E" w:rsidRDefault="00B60859" w:rsidP="00B177BE">
            <w:pPr>
              <w:pStyle w:val="TableText0"/>
              <w:jc w:val="center"/>
              <w:rPr>
                <w:vertAlign w:val="superscript"/>
              </w:rPr>
            </w:pPr>
            <w:r w:rsidRPr="001C1B4E">
              <w:t>0.01013</w:t>
            </w:r>
            <w:r w:rsidRPr="001C1B4E">
              <w:rPr>
                <w:vertAlign w:val="superscript"/>
              </w:rPr>
              <w:t>a</w:t>
            </w:r>
          </w:p>
        </w:tc>
        <w:tc>
          <w:tcPr>
            <w:tcW w:w="993" w:type="dxa"/>
            <w:vAlign w:val="center"/>
          </w:tcPr>
          <w:p w14:paraId="0ADF913D" w14:textId="77777777" w:rsidR="00B60859" w:rsidRPr="001C1B4E" w:rsidRDefault="00B60859" w:rsidP="00B177BE">
            <w:pPr>
              <w:pStyle w:val="TableText0"/>
              <w:jc w:val="center"/>
              <w:rPr>
                <w:vertAlign w:val="superscript"/>
              </w:rPr>
            </w:pPr>
            <w:r w:rsidRPr="001C1B4E">
              <w:t>0.00329</w:t>
            </w:r>
            <w:r w:rsidRPr="001C1B4E">
              <w:rPr>
                <w:vertAlign w:val="superscript"/>
              </w:rPr>
              <w:t>a</w:t>
            </w:r>
          </w:p>
        </w:tc>
        <w:tc>
          <w:tcPr>
            <w:tcW w:w="1701" w:type="dxa"/>
            <w:vMerge/>
            <w:vAlign w:val="center"/>
          </w:tcPr>
          <w:p w14:paraId="3DD37ABF" w14:textId="77777777" w:rsidR="00B60859" w:rsidRPr="001C1B4E" w:rsidRDefault="00B60859" w:rsidP="00B177BE">
            <w:pPr>
              <w:pStyle w:val="TableText0"/>
            </w:pPr>
          </w:p>
        </w:tc>
        <w:tc>
          <w:tcPr>
            <w:tcW w:w="1559" w:type="dxa"/>
            <w:vAlign w:val="center"/>
          </w:tcPr>
          <w:p w14:paraId="7518C3F4" w14:textId="77777777" w:rsidR="00B60859" w:rsidRPr="001C1B4E" w:rsidRDefault="00B60859" w:rsidP="00B177BE">
            <w:pPr>
              <w:pStyle w:val="TableText0"/>
              <w:jc w:val="center"/>
            </w:pPr>
            <w:r w:rsidRPr="001C1B4E">
              <w:t>1.37%</w:t>
            </w:r>
          </w:p>
        </w:tc>
        <w:tc>
          <w:tcPr>
            <w:tcW w:w="1559" w:type="dxa"/>
            <w:vAlign w:val="center"/>
          </w:tcPr>
          <w:p w14:paraId="52226E49" w14:textId="77777777" w:rsidR="00B60859" w:rsidRPr="001C1B4E" w:rsidRDefault="00B60859" w:rsidP="00B177BE">
            <w:pPr>
              <w:pStyle w:val="TableText0"/>
              <w:jc w:val="center"/>
            </w:pPr>
            <w:r w:rsidRPr="001C1B4E">
              <w:t>2.33%</w:t>
            </w:r>
          </w:p>
        </w:tc>
      </w:tr>
      <w:tr w:rsidR="00B60859" w:rsidRPr="001C1B4E" w14:paraId="604CEA0B" w14:textId="77777777" w:rsidTr="00263227">
        <w:tc>
          <w:tcPr>
            <w:tcW w:w="2405" w:type="dxa"/>
            <w:vAlign w:val="center"/>
          </w:tcPr>
          <w:p w14:paraId="7754FFEF" w14:textId="77777777" w:rsidR="00B60859" w:rsidRPr="001C1B4E" w:rsidRDefault="00B60859" w:rsidP="00B177BE">
            <w:pPr>
              <w:pStyle w:val="TableText0"/>
            </w:pPr>
            <w:r w:rsidRPr="001C1B4E">
              <w:t>Dead</w:t>
            </w:r>
          </w:p>
        </w:tc>
        <w:tc>
          <w:tcPr>
            <w:tcW w:w="992" w:type="dxa"/>
            <w:vAlign w:val="center"/>
          </w:tcPr>
          <w:p w14:paraId="12EB5E27" w14:textId="694BFB0E" w:rsidR="00B60859" w:rsidRPr="001C1B4E" w:rsidRDefault="00B60859" w:rsidP="00B177BE">
            <w:pPr>
              <w:pStyle w:val="TableText0"/>
              <w:jc w:val="center"/>
            </w:pPr>
            <w:r w:rsidRPr="001C1B4E">
              <w:t>19.7990</w:t>
            </w:r>
          </w:p>
        </w:tc>
        <w:tc>
          <w:tcPr>
            <w:tcW w:w="993" w:type="dxa"/>
            <w:vAlign w:val="center"/>
          </w:tcPr>
          <w:p w14:paraId="6A87A80D" w14:textId="77777777" w:rsidR="00B60859" w:rsidRPr="001C1B4E" w:rsidRDefault="00B60859" w:rsidP="00B177BE">
            <w:pPr>
              <w:pStyle w:val="TableText0"/>
              <w:jc w:val="center"/>
            </w:pPr>
            <w:r w:rsidRPr="001C1B4E">
              <w:t>0</w:t>
            </w:r>
          </w:p>
        </w:tc>
        <w:tc>
          <w:tcPr>
            <w:tcW w:w="1701" w:type="dxa"/>
            <w:vAlign w:val="center"/>
          </w:tcPr>
          <w:p w14:paraId="7146E92A" w14:textId="77777777" w:rsidR="00B60859" w:rsidRPr="001C1B4E" w:rsidRDefault="00B60859" w:rsidP="00B177BE">
            <w:pPr>
              <w:pStyle w:val="TableText0"/>
              <w:jc w:val="center"/>
            </w:pPr>
            <w:r w:rsidRPr="001C1B4E">
              <w:t>McCaffrey et al.</w:t>
            </w:r>
            <w:r w:rsidRPr="001C1B4E">
              <w:rPr>
                <w:rStyle w:val="FootnoteReference"/>
              </w:rPr>
              <w:footnoteReference w:id="25"/>
            </w:r>
            <w:r w:rsidRPr="001C1B4E">
              <w:t xml:space="preserve"> and ABS life tables</w:t>
            </w:r>
            <w:r w:rsidRPr="001C1B4E">
              <w:rPr>
                <w:rStyle w:val="FootnoteReference"/>
              </w:rPr>
              <w:footnoteReference w:id="26"/>
            </w:r>
          </w:p>
        </w:tc>
        <w:tc>
          <w:tcPr>
            <w:tcW w:w="1559" w:type="dxa"/>
            <w:vAlign w:val="center"/>
          </w:tcPr>
          <w:p w14:paraId="486BE66B" w14:textId="77777777" w:rsidR="00B60859" w:rsidRPr="001C1B4E" w:rsidRDefault="00B60859" w:rsidP="00B177BE">
            <w:pPr>
              <w:pStyle w:val="TableText0"/>
              <w:jc w:val="center"/>
            </w:pPr>
            <w:r w:rsidRPr="001C1B4E">
              <w:t>0.0027%</w:t>
            </w:r>
          </w:p>
        </w:tc>
        <w:tc>
          <w:tcPr>
            <w:tcW w:w="1559" w:type="dxa"/>
            <w:vAlign w:val="center"/>
          </w:tcPr>
          <w:p w14:paraId="6E7381F1" w14:textId="77777777" w:rsidR="00B60859" w:rsidRPr="001C1B4E" w:rsidRDefault="00B60859" w:rsidP="00B177BE">
            <w:pPr>
              <w:pStyle w:val="TableText0"/>
              <w:jc w:val="center"/>
            </w:pPr>
            <w:r w:rsidRPr="001C1B4E">
              <w:t>0.0047%</w:t>
            </w:r>
          </w:p>
        </w:tc>
      </w:tr>
    </w:tbl>
    <w:p w14:paraId="01BB8CA1" w14:textId="77777777" w:rsidR="00B60859" w:rsidRPr="001C1B4E" w:rsidRDefault="00B60859" w:rsidP="00914A93">
      <w:pPr>
        <w:pStyle w:val="FooterTableFigure"/>
        <w:keepNext/>
      </w:pPr>
      <w:r w:rsidRPr="001C1B4E">
        <w:t xml:space="preserve">Source: </w:t>
      </w:r>
      <w:r w:rsidRPr="001C1B4E">
        <w:rPr>
          <w:iCs/>
        </w:rPr>
        <w:t>Constructed during the evaluation</w:t>
      </w:r>
      <w:r w:rsidRPr="001C1B4E">
        <w:t xml:space="preserve"> </w:t>
      </w:r>
      <w:r w:rsidRPr="001C1B4E">
        <w:rPr>
          <w:iCs/>
        </w:rPr>
        <w:t xml:space="preserve">from </w:t>
      </w:r>
      <w:r w:rsidRPr="001C1B4E">
        <w:t>the “ABRYSVO_Maternal_CEA_Base_Case” Excel Workbook provided with the submission.</w:t>
      </w:r>
    </w:p>
    <w:p w14:paraId="33F2BE74" w14:textId="57A7726B" w:rsidR="00DB24CC" w:rsidRDefault="00FA2DA6" w:rsidP="00914A93">
      <w:pPr>
        <w:pStyle w:val="FooterTableFigure"/>
        <w:keepNext/>
        <w:rPr>
          <w:rStyle w:val="ui-provider"/>
        </w:rPr>
      </w:pPr>
      <w:r>
        <w:t xml:space="preserve">Abbreviations: </w:t>
      </w:r>
      <w:r w:rsidR="00B60859" w:rsidRPr="001C1B4E">
        <w:t xml:space="preserve">ABS = Australian Bureau of Statistics; ED = emergency department; QALYs = quality-adjusted life year; RSVpreF = </w:t>
      </w:r>
      <w:r w:rsidR="00B60859" w:rsidRPr="001C1B4E">
        <w:rPr>
          <w:rStyle w:val="ui-provider"/>
        </w:rPr>
        <w:t>recombinant respiratory syncytial virus pre-fusion F protein vaccine.</w:t>
      </w:r>
    </w:p>
    <w:p w14:paraId="0A05C09D" w14:textId="38BDCDF1" w:rsidR="003566A6" w:rsidRPr="001C1B4E" w:rsidRDefault="00B60859" w:rsidP="003B3B7C">
      <w:pPr>
        <w:pStyle w:val="FooterTableFigure"/>
      </w:pPr>
      <w:r w:rsidRPr="001C1B4E">
        <w:rPr>
          <w:vertAlign w:val="superscript"/>
        </w:rPr>
        <w:t>a</w:t>
      </w:r>
      <w:r w:rsidRPr="001C1B4E">
        <w:t xml:space="preserve"> Based on quality-adjusted days lost over 14 days in Mao et al.</w:t>
      </w:r>
      <w:r w:rsidRPr="001C1B4E">
        <w:fldChar w:fldCharType="begin"/>
      </w:r>
      <w:r w:rsidRPr="001C1B4E">
        <w:instrText xml:space="preserve"> NOTEREF _Ref155864551 \f \h </w:instrText>
      </w:r>
      <w:r w:rsidR="001C1B4E">
        <w:instrText xml:space="preserve"> \* MERGEFORMAT </w:instrText>
      </w:r>
      <w:r w:rsidRPr="001C1B4E">
        <w:fldChar w:fldCharType="separate"/>
      </w:r>
      <w:r w:rsidR="00A46CAC" w:rsidRPr="00A46CAC">
        <w:rPr>
          <w:rStyle w:val="FootnoteReference"/>
        </w:rPr>
        <w:t>18</w:t>
      </w:r>
      <w:r w:rsidRPr="001C1B4E">
        <w:fldChar w:fldCharType="end"/>
      </w:r>
      <w:r w:rsidRPr="001C1B4E">
        <w:t xml:space="preserve"> transformed to QALYs.</w:t>
      </w:r>
    </w:p>
    <w:p w14:paraId="2F8B9CDF" w14:textId="77777777" w:rsidR="00DB24CC" w:rsidRDefault="003566A6" w:rsidP="00DD4B2C">
      <w:pPr>
        <w:pStyle w:val="3-BodyText"/>
        <w:rPr>
          <w:i/>
          <w:iCs/>
        </w:rPr>
      </w:pPr>
      <w:r w:rsidRPr="001C1B4E">
        <w:t xml:space="preserve">For patients who died due to RSV, the submission calculated the number of QALYs lost based on an average life-span (derived through ABS life tables) and a study which estimated the background utility of the metropolitan South Australian population (McCaffrey 2016). After adjusting for a 5% per annum discounting rate, this was derived to be 19.799 QALYs. </w:t>
      </w:r>
      <w:r w:rsidR="00B60859" w:rsidRPr="001C1B4E">
        <w:t>Several issues were identified during the evaluation</w:t>
      </w:r>
      <w:r w:rsidR="00C818C2" w:rsidRPr="001C1B4E">
        <w:t xml:space="preserve"> and ESC consideration</w:t>
      </w:r>
      <w:r w:rsidR="00B60859" w:rsidRPr="001C1B4E">
        <w:t>:</w:t>
      </w:r>
    </w:p>
    <w:p w14:paraId="2225F7A9" w14:textId="77777777" w:rsidR="00DB24CC" w:rsidRDefault="00B60859" w:rsidP="00DD4B2C">
      <w:pPr>
        <w:pStyle w:val="ListParagraph"/>
      </w:pPr>
      <w:r w:rsidRPr="001C1B4E">
        <w:t>The inclusion of carer quality-adjusted life days (QALDs) lost (1.2 QALDs</w:t>
      </w:r>
      <w:r w:rsidR="008A4BA7" w:rsidRPr="001C1B4E">
        <w:t>/0.00329 QALYs</w:t>
      </w:r>
      <w:r w:rsidRPr="001C1B4E">
        <w:t xml:space="preserve"> lost for infant hospitalisations and 0.2 QALDs</w:t>
      </w:r>
      <w:r w:rsidR="008A4BA7" w:rsidRPr="001C1B4E">
        <w:t>/0.00055 QALYs</w:t>
      </w:r>
      <w:r w:rsidRPr="001C1B4E">
        <w:t xml:space="preserve"> lost for infant ED and outpatient attendances) may not be reasonable as the PBAC guidelines state to only include outcomes “associated with the patient”.</w:t>
      </w:r>
    </w:p>
    <w:p w14:paraId="3E204D45" w14:textId="77777777" w:rsidR="00DB24CC" w:rsidRDefault="00B60859" w:rsidP="00DD4B2C">
      <w:pPr>
        <w:pStyle w:val="ListParagraph"/>
      </w:pPr>
      <w:r w:rsidRPr="001C1B4E">
        <w:t>Infant QALDs lost (3.7 QALDs</w:t>
      </w:r>
      <w:r w:rsidR="008A4BA7" w:rsidRPr="001C1B4E">
        <w:t>/0.01013 QALYs</w:t>
      </w:r>
      <w:r w:rsidRPr="001C1B4E">
        <w:t xml:space="preserve"> lost for hospitalisation and 2.</w:t>
      </w:r>
      <w:r w:rsidR="001C1B4E" w:rsidRPr="001C1B4E">
        <w:t>3</w:t>
      </w:r>
      <w:r w:rsidR="001C1B4E">
        <w:t> </w:t>
      </w:r>
      <w:r w:rsidRPr="001C1B4E">
        <w:t>QALDs</w:t>
      </w:r>
      <w:r w:rsidR="008A4BA7" w:rsidRPr="001C1B4E">
        <w:t>/ 0.00630 QALYs</w:t>
      </w:r>
      <w:r w:rsidRPr="001C1B4E">
        <w:t xml:space="preserve"> lost for ED and outpatient attendances) are uncertain as</w:t>
      </w:r>
      <w:r w:rsidRPr="0035358E">
        <w:t xml:space="preserve"> the EQ-5D questionnaire was filled out by a carer (on behalf of the infant) and EQ-5D questionnaires (including the Youth version) are not recommended for children aged &lt;4 years.</w:t>
      </w:r>
      <w:r w:rsidRPr="0035358E">
        <w:rPr>
          <w:rStyle w:val="FootnoteReference"/>
          <w:iCs/>
        </w:rPr>
        <w:footnoteReference w:id="27"/>
      </w:r>
      <w:r w:rsidR="003D7693" w:rsidRPr="0035358E">
        <w:t xml:space="preserve"> The ESC noted the model was sensitive to assumptions regarding infant QALDs lost.</w:t>
      </w:r>
    </w:p>
    <w:p w14:paraId="3F8196AC" w14:textId="259AC911" w:rsidR="00C818C2" w:rsidRPr="004E1F5F" w:rsidRDefault="00481F87" w:rsidP="004E1F5F">
      <w:pPr>
        <w:pStyle w:val="ListBullet"/>
        <w:tabs>
          <w:tab w:val="clear" w:pos="360"/>
          <w:tab w:val="num" w:pos="1080"/>
        </w:tabs>
        <w:spacing w:after="120"/>
        <w:ind w:left="1080"/>
        <w:rPr>
          <w:rFonts w:asciiTheme="minorHAnsi" w:hAnsiTheme="minorHAnsi"/>
          <w:iCs/>
          <w:snapToGrid w:val="0"/>
        </w:rPr>
      </w:pPr>
      <w:r w:rsidRPr="0035358E">
        <w:rPr>
          <w:rFonts w:asciiTheme="minorHAnsi" w:hAnsiTheme="minorHAnsi"/>
          <w:iCs/>
          <w:snapToGrid w:val="0"/>
        </w:rPr>
        <w:t xml:space="preserve">The </w:t>
      </w:r>
      <w:r w:rsidR="00C818C2" w:rsidRPr="0035358E">
        <w:rPr>
          <w:rFonts w:asciiTheme="minorHAnsi" w:hAnsiTheme="minorHAnsi"/>
          <w:iCs/>
          <w:snapToGrid w:val="0"/>
        </w:rPr>
        <w:t xml:space="preserve">ESC noted that the </w:t>
      </w:r>
      <w:r w:rsidRPr="0035358E">
        <w:rPr>
          <w:rFonts w:asciiTheme="minorHAnsi" w:hAnsiTheme="minorHAnsi"/>
          <w:iCs/>
          <w:snapToGrid w:val="0"/>
        </w:rPr>
        <w:t>value set used to estimate utilities was from methodological work conducted in Spain, which is unlikely to represent Australian values for EQ-5D-Y health states</w:t>
      </w:r>
      <w:r w:rsidR="0064327A" w:rsidRPr="0035358E">
        <w:rPr>
          <w:rFonts w:asciiTheme="minorHAnsi" w:hAnsiTheme="minorHAnsi"/>
          <w:iCs/>
          <w:snapToGrid w:val="0"/>
        </w:rPr>
        <w:t>, but that it is not possible to determine the direction of any bias</w:t>
      </w:r>
      <w:r w:rsidRPr="0035358E">
        <w:rPr>
          <w:rFonts w:asciiTheme="minorHAnsi" w:hAnsiTheme="minorHAnsi"/>
          <w:iCs/>
          <w:snapToGrid w:val="0"/>
        </w:rPr>
        <w:t>.</w:t>
      </w:r>
    </w:p>
    <w:p w14:paraId="7514506B" w14:textId="575BA679" w:rsidR="00DB24CC" w:rsidRDefault="00B60859" w:rsidP="00DD4B2C">
      <w:pPr>
        <w:pStyle w:val="3-BodyText"/>
      </w:pPr>
      <w:r w:rsidRPr="0035358E">
        <w:t xml:space="preserve">Excluding carer QALYs from the economic analysis increased the ICER by </w:t>
      </w:r>
      <w:r w:rsidR="00E96E79" w:rsidRPr="00C63E95">
        <w:rPr>
          <w:color w:val="000000"/>
          <w:spacing w:val="6"/>
          <w:w w:val="59"/>
          <w:shd w:val="solid" w:color="000000" w:fill="000000"/>
          <w:fitText w:val="460" w:id="-961850106"/>
          <w14:textFill>
            <w14:solidFill>
              <w14:srgbClr w14:val="000000">
                <w14:alpha w14:val="100000"/>
              </w14:srgbClr>
            </w14:solidFill>
          </w14:textFill>
        </w:rPr>
        <w:t>|||</w:t>
      </w:r>
      <w:r w:rsidR="00C63E95" w:rsidRPr="00C63E95">
        <w:rPr>
          <w:color w:val="000000"/>
          <w:spacing w:val="6"/>
          <w:w w:val="59"/>
          <w:shd w:val="solid" w:color="000000" w:fill="000000"/>
          <w:fitText w:val="460" w:id="-961850106"/>
          <w14:textFill>
            <w14:solidFill>
              <w14:srgbClr w14:val="000000">
                <w14:alpha w14:val="100000"/>
              </w14:srgbClr>
            </w14:solidFill>
          </w14:textFill>
        </w:rPr>
        <w:t xml:space="preserve"> </w:t>
      </w:r>
      <w:r w:rsidR="00E96E79" w:rsidRPr="00C63E95">
        <w:rPr>
          <w:color w:val="000000"/>
          <w:spacing w:val="6"/>
          <w:w w:val="59"/>
          <w:shd w:val="solid" w:color="000000" w:fill="000000"/>
          <w:fitText w:val="460" w:id="-961850106"/>
          <w14:textFill>
            <w14:solidFill>
              <w14:srgbClr w14:val="000000">
                <w14:alpha w14:val="100000"/>
              </w14:srgbClr>
            </w14:solidFill>
          </w14:textFill>
        </w:rPr>
        <w:t>||</w:t>
      </w:r>
      <w:r w:rsidR="00E96E79" w:rsidRPr="00C63E95">
        <w:rPr>
          <w:color w:val="000000"/>
          <w:spacing w:val="2"/>
          <w:w w:val="59"/>
          <w:shd w:val="solid" w:color="000000" w:fill="000000"/>
          <w:fitText w:val="460" w:id="-961850106"/>
          <w14:textFill>
            <w14:solidFill>
              <w14:srgbClr w14:val="000000">
                <w14:alpha w14:val="100000"/>
              </w14:srgbClr>
            </w14:solidFill>
          </w14:textFill>
        </w:rPr>
        <w:t>|</w:t>
      </w:r>
      <w:r w:rsidRPr="0035358E">
        <w:t>% (from $</w:t>
      </w:r>
      <w:r w:rsidR="004A30D9" w:rsidRPr="004A30D9">
        <w:t>25,000</w:t>
      </w:r>
      <w:r w:rsidR="001C1B4E">
        <w:t> </w:t>
      </w:r>
      <w:r w:rsidR="004A30D9" w:rsidRPr="004A30D9">
        <w:t>to</w:t>
      </w:r>
      <w:r w:rsidR="001C1B4E">
        <w:t> </w:t>
      </w:r>
      <w:r w:rsidR="004A30D9" w:rsidRPr="004A30D9">
        <w:t>&lt;</w:t>
      </w:r>
      <w:r w:rsidR="001C1B4E">
        <w:t> </w:t>
      </w:r>
      <w:r w:rsidR="004A30D9" w:rsidRPr="004A30D9">
        <w:t>$35,000</w:t>
      </w:r>
      <w:r w:rsidR="004E1F5F">
        <w:t xml:space="preserve"> </w:t>
      </w:r>
      <w:r w:rsidRPr="0035358E">
        <w:t>per QALY gained to $</w:t>
      </w:r>
      <w:r w:rsidR="004A30D9" w:rsidRPr="004A30D9">
        <w:t>25,000 to &lt; $35,000</w:t>
      </w:r>
      <w:r w:rsidR="004E1F5F">
        <w:t xml:space="preserve"> </w:t>
      </w:r>
      <w:r w:rsidRPr="0035358E">
        <w:t>per QALY gained). To account for the uncertainty regarding infant QALYs, both cost-consequence (CCA) and cost-effectiveness (CEA) analyses were performed during the evaluation (</w:t>
      </w:r>
      <w:r w:rsidRPr="0035358E">
        <w:fldChar w:fldCharType="begin"/>
      </w:r>
      <w:r w:rsidRPr="0035358E">
        <w:instrText xml:space="preserve"> REF _Ref104805160 \h  \* MERGEFORMAT </w:instrText>
      </w:r>
      <w:r w:rsidRPr="0035358E">
        <w:fldChar w:fldCharType="separate"/>
      </w:r>
      <w:r w:rsidR="00A46CAC" w:rsidRPr="0035358E">
        <w:t xml:space="preserve">Table </w:t>
      </w:r>
      <w:r w:rsidR="00A46CAC">
        <w:t>16</w:t>
      </w:r>
      <w:r w:rsidRPr="0035358E">
        <w:fldChar w:fldCharType="end"/>
      </w:r>
      <w:r w:rsidRPr="0035358E">
        <w:t>).</w:t>
      </w:r>
    </w:p>
    <w:p w14:paraId="5EEC4B8C" w14:textId="77777777" w:rsidR="00DB24CC" w:rsidRDefault="00B60859" w:rsidP="00DD4B2C">
      <w:pPr>
        <w:pStyle w:val="3-BodyText"/>
        <w:rPr>
          <w:iCs/>
        </w:rPr>
      </w:pPr>
      <w:r w:rsidRPr="0035358E">
        <w:lastRenderedPageBreak/>
        <w:t>As mentioned above, the submission applied a once-</w:t>
      </w:r>
      <w:r w:rsidRPr="001C1B4E">
        <w:t>off 20 QALYs lost</w:t>
      </w:r>
      <w:r w:rsidRPr="0035358E">
        <w:t xml:space="preserve"> for infants who died due to RSV. This was calculated based on the Australian Bureau of Statistics lifetables and a study which estimated the general age-dependent utility of the South Australia population, adjusted for a 5% per annum discounting rate.</w:t>
      </w:r>
      <w:r w:rsidRPr="0035358E">
        <w:rPr>
          <w:rStyle w:val="FootnoteReference"/>
        </w:rPr>
        <w:footnoteReference w:id="28"/>
      </w:r>
      <w:r w:rsidRPr="0035358E">
        <w:t xml:space="preserve"> </w:t>
      </w:r>
      <w:r w:rsidRPr="0035358E">
        <w:rPr>
          <w:iCs/>
        </w:rPr>
        <w:t>This was reasonable, noting that the utility estimates were derived using the UK value set.</w:t>
      </w:r>
    </w:p>
    <w:p w14:paraId="6C1D2834" w14:textId="14033B96" w:rsidR="00DB24CC" w:rsidRDefault="00B60859" w:rsidP="00DD4B2C">
      <w:pPr>
        <w:pStyle w:val="3-BodyText"/>
      </w:pPr>
      <w:bookmarkStart w:id="78" w:name="_Ref159696207"/>
      <w:bookmarkStart w:id="79" w:name="_Ref164238648"/>
      <w:r w:rsidRPr="0035358E">
        <w:t>The submission included ED costs ($1,283) sourced from the National Health Cost Data Collection for emergency care and hospitalisation costs ($18,617) derived from Brusco et al. who aimed to estimate the annual cost burden for Australian children &lt;5 years hospitalised with RSV in 2018.</w:t>
      </w:r>
      <w:r w:rsidRPr="0035358E">
        <w:rPr>
          <w:rStyle w:val="FootnoteReference"/>
        </w:rPr>
        <w:footnoteReference w:id="29"/>
      </w:r>
      <w:r w:rsidRPr="0035358E">
        <w:t xml:space="preserve"> </w:t>
      </w:r>
      <w:r w:rsidRPr="0035358E">
        <w:rPr>
          <w:iCs/>
        </w:rPr>
        <w:t xml:space="preserve">While the ED costs were reasonable, the hospitalisation cost sourced from the literature included costs associated with re-admission to hospital for any cause within 6 months after an index RSV admission. The inclusion of re-admission costs for all-causes was not justified as trial data </w:t>
      </w:r>
      <w:r w:rsidR="00914A93" w:rsidRPr="0035358E">
        <w:rPr>
          <w:iCs/>
        </w:rPr>
        <w:t xml:space="preserve">was not designed to capture and </w:t>
      </w:r>
      <w:r w:rsidRPr="0035358E">
        <w:rPr>
          <w:iCs/>
        </w:rPr>
        <w:t>did not support a difference in all-cause re-admission after an index RSV infection between the two treatment arms. Instead, it may be reasonable to assume that a certain proportion of patients will require re-admission for RSV related causes after an RSV infection</w:t>
      </w:r>
      <w:r w:rsidR="00C93F78" w:rsidRPr="0035358E">
        <w:rPr>
          <w:iCs/>
        </w:rPr>
        <w:t xml:space="preserve">. </w:t>
      </w:r>
      <w:r w:rsidRPr="0035358E">
        <w:rPr>
          <w:iCs/>
        </w:rPr>
        <w:t xml:space="preserve">A study which reported respiratory related re-admission in children showed that approximately 13% of children with an index RSV hospital admission would have </w:t>
      </w:r>
      <w:r w:rsidR="00263227" w:rsidRPr="0035358E">
        <w:rPr>
          <w:iCs/>
        </w:rPr>
        <w:t>an</w:t>
      </w:r>
      <w:r w:rsidRPr="0035358E">
        <w:rPr>
          <w:iCs/>
        </w:rPr>
        <w:t xml:space="preserve"> RSV-related re-admission within one year.</w:t>
      </w:r>
      <w:bookmarkStart w:id="80" w:name="_Ref155951618"/>
      <w:r w:rsidRPr="0035358E">
        <w:rPr>
          <w:rStyle w:val="FootnoteReference"/>
          <w:iCs/>
        </w:rPr>
        <w:footnoteReference w:id="30"/>
      </w:r>
      <w:bookmarkEnd w:id="80"/>
      <w:r w:rsidRPr="0035358E">
        <w:rPr>
          <w:iCs/>
        </w:rPr>
        <w:t xml:space="preserve"> Assuming that this proportion of patients will re-admit</w:t>
      </w:r>
      <w:r w:rsidR="00914A93" w:rsidRPr="0035358E">
        <w:rPr>
          <w:iCs/>
        </w:rPr>
        <w:t xml:space="preserve"> </w:t>
      </w:r>
      <w:r w:rsidRPr="0035358E">
        <w:rPr>
          <w:iCs/>
        </w:rPr>
        <w:t xml:space="preserve">and the remaining patients </w:t>
      </w:r>
      <w:r w:rsidRPr="00353F03">
        <w:rPr>
          <w:iCs/>
        </w:rPr>
        <w:t xml:space="preserve">would incur only the index RSV hospitalisation cost reported in the Brusco et al. ($14,455), the weighted hospitalisation cost was calculated to be $14,991. </w:t>
      </w:r>
      <w:r w:rsidR="00914A93" w:rsidRPr="00353F03">
        <w:rPr>
          <w:iCs/>
        </w:rPr>
        <w:t>Using a cost per hospitalisation of $14,991 (compared to $18,617 in the base case)</w:t>
      </w:r>
      <w:r w:rsidR="00914A93" w:rsidRPr="0035358E">
        <w:rPr>
          <w:iCs/>
        </w:rPr>
        <w:t xml:space="preserve"> </w:t>
      </w:r>
      <w:r w:rsidRPr="0035358E">
        <w:rPr>
          <w:iCs/>
        </w:rPr>
        <w:t xml:space="preserve">increased the ICER by </w:t>
      </w:r>
      <w:r w:rsidR="00E96E79" w:rsidRPr="00A46CAC">
        <w:rPr>
          <w:iCs/>
          <w:color w:val="000000"/>
          <w:w w:val="15"/>
          <w:shd w:val="solid" w:color="000000" w:fill="000000"/>
          <w:fitText w:val="-20" w:id="-961850105"/>
          <w14:textFill>
            <w14:solidFill>
              <w14:srgbClr w14:val="000000">
                <w14:alpha w14:val="100000"/>
              </w14:srgbClr>
            </w14:solidFill>
          </w14:textFill>
        </w:rPr>
        <w:t>|</w:t>
      </w:r>
      <w:r w:rsidR="00C63E95" w:rsidRPr="00A46CAC">
        <w:rPr>
          <w:iCs/>
          <w:color w:val="000000"/>
          <w:w w:val="15"/>
          <w:shd w:val="solid" w:color="000000" w:fill="000000"/>
          <w:fitText w:val="-20" w:id="-961850105"/>
          <w14:textFill>
            <w14:solidFill>
              <w14:srgbClr w14:val="000000">
                <w14:alpha w14:val="100000"/>
              </w14:srgbClr>
            </w14:solidFill>
          </w14:textFill>
        </w:rPr>
        <w:t xml:space="preserve"> </w:t>
      </w:r>
      <w:r w:rsidR="00E96E79" w:rsidRPr="00A46CAC">
        <w:rPr>
          <w:iCs/>
          <w:color w:val="000000"/>
          <w:spacing w:val="-61"/>
          <w:w w:val="15"/>
          <w:shd w:val="solid" w:color="000000" w:fill="000000"/>
          <w:fitText w:val="-20" w:id="-961850105"/>
          <w14:textFill>
            <w14:solidFill>
              <w14:srgbClr w14:val="000000">
                <w14:alpha w14:val="100000"/>
              </w14:srgbClr>
            </w14:solidFill>
          </w14:textFill>
        </w:rPr>
        <w:t>|</w:t>
      </w:r>
      <w:r w:rsidRPr="0035358E">
        <w:rPr>
          <w:iCs/>
        </w:rPr>
        <w:t xml:space="preserve">% </w:t>
      </w:r>
      <w:bookmarkStart w:id="81" w:name="_Hlk151979089"/>
      <w:r w:rsidRPr="0035358E">
        <w:rPr>
          <w:iCs/>
        </w:rPr>
        <w:t>(from $</w:t>
      </w:r>
      <w:r w:rsidR="00D95969" w:rsidRPr="00D95969">
        <w:rPr>
          <w:iCs/>
        </w:rPr>
        <w:t>25,000 to &lt; $35,000</w:t>
      </w:r>
      <w:r w:rsidR="00274D50">
        <w:rPr>
          <w:iCs/>
        </w:rPr>
        <w:t xml:space="preserve"> </w:t>
      </w:r>
      <w:r w:rsidRPr="0035358E">
        <w:rPr>
          <w:iCs/>
        </w:rPr>
        <w:t>per QALY gained to $</w:t>
      </w:r>
      <w:r w:rsidR="00D95969" w:rsidRPr="00D95969">
        <w:rPr>
          <w:iCs/>
        </w:rPr>
        <w:t>55,000 to &lt;</w:t>
      </w:r>
      <w:r w:rsidR="004E1F5F">
        <w:rPr>
          <w:iCs/>
        </w:rPr>
        <w:t> </w:t>
      </w:r>
      <w:r w:rsidR="00D95969" w:rsidRPr="00D95969">
        <w:rPr>
          <w:iCs/>
        </w:rPr>
        <w:t>$75,000</w:t>
      </w:r>
      <w:r w:rsidR="00274D50">
        <w:rPr>
          <w:iCs/>
        </w:rPr>
        <w:t xml:space="preserve"> </w:t>
      </w:r>
      <w:r w:rsidRPr="0035358E">
        <w:rPr>
          <w:iCs/>
        </w:rPr>
        <w:t>per QALY gained</w:t>
      </w:r>
      <w:bookmarkEnd w:id="81"/>
      <w:r w:rsidRPr="0035358E">
        <w:rPr>
          <w:iCs/>
        </w:rPr>
        <w:t xml:space="preserve">). </w:t>
      </w:r>
      <w:r w:rsidR="00C818C2" w:rsidRPr="0035358E">
        <w:t xml:space="preserve">The PSCR proposed a value of 25% would be more appropriate on the basis that causal readmission to hospital following an acute episode of RSV is not limited to respiratory related symptoms, which corresponded to a hospital cost of </w:t>
      </w:r>
      <w:r w:rsidR="00C818C2" w:rsidRPr="00353F03">
        <w:t>$15,488.</w:t>
      </w:r>
      <w:bookmarkEnd w:id="78"/>
      <w:r w:rsidR="00D103A2" w:rsidRPr="0035358E">
        <w:t xml:space="preserve"> The ESC acknowledged that readmission could be for non-respiratory reasons but considered the appropriate rate of readmission proposed in the PSCR was not well supported</w:t>
      </w:r>
      <w:r w:rsidR="00C93F78" w:rsidRPr="0035358E">
        <w:t>.</w:t>
      </w:r>
      <w:bookmarkEnd w:id="79"/>
    </w:p>
    <w:p w14:paraId="49ADEB92" w14:textId="6C4143B1" w:rsidR="00DB24CC" w:rsidRDefault="00B60859" w:rsidP="00DD4B2C">
      <w:pPr>
        <w:pStyle w:val="3-BodyText"/>
        <w:rPr>
          <w:iCs/>
        </w:rPr>
      </w:pPr>
      <w:bookmarkStart w:id="82" w:name="_Ref164238669"/>
      <w:r w:rsidRPr="0035358E">
        <w:t>The submission costed outpatient attendances as a GP consultation (MBS Item 23). However, citing recent declines in bulk-billing GP clinics and the increase in gap fees, the economic model included out-of-pocket costs.</w:t>
      </w:r>
      <w:bookmarkStart w:id="83" w:name="_Ref153205430"/>
      <w:r w:rsidRPr="0035358E">
        <w:rPr>
          <w:rStyle w:val="FootnoteReference"/>
        </w:rPr>
        <w:footnoteReference w:id="31"/>
      </w:r>
      <w:bookmarkEnd w:id="83"/>
      <w:r w:rsidRPr="0035358E">
        <w:t xml:space="preserve"> This resulted in the average GP consult costing $64.26. </w:t>
      </w:r>
      <w:r w:rsidRPr="0035358E">
        <w:rPr>
          <w:iCs/>
        </w:rPr>
        <w:t xml:space="preserve">Not directly applying the MBS scheduled fee is not consistent with the PBAC guidelines which recommend that the schedule fee presented in the MBS costs should be used to estimate costs in the outpatient setting. Additionally, the </w:t>
      </w:r>
      <w:r w:rsidRPr="0035358E">
        <w:rPr>
          <w:iCs/>
        </w:rPr>
        <w:lastRenderedPageBreak/>
        <w:t>Cleanbill Blue Report</w:t>
      </w:r>
      <w:r w:rsidRPr="0035358E">
        <w:rPr>
          <w:iCs/>
        </w:rPr>
        <w:fldChar w:fldCharType="begin"/>
      </w:r>
      <w:r w:rsidRPr="0035358E">
        <w:rPr>
          <w:iCs/>
        </w:rPr>
        <w:instrText xml:space="preserve"> NOTEREF _Ref153205430 \f \h  \* MERGEFORMAT </w:instrText>
      </w:r>
      <w:r w:rsidRPr="0035358E">
        <w:rPr>
          <w:iCs/>
        </w:rPr>
      </w:r>
      <w:r w:rsidRPr="0035358E">
        <w:rPr>
          <w:iCs/>
        </w:rPr>
        <w:fldChar w:fldCharType="separate"/>
      </w:r>
      <w:r w:rsidR="00A46CAC" w:rsidRPr="00A46CAC">
        <w:rPr>
          <w:rStyle w:val="FootnoteReference"/>
          <w:iCs/>
        </w:rPr>
        <w:t>30</w:t>
      </w:r>
      <w:r w:rsidRPr="0035358E">
        <w:rPr>
          <w:iCs/>
        </w:rPr>
        <w:fldChar w:fldCharType="end"/>
      </w:r>
      <w:r w:rsidRPr="0035358E">
        <w:rPr>
          <w:iCs/>
        </w:rPr>
        <w:t xml:space="preserve"> appeared to only consider bulk billing for adults and hence the above cost is likely to be an overestimate for infants. Multiple Australian studies have reported high bulk billing rates for children (up to 80%).</w:t>
      </w:r>
      <w:r w:rsidRPr="0035358E">
        <w:rPr>
          <w:rStyle w:val="FootnoteReference"/>
          <w:iCs/>
        </w:rPr>
        <w:footnoteReference w:id="32"/>
      </w:r>
      <w:r w:rsidRPr="0035358E">
        <w:rPr>
          <w:iCs/>
          <w:vertAlign w:val="superscript"/>
        </w:rPr>
        <w:t xml:space="preserve">, </w:t>
      </w:r>
      <w:r w:rsidRPr="0035358E">
        <w:rPr>
          <w:rStyle w:val="FootnoteReference"/>
          <w:iCs/>
        </w:rPr>
        <w:footnoteReference w:id="33"/>
      </w:r>
      <w:r w:rsidRPr="0035358E">
        <w:rPr>
          <w:iCs/>
        </w:rPr>
        <w:t xml:space="preserve"> However, it may be more reasonable to assume more than one GP visit per medically attended RSV episode. The model was not sensitive to this at the MBS scheduled fee cost (see </w:t>
      </w:r>
      <w:r w:rsidRPr="0035358E">
        <w:rPr>
          <w:iCs/>
        </w:rPr>
        <w:fldChar w:fldCharType="begin"/>
      </w:r>
      <w:r w:rsidRPr="0035358E">
        <w:rPr>
          <w:iCs/>
        </w:rPr>
        <w:instrText xml:space="preserve"> REF _Ref104804865 \h  \* MERGEFORMAT </w:instrText>
      </w:r>
      <w:r w:rsidRPr="0035358E">
        <w:rPr>
          <w:iCs/>
        </w:rPr>
      </w:r>
      <w:r w:rsidRPr="0035358E">
        <w:rPr>
          <w:iCs/>
        </w:rPr>
        <w:fldChar w:fldCharType="separate"/>
      </w:r>
      <w:r w:rsidR="00A46CAC" w:rsidRPr="00A46CAC">
        <w:rPr>
          <w:iCs/>
        </w:rPr>
        <w:t>Table 18</w:t>
      </w:r>
      <w:r w:rsidRPr="0035358E">
        <w:rPr>
          <w:iCs/>
        </w:rPr>
        <w:fldChar w:fldCharType="end"/>
      </w:r>
      <w:r w:rsidRPr="0035358E">
        <w:rPr>
          <w:iCs/>
        </w:rPr>
        <w:t>).</w:t>
      </w:r>
      <w:bookmarkEnd w:id="82"/>
    </w:p>
    <w:p w14:paraId="3728F542" w14:textId="1ECA0897" w:rsidR="00B60859" w:rsidRPr="0035358E" w:rsidRDefault="00B60859" w:rsidP="00DD4B2C">
      <w:pPr>
        <w:pStyle w:val="3-BodyText"/>
      </w:pPr>
      <w:r w:rsidRPr="0035358E">
        <w:t xml:space="preserve">Key model drivers are presented in </w:t>
      </w:r>
      <w:r w:rsidRPr="0035358E">
        <w:fldChar w:fldCharType="begin"/>
      </w:r>
      <w:r w:rsidRPr="0035358E">
        <w:instrText xml:space="preserve"> REF _Ref104805122 \h  \* MERGEFORMAT </w:instrText>
      </w:r>
      <w:r w:rsidRPr="0035358E">
        <w:fldChar w:fldCharType="separate"/>
      </w:r>
      <w:r w:rsidR="00A46CAC" w:rsidRPr="0035358E">
        <w:t xml:space="preserve">Table </w:t>
      </w:r>
      <w:r w:rsidR="00A46CAC">
        <w:t>15</w:t>
      </w:r>
      <w:r w:rsidRPr="0035358E">
        <w:fldChar w:fldCharType="end"/>
      </w:r>
      <w:r w:rsidRPr="0035358E">
        <w:t>.</w:t>
      </w:r>
    </w:p>
    <w:p w14:paraId="3955ADCF" w14:textId="5EBC2275" w:rsidR="00B60859" w:rsidRPr="0035358E" w:rsidRDefault="00B60859" w:rsidP="00B60859">
      <w:pPr>
        <w:pStyle w:val="Caption"/>
        <w:jc w:val="left"/>
        <w:rPr>
          <w:rStyle w:val="CommentReference"/>
          <w:b/>
          <w:szCs w:val="24"/>
        </w:rPr>
      </w:pPr>
      <w:bookmarkStart w:id="84" w:name="_Ref104805122"/>
      <w:r w:rsidRPr="0035358E">
        <w:t xml:space="preserve">Table </w:t>
      </w:r>
      <w:r w:rsidR="00560E31">
        <w:fldChar w:fldCharType="begin"/>
      </w:r>
      <w:r w:rsidR="00560E31">
        <w:instrText xml:space="preserve"> SEQ Table \* ARABIC </w:instrText>
      </w:r>
      <w:r w:rsidR="00560E31">
        <w:fldChar w:fldCharType="separate"/>
      </w:r>
      <w:r w:rsidR="00A46CAC">
        <w:rPr>
          <w:noProof/>
        </w:rPr>
        <w:t>15</w:t>
      </w:r>
      <w:r w:rsidR="00560E31">
        <w:rPr>
          <w:noProof/>
        </w:rPr>
        <w:fldChar w:fldCharType="end"/>
      </w:r>
      <w:bookmarkEnd w:id="84"/>
      <w:r w:rsidRPr="0035358E">
        <w:t>:</w:t>
      </w:r>
      <w:r w:rsidRPr="0035358E">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drivers of the model"/>
      </w:tblPr>
      <w:tblGrid>
        <w:gridCol w:w="1129"/>
        <w:gridCol w:w="5104"/>
        <w:gridCol w:w="2784"/>
      </w:tblGrid>
      <w:tr w:rsidR="00B60859" w:rsidRPr="0035358E" w14:paraId="7A3FC4BA" w14:textId="77777777" w:rsidTr="00B177BE">
        <w:trPr>
          <w:tblHeader/>
        </w:trPr>
        <w:tc>
          <w:tcPr>
            <w:tcW w:w="626" w:type="pct"/>
            <w:shd w:val="clear" w:color="auto" w:fill="auto"/>
            <w:vAlign w:val="center"/>
          </w:tcPr>
          <w:p w14:paraId="26F9A6F5" w14:textId="77777777" w:rsidR="00B60859" w:rsidRPr="0035358E" w:rsidRDefault="00B60859" w:rsidP="00274D50">
            <w:pPr>
              <w:pStyle w:val="In-tableHeading"/>
              <w:jc w:val="center"/>
              <w:rPr>
                <w:lang w:val="en-AU"/>
              </w:rPr>
            </w:pPr>
            <w:r w:rsidRPr="0035358E">
              <w:rPr>
                <w:lang w:val="en-AU"/>
              </w:rPr>
              <w:t>Description</w:t>
            </w:r>
          </w:p>
        </w:tc>
        <w:tc>
          <w:tcPr>
            <w:tcW w:w="2830" w:type="pct"/>
            <w:shd w:val="clear" w:color="auto" w:fill="auto"/>
            <w:vAlign w:val="center"/>
          </w:tcPr>
          <w:p w14:paraId="5286C6CA" w14:textId="77777777" w:rsidR="00B60859" w:rsidRPr="0035358E" w:rsidRDefault="00B60859" w:rsidP="00274D50">
            <w:pPr>
              <w:pStyle w:val="In-tableHeading"/>
              <w:jc w:val="center"/>
              <w:rPr>
                <w:lang w:val="en-AU"/>
              </w:rPr>
            </w:pPr>
            <w:r w:rsidRPr="0035358E">
              <w:rPr>
                <w:lang w:val="en-AU"/>
              </w:rPr>
              <w:t>Method/Value</w:t>
            </w:r>
          </w:p>
        </w:tc>
        <w:tc>
          <w:tcPr>
            <w:tcW w:w="1544" w:type="pct"/>
            <w:shd w:val="clear" w:color="auto" w:fill="auto"/>
            <w:vAlign w:val="center"/>
          </w:tcPr>
          <w:p w14:paraId="17851FA8" w14:textId="77777777" w:rsidR="00B60859" w:rsidRPr="0035358E" w:rsidRDefault="00B60859" w:rsidP="00274D50">
            <w:pPr>
              <w:pStyle w:val="In-tableHeading"/>
              <w:jc w:val="center"/>
              <w:rPr>
                <w:lang w:val="en-AU"/>
              </w:rPr>
            </w:pPr>
            <w:r w:rsidRPr="0035358E">
              <w:rPr>
                <w:lang w:val="en-AU"/>
              </w:rPr>
              <w:t>Impact</w:t>
            </w:r>
          </w:p>
          <w:p w14:paraId="691C3590" w14:textId="7D5580F3" w:rsidR="00B60859" w:rsidRPr="0035358E" w:rsidRDefault="00B60859" w:rsidP="00274D50">
            <w:pPr>
              <w:pStyle w:val="In-tableHeading"/>
              <w:jc w:val="center"/>
              <w:rPr>
                <w:lang w:val="en-AU"/>
              </w:rPr>
            </w:pPr>
            <w:r w:rsidRPr="0035358E">
              <w:rPr>
                <w:rFonts w:cs="Arial"/>
                <w:szCs w:val="20"/>
                <w:lang w:val="en-AU"/>
              </w:rPr>
              <w:t>Base case: $</w:t>
            </w:r>
            <w:r w:rsidR="00E96E79" w:rsidRPr="00E96E79">
              <w:rPr>
                <w:rFonts w:cs="Arial"/>
                <w:color w:val="000000"/>
                <w:spacing w:val="208"/>
                <w:szCs w:val="20"/>
                <w:shd w:val="solid" w:color="000000" w:fill="000000"/>
                <w:fitText w:val="300" w:id="-961850104"/>
                <w:lang w:val="en-AU"/>
                <w14:textFill>
                  <w14:solidFill>
                    <w14:srgbClr w14:val="000000">
                      <w14:alpha w14:val="100000"/>
                    </w14:srgbClr>
                  </w14:solidFill>
                </w14:textFill>
              </w:rPr>
              <w:t>|</w:t>
            </w:r>
            <w:r w:rsidR="00E96E79" w:rsidRPr="00E96E79">
              <w:rPr>
                <w:rFonts w:cs="Arial"/>
                <w:color w:val="000000"/>
                <w:spacing w:val="1"/>
                <w:szCs w:val="20"/>
                <w:shd w:val="solid" w:color="000000" w:fill="000000"/>
                <w:fitText w:val="300" w:id="-961850104"/>
                <w:lang w:val="en-AU"/>
                <w14:textFill>
                  <w14:solidFill>
                    <w14:srgbClr w14:val="000000">
                      <w14:alpha w14:val="100000"/>
                    </w14:srgbClr>
                  </w14:solidFill>
                </w14:textFill>
              </w:rPr>
              <w:t>|</w:t>
            </w:r>
            <w:r w:rsidR="00D95969" w:rsidRPr="00D95969">
              <w:rPr>
                <w:rFonts w:cs="Arial"/>
                <w:szCs w:val="20"/>
                <w:vertAlign w:val="superscript"/>
                <w:lang w:val="en-AU"/>
              </w:rPr>
              <w:t>1</w:t>
            </w:r>
            <w:r w:rsidRPr="0035358E">
              <w:rPr>
                <w:rFonts w:cs="Arial"/>
                <w:szCs w:val="20"/>
                <w:lang w:val="en-AU"/>
              </w:rPr>
              <w:t>/QALY gained</w:t>
            </w:r>
          </w:p>
        </w:tc>
      </w:tr>
      <w:tr w:rsidR="00BE5BDC" w:rsidRPr="0035358E" w14:paraId="17B93576" w14:textId="77777777" w:rsidTr="00B177BE">
        <w:tc>
          <w:tcPr>
            <w:tcW w:w="626" w:type="pct"/>
            <w:shd w:val="clear" w:color="auto" w:fill="auto"/>
            <w:vAlign w:val="center"/>
          </w:tcPr>
          <w:p w14:paraId="7B6B1797" w14:textId="77777777" w:rsidR="00B60859" w:rsidRPr="0035358E" w:rsidRDefault="00B60859" w:rsidP="00274D50">
            <w:pPr>
              <w:pStyle w:val="TableText0"/>
            </w:pPr>
            <w:r w:rsidRPr="0035358E">
              <w:t>VE of RSVpreF</w:t>
            </w:r>
          </w:p>
        </w:tc>
        <w:tc>
          <w:tcPr>
            <w:tcW w:w="2830" w:type="pct"/>
            <w:shd w:val="clear" w:color="auto" w:fill="auto"/>
            <w:vAlign w:val="center"/>
          </w:tcPr>
          <w:p w14:paraId="5674FE28" w14:textId="77777777" w:rsidR="00B60859" w:rsidRPr="0035358E" w:rsidRDefault="00B60859" w:rsidP="00274D50">
            <w:pPr>
              <w:pStyle w:val="TableText0"/>
            </w:pPr>
            <w:r w:rsidRPr="0035358E">
              <w:t xml:space="preserve">41% to all event probabilities, except for death. </w:t>
            </w:r>
          </w:p>
        </w:tc>
        <w:tc>
          <w:tcPr>
            <w:tcW w:w="1544" w:type="pct"/>
            <w:shd w:val="clear" w:color="auto" w:fill="auto"/>
            <w:vAlign w:val="center"/>
          </w:tcPr>
          <w:p w14:paraId="61471993" w14:textId="7C75B227" w:rsidR="00B60859" w:rsidRPr="0035358E" w:rsidRDefault="00B60859" w:rsidP="00274D50">
            <w:pPr>
              <w:pStyle w:val="TableText0"/>
            </w:pPr>
            <w:r w:rsidRPr="0035358E">
              <w:t>High, favours RSVpreF. Use of the hospitalisation (33%), ED (45%) and outpatient attendance (45%) specific VEs</w:t>
            </w:r>
            <w:r w:rsidRPr="0035358E">
              <w:rPr>
                <w:vertAlign w:val="superscript"/>
              </w:rPr>
              <w:t>a</w:t>
            </w:r>
            <w:r w:rsidRPr="0035358E">
              <w:t xml:space="preserve"> increased the ICER to $</w:t>
            </w:r>
            <w:r w:rsidR="00E96E79" w:rsidRPr="00B3542F">
              <w:rPr>
                <w:color w:val="000000"/>
                <w:spacing w:val="52"/>
                <w:shd w:val="solid" w:color="000000" w:fill="000000"/>
                <w:fitText w:val="330" w:id="-961850103"/>
                <w14:textFill>
                  <w14:solidFill>
                    <w14:srgbClr w14:val="000000">
                      <w14:alpha w14:val="100000"/>
                    </w14:srgbClr>
                  </w14:solidFill>
                </w14:textFill>
              </w:rPr>
              <w:t>|||</w:t>
            </w:r>
            <w:r w:rsidR="00E96E79" w:rsidRPr="00B3542F">
              <w:rPr>
                <w:color w:val="000000"/>
                <w:spacing w:val="2"/>
                <w:shd w:val="solid" w:color="000000" w:fill="000000"/>
                <w:fitText w:val="330" w:id="-961850103"/>
                <w14:textFill>
                  <w14:solidFill>
                    <w14:srgbClr w14:val="000000">
                      <w14:alpha w14:val="100000"/>
                    </w14:srgbClr>
                  </w14:solidFill>
                </w14:textFill>
              </w:rPr>
              <w:t>|</w:t>
            </w:r>
            <w:r w:rsidR="00D95969" w:rsidRPr="00D95969">
              <w:rPr>
                <w:vertAlign w:val="superscript"/>
              </w:rPr>
              <w:t>2</w:t>
            </w:r>
            <w:r w:rsidRPr="0035358E">
              <w:t>/QALY gained.</w:t>
            </w:r>
          </w:p>
        </w:tc>
      </w:tr>
      <w:tr w:rsidR="00B60859" w:rsidRPr="0035358E" w14:paraId="2DE975D8" w14:textId="77777777" w:rsidTr="00B177BE">
        <w:tc>
          <w:tcPr>
            <w:tcW w:w="626" w:type="pct"/>
            <w:shd w:val="clear" w:color="auto" w:fill="auto"/>
            <w:vAlign w:val="center"/>
          </w:tcPr>
          <w:p w14:paraId="2A5E0F76" w14:textId="77777777" w:rsidR="00B60859" w:rsidRPr="0035358E" w:rsidRDefault="00B60859" w:rsidP="00274D50">
            <w:pPr>
              <w:pStyle w:val="TableText0"/>
            </w:pPr>
            <w:r w:rsidRPr="0035358E">
              <w:t>Hospitalisation costs</w:t>
            </w:r>
          </w:p>
        </w:tc>
        <w:tc>
          <w:tcPr>
            <w:tcW w:w="2830" w:type="pct"/>
            <w:shd w:val="clear" w:color="auto" w:fill="auto"/>
            <w:vAlign w:val="center"/>
          </w:tcPr>
          <w:p w14:paraId="7583FE8D" w14:textId="48C0B04D" w:rsidR="00B60859" w:rsidRPr="0035358E" w:rsidRDefault="00B60859" w:rsidP="00274D50">
            <w:pPr>
              <w:pStyle w:val="TableText0"/>
              <w:rPr>
                <w:i/>
                <w:iCs/>
              </w:rPr>
            </w:pPr>
            <w:r w:rsidRPr="0035358E">
              <w:t xml:space="preserve">$18,617. RSV hospitalisation costs for infants aged &lt;1 year, including costs associated with all-cause re-admission six-months after an index RSV admission. </w:t>
            </w:r>
            <w:r w:rsidRPr="0035358E">
              <w:rPr>
                <w:iCs/>
              </w:rPr>
              <w:t>The</w:t>
            </w:r>
            <w:r w:rsidR="00D103A2" w:rsidRPr="0035358E">
              <w:rPr>
                <w:iCs/>
              </w:rPr>
              <w:t xml:space="preserve"> </w:t>
            </w:r>
            <w:r w:rsidRPr="0035358E">
              <w:rPr>
                <w:iCs/>
              </w:rPr>
              <w:t xml:space="preserve">inclusion of re-admissions costs for all-causes was not reasonable. </w:t>
            </w:r>
          </w:p>
        </w:tc>
        <w:tc>
          <w:tcPr>
            <w:tcW w:w="1544" w:type="pct"/>
            <w:shd w:val="clear" w:color="auto" w:fill="auto"/>
            <w:vAlign w:val="center"/>
          </w:tcPr>
          <w:p w14:paraId="63C95B82" w14:textId="77777777" w:rsidR="00B60859" w:rsidRPr="0035358E" w:rsidRDefault="00B60859" w:rsidP="00274D50">
            <w:pPr>
              <w:pStyle w:val="TableText0"/>
            </w:pPr>
            <w:r w:rsidRPr="0035358E">
              <w:t>High, favours RSVpreF.</w:t>
            </w:r>
          </w:p>
          <w:p w14:paraId="3EC886D5" w14:textId="4E829143" w:rsidR="00B60859" w:rsidRPr="0035358E" w:rsidRDefault="00B60859" w:rsidP="00274D50">
            <w:pPr>
              <w:pStyle w:val="TableText0"/>
              <w:rPr>
                <w:i/>
              </w:rPr>
            </w:pPr>
            <w:r w:rsidRPr="0035358E">
              <w:t xml:space="preserve">Assuming that 13% of patients would </w:t>
            </w:r>
            <w:r w:rsidR="007E55A2" w:rsidRPr="0035358E">
              <w:t xml:space="preserve">be </w:t>
            </w:r>
            <w:r w:rsidRPr="0035358E">
              <w:t>re-admit</w:t>
            </w:r>
            <w:r w:rsidR="007E55A2" w:rsidRPr="0035358E">
              <w:t>ted</w:t>
            </w:r>
            <w:r w:rsidRPr="0035358E">
              <w:t xml:space="preserve"> (weighted hospitalisation cost of $14,991) increased the ICER to $</w:t>
            </w:r>
            <w:r w:rsidR="00E96E79" w:rsidRPr="00B3542F">
              <w:rPr>
                <w:color w:val="000000"/>
                <w:spacing w:val="52"/>
                <w:shd w:val="solid" w:color="000000" w:fill="000000"/>
                <w:fitText w:val="330" w:id="-961850102"/>
                <w14:textFill>
                  <w14:solidFill>
                    <w14:srgbClr w14:val="000000">
                      <w14:alpha w14:val="100000"/>
                    </w14:srgbClr>
                  </w14:solidFill>
                </w14:textFill>
              </w:rPr>
              <w:t>|||</w:t>
            </w:r>
            <w:r w:rsidR="00E96E79" w:rsidRPr="00B3542F">
              <w:rPr>
                <w:color w:val="000000"/>
                <w:spacing w:val="2"/>
                <w:shd w:val="solid" w:color="000000" w:fill="000000"/>
                <w:fitText w:val="330" w:id="-961850102"/>
                <w14:textFill>
                  <w14:solidFill>
                    <w14:srgbClr w14:val="000000">
                      <w14:alpha w14:val="100000"/>
                    </w14:srgbClr>
                  </w14:solidFill>
                </w14:textFill>
              </w:rPr>
              <w:t>|</w:t>
            </w:r>
            <w:r w:rsidR="00D95969" w:rsidRPr="00D95969">
              <w:rPr>
                <w:vertAlign w:val="superscript"/>
              </w:rPr>
              <w:t>3</w:t>
            </w:r>
            <w:r w:rsidRPr="0035358E">
              <w:t xml:space="preserve">/QALY gained. </w:t>
            </w:r>
          </w:p>
        </w:tc>
      </w:tr>
      <w:tr w:rsidR="00B60859" w:rsidRPr="0035358E" w14:paraId="3D23E593" w14:textId="77777777" w:rsidTr="00B177BE">
        <w:tc>
          <w:tcPr>
            <w:tcW w:w="626" w:type="pct"/>
            <w:shd w:val="clear" w:color="auto" w:fill="auto"/>
            <w:vAlign w:val="center"/>
          </w:tcPr>
          <w:p w14:paraId="705A987D" w14:textId="77777777" w:rsidR="00B60859" w:rsidRPr="0035358E" w:rsidRDefault="00B60859" w:rsidP="00274D50">
            <w:pPr>
              <w:pStyle w:val="TableText0"/>
            </w:pPr>
            <w:r w:rsidRPr="0035358E">
              <w:t>Hospitalisation rate</w:t>
            </w:r>
          </w:p>
        </w:tc>
        <w:tc>
          <w:tcPr>
            <w:tcW w:w="2830" w:type="pct"/>
            <w:shd w:val="clear" w:color="auto" w:fill="auto"/>
            <w:vAlign w:val="center"/>
          </w:tcPr>
          <w:p w14:paraId="5E98D604" w14:textId="0E36CBE2" w:rsidR="00B60859" w:rsidRPr="0035358E" w:rsidRDefault="00B60859" w:rsidP="00274D50">
            <w:pPr>
              <w:pStyle w:val="TableText0"/>
            </w:pPr>
            <w:r w:rsidRPr="0035358E">
              <w:t>Mean predicted hospital incidence rate from 2000-2012 for RSV cases aged &lt;1 year, reported in Gebremedhin et al (2.3</w:t>
            </w:r>
            <w:r w:rsidR="005744B6" w:rsidRPr="0035358E">
              <w:t>3</w:t>
            </w:r>
            <w:r w:rsidRPr="0035358E">
              <w:t xml:space="preserve">%). </w:t>
            </w:r>
            <w:r w:rsidRPr="0035358E">
              <w:rPr>
                <w:iCs/>
              </w:rPr>
              <w:t>The hospitalisation rate appeared to be decreasing over time and hence it may be more reasonable to select a single time point towards the end of the observation period</w:t>
            </w:r>
            <w:r w:rsidR="00C93F78" w:rsidRPr="0035358E">
              <w:rPr>
                <w:iCs/>
              </w:rPr>
              <w:t xml:space="preserve">. </w:t>
            </w:r>
          </w:p>
        </w:tc>
        <w:tc>
          <w:tcPr>
            <w:tcW w:w="1544" w:type="pct"/>
            <w:shd w:val="clear" w:color="auto" w:fill="auto"/>
            <w:vAlign w:val="center"/>
          </w:tcPr>
          <w:p w14:paraId="285732CB" w14:textId="77777777" w:rsidR="00B60859" w:rsidRPr="0035358E" w:rsidRDefault="00B60859" w:rsidP="00274D50">
            <w:pPr>
              <w:pStyle w:val="TableText0"/>
            </w:pPr>
            <w:r w:rsidRPr="0035358E">
              <w:t>High, favours RSVpreF.</w:t>
            </w:r>
          </w:p>
          <w:p w14:paraId="34445955" w14:textId="0B6D51AE" w:rsidR="00B60859" w:rsidRPr="0035358E" w:rsidRDefault="00B60859" w:rsidP="00274D50">
            <w:pPr>
              <w:pStyle w:val="TableText0"/>
            </w:pPr>
            <w:r w:rsidRPr="0035358E">
              <w:t>Use of the 2012 hospitalisation rate (2.0</w:t>
            </w:r>
            <w:r w:rsidR="005744B6" w:rsidRPr="0035358E">
              <w:t>3</w:t>
            </w:r>
            <w:r w:rsidRPr="0035358E">
              <w:t>%) increased the ICER to $</w:t>
            </w:r>
            <w:r w:rsidR="00E96E79" w:rsidRPr="00B3542F">
              <w:rPr>
                <w:color w:val="000000"/>
                <w:spacing w:val="52"/>
                <w:shd w:val="solid" w:color="000000" w:fill="000000"/>
                <w:fitText w:val="330" w:id="-961850101"/>
                <w14:textFill>
                  <w14:solidFill>
                    <w14:srgbClr w14:val="000000">
                      <w14:alpha w14:val="100000"/>
                    </w14:srgbClr>
                  </w14:solidFill>
                </w14:textFill>
              </w:rPr>
              <w:t>|||</w:t>
            </w:r>
            <w:r w:rsidR="00E96E79" w:rsidRPr="00B3542F">
              <w:rPr>
                <w:color w:val="000000"/>
                <w:spacing w:val="2"/>
                <w:shd w:val="solid" w:color="000000" w:fill="000000"/>
                <w:fitText w:val="330" w:id="-961850101"/>
                <w14:textFill>
                  <w14:solidFill>
                    <w14:srgbClr w14:val="000000">
                      <w14:alpha w14:val="100000"/>
                    </w14:srgbClr>
                  </w14:solidFill>
                </w14:textFill>
              </w:rPr>
              <w:t>|</w:t>
            </w:r>
            <w:r w:rsidR="00CB00D0" w:rsidRPr="00CB00D0">
              <w:rPr>
                <w:vertAlign w:val="superscript"/>
              </w:rPr>
              <w:t>3</w:t>
            </w:r>
            <w:r w:rsidRPr="0035358E">
              <w:t xml:space="preserve">/QALY gained. </w:t>
            </w:r>
          </w:p>
        </w:tc>
      </w:tr>
      <w:tr w:rsidR="00B60859" w:rsidRPr="0035358E" w14:paraId="170C9FD7" w14:textId="77777777" w:rsidTr="00B177BE">
        <w:trPr>
          <w:trHeight w:val="582"/>
        </w:trPr>
        <w:tc>
          <w:tcPr>
            <w:tcW w:w="626" w:type="pct"/>
            <w:shd w:val="clear" w:color="auto" w:fill="auto"/>
            <w:vAlign w:val="center"/>
          </w:tcPr>
          <w:p w14:paraId="252B0E1F" w14:textId="76EF6A77" w:rsidR="00B60859" w:rsidRPr="0035358E" w:rsidRDefault="00B60859" w:rsidP="00274D50">
            <w:pPr>
              <w:pStyle w:val="TableText0"/>
            </w:pPr>
            <w:r w:rsidRPr="0035358E">
              <w:t>QALYs lost</w:t>
            </w:r>
          </w:p>
        </w:tc>
        <w:tc>
          <w:tcPr>
            <w:tcW w:w="2830" w:type="pct"/>
            <w:shd w:val="clear" w:color="auto" w:fill="auto"/>
            <w:vAlign w:val="center"/>
          </w:tcPr>
          <w:p w14:paraId="3457B432" w14:textId="77777777" w:rsidR="00DB24CC" w:rsidRDefault="003D7693" w:rsidP="00274D50">
            <w:pPr>
              <w:keepNext/>
              <w:rPr>
                <w:rFonts w:ascii="Arial Narrow" w:hAnsi="Arial Narrow"/>
                <w:sz w:val="20"/>
                <w:szCs w:val="20"/>
              </w:rPr>
            </w:pPr>
            <w:r w:rsidRPr="0035358E">
              <w:rPr>
                <w:rFonts w:ascii="Arial Narrow" w:hAnsi="Arial Narrow"/>
                <w:sz w:val="20"/>
                <w:szCs w:val="20"/>
              </w:rPr>
              <w:t>Appl</w:t>
            </w:r>
            <w:r w:rsidR="00811542" w:rsidRPr="0035358E">
              <w:rPr>
                <w:rFonts w:ascii="Arial Narrow" w:hAnsi="Arial Narrow"/>
                <w:sz w:val="20"/>
                <w:szCs w:val="20"/>
              </w:rPr>
              <w:t>y</w:t>
            </w:r>
            <w:r w:rsidRPr="0035358E">
              <w:rPr>
                <w:rFonts w:ascii="Arial Narrow" w:hAnsi="Arial Narrow"/>
                <w:sz w:val="20"/>
                <w:szCs w:val="20"/>
              </w:rPr>
              <w:t>ing the same infant QALYs lost for attending the emergency department and outpatient services does not seem plausible.</w:t>
            </w:r>
          </w:p>
          <w:p w14:paraId="7FC98D4E" w14:textId="30331FCC" w:rsidR="00B60859" w:rsidRPr="0035358E" w:rsidRDefault="00B60859" w:rsidP="00274D50">
            <w:pPr>
              <w:pStyle w:val="TableText0"/>
            </w:pPr>
            <w:r w:rsidRPr="0035358E">
              <w:t xml:space="preserve">This is particularly uncertain as EQ-5D instruments are not recommended for infants aged &lt;4 year. </w:t>
            </w:r>
          </w:p>
        </w:tc>
        <w:tc>
          <w:tcPr>
            <w:tcW w:w="1544" w:type="pct"/>
            <w:shd w:val="clear" w:color="auto" w:fill="auto"/>
            <w:vAlign w:val="center"/>
          </w:tcPr>
          <w:p w14:paraId="723EE590" w14:textId="59EAD8C5" w:rsidR="00B60859" w:rsidRPr="0035358E" w:rsidRDefault="00B60859" w:rsidP="00274D50">
            <w:pPr>
              <w:pStyle w:val="TableText0"/>
            </w:pPr>
            <w:r w:rsidRPr="0035358E">
              <w:t>Moderate, favours RSVpreF.</w:t>
            </w:r>
          </w:p>
          <w:p w14:paraId="71F9CBCE" w14:textId="5C158C8B" w:rsidR="00B60859" w:rsidRPr="0035358E" w:rsidRDefault="00B60859" w:rsidP="00274D50">
            <w:pPr>
              <w:pStyle w:val="TableText0"/>
            </w:pPr>
            <w:r w:rsidRPr="0035358E">
              <w:t>Assuming no QALYs lost due to outpatient attendance increased the ICER to $</w:t>
            </w:r>
            <w:r w:rsidR="00E96E79" w:rsidRPr="00B3542F">
              <w:rPr>
                <w:color w:val="000000"/>
                <w:spacing w:val="52"/>
                <w:shd w:val="solid" w:color="000000" w:fill="000000"/>
                <w:fitText w:val="330" w:id="-961850100"/>
                <w14:textFill>
                  <w14:solidFill>
                    <w14:srgbClr w14:val="000000">
                      <w14:alpha w14:val="100000"/>
                    </w14:srgbClr>
                  </w14:solidFill>
                </w14:textFill>
              </w:rPr>
              <w:t>|||</w:t>
            </w:r>
            <w:r w:rsidR="00E96E79" w:rsidRPr="00B3542F">
              <w:rPr>
                <w:color w:val="000000"/>
                <w:spacing w:val="2"/>
                <w:shd w:val="solid" w:color="000000" w:fill="000000"/>
                <w:fitText w:val="330" w:id="-961850100"/>
                <w14:textFill>
                  <w14:solidFill>
                    <w14:srgbClr w14:val="000000">
                      <w14:alpha w14:val="100000"/>
                    </w14:srgbClr>
                  </w14:solidFill>
                </w14:textFill>
              </w:rPr>
              <w:t>|</w:t>
            </w:r>
            <w:r w:rsidR="00CB00D0" w:rsidRPr="00CB00D0">
              <w:rPr>
                <w:vertAlign w:val="superscript"/>
              </w:rPr>
              <w:t>4</w:t>
            </w:r>
            <w:r w:rsidRPr="0035358E">
              <w:t>/QALY gained.</w:t>
            </w:r>
          </w:p>
        </w:tc>
      </w:tr>
    </w:tbl>
    <w:p w14:paraId="5A5CB446" w14:textId="77777777" w:rsidR="00B60859" w:rsidRPr="0035358E" w:rsidRDefault="00B60859" w:rsidP="00274D50">
      <w:pPr>
        <w:pStyle w:val="FooterTableFigure"/>
        <w:keepNext/>
        <w:rPr>
          <w:iCs/>
        </w:rPr>
      </w:pPr>
      <w:r w:rsidRPr="0035358E">
        <w:t xml:space="preserve">Source: </w:t>
      </w:r>
      <w:r w:rsidRPr="0035358E">
        <w:rPr>
          <w:iCs/>
        </w:rPr>
        <w:t>Constructed during the evaluation.</w:t>
      </w:r>
    </w:p>
    <w:p w14:paraId="317CD1F9" w14:textId="06139654" w:rsidR="00B60859" w:rsidRPr="0035358E" w:rsidRDefault="00FA2DA6" w:rsidP="00B60859">
      <w:pPr>
        <w:pStyle w:val="FooterTableFigure"/>
        <w:keepNext/>
      </w:pPr>
      <w:r>
        <w:t xml:space="preserve">Abbreviations: </w:t>
      </w:r>
      <w:r w:rsidR="00B60859" w:rsidRPr="0035358E">
        <w:t>ED = emergency department; ICER = incremental cost effectiveness ratio; QALY = quality-adjusted life year; RSV = Respiratory Syncytial Virus; RSVpreF = recombinant respiratory syncytial virus pre-fusion F protein vaccine; VE = vaccine efficacy.</w:t>
      </w:r>
    </w:p>
    <w:p w14:paraId="18644504" w14:textId="77777777" w:rsidR="00DB24CC" w:rsidRDefault="00B60859" w:rsidP="00B60859">
      <w:pPr>
        <w:pStyle w:val="FooterTableFigure"/>
        <w:keepNext/>
      </w:pPr>
      <w:r w:rsidRPr="0035358E">
        <w:rPr>
          <w:vertAlign w:val="superscript"/>
        </w:rPr>
        <w:t>a</w:t>
      </w:r>
      <w:r w:rsidRPr="0035358E">
        <w:t xml:space="preserve"> VE for preventing ED and outpatient attendance due to RSV calculated as 45% during the evaluation.</w:t>
      </w:r>
    </w:p>
    <w:p w14:paraId="370E2712" w14:textId="23A8A8E6" w:rsidR="00D95969" w:rsidRDefault="00D95969" w:rsidP="00D95969">
      <w:pPr>
        <w:pStyle w:val="FooterTableFigure"/>
        <w:keepNext/>
        <w:rPr>
          <w:i/>
          <w:iCs/>
        </w:rPr>
      </w:pPr>
      <w:bookmarkStart w:id="85" w:name="_Hlk166833549"/>
      <w:r w:rsidRPr="00D95969">
        <w:rPr>
          <w:i/>
          <w:iCs/>
        </w:rPr>
        <w:t>The redacted values correspond to the following ranges:</w:t>
      </w:r>
    </w:p>
    <w:p w14:paraId="5BD8C79D" w14:textId="0723D59D" w:rsidR="00D95969" w:rsidRPr="00D95969" w:rsidRDefault="00D95969" w:rsidP="00D95969">
      <w:pPr>
        <w:pStyle w:val="FooterTableFigure"/>
        <w:keepNext/>
        <w:rPr>
          <w:i/>
          <w:iCs/>
        </w:rPr>
      </w:pPr>
      <w:r w:rsidRPr="00D95969">
        <w:rPr>
          <w:i/>
          <w:iCs/>
          <w:vertAlign w:val="superscript"/>
        </w:rPr>
        <w:t>1</w:t>
      </w:r>
      <w:r>
        <w:rPr>
          <w:i/>
          <w:iCs/>
        </w:rPr>
        <w:t xml:space="preserve"> </w:t>
      </w:r>
      <w:r w:rsidRPr="00D95969">
        <w:rPr>
          <w:i/>
          <w:iCs/>
        </w:rPr>
        <w:t>$25,000 to &lt; $35,000</w:t>
      </w:r>
    </w:p>
    <w:p w14:paraId="34FD9E5A" w14:textId="35396CFB" w:rsidR="00D95969" w:rsidRDefault="00D95969" w:rsidP="00D95969">
      <w:pPr>
        <w:pStyle w:val="FooterTableFigure"/>
        <w:keepNext/>
        <w:rPr>
          <w:i/>
          <w:iCs/>
        </w:rPr>
      </w:pPr>
      <w:r w:rsidRPr="00D95969">
        <w:rPr>
          <w:i/>
          <w:iCs/>
          <w:vertAlign w:val="superscript"/>
        </w:rPr>
        <w:t>2</w:t>
      </w:r>
      <w:r w:rsidRPr="00D95969">
        <w:rPr>
          <w:i/>
          <w:iCs/>
        </w:rPr>
        <w:t xml:space="preserve"> $75,000 to &lt; $95,000</w:t>
      </w:r>
    </w:p>
    <w:p w14:paraId="0094D5D4" w14:textId="1F866C0A" w:rsidR="00D95969" w:rsidRDefault="00D95969" w:rsidP="00D95969">
      <w:pPr>
        <w:pStyle w:val="FooterTableFigure"/>
        <w:keepNext/>
        <w:rPr>
          <w:i/>
          <w:iCs/>
        </w:rPr>
      </w:pPr>
      <w:r w:rsidRPr="00D95969">
        <w:rPr>
          <w:i/>
          <w:iCs/>
          <w:vertAlign w:val="superscript"/>
        </w:rPr>
        <w:t>3</w:t>
      </w:r>
      <w:r>
        <w:rPr>
          <w:i/>
          <w:iCs/>
        </w:rPr>
        <w:t xml:space="preserve"> </w:t>
      </w:r>
      <w:r w:rsidRPr="00D95969">
        <w:rPr>
          <w:i/>
          <w:iCs/>
        </w:rPr>
        <w:t>$55,000 to &lt; $75,000</w:t>
      </w:r>
    </w:p>
    <w:p w14:paraId="1AA3D704" w14:textId="053C810F" w:rsidR="00CB00D0" w:rsidRPr="00D95969" w:rsidRDefault="00CB00D0" w:rsidP="003B3B7C">
      <w:pPr>
        <w:pStyle w:val="FooterTableFigure"/>
        <w:rPr>
          <w:i/>
          <w:iCs/>
        </w:rPr>
      </w:pPr>
      <w:r w:rsidRPr="00CB00D0">
        <w:rPr>
          <w:i/>
          <w:iCs/>
          <w:vertAlign w:val="superscript"/>
        </w:rPr>
        <w:t>4</w:t>
      </w:r>
      <w:r>
        <w:rPr>
          <w:i/>
          <w:iCs/>
        </w:rPr>
        <w:t xml:space="preserve"> </w:t>
      </w:r>
      <w:r w:rsidRPr="00CB00D0">
        <w:rPr>
          <w:i/>
          <w:iCs/>
        </w:rPr>
        <w:t>$35,000 to &lt; $45,000</w:t>
      </w:r>
    </w:p>
    <w:bookmarkEnd w:id="85"/>
    <w:p w14:paraId="1328CBEB" w14:textId="375C4628" w:rsidR="00DB24CC" w:rsidRDefault="00B60859" w:rsidP="00DD4B2C">
      <w:pPr>
        <w:pStyle w:val="3-BodyText"/>
      </w:pPr>
      <w:r w:rsidRPr="0035358E">
        <w:t xml:space="preserve">The submission did not present a stepped economic analysis. This was not reasonable as the economic evaluation was substantially sensitive to model parameters not observed in the trial. Given this uncertainty, the additional economic analyses were explored during the evaluation, including CCAs (based on trial and modelled inputs) and a CEA. This is presented in </w:t>
      </w:r>
      <w:r w:rsidRPr="0035358E">
        <w:fldChar w:fldCharType="begin"/>
      </w:r>
      <w:r w:rsidRPr="0035358E">
        <w:instrText xml:space="preserve"> REF _Ref104805160 \h  \* MERGEFORMAT </w:instrText>
      </w:r>
      <w:r w:rsidRPr="0035358E">
        <w:fldChar w:fldCharType="separate"/>
      </w:r>
      <w:r w:rsidR="00A46CAC" w:rsidRPr="0035358E">
        <w:t xml:space="preserve">Table </w:t>
      </w:r>
      <w:r w:rsidR="00A46CAC">
        <w:t>16</w:t>
      </w:r>
      <w:r w:rsidRPr="0035358E">
        <w:fldChar w:fldCharType="end"/>
      </w:r>
      <w:r w:rsidRPr="0035358E">
        <w:t>.</w:t>
      </w:r>
    </w:p>
    <w:p w14:paraId="3D1CB963" w14:textId="0C26BEE7" w:rsidR="00B60859" w:rsidRPr="0035358E" w:rsidRDefault="00B60859" w:rsidP="00B60859">
      <w:pPr>
        <w:pStyle w:val="Caption"/>
      </w:pPr>
      <w:bookmarkStart w:id="86" w:name="_Ref104805160"/>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16</w:t>
      </w:r>
      <w:r w:rsidR="00560E31">
        <w:rPr>
          <w:noProof/>
        </w:rPr>
        <w:fldChar w:fldCharType="end"/>
      </w:r>
      <w:bookmarkEnd w:id="86"/>
      <w:r w:rsidRPr="0035358E">
        <w:t>:</w:t>
      </w:r>
      <w:r w:rsidRPr="0035358E">
        <w:rPr>
          <w:rStyle w:val="CommentReference"/>
          <w:b/>
          <w:szCs w:val="24"/>
        </w:rPr>
        <w:t xml:space="preserve"> </w:t>
      </w:r>
      <w:r w:rsidRPr="0035358E">
        <w:rPr>
          <w:rStyle w:val="CommentReference"/>
          <w:b/>
          <w:iCs/>
          <w:szCs w:val="24"/>
        </w:rPr>
        <w:t>Results of the stepped economic evaluation, assuming a cohort of 1,000 vaccinated women</w:t>
      </w:r>
    </w:p>
    <w:tbl>
      <w:tblPr>
        <w:tblStyle w:val="TableGrid"/>
        <w:tblW w:w="9067" w:type="dxa"/>
        <w:tblLook w:val="04A0" w:firstRow="1" w:lastRow="0" w:firstColumn="1" w:lastColumn="0" w:noHBand="0" w:noVBand="1"/>
        <w:tblCaption w:val="Table 16: Results of the stepped economic evaluation, assuming a cohort of 1,000 vaccinated women"/>
      </w:tblPr>
      <w:tblGrid>
        <w:gridCol w:w="3069"/>
        <w:gridCol w:w="1220"/>
        <w:gridCol w:w="1274"/>
        <w:gridCol w:w="3504"/>
      </w:tblGrid>
      <w:tr w:rsidR="003454A8" w:rsidRPr="0035358E" w14:paraId="441E61C3" w14:textId="77777777" w:rsidTr="00B177BE">
        <w:tc>
          <w:tcPr>
            <w:tcW w:w="3069" w:type="dxa"/>
            <w:vAlign w:val="center"/>
          </w:tcPr>
          <w:p w14:paraId="498DDCB5" w14:textId="4A5EE8AF" w:rsidR="003454A8" w:rsidRPr="0035358E" w:rsidRDefault="003454A8" w:rsidP="003454A8">
            <w:pPr>
              <w:pStyle w:val="TableText0"/>
            </w:pPr>
            <w:r w:rsidRPr="0035358E">
              <w:rPr>
                <w:b/>
                <w:bCs w:val="0"/>
              </w:rPr>
              <w:t>Step and component</w:t>
            </w:r>
          </w:p>
        </w:tc>
        <w:tc>
          <w:tcPr>
            <w:tcW w:w="1220" w:type="dxa"/>
            <w:vAlign w:val="center"/>
          </w:tcPr>
          <w:p w14:paraId="6258FB18" w14:textId="77583478" w:rsidR="003454A8" w:rsidRPr="0035358E" w:rsidRDefault="003454A8" w:rsidP="003454A8">
            <w:pPr>
              <w:pStyle w:val="TableText0"/>
              <w:jc w:val="center"/>
              <w:rPr>
                <w:b/>
                <w:bCs w:val="0"/>
              </w:rPr>
            </w:pPr>
            <w:r w:rsidRPr="0035358E">
              <w:rPr>
                <w:b/>
                <w:bCs w:val="0"/>
              </w:rPr>
              <w:t>RSVpreF</w:t>
            </w:r>
          </w:p>
        </w:tc>
        <w:tc>
          <w:tcPr>
            <w:tcW w:w="1274" w:type="dxa"/>
            <w:vAlign w:val="center"/>
          </w:tcPr>
          <w:p w14:paraId="367418CA" w14:textId="77777777" w:rsidR="00DB24CC" w:rsidRDefault="003454A8" w:rsidP="003454A8">
            <w:pPr>
              <w:pStyle w:val="TableText0"/>
              <w:jc w:val="center"/>
              <w:rPr>
                <w:b/>
                <w:bCs w:val="0"/>
              </w:rPr>
            </w:pPr>
            <w:r w:rsidRPr="0035358E">
              <w:rPr>
                <w:b/>
                <w:bCs w:val="0"/>
              </w:rPr>
              <w:t>SOC</w:t>
            </w:r>
          </w:p>
          <w:p w14:paraId="0AA5C4C7" w14:textId="1F23AB6C" w:rsidR="003454A8" w:rsidRPr="0035358E" w:rsidRDefault="003454A8" w:rsidP="003454A8">
            <w:pPr>
              <w:pStyle w:val="TableText0"/>
              <w:jc w:val="center"/>
              <w:rPr>
                <w:b/>
                <w:bCs w:val="0"/>
              </w:rPr>
            </w:pPr>
            <w:r w:rsidRPr="0035358E">
              <w:t>(no vaccine)</w:t>
            </w:r>
          </w:p>
        </w:tc>
        <w:tc>
          <w:tcPr>
            <w:tcW w:w="3504" w:type="dxa"/>
            <w:vAlign w:val="center"/>
          </w:tcPr>
          <w:p w14:paraId="147ABFD7" w14:textId="620346EA" w:rsidR="003454A8" w:rsidRPr="0035358E" w:rsidRDefault="003454A8" w:rsidP="003454A8">
            <w:pPr>
              <w:pStyle w:val="TableText0"/>
              <w:jc w:val="center"/>
              <w:rPr>
                <w:b/>
                <w:bCs w:val="0"/>
              </w:rPr>
            </w:pPr>
            <w:r w:rsidRPr="0035358E">
              <w:rPr>
                <w:b/>
                <w:bCs w:val="0"/>
              </w:rPr>
              <w:t>Increment/interpretation</w:t>
            </w:r>
          </w:p>
        </w:tc>
      </w:tr>
      <w:tr w:rsidR="003454A8" w:rsidRPr="0035358E" w14:paraId="75EC4775" w14:textId="77777777" w:rsidTr="00B177BE">
        <w:tc>
          <w:tcPr>
            <w:tcW w:w="9067" w:type="dxa"/>
            <w:gridSpan w:val="4"/>
            <w:vAlign w:val="center"/>
          </w:tcPr>
          <w:p w14:paraId="542DA3A8" w14:textId="59A6834A" w:rsidR="003454A8" w:rsidRPr="0035358E" w:rsidRDefault="003454A8" w:rsidP="003454A8">
            <w:pPr>
              <w:pStyle w:val="TableText0"/>
              <w:rPr>
                <w:b/>
                <w:bCs w:val="0"/>
                <w:vertAlign w:val="superscript"/>
              </w:rPr>
            </w:pPr>
            <w:r w:rsidRPr="0035358E">
              <w:rPr>
                <w:b/>
                <w:bCs w:val="0"/>
              </w:rPr>
              <w:t>Step 1a: CCA, based on data from the MATISSE trial</w:t>
            </w:r>
          </w:p>
        </w:tc>
      </w:tr>
      <w:tr w:rsidR="003454A8" w:rsidRPr="0035358E" w14:paraId="6CD2D49F" w14:textId="77777777" w:rsidTr="00B177BE">
        <w:tc>
          <w:tcPr>
            <w:tcW w:w="3069" w:type="dxa"/>
            <w:vAlign w:val="center"/>
          </w:tcPr>
          <w:p w14:paraId="047E5522" w14:textId="77777777" w:rsidR="003454A8" w:rsidRPr="0035358E" w:rsidRDefault="003454A8" w:rsidP="003454A8">
            <w:pPr>
              <w:pStyle w:val="TableText0"/>
            </w:pPr>
            <w:r w:rsidRPr="0035358E">
              <w:t xml:space="preserve">RSV that requires hospitalisation </w:t>
            </w:r>
          </w:p>
        </w:tc>
        <w:tc>
          <w:tcPr>
            <w:tcW w:w="1220" w:type="dxa"/>
          </w:tcPr>
          <w:p w14:paraId="7D94B61D" w14:textId="6B8F9FE9" w:rsidR="003454A8" w:rsidRPr="00353F03" w:rsidRDefault="003454A8" w:rsidP="003454A8">
            <w:pPr>
              <w:pStyle w:val="TableText0"/>
              <w:jc w:val="center"/>
              <w:rPr>
                <w:iCs/>
              </w:rPr>
            </w:pPr>
            <w:r w:rsidRPr="00353F03">
              <w:rPr>
                <w:iCs/>
              </w:rPr>
              <w:t>11</w:t>
            </w:r>
          </w:p>
        </w:tc>
        <w:tc>
          <w:tcPr>
            <w:tcW w:w="1274" w:type="dxa"/>
          </w:tcPr>
          <w:p w14:paraId="4D1B82A7" w14:textId="25B22883" w:rsidR="003454A8" w:rsidRPr="00B04535" w:rsidRDefault="003454A8" w:rsidP="003454A8">
            <w:pPr>
              <w:pStyle w:val="TableText0"/>
              <w:jc w:val="center"/>
              <w:rPr>
                <w:iCs/>
              </w:rPr>
            </w:pPr>
            <w:r w:rsidRPr="00B04535">
              <w:rPr>
                <w:iCs/>
              </w:rPr>
              <w:t>16</w:t>
            </w:r>
          </w:p>
        </w:tc>
        <w:tc>
          <w:tcPr>
            <w:tcW w:w="3504" w:type="dxa"/>
            <w:vAlign w:val="center"/>
          </w:tcPr>
          <w:p w14:paraId="33700DEC" w14:textId="0420B9FD" w:rsidR="003454A8" w:rsidRPr="00353F03" w:rsidRDefault="003454A8" w:rsidP="003454A8">
            <w:pPr>
              <w:pStyle w:val="TableText0"/>
              <w:jc w:val="center"/>
              <w:rPr>
                <w:iCs/>
              </w:rPr>
            </w:pPr>
            <w:r w:rsidRPr="00353F03">
              <w:rPr>
                <w:iCs/>
              </w:rPr>
              <w:t>5</w:t>
            </w:r>
            <w:r w:rsidR="00353F03">
              <w:rPr>
                <w:iCs/>
              </w:rPr>
              <w:t xml:space="preserve"> </w:t>
            </w:r>
            <w:r w:rsidRPr="00353F03">
              <w:rPr>
                <w:iCs/>
              </w:rPr>
              <w:t>hospitalisations avoided</w:t>
            </w:r>
          </w:p>
        </w:tc>
      </w:tr>
      <w:tr w:rsidR="003454A8" w:rsidRPr="0035358E" w14:paraId="50CDDF16" w14:textId="77777777" w:rsidTr="00B177BE">
        <w:tc>
          <w:tcPr>
            <w:tcW w:w="3069" w:type="dxa"/>
            <w:vAlign w:val="center"/>
          </w:tcPr>
          <w:p w14:paraId="6F33D94F" w14:textId="77777777" w:rsidR="003454A8" w:rsidRPr="0035358E" w:rsidRDefault="003454A8" w:rsidP="003454A8">
            <w:pPr>
              <w:pStyle w:val="TableText0"/>
            </w:pPr>
            <w:r w:rsidRPr="0035358E">
              <w:t>RSV that involves medical attendance</w:t>
            </w:r>
            <w:r w:rsidRPr="0035358E">
              <w:rPr>
                <w:vertAlign w:val="superscript"/>
              </w:rPr>
              <w:t>a</w:t>
            </w:r>
          </w:p>
        </w:tc>
        <w:tc>
          <w:tcPr>
            <w:tcW w:w="1220" w:type="dxa"/>
          </w:tcPr>
          <w:p w14:paraId="3324AE27" w14:textId="7FF68DEC" w:rsidR="003454A8" w:rsidRPr="00353F03" w:rsidRDefault="003454A8" w:rsidP="003454A8">
            <w:pPr>
              <w:pStyle w:val="TableText0"/>
              <w:jc w:val="center"/>
              <w:rPr>
                <w:rFonts w:cs="Calibri"/>
                <w:iCs/>
                <w:color w:val="000000"/>
                <w:szCs w:val="20"/>
              </w:rPr>
            </w:pPr>
            <w:r w:rsidRPr="00353F03">
              <w:rPr>
                <w:iCs/>
              </w:rPr>
              <w:t>26</w:t>
            </w:r>
          </w:p>
        </w:tc>
        <w:tc>
          <w:tcPr>
            <w:tcW w:w="1274" w:type="dxa"/>
          </w:tcPr>
          <w:p w14:paraId="2139CACA" w14:textId="7881C6BD" w:rsidR="003454A8" w:rsidRPr="00B04535" w:rsidRDefault="003454A8" w:rsidP="003454A8">
            <w:pPr>
              <w:pStyle w:val="TableText0"/>
              <w:jc w:val="center"/>
              <w:rPr>
                <w:rFonts w:cs="Calibri"/>
                <w:iCs/>
                <w:color w:val="000000"/>
                <w:szCs w:val="20"/>
              </w:rPr>
            </w:pPr>
            <w:r w:rsidRPr="00B04535">
              <w:rPr>
                <w:iCs/>
              </w:rPr>
              <w:t>45</w:t>
            </w:r>
          </w:p>
        </w:tc>
        <w:tc>
          <w:tcPr>
            <w:tcW w:w="3504" w:type="dxa"/>
            <w:vAlign w:val="center"/>
          </w:tcPr>
          <w:p w14:paraId="412558D6" w14:textId="1626D5F6" w:rsidR="003454A8" w:rsidRPr="00353F03" w:rsidRDefault="003454A8" w:rsidP="003454A8">
            <w:pPr>
              <w:pStyle w:val="TableText0"/>
              <w:jc w:val="center"/>
              <w:rPr>
                <w:rFonts w:cs="Calibri"/>
                <w:iCs/>
                <w:color w:val="000000"/>
                <w:szCs w:val="20"/>
              </w:rPr>
            </w:pPr>
            <w:r w:rsidRPr="00353F03">
              <w:rPr>
                <w:iCs/>
              </w:rPr>
              <w:t>19 medical attendance events avoided</w:t>
            </w:r>
          </w:p>
        </w:tc>
      </w:tr>
      <w:tr w:rsidR="003454A8" w:rsidRPr="0035358E" w14:paraId="6B67638F" w14:textId="77777777" w:rsidTr="00B177BE">
        <w:tc>
          <w:tcPr>
            <w:tcW w:w="3069" w:type="dxa"/>
            <w:vAlign w:val="center"/>
          </w:tcPr>
          <w:p w14:paraId="04F42490" w14:textId="77777777" w:rsidR="003454A8" w:rsidRPr="0035358E" w:rsidRDefault="003454A8" w:rsidP="003454A8">
            <w:pPr>
              <w:pStyle w:val="TableText0"/>
              <w:rPr>
                <w:vertAlign w:val="superscript"/>
              </w:rPr>
            </w:pPr>
            <w:r w:rsidRPr="0035358E">
              <w:t>Total costs</w:t>
            </w:r>
          </w:p>
        </w:tc>
        <w:tc>
          <w:tcPr>
            <w:tcW w:w="1220" w:type="dxa"/>
            <w:vAlign w:val="center"/>
          </w:tcPr>
          <w:p w14:paraId="252B6C6D" w14:textId="1ADCF5E1" w:rsidR="003454A8" w:rsidRPr="0035358E" w:rsidRDefault="003454A8" w:rsidP="003454A8">
            <w:pPr>
              <w:pStyle w:val="TableText0"/>
              <w:jc w:val="center"/>
              <w:rPr>
                <w:iCs/>
              </w:rPr>
            </w:pPr>
            <w:r w:rsidRPr="0035358E">
              <w:rPr>
                <w:rFonts w:cs="Calibri"/>
                <w:iCs/>
                <w:color w:val="000000"/>
                <w:szCs w:val="20"/>
              </w:rPr>
              <w:t>$</w:t>
            </w:r>
            <w:r w:rsidR="00E96E79" w:rsidRPr="00FC52B8">
              <w:rPr>
                <w:rFonts w:cs="Calibri" w:hint="eastAsia"/>
                <w:iCs/>
                <w:color w:val="000000"/>
                <w:w w:val="20"/>
                <w:szCs w:val="20"/>
                <w:shd w:val="solid" w:color="000000" w:fill="000000"/>
                <w:fitText w:val="90" w:id="-961850099"/>
                <w14:textFill>
                  <w14:solidFill>
                    <w14:srgbClr w14:val="000000">
                      <w14:alpha w14:val="100000"/>
                    </w14:srgbClr>
                  </w14:solidFill>
                </w14:textFill>
              </w:rPr>
              <w:t xml:space="preserve">　</w:t>
            </w:r>
            <w:r w:rsidR="00E96E79" w:rsidRPr="00FC52B8">
              <w:rPr>
                <w:rFonts w:cs="Calibri"/>
                <w:iCs/>
                <w:color w:val="000000"/>
                <w:w w:val="20"/>
                <w:szCs w:val="20"/>
                <w:shd w:val="solid" w:color="000000" w:fill="000000"/>
                <w:fitText w:val="90" w:id="-961850099"/>
                <w14:textFill>
                  <w14:solidFill>
                    <w14:srgbClr w14:val="000000">
                      <w14:alpha w14:val="100000"/>
                    </w14:srgbClr>
                  </w14:solidFill>
                </w14:textFill>
              </w:rPr>
              <w:t>|</w:t>
            </w:r>
            <w:r w:rsidR="00E96E79" w:rsidRPr="00FC52B8">
              <w:rPr>
                <w:rFonts w:cs="Calibri" w:hint="eastAsia"/>
                <w:iCs/>
                <w:color w:val="000000"/>
                <w:w w:val="20"/>
                <w:szCs w:val="20"/>
                <w:shd w:val="solid" w:color="000000" w:fill="000000"/>
                <w:fitText w:val="90" w:id="-961850099"/>
                <w14:textFill>
                  <w14:solidFill>
                    <w14:srgbClr w14:val="000000">
                      <w14:alpha w14:val="100000"/>
                    </w14:srgbClr>
                  </w14:solidFill>
                </w14:textFill>
              </w:rPr>
              <w:t xml:space="preserve">　</w:t>
            </w:r>
          </w:p>
        </w:tc>
        <w:tc>
          <w:tcPr>
            <w:tcW w:w="1274" w:type="dxa"/>
            <w:vAlign w:val="center"/>
          </w:tcPr>
          <w:p w14:paraId="0DEB4959" w14:textId="5176C7E6" w:rsidR="003454A8" w:rsidRPr="00B04535" w:rsidRDefault="003454A8" w:rsidP="003454A8">
            <w:pPr>
              <w:pStyle w:val="TableText0"/>
              <w:jc w:val="center"/>
              <w:rPr>
                <w:iCs/>
              </w:rPr>
            </w:pPr>
            <w:r w:rsidRPr="001C1B4E">
              <w:rPr>
                <w:rFonts w:cs="Calibri"/>
                <w:iCs/>
                <w:color w:val="000000"/>
                <w:szCs w:val="20"/>
              </w:rPr>
              <w:t>$</w:t>
            </w:r>
            <w:r w:rsidR="000036E8" w:rsidRPr="00FC52B8">
              <w:rPr>
                <w:rFonts w:cs="Calibri"/>
                <w:iCs/>
                <w:color w:val="000000"/>
                <w:spacing w:val="47"/>
                <w:szCs w:val="20"/>
                <w:shd w:val="solid" w:color="000000" w:fill="000000"/>
                <w:fitText w:val="313" w:id="-955097344"/>
                <w14:textFill>
                  <w14:solidFill>
                    <w14:srgbClr w14:val="000000">
                      <w14:alpha w14:val="100000"/>
                    </w14:srgbClr>
                  </w14:solidFill>
                </w14:textFill>
              </w:rPr>
              <w:t>|||</w:t>
            </w:r>
            <w:r w:rsidR="000036E8" w:rsidRPr="00FC52B8">
              <w:rPr>
                <w:rFonts w:cs="Calibri"/>
                <w:iCs/>
                <w:color w:val="000000"/>
                <w:spacing w:val="2"/>
                <w:szCs w:val="20"/>
                <w:shd w:val="solid" w:color="000000" w:fill="000000"/>
                <w:fitText w:val="313" w:id="-955097344"/>
                <w14:textFill>
                  <w14:solidFill>
                    <w14:srgbClr w14:val="000000">
                      <w14:alpha w14:val="100000"/>
                    </w14:srgbClr>
                  </w14:solidFill>
                </w14:textFill>
              </w:rPr>
              <w:t>|</w:t>
            </w:r>
          </w:p>
        </w:tc>
        <w:tc>
          <w:tcPr>
            <w:tcW w:w="3504" w:type="dxa"/>
            <w:vAlign w:val="center"/>
          </w:tcPr>
          <w:p w14:paraId="16699435" w14:textId="01800CCF" w:rsidR="003454A8" w:rsidRPr="0035358E" w:rsidRDefault="003454A8" w:rsidP="003454A8">
            <w:pPr>
              <w:pStyle w:val="TableText0"/>
              <w:jc w:val="center"/>
              <w:rPr>
                <w:iCs/>
              </w:rPr>
            </w:pPr>
            <w:r w:rsidRPr="0035358E">
              <w:rPr>
                <w:rFonts w:cs="Calibri"/>
                <w:iCs/>
                <w:color w:val="000000"/>
                <w:szCs w:val="20"/>
              </w:rPr>
              <w:t>$</w:t>
            </w:r>
            <w:r w:rsidR="00E96E79" w:rsidRPr="00E96E79">
              <w:rPr>
                <w:rFonts w:cs="Calibri"/>
                <w:iCs/>
                <w:color w:val="000000"/>
                <w:szCs w:val="20"/>
                <w:shd w:val="solid" w:color="000000" w:fill="000000"/>
                <w14:textFill>
                  <w14:solidFill>
                    <w14:srgbClr w14:val="000000">
                      <w14:alpha w14:val="100000"/>
                    </w14:srgbClr>
                  </w14:solidFill>
                </w14:textFill>
              </w:rPr>
              <w:t>|</w:t>
            </w:r>
            <w:r w:rsidRPr="0035358E">
              <w:rPr>
                <w:rFonts w:cs="Calibri"/>
                <w:iCs/>
                <w:color w:val="000000"/>
                <w:szCs w:val="20"/>
              </w:rPr>
              <w:t xml:space="preserve"> additional cost</w:t>
            </w:r>
          </w:p>
        </w:tc>
      </w:tr>
      <w:tr w:rsidR="003454A8" w:rsidRPr="0035358E" w14:paraId="13E24C52" w14:textId="77777777" w:rsidTr="00B177BE">
        <w:tc>
          <w:tcPr>
            <w:tcW w:w="9067" w:type="dxa"/>
            <w:gridSpan w:val="4"/>
            <w:vAlign w:val="center"/>
          </w:tcPr>
          <w:p w14:paraId="78634887" w14:textId="77777777" w:rsidR="003454A8" w:rsidRPr="0035358E" w:rsidRDefault="003454A8" w:rsidP="003454A8">
            <w:pPr>
              <w:pStyle w:val="TableText0"/>
              <w:rPr>
                <w:rFonts w:cs="Calibri"/>
                <w:b/>
                <w:bCs w:val="0"/>
                <w:i/>
                <w:iCs/>
                <w:color w:val="000000"/>
                <w:szCs w:val="20"/>
                <w:vertAlign w:val="superscript"/>
              </w:rPr>
            </w:pPr>
            <w:r w:rsidRPr="0035358E">
              <w:rPr>
                <w:b/>
                <w:bCs w:val="0"/>
              </w:rPr>
              <w:t>Step 1b: CCA, based on data in the Australian setting</w:t>
            </w:r>
          </w:p>
        </w:tc>
      </w:tr>
      <w:tr w:rsidR="003454A8" w:rsidRPr="0035358E" w14:paraId="770AF853" w14:textId="77777777" w:rsidTr="00B177BE">
        <w:tc>
          <w:tcPr>
            <w:tcW w:w="3069" w:type="dxa"/>
            <w:vAlign w:val="center"/>
          </w:tcPr>
          <w:p w14:paraId="6B96A134" w14:textId="77777777" w:rsidR="003454A8" w:rsidRPr="0035358E" w:rsidRDefault="003454A8" w:rsidP="003454A8">
            <w:pPr>
              <w:pStyle w:val="TableText0"/>
              <w:rPr>
                <w:b/>
                <w:bCs w:val="0"/>
              </w:rPr>
            </w:pPr>
            <w:r w:rsidRPr="0035358E">
              <w:t xml:space="preserve">RSV that requires hospitalisation </w:t>
            </w:r>
          </w:p>
        </w:tc>
        <w:tc>
          <w:tcPr>
            <w:tcW w:w="1220" w:type="dxa"/>
          </w:tcPr>
          <w:p w14:paraId="0CB349AB" w14:textId="44197AAC" w:rsidR="003454A8" w:rsidRPr="00353F03" w:rsidRDefault="003454A8" w:rsidP="003454A8">
            <w:pPr>
              <w:pStyle w:val="TableText0"/>
              <w:jc w:val="center"/>
              <w:rPr>
                <w:rFonts w:cs="Calibri"/>
                <w:b/>
                <w:bCs w:val="0"/>
                <w:iCs/>
                <w:color w:val="000000"/>
                <w:szCs w:val="20"/>
              </w:rPr>
            </w:pPr>
            <w:r w:rsidRPr="00353F03">
              <w:rPr>
                <w:iCs/>
              </w:rPr>
              <w:t>10</w:t>
            </w:r>
          </w:p>
        </w:tc>
        <w:tc>
          <w:tcPr>
            <w:tcW w:w="1274" w:type="dxa"/>
          </w:tcPr>
          <w:p w14:paraId="551DEFAC" w14:textId="520DDA6F" w:rsidR="003454A8" w:rsidRPr="00B04535" w:rsidRDefault="003454A8" w:rsidP="003454A8">
            <w:pPr>
              <w:pStyle w:val="TableText0"/>
              <w:jc w:val="center"/>
              <w:rPr>
                <w:rFonts w:cs="Calibri"/>
                <w:b/>
                <w:bCs w:val="0"/>
                <w:iCs/>
                <w:color w:val="000000"/>
                <w:szCs w:val="20"/>
              </w:rPr>
            </w:pPr>
            <w:r w:rsidRPr="00B04535">
              <w:rPr>
                <w:iCs/>
              </w:rPr>
              <w:t>23</w:t>
            </w:r>
          </w:p>
        </w:tc>
        <w:tc>
          <w:tcPr>
            <w:tcW w:w="3504" w:type="dxa"/>
          </w:tcPr>
          <w:p w14:paraId="78808F6B" w14:textId="6AEAEDCB" w:rsidR="003454A8" w:rsidRPr="00353F03" w:rsidRDefault="003454A8" w:rsidP="003454A8">
            <w:pPr>
              <w:pStyle w:val="TableText0"/>
              <w:jc w:val="center"/>
              <w:rPr>
                <w:rFonts w:cs="Calibri"/>
                <w:b/>
                <w:bCs w:val="0"/>
                <w:iCs/>
                <w:color w:val="000000"/>
                <w:szCs w:val="20"/>
              </w:rPr>
            </w:pPr>
            <w:r w:rsidRPr="00353F03">
              <w:rPr>
                <w:iCs/>
              </w:rPr>
              <w:t>14 hospitalisations avoided</w:t>
            </w:r>
          </w:p>
        </w:tc>
      </w:tr>
      <w:tr w:rsidR="003454A8" w:rsidRPr="0035358E" w14:paraId="1FC9C6BD" w14:textId="77777777" w:rsidTr="00B177BE">
        <w:tc>
          <w:tcPr>
            <w:tcW w:w="3069" w:type="dxa"/>
            <w:vAlign w:val="center"/>
          </w:tcPr>
          <w:p w14:paraId="7AE57D1D" w14:textId="77777777" w:rsidR="003454A8" w:rsidRPr="0035358E" w:rsidRDefault="003454A8" w:rsidP="003454A8">
            <w:pPr>
              <w:pStyle w:val="TableText0"/>
              <w:rPr>
                <w:b/>
                <w:bCs w:val="0"/>
              </w:rPr>
            </w:pPr>
            <w:r w:rsidRPr="0035358E">
              <w:t>RSV that involves medical attendance</w:t>
            </w:r>
            <w:r w:rsidRPr="0035358E">
              <w:rPr>
                <w:vertAlign w:val="superscript"/>
              </w:rPr>
              <w:t>a</w:t>
            </w:r>
          </w:p>
        </w:tc>
        <w:tc>
          <w:tcPr>
            <w:tcW w:w="1220" w:type="dxa"/>
          </w:tcPr>
          <w:p w14:paraId="50FDB034" w14:textId="2084007D" w:rsidR="003454A8" w:rsidRPr="00353F03" w:rsidRDefault="003454A8" w:rsidP="003454A8">
            <w:pPr>
              <w:pStyle w:val="TableText0"/>
              <w:jc w:val="center"/>
              <w:rPr>
                <w:rFonts w:cs="Calibri"/>
                <w:b/>
                <w:bCs w:val="0"/>
                <w:iCs/>
                <w:color w:val="000000"/>
                <w:szCs w:val="20"/>
              </w:rPr>
            </w:pPr>
            <w:r w:rsidRPr="00353F03">
              <w:rPr>
                <w:iCs/>
              </w:rPr>
              <w:t>72</w:t>
            </w:r>
          </w:p>
        </w:tc>
        <w:tc>
          <w:tcPr>
            <w:tcW w:w="1274" w:type="dxa"/>
          </w:tcPr>
          <w:p w14:paraId="2F5D9FAC" w14:textId="55A91169" w:rsidR="003454A8" w:rsidRPr="00B04535" w:rsidRDefault="003454A8" w:rsidP="003454A8">
            <w:pPr>
              <w:pStyle w:val="TableText0"/>
              <w:jc w:val="center"/>
              <w:rPr>
                <w:rFonts w:cs="Calibri"/>
                <w:b/>
                <w:bCs w:val="0"/>
                <w:iCs/>
                <w:color w:val="000000"/>
                <w:szCs w:val="20"/>
              </w:rPr>
            </w:pPr>
            <w:r w:rsidRPr="00B04535">
              <w:rPr>
                <w:iCs/>
              </w:rPr>
              <w:t>122</w:t>
            </w:r>
          </w:p>
        </w:tc>
        <w:tc>
          <w:tcPr>
            <w:tcW w:w="3504" w:type="dxa"/>
          </w:tcPr>
          <w:p w14:paraId="35C348BA" w14:textId="08F5430A" w:rsidR="003454A8" w:rsidRPr="00353F03" w:rsidRDefault="003454A8" w:rsidP="003454A8">
            <w:pPr>
              <w:pStyle w:val="TableText0"/>
              <w:jc w:val="center"/>
              <w:rPr>
                <w:rFonts w:cs="Calibri"/>
                <w:b/>
                <w:bCs w:val="0"/>
                <w:iCs/>
                <w:color w:val="000000"/>
                <w:szCs w:val="20"/>
              </w:rPr>
            </w:pPr>
            <w:r w:rsidRPr="00353F03">
              <w:rPr>
                <w:iCs/>
              </w:rPr>
              <w:t>50 medical attendance events avoided</w:t>
            </w:r>
          </w:p>
        </w:tc>
      </w:tr>
      <w:tr w:rsidR="003454A8" w:rsidRPr="0035358E" w14:paraId="3CF3B485" w14:textId="77777777" w:rsidTr="00B177BE">
        <w:tc>
          <w:tcPr>
            <w:tcW w:w="3069" w:type="dxa"/>
            <w:vAlign w:val="center"/>
          </w:tcPr>
          <w:p w14:paraId="1AD9F8DC" w14:textId="77777777" w:rsidR="003454A8" w:rsidRPr="0035358E" w:rsidRDefault="003454A8" w:rsidP="003454A8">
            <w:pPr>
              <w:pStyle w:val="TableText0"/>
              <w:rPr>
                <w:b/>
                <w:bCs w:val="0"/>
              </w:rPr>
            </w:pPr>
            <w:r w:rsidRPr="0035358E">
              <w:t>Total costs</w:t>
            </w:r>
          </w:p>
        </w:tc>
        <w:tc>
          <w:tcPr>
            <w:tcW w:w="1220" w:type="dxa"/>
            <w:vAlign w:val="center"/>
          </w:tcPr>
          <w:p w14:paraId="372CCC3D" w14:textId="2CAE7D8D" w:rsidR="003454A8" w:rsidRPr="0035358E" w:rsidRDefault="003454A8" w:rsidP="003454A8">
            <w:pPr>
              <w:pStyle w:val="TableText0"/>
              <w:jc w:val="center"/>
              <w:rPr>
                <w:rFonts w:cs="Calibri"/>
                <w:b/>
                <w:bCs w:val="0"/>
                <w:iCs/>
                <w:color w:val="000000"/>
                <w:szCs w:val="20"/>
              </w:rPr>
            </w:pPr>
            <w:r w:rsidRPr="0035358E">
              <w:rPr>
                <w:iCs/>
              </w:rPr>
              <w:t>$</w:t>
            </w:r>
            <w:r w:rsidR="00E96E79" w:rsidRPr="00E96E79">
              <w:rPr>
                <w:rFonts w:hint="eastAsia"/>
                <w:iCs/>
                <w:color w:val="000000"/>
                <w:w w:val="20"/>
                <w:shd w:val="solid" w:color="000000" w:fill="000000"/>
                <w:fitText w:val="90" w:id="-961850098"/>
                <w14:textFill>
                  <w14:solidFill>
                    <w14:srgbClr w14:val="000000">
                      <w14:alpha w14:val="100000"/>
                    </w14:srgbClr>
                  </w14:solidFill>
                </w14:textFill>
              </w:rPr>
              <w:t xml:space="preserve">　</w:t>
            </w:r>
            <w:r w:rsidR="00E96E79" w:rsidRPr="00E96E79">
              <w:rPr>
                <w:iCs/>
                <w:color w:val="000000"/>
                <w:w w:val="20"/>
                <w:shd w:val="solid" w:color="000000" w:fill="000000"/>
                <w:fitText w:val="90" w:id="-961850098"/>
                <w14:textFill>
                  <w14:solidFill>
                    <w14:srgbClr w14:val="000000">
                      <w14:alpha w14:val="100000"/>
                    </w14:srgbClr>
                  </w14:solidFill>
                </w14:textFill>
              </w:rPr>
              <w:t>|</w:t>
            </w:r>
            <w:r w:rsidR="00E96E79" w:rsidRPr="00E96E79">
              <w:rPr>
                <w:rFonts w:hint="eastAsia"/>
                <w:iCs/>
                <w:color w:val="000000"/>
                <w:spacing w:val="3"/>
                <w:w w:val="20"/>
                <w:shd w:val="solid" w:color="000000" w:fill="000000"/>
                <w:fitText w:val="90" w:id="-961850098"/>
                <w14:textFill>
                  <w14:solidFill>
                    <w14:srgbClr w14:val="000000">
                      <w14:alpha w14:val="100000"/>
                    </w14:srgbClr>
                  </w14:solidFill>
                </w14:textFill>
              </w:rPr>
              <w:t xml:space="preserve">　</w:t>
            </w:r>
          </w:p>
        </w:tc>
        <w:tc>
          <w:tcPr>
            <w:tcW w:w="1274" w:type="dxa"/>
            <w:vAlign w:val="center"/>
          </w:tcPr>
          <w:p w14:paraId="4CA42277" w14:textId="144886A0" w:rsidR="003454A8" w:rsidRPr="00B04535" w:rsidRDefault="003454A8" w:rsidP="003454A8">
            <w:pPr>
              <w:pStyle w:val="TableText0"/>
              <w:jc w:val="center"/>
              <w:rPr>
                <w:rFonts w:cs="Calibri"/>
                <w:b/>
                <w:bCs w:val="0"/>
                <w:iCs/>
                <w:color w:val="000000"/>
                <w:szCs w:val="20"/>
              </w:rPr>
            </w:pPr>
            <w:r w:rsidRPr="001C1B4E">
              <w:rPr>
                <w:iCs/>
              </w:rPr>
              <w:t>$</w:t>
            </w:r>
            <w:r w:rsidR="000036E8" w:rsidRPr="000036E8">
              <w:rPr>
                <w:iCs/>
                <w:color w:val="000000"/>
                <w:spacing w:val="47"/>
                <w:shd w:val="solid" w:color="000000" w:fill="000000"/>
                <w:fitText w:val="313" w:id="-955097343"/>
                <w14:textFill>
                  <w14:solidFill>
                    <w14:srgbClr w14:val="000000">
                      <w14:alpha w14:val="100000"/>
                    </w14:srgbClr>
                  </w14:solidFill>
                </w14:textFill>
              </w:rPr>
              <w:t>|||</w:t>
            </w:r>
            <w:r w:rsidR="000036E8" w:rsidRPr="000036E8">
              <w:rPr>
                <w:iCs/>
                <w:color w:val="000000"/>
                <w:spacing w:val="2"/>
                <w:shd w:val="solid" w:color="000000" w:fill="000000"/>
                <w:fitText w:val="313" w:id="-955097343"/>
                <w14:textFill>
                  <w14:solidFill>
                    <w14:srgbClr w14:val="000000">
                      <w14:alpha w14:val="100000"/>
                    </w14:srgbClr>
                  </w14:solidFill>
                </w14:textFill>
              </w:rPr>
              <w:t>|</w:t>
            </w:r>
          </w:p>
        </w:tc>
        <w:tc>
          <w:tcPr>
            <w:tcW w:w="3504" w:type="dxa"/>
            <w:vAlign w:val="center"/>
          </w:tcPr>
          <w:p w14:paraId="4FCB150F" w14:textId="4C4C0397" w:rsidR="003454A8" w:rsidRPr="0035358E" w:rsidRDefault="003454A8" w:rsidP="003454A8">
            <w:pPr>
              <w:pStyle w:val="TableText0"/>
              <w:jc w:val="center"/>
              <w:rPr>
                <w:rFonts w:cs="Calibri"/>
                <w:b/>
                <w:bCs w:val="0"/>
                <w:iCs/>
                <w:color w:val="000000"/>
                <w:szCs w:val="20"/>
              </w:rPr>
            </w:pPr>
            <w:r w:rsidRPr="0035358E">
              <w:rPr>
                <w:iCs/>
              </w:rPr>
              <w:t>$</w:t>
            </w:r>
            <w:r w:rsidR="00E96E79" w:rsidRPr="00E96E79">
              <w:rPr>
                <w:iCs/>
                <w:color w:val="000000"/>
                <w:shd w:val="solid" w:color="000000" w:fill="000000"/>
                <w14:textFill>
                  <w14:solidFill>
                    <w14:srgbClr w14:val="000000">
                      <w14:alpha w14:val="100000"/>
                    </w14:srgbClr>
                  </w14:solidFill>
                </w14:textFill>
              </w:rPr>
              <w:t>|</w:t>
            </w:r>
            <w:r w:rsidRPr="0035358E">
              <w:rPr>
                <w:iCs/>
              </w:rPr>
              <w:t xml:space="preserve"> </w:t>
            </w:r>
            <w:r w:rsidRPr="0035358E">
              <w:rPr>
                <w:rFonts w:cs="Calibri"/>
                <w:iCs/>
                <w:color w:val="000000"/>
                <w:szCs w:val="20"/>
              </w:rPr>
              <w:t>additional cost</w:t>
            </w:r>
          </w:p>
        </w:tc>
      </w:tr>
      <w:tr w:rsidR="003454A8" w:rsidRPr="0035358E" w14:paraId="65C29964" w14:textId="77777777" w:rsidTr="00B177BE">
        <w:tc>
          <w:tcPr>
            <w:tcW w:w="9067" w:type="dxa"/>
            <w:gridSpan w:val="4"/>
            <w:vAlign w:val="center"/>
          </w:tcPr>
          <w:p w14:paraId="6C612483" w14:textId="77777777" w:rsidR="003454A8" w:rsidRPr="0035358E" w:rsidRDefault="003454A8" w:rsidP="003454A8">
            <w:pPr>
              <w:pStyle w:val="Caption"/>
              <w:rPr>
                <w:u w:val="single"/>
                <w:vertAlign w:val="superscript"/>
              </w:rPr>
            </w:pPr>
            <w:r w:rsidRPr="0035358E">
              <w:t>Step 2: CEA, measuring outcomes in terms of LYs gained</w:t>
            </w:r>
          </w:p>
        </w:tc>
      </w:tr>
      <w:tr w:rsidR="003454A8" w:rsidRPr="0035358E" w14:paraId="58411C2D" w14:textId="77777777" w:rsidTr="00B177BE">
        <w:tc>
          <w:tcPr>
            <w:tcW w:w="3069" w:type="dxa"/>
            <w:vAlign w:val="center"/>
          </w:tcPr>
          <w:p w14:paraId="75838F6E" w14:textId="77777777" w:rsidR="003454A8" w:rsidRPr="0035358E" w:rsidRDefault="003454A8" w:rsidP="003454A8">
            <w:pPr>
              <w:pStyle w:val="TableText0"/>
              <w:rPr>
                <w:b/>
                <w:bCs w:val="0"/>
              </w:rPr>
            </w:pPr>
            <w:r w:rsidRPr="0035358E">
              <w:t>LY lost</w:t>
            </w:r>
          </w:p>
        </w:tc>
        <w:tc>
          <w:tcPr>
            <w:tcW w:w="1220" w:type="dxa"/>
            <w:vAlign w:val="center"/>
          </w:tcPr>
          <w:p w14:paraId="532263B3" w14:textId="612799B7" w:rsidR="003454A8" w:rsidRPr="001C1B4E" w:rsidRDefault="003454A8" w:rsidP="003454A8">
            <w:pPr>
              <w:pStyle w:val="TableText0"/>
              <w:jc w:val="center"/>
              <w:rPr>
                <w:iCs/>
              </w:rPr>
            </w:pPr>
            <w:r w:rsidRPr="001C1B4E">
              <w:rPr>
                <w:iCs/>
              </w:rPr>
              <w:t>0.5608</w:t>
            </w:r>
          </w:p>
        </w:tc>
        <w:tc>
          <w:tcPr>
            <w:tcW w:w="1274" w:type="dxa"/>
            <w:vAlign w:val="center"/>
          </w:tcPr>
          <w:p w14:paraId="6957A3DD" w14:textId="1A16A365" w:rsidR="003454A8" w:rsidRPr="001C1B4E" w:rsidRDefault="003454A8" w:rsidP="003454A8">
            <w:pPr>
              <w:pStyle w:val="TableText0"/>
              <w:jc w:val="center"/>
              <w:rPr>
                <w:iCs/>
              </w:rPr>
            </w:pPr>
            <w:r w:rsidRPr="001C1B4E">
              <w:rPr>
                <w:iCs/>
              </w:rPr>
              <w:t>0.9505</w:t>
            </w:r>
          </w:p>
        </w:tc>
        <w:tc>
          <w:tcPr>
            <w:tcW w:w="3504" w:type="dxa"/>
            <w:vAlign w:val="center"/>
          </w:tcPr>
          <w:p w14:paraId="62364D52" w14:textId="040AB02F" w:rsidR="003454A8" w:rsidRPr="001C1B4E" w:rsidRDefault="003454A8" w:rsidP="003454A8">
            <w:pPr>
              <w:pStyle w:val="TableText0"/>
              <w:jc w:val="center"/>
              <w:rPr>
                <w:rFonts w:cs="Calibri"/>
                <w:b/>
                <w:bCs w:val="0"/>
                <w:iCs/>
                <w:color w:val="000000"/>
                <w:szCs w:val="20"/>
              </w:rPr>
            </w:pPr>
            <w:r w:rsidRPr="001C1B4E">
              <w:rPr>
                <w:iCs/>
              </w:rPr>
              <w:t>0.3897 LYs gained</w:t>
            </w:r>
          </w:p>
        </w:tc>
      </w:tr>
      <w:tr w:rsidR="003454A8" w:rsidRPr="0035358E" w14:paraId="06B220B2" w14:textId="77777777" w:rsidTr="00B177BE">
        <w:tc>
          <w:tcPr>
            <w:tcW w:w="3069" w:type="dxa"/>
            <w:vAlign w:val="center"/>
          </w:tcPr>
          <w:p w14:paraId="54E2DEEF" w14:textId="77777777" w:rsidR="003454A8" w:rsidRPr="0035358E" w:rsidRDefault="003454A8" w:rsidP="003454A8">
            <w:pPr>
              <w:pStyle w:val="TableText0"/>
              <w:rPr>
                <w:b/>
                <w:bCs w:val="0"/>
              </w:rPr>
            </w:pPr>
            <w:r w:rsidRPr="0035358E">
              <w:t>Total cost</w:t>
            </w:r>
          </w:p>
        </w:tc>
        <w:tc>
          <w:tcPr>
            <w:tcW w:w="1220" w:type="dxa"/>
            <w:vAlign w:val="center"/>
          </w:tcPr>
          <w:p w14:paraId="1E8F68F1" w14:textId="22F248DF" w:rsidR="003454A8" w:rsidRPr="0035358E" w:rsidRDefault="003454A8" w:rsidP="003454A8">
            <w:pPr>
              <w:pStyle w:val="TableText0"/>
              <w:jc w:val="center"/>
              <w:rPr>
                <w:rFonts w:cs="Calibri"/>
                <w:b/>
                <w:bCs w:val="0"/>
                <w:iCs/>
                <w:color w:val="000000"/>
                <w:szCs w:val="20"/>
              </w:rPr>
            </w:pPr>
            <w:r w:rsidRPr="0035358E">
              <w:rPr>
                <w:iCs/>
              </w:rPr>
              <w:t>$</w:t>
            </w:r>
            <w:r w:rsidR="00E96E79" w:rsidRPr="00E96E79">
              <w:rPr>
                <w:rFonts w:hint="eastAsia"/>
                <w:iCs/>
                <w:color w:val="000000"/>
                <w:w w:val="20"/>
                <w:shd w:val="solid" w:color="000000" w:fill="000000"/>
                <w:fitText w:val="90" w:id="-961850097"/>
                <w14:textFill>
                  <w14:solidFill>
                    <w14:srgbClr w14:val="000000">
                      <w14:alpha w14:val="100000"/>
                    </w14:srgbClr>
                  </w14:solidFill>
                </w14:textFill>
              </w:rPr>
              <w:t xml:space="preserve">　</w:t>
            </w:r>
            <w:r w:rsidR="00E96E79" w:rsidRPr="00E96E79">
              <w:rPr>
                <w:iCs/>
                <w:color w:val="000000"/>
                <w:w w:val="20"/>
                <w:shd w:val="solid" w:color="000000" w:fill="000000"/>
                <w:fitText w:val="90" w:id="-961850097"/>
                <w14:textFill>
                  <w14:solidFill>
                    <w14:srgbClr w14:val="000000">
                      <w14:alpha w14:val="100000"/>
                    </w14:srgbClr>
                  </w14:solidFill>
                </w14:textFill>
              </w:rPr>
              <w:t>|</w:t>
            </w:r>
            <w:r w:rsidR="00E96E79" w:rsidRPr="00E96E79">
              <w:rPr>
                <w:rFonts w:hint="eastAsia"/>
                <w:iCs/>
                <w:color w:val="000000"/>
                <w:spacing w:val="3"/>
                <w:w w:val="20"/>
                <w:shd w:val="solid" w:color="000000" w:fill="000000"/>
                <w:fitText w:val="90" w:id="-961850097"/>
                <w14:textFill>
                  <w14:solidFill>
                    <w14:srgbClr w14:val="000000">
                      <w14:alpha w14:val="100000"/>
                    </w14:srgbClr>
                  </w14:solidFill>
                </w14:textFill>
              </w:rPr>
              <w:t xml:space="preserve">　</w:t>
            </w:r>
          </w:p>
        </w:tc>
        <w:tc>
          <w:tcPr>
            <w:tcW w:w="1274" w:type="dxa"/>
            <w:vAlign w:val="center"/>
          </w:tcPr>
          <w:p w14:paraId="7EB9B186" w14:textId="1C7F7DCE" w:rsidR="003454A8" w:rsidRPr="001C1B4E" w:rsidRDefault="003454A8" w:rsidP="003454A8">
            <w:pPr>
              <w:pStyle w:val="TableText0"/>
              <w:jc w:val="center"/>
              <w:rPr>
                <w:rFonts w:cs="Calibri"/>
                <w:b/>
                <w:bCs w:val="0"/>
                <w:iCs/>
                <w:color w:val="000000"/>
                <w:szCs w:val="20"/>
              </w:rPr>
            </w:pPr>
            <w:r w:rsidRPr="001C1B4E">
              <w:rPr>
                <w:iCs/>
              </w:rPr>
              <w:t>$</w:t>
            </w:r>
            <w:r w:rsidR="000036E8" w:rsidRPr="000036E8">
              <w:rPr>
                <w:iCs/>
                <w:color w:val="000000"/>
                <w:spacing w:val="47"/>
                <w:shd w:val="solid" w:color="000000" w:fill="000000"/>
                <w:fitText w:val="313" w:id="-955097088"/>
                <w14:textFill>
                  <w14:solidFill>
                    <w14:srgbClr w14:val="000000">
                      <w14:alpha w14:val="100000"/>
                    </w14:srgbClr>
                  </w14:solidFill>
                </w14:textFill>
              </w:rPr>
              <w:t>|||</w:t>
            </w:r>
            <w:r w:rsidR="000036E8" w:rsidRPr="000036E8">
              <w:rPr>
                <w:iCs/>
                <w:color w:val="000000"/>
                <w:spacing w:val="2"/>
                <w:shd w:val="solid" w:color="000000" w:fill="000000"/>
                <w:fitText w:val="313" w:id="-955097088"/>
                <w14:textFill>
                  <w14:solidFill>
                    <w14:srgbClr w14:val="000000">
                      <w14:alpha w14:val="100000"/>
                    </w14:srgbClr>
                  </w14:solidFill>
                </w14:textFill>
              </w:rPr>
              <w:t>|</w:t>
            </w:r>
          </w:p>
        </w:tc>
        <w:tc>
          <w:tcPr>
            <w:tcW w:w="3504" w:type="dxa"/>
            <w:vAlign w:val="center"/>
          </w:tcPr>
          <w:p w14:paraId="34DC68ED" w14:textId="0F253415" w:rsidR="003454A8" w:rsidRPr="0035358E" w:rsidRDefault="003454A8" w:rsidP="003454A8">
            <w:pPr>
              <w:pStyle w:val="TableText0"/>
              <w:jc w:val="center"/>
              <w:rPr>
                <w:rFonts w:cs="Calibri"/>
                <w:b/>
                <w:bCs w:val="0"/>
                <w:iCs/>
                <w:color w:val="000000"/>
                <w:szCs w:val="20"/>
              </w:rPr>
            </w:pPr>
            <w:r w:rsidRPr="0035358E">
              <w:rPr>
                <w:iCs/>
              </w:rPr>
              <w:t>$</w:t>
            </w:r>
            <w:r w:rsidR="00E96E79" w:rsidRPr="00E96E79">
              <w:rPr>
                <w:iCs/>
                <w:color w:val="000000"/>
                <w:shd w:val="solid" w:color="000000" w:fill="000000"/>
                <w14:textFill>
                  <w14:solidFill>
                    <w14:srgbClr w14:val="000000">
                      <w14:alpha w14:val="100000"/>
                    </w14:srgbClr>
                  </w14:solidFill>
                </w14:textFill>
              </w:rPr>
              <w:t>|</w:t>
            </w:r>
          </w:p>
        </w:tc>
      </w:tr>
      <w:tr w:rsidR="003454A8" w:rsidRPr="0035358E" w14:paraId="433D8B2B" w14:textId="77777777" w:rsidTr="00B177BE">
        <w:tc>
          <w:tcPr>
            <w:tcW w:w="5563" w:type="dxa"/>
            <w:gridSpan w:val="3"/>
            <w:vAlign w:val="center"/>
          </w:tcPr>
          <w:p w14:paraId="7A9D02E9" w14:textId="77777777" w:rsidR="003454A8" w:rsidRPr="0035358E" w:rsidRDefault="003454A8" w:rsidP="003454A8">
            <w:pPr>
              <w:pStyle w:val="TableText0"/>
              <w:rPr>
                <w:rFonts w:cs="Calibri"/>
                <w:iCs/>
                <w:color w:val="000000"/>
                <w:szCs w:val="20"/>
              </w:rPr>
            </w:pPr>
            <w:r w:rsidRPr="0035358E">
              <w:t>ICER (cost/LY gained)</w:t>
            </w:r>
          </w:p>
        </w:tc>
        <w:tc>
          <w:tcPr>
            <w:tcW w:w="3504" w:type="dxa"/>
            <w:vAlign w:val="center"/>
          </w:tcPr>
          <w:p w14:paraId="748591F6" w14:textId="493A7192" w:rsidR="003454A8" w:rsidRPr="00417429" w:rsidRDefault="003454A8" w:rsidP="003454A8">
            <w:pPr>
              <w:pStyle w:val="TableText0"/>
              <w:jc w:val="center"/>
              <w:rPr>
                <w:rFonts w:cs="Calibri"/>
                <w:iCs/>
                <w:color w:val="000000"/>
                <w:szCs w:val="20"/>
              </w:rPr>
            </w:pPr>
            <w:r w:rsidRPr="0035358E">
              <w:rPr>
                <w:rFonts w:cs="Calibri"/>
                <w:iCs/>
                <w:color w:val="000000"/>
                <w:szCs w:val="20"/>
              </w:rPr>
              <w:t>$</w:t>
            </w:r>
            <w:r w:rsidR="00E96E79" w:rsidRPr="00E96E79">
              <w:rPr>
                <w:rFonts w:cs="Calibri"/>
                <w:iCs/>
                <w:color w:val="000000"/>
                <w:szCs w:val="20"/>
                <w:shd w:val="solid" w:color="000000" w:fill="000000"/>
                <w14:textFill>
                  <w14:solidFill>
                    <w14:srgbClr w14:val="000000">
                      <w14:alpha w14:val="100000"/>
                    </w14:srgbClr>
                  </w14:solidFill>
                </w14:textFill>
              </w:rPr>
              <w:t>|</w:t>
            </w:r>
            <w:r w:rsidRPr="0035358E">
              <w:rPr>
                <w:rFonts w:cs="Calibri"/>
                <w:iCs/>
                <w:color w:val="000000"/>
                <w:szCs w:val="20"/>
              </w:rPr>
              <w:t xml:space="preserve"> </w:t>
            </w:r>
            <w:r w:rsidR="00353F03">
              <w:rPr>
                <w:rFonts w:cs="Calibri"/>
                <w:iCs/>
                <w:color w:val="000000"/>
                <w:szCs w:val="20"/>
                <w:vertAlign w:val="superscript"/>
              </w:rPr>
              <w:t>1</w:t>
            </w:r>
          </w:p>
        </w:tc>
      </w:tr>
      <w:tr w:rsidR="003454A8" w:rsidRPr="0035358E" w14:paraId="3F985281" w14:textId="77777777" w:rsidTr="00B177BE">
        <w:tc>
          <w:tcPr>
            <w:tcW w:w="9067" w:type="dxa"/>
            <w:gridSpan w:val="4"/>
            <w:vAlign w:val="center"/>
          </w:tcPr>
          <w:p w14:paraId="2B10D3C1" w14:textId="77777777" w:rsidR="003454A8" w:rsidRPr="0035358E" w:rsidRDefault="003454A8" w:rsidP="003454A8">
            <w:pPr>
              <w:pStyle w:val="TableText0"/>
              <w:rPr>
                <w:rFonts w:cs="Calibri"/>
                <w:b/>
                <w:bCs w:val="0"/>
                <w:color w:val="000000"/>
                <w:szCs w:val="20"/>
                <w:vertAlign w:val="superscript"/>
              </w:rPr>
            </w:pPr>
            <w:r w:rsidRPr="0035358E">
              <w:rPr>
                <w:b/>
                <w:bCs w:val="0"/>
              </w:rPr>
              <w:t>Step 3: CUA (submission’s base case, including carer QALYs)</w:t>
            </w:r>
          </w:p>
        </w:tc>
      </w:tr>
      <w:tr w:rsidR="003454A8" w:rsidRPr="0035358E" w14:paraId="5A51C0EC" w14:textId="77777777" w:rsidTr="00B177BE">
        <w:tc>
          <w:tcPr>
            <w:tcW w:w="3069" w:type="dxa"/>
            <w:vAlign w:val="center"/>
          </w:tcPr>
          <w:p w14:paraId="51A1EBF7" w14:textId="77777777" w:rsidR="003454A8" w:rsidRPr="0035358E" w:rsidRDefault="003454A8" w:rsidP="003454A8">
            <w:pPr>
              <w:pStyle w:val="TableText0"/>
              <w:rPr>
                <w:b/>
                <w:bCs w:val="0"/>
                <w:vertAlign w:val="superscript"/>
              </w:rPr>
            </w:pPr>
            <w:r w:rsidRPr="0035358E">
              <w:t>QALYs lost</w:t>
            </w:r>
          </w:p>
        </w:tc>
        <w:tc>
          <w:tcPr>
            <w:tcW w:w="1220" w:type="dxa"/>
            <w:vAlign w:val="center"/>
          </w:tcPr>
          <w:p w14:paraId="4BE6390C" w14:textId="4B330B4C" w:rsidR="003454A8" w:rsidRPr="001C1B4E" w:rsidRDefault="003454A8" w:rsidP="003454A8">
            <w:pPr>
              <w:pStyle w:val="TableText0"/>
              <w:jc w:val="center"/>
            </w:pPr>
            <w:r w:rsidRPr="001C1B4E">
              <w:t>1.1271</w:t>
            </w:r>
          </w:p>
        </w:tc>
        <w:tc>
          <w:tcPr>
            <w:tcW w:w="1274" w:type="dxa"/>
            <w:vAlign w:val="center"/>
          </w:tcPr>
          <w:p w14:paraId="5A2764CA" w14:textId="2E8FA17A" w:rsidR="003454A8" w:rsidRPr="001C1B4E" w:rsidRDefault="003454A8" w:rsidP="003454A8">
            <w:pPr>
              <w:pStyle w:val="TableText0"/>
              <w:jc w:val="center"/>
            </w:pPr>
            <w:r w:rsidRPr="001C1B4E">
              <w:t>1.9104</w:t>
            </w:r>
          </w:p>
        </w:tc>
        <w:tc>
          <w:tcPr>
            <w:tcW w:w="3504" w:type="dxa"/>
            <w:vAlign w:val="center"/>
          </w:tcPr>
          <w:p w14:paraId="345274A6" w14:textId="61D2CB9F" w:rsidR="003454A8" w:rsidRPr="001C1B4E" w:rsidRDefault="003454A8" w:rsidP="003454A8">
            <w:pPr>
              <w:pStyle w:val="TableText0"/>
              <w:jc w:val="center"/>
              <w:rPr>
                <w:rFonts w:cs="Calibri"/>
                <w:b/>
                <w:bCs w:val="0"/>
                <w:color w:val="000000"/>
                <w:szCs w:val="20"/>
              </w:rPr>
            </w:pPr>
            <w:r w:rsidRPr="001C1B4E">
              <w:t>0.7833 QALYs gained</w:t>
            </w:r>
          </w:p>
        </w:tc>
      </w:tr>
      <w:tr w:rsidR="003454A8" w:rsidRPr="0035358E" w14:paraId="30A5DBBF" w14:textId="77777777" w:rsidTr="00B177BE">
        <w:tc>
          <w:tcPr>
            <w:tcW w:w="3069" w:type="dxa"/>
            <w:vAlign w:val="center"/>
          </w:tcPr>
          <w:p w14:paraId="0D62F58E" w14:textId="77777777" w:rsidR="003454A8" w:rsidRPr="0035358E" w:rsidRDefault="003454A8" w:rsidP="003454A8">
            <w:pPr>
              <w:pStyle w:val="TableText0"/>
              <w:rPr>
                <w:b/>
                <w:bCs w:val="0"/>
              </w:rPr>
            </w:pPr>
            <w:r w:rsidRPr="0035358E">
              <w:t>Total cost</w:t>
            </w:r>
          </w:p>
        </w:tc>
        <w:tc>
          <w:tcPr>
            <w:tcW w:w="1220" w:type="dxa"/>
            <w:vAlign w:val="center"/>
          </w:tcPr>
          <w:p w14:paraId="2872F791" w14:textId="069E5B0C" w:rsidR="003454A8" w:rsidRPr="0035358E" w:rsidRDefault="003454A8" w:rsidP="003454A8">
            <w:pPr>
              <w:pStyle w:val="TableText0"/>
              <w:jc w:val="center"/>
              <w:rPr>
                <w:b/>
                <w:bCs w:val="0"/>
              </w:rPr>
            </w:pPr>
            <w:r w:rsidRPr="0035358E">
              <w:t>$</w:t>
            </w:r>
            <w:r w:rsidR="00E96E79" w:rsidRPr="00E96E79">
              <w:rPr>
                <w:rFonts w:hint="eastAsia"/>
                <w:color w:val="000000"/>
                <w:w w:val="20"/>
                <w:shd w:val="solid" w:color="000000" w:fill="000000"/>
                <w:fitText w:val="90" w:id="-961850096"/>
                <w14:textFill>
                  <w14:solidFill>
                    <w14:srgbClr w14:val="000000">
                      <w14:alpha w14:val="100000"/>
                    </w14:srgbClr>
                  </w14:solidFill>
                </w14:textFill>
              </w:rPr>
              <w:t xml:space="preserve">　</w:t>
            </w:r>
            <w:r w:rsidR="00E96E79" w:rsidRPr="00E96E79">
              <w:rPr>
                <w:color w:val="000000"/>
                <w:w w:val="20"/>
                <w:shd w:val="solid" w:color="000000" w:fill="000000"/>
                <w:fitText w:val="90" w:id="-961850096"/>
                <w14:textFill>
                  <w14:solidFill>
                    <w14:srgbClr w14:val="000000">
                      <w14:alpha w14:val="100000"/>
                    </w14:srgbClr>
                  </w14:solidFill>
                </w14:textFill>
              </w:rPr>
              <w:t>|</w:t>
            </w:r>
            <w:r w:rsidR="00E96E79" w:rsidRPr="00E96E79">
              <w:rPr>
                <w:rFonts w:hint="eastAsia"/>
                <w:color w:val="000000"/>
                <w:spacing w:val="3"/>
                <w:w w:val="20"/>
                <w:shd w:val="solid" w:color="000000" w:fill="000000"/>
                <w:fitText w:val="90" w:id="-961850096"/>
                <w14:textFill>
                  <w14:solidFill>
                    <w14:srgbClr w14:val="000000">
                      <w14:alpha w14:val="100000"/>
                    </w14:srgbClr>
                  </w14:solidFill>
                </w14:textFill>
              </w:rPr>
              <w:t xml:space="preserve">　</w:t>
            </w:r>
          </w:p>
        </w:tc>
        <w:tc>
          <w:tcPr>
            <w:tcW w:w="1274" w:type="dxa"/>
            <w:vAlign w:val="center"/>
          </w:tcPr>
          <w:p w14:paraId="5D904B3E" w14:textId="57E57337" w:rsidR="003454A8" w:rsidRPr="0035358E" w:rsidRDefault="003454A8" w:rsidP="003454A8">
            <w:pPr>
              <w:pStyle w:val="TableText0"/>
              <w:jc w:val="center"/>
              <w:rPr>
                <w:b/>
                <w:bCs w:val="0"/>
              </w:rPr>
            </w:pPr>
            <w:r w:rsidRPr="001C1B4E">
              <w:t>$</w:t>
            </w:r>
            <w:r w:rsidR="002418A4" w:rsidRPr="002418A4">
              <w:rPr>
                <w:color w:val="000000"/>
                <w:spacing w:val="47"/>
                <w:shd w:val="solid" w:color="000000" w:fill="000000"/>
                <w:fitText w:val="313" w:id="-955097087"/>
                <w14:textFill>
                  <w14:solidFill>
                    <w14:srgbClr w14:val="000000">
                      <w14:alpha w14:val="100000"/>
                    </w14:srgbClr>
                  </w14:solidFill>
                </w14:textFill>
              </w:rPr>
              <w:t>|||</w:t>
            </w:r>
            <w:r w:rsidR="002418A4" w:rsidRPr="002418A4">
              <w:rPr>
                <w:color w:val="000000"/>
                <w:spacing w:val="2"/>
                <w:shd w:val="solid" w:color="000000" w:fill="000000"/>
                <w:fitText w:val="313" w:id="-955097087"/>
                <w14:textFill>
                  <w14:solidFill>
                    <w14:srgbClr w14:val="000000">
                      <w14:alpha w14:val="100000"/>
                    </w14:srgbClr>
                  </w14:solidFill>
                </w14:textFill>
              </w:rPr>
              <w:t>|</w:t>
            </w:r>
          </w:p>
        </w:tc>
        <w:tc>
          <w:tcPr>
            <w:tcW w:w="3504" w:type="dxa"/>
            <w:vAlign w:val="center"/>
          </w:tcPr>
          <w:p w14:paraId="03A37400" w14:textId="4EFF95A2" w:rsidR="003454A8" w:rsidRPr="0035358E" w:rsidRDefault="003454A8" w:rsidP="003454A8">
            <w:pPr>
              <w:pStyle w:val="TableText0"/>
              <w:jc w:val="center"/>
              <w:rPr>
                <w:rFonts w:cs="Calibri"/>
                <w:b/>
                <w:bCs w:val="0"/>
                <w:color w:val="000000"/>
                <w:szCs w:val="20"/>
              </w:rPr>
            </w:pPr>
            <w:r w:rsidRPr="0035358E">
              <w:t>$</w:t>
            </w:r>
            <w:r w:rsidR="00E96E79" w:rsidRPr="00E96E79">
              <w:rPr>
                <w:color w:val="000000"/>
                <w:shd w:val="solid" w:color="000000" w:fill="000000"/>
                <w14:textFill>
                  <w14:solidFill>
                    <w14:srgbClr w14:val="000000">
                      <w14:alpha w14:val="100000"/>
                    </w14:srgbClr>
                  </w14:solidFill>
                </w14:textFill>
              </w:rPr>
              <w:t>|</w:t>
            </w:r>
          </w:p>
        </w:tc>
      </w:tr>
      <w:tr w:rsidR="003454A8" w:rsidRPr="0035358E" w14:paraId="674D9C8A" w14:textId="77777777" w:rsidTr="00B177BE">
        <w:tc>
          <w:tcPr>
            <w:tcW w:w="5563" w:type="dxa"/>
            <w:gridSpan w:val="3"/>
            <w:vAlign w:val="center"/>
          </w:tcPr>
          <w:p w14:paraId="65EC0D9E" w14:textId="77777777" w:rsidR="003454A8" w:rsidRPr="0035358E" w:rsidRDefault="003454A8" w:rsidP="003454A8">
            <w:pPr>
              <w:pStyle w:val="TableText0"/>
              <w:rPr>
                <w:b/>
                <w:bCs w:val="0"/>
              </w:rPr>
            </w:pPr>
            <w:r w:rsidRPr="0035358E">
              <w:rPr>
                <w:b/>
                <w:bCs w:val="0"/>
              </w:rPr>
              <w:t>ICER (cost/QALY gained)</w:t>
            </w:r>
          </w:p>
        </w:tc>
        <w:tc>
          <w:tcPr>
            <w:tcW w:w="3504" w:type="dxa"/>
            <w:vAlign w:val="center"/>
          </w:tcPr>
          <w:p w14:paraId="2BD3616F" w14:textId="2C4C8DAC" w:rsidR="003454A8" w:rsidRPr="0035358E" w:rsidRDefault="003454A8" w:rsidP="003454A8">
            <w:pPr>
              <w:pStyle w:val="TableText0"/>
              <w:jc w:val="center"/>
              <w:rPr>
                <w:rFonts w:cs="Calibri"/>
                <w:b/>
                <w:bCs w:val="0"/>
                <w:color w:val="000000"/>
                <w:szCs w:val="20"/>
              </w:rPr>
            </w:pPr>
            <w:r w:rsidRPr="0035358E">
              <w:rPr>
                <w:b/>
                <w:bCs w:val="0"/>
              </w:rPr>
              <w:t>$</w:t>
            </w:r>
            <w:r w:rsidR="00E96E79" w:rsidRPr="00E96E79">
              <w:rPr>
                <w:b/>
                <w:bCs w:val="0"/>
                <w:color w:val="000000"/>
                <w:shd w:val="solid" w:color="000000" w:fill="000000"/>
                <w14:textFill>
                  <w14:solidFill>
                    <w14:srgbClr w14:val="000000">
                      <w14:alpha w14:val="100000"/>
                    </w14:srgbClr>
                  </w14:solidFill>
                </w14:textFill>
              </w:rPr>
              <w:t>|</w:t>
            </w:r>
            <w:r w:rsidR="00353F03">
              <w:rPr>
                <w:b/>
                <w:bCs w:val="0"/>
                <w:vertAlign w:val="superscript"/>
              </w:rPr>
              <w:t>2</w:t>
            </w:r>
          </w:p>
        </w:tc>
      </w:tr>
    </w:tbl>
    <w:p w14:paraId="277B4355" w14:textId="361DD93A" w:rsidR="00B60859" w:rsidRPr="0035358E" w:rsidRDefault="00B60859" w:rsidP="00B60859">
      <w:pPr>
        <w:pStyle w:val="FooterTableFigure"/>
        <w:keepNext/>
      </w:pPr>
      <w:r w:rsidRPr="0035358E">
        <w:t xml:space="preserve">Source: </w:t>
      </w:r>
      <w:r w:rsidRPr="0035358E">
        <w:rPr>
          <w:iCs/>
        </w:rPr>
        <w:t>Constructed during the evaluation</w:t>
      </w:r>
      <w:r w:rsidRPr="0035358E">
        <w:t xml:space="preserve"> Table 15, Table 16 and Table 21 of the “c3671008-report-body” attachment </w:t>
      </w:r>
      <w:r w:rsidR="00566FE4" w:rsidRPr="0035358E">
        <w:t xml:space="preserve">provided with submission </w:t>
      </w:r>
      <w:r w:rsidRPr="0035358E">
        <w:t>and the “ABRYSVO_Maternal_CEA_Base_Case” Excel Workbook provided with the submission.</w:t>
      </w:r>
    </w:p>
    <w:p w14:paraId="3ED2EE9E" w14:textId="6BE5F470" w:rsidR="00B60859" w:rsidRPr="0035358E" w:rsidRDefault="00FA2DA6" w:rsidP="00B60859">
      <w:pPr>
        <w:pStyle w:val="FooterTableFigure"/>
        <w:keepNext/>
      </w:pPr>
      <w:r>
        <w:t xml:space="preserve">Abbreviations: </w:t>
      </w:r>
      <w:r w:rsidR="00B60859" w:rsidRPr="0035358E">
        <w:t xml:space="preserve">CCA= cost-consequence analysis; CEA = cost-effectiveness analysis; CUA = cost-utility analysis; ED = emergency department; LY = life year; QALY = quality-adjusted life year; RSV = Respiratory Syncytial Virus; RSVpreF = </w:t>
      </w:r>
      <w:r w:rsidR="00B60859" w:rsidRPr="0035358E">
        <w:rPr>
          <w:rStyle w:val="ui-provider"/>
        </w:rPr>
        <w:t>recombinant respiratory syncytial virus pre-fusion F protein vaccine; SOC = standard of care.</w:t>
      </w:r>
    </w:p>
    <w:p w14:paraId="3D18FBF7" w14:textId="77777777" w:rsidR="00B60859" w:rsidRDefault="00B60859" w:rsidP="00B60859">
      <w:pPr>
        <w:pStyle w:val="FooterTableFigure"/>
        <w:keepNext/>
        <w:rPr>
          <w:iCs/>
        </w:rPr>
      </w:pPr>
      <w:r w:rsidRPr="0035358E">
        <w:rPr>
          <w:iCs/>
          <w:vertAlign w:val="superscript"/>
        </w:rPr>
        <w:t>a</w:t>
      </w:r>
      <w:r w:rsidRPr="0035358E">
        <w:rPr>
          <w:iCs/>
        </w:rPr>
        <w:t xml:space="preserve"> Includes hospitalisation, ED and outpatient attendance.</w:t>
      </w:r>
    </w:p>
    <w:p w14:paraId="47AD423C" w14:textId="77777777" w:rsidR="00417429" w:rsidRDefault="00417429" w:rsidP="00274D50">
      <w:pPr>
        <w:pStyle w:val="FooterTableFigure"/>
        <w:keepNext/>
        <w:rPr>
          <w:i/>
          <w:iCs/>
        </w:rPr>
      </w:pPr>
      <w:r w:rsidRPr="00417429">
        <w:rPr>
          <w:i/>
          <w:iCs/>
        </w:rPr>
        <w:t>The redacted values correspond to the following ranges</w:t>
      </w:r>
    </w:p>
    <w:p w14:paraId="30870F7C" w14:textId="45CAE775" w:rsidR="00417429" w:rsidRPr="00417429" w:rsidRDefault="00353F03" w:rsidP="00274D50">
      <w:pPr>
        <w:pStyle w:val="FooterTableFigure"/>
        <w:keepNext/>
        <w:rPr>
          <w:i/>
          <w:iCs/>
        </w:rPr>
      </w:pPr>
      <w:r>
        <w:rPr>
          <w:i/>
          <w:iCs/>
          <w:vertAlign w:val="superscript"/>
        </w:rPr>
        <w:t>1</w:t>
      </w:r>
      <w:r w:rsidR="00417429" w:rsidRPr="00417429">
        <w:rPr>
          <w:i/>
          <w:iCs/>
        </w:rPr>
        <w:t xml:space="preserve"> $55,000 to &lt; $75,000</w:t>
      </w:r>
    </w:p>
    <w:p w14:paraId="3909BC47" w14:textId="73C22A9D" w:rsidR="00417429" w:rsidRPr="0035358E" w:rsidRDefault="00353F03" w:rsidP="00274D50">
      <w:pPr>
        <w:pStyle w:val="FooterTableFigure"/>
        <w:rPr>
          <w:iCs/>
        </w:rPr>
      </w:pPr>
      <w:r>
        <w:rPr>
          <w:i/>
          <w:iCs/>
          <w:vertAlign w:val="superscript"/>
        </w:rPr>
        <w:t>2</w:t>
      </w:r>
      <w:r w:rsidR="00417429" w:rsidRPr="00417429">
        <w:rPr>
          <w:i/>
          <w:iCs/>
        </w:rPr>
        <w:t xml:space="preserve"> $25,000 to &lt; $35,000</w:t>
      </w:r>
    </w:p>
    <w:p w14:paraId="02870109" w14:textId="144E32A1" w:rsidR="00B60859" w:rsidRPr="0035358E" w:rsidRDefault="00B60859" w:rsidP="00DD4B2C">
      <w:pPr>
        <w:pStyle w:val="3-BodyText"/>
      </w:pPr>
      <w:r w:rsidRPr="0035358E">
        <w:t xml:space="preserve">The disaggregated summary for costs and health outcomes are presented in </w:t>
      </w:r>
      <w:r w:rsidRPr="0035358E">
        <w:fldChar w:fldCharType="begin"/>
      </w:r>
      <w:r w:rsidRPr="0035358E">
        <w:instrText xml:space="preserve"> REF _Ref151992866 \h </w:instrText>
      </w:r>
      <w:r w:rsidRPr="0035358E">
        <w:fldChar w:fldCharType="separate"/>
      </w:r>
      <w:r w:rsidR="00A46CAC" w:rsidRPr="001C1B4E">
        <w:t xml:space="preserve">Table </w:t>
      </w:r>
      <w:r w:rsidR="00A46CAC">
        <w:rPr>
          <w:noProof/>
        </w:rPr>
        <w:t>17</w:t>
      </w:r>
      <w:r w:rsidRPr="0035358E">
        <w:fldChar w:fldCharType="end"/>
      </w:r>
      <w:r w:rsidRPr="0035358E">
        <w:t>. As expected, the majority of QALYs gained are associated with the prevention of deaths in the vaccine arm. The vaccine acquisition costs comprise the majority of the incremental costs between the intervention and comparator arm. The main cost savings are attributable to reduced hospitalisation costs in the intervention arm, however as mentioned previously, these cost savings may be an overestimate due to the higher VE efficacy applied to hospitalisations over what was observed in the trial.</w:t>
      </w:r>
    </w:p>
    <w:p w14:paraId="103F62A1" w14:textId="131C85AC" w:rsidR="00B60859" w:rsidRPr="001C1B4E" w:rsidRDefault="00B60859" w:rsidP="00B60859">
      <w:pPr>
        <w:pStyle w:val="Caption"/>
        <w:rPr>
          <w:rStyle w:val="CommentReference"/>
          <w:b/>
          <w:szCs w:val="24"/>
        </w:rPr>
      </w:pPr>
      <w:bookmarkStart w:id="87" w:name="_Ref151992866"/>
      <w:r w:rsidRPr="001C1B4E">
        <w:lastRenderedPageBreak/>
        <w:t xml:space="preserve">Table </w:t>
      </w:r>
      <w:r w:rsidR="00560E31">
        <w:fldChar w:fldCharType="begin"/>
      </w:r>
      <w:r w:rsidR="00560E31">
        <w:instrText xml:space="preserve"> SEQ Table \* ARABIC </w:instrText>
      </w:r>
      <w:r w:rsidR="00560E31">
        <w:fldChar w:fldCharType="separate"/>
      </w:r>
      <w:r w:rsidR="00A46CAC">
        <w:rPr>
          <w:noProof/>
        </w:rPr>
        <w:t>17</w:t>
      </w:r>
      <w:r w:rsidR="00560E31">
        <w:rPr>
          <w:noProof/>
        </w:rPr>
        <w:fldChar w:fldCharType="end"/>
      </w:r>
      <w:bookmarkEnd w:id="87"/>
      <w:r w:rsidRPr="001C1B4E">
        <w:t xml:space="preserve">: </w:t>
      </w:r>
      <w:r w:rsidRPr="001C1B4E">
        <w:rPr>
          <w:rStyle w:val="CommentReference"/>
          <w:b/>
          <w:szCs w:val="24"/>
        </w:rPr>
        <w:t>Summary of outcomes and cost impacts included in the economic evaluation, per 1,000 vaccinated women</w:t>
      </w:r>
    </w:p>
    <w:tbl>
      <w:tblPr>
        <w:tblStyle w:val="TableGrid"/>
        <w:tblW w:w="5000" w:type="pct"/>
        <w:tblLayout w:type="fixed"/>
        <w:tblLook w:val="04A0" w:firstRow="1" w:lastRow="0" w:firstColumn="1" w:lastColumn="0" w:noHBand="0" w:noVBand="1"/>
        <w:tblCaption w:val="Table 17: Summary of outcomes and cost impacts included in the economic evaluation, per 1,000 vaccinated women"/>
      </w:tblPr>
      <w:tblGrid>
        <w:gridCol w:w="1838"/>
        <w:gridCol w:w="1943"/>
        <w:gridCol w:w="1309"/>
        <w:gridCol w:w="1309"/>
        <w:gridCol w:w="1309"/>
        <w:gridCol w:w="1309"/>
      </w:tblGrid>
      <w:tr w:rsidR="00B60859" w:rsidRPr="001C1B4E" w14:paraId="1D10623B" w14:textId="77777777" w:rsidTr="00A04ECD">
        <w:trPr>
          <w:trHeight w:val="107"/>
        </w:trPr>
        <w:tc>
          <w:tcPr>
            <w:tcW w:w="9017" w:type="dxa"/>
            <w:gridSpan w:val="6"/>
            <w:vAlign w:val="center"/>
          </w:tcPr>
          <w:p w14:paraId="6AB78258" w14:textId="10D00510"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b/>
                <w:bCs/>
                <w:color w:val="000000"/>
                <w:sz w:val="20"/>
                <w:szCs w:val="20"/>
              </w:rPr>
              <w:t>Patients experiencing each outcome</w:t>
            </w:r>
          </w:p>
        </w:tc>
      </w:tr>
      <w:tr w:rsidR="00B60859" w:rsidRPr="001C1B4E" w14:paraId="2F16DBBC" w14:textId="77777777" w:rsidTr="00A04ECD">
        <w:trPr>
          <w:trHeight w:val="107"/>
        </w:trPr>
        <w:tc>
          <w:tcPr>
            <w:tcW w:w="3781" w:type="dxa"/>
            <w:gridSpan w:val="2"/>
          </w:tcPr>
          <w:p w14:paraId="1895395E"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Event</w:t>
            </w:r>
          </w:p>
        </w:tc>
        <w:tc>
          <w:tcPr>
            <w:tcW w:w="1309" w:type="dxa"/>
            <w:vAlign w:val="center"/>
          </w:tcPr>
          <w:p w14:paraId="2FC68D03"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RSVpreF Arm</w:t>
            </w:r>
          </w:p>
        </w:tc>
        <w:tc>
          <w:tcPr>
            <w:tcW w:w="1309" w:type="dxa"/>
            <w:vAlign w:val="center"/>
          </w:tcPr>
          <w:p w14:paraId="6F1C78F7"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SOC Arm</w:t>
            </w:r>
          </w:p>
        </w:tc>
        <w:tc>
          <w:tcPr>
            <w:tcW w:w="2618" w:type="dxa"/>
            <w:gridSpan w:val="2"/>
            <w:vAlign w:val="center"/>
          </w:tcPr>
          <w:p w14:paraId="32598382"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Increment</w:t>
            </w:r>
          </w:p>
        </w:tc>
      </w:tr>
      <w:tr w:rsidR="00B60859" w:rsidRPr="001C1B4E" w14:paraId="686A0323" w14:textId="77777777" w:rsidTr="00A04ECD">
        <w:trPr>
          <w:trHeight w:val="60"/>
        </w:trPr>
        <w:tc>
          <w:tcPr>
            <w:tcW w:w="3781" w:type="dxa"/>
            <w:gridSpan w:val="2"/>
            <w:vAlign w:val="center"/>
          </w:tcPr>
          <w:p w14:paraId="1AF8760B"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Outpatient attendance</w:t>
            </w:r>
          </w:p>
        </w:tc>
        <w:tc>
          <w:tcPr>
            <w:tcW w:w="1309" w:type="dxa"/>
            <w:vAlign w:val="center"/>
          </w:tcPr>
          <w:p w14:paraId="48D5470F" w14:textId="56C9E8FB"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48</w:t>
            </w:r>
          </w:p>
        </w:tc>
        <w:tc>
          <w:tcPr>
            <w:tcW w:w="1309" w:type="dxa"/>
            <w:vAlign w:val="center"/>
          </w:tcPr>
          <w:p w14:paraId="3913D3BB" w14:textId="19FC6CB8"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81</w:t>
            </w:r>
          </w:p>
        </w:tc>
        <w:tc>
          <w:tcPr>
            <w:tcW w:w="2618" w:type="dxa"/>
            <w:gridSpan w:val="2"/>
            <w:vAlign w:val="center"/>
          </w:tcPr>
          <w:p w14:paraId="48AE7923" w14:textId="20DDCD40"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33</w:t>
            </w:r>
          </w:p>
        </w:tc>
      </w:tr>
      <w:tr w:rsidR="00B60859" w:rsidRPr="001C1B4E" w14:paraId="5E7C7578" w14:textId="77777777" w:rsidTr="00A04ECD">
        <w:trPr>
          <w:trHeight w:val="107"/>
        </w:trPr>
        <w:tc>
          <w:tcPr>
            <w:tcW w:w="3781" w:type="dxa"/>
            <w:gridSpan w:val="2"/>
            <w:vAlign w:val="center"/>
          </w:tcPr>
          <w:p w14:paraId="4607443C"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ED attendance</w:t>
            </w:r>
          </w:p>
        </w:tc>
        <w:tc>
          <w:tcPr>
            <w:tcW w:w="1309" w:type="dxa"/>
            <w:vAlign w:val="center"/>
          </w:tcPr>
          <w:p w14:paraId="1FD18891" w14:textId="1AFBBE80" w:rsidR="00B60859" w:rsidRPr="001C1B4E" w:rsidRDefault="00B60859" w:rsidP="00B177BE">
            <w:pPr>
              <w:keepNext/>
              <w:jc w:val="center"/>
              <w:rPr>
                <w:rFonts w:ascii="Arial Narrow" w:hAnsi="Arial Narrow" w:cs="Calibri"/>
                <w:color w:val="000000"/>
                <w:sz w:val="20"/>
                <w:szCs w:val="20"/>
                <w:vertAlign w:val="superscript"/>
              </w:rPr>
            </w:pPr>
            <w:r w:rsidRPr="001C1B4E">
              <w:rPr>
                <w:rFonts w:ascii="Arial Narrow" w:hAnsi="Arial Narrow" w:cs="Calibri"/>
                <w:color w:val="000000"/>
                <w:sz w:val="20"/>
                <w:szCs w:val="20"/>
              </w:rPr>
              <w:t>11</w:t>
            </w:r>
          </w:p>
        </w:tc>
        <w:tc>
          <w:tcPr>
            <w:tcW w:w="1309" w:type="dxa"/>
            <w:vAlign w:val="center"/>
          </w:tcPr>
          <w:p w14:paraId="4470E330" w14:textId="03E38AF1"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18</w:t>
            </w:r>
          </w:p>
        </w:tc>
        <w:tc>
          <w:tcPr>
            <w:tcW w:w="2618" w:type="dxa"/>
            <w:gridSpan w:val="2"/>
            <w:vAlign w:val="center"/>
          </w:tcPr>
          <w:p w14:paraId="39C89156" w14:textId="4A37F8E0"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7</w:t>
            </w:r>
          </w:p>
        </w:tc>
      </w:tr>
      <w:tr w:rsidR="00B60859" w:rsidRPr="001C1B4E" w14:paraId="206F503A" w14:textId="77777777" w:rsidTr="00A04ECD">
        <w:trPr>
          <w:trHeight w:val="107"/>
        </w:trPr>
        <w:tc>
          <w:tcPr>
            <w:tcW w:w="3781" w:type="dxa"/>
            <w:gridSpan w:val="2"/>
            <w:vAlign w:val="center"/>
          </w:tcPr>
          <w:p w14:paraId="67B365A4"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Hospitalised</w:t>
            </w:r>
          </w:p>
        </w:tc>
        <w:tc>
          <w:tcPr>
            <w:tcW w:w="1309" w:type="dxa"/>
            <w:vAlign w:val="center"/>
          </w:tcPr>
          <w:p w14:paraId="684F37BE" w14:textId="46C7FBC2"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14</w:t>
            </w:r>
          </w:p>
        </w:tc>
        <w:tc>
          <w:tcPr>
            <w:tcW w:w="1309" w:type="dxa"/>
            <w:vAlign w:val="center"/>
          </w:tcPr>
          <w:p w14:paraId="421A54D5" w14:textId="4B55E697"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23</w:t>
            </w:r>
          </w:p>
        </w:tc>
        <w:tc>
          <w:tcPr>
            <w:tcW w:w="2618" w:type="dxa"/>
            <w:gridSpan w:val="2"/>
            <w:vAlign w:val="center"/>
          </w:tcPr>
          <w:p w14:paraId="07353CEF" w14:textId="23B88671"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10</w:t>
            </w:r>
          </w:p>
        </w:tc>
      </w:tr>
      <w:tr w:rsidR="00B60859" w:rsidRPr="001C1B4E" w14:paraId="7C547540" w14:textId="77777777" w:rsidTr="00A04ECD">
        <w:trPr>
          <w:trHeight w:val="107"/>
        </w:trPr>
        <w:tc>
          <w:tcPr>
            <w:tcW w:w="3781" w:type="dxa"/>
            <w:gridSpan w:val="2"/>
            <w:vAlign w:val="center"/>
          </w:tcPr>
          <w:p w14:paraId="69658BC6" w14:textId="57836DC0" w:rsidR="00B60859" w:rsidRPr="001C1B4E" w:rsidRDefault="00342678" w:rsidP="00B177BE">
            <w:pPr>
              <w:keepNext/>
              <w:jc w:val="left"/>
              <w:rPr>
                <w:rFonts w:ascii="Arial Narrow" w:hAnsi="Arial Narrow" w:cs="Calibri"/>
                <w:b/>
                <w:bCs/>
                <w:color w:val="000000"/>
                <w:sz w:val="20"/>
                <w:szCs w:val="20"/>
              </w:rPr>
            </w:pPr>
            <w:r>
              <w:rPr>
                <w:rFonts w:ascii="Arial Narrow" w:hAnsi="Arial Narrow" w:cs="Calibri"/>
                <w:color w:val="000000"/>
                <w:sz w:val="20"/>
                <w:szCs w:val="20"/>
              </w:rPr>
              <w:t xml:space="preserve"> </w:t>
            </w:r>
            <w:r w:rsidR="00B60859" w:rsidRPr="001C1B4E">
              <w:rPr>
                <w:rFonts w:ascii="Arial Narrow" w:hAnsi="Arial Narrow" w:cs="Calibri"/>
                <w:color w:val="000000"/>
                <w:sz w:val="20"/>
                <w:szCs w:val="20"/>
              </w:rPr>
              <w:t xml:space="preserve">- Non-fatal </w:t>
            </w:r>
          </w:p>
        </w:tc>
        <w:tc>
          <w:tcPr>
            <w:tcW w:w="1309" w:type="dxa"/>
            <w:vAlign w:val="center"/>
          </w:tcPr>
          <w:p w14:paraId="77B00870" w14:textId="0112115B"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14</w:t>
            </w:r>
          </w:p>
        </w:tc>
        <w:tc>
          <w:tcPr>
            <w:tcW w:w="1309" w:type="dxa"/>
            <w:vAlign w:val="center"/>
          </w:tcPr>
          <w:p w14:paraId="3740A4E7" w14:textId="397BFAAF"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23</w:t>
            </w:r>
          </w:p>
        </w:tc>
        <w:tc>
          <w:tcPr>
            <w:tcW w:w="2618" w:type="dxa"/>
            <w:gridSpan w:val="2"/>
            <w:vAlign w:val="center"/>
          </w:tcPr>
          <w:p w14:paraId="46030144" w14:textId="1D6C82FA"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10</w:t>
            </w:r>
          </w:p>
        </w:tc>
      </w:tr>
      <w:tr w:rsidR="00B60859" w:rsidRPr="001C1B4E" w14:paraId="636A08D8" w14:textId="77777777" w:rsidTr="00A04ECD">
        <w:trPr>
          <w:trHeight w:val="107"/>
        </w:trPr>
        <w:tc>
          <w:tcPr>
            <w:tcW w:w="3781" w:type="dxa"/>
            <w:gridSpan w:val="2"/>
            <w:vAlign w:val="center"/>
          </w:tcPr>
          <w:p w14:paraId="4F231980" w14:textId="6B180759" w:rsidR="00B60859" w:rsidRPr="001C1B4E" w:rsidRDefault="00342678" w:rsidP="00B177BE">
            <w:pPr>
              <w:keepNext/>
              <w:jc w:val="left"/>
              <w:rPr>
                <w:rFonts w:ascii="Arial Narrow" w:hAnsi="Arial Narrow" w:cs="Calibri"/>
                <w:b/>
                <w:bCs/>
                <w:color w:val="000000"/>
                <w:sz w:val="20"/>
                <w:szCs w:val="20"/>
              </w:rPr>
            </w:pPr>
            <w:r>
              <w:rPr>
                <w:rFonts w:ascii="Arial Narrow" w:hAnsi="Arial Narrow" w:cs="Calibri"/>
                <w:color w:val="000000"/>
                <w:sz w:val="20"/>
                <w:szCs w:val="20"/>
              </w:rPr>
              <w:t xml:space="preserve"> </w:t>
            </w:r>
            <w:r w:rsidR="00B60859" w:rsidRPr="001C1B4E">
              <w:rPr>
                <w:rFonts w:ascii="Arial Narrow" w:hAnsi="Arial Narrow" w:cs="Calibri"/>
                <w:color w:val="000000"/>
                <w:sz w:val="20"/>
                <w:szCs w:val="20"/>
              </w:rPr>
              <w:t>- Fatal</w:t>
            </w:r>
          </w:p>
        </w:tc>
        <w:tc>
          <w:tcPr>
            <w:tcW w:w="1309" w:type="dxa"/>
          </w:tcPr>
          <w:p w14:paraId="10962A14" w14:textId="2D30754D"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0.03</w:t>
            </w:r>
          </w:p>
        </w:tc>
        <w:tc>
          <w:tcPr>
            <w:tcW w:w="1309" w:type="dxa"/>
          </w:tcPr>
          <w:p w14:paraId="6BD90E4A" w14:textId="644CDE85"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0.05</w:t>
            </w:r>
          </w:p>
        </w:tc>
        <w:tc>
          <w:tcPr>
            <w:tcW w:w="2618" w:type="dxa"/>
            <w:gridSpan w:val="2"/>
          </w:tcPr>
          <w:p w14:paraId="01062299" w14:textId="0D2B31CB"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0.02</w:t>
            </w:r>
          </w:p>
        </w:tc>
      </w:tr>
      <w:tr w:rsidR="00B60859" w:rsidRPr="001C1B4E" w14:paraId="0CB34DDA" w14:textId="77777777" w:rsidTr="00A04ECD">
        <w:trPr>
          <w:trHeight w:val="107"/>
        </w:trPr>
        <w:tc>
          <w:tcPr>
            <w:tcW w:w="3781" w:type="dxa"/>
            <w:gridSpan w:val="2"/>
            <w:vAlign w:val="center"/>
          </w:tcPr>
          <w:p w14:paraId="75E22853"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No event</w:t>
            </w:r>
          </w:p>
        </w:tc>
        <w:tc>
          <w:tcPr>
            <w:tcW w:w="1309" w:type="dxa"/>
            <w:vAlign w:val="center"/>
          </w:tcPr>
          <w:p w14:paraId="0031E600" w14:textId="3710C90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928</w:t>
            </w:r>
          </w:p>
        </w:tc>
        <w:tc>
          <w:tcPr>
            <w:tcW w:w="1309" w:type="dxa"/>
            <w:vAlign w:val="center"/>
          </w:tcPr>
          <w:p w14:paraId="15514C91" w14:textId="74017113"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878</w:t>
            </w:r>
          </w:p>
        </w:tc>
        <w:tc>
          <w:tcPr>
            <w:tcW w:w="2618" w:type="dxa"/>
            <w:gridSpan w:val="2"/>
            <w:vAlign w:val="center"/>
          </w:tcPr>
          <w:p w14:paraId="6AF323DA" w14:textId="61CC5BC2"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-50</w:t>
            </w:r>
          </w:p>
        </w:tc>
      </w:tr>
      <w:tr w:rsidR="00B60859" w:rsidRPr="001C1B4E" w14:paraId="151FFE30" w14:textId="77777777" w:rsidTr="00A04ECD">
        <w:trPr>
          <w:trHeight w:val="107"/>
        </w:trPr>
        <w:tc>
          <w:tcPr>
            <w:tcW w:w="3781" w:type="dxa"/>
            <w:gridSpan w:val="2"/>
          </w:tcPr>
          <w:p w14:paraId="55BE6036"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Total</w:t>
            </w:r>
          </w:p>
        </w:tc>
        <w:tc>
          <w:tcPr>
            <w:tcW w:w="1309" w:type="dxa"/>
            <w:vAlign w:val="center"/>
          </w:tcPr>
          <w:p w14:paraId="037DE46B"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100%</w:t>
            </w:r>
          </w:p>
        </w:tc>
        <w:tc>
          <w:tcPr>
            <w:tcW w:w="1309" w:type="dxa"/>
            <w:vAlign w:val="center"/>
          </w:tcPr>
          <w:p w14:paraId="0FB08676"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100%</w:t>
            </w:r>
          </w:p>
        </w:tc>
        <w:tc>
          <w:tcPr>
            <w:tcW w:w="2618" w:type="dxa"/>
            <w:gridSpan w:val="2"/>
            <w:vAlign w:val="center"/>
          </w:tcPr>
          <w:p w14:paraId="02230914"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NA</w:t>
            </w:r>
          </w:p>
        </w:tc>
      </w:tr>
      <w:tr w:rsidR="00B60859" w:rsidRPr="001C1B4E" w14:paraId="1E3F00A8" w14:textId="77777777" w:rsidTr="00A04ECD">
        <w:trPr>
          <w:trHeight w:val="107"/>
        </w:trPr>
        <w:tc>
          <w:tcPr>
            <w:tcW w:w="9017" w:type="dxa"/>
            <w:gridSpan w:val="6"/>
          </w:tcPr>
          <w:p w14:paraId="07673A94"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b/>
                <w:bCs/>
                <w:color w:val="000000"/>
                <w:sz w:val="20"/>
                <w:szCs w:val="20"/>
              </w:rPr>
              <w:t>QALYs lost</w:t>
            </w:r>
          </w:p>
        </w:tc>
      </w:tr>
      <w:tr w:rsidR="00B60859" w:rsidRPr="001C1B4E" w14:paraId="1C5384F3" w14:textId="77777777" w:rsidTr="00A04ECD">
        <w:trPr>
          <w:trHeight w:val="107"/>
        </w:trPr>
        <w:tc>
          <w:tcPr>
            <w:tcW w:w="3781" w:type="dxa"/>
            <w:gridSpan w:val="2"/>
          </w:tcPr>
          <w:p w14:paraId="7208EC0B"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Event</w:t>
            </w:r>
          </w:p>
        </w:tc>
        <w:tc>
          <w:tcPr>
            <w:tcW w:w="1309" w:type="dxa"/>
            <w:vAlign w:val="center"/>
          </w:tcPr>
          <w:p w14:paraId="5B5458FB"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RSVpreF Arm</w:t>
            </w:r>
          </w:p>
        </w:tc>
        <w:tc>
          <w:tcPr>
            <w:tcW w:w="1309" w:type="dxa"/>
            <w:vAlign w:val="center"/>
          </w:tcPr>
          <w:p w14:paraId="4DE6801B"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SOC Arm</w:t>
            </w:r>
          </w:p>
        </w:tc>
        <w:tc>
          <w:tcPr>
            <w:tcW w:w="1309" w:type="dxa"/>
            <w:vAlign w:val="center"/>
          </w:tcPr>
          <w:p w14:paraId="1ECD6D5E"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Increment</w:t>
            </w:r>
          </w:p>
        </w:tc>
        <w:tc>
          <w:tcPr>
            <w:tcW w:w="1309" w:type="dxa"/>
            <w:vAlign w:val="center"/>
          </w:tcPr>
          <w:p w14:paraId="49E975A8"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 Increment</w:t>
            </w:r>
          </w:p>
        </w:tc>
      </w:tr>
      <w:tr w:rsidR="00B60859" w:rsidRPr="001C1B4E" w14:paraId="591236FF" w14:textId="77777777" w:rsidTr="00A04ECD">
        <w:trPr>
          <w:trHeight w:val="107"/>
        </w:trPr>
        <w:tc>
          <w:tcPr>
            <w:tcW w:w="3781" w:type="dxa"/>
            <w:gridSpan w:val="2"/>
            <w:vAlign w:val="center"/>
          </w:tcPr>
          <w:p w14:paraId="4B202CBA"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Outpatient attendance</w:t>
            </w:r>
          </w:p>
        </w:tc>
        <w:tc>
          <w:tcPr>
            <w:tcW w:w="1309" w:type="dxa"/>
            <w:vAlign w:val="bottom"/>
          </w:tcPr>
          <w:p w14:paraId="2C60BC3B" w14:textId="77E8FC49"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0.3009</w:t>
            </w:r>
          </w:p>
        </w:tc>
        <w:tc>
          <w:tcPr>
            <w:tcW w:w="1309" w:type="dxa"/>
            <w:vAlign w:val="bottom"/>
          </w:tcPr>
          <w:p w14:paraId="1621E30D" w14:textId="4023826B"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0.5101</w:t>
            </w:r>
          </w:p>
        </w:tc>
        <w:tc>
          <w:tcPr>
            <w:tcW w:w="1309" w:type="dxa"/>
            <w:vAlign w:val="bottom"/>
          </w:tcPr>
          <w:p w14:paraId="2D10255E" w14:textId="2D4F0D20"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-0.2091</w:t>
            </w:r>
          </w:p>
        </w:tc>
        <w:tc>
          <w:tcPr>
            <w:tcW w:w="1309" w:type="dxa"/>
            <w:vAlign w:val="center"/>
          </w:tcPr>
          <w:p w14:paraId="5F76511A"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26.70%</w:t>
            </w:r>
          </w:p>
        </w:tc>
      </w:tr>
      <w:tr w:rsidR="00B60859" w:rsidRPr="001C1B4E" w14:paraId="11190177" w14:textId="77777777" w:rsidTr="00A04ECD">
        <w:trPr>
          <w:trHeight w:val="107"/>
        </w:trPr>
        <w:tc>
          <w:tcPr>
            <w:tcW w:w="3781" w:type="dxa"/>
            <w:gridSpan w:val="2"/>
            <w:vAlign w:val="center"/>
          </w:tcPr>
          <w:p w14:paraId="2AD4CBB3"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ED attendance</w:t>
            </w:r>
          </w:p>
        </w:tc>
        <w:tc>
          <w:tcPr>
            <w:tcW w:w="1309" w:type="dxa"/>
            <w:vAlign w:val="bottom"/>
          </w:tcPr>
          <w:p w14:paraId="40975D8E" w14:textId="4CB75EB0"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0.0669</w:t>
            </w:r>
          </w:p>
        </w:tc>
        <w:tc>
          <w:tcPr>
            <w:tcW w:w="1309" w:type="dxa"/>
            <w:vAlign w:val="bottom"/>
          </w:tcPr>
          <w:p w14:paraId="09ECEE06" w14:textId="31B86C8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0.1133</w:t>
            </w:r>
          </w:p>
        </w:tc>
        <w:tc>
          <w:tcPr>
            <w:tcW w:w="1309" w:type="dxa"/>
            <w:vAlign w:val="bottom"/>
          </w:tcPr>
          <w:p w14:paraId="6174230F" w14:textId="0B27D0FC"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-0.0465</w:t>
            </w:r>
          </w:p>
        </w:tc>
        <w:tc>
          <w:tcPr>
            <w:tcW w:w="1309" w:type="dxa"/>
            <w:vAlign w:val="center"/>
          </w:tcPr>
          <w:p w14:paraId="3F71F035"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5.93%</w:t>
            </w:r>
          </w:p>
        </w:tc>
      </w:tr>
      <w:tr w:rsidR="00B60859" w:rsidRPr="001C1B4E" w14:paraId="14A2DAB9" w14:textId="77777777" w:rsidTr="00A04ECD">
        <w:trPr>
          <w:trHeight w:val="107"/>
        </w:trPr>
        <w:tc>
          <w:tcPr>
            <w:tcW w:w="3781" w:type="dxa"/>
            <w:gridSpan w:val="2"/>
            <w:vAlign w:val="center"/>
          </w:tcPr>
          <w:p w14:paraId="0759EE67"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Hospitalised</w:t>
            </w:r>
          </w:p>
        </w:tc>
        <w:tc>
          <w:tcPr>
            <w:tcW w:w="1309" w:type="dxa"/>
            <w:vAlign w:val="bottom"/>
          </w:tcPr>
          <w:p w14:paraId="201B936D" w14:textId="1188FC89"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0.6823</w:t>
            </w:r>
          </w:p>
        </w:tc>
        <w:tc>
          <w:tcPr>
            <w:tcW w:w="1309" w:type="dxa"/>
            <w:vAlign w:val="bottom"/>
          </w:tcPr>
          <w:p w14:paraId="5CF3844D" w14:textId="4F4CD4F5"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1.1564</w:t>
            </w:r>
          </w:p>
        </w:tc>
        <w:tc>
          <w:tcPr>
            <w:tcW w:w="1309" w:type="dxa"/>
            <w:vAlign w:val="bottom"/>
          </w:tcPr>
          <w:p w14:paraId="052777A9" w14:textId="519295E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-0.4741</w:t>
            </w:r>
          </w:p>
        </w:tc>
        <w:tc>
          <w:tcPr>
            <w:tcW w:w="1309" w:type="dxa"/>
            <w:vAlign w:val="center"/>
          </w:tcPr>
          <w:p w14:paraId="56264145"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60.53%</w:t>
            </w:r>
          </w:p>
        </w:tc>
      </w:tr>
      <w:tr w:rsidR="00B60859" w:rsidRPr="001C1B4E" w14:paraId="0769FE51" w14:textId="77777777" w:rsidTr="00A04ECD">
        <w:trPr>
          <w:trHeight w:val="107"/>
        </w:trPr>
        <w:tc>
          <w:tcPr>
            <w:tcW w:w="3781" w:type="dxa"/>
            <w:gridSpan w:val="2"/>
            <w:vAlign w:val="center"/>
          </w:tcPr>
          <w:p w14:paraId="46AD98D7" w14:textId="6679ADCB" w:rsidR="00B60859" w:rsidRPr="001C1B4E" w:rsidRDefault="00342678" w:rsidP="00B177BE">
            <w:pPr>
              <w:keepNext/>
              <w:jc w:val="left"/>
              <w:rPr>
                <w:rFonts w:ascii="Arial Narrow" w:hAnsi="Arial Narrow" w:cs="Calibri"/>
                <w:b/>
                <w:bCs/>
                <w:color w:val="000000"/>
                <w:sz w:val="20"/>
                <w:szCs w:val="20"/>
              </w:rPr>
            </w:pPr>
            <w:r>
              <w:rPr>
                <w:rFonts w:ascii="Arial Narrow" w:hAnsi="Arial Narrow" w:cs="Calibri"/>
                <w:color w:val="000000"/>
                <w:sz w:val="20"/>
                <w:szCs w:val="20"/>
              </w:rPr>
              <w:t xml:space="preserve"> </w:t>
            </w:r>
            <w:r w:rsidR="00B60859" w:rsidRPr="001C1B4E">
              <w:rPr>
                <w:rFonts w:ascii="Arial Narrow" w:hAnsi="Arial Narrow" w:cs="Calibri"/>
                <w:color w:val="000000"/>
                <w:sz w:val="20"/>
                <w:szCs w:val="20"/>
              </w:rPr>
              <w:t>- Non-fatal</w:t>
            </w:r>
          </w:p>
        </w:tc>
        <w:tc>
          <w:tcPr>
            <w:tcW w:w="1309" w:type="dxa"/>
            <w:vAlign w:val="bottom"/>
          </w:tcPr>
          <w:p w14:paraId="0CCD3B56" w14:textId="7F8D325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0.1390</w:t>
            </w:r>
          </w:p>
        </w:tc>
        <w:tc>
          <w:tcPr>
            <w:tcW w:w="1309" w:type="dxa"/>
            <w:vAlign w:val="bottom"/>
          </w:tcPr>
          <w:p w14:paraId="386A13CE" w14:textId="66D0ACEF"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0.2356</w:t>
            </w:r>
          </w:p>
        </w:tc>
        <w:tc>
          <w:tcPr>
            <w:tcW w:w="1309" w:type="dxa"/>
            <w:vAlign w:val="bottom"/>
          </w:tcPr>
          <w:p w14:paraId="58869D33" w14:textId="6E8746BB"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-0.0966</w:t>
            </w:r>
          </w:p>
        </w:tc>
        <w:tc>
          <w:tcPr>
            <w:tcW w:w="1309" w:type="dxa"/>
            <w:vAlign w:val="center"/>
          </w:tcPr>
          <w:p w14:paraId="3F49A5CA"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12.33%</w:t>
            </w:r>
          </w:p>
        </w:tc>
      </w:tr>
      <w:tr w:rsidR="00B60859" w:rsidRPr="001C1B4E" w14:paraId="039A88E7" w14:textId="77777777" w:rsidTr="00A04ECD">
        <w:trPr>
          <w:trHeight w:val="107"/>
        </w:trPr>
        <w:tc>
          <w:tcPr>
            <w:tcW w:w="3781" w:type="dxa"/>
            <w:gridSpan w:val="2"/>
            <w:vAlign w:val="center"/>
          </w:tcPr>
          <w:p w14:paraId="084E2B4B" w14:textId="4643B0AB" w:rsidR="00B60859" w:rsidRPr="001C1B4E" w:rsidRDefault="00342678" w:rsidP="00B177BE">
            <w:pPr>
              <w:keepNext/>
              <w:jc w:val="left"/>
              <w:rPr>
                <w:rFonts w:ascii="Arial Narrow" w:hAnsi="Arial Narrow" w:cs="Calibri"/>
                <w:b/>
                <w:bCs/>
                <w:color w:val="000000"/>
                <w:sz w:val="20"/>
                <w:szCs w:val="20"/>
              </w:rPr>
            </w:pPr>
            <w:r>
              <w:rPr>
                <w:rFonts w:ascii="Arial Narrow" w:hAnsi="Arial Narrow" w:cs="Calibri"/>
                <w:color w:val="000000"/>
                <w:sz w:val="20"/>
                <w:szCs w:val="20"/>
              </w:rPr>
              <w:t xml:space="preserve"> </w:t>
            </w:r>
            <w:r w:rsidR="00B60859" w:rsidRPr="001C1B4E">
              <w:rPr>
                <w:rFonts w:ascii="Arial Narrow" w:hAnsi="Arial Narrow" w:cs="Calibri"/>
                <w:color w:val="000000"/>
                <w:sz w:val="20"/>
                <w:szCs w:val="20"/>
              </w:rPr>
              <w:t xml:space="preserve">- Fatal </w:t>
            </w:r>
          </w:p>
        </w:tc>
        <w:tc>
          <w:tcPr>
            <w:tcW w:w="1309" w:type="dxa"/>
            <w:vAlign w:val="bottom"/>
          </w:tcPr>
          <w:p w14:paraId="39DF82C3" w14:textId="56B1621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0.5433</w:t>
            </w:r>
          </w:p>
        </w:tc>
        <w:tc>
          <w:tcPr>
            <w:tcW w:w="1309" w:type="dxa"/>
            <w:vAlign w:val="bottom"/>
          </w:tcPr>
          <w:p w14:paraId="4EA83440" w14:textId="6E0C73B4"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0.9208</w:t>
            </w:r>
          </w:p>
        </w:tc>
        <w:tc>
          <w:tcPr>
            <w:tcW w:w="1309" w:type="dxa"/>
            <w:vAlign w:val="bottom"/>
          </w:tcPr>
          <w:p w14:paraId="25E96B0C" w14:textId="6EBFA371"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-0.3775</w:t>
            </w:r>
          </w:p>
        </w:tc>
        <w:tc>
          <w:tcPr>
            <w:tcW w:w="1309" w:type="dxa"/>
            <w:vAlign w:val="center"/>
          </w:tcPr>
          <w:p w14:paraId="06BC5F23"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48.20%</w:t>
            </w:r>
          </w:p>
        </w:tc>
      </w:tr>
      <w:tr w:rsidR="00B60859" w:rsidRPr="001C1B4E" w14:paraId="65E6B2A7" w14:textId="77777777" w:rsidTr="00A04ECD">
        <w:trPr>
          <w:trHeight w:val="107"/>
        </w:trPr>
        <w:tc>
          <w:tcPr>
            <w:tcW w:w="3781" w:type="dxa"/>
            <w:gridSpan w:val="2"/>
            <w:vAlign w:val="center"/>
          </w:tcPr>
          <w:p w14:paraId="5A82A875" w14:textId="77777777" w:rsidR="00B60859" w:rsidRPr="001C1B4E" w:rsidRDefault="00B60859" w:rsidP="00B177BE">
            <w:pPr>
              <w:keepNext/>
              <w:jc w:val="left"/>
              <w:rPr>
                <w:rFonts w:ascii="Arial Narrow" w:hAnsi="Arial Narrow" w:cs="Calibri"/>
                <w:b/>
                <w:bCs/>
                <w:color w:val="000000"/>
                <w:sz w:val="20"/>
                <w:szCs w:val="20"/>
              </w:rPr>
            </w:pPr>
            <w:r w:rsidRPr="001C1B4E">
              <w:rPr>
                <w:rFonts w:ascii="Arial Narrow" w:hAnsi="Arial Narrow" w:cs="Calibri"/>
                <w:color w:val="000000"/>
                <w:sz w:val="20"/>
                <w:szCs w:val="20"/>
              </w:rPr>
              <w:t>Carer distress</w:t>
            </w:r>
          </w:p>
        </w:tc>
        <w:tc>
          <w:tcPr>
            <w:tcW w:w="1309" w:type="dxa"/>
            <w:vAlign w:val="bottom"/>
          </w:tcPr>
          <w:p w14:paraId="61858697" w14:textId="48EE2B59"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0.0771</w:t>
            </w:r>
          </w:p>
        </w:tc>
        <w:tc>
          <w:tcPr>
            <w:tcW w:w="1309" w:type="dxa"/>
            <w:vAlign w:val="bottom"/>
          </w:tcPr>
          <w:p w14:paraId="5A8932E2" w14:textId="7401D490"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0.1306</w:t>
            </w:r>
          </w:p>
        </w:tc>
        <w:tc>
          <w:tcPr>
            <w:tcW w:w="1309" w:type="dxa"/>
            <w:vAlign w:val="bottom"/>
          </w:tcPr>
          <w:p w14:paraId="5C71F4BF" w14:textId="05449359" w:rsidR="00B60859" w:rsidRPr="001C1B4E" w:rsidRDefault="00B60859" w:rsidP="00B177BE">
            <w:pPr>
              <w:keepNext/>
              <w:jc w:val="center"/>
              <w:rPr>
                <w:rFonts w:ascii="Arial Narrow" w:hAnsi="Arial Narrow" w:cs="Calibri"/>
                <w:color w:val="000000"/>
                <w:sz w:val="20"/>
                <w:szCs w:val="20"/>
              </w:rPr>
            </w:pPr>
            <w:r w:rsidRPr="001C1B4E">
              <w:rPr>
                <w:rFonts w:ascii="Arial Narrow" w:hAnsi="Arial Narrow" w:cs="Calibri"/>
                <w:color w:val="000000"/>
                <w:sz w:val="20"/>
                <w:szCs w:val="20"/>
              </w:rPr>
              <w:t>-0.0535</w:t>
            </w:r>
          </w:p>
        </w:tc>
        <w:tc>
          <w:tcPr>
            <w:tcW w:w="1309" w:type="dxa"/>
            <w:vAlign w:val="center"/>
          </w:tcPr>
          <w:p w14:paraId="1AC72BC4"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color w:val="000000"/>
                <w:sz w:val="20"/>
                <w:szCs w:val="20"/>
              </w:rPr>
              <w:t>6.84%</w:t>
            </w:r>
          </w:p>
        </w:tc>
      </w:tr>
      <w:tr w:rsidR="00B60859" w:rsidRPr="0035358E" w14:paraId="472B843F" w14:textId="77777777" w:rsidTr="00A04ECD">
        <w:trPr>
          <w:trHeight w:val="107"/>
        </w:trPr>
        <w:tc>
          <w:tcPr>
            <w:tcW w:w="3781" w:type="dxa"/>
            <w:gridSpan w:val="2"/>
            <w:vAlign w:val="center"/>
          </w:tcPr>
          <w:p w14:paraId="5E609033"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Total</w:t>
            </w:r>
          </w:p>
        </w:tc>
        <w:tc>
          <w:tcPr>
            <w:tcW w:w="1309" w:type="dxa"/>
            <w:vAlign w:val="center"/>
          </w:tcPr>
          <w:p w14:paraId="3988E512" w14:textId="32D57AB3"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1.1271</w:t>
            </w:r>
          </w:p>
        </w:tc>
        <w:tc>
          <w:tcPr>
            <w:tcW w:w="1309" w:type="dxa"/>
            <w:vAlign w:val="center"/>
          </w:tcPr>
          <w:p w14:paraId="53C8B6A2" w14:textId="42D0F5CD"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1.9104</w:t>
            </w:r>
          </w:p>
        </w:tc>
        <w:tc>
          <w:tcPr>
            <w:tcW w:w="1309" w:type="dxa"/>
            <w:vAlign w:val="center"/>
          </w:tcPr>
          <w:p w14:paraId="56134F8C" w14:textId="65728BF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-0.7833</w:t>
            </w:r>
          </w:p>
        </w:tc>
        <w:tc>
          <w:tcPr>
            <w:tcW w:w="1309" w:type="dxa"/>
            <w:vAlign w:val="center"/>
          </w:tcPr>
          <w:p w14:paraId="3DDFA0E0" w14:textId="77777777" w:rsidR="00B60859" w:rsidRPr="001C1B4E" w:rsidRDefault="00B60859" w:rsidP="00B177BE">
            <w:pPr>
              <w:keepNext/>
              <w:jc w:val="center"/>
              <w:rPr>
                <w:rFonts w:ascii="Arial Narrow" w:hAnsi="Arial Narrow" w:cs="Calibri"/>
                <w:b/>
                <w:bCs/>
                <w:color w:val="000000"/>
                <w:sz w:val="20"/>
                <w:szCs w:val="20"/>
              </w:rPr>
            </w:pPr>
            <w:r w:rsidRPr="001C1B4E">
              <w:rPr>
                <w:rFonts w:ascii="Arial Narrow" w:hAnsi="Arial Narrow" w:cs="Calibri"/>
                <w:b/>
                <w:bCs/>
                <w:color w:val="000000"/>
                <w:sz w:val="20"/>
                <w:szCs w:val="20"/>
              </w:rPr>
              <w:t>100%</w:t>
            </w:r>
          </w:p>
        </w:tc>
      </w:tr>
      <w:tr w:rsidR="00B60859" w:rsidRPr="0035358E" w14:paraId="3E40FE3A" w14:textId="77777777" w:rsidTr="00A04ECD">
        <w:trPr>
          <w:trHeight w:val="107"/>
        </w:trPr>
        <w:tc>
          <w:tcPr>
            <w:tcW w:w="9017" w:type="dxa"/>
            <w:gridSpan w:val="6"/>
          </w:tcPr>
          <w:p w14:paraId="6B7D3AAD" w14:textId="77777777" w:rsidR="00B60859" w:rsidRPr="00F4646F" w:rsidRDefault="00B60859" w:rsidP="00B177BE">
            <w:pPr>
              <w:keepNext/>
              <w:jc w:val="left"/>
              <w:rPr>
                <w:rFonts w:ascii="Arial Narrow" w:hAnsi="Arial Narrow" w:cs="Calibri"/>
                <w:b/>
                <w:bCs/>
                <w:color w:val="000000"/>
                <w:sz w:val="20"/>
                <w:szCs w:val="20"/>
              </w:rPr>
            </w:pPr>
            <w:r w:rsidRPr="00F4646F">
              <w:rPr>
                <w:rFonts w:ascii="Arial Narrow" w:hAnsi="Arial Narrow" w:cs="Calibri"/>
                <w:b/>
                <w:bCs/>
                <w:color w:val="000000"/>
                <w:sz w:val="20"/>
                <w:szCs w:val="20"/>
              </w:rPr>
              <w:t>Costs</w:t>
            </w:r>
          </w:p>
        </w:tc>
      </w:tr>
      <w:tr w:rsidR="00B60859" w:rsidRPr="0035358E" w14:paraId="167A894F" w14:textId="77777777" w:rsidTr="00EA01A3">
        <w:trPr>
          <w:trHeight w:val="107"/>
        </w:trPr>
        <w:tc>
          <w:tcPr>
            <w:tcW w:w="1838" w:type="dxa"/>
            <w:hideMark/>
          </w:tcPr>
          <w:p w14:paraId="5E65C8D1"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Outcome</w:t>
            </w:r>
          </w:p>
        </w:tc>
        <w:tc>
          <w:tcPr>
            <w:tcW w:w="1943" w:type="dxa"/>
            <w:hideMark/>
          </w:tcPr>
          <w:p w14:paraId="01D5DA4A"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Resource</w:t>
            </w:r>
          </w:p>
        </w:tc>
        <w:tc>
          <w:tcPr>
            <w:tcW w:w="1309" w:type="dxa"/>
            <w:hideMark/>
          </w:tcPr>
          <w:p w14:paraId="0423ECA1"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RSVpreF Arm</w:t>
            </w:r>
          </w:p>
        </w:tc>
        <w:tc>
          <w:tcPr>
            <w:tcW w:w="1309" w:type="dxa"/>
            <w:hideMark/>
          </w:tcPr>
          <w:p w14:paraId="71398240"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SOC</w:t>
            </w:r>
          </w:p>
        </w:tc>
        <w:tc>
          <w:tcPr>
            <w:tcW w:w="1309" w:type="dxa"/>
            <w:hideMark/>
          </w:tcPr>
          <w:p w14:paraId="4646D710"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Increment</w:t>
            </w:r>
          </w:p>
        </w:tc>
        <w:tc>
          <w:tcPr>
            <w:tcW w:w="1309" w:type="dxa"/>
            <w:hideMark/>
          </w:tcPr>
          <w:p w14:paraId="26B55B41" w14:textId="77777777" w:rsidR="00B60859" w:rsidRPr="00F4646F" w:rsidRDefault="00B60859" w:rsidP="00B177BE">
            <w:pPr>
              <w:keepNext/>
              <w:jc w:val="center"/>
              <w:rPr>
                <w:rFonts w:ascii="Arial Narrow" w:hAnsi="Arial Narrow" w:cs="Calibri"/>
                <w:b/>
                <w:bCs/>
                <w:color w:val="000000"/>
                <w:sz w:val="20"/>
                <w:szCs w:val="20"/>
              </w:rPr>
            </w:pPr>
            <w:r w:rsidRPr="00F4646F">
              <w:rPr>
                <w:rFonts w:ascii="Arial Narrow" w:hAnsi="Arial Narrow" w:cs="Calibri"/>
                <w:b/>
                <w:bCs/>
                <w:color w:val="000000"/>
                <w:sz w:val="20"/>
                <w:szCs w:val="20"/>
              </w:rPr>
              <w:t>% Increment</w:t>
            </w:r>
          </w:p>
        </w:tc>
      </w:tr>
      <w:tr w:rsidR="001977D9" w:rsidRPr="0035358E" w14:paraId="4DD82E09" w14:textId="77777777" w:rsidTr="000F7C01">
        <w:trPr>
          <w:trHeight w:val="72"/>
        </w:trPr>
        <w:tc>
          <w:tcPr>
            <w:tcW w:w="1838" w:type="dxa"/>
            <w:vMerge w:val="restart"/>
            <w:hideMark/>
          </w:tcPr>
          <w:p w14:paraId="75F2541E" w14:textId="77777777" w:rsidR="001977D9" w:rsidRPr="00F4646F" w:rsidRDefault="001977D9" w:rsidP="001977D9">
            <w:pPr>
              <w:keepNext/>
              <w:jc w:val="left"/>
              <w:rPr>
                <w:rFonts w:ascii="Arial Narrow" w:hAnsi="Arial Narrow" w:cs="Calibri"/>
                <w:color w:val="000000"/>
                <w:sz w:val="20"/>
                <w:szCs w:val="20"/>
              </w:rPr>
            </w:pPr>
            <w:r w:rsidRPr="00F4646F">
              <w:rPr>
                <w:rFonts w:ascii="Arial Narrow" w:hAnsi="Arial Narrow" w:cs="Calibri"/>
                <w:color w:val="000000"/>
                <w:sz w:val="20"/>
                <w:szCs w:val="20"/>
              </w:rPr>
              <w:t>All patients</w:t>
            </w:r>
          </w:p>
        </w:tc>
        <w:tc>
          <w:tcPr>
            <w:tcW w:w="1943" w:type="dxa"/>
            <w:hideMark/>
          </w:tcPr>
          <w:p w14:paraId="6C91FA7B" w14:textId="77777777" w:rsidR="001977D9" w:rsidRPr="00F4646F" w:rsidRDefault="001977D9" w:rsidP="001977D9">
            <w:pPr>
              <w:keepNext/>
              <w:jc w:val="center"/>
              <w:rPr>
                <w:rFonts w:ascii="Arial Narrow" w:hAnsi="Arial Narrow" w:cs="Calibri"/>
                <w:color w:val="000000"/>
                <w:sz w:val="20"/>
                <w:szCs w:val="20"/>
              </w:rPr>
            </w:pPr>
            <w:r w:rsidRPr="00F4646F">
              <w:rPr>
                <w:rFonts w:ascii="Arial Narrow" w:hAnsi="Arial Narrow" w:cs="Calibri"/>
                <w:color w:val="000000"/>
                <w:sz w:val="20"/>
                <w:szCs w:val="20"/>
              </w:rPr>
              <w:t>Vaccine acquisition</w:t>
            </w:r>
          </w:p>
        </w:tc>
        <w:tc>
          <w:tcPr>
            <w:tcW w:w="1309" w:type="dxa"/>
            <w:vAlign w:val="bottom"/>
            <w:hideMark/>
          </w:tcPr>
          <w:p w14:paraId="37433CFE" w14:textId="41BDCF6F"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15"/>
                <w:sz w:val="20"/>
                <w:szCs w:val="20"/>
                <w:shd w:val="solid" w:color="000000" w:fill="000000"/>
                <w:fitText w:val="45" w:id="-961850112"/>
                <w14:textFill>
                  <w14:solidFill>
                    <w14:srgbClr w14:val="000000">
                      <w14:alpha w14:val="100000"/>
                    </w14:srgbClr>
                  </w14:solidFill>
                </w14:textFill>
              </w:rPr>
              <w:t xml:space="preserve">　</w:t>
            </w:r>
            <w:r w:rsidRPr="00E96E79">
              <w:rPr>
                <w:rFonts w:ascii="Arial Narrow" w:hAnsi="Arial Narrow" w:cs="Calibri"/>
                <w:color w:val="000000"/>
                <w:w w:val="15"/>
                <w:sz w:val="20"/>
                <w:szCs w:val="20"/>
                <w:shd w:val="solid" w:color="000000" w:fill="000000"/>
                <w:fitText w:val="45" w:id="-961850112"/>
                <w14:textFill>
                  <w14:solidFill>
                    <w14:srgbClr w14:val="000000">
                      <w14:alpha w14:val="100000"/>
                    </w14:srgbClr>
                  </w14:solidFill>
                </w14:textFill>
              </w:rPr>
              <w:t>|</w:t>
            </w:r>
            <w:r w:rsidRPr="00E96E79">
              <w:rPr>
                <w:rFonts w:ascii="Arial Narrow" w:hAnsi="Arial Narrow" w:cs="Calibri" w:hint="eastAsia"/>
                <w:color w:val="000000"/>
                <w:spacing w:val="-20"/>
                <w:w w:val="15"/>
                <w:sz w:val="20"/>
                <w:szCs w:val="20"/>
                <w:shd w:val="solid" w:color="000000" w:fill="000000"/>
                <w:fitText w:val="45" w:id="-961850112"/>
                <w14:textFill>
                  <w14:solidFill>
                    <w14:srgbClr w14:val="000000">
                      <w14:alpha w14:val="100000"/>
                    </w14:srgbClr>
                  </w14:solidFill>
                </w14:textFill>
              </w:rPr>
              <w:t xml:space="preserve">　</w:t>
            </w:r>
          </w:p>
        </w:tc>
        <w:tc>
          <w:tcPr>
            <w:tcW w:w="1309" w:type="dxa"/>
            <w:hideMark/>
          </w:tcPr>
          <w:p w14:paraId="29879CF0" w14:textId="02D08CD6"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vAlign w:val="bottom"/>
            <w:hideMark/>
          </w:tcPr>
          <w:p w14:paraId="529C73A9" w14:textId="697221E5"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1977D9">
              <w:rPr>
                <w:rFonts w:ascii="Arial Narrow" w:hAnsi="Arial Narrow" w:cs="Calibri" w:hint="eastAsia"/>
                <w:color w:val="000000"/>
                <w:w w:val="15"/>
                <w:sz w:val="20"/>
                <w:szCs w:val="20"/>
                <w:shd w:val="solid" w:color="000000" w:fill="000000"/>
                <w:fitText w:val="45" w:id="-961850111"/>
                <w14:textFill>
                  <w14:solidFill>
                    <w14:srgbClr w14:val="000000">
                      <w14:alpha w14:val="100000"/>
                    </w14:srgbClr>
                  </w14:solidFill>
                </w14:textFill>
              </w:rPr>
              <w:t xml:space="preserve">　</w:t>
            </w:r>
            <w:r w:rsidRPr="001977D9">
              <w:rPr>
                <w:rFonts w:ascii="Arial Narrow" w:hAnsi="Arial Narrow" w:cs="Calibri"/>
                <w:color w:val="000000"/>
                <w:w w:val="15"/>
                <w:sz w:val="20"/>
                <w:szCs w:val="20"/>
                <w:shd w:val="solid" w:color="000000" w:fill="000000"/>
                <w:fitText w:val="45" w:id="-961850111"/>
                <w14:textFill>
                  <w14:solidFill>
                    <w14:srgbClr w14:val="000000">
                      <w14:alpha w14:val="100000"/>
                    </w14:srgbClr>
                  </w14:solidFill>
                </w14:textFill>
              </w:rPr>
              <w:t>|</w:t>
            </w:r>
            <w:r w:rsidRPr="001977D9">
              <w:rPr>
                <w:rFonts w:ascii="Arial Narrow" w:hAnsi="Arial Narrow" w:cs="Calibri" w:hint="eastAsia"/>
                <w:color w:val="000000"/>
                <w:spacing w:val="-20"/>
                <w:w w:val="15"/>
                <w:sz w:val="20"/>
                <w:szCs w:val="20"/>
                <w:shd w:val="solid" w:color="000000" w:fill="000000"/>
                <w:fitText w:val="45" w:id="-961850111"/>
                <w14:textFill>
                  <w14:solidFill>
                    <w14:srgbClr w14:val="000000">
                      <w14:alpha w14:val="100000"/>
                    </w14:srgbClr>
                  </w14:solidFill>
                </w14:textFill>
              </w:rPr>
              <w:t xml:space="preserve">　</w:t>
            </w:r>
          </w:p>
        </w:tc>
        <w:tc>
          <w:tcPr>
            <w:tcW w:w="1309" w:type="dxa"/>
            <w:hideMark/>
          </w:tcPr>
          <w:p w14:paraId="570DF761" w14:textId="29BA9D74" w:rsidR="001977D9" w:rsidRPr="00E4193F" w:rsidRDefault="001977D9" w:rsidP="001977D9">
            <w:pPr>
              <w:keepNext/>
              <w:jc w:val="center"/>
              <w:rPr>
                <w:rFonts w:ascii="Arial Narrow" w:hAnsi="Arial Narrow" w:cs="Calibri"/>
                <w:color w:val="000000"/>
                <w:sz w:val="20"/>
                <w:szCs w:val="20"/>
                <w:highlight w:val="yellow"/>
              </w:rPr>
            </w:pPr>
            <w:r w:rsidRPr="00E96E79">
              <w:rPr>
                <w:rFonts w:ascii="Arial Narrow" w:hAnsi="Arial Narrow" w:cs="Calibri" w:hint="eastAsia"/>
                <w:color w:val="000000"/>
                <w:w w:val="16"/>
                <w:sz w:val="20"/>
                <w:szCs w:val="20"/>
                <w:shd w:val="solid" w:color="000000" w:fill="000000"/>
                <w:fitText w:val="75" w:id="-961850110"/>
                <w14:textFill>
                  <w14:solidFill>
                    <w14:srgbClr w14:val="000000">
                      <w14:alpha w14:val="100000"/>
                    </w14:srgbClr>
                  </w14:solidFill>
                </w14:textFill>
              </w:rPr>
              <w:t xml:space="preserve">　</w:t>
            </w:r>
            <w:r w:rsidRPr="00E96E79">
              <w:rPr>
                <w:rFonts w:ascii="Arial Narrow" w:hAnsi="Arial Narrow" w:cs="Calibri"/>
                <w:color w:val="000000"/>
                <w:w w:val="16"/>
                <w:sz w:val="20"/>
                <w:szCs w:val="20"/>
                <w:shd w:val="solid" w:color="000000" w:fill="000000"/>
                <w:fitText w:val="75" w:id="-961850110"/>
                <w14:textFill>
                  <w14:solidFill>
                    <w14:srgbClr w14:val="000000">
                      <w14:alpha w14:val="100000"/>
                    </w14:srgbClr>
                  </w14:solidFill>
                </w14:textFill>
              </w:rPr>
              <w:t>|</w:t>
            </w:r>
            <w:r w:rsidRPr="00E96E79">
              <w:rPr>
                <w:rFonts w:ascii="Arial Narrow" w:hAnsi="Arial Narrow" w:cs="Calibri" w:hint="eastAsia"/>
                <w:color w:val="000000"/>
                <w:spacing w:val="5"/>
                <w:w w:val="16"/>
                <w:sz w:val="20"/>
                <w:szCs w:val="20"/>
                <w:shd w:val="solid" w:color="000000" w:fill="000000"/>
                <w:fitText w:val="75" w:id="-961850110"/>
                <w14:textFill>
                  <w14:solidFill>
                    <w14:srgbClr w14:val="000000">
                      <w14:alpha w14:val="100000"/>
                    </w14:srgbClr>
                  </w14:solidFill>
                </w14:textFill>
              </w:rPr>
              <w:t xml:space="preserve">　</w:t>
            </w:r>
            <w:r w:rsidRPr="007D587A">
              <w:rPr>
                <w:rFonts w:ascii="Arial Narrow" w:hAnsi="Arial Narrow" w:cs="Calibri"/>
                <w:color w:val="000000"/>
                <w:sz w:val="20"/>
                <w:szCs w:val="20"/>
              </w:rPr>
              <w:t>%</w:t>
            </w:r>
          </w:p>
        </w:tc>
      </w:tr>
      <w:tr w:rsidR="001977D9" w:rsidRPr="0035358E" w14:paraId="2D3F6068" w14:textId="77777777" w:rsidTr="000F7C01">
        <w:trPr>
          <w:trHeight w:val="54"/>
        </w:trPr>
        <w:tc>
          <w:tcPr>
            <w:tcW w:w="1838" w:type="dxa"/>
            <w:vMerge/>
            <w:hideMark/>
          </w:tcPr>
          <w:p w14:paraId="796AFB63" w14:textId="77777777" w:rsidR="001977D9" w:rsidRPr="00F4646F" w:rsidRDefault="001977D9" w:rsidP="001977D9">
            <w:pPr>
              <w:keepNext/>
              <w:jc w:val="left"/>
              <w:rPr>
                <w:rFonts w:ascii="Arial Narrow" w:hAnsi="Arial Narrow" w:cs="Calibri"/>
                <w:color w:val="000000"/>
                <w:sz w:val="20"/>
                <w:szCs w:val="20"/>
              </w:rPr>
            </w:pPr>
          </w:p>
        </w:tc>
        <w:tc>
          <w:tcPr>
            <w:tcW w:w="1943" w:type="dxa"/>
            <w:hideMark/>
          </w:tcPr>
          <w:p w14:paraId="183B094A" w14:textId="77777777" w:rsidR="001977D9" w:rsidRPr="00F4646F" w:rsidRDefault="001977D9" w:rsidP="001977D9">
            <w:pPr>
              <w:keepNext/>
              <w:jc w:val="center"/>
              <w:rPr>
                <w:rFonts w:ascii="Arial Narrow" w:hAnsi="Arial Narrow" w:cs="Calibri"/>
                <w:color w:val="000000"/>
                <w:sz w:val="20"/>
                <w:szCs w:val="20"/>
              </w:rPr>
            </w:pPr>
            <w:r w:rsidRPr="00F4646F">
              <w:rPr>
                <w:rFonts w:ascii="Arial Narrow" w:hAnsi="Arial Narrow" w:cs="Calibri"/>
                <w:color w:val="000000"/>
                <w:sz w:val="20"/>
                <w:szCs w:val="20"/>
              </w:rPr>
              <w:t>Vaccine administration</w:t>
            </w:r>
          </w:p>
        </w:tc>
        <w:tc>
          <w:tcPr>
            <w:tcW w:w="1309" w:type="dxa"/>
            <w:vAlign w:val="bottom"/>
            <w:hideMark/>
          </w:tcPr>
          <w:p w14:paraId="2BE02D55" w14:textId="149430B9"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$7,000</w:t>
            </w:r>
          </w:p>
        </w:tc>
        <w:tc>
          <w:tcPr>
            <w:tcW w:w="1309" w:type="dxa"/>
            <w:hideMark/>
          </w:tcPr>
          <w:p w14:paraId="5237DA5D" w14:textId="4190E8EE"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vAlign w:val="bottom"/>
            <w:hideMark/>
          </w:tcPr>
          <w:p w14:paraId="43C0FC60" w14:textId="3F88A0F7" w:rsidR="001977D9" w:rsidRPr="001C1B4E" w:rsidRDefault="001977D9" w:rsidP="001977D9">
            <w:pPr>
              <w:keepNext/>
              <w:jc w:val="center"/>
              <w:rPr>
                <w:rFonts w:ascii="Arial Narrow" w:hAnsi="Arial Narrow" w:cs="Calibri"/>
                <w:color w:val="000000"/>
                <w:sz w:val="20"/>
                <w:szCs w:val="20"/>
              </w:rPr>
            </w:pPr>
            <w:r w:rsidRPr="0035358E">
              <w:rPr>
                <w:rFonts w:ascii="Arial Narrow" w:hAnsi="Arial Narrow" w:cs="Calibri"/>
                <w:color w:val="000000"/>
                <w:sz w:val="20"/>
                <w:szCs w:val="20"/>
              </w:rPr>
              <w:t>$</w:t>
            </w:r>
            <w:r w:rsidRPr="001977D9">
              <w:rPr>
                <w:rFonts w:ascii="Arial Narrow" w:hAnsi="Arial Narrow" w:cs="Calibri" w:hint="eastAsia"/>
                <w:color w:val="000000"/>
                <w:w w:val="15"/>
                <w:sz w:val="20"/>
                <w:szCs w:val="20"/>
                <w:shd w:val="solid" w:color="000000" w:fill="000000"/>
                <w:fitText w:val="45" w:id="-961850111"/>
                <w14:textFill>
                  <w14:solidFill>
                    <w14:srgbClr w14:val="000000">
                      <w14:alpha w14:val="100000"/>
                    </w14:srgbClr>
                  </w14:solidFill>
                </w14:textFill>
              </w:rPr>
              <w:t xml:space="preserve">　</w:t>
            </w:r>
            <w:r w:rsidRPr="001977D9">
              <w:rPr>
                <w:rFonts w:ascii="Arial Narrow" w:hAnsi="Arial Narrow" w:cs="Calibri"/>
                <w:color w:val="000000"/>
                <w:w w:val="15"/>
                <w:sz w:val="20"/>
                <w:szCs w:val="20"/>
                <w:shd w:val="solid" w:color="000000" w:fill="000000"/>
                <w:fitText w:val="45" w:id="-961850111"/>
                <w14:textFill>
                  <w14:solidFill>
                    <w14:srgbClr w14:val="000000">
                      <w14:alpha w14:val="100000"/>
                    </w14:srgbClr>
                  </w14:solidFill>
                </w14:textFill>
              </w:rPr>
              <w:t>|</w:t>
            </w:r>
            <w:r w:rsidRPr="001977D9">
              <w:rPr>
                <w:rFonts w:ascii="Arial Narrow" w:hAnsi="Arial Narrow" w:cs="Calibri" w:hint="eastAsia"/>
                <w:color w:val="000000"/>
                <w:spacing w:val="-20"/>
                <w:w w:val="15"/>
                <w:sz w:val="20"/>
                <w:szCs w:val="20"/>
                <w:shd w:val="solid" w:color="000000" w:fill="000000"/>
                <w:fitText w:val="45" w:id="-961850111"/>
                <w14:textFill>
                  <w14:solidFill>
                    <w14:srgbClr w14:val="000000">
                      <w14:alpha w14:val="100000"/>
                    </w14:srgbClr>
                  </w14:solidFill>
                </w14:textFill>
              </w:rPr>
              <w:t xml:space="preserve">　</w:t>
            </w:r>
          </w:p>
        </w:tc>
        <w:tc>
          <w:tcPr>
            <w:tcW w:w="1309" w:type="dxa"/>
            <w:hideMark/>
          </w:tcPr>
          <w:p w14:paraId="5D9EB981" w14:textId="34891AD3" w:rsidR="001977D9" w:rsidRPr="00E4193F" w:rsidRDefault="001977D9" w:rsidP="001977D9">
            <w:pPr>
              <w:keepNext/>
              <w:jc w:val="center"/>
              <w:rPr>
                <w:rFonts w:ascii="Arial Narrow" w:hAnsi="Arial Narrow" w:cs="Calibri"/>
                <w:color w:val="000000"/>
                <w:sz w:val="20"/>
                <w:szCs w:val="20"/>
                <w:highlight w:val="yellow"/>
              </w:rPr>
            </w:pPr>
            <w:r w:rsidRPr="00E96E79">
              <w:rPr>
                <w:rFonts w:ascii="Arial Narrow" w:hAnsi="Arial Narrow" w:cs="Calibri" w:hint="eastAsia"/>
                <w:color w:val="000000"/>
                <w:w w:val="16"/>
                <w:sz w:val="20"/>
                <w:szCs w:val="20"/>
                <w:shd w:val="solid" w:color="000000" w:fill="000000"/>
                <w:fitText w:val="75" w:id="-961850109"/>
                <w14:textFill>
                  <w14:solidFill>
                    <w14:srgbClr w14:val="000000">
                      <w14:alpha w14:val="100000"/>
                    </w14:srgbClr>
                  </w14:solidFill>
                </w14:textFill>
              </w:rPr>
              <w:t xml:space="preserve">　</w:t>
            </w:r>
            <w:r w:rsidRPr="00E96E79">
              <w:rPr>
                <w:rFonts w:ascii="Arial Narrow" w:hAnsi="Arial Narrow" w:cs="Calibri"/>
                <w:color w:val="000000"/>
                <w:w w:val="16"/>
                <w:sz w:val="20"/>
                <w:szCs w:val="20"/>
                <w:shd w:val="solid" w:color="000000" w:fill="000000"/>
                <w:fitText w:val="75" w:id="-961850109"/>
                <w14:textFill>
                  <w14:solidFill>
                    <w14:srgbClr w14:val="000000">
                      <w14:alpha w14:val="100000"/>
                    </w14:srgbClr>
                  </w14:solidFill>
                </w14:textFill>
              </w:rPr>
              <w:t>|</w:t>
            </w:r>
            <w:r w:rsidRPr="00E96E79">
              <w:rPr>
                <w:rFonts w:ascii="Arial Narrow" w:hAnsi="Arial Narrow" w:cs="Calibri" w:hint="eastAsia"/>
                <w:color w:val="000000"/>
                <w:spacing w:val="5"/>
                <w:w w:val="16"/>
                <w:sz w:val="20"/>
                <w:szCs w:val="20"/>
                <w:shd w:val="solid" w:color="000000" w:fill="000000"/>
                <w:fitText w:val="75" w:id="-961850109"/>
                <w14:textFill>
                  <w14:solidFill>
                    <w14:srgbClr w14:val="000000">
                      <w14:alpha w14:val="100000"/>
                    </w14:srgbClr>
                  </w14:solidFill>
                </w14:textFill>
              </w:rPr>
              <w:t xml:space="preserve">　</w:t>
            </w:r>
            <w:r w:rsidRPr="00884EFD">
              <w:rPr>
                <w:rFonts w:ascii="Arial Narrow" w:hAnsi="Arial Narrow" w:cs="Calibri"/>
                <w:color w:val="000000"/>
                <w:sz w:val="20"/>
                <w:szCs w:val="20"/>
              </w:rPr>
              <w:t>%</w:t>
            </w:r>
          </w:p>
        </w:tc>
      </w:tr>
      <w:tr w:rsidR="001977D9" w:rsidRPr="0035358E" w14:paraId="6DD705EC" w14:textId="77777777" w:rsidTr="006D1ACC">
        <w:trPr>
          <w:trHeight w:val="54"/>
        </w:trPr>
        <w:tc>
          <w:tcPr>
            <w:tcW w:w="1838" w:type="dxa"/>
          </w:tcPr>
          <w:p w14:paraId="736247C0" w14:textId="77777777" w:rsidR="001977D9" w:rsidRPr="00F4646F" w:rsidRDefault="001977D9" w:rsidP="001977D9">
            <w:pPr>
              <w:keepNext/>
              <w:jc w:val="left"/>
              <w:rPr>
                <w:rFonts w:ascii="Arial Narrow" w:hAnsi="Arial Narrow" w:cs="Calibri"/>
                <w:color w:val="000000"/>
                <w:sz w:val="20"/>
                <w:szCs w:val="20"/>
              </w:rPr>
            </w:pPr>
            <w:r w:rsidRPr="00F4646F">
              <w:rPr>
                <w:rFonts w:ascii="Arial Narrow" w:hAnsi="Arial Narrow" w:cs="Calibri"/>
                <w:color w:val="000000"/>
                <w:sz w:val="20"/>
                <w:szCs w:val="20"/>
              </w:rPr>
              <w:t>Outpatient attendance</w:t>
            </w:r>
          </w:p>
        </w:tc>
        <w:tc>
          <w:tcPr>
            <w:tcW w:w="1943" w:type="dxa"/>
            <w:vAlign w:val="center"/>
          </w:tcPr>
          <w:p w14:paraId="1C678604" w14:textId="77777777" w:rsidR="001977D9" w:rsidRPr="00F4646F" w:rsidRDefault="001977D9" w:rsidP="001977D9">
            <w:pPr>
              <w:keepNext/>
              <w:jc w:val="center"/>
              <w:rPr>
                <w:rFonts w:ascii="Arial Narrow" w:hAnsi="Arial Narrow" w:cs="Calibri"/>
                <w:color w:val="000000"/>
                <w:sz w:val="20"/>
                <w:szCs w:val="20"/>
              </w:rPr>
            </w:pPr>
            <w:r w:rsidRPr="00F4646F">
              <w:rPr>
                <w:rFonts w:ascii="Arial Narrow" w:hAnsi="Arial Narrow" w:cs="Calibri"/>
                <w:color w:val="000000"/>
                <w:sz w:val="20"/>
                <w:szCs w:val="20"/>
              </w:rPr>
              <w:t>GP consultation cost</w:t>
            </w:r>
          </w:p>
        </w:tc>
        <w:tc>
          <w:tcPr>
            <w:tcW w:w="1309" w:type="dxa"/>
            <w:vAlign w:val="center"/>
          </w:tcPr>
          <w:p w14:paraId="4A8D0545" w14:textId="4A6C97DF"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$3,071</w:t>
            </w:r>
          </w:p>
        </w:tc>
        <w:tc>
          <w:tcPr>
            <w:tcW w:w="1309" w:type="dxa"/>
          </w:tcPr>
          <w:p w14:paraId="1F0FFC4A" w14:textId="3E9209CF"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434E5CA7" w14:textId="0E99EB8E" w:rsidR="001977D9" w:rsidRPr="001C1B4E" w:rsidRDefault="001977D9" w:rsidP="001977D9">
            <w:pPr>
              <w:keepNext/>
              <w:jc w:val="center"/>
              <w:rPr>
                <w:rFonts w:ascii="Arial Narrow" w:hAnsi="Arial Narrow" w:cs="Calibri"/>
                <w:color w:val="000000"/>
                <w:sz w:val="20"/>
                <w:szCs w:val="20"/>
              </w:rPr>
            </w:pPr>
            <w:r w:rsidRPr="0052421D">
              <w:rPr>
                <w:rFonts w:ascii="Arial Narrow" w:hAnsi="Arial Narrow" w:cs="Calibri"/>
                <w:color w:val="000000"/>
                <w:sz w:val="20"/>
                <w:szCs w:val="20"/>
              </w:rPr>
              <w:t>-</w:t>
            </w:r>
            <w:r w:rsidRPr="0052421D">
              <w:rPr>
                <w:rFonts w:ascii="Arial Narrow" w:hAnsi="Arial Narrow" w:cs="Calibri"/>
                <w:b/>
                <w:bCs/>
                <w:color w:val="000000"/>
                <w:sz w:val="20"/>
                <w:szCs w:val="20"/>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52421D">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vAlign w:val="center"/>
          </w:tcPr>
          <w:p w14:paraId="30454E3B" w14:textId="370C30BD"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23"/>
                <w:sz w:val="20"/>
                <w:szCs w:val="20"/>
                <w:shd w:val="solid" w:color="000000" w:fill="000000"/>
                <w:fitText w:val="105" w:id="-961850108"/>
                <w14:textFill>
                  <w14:solidFill>
                    <w14:srgbClr w14:val="000000">
                      <w14:alpha w14:val="100000"/>
                    </w14:srgbClr>
                  </w14:solidFill>
                </w14:textFill>
              </w:rPr>
              <w:t xml:space="preserve">　</w:t>
            </w:r>
            <w:r w:rsidRPr="00E96E79">
              <w:rPr>
                <w:rFonts w:ascii="Arial Narrow" w:hAnsi="Arial Narrow" w:cs="Calibri"/>
                <w:color w:val="000000"/>
                <w:w w:val="23"/>
                <w:sz w:val="20"/>
                <w:szCs w:val="20"/>
                <w:shd w:val="solid" w:color="000000" w:fill="000000"/>
                <w:fitText w:val="105" w:id="-961850108"/>
                <w14:textFill>
                  <w14:solidFill>
                    <w14:srgbClr w14:val="000000">
                      <w14:alpha w14:val="100000"/>
                    </w14:srgbClr>
                  </w14:solidFill>
                </w14:textFill>
              </w:rPr>
              <w:t>|</w:t>
            </w:r>
            <w:r w:rsidRPr="00E96E79">
              <w:rPr>
                <w:rFonts w:ascii="Arial Narrow" w:hAnsi="Arial Narrow" w:cs="Calibri" w:hint="eastAsia"/>
                <w:color w:val="000000"/>
                <w:spacing w:val="4"/>
                <w:w w:val="23"/>
                <w:sz w:val="20"/>
                <w:szCs w:val="20"/>
                <w:shd w:val="solid" w:color="000000" w:fill="000000"/>
                <w:fitText w:val="105" w:id="-961850108"/>
                <w14:textFill>
                  <w14:solidFill>
                    <w14:srgbClr w14:val="000000">
                      <w14:alpha w14:val="100000"/>
                    </w14:srgbClr>
                  </w14:solidFill>
                </w14:textFill>
              </w:rPr>
              <w:t xml:space="preserve">　</w:t>
            </w:r>
            <w:r w:rsidRPr="0035358E">
              <w:rPr>
                <w:rFonts w:ascii="Arial Narrow" w:hAnsi="Arial Narrow" w:cs="Calibri"/>
                <w:color w:val="000000"/>
                <w:sz w:val="20"/>
                <w:szCs w:val="20"/>
              </w:rPr>
              <w:t>%</w:t>
            </w:r>
          </w:p>
        </w:tc>
      </w:tr>
      <w:tr w:rsidR="001977D9" w:rsidRPr="0035358E" w14:paraId="505BEEC5" w14:textId="77777777" w:rsidTr="006D1ACC">
        <w:trPr>
          <w:trHeight w:val="54"/>
        </w:trPr>
        <w:tc>
          <w:tcPr>
            <w:tcW w:w="1838" w:type="dxa"/>
          </w:tcPr>
          <w:p w14:paraId="6D0B1C6D" w14:textId="77777777" w:rsidR="001977D9" w:rsidRPr="00F4646F" w:rsidRDefault="001977D9" w:rsidP="001977D9">
            <w:pPr>
              <w:keepNext/>
              <w:jc w:val="left"/>
              <w:rPr>
                <w:rFonts w:ascii="Arial Narrow" w:hAnsi="Arial Narrow" w:cs="Calibri"/>
                <w:color w:val="000000"/>
                <w:sz w:val="20"/>
                <w:szCs w:val="20"/>
              </w:rPr>
            </w:pPr>
            <w:r w:rsidRPr="00F4646F">
              <w:rPr>
                <w:rFonts w:ascii="Arial Narrow" w:hAnsi="Arial Narrow" w:cs="Calibri"/>
                <w:color w:val="000000"/>
                <w:sz w:val="20"/>
                <w:szCs w:val="20"/>
              </w:rPr>
              <w:t>ED attendance</w:t>
            </w:r>
          </w:p>
        </w:tc>
        <w:tc>
          <w:tcPr>
            <w:tcW w:w="1943" w:type="dxa"/>
          </w:tcPr>
          <w:p w14:paraId="5E4E7ECD" w14:textId="77777777" w:rsidR="001977D9" w:rsidRPr="00F4646F" w:rsidRDefault="001977D9" w:rsidP="001977D9">
            <w:pPr>
              <w:keepNext/>
              <w:jc w:val="center"/>
              <w:rPr>
                <w:rFonts w:ascii="Arial Narrow" w:hAnsi="Arial Narrow" w:cs="Calibri"/>
                <w:color w:val="000000"/>
                <w:sz w:val="20"/>
                <w:szCs w:val="20"/>
              </w:rPr>
            </w:pPr>
            <w:r w:rsidRPr="00F4646F">
              <w:rPr>
                <w:rFonts w:ascii="Arial Narrow" w:hAnsi="Arial Narrow" w:cs="Calibri"/>
                <w:color w:val="000000"/>
                <w:sz w:val="20"/>
                <w:szCs w:val="20"/>
              </w:rPr>
              <w:t>ED attendance cost</w:t>
            </w:r>
          </w:p>
        </w:tc>
        <w:tc>
          <w:tcPr>
            <w:tcW w:w="1309" w:type="dxa"/>
            <w:vAlign w:val="bottom"/>
          </w:tcPr>
          <w:p w14:paraId="04636C65" w14:textId="2B5E40F9"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$13,631</w:t>
            </w:r>
          </w:p>
        </w:tc>
        <w:tc>
          <w:tcPr>
            <w:tcW w:w="1309" w:type="dxa"/>
          </w:tcPr>
          <w:p w14:paraId="75422412" w14:textId="2280C6AC"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056ECE63" w14:textId="723DEFBF" w:rsidR="001977D9" w:rsidRPr="001C1B4E" w:rsidRDefault="001977D9" w:rsidP="001977D9">
            <w:pPr>
              <w:keepNext/>
              <w:jc w:val="center"/>
              <w:rPr>
                <w:rFonts w:ascii="Arial Narrow" w:hAnsi="Arial Narrow" w:cs="Calibri"/>
                <w:color w:val="000000"/>
                <w:sz w:val="20"/>
                <w:szCs w:val="20"/>
              </w:rPr>
            </w:pPr>
            <w:r w:rsidRPr="0052421D">
              <w:rPr>
                <w:rFonts w:ascii="Arial Narrow" w:hAnsi="Arial Narrow" w:cs="Calibri"/>
                <w:color w:val="000000"/>
                <w:sz w:val="20"/>
                <w:szCs w:val="20"/>
              </w:rPr>
              <w:t>-</w:t>
            </w:r>
            <w:r w:rsidRPr="0052421D">
              <w:rPr>
                <w:rFonts w:ascii="Arial Narrow" w:hAnsi="Arial Narrow" w:cs="Calibri"/>
                <w:b/>
                <w:bCs/>
                <w:color w:val="000000"/>
                <w:sz w:val="20"/>
                <w:szCs w:val="20"/>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52421D">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06F06B95" w14:textId="24409AAC"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23"/>
                <w:sz w:val="20"/>
                <w:szCs w:val="20"/>
                <w:shd w:val="solid" w:color="000000" w:fill="000000"/>
                <w:fitText w:val="105" w:id="-961850107"/>
                <w14:textFill>
                  <w14:solidFill>
                    <w14:srgbClr w14:val="000000">
                      <w14:alpha w14:val="100000"/>
                    </w14:srgbClr>
                  </w14:solidFill>
                </w14:textFill>
              </w:rPr>
              <w:t xml:space="preserve">　</w:t>
            </w:r>
            <w:r w:rsidRPr="00E96E79">
              <w:rPr>
                <w:rFonts w:ascii="Arial Narrow" w:hAnsi="Arial Narrow" w:cs="Calibri"/>
                <w:color w:val="000000"/>
                <w:w w:val="23"/>
                <w:sz w:val="20"/>
                <w:szCs w:val="20"/>
                <w:shd w:val="solid" w:color="000000" w:fill="000000"/>
                <w:fitText w:val="105" w:id="-961850107"/>
                <w14:textFill>
                  <w14:solidFill>
                    <w14:srgbClr w14:val="000000">
                      <w14:alpha w14:val="100000"/>
                    </w14:srgbClr>
                  </w14:solidFill>
                </w14:textFill>
              </w:rPr>
              <w:t>|</w:t>
            </w:r>
            <w:r w:rsidRPr="00E96E79">
              <w:rPr>
                <w:rFonts w:ascii="Arial Narrow" w:hAnsi="Arial Narrow" w:cs="Calibri" w:hint="eastAsia"/>
                <w:color w:val="000000"/>
                <w:spacing w:val="4"/>
                <w:w w:val="23"/>
                <w:sz w:val="20"/>
                <w:szCs w:val="20"/>
                <w:shd w:val="solid" w:color="000000" w:fill="000000"/>
                <w:fitText w:val="105" w:id="-961850107"/>
                <w14:textFill>
                  <w14:solidFill>
                    <w14:srgbClr w14:val="000000">
                      <w14:alpha w14:val="100000"/>
                    </w14:srgbClr>
                  </w14:solidFill>
                </w14:textFill>
              </w:rPr>
              <w:t xml:space="preserve">　</w:t>
            </w:r>
            <w:r w:rsidRPr="0035358E">
              <w:rPr>
                <w:rFonts w:ascii="Arial Narrow" w:hAnsi="Arial Narrow" w:cs="Calibri"/>
                <w:color w:val="000000"/>
                <w:sz w:val="20"/>
                <w:szCs w:val="20"/>
              </w:rPr>
              <w:t>%</w:t>
            </w:r>
          </w:p>
        </w:tc>
      </w:tr>
      <w:tr w:rsidR="001977D9" w:rsidRPr="0035358E" w14:paraId="4D9F1042" w14:textId="77777777" w:rsidTr="006D1ACC">
        <w:trPr>
          <w:trHeight w:val="54"/>
        </w:trPr>
        <w:tc>
          <w:tcPr>
            <w:tcW w:w="1838" w:type="dxa"/>
          </w:tcPr>
          <w:p w14:paraId="71E3EBE2" w14:textId="77777777" w:rsidR="001977D9" w:rsidRPr="00F4646F" w:rsidRDefault="001977D9" w:rsidP="001977D9">
            <w:pPr>
              <w:keepNext/>
              <w:jc w:val="left"/>
              <w:rPr>
                <w:rFonts w:ascii="Arial Narrow" w:hAnsi="Arial Narrow" w:cs="Calibri"/>
                <w:color w:val="000000"/>
                <w:sz w:val="20"/>
                <w:szCs w:val="20"/>
              </w:rPr>
            </w:pPr>
            <w:r w:rsidRPr="00F4646F">
              <w:rPr>
                <w:rFonts w:ascii="Arial Narrow" w:hAnsi="Arial Narrow" w:cs="Calibri"/>
                <w:color w:val="000000"/>
                <w:sz w:val="20"/>
                <w:szCs w:val="20"/>
              </w:rPr>
              <w:t>Hospitalised</w:t>
            </w:r>
          </w:p>
        </w:tc>
        <w:tc>
          <w:tcPr>
            <w:tcW w:w="1943" w:type="dxa"/>
            <w:vMerge w:val="restart"/>
            <w:vAlign w:val="center"/>
          </w:tcPr>
          <w:p w14:paraId="4FDD21A8" w14:textId="77777777" w:rsidR="001977D9" w:rsidRPr="00F4646F" w:rsidRDefault="001977D9" w:rsidP="001977D9">
            <w:pPr>
              <w:keepNext/>
              <w:jc w:val="center"/>
              <w:rPr>
                <w:rFonts w:ascii="Arial Narrow" w:hAnsi="Arial Narrow" w:cs="Calibri"/>
                <w:color w:val="000000"/>
                <w:sz w:val="20"/>
                <w:szCs w:val="20"/>
              </w:rPr>
            </w:pPr>
            <w:r w:rsidRPr="00F4646F">
              <w:rPr>
                <w:rFonts w:ascii="Arial Narrow" w:hAnsi="Arial Narrow" w:cs="Calibri"/>
                <w:color w:val="000000"/>
                <w:sz w:val="20"/>
                <w:szCs w:val="20"/>
              </w:rPr>
              <w:t>Hospitalisation cost</w:t>
            </w:r>
          </w:p>
        </w:tc>
        <w:tc>
          <w:tcPr>
            <w:tcW w:w="1309" w:type="dxa"/>
            <w:vAlign w:val="bottom"/>
          </w:tcPr>
          <w:p w14:paraId="7160FAE0" w14:textId="60126918"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$255,423</w:t>
            </w:r>
          </w:p>
        </w:tc>
        <w:tc>
          <w:tcPr>
            <w:tcW w:w="1309" w:type="dxa"/>
          </w:tcPr>
          <w:p w14:paraId="30856334" w14:textId="1575EB7C"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083B973D" w14:textId="61B3D643" w:rsidR="001977D9" w:rsidRPr="001C1B4E" w:rsidRDefault="001977D9" w:rsidP="001977D9">
            <w:pPr>
              <w:keepNext/>
              <w:jc w:val="center"/>
              <w:rPr>
                <w:rFonts w:ascii="Arial Narrow" w:hAnsi="Arial Narrow" w:cs="Calibri"/>
                <w:color w:val="000000"/>
                <w:sz w:val="20"/>
                <w:szCs w:val="20"/>
              </w:rPr>
            </w:pPr>
            <w:r w:rsidRPr="0052421D">
              <w:rPr>
                <w:rFonts w:ascii="Arial Narrow" w:hAnsi="Arial Narrow" w:cs="Calibri"/>
                <w:color w:val="000000"/>
                <w:sz w:val="20"/>
                <w:szCs w:val="20"/>
              </w:rPr>
              <w:t>-</w:t>
            </w:r>
            <w:r w:rsidRPr="0052421D">
              <w:rPr>
                <w:rFonts w:ascii="Arial Narrow" w:hAnsi="Arial Narrow" w:cs="Calibri"/>
                <w:b/>
                <w:bCs/>
                <w:color w:val="000000"/>
                <w:sz w:val="20"/>
                <w:szCs w:val="20"/>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52421D">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7125AE5D" w14:textId="4737ABD3"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23"/>
                <w:sz w:val="20"/>
                <w:szCs w:val="20"/>
                <w:shd w:val="solid" w:color="000000" w:fill="000000"/>
                <w:fitText w:val="105" w:id="-961850106"/>
                <w14:textFill>
                  <w14:solidFill>
                    <w14:srgbClr w14:val="000000">
                      <w14:alpha w14:val="100000"/>
                    </w14:srgbClr>
                  </w14:solidFill>
                </w14:textFill>
              </w:rPr>
              <w:t xml:space="preserve">　</w:t>
            </w:r>
            <w:r w:rsidRPr="00E96E79">
              <w:rPr>
                <w:rFonts w:ascii="Arial Narrow" w:hAnsi="Arial Narrow" w:cs="Calibri"/>
                <w:color w:val="000000"/>
                <w:w w:val="23"/>
                <w:sz w:val="20"/>
                <w:szCs w:val="20"/>
                <w:shd w:val="solid" w:color="000000" w:fill="000000"/>
                <w:fitText w:val="105" w:id="-961850106"/>
                <w14:textFill>
                  <w14:solidFill>
                    <w14:srgbClr w14:val="000000">
                      <w14:alpha w14:val="100000"/>
                    </w14:srgbClr>
                  </w14:solidFill>
                </w14:textFill>
              </w:rPr>
              <w:t>|</w:t>
            </w:r>
            <w:r w:rsidRPr="00E96E79">
              <w:rPr>
                <w:rFonts w:ascii="Arial Narrow" w:hAnsi="Arial Narrow" w:cs="Calibri" w:hint="eastAsia"/>
                <w:color w:val="000000"/>
                <w:spacing w:val="4"/>
                <w:w w:val="23"/>
                <w:sz w:val="20"/>
                <w:szCs w:val="20"/>
                <w:shd w:val="solid" w:color="000000" w:fill="000000"/>
                <w:fitText w:val="105" w:id="-961850106"/>
                <w14:textFill>
                  <w14:solidFill>
                    <w14:srgbClr w14:val="000000">
                      <w14:alpha w14:val="100000"/>
                    </w14:srgbClr>
                  </w14:solidFill>
                </w14:textFill>
              </w:rPr>
              <w:t xml:space="preserve">　</w:t>
            </w:r>
            <w:r w:rsidRPr="0035358E">
              <w:rPr>
                <w:rFonts w:ascii="Arial Narrow" w:hAnsi="Arial Narrow" w:cs="Calibri"/>
                <w:color w:val="000000"/>
                <w:sz w:val="20"/>
                <w:szCs w:val="20"/>
              </w:rPr>
              <w:t>%</w:t>
            </w:r>
          </w:p>
        </w:tc>
      </w:tr>
      <w:tr w:rsidR="001977D9" w:rsidRPr="0035358E" w14:paraId="4B8D1A7C" w14:textId="77777777" w:rsidTr="006D1ACC">
        <w:trPr>
          <w:trHeight w:val="54"/>
        </w:trPr>
        <w:tc>
          <w:tcPr>
            <w:tcW w:w="1838" w:type="dxa"/>
          </w:tcPr>
          <w:p w14:paraId="6A3F9229" w14:textId="232B290C" w:rsidR="001977D9" w:rsidRPr="00F4646F" w:rsidRDefault="00342678" w:rsidP="001977D9">
            <w:pPr>
              <w:keepNext/>
              <w:jc w:val="left"/>
              <w:rPr>
                <w:rFonts w:ascii="Arial Narrow" w:hAnsi="Arial Narrow" w:cs="Calibri"/>
                <w:color w:val="000000"/>
                <w:sz w:val="20"/>
                <w:szCs w:val="20"/>
              </w:rPr>
            </w:pPr>
            <w:r>
              <w:rPr>
                <w:rFonts w:ascii="Arial Narrow" w:hAnsi="Arial Narrow" w:cs="Calibri"/>
                <w:color w:val="000000"/>
                <w:sz w:val="20"/>
                <w:szCs w:val="20"/>
              </w:rPr>
              <w:t xml:space="preserve"> </w:t>
            </w:r>
            <w:r w:rsidR="001977D9" w:rsidRPr="00F4646F">
              <w:rPr>
                <w:rFonts w:ascii="Arial Narrow" w:hAnsi="Arial Narrow" w:cs="Calibri"/>
                <w:color w:val="000000"/>
                <w:sz w:val="20"/>
                <w:szCs w:val="20"/>
              </w:rPr>
              <w:t>- Non-fatal</w:t>
            </w:r>
          </w:p>
        </w:tc>
        <w:tc>
          <w:tcPr>
            <w:tcW w:w="1943" w:type="dxa"/>
            <w:vMerge/>
          </w:tcPr>
          <w:p w14:paraId="23D71519" w14:textId="77777777" w:rsidR="001977D9" w:rsidRPr="00F4646F" w:rsidRDefault="001977D9" w:rsidP="001977D9">
            <w:pPr>
              <w:keepNext/>
              <w:jc w:val="center"/>
              <w:rPr>
                <w:rFonts w:ascii="Arial Narrow" w:hAnsi="Arial Narrow" w:cs="Calibri"/>
                <w:color w:val="000000"/>
                <w:sz w:val="20"/>
                <w:szCs w:val="20"/>
              </w:rPr>
            </w:pPr>
          </w:p>
        </w:tc>
        <w:tc>
          <w:tcPr>
            <w:tcW w:w="1309" w:type="dxa"/>
            <w:vAlign w:val="bottom"/>
          </w:tcPr>
          <w:p w14:paraId="0D5130A2" w14:textId="1F7E96EE"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$254,912</w:t>
            </w:r>
          </w:p>
        </w:tc>
        <w:tc>
          <w:tcPr>
            <w:tcW w:w="1309" w:type="dxa"/>
          </w:tcPr>
          <w:p w14:paraId="7EC37470" w14:textId="59143C66"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2B56F8BB" w14:textId="7F871832" w:rsidR="001977D9" w:rsidRPr="001C1B4E" w:rsidRDefault="001977D9" w:rsidP="001977D9">
            <w:pPr>
              <w:keepNext/>
              <w:jc w:val="center"/>
              <w:rPr>
                <w:rFonts w:ascii="Arial Narrow" w:hAnsi="Arial Narrow" w:cs="Calibri"/>
                <w:color w:val="000000"/>
                <w:sz w:val="20"/>
                <w:szCs w:val="20"/>
              </w:rPr>
            </w:pPr>
            <w:r w:rsidRPr="0052421D">
              <w:rPr>
                <w:rFonts w:ascii="Arial Narrow" w:hAnsi="Arial Narrow" w:cs="Calibri"/>
                <w:color w:val="000000"/>
                <w:sz w:val="20"/>
                <w:szCs w:val="20"/>
              </w:rPr>
              <w:t>-</w:t>
            </w:r>
            <w:r w:rsidRPr="0052421D">
              <w:rPr>
                <w:rFonts w:ascii="Arial Narrow" w:hAnsi="Arial Narrow" w:cs="Calibri"/>
                <w:b/>
                <w:bCs/>
                <w:color w:val="000000"/>
                <w:sz w:val="20"/>
                <w:szCs w:val="20"/>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52421D">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52421D">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tcPr>
          <w:p w14:paraId="4290E424" w14:textId="3BE5C06F"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23"/>
                <w:sz w:val="20"/>
                <w:szCs w:val="20"/>
                <w:shd w:val="solid" w:color="000000" w:fill="000000"/>
                <w:fitText w:val="105" w:id="-961850105"/>
                <w14:textFill>
                  <w14:solidFill>
                    <w14:srgbClr w14:val="000000">
                      <w14:alpha w14:val="100000"/>
                    </w14:srgbClr>
                  </w14:solidFill>
                </w14:textFill>
              </w:rPr>
              <w:t xml:space="preserve">　</w:t>
            </w:r>
            <w:r w:rsidRPr="00E96E79">
              <w:rPr>
                <w:rFonts w:ascii="Arial Narrow" w:hAnsi="Arial Narrow" w:cs="Calibri"/>
                <w:color w:val="000000"/>
                <w:w w:val="23"/>
                <w:sz w:val="20"/>
                <w:szCs w:val="20"/>
                <w:shd w:val="solid" w:color="000000" w:fill="000000"/>
                <w:fitText w:val="105" w:id="-961850105"/>
                <w14:textFill>
                  <w14:solidFill>
                    <w14:srgbClr w14:val="000000">
                      <w14:alpha w14:val="100000"/>
                    </w14:srgbClr>
                  </w14:solidFill>
                </w14:textFill>
              </w:rPr>
              <w:t>|</w:t>
            </w:r>
            <w:r w:rsidRPr="00E96E79">
              <w:rPr>
                <w:rFonts w:ascii="Arial Narrow" w:hAnsi="Arial Narrow" w:cs="Calibri" w:hint="eastAsia"/>
                <w:color w:val="000000"/>
                <w:spacing w:val="4"/>
                <w:w w:val="23"/>
                <w:sz w:val="20"/>
                <w:szCs w:val="20"/>
                <w:shd w:val="solid" w:color="000000" w:fill="000000"/>
                <w:fitText w:val="105" w:id="-961850105"/>
                <w14:textFill>
                  <w14:solidFill>
                    <w14:srgbClr w14:val="000000">
                      <w14:alpha w14:val="100000"/>
                    </w14:srgbClr>
                  </w14:solidFill>
                </w14:textFill>
              </w:rPr>
              <w:t xml:space="preserve">　</w:t>
            </w:r>
            <w:r w:rsidRPr="0035358E">
              <w:rPr>
                <w:rFonts w:ascii="Arial Narrow" w:hAnsi="Arial Narrow" w:cs="Calibri"/>
                <w:color w:val="000000"/>
                <w:sz w:val="20"/>
                <w:szCs w:val="20"/>
              </w:rPr>
              <w:t>%</w:t>
            </w:r>
          </w:p>
        </w:tc>
      </w:tr>
      <w:tr w:rsidR="001977D9" w:rsidRPr="0035358E" w14:paraId="34D6FB70" w14:textId="77777777" w:rsidTr="000F7C01">
        <w:trPr>
          <w:trHeight w:val="54"/>
        </w:trPr>
        <w:tc>
          <w:tcPr>
            <w:tcW w:w="1838" w:type="dxa"/>
          </w:tcPr>
          <w:p w14:paraId="7F3DE5FA" w14:textId="2C611EA4" w:rsidR="001977D9" w:rsidRPr="00F4646F" w:rsidRDefault="00342678" w:rsidP="001977D9">
            <w:pPr>
              <w:keepNext/>
              <w:jc w:val="left"/>
              <w:rPr>
                <w:rFonts w:ascii="Arial Narrow" w:hAnsi="Arial Narrow" w:cs="Calibri"/>
                <w:color w:val="000000"/>
                <w:sz w:val="20"/>
                <w:szCs w:val="20"/>
              </w:rPr>
            </w:pPr>
            <w:r>
              <w:rPr>
                <w:rFonts w:ascii="Arial Narrow" w:hAnsi="Arial Narrow" w:cs="Calibri"/>
                <w:color w:val="000000"/>
                <w:sz w:val="20"/>
                <w:szCs w:val="20"/>
              </w:rPr>
              <w:t xml:space="preserve"> </w:t>
            </w:r>
            <w:r w:rsidR="001977D9" w:rsidRPr="00F4646F">
              <w:rPr>
                <w:rFonts w:ascii="Arial Narrow" w:hAnsi="Arial Narrow" w:cs="Calibri"/>
                <w:color w:val="000000"/>
                <w:sz w:val="20"/>
                <w:szCs w:val="20"/>
              </w:rPr>
              <w:t>- Fatal</w:t>
            </w:r>
          </w:p>
        </w:tc>
        <w:tc>
          <w:tcPr>
            <w:tcW w:w="1943" w:type="dxa"/>
            <w:vMerge/>
          </w:tcPr>
          <w:p w14:paraId="04ACAD59" w14:textId="77777777" w:rsidR="001977D9" w:rsidRPr="00F4646F" w:rsidRDefault="001977D9" w:rsidP="001977D9">
            <w:pPr>
              <w:keepNext/>
              <w:jc w:val="center"/>
              <w:rPr>
                <w:rFonts w:ascii="Arial Narrow" w:hAnsi="Arial Narrow" w:cs="Calibri"/>
                <w:color w:val="000000"/>
                <w:sz w:val="20"/>
                <w:szCs w:val="20"/>
              </w:rPr>
            </w:pPr>
          </w:p>
        </w:tc>
        <w:tc>
          <w:tcPr>
            <w:tcW w:w="1309" w:type="dxa"/>
            <w:vAlign w:val="bottom"/>
          </w:tcPr>
          <w:p w14:paraId="6F82D6D1" w14:textId="150D161C"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$511</w:t>
            </w:r>
          </w:p>
        </w:tc>
        <w:tc>
          <w:tcPr>
            <w:tcW w:w="1309" w:type="dxa"/>
          </w:tcPr>
          <w:p w14:paraId="09780591" w14:textId="4A00F211" w:rsidR="001977D9" w:rsidRPr="001C1B4E" w:rsidRDefault="001977D9" w:rsidP="001977D9">
            <w:pPr>
              <w:keepNext/>
              <w:jc w:val="center"/>
              <w:rPr>
                <w:rFonts w:ascii="Arial Narrow" w:hAnsi="Arial Narrow" w:cs="Calibri"/>
                <w:color w:val="000000"/>
                <w:sz w:val="20"/>
                <w:szCs w:val="20"/>
              </w:rPr>
            </w:pPr>
            <w:r w:rsidRPr="00991713">
              <w:rPr>
                <w:rFonts w:ascii="Arial Narrow" w:hAnsi="Arial Narrow" w:cs="Calibri"/>
                <w:b/>
                <w:bCs/>
                <w:color w:val="000000"/>
                <w:sz w:val="20"/>
                <w:szCs w:val="20"/>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r w:rsidRPr="00991713">
              <w:rPr>
                <w:rFonts w:ascii="Arial Narrow" w:hAnsi="Arial Narrow" w:cs="Calibri"/>
                <w:b/>
                <w:bCs/>
                <w:color w:val="000000"/>
                <w:w w:val="16"/>
                <w:sz w:val="20"/>
                <w:szCs w:val="20"/>
                <w:shd w:val="solid" w:color="000000" w:fill="000000"/>
                <w14:textFill>
                  <w14:solidFill>
                    <w14:srgbClr w14:val="000000">
                      <w14:alpha w14:val="100000"/>
                    </w14:srgbClr>
                  </w14:solidFill>
                </w14:textFill>
              </w:rPr>
              <w:t>|</w:t>
            </w:r>
            <w:r w:rsidRPr="00991713">
              <w:rPr>
                <w:rFonts w:ascii="Arial Narrow" w:hAnsi="Arial Narrow" w:cs="Calibri" w:hint="eastAsia"/>
                <w:b/>
                <w:bCs/>
                <w:color w:val="000000"/>
                <w:w w:val="16"/>
                <w:sz w:val="20"/>
                <w:szCs w:val="20"/>
                <w:shd w:val="solid" w:color="000000" w:fill="000000"/>
                <w14:textFill>
                  <w14:solidFill>
                    <w14:srgbClr w14:val="000000">
                      <w14:alpha w14:val="100000"/>
                    </w14:srgbClr>
                  </w14:solidFill>
                </w14:textFill>
              </w:rPr>
              <w:t xml:space="preserve">　</w:t>
            </w:r>
          </w:p>
        </w:tc>
        <w:tc>
          <w:tcPr>
            <w:tcW w:w="1309" w:type="dxa"/>
            <w:vAlign w:val="bottom"/>
          </w:tcPr>
          <w:p w14:paraId="5C7A460B" w14:textId="12D88AA6" w:rsidR="001977D9" w:rsidRPr="001C1B4E" w:rsidRDefault="001977D9" w:rsidP="001977D9">
            <w:pPr>
              <w:keepNext/>
              <w:jc w:val="center"/>
              <w:rPr>
                <w:rFonts w:ascii="Arial Narrow" w:hAnsi="Arial Narrow" w:cs="Calibri"/>
                <w:color w:val="000000"/>
                <w:sz w:val="20"/>
                <w:szCs w:val="20"/>
              </w:rPr>
            </w:pPr>
            <w:r w:rsidRPr="001C1B4E">
              <w:rPr>
                <w:rFonts w:ascii="Arial Narrow" w:hAnsi="Arial Narrow" w:cs="Calibri"/>
                <w:color w:val="000000"/>
                <w:sz w:val="20"/>
                <w:szCs w:val="20"/>
              </w:rPr>
              <w:t>-</w:t>
            </w:r>
            <w:r w:rsidRPr="0035358E">
              <w:rPr>
                <w:rFonts w:ascii="Arial Narrow" w:hAnsi="Arial Narrow" w:cs="Calibri"/>
                <w:b/>
                <w:bCs/>
                <w:color w:val="000000"/>
                <w:sz w:val="20"/>
                <w:szCs w:val="20"/>
              </w:rPr>
              <w:t>$</w:t>
            </w:r>
            <w:r w:rsidRPr="00B57077">
              <w:rPr>
                <w:rFonts w:ascii="Arial Narrow" w:hAnsi="Arial Narrow" w:cs="Calibri" w:hint="eastAsia"/>
                <w:b/>
                <w:bCs/>
                <w:color w:val="000000"/>
                <w:w w:val="16"/>
                <w:sz w:val="20"/>
                <w:szCs w:val="20"/>
                <w:shd w:val="solid" w:color="000000" w:fill="000000"/>
                <w:fitText w:val="75" w:id="-961850102"/>
                <w14:textFill>
                  <w14:solidFill>
                    <w14:srgbClr w14:val="000000">
                      <w14:alpha w14:val="100000"/>
                    </w14:srgbClr>
                  </w14:solidFill>
                </w14:textFill>
              </w:rPr>
              <w:t xml:space="preserve">　</w:t>
            </w:r>
            <w:r w:rsidRPr="00B57077">
              <w:rPr>
                <w:rFonts w:ascii="Arial Narrow" w:hAnsi="Arial Narrow" w:cs="Calibri"/>
                <w:b/>
                <w:bCs/>
                <w:color w:val="000000"/>
                <w:w w:val="16"/>
                <w:sz w:val="20"/>
                <w:szCs w:val="20"/>
                <w:shd w:val="solid" w:color="000000" w:fill="000000"/>
                <w:fitText w:val="75" w:id="-961850102"/>
                <w14:textFill>
                  <w14:solidFill>
                    <w14:srgbClr w14:val="000000">
                      <w14:alpha w14:val="100000"/>
                    </w14:srgbClr>
                  </w14:solidFill>
                </w14:textFill>
              </w:rPr>
              <w:t>|</w:t>
            </w:r>
            <w:r w:rsidRPr="00B57077">
              <w:rPr>
                <w:rFonts w:ascii="Arial Narrow" w:hAnsi="Arial Narrow" w:cs="Calibri" w:hint="eastAsia"/>
                <w:b/>
                <w:bCs/>
                <w:color w:val="000000"/>
                <w:spacing w:val="5"/>
                <w:w w:val="16"/>
                <w:sz w:val="20"/>
                <w:szCs w:val="20"/>
                <w:shd w:val="solid" w:color="000000" w:fill="000000"/>
                <w:fitText w:val="75" w:id="-961850102"/>
                <w14:textFill>
                  <w14:solidFill>
                    <w14:srgbClr w14:val="000000">
                      <w14:alpha w14:val="100000"/>
                    </w14:srgbClr>
                  </w14:solidFill>
                </w14:textFill>
              </w:rPr>
              <w:t xml:space="preserve">　</w:t>
            </w:r>
          </w:p>
        </w:tc>
        <w:tc>
          <w:tcPr>
            <w:tcW w:w="1309" w:type="dxa"/>
          </w:tcPr>
          <w:p w14:paraId="59DE00F1" w14:textId="6D543415" w:rsidR="001977D9" w:rsidRPr="00E4193F" w:rsidRDefault="001977D9" w:rsidP="001977D9">
            <w:pPr>
              <w:keepNext/>
              <w:jc w:val="center"/>
              <w:rPr>
                <w:rFonts w:ascii="Arial Narrow" w:hAnsi="Arial Narrow" w:cs="Calibri"/>
                <w:color w:val="000000"/>
                <w:sz w:val="20"/>
                <w:szCs w:val="20"/>
                <w:highlight w:val="yellow"/>
              </w:rPr>
            </w:pPr>
            <w:r w:rsidRPr="0035358E">
              <w:rPr>
                <w:rFonts w:ascii="Arial Narrow" w:hAnsi="Arial Narrow" w:cs="Calibri"/>
                <w:color w:val="000000"/>
                <w:sz w:val="20"/>
                <w:szCs w:val="20"/>
              </w:rPr>
              <w:t>-</w:t>
            </w:r>
            <w:r w:rsidRPr="00E96E79">
              <w:rPr>
                <w:rFonts w:ascii="Arial Narrow" w:hAnsi="Arial Narrow" w:cs="Calibri" w:hint="eastAsia"/>
                <w:color w:val="000000"/>
                <w:w w:val="23"/>
                <w:sz w:val="20"/>
                <w:szCs w:val="20"/>
                <w:shd w:val="solid" w:color="000000" w:fill="000000"/>
                <w:fitText w:val="105" w:id="-961850104"/>
                <w14:textFill>
                  <w14:solidFill>
                    <w14:srgbClr w14:val="000000">
                      <w14:alpha w14:val="100000"/>
                    </w14:srgbClr>
                  </w14:solidFill>
                </w14:textFill>
              </w:rPr>
              <w:t xml:space="preserve">　</w:t>
            </w:r>
            <w:r w:rsidRPr="00E96E79">
              <w:rPr>
                <w:rFonts w:ascii="Arial Narrow" w:hAnsi="Arial Narrow" w:cs="Calibri"/>
                <w:color w:val="000000"/>
                <w:w w:val="23"/>
                <w:sz w:val="20"/>
                <w:szCs w:val="20"/>
                <w:shd w:val="solid" w:color="000000" w:fill="000000"/>
                <w:fitText w:val="105" w:id="-961850104"/>
                <w14:textFill>
                  <w14:solidFill>
                    <w14:srgbClr w14:val="000000">
                      <w14:alpha w14:val="100000"/>
                    </w14:srgbClr>
                  </w14:solidFill>
                </w14:textFill>
              </w:rPr>
              <w:t>|</w:t>
            </w:r>
            <w:r w:rsidRPr="00E96E79">
              <w:rPr>
                <w:rFonts w:ascii="Arial Narrow" w:hAnsi="Arial Narrow" w:cs="Calibri" w:hint="eastAsia"/>
                <w:color w:val="000000"/>
                <w:spacing w:val="4"/>
                <w:w w:val="23"/>
                <w:sz w:val="20"/>
                <w:szCs w:val="20"/>
                <w:shd w:val="solid" w:color="000000" w:fill="000000"/>
                <w:fitText w:val="105" w:id="-961850104"/>
                <w14:textFill>
                  <w14:solidFill>
                    <w14:srgbClr w14:val="000000">
                      <w14:alpha w14:val="100000"/>
                    </w14:srgbClr>
                  </w14:solidFill>
                </w14:textFill>
              </w:rPr>
              <w:t xml:space="preserve">　</w:t>
            </w:r>
            <w:r w:rsidRPr="0035358E">
              <w:rPr>
                <w:rFonts w:ascii="Arial Narrow" w:hAnsi="Arial Narrow" w:cs="Calibri"/>
                <w:color w:val="000000"/>
                <w:sz w:val="20"/>
                <w:szCs w:val="20"/>
              </w:rPr>
              <w:t>%</w:t>
            </w:r>
          </w:p>
        </w:tc>
      </w:tr>
      <w:tr w:rsidR="00B60859" w:rsidRPr="0035358E" w14:paraId="2B26F95A" w14:textId="77777777" w:rsidTr="00A04ECD">
        <w:trPr>
          <w:trHeight w:val="54"/>
        </w:trPr>
        <w:tc>
          <w:tcPr>
            <w:tcW w:w="3781" w:type="dxa"/>
            <w:gridSpan w:val="2"/>
          </w:tcPr>
          <w:p w14:paraId="3678C204" w14:textId="77777777" w:rsidR="00B60859" w:rsidRPr="00F4646F" w:rsidRDefault="00B60859" w:rsidP="00B177BE">
            <w:pPr>
              <w:keepNext/>
              <w:jc w:val="center"/>
              <w:rPr>
                <w:rFonts w:ascii="Arial Narrow" w:hAnsi="Arial Narrow" w:cs="Calibri"/>
                <w:color w:val="000000"/>
                <w:sz w:val="20"/>
                <w:szCs w:val="20"/>
              </w:rPr>
            </w:pPr>
            <w:r w:rsidRPr="00F4646F">
              <w:rPr>
                <w:rFonts w:ascii="Arial Narrow" w:hAnsi="Arial Narrow" w:cs="Calibri"/>
                <w:b/>
                <w:bCs/>
                <w:color w:val="000000"/>
                <w:sz w:val="20"/>
                <w:szCs w:val="20"/>
              </w:rPr>
              <w:t xml:space="preserve">Total </w:t>
            </w:r>
          </w:p>
        </w:tc>
        <w:tc>
          <w:tcPr>
            <w:tcW w:w="1309" w:type="dxa"/>
            <w:vAlign w:val="bottom"/>
          </w:tcPr>
          <w:p w14:paraId="51B7F47C" w14:textId="727C9970" w:rsidR="00B60859" w:rsidRPr="00E4193F" w:rsidRDefault="00A04ECD" w:rsidP="00B177BE">
            <w:pPr>
              <w:keepNext/>
              <w:jc w:val="center"/>
              <w:rPr>
                <w:rFonts w:ascii="Arial Narrow" w:hAnsi="Arial Narrow" w:cs="Calibri"/>
                <w:b/>
                <w:bCs/>
                <w:color w:val="000000"/>
                <w:sz w:val="20"/>
                <w:szCs w:val="20"/>
                <w:highlight w:val="yellow"/>
              </w:rPr>
            </w:pPr>
            <w:r w:rsidRPr="0035358E">
              <w:rPr>
                <w:rFonts w:ascii="Arial Narrow" w:hAnsi="Arial Narrow" w:cs="Calibri"/>
                <w:b/>
                <w:bCs/>
                <w:color w:val="000000"/>
                <w:sz w:val="20"/>
                <w:szCs w:val="20"/>
              </w:rPr>
              <w:t>$</w:t>
            </w:r>
            <w:r w:rsidR="00E96E79" w:rsidRPr="00E96E79">
              <w:rPr>
                <w:rFonts w:ascii="Arial Narrow" w:hAnsi="Arial Narrow" w:cs="Calibri" w:hint="eastAsia"/>
                <w:b/>
                <w:bCs/>
                <w:color w:val="000000"/>
                <w:w w:val="16"/>
                <w:sz w:val="20"/>
                <w:szCs w:val="20"/>
                <w:shd w:val="solid" w:color="000000" w:fill="000000"/>
                <w:fitText w:val="75" w:id="-961850103"/>
                <w14:textFill>
                  <w14:solidFill>
                    <w14:srgbClr w14:val="000000">
                      <w14:alpha w14:val="100000"/>
                    </w14:srgbClr>
                  </w14:solidFill>
                </w14:textFill>
              </w:rPr>
              <w:t xml:space="preserve">　</w:t>
            </w:r>
            <w:r w:rsidR="00E96E79" w:rsidRPr="00E96E79">
              <w:rPr>
                <w:rFonts w:ascii="Arial Narrow" w:hAnsi="Arial Narrow" w:cs="Calibri"/>
                <w:b/>
                <w:bCs/>
                <w:color w:val="000000"/>
                <w:w w:val="16"/>
                <w:sz w:val="20"/>
                <w:szCs w:val="20"/>
                <w:shd w:val="solid" w:color="000000" w:fill="000000"/>
                <w:fitText w:val="75" w:id="-961850103"/>
                <w14:textFill>
                  <w14:solidFill>
                    <w14:srgbClr w14:val="000000">
                      <w14:alpha w14:val="100000"/>
                    </w14:srgbClr>
                  </w14:solidFill>
                </w14:textFill>
              </w:rPr>
              <w:t>|</w:t>
            </w:r>
            <w:r w:rsidR="00E96E79" w:rsidRPr="00E96E79">
              <w:rPr>
                <w:rFonts w:ascii="Arial Narrow" w:hAnsi="Arial Narrow" w:cs="Calibri" w:hint="eastAsia"/>
                <w:b/>
                <w:bCs/>
                <w:color w:val="000000"/>
                <w:spacing w:val="5"/>
                <w:w w:val="16"/>
                <w:sz w:val="20"/>
                <w:szCs w:val="20"/>
                <w:shd w:val="solid" w:color="000000" w:fill="000000"/>
                <w:fitText w:val="75" w:id="-961850103"/>
                <w14:textFill>
                  <w14:solidFill>
                    <w14:srgbClr w14:val="000000">
                      <w14:alpha w14:val="100000"/>
                    </w14:srgbClr>
                  </w14:solidFill>
                </w14:textFill>
              </w:rPr>
              <w:t xml:space="preserve">　</w:t>
            </w:r>
          </w:p>
        </w:tc>
        <w:tc>
          <w:tcPr>
            <w:tcW w:w="1309" w:type="dxa"/>
            <w:vAlign w:val="bottom"/>
          </w:tcPr>
          <w:p w14:paraId="192B1B81" w14:textId="69F0B51A" w:rsidR="00B60859" w:rsidRPr="001C1B4E" w:rsidRDefault="001977D9" w:rsidP="00B177BE">
            <w:pPr>
              <w:keepNext/>
              <w:jc w:val="center"/>
              <w:rPr>
                <w:rFonts w:ascii="Arial Narrow" w:hAnsi="Arial Narrow" w:cs="Calibri"/>
                <w:b/>
                <w:bCs/>
                <w:color w:val="000000"/>
                <w:sz w:val="20"/>
                <w:szCs w:val="20"/>
              </w:rPr>
            </w:pPr>
            <w:r w:rsidRPr="0035358E">
              <w:rPr>
                <w:rFonts w:ascii="Arial Narrow" w:hAnsi="Arial Narrow" w:cs="Calibri"/>
                <w:b/>
                <w:bCs/>
                <w:color w:val="000000"/>
                <w:sz w:val="20"/>
                <w:szCs w:val="20"/>
              </w:rPr>
              <w:t>$</w:t>
            </w:r>
            <w:r w:rsidRPr="00B57077">
              <w:rPr>
                <w:rFonts w:ascii="Arial Narrow" w:hAnsi="Arial Narrow" w:cs="Calibri" w:hint="eastAsia"/>
                <w:b/>
                <w:bCs/>
                <w:color w:val="000000"/>
                <w:w w:val="16"/>
                <w:sz w:val="20"/>
                <w:szCs w:val="20"/>
                <w:shd w:val="solid" w:color="000000" w:fill="000000"/>
                <w:fitText w:val="75" w:id="-961850102"/>
                <w14:textFill>
                  <w14:solidFill>
                    <w14:srgbClr w14:val="000000">
                      <w14:alpha w14:val="100000"/>
                    </w14:srgbClr>
                  </w14:solidFill>
                </w14:textFill>
              </w:rPr>
              <w:t xml:space="preserve">　</w:t>
            </w:r>
            <w:r w:rsidRPr="00B57077">
              <w:rPr>
                <w:rFonts w:ascii="Arial Narrow" w:hAnsi="Arial Narrow" w:cs="Calibri"/>
                <w:b/>
                <w:bCs/>
                <w:color w:val="000000"/>
                <w:w w:val="16"/>
                <w:sz w:val="20"/>
                <w:szCs w:val="20"/>
                <w:shd w:val="solid" w:color="000000" w:fill="000000"/>
                <w:fitText w:val="75" w:id="-961850102"/>
                <w14:textFill>
                  <w14:solidFill>
                    <w14:srgbClr w14:val="000000">
                      <w14:alpha w14:val="100000"/>
                    </w14:srgbClr>
                  </w14:solidFill>
                </w14:textFill>
              </w:rPr>
              <w:t>|</w:t>
            </w:r>
            <w:r w:rsidRPr="00B57077">
              <w:rPr>
                <w:rFonts w:ascii="Arial Narrow" w:hAnsi="Arial Narrow" w:cs="Calibri" w:hint="eastAsia"/>
                <w:b/>
                <w:bCs/>
                <w:color w:val="000000"/>
                <w:spacing w:val="5"/>
                <w:w w:val="16"/>
                <w:sz w:val="20"/>
                <w:szCs w:val="20"/>
                <w:shd w:val="solid" w:color="000000" w:fill="000000"/>
                <w:fitText w:val="75" w:id="-961850102"/>
                <w14:textFill>
                  <w14:solidFill>
                    <w14:srgbClr w14:val="000000">
                      <w14:alpha w14:val="100000"/>
                    </w14:srgbClr>
                  </w14:solidFill>
                </w14:textFill>
              </w:rPr>
              <w:t xml:space="preserve">　</w:t>
            </w:r>
          </w:p>
        </w:tc>
        <w:tc>
          <w:tcPr>
            <w:tcW w:w="1309" w:type="dxa"/>
            <w:vAlign w:val="bottom"/>
          </w:tcPr>
          <w:p w14:paraId="25CAF144" w14:textId="750D2369" w:rsidR="00B60859" w:rsidRPr="00E4193F" w:rsidRDefault="00A04ECD" w:rsidP="00B177BE">
            <w:pPr>
              <w:keepNext/>
              <w:jc w:val="center"/>
              <w:rPr>
                <w:rFonts w:ascii="Arial Narrow" w:hAnsi="Arial Narrow" w:cs="Calibri"/>
                <w:b/>
                <w:bCs/>
                <w:color w:val="000000"/>
                <w:sz w:val="20"/>
                <w:szCs w:val="20"/>
                <w:highlight w:val="yellow"/>
              </w:rPr>
            </w:pPr>
            <w:r w:rsidRPr="0035358E">
              <w:rPr>
                <w:rFonts w:ascii="Arial Narrow" w:hAnsi="Arial Narrow" w:cs="Calibri"/>
                <w:b/>
                <w:bCs/>
                <w:color w:val="000000"/>
                <w:sz w:val="20"/>
                <w:szCs w:val="20"/>
              </w:rPr>
              <w:t>$</w:t>
            </w:r>
            <w:r w:rsidR="00E96E79" w:rsidRPr="00B57077">
              <w:rPr>
                <w:rFonts w:ascii="Arial Narrow" w:hAnsi="Arial Narrow" w:cs="Calibri" w:hint="eastAsia"/>
                <w:b/>
                <w:bCs/>
                <w:color w:val="000000"/>
                <w:w w:val="16"/>
                <w:sz w:val="20"/>
                <w:szCs w:val="20"/>
                <w:shd w:val="solid" w:color="000000" w:fill="000000"/>
                <w:fitText w:val="75" w:id="-961850102"/>
                <w14:textFill>
                  <w14:solidFill>
                    <w14:srgbClr w14:val="000000">
                      <w14:alpha w14:val="100000"/>
                    </w14:srgbClr>
                  </w14:solidFill>
                </w14:textFill>
              </w:rPr>
              <w:t xml:space="preserve">　</w:t>
            </w:r>
            <w:r w:rsidR="00E96E79" w:rsidRPr="00B57077">
              <w:rPr>
                <w:rFonts w:ascii="Arial Narrow" w:hAnsi="Arial Narrow" w:cs="Calibri"/>
                <w:b/>
                <w:bCs/>
                <w:color w:val="000000"/>
                <w:w w:val="16"/>
                <w:sz w:val="20"/>
                <w:szCs w:val="20"/>
                <w:shd w:val="solid" w:color="000000" w:fill="000000"/>
                <w:fitText w:val="75" w:id="-961850102"/>
                <w14:textFill>
                  <w14:solidFill>
                    <w14:srgbClr w14:val="000000">
                      <w14:alpha w14:val="100000"/>
                    </w14:srgbClr>
                  </w14:solidFill>
                </w14:textFill>
              </w:rPr>
              <w:t>|</w:t>
            </w:r>
            <w:r w:rsidR="00E96E79" w:rsidRPr="00B57077">
              <w:rPr>
                <w:rFonts w:ascii="Arial Narrow" w:hAnsi="Arial Narrow" w:cs="Calibri" w:hint="eastAsia"/>
                <w:b/>
                <w:bCs/>
                <w:color w:val="000000"/>
                <w:spacing w:val="5"/>
                <w:w w:val="16"/>
                <w:sz w:val="20"/>
                <w:szCs w:val="20"/>
                <w:shd w:val="solid" w:color="000000" w:fill="000000"/>
                <w:fitText w:val="75" w:id="-961850102"/>
                <w14:textFill>
                  <w14:solidFill>
                    <w14:srgbClr w14:val="000000">
                      <w14:alpha w14:val="100000"/>
                    </w14:srgbClr>
                  </w14:solidFill>
                </w14:textFill>
              </w:rPr>
              <w:t xml:space="preserve">　</w:t>
            </w:r>
          </w:p>
        </w:tc>
        <w:tc>
          <w:tcPr>
            <w:tcW w:w="1309" w:type="dxa"/>
          </w:tcPr>
          <w:p w14:paraId="75968987" w14:textId="77777777" w:rsidR="00B60859" w:rsidRPr="00E4193F" w:rsidRDefault="00B60859" w:rsidP="00B177BE">
            <w:pPr>
              <w:keepNext/>
              <w:jc w:val="center"/>
              <w:rPr>
                <w:rFonts w:ascii="Arial Narrow" w:hAnsi="Arial Narrow" w:cs="Calibri"/>
                <w:color w:val="000000"/>
                <w:sz w:val="20"/>
                <w:szCs w:val="20"/>
                <w:highlight w:val="yellow"/>
              </w:rPr>
            </w:pPr>
            <w:r w:rsidRPr="001C1B4E">
              <w:rPr>
                <w:rFonts w:ascii="Arial Narrow" w:hAnsi="Arial Narrow" w:cs="Calibri"/>
                <w:b/>
                <w:bCs/>
                <w:color w:val="000000"/>
                <w:sz w:val="20"/>
                <w:szCs w:val="20"/>
              </w:rPr>
              <w:t>100.00%</w:t>
            </w:r>
          </w:p>
        </w:tc>
      </w:tr>
    </w:tbl>
    <w:p w14:paraId="1138CE89" w14:textId="77777777" w:rsidR="00B60859" w:rsidRPr="0035358E" w:rsidRDefault="00B60859" w:rsidP="00B60859">
      <w:pPr>
        <w:pStyle w:val="FooterTableFigure"/>
        <w:keepNext/>
      </w:pPr>
      <w:r w:rsidRPr="0035358E">
        <w:t xml:space="preserve">Source: </w:t>
      </w:r>
      <w:r w:rsidRPr="0035358E">
        <w:rPr>
          <w:iCs/>
        </w:rPr>
        <w:t>Constructed during the evaluation</w:t>
      </w:r>
      <w:r w:rsidRPr="0035358E">
        <w:t xml:space="preserve"> from the “ABRYSVO_Maternal_CEA_Base_Case” Excel Workbook provided with the submission.</w:t>
      </w:r>
    </w:p>
    <w:p w14:paraId="37B45BE0" w14:textId="08F92E18" w:rsidR="001D5843" w:rsidRPr="0035358E" w:rsidRDefault="00FA2DA6" w:rsidP="00A04ECD">
      <w:pPr>
        <w:pStyle w:val="FooterTableFigure"/>
        <w:contextualSpacing w:val="0"/>
      </w:pPr>
      <w:r>
        <w:t xml:space="preserve">Abbreviations: </w:t>
      </w:r>
      <w:r w:rsidR="00B60859" w:rsidRPr="0035358E">
        <w:t xml:space="preserve">ED = emergency department; GP = general practitioner; LY = life year; QALY = quality-adjusted life year; RSV = Respiratory Syncytial Virus; RSVpreF = </w:t>
      </w:r>
      <w:r w:rsidR="00B60859" w:rsidRPr="0035358E">
        <w:rPr>
          <w:rStyle w:val="ui-provider"/>
        </w:rPr>
        <w:t>recombinant respiratory syncytial virus pre-fusion F protein vaccine; SOC = standard of care.</w:t>
      </w:r>
    </w:p>
    <w:p w14:paraId="3DAEA919" w14:textId="7FA3F64E" w:rsidR="00DB24CC" w:rsidRDefault="00B60859" w:rsidP="00DD4B2C">
      <w:pPr>
        <w:pStyle w:val="3-BodyText"/>
        <w:rPr>
          <w:iCs/>
        </w:rPr>
      </w:pPr>
      <w:r w:rsidRPr="0035358E">
        <w:t xml:space="preserve">Key sensitivity analyses conducted by the submission and during the evaluation are presented in </w:t>
      </w:r>
      <w:r w:rsidRPr="0035358E">
        <w:fldChar w:fldCharType="begin"/>
      </w:r>
      <w:r w:rsidRPr="0035358E">
        <w:instrText xml:space="preserve"> REF _Ref104804865 \h </w:instrText>
      </w:r>
      <w:r w:rsidRPr="0035358E">
        <w:fldChar w:fldCharType="separate"/>
      </w:r>
      <w:r w:rsidR="00A46CAC" w:rsidRPr="0035358E">
        <w:t xml:space="preserve">Table </w:t>
      </w:r>
      <w:r w:rsidR="00A46CAC">
        <w:rPr>
          <w:noProof/>
        </w:rPr>
        <w:t>18</w:t>
      </w:r>
      <w:r w:rsidRPr="0035358E">
        <w:fldChar w:fldCharType="end"/>
      </w:r>
      <w:r w:rsidRPr="0035358E">
        <w:t xml:space="preserve">. </w:t>
      </w:r>
      <w:r w:rsidRPr="0035358E">
        <w:rPr>
          <w:iCs/>
        </w:rPr>
        <w:t>Due to the small incremental costs and QALYs in the base case evaluation, most parameters had a substantial effect on the ICER when testing alternative inputs. As hospitalisations were a key driver of costs and QALYs, the model was extremely sensitive to any parameter which affected this outcome.</w:t>
      </w:r>
    </w:p>
    <w:p w14:paraId="3D23C563" w14:textId="5D07D68E" w:rsidR="00B60859" w:rsidRPr="0035358E" w:rsidRDefault="00B60859" w:rsidP="00B60859">
      <w:pPr>
        <w:pStyle w:val="Caption"/>
        <w:rPr>
          <w:rStyle w:val="CommentReference"/>
          <w:b/>
          <w:szCs w:val="24"/>
          <w:vertAlign w:val="superscript"/>
        </w:rPr>
      </w:pPr>
      <w:bookmarkStart w:id="88" w:name="_Ref104804865"/>
      <w:bookmarkStart w:id="89" w:name="_Ref163154026"/>
      <w:r w:rsidRPr="0035358E">
        <w:t xml:space="preserve">Table </w:t>
      </w:r>
      <w:r w:rsidR="00560E31">
        <w:fldChar w:fldCharType="begin"/>
      </w:r>
      <w:r w:rsidR="00560E31">
        <w:instrText xml:space="preserve"> SEQ Table \* ARABIC </w:instrText>
      </w:r>
      <w:r w:rsidR="00560E31">
        <w:fldChar w:fldCharType="separate"/>
      </w:r>
      <w:r w:rsidR="00A46CAC">
        <w:rPr>
          <w:noProof/>
        </w:rPr>
        <w:t>18</w:t>
      </w:r>
      <w:r w:rsidR="00560E31">
        <w:rPr>
          <w:noProof/>
        </w:rPr>
        <w:fldChar w:fldCharType="end"/>
      </w:r>
      <w:bookmarkEnd w:id="88"/>
      <w:r w:rsidRPr="0035358E">
        <w:t>:</w:t>
      </w:r>
      <w:r w:rsidRPr="0035358E">
        <w:rPr>
          <w:rStyle w:val="CommentReference"/>
          <w:b/>
          <w:szCs w:val="24"/>
        </w:rPr>
        <w:t xml:space="preserve"> Sensitivity analyses per 1,000 vaccinated wom</w:t>
      </w:r>
      <w:r w:rsidR="00D95D43" w:rsidRPr="0035358E">
        <w:rPr>
          <w:rStyle w:val="CommentReference"/>
          <w:b/>
          <w:szCs w:val="24"/>
        </w:rPr>
        <w:t>e</w:t>
      </w:r>
      <w:r w:rsidRPr="0035358E">
        <w:rPr>
          <w:rStyle w:val="CommentReference"/>
          <w:b/>
          <w:szCs w:val="24"/>
        </w:rPr>
        <w:t>n</w:t>
      </w:r>
      <w:r w:rsidRPr="0035358E">
        <w:rPr>
          <w:rStyle w:val="CommentReference"/>
          <w:b/>
          <w:szCs w:val="24"/>
          <w:vertAlign w:val="superscript"/>
        </w:rPr>
        <w:t>a</w:t>
      </w:r>
      <w:bookmarkEnd w:id="89"/>
    </w:p>
    <w:tbl>
      <w:tblPr>
        <w:tblStyle w:val="TableGrid"/>
        <w:tblW w:w="5000" w:type="pct"/>
        <w:tblLayout w:type="fixed"/>
        <w:tblCellMar>
          <w:left w:w="85" w:type="dxa"/>
          <w:right w:w="85" w:type="dxa"/>
        </w:tblCellMar>
        <w:tblLook w:val="04A0" w:firstRow="1" w:lastRow="0" w:firstColumn="1" w:lastColumn="0" w:noHBand="0" w:noVBand="1"/>
        <w:tblCaption w:val="Table 18: Sensitivity analyses per 1,000 vaccinated women"/>
      </w:tblPr>
      <w:tblGrid>
        <w:gridCol w:w="4957"/>
        <w:gridCol w:w="1134"/>
        <w:gridCol w:w="1134"/>
        <w:gridCol w:w="992"/>
        <w:gridCol w:w="800"/>
      </w:tblGrid>
      <w:tr w:rsidR="00B60859" w:rsidRPr="0035358E" w14:paraId="3EF46B7A" w14:textId="77777777" w:rsidTr="00EA01A3">
        <w:trPr>
          <w:trHeight w:val="54"/>
          <w:tblHeader/>
        </w:trPr>
        <w:tc>
          <w:tcPr>
            <w:tcW w:w="4957" w:type="dxa"/>
            <w:vAlign w:val="center"/>
            <w:hideMark/>
          </w:tcPr>
          <w:p w14:paraId="20583F4F" w14:textId="77777777" w:rsidR="00B60859" w:rsidRPr="0035358E" w:rsidRDefault="00B60859" w:rsidP="00C35C2F">
            <w:pPr>
              <w:jc w:val="center"/>
              <w:rPr>
                <w:b/>
              </w:rPr>
            </w:pPr>
            <w:bookmarkStart w:id="90" w:name="_Toc22897646"/>
            <w:r w:rsidRPr="0035358E">
              <w:rPr>
                <w:rFonts w:ascii="Arial Narrow" w:hAnsi="Arial Narrow" w:cs="Calibri"/>
                <w:b/>
                <w:bCs/>
                <w:color w:val="000000"/>
                <w:sz w:val="20"/>
                <w:szCs w:val="20"/>
              </w:rPr>
              <w:t>Analyses</w:t>
            </w:r>
          </w:p>
        </w:tc>
        <w:tc>
          <w:tcPr>
            <w:tcW w:w="1134" w:type="dxa"/>
            <w:vAlign w:val="center"/>
            <w:hideMark/>
          </w:tcPr>
          <w:p w14:paraId="74817317" w14:textId="411DAF75" w:rsidR="00B60859" w:rsidRPr="0035358E" w:rsidRDefault="00B60859" w:rsidP="00C35C2F">
            <w:pPr>
              <w:jc w:val="center"/>
              <w:rPr>
                <w:rFonts w:ascii="Arial Narrow" w:hAnsi="Arial Narrow" w:cs="Calibri"/>
                <w:b/>
                <w:bCs/>
                <w:color w:val="000000"/>
                <w:sz w:val="20"/>
                <w:szCs w:val="20"/>
              </w:rPr>
            </w:pPr>
            <w:r w:rsidRPr="0035358E">
              <w:rPr>
                <w:rFonts w:ascii="Arial Narrow" w:hAnsi="Arial Narrow" w:cs="Calibri"/>
                <w:b/>
                <w:bCs/>
                <w:color w:val="000000"/>
                <w:sz w:val="20"/>
                <w:szCs w:val="20"/>
              </w:rPr>
              <w:t>Incremental cost</w:t>
            </w:r>
            <w:r w:rsidR="001755BD">
              <w:rPr>
                <w:rFonts w:ascii="Arial Narrow" w:hAnsi="Arial Narrow" w:cs="Calibri"/>
                <w:b/>
                <w:bCs/>
                <w:color w:val="000000"/>
                <w:sz w:val="20"/>
                <w:szCs w:val="20"/>
              </w:rPr>
              <w:t xml:space="preserve"> ($)</w:t>
            </w:r>
          </w:p>
        </w:tc>
        <w:tc>
          <w:tcPr>
            <w:tcW w:w="1134" w:type="dxa"/>
            <w:vAlign w:val="center"/>
            <w:hideMark/>
          </w:tcPr>
          <w:p w14:paraId="25293ECE" w14:textId="14FEBED8" w:rsidR="00B60859" w:rsidRPr="0035358E" w:rsidRDefault="00B60859" w:rsidP="00C35C2F">
            <w:pPr>
              <w:jc w:val="center"/>
              <w:rPr>
                <w:rFonts w:ascii="Arial Narrow" w:hAnsi="Arial Narrow" w:cs="Calibri"/>
                <w:b/>
                <w:bCs/>
                <w:color w:val="000000"/>
                <w:sz w:val="20"/>
                <w:szCs w:val="20"/>
              </w:rPr>
            </w:pPr>
            <w:r w:rsidRPr="0035358E">
              <w:rPr>
                <w:rFonts w:ascii="Arial Narrow" w:hAnsi="Arial Narrow" w:cs="Calibri"/>
                <w:b/>
                <w:bCs/>
                <w:color w:val="000000"/>
                <w:sz w:val="20"/>
                <w:szCs w:val="20"/>
              </w:rPr>
              <w:t>Incremental QALY</w:t>
            </w:r>
            <w:r w:rsidR="00787853" w:rsidRPr="0035358E">
              <w:rPr>
                <w:rFonts w:ascii="Arial Narrow" w:hAnsi="Arial Narrow" w:cs="Calibri"/>
                <w:b/>
                <w:bCs/>
                <w:color w:val="000000"/>
                <w:sz w:val="20"/>
                <w:szCs w:val="20"/>
              </w:rPr>
              <w:t xml:space="preserve"> </w:t>
            </w:r>
          </w:p>
        </w:tc>
        <w:tc>
          <w:tcPr>
            <w:tcW w:w="992" w:type="dxa"/>
            <w:vAlign w:val="center"/>
            <w:hideMark/>
          </w:tcPr>
          <w:p w14:paraId="3A5B2BA5" w14:textId="77777777" w:rsidR="00B60859" w:rsidRPr="0035358E" w:rsidRDefault="00B60859" w:rsidP="00C35C2F">
            <w:pPr>
              <w:jc w:val="center"/>
              <w:rPr>
                <w:rFonts w:ascii="Arial Narrow" w:hAnsi="Arial Narrow" w:cs="Calibri"/>
                <w:b/>
                <w:bCs/>
                <w:color w:val="000000"/>
                <w:sz w:val="20"/>
                <w:szCs w:val="20"/>
              </w:rPr>
            </w:pPr>
            <w:r w:rsidRPr="0035358E">
              <w:rPr>
                <w:rFonts w:ascii="Arial Narrow" w:hAnsi="Arial Narrow" w:cs="Calibri"/>
                <w:b/>
                <w:bCs/>
                <w:color w:val="000000"/>
                <w:sz w:val="20"/>
                <w:szCs w:val="20"/>
              </w:rPr>
              <w:t>ICER</w:t>
            </w:r>
          </w:p>
        </w:tc>
        <w:tc>
          <w:tcPr>
            <w:tcW w:w="800" w:type="dxa"/>
            <w:vAlign w:val="center"/>
            <w:hideMark/>
          </w:tcPr>
          <w:p w14:paraId="56A6255E" w14:textId="77777777" w:rsidR="00B60859" w:rsidRPr="0035358E" w:rsidRDefault="00B60859" w:rsidP="00C35C2F">
            <w:pPr>
              <w:jc w:val="center"/>
              <w:rPr>
                <w:rFonts w:ascii="Arial Narrow" w:hAnsi="Arial Narrow" w:cs="Calibri"/>
                <w:b/>
                <w:bCs/>
                <w:sz w:val="20"/>
                <w:szCs w:val="20"/>
              </w:rPr>
            </w:pPr>
            <w:r w:rsidRPr="0035358E">
              <w:rPr>
                <w:rFonts w:ascii="Arial Narrow" w:hAnsi="Arial Narrow" w:cs="Calibri"/>
                <w:b/>
                <w:bCs/>
                <w:sz w:val="20"/>
                <w:szCs w:val="20"/>
              </w:rPr>
              <w:t>% Change</w:t>
            </w:r>
          </w:p>
        </w:tc>
      </w:tr>
      <w:tr w:rsidR="00B60859" w:rsidRPr="0035358E" w14:paraId="2F482694" w14:textId="77777777" w:rsidTr="00EA01A3">
        <w:trPr>
          <w:trHeight w:val="54"/>
        </w:trPr>
        <w:tc>
          <w:tcPr>
            <w:tcW w:w="4957" w:type="dxa"/>
            <w:hideMark/>
          </w:tcPr>
          <w:p w14:paraId="41CC097A" w14:textId="77777777" w:rsidR="00B60859" w:rsidRPr="0035358E" w:rsidRDefault="00B60859" w:rsidP="00C35C2F">
            <w:pPr>
              <w:jc w:val="left"/>
              <w:rPr>
                <w:rFonts w:ascii="Arial Narrow" w:hAnsi="Arial Narrow" w:cs="Calibri"/>
                <w:b/>
                <w:bCs/>
                <w:color w:val="000000"/>
                <w:sz w:val="20"/>
                <w:szCs w:val="20"/>
              </w:rPr>
            </w:pPr>
            <w:r w:rsidRPr="0035358E">
              <w:rPr>
                <w:rFonts w:ascii="Arial Narrow" w:hAnsi="Arial Narrow" w:cs="Calibri"/>
                <w:b/>
                <w:bCs/>
                <w:color w:val="000000"/>
                <w:sz w:val="20"/>
                <w:szCs w:val="20"/>
              </w:rPr>
              <w:t>Base case</w:t>
            </w:r>
          </w:p>
        </w:tc>
        <w:tc>
          <w:tcPr>
            <w:tcW w:w="1134" w:type="dxa"/>
            <w:vAlign w:val="center"/>
            <w:hideMark/>
          </w:tcPr>
          <w:p w14:paraId="4B946536" w14:textId="26359084" w:rsidR="00B60859" w:rsidRPr="001755BD" w:rsidRDefault="00E96E79" w:rsidP="00C35C2F">
            <w:pPr>
              <w:jc w:val="center"/>
              <w:rPr>
                <w:rFonts w:ascii="Arial Narrow" w:hAnsi="Arial Narrow" w:cs="Calibri"/>
                <w:b/>
                <w:bCs/>
                <w:color w:val="000000"/>
                <w:sz w:val="20"/>
                <w:szCs w:val="20"/>
                <w:highlight w:val="lightGray"/>
              </w:rPr>
            </w:pPr>
            <w:r w:rsidRPr="00B57077">
              <w:rPr>
                <w:rFonts w:ascii="Arial Narrow" w:hAnsi="Arial Narrow" w:cs="Calibri" w:hint="eastAsia"/>
                <w:b/>
                <w:bCs/>
                <w:color w:val="000000"/>
                <w:w w:val="26"/>
                <w:sz w:val="20"/>
                <w:szCs w:val="20"/>
                <w:shd w:val="solid" w:color="000000" w:fill="000000"/>
                <w:fitText w:val="120" w:id="-961850101"/>
                <w14:textFill>
                  <w14:solidFill>
                    <w14:srgbClr w14:val="000000">
                      <w14:alpha w14:val="100000"/>
                    </w14:srgbClr>
                  </w14:solidFill>
                </w14:textFill>
              </w:rPr>
              <w:t xml:space="preserve">　</w:t>
            </w:r>
            <w:r w:rsidRPr="00B57077">
              <w:rPr>
                <w:rFonts w:ascii="Arial Narrow" w:hAnsi="Arial Narrow" w:cs="Calibri"/>
                <w:b/>
                <w:bCs/>
                <w:color w:val="000000"/>
                <w:w w:val="26"/>
                <w:sz w:val="20"/>
                <w:szCs w:val="20"/>
                <w:shd w:val="solid" w:color="000000" w:fill="000000"/>
                <w:fitText w:val="120" w:id="-961850101"/>
                <w14:textFill>
                  <w14:solidFill>
                    <w14:srgbClr w14:val="000000">
                      <w14:alpha w14:val="100000"/>
                    </w14:srgbClr>
                  </w14:solidFill>
                </w14:textFill>
              </w:rPr>
              <w:t>|</w:t>
            </w:r>
            <w:r w:rsidRPr="00B57077">
              <w:rPr>
                <w:rFonts w:ascii="Arial Narrow" w:hAnsi="Arial Narrow" w:cs="Calibri" w:hint="eastAsia"/>
                <w:b/>
                <w:bCs/>
                <w:color w:val="000000"/>
                <w:spacing w:val="4"/>
                <w:w w:val="26"/>
                <w:sz w:val="20"/>
                <w:szCs w:val="20"/>
                <w:shd w:val="solid" w:color="000000" w:fill="000000"/>
                <w:fitText w:val="120" w:id="-961850101"/>
                <w14:textFill>
                  <w14:solidFill>
                    <w14:srgbClr w14:val="000000">
                      <w14:alpha w14:val="100000"/>
                    </w14:srgbClr>
                  </w14:solidFill>
                </w14:textFill>
              </w:rPr>
              <w:t xml:space="preserve">　</w:t>
            </w:r>
            <w:r w:rsidR="005A2532" w:rsidRPr="005A2532">
              <w:rPr>
                <w:rFonts w:ascii="Arial Narrow" w:hAnsi="Arial Narrow" w:cs="Calibri"/>
                <w:b/>
                <w:bCs/>
                <w:color w:val="000000"/>
                <w:sz w:val="20"/>
                <w:szCs w:val="20"/>
              </w:rPr>
              <w:t xml:space="preserve"> </w:t>
            </w:r>
          </w:p>
        </w:tc>
        <w:tc>
          <w:tcPr>
            <w:tcW w:w="1134" w:type="dxa"/>
            <w:vAlign w:val="center"/>
            <w:hideMark/>
          </w:tcPr>
          <w:p w14:paraId="16FBA4EF" w14:textId="023B097F" w:rsidR="00B60859" w:rsidRPr="001C1B4E" w:rsidRDefault="00B60859" w:rsidP="00C35C2F">
            <w:pPr>
              <w:jc w:val="center"/>
              <w:rPr>
                <w:rFonts w:ascii="Arial Narrow" w:hAnsi="Arial Narrow" w:cs="Calibri"/>
                <w:b/>
                <w:bCs/>
                <w:color w:val="000000"/>
                <w:sz w:val="20"/>
                <w:szCs w:val="20"/>
              </w:rPr>
            </w:pPr>
            <w:r w:rsidRPr="001C1B4E">
              <w:rPr>
                <w:rFonts w:ascii="Arial Narrow" w:hAnsi="Arial Narrow" w:cs="Calibri"/>
                <w:b/>
                <w:bCs/>
                <w:color w:val="000000"/>
                <w:sz w:val="20"/>
                <w:szCs w:val="20"/>
              </w:rPr>
              <w:t>0.783</w:t>
            </w:r>
          </w:p>
        </w:tc>
        <w:tc>
          <w:tcPr>
            <w:tcW w:w="992" w:type="dxa"/>
            <w:vAlign w:val="center"/>
            <w:hideMark/>
          </w:tcPr>
          <w:p w14:paraId="4EF30FE8" w14:textId="492A63F5" w:rsidR="00B60859" w:rsidRPr="0035358E" w:rsidRDefault="00E96E79" w:rsidP="00C35C2F">
            <w:pPr>
              <w:jc w:val="center"/>
              <w:rPr>
                <w:rFonts w:ascii="Arial Narrow" w:hAnsi="Arial Narrow" w:cs="Calibri"/>
                <w:b/>
                <w:bCs/>
                <w:color w:val="000000"/>
                <w:sz w:val="20"/>
                <w:szCs w:val="20"/>
              </w:rPr>
            </w:pPr>
            <w:r w:rsidRPr="00E96E79">
              <w:rPr>
                <w:rFonts w:ascii="Arial Narrow" w:hAnsi="Arial Narrow" w:cs="Calibri"/>
                <w:b/>
                <w:bCs/>
                <w:color w:val="000000"/>
                <w:spacing w:val="103"/>
                <w:sz w:val="20"/>
                <w:szCs w:val="20"/>
                <w:shd w:val="solid" w:color="000000" w:fill="000000"/>
                <w:fitText w:val="195" w:id="-961850100"/>
                <w14:textFill>
                  <w14:solidFill>
                    <w14:srgbClr w14:val="000000">
                      <w14:alpha w14:val="100000"/>
                    </w14:srgbClr>
                  </w14:solidFill>
                </w14:textFill>
              </w:rPr>
              <w:t>|</w:t>
            </w:r>
            <w:r w:rsidRPr="00E96E79">
              <w:rPr>
                <w:rFonts w:ascii="Arial Narrow" w:hAnsi="Arial Narrow" w:cs="Calibri"/>
                <w:b/>
                <w:bCs/>
                <w:color w:val="000000"/>
                <w:spacing w:val="1"/>
                <w:sz w:val="20"/>
                <w:szCs w:val="20"/>
                <w:shd w:val="solid" w:color="000000" w:fill="000000"/>
                <w:fitText w:val="195" w:id="-961850100"/>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hideMark/>
          </w:tcPr>
          <w:p w14:paraId="5DB62221" w14:textId="1F82F6AA" w:rsidR="00B60859" w:rsidRPr="0035358E" w:rsidRDefault="00914A93" w:rsidP="00C35C2F">
            <w:pPr>
              <w:jc w:val="center"/>
              <w:rPr>
                <w:rFonts w:ascii="Arial Narrow" w:hAnsi="Arial Narrow" w:cs="Calibri"/>
                <w:b/>
                <w:bCs/>
                <w:sz w:val="20"/>
                <w:szCs w:val="20"/>
              </w:rPr>
            </w:pPr>
            <w:r w:rsidRPr="0035358E">
              <w:rPr>
                <w:rFonts w:ascii="Arial Narrow" w:hAnsi="Arial Narrow" w:cs="Calibri"/>
                <w:b/>
                <w:bCs/>
                <w:sz w:val="20"/>
                <w:szCs w:val="20"/>
              </w:rPr>
              <w:t>-</w:t>
            </w:r>
          </w:p>
        </w:tc>
      </w:tr>
      <w:tr w:rsidR="00B60859" w:rsidRPr="0035358E" w14:paraId="51DACBB2" w14:textId="77777777" w:rsidTr="00EA01A3">
        <w:trPr>
          <w:trHeight w:val="46"/>
        </w:trPr>
        <w:tc>
          <w:tcPr>
            <w:tcW w:w="4957" w:type="dxa"/>
            <w:hideMark/>
          </w:tcPr>
          <w:p w14:paraId="7DFCC664" w14:textId="77777777" w:rsidR="00B60859" w:rsidRPr="0035358E" w:rsidRDefault="00B60859" w:rsidP="00C35C2F">
            <w:pPr>
              <w:jc w:val="left"/>
              <w:rPr>
                <w:rFonts w:ascii="Arial Narrow" w:hAnsi="Arial Narrow" w:cs="Calibri"/>
                <w:color w:val="000000"/>
                <w:sz w:val="20"/>
                <w:szCs w:val="20"/>
              </w:rPr>
            </w:pPr>
            <w:r w:rsidRPr="0035358E">
              <w:rPr>
                <w:rFonts w:ascii="Arial Narrow" w:hAnsi="Arial Narrow" w:cs="Calibri"/>
                <w:color w:val="000000"/>
                <w:sz w:val="20"/>
                <w:szCs w:val="20"/>
              </w:rPr>
              <w:t>Discount rate (base case 5% to QALYs lost)</w:t>
            </w:r>
          </w:p>
        </w:tc>
        <w:tc>
          <w:tcPr>
            <w:tcW w:w="1134" w:type="dxa"/>
            <w:vAlign w:val="center"/>
            <w:hideMark/>
          </w:tcPr>
          <w:p w14:paraId="6553E73B" w14:textId="77777777" w:rsidR="00B60859" w:rsidRPr="001755BD" w:rsidRDefault="00B60859" w:rsidP="00C35C2F">
            <w:pPr>
              <w:jc w:val="center"/>
              <w:rPr>
                <w:rFonts w:ascii="Arial Narrow" w:hAnsi="Arial Narrow" w:cs="Calibri"/>
                <w:color w:val="000000"/>
                <w:sz w:val="20"/>
                <w:szCs w:val="20"/>
                <w:highlight w:val="lightGray"/>
              </w:rPr>
            </w:pPr>
          </w:p>
        </w:tc>
        <w:tc>
          <w:tcPr>
            <w:tcW w:w="1134" w:type="dxa"/>
            <w:vAlign w:val="center"/>
            <w:hideMark/>
          </w:tcPr>
          <w:p w14:paraId="5EDABAD8" w14:textId="77777777" w:rsidR="00B60859" w:rsidRPr="001C1B4E" w:rsidRDefault="00B60859" w:rsidP="00C35C2F">
            <w:pPr>
              <w:jc w:val="center"/>
              <w:rPr>
                <w:rFonts w:ascii="Arial Narrow" w:hAnsi="Arial Narrow" w:cs="Calibri"/>
                <w:color w:val="000000"/>
                <w:sz w:val="20"/>
                <w:szCs w:val="20"/>
              </w:rPr>
            </w:pPr>
          </w:p>
        </w:tc>
        <w:tc>
          <w:tcPr>
            <w:tcW w:w="992" w:type="dxa"/>
            <w:vAlign w:val="center"/>
            <w:hideMark/>
          </w:tcPr>
          <w:p w14:paraId="083EC657" w14:textId="77777777" w:rsidR="00B60859" w:rsidRPr="0035358E" w:rsidRDefault="00B60859" w:rsidP="00C35C2F">
            <w:pPr>
              <w:jc w:val="center"/>
              <w:rPr>
                <w:rFonts w:ascii="Arial Narrow" w:hAnsi="Arial Narrow" w:cs="Calibri"/>
                <w:color w:val="000000"/>
                <w:sz w:val="20"/>
                <w:szCs w:val="20"/>
              </w:rPr>
            </w:pPr>
          </w:p>
        </w:tc>
        <w:tc>
          <w:tcPr>
            <w:tcW w:w="800" w:type="dxa"/>
            <w:vAlign w:val="center"/>
            <w:hideMark/>
          </w:tcPr>
          <w:p w14:paraId="6B4BB139" w14:textId="77777777" w:rsidR="00B60859" w:rsidRPr="0035358E" w:rsidRDefault="00B60859" w:rsidP="00C35C2F">
            <w:pPr>
              <w:jc w:val="center"/>
              <w:rPr>
                <w:rFonts w:ascii="Arial Narrow" w:hAnsi="Arial Narrow" w:cs="Calibri"/>
                <w:sz w:val="20"/>
                <w:szCs w:val="20"/>
              </w:rPr>
            </w:pPr>
          </w:p>
        </w:tc>
      </w:tr>
      <w:tr w:rsidR="00B60859" w:rsidRPr="0035358E" w14:paraId="737614D2" w14:textId="77777777" w:rsidTr="00EA01A3">
        <w:trPr>
          <w:trHeight w:val="46"/>
        </w:trPr>
        <w:tc>
          <w:tcPr>
            <w:tcW w:w="4957" w:type="dxa"/>
          </w:tcPr>
          <w:p w14:paraId="51C54C65" w14:textId="404462C4" w:rsidR="00B60859" w:rsidRPr="0035358E" w:rsidRDefault="00B60859"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s="Calibri"/>
                <w:color w:val="000000"/>
                <w:sz w:val="20"/>
                <w:szCs w:val="20"/>
              </w:rPr>
              <w:t>0%</w:t>
            </w:r>
          </w:p>
        </w:tc>
        <w:tc>
          <w:tcPr>
            <w:tcW w:w="1134" w:type="dxa"/>
            <w:vAlign w:val="center"/>
          </w:tcPr>
          <w:p w14:paraId="1910ABA4" w14:textId="076E47EF" w:rsidR="00B60859"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099"/>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099"/>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099"/>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2F956A1A" w14:textId="2DE7EF4E" w:rsidR="00B60859" w:rsidRPr="001C1B4E" w:rsidRDefault="00B60859"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1.865</w:t>
            </w:r>
          </w:p>
        </w:tc>
        <w:tc>
          <w:tcPr>
            <w:tcW w:w="992" w:type="dxa"/>
            <w:vAlign w:val="center"/>
          </w:tcPr>
          <w:p w14:paraId="121431C7" w14:textId="4F5D73B8" w:rsidR="00B60859"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098"/>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098"/>
                <w14:textFill>
                  <w14:solidFill>
                    <w14:srgbClr w14:val="000000">
                      <w14:alpha w14:val="100000"/>
                    </w14:srgbClr>
                  </w14:solidFill>
                </w14:textFill>
              </w:rPr>
              <w:t>|</w:t>
            </w:r>
            <w:r w:rsidR="006F1A30" w:rsidRPr="006F1A30">
              <w:rPr>
                <w:rFonts w:ascii="Arial Narrow" w:hAnsi="Arial Narrow" w:cs="Calibri"/>
                <w:color w:val="000000"/>
                <w:sz w:val="20"/>
                <w:szCs w:val="20"/>
                <w:vertAlign w:val="superscript"/>
              </w:rPr>
              <w:t>2</w:t>
            </w:r>
          </w:p>
        </w:tc>
        <w:tc>
          <w:tcPr>
            <w:tcW w:w="800" w:type="dxa"/>
            <w:vAlign w:val="center"/>
          </w:tcPr>
          <w:p w14:paraId="2BC659F7" w14:textId="27003534" w:rsidR="00B60859" w:rsidRPr="0035358E" w:rsidRDefault="00B60859" w:rsidP="00C35C2F">
            <w:pPr>
              <w:jc w:val="center"/>
              <w:rPr>
                <w:rFonts w:ascii="Arial Narrow" w:hAnsi="Arial Narrow" w:cs="Calibri"/>
                <w:sz w:val="20"/>
                <w:szCs w:val="20"/>
              </w:rPr>
            </w:pPr>
            <w:r w:rsidRPr="0035358E">
              <w:rPr>
                <w:rFonts w:ascii="Arial Narrow" w:hAnsi="Arial Narrow" w:cs="Calibri"/>
                <w:sz w:val="20"/>
                <w:szCs w:val="20"/>
              </w:rPr>
              <w:t>-</w:t>
            </w:r>
            <w:r w:rsidR="00E96E79" w:rsidRPr="00E96E79">
              <w:rPr>
                <w:rFonts w:ascii="Arial Narrow" w:hAnsi="Arial Narrow" w:cs="Calibri"/>
                <w:color w:val="000000"/>
                <w:spacing w:val="214"/>
                <w:sz w:val="20"/>
                <w:szCs w:val="20"/>
                <w:shd w:val="solid" w:color="000000" w:fill="000000"/>
                <w:fitText w:val="300" w:id="-961850097"/>
                <w14:textFill>
                  <w14:solidFill>
                    <w14:srgbClr w14:val="000000">
                      <w14:alpha w14:val="100000"/>
                    </w14:srgbClr>
                  </w14:solidFill>
                </w14:textFill>
              </w:rPr>
              <w:t>|</w:t>
            </w:r>
            <w:r w:rsidR="00E96E79" w:rsidRPr="00E96E79">
              <w:rPr>
                <w:rFonts w:ascii="Arial Narrow" w:hAnsi="Arial Narrow" w:cs="Calibri"/>
                <w:color w:val="000000"/>
                <w:spacing w:val="1"/>
                <w:sz w:val="20"/>
                <w:szCs w:val="20"/>
                <w:shd w:val="solid" w:color="000000" w:fill="000000"/>
                <w:fitText w:val="300" w:id="-961850097"/>
                <w14:textFill>
                  <w14:solidFill>
                    <w14:srgbClr w14:val="000000">
                      <w14:alpha w14:val="100000"/>
                    </w14:srgbClr>
                  </w14:solidFill>
                </w14:textFill>
              </w:rPr>
              <w:t>|</w:t>
            </w:r>
            <w:r w:rsidRPr="0035358E">
              <w:rPr>
                <w:rFonts w:ascii="Arial Narrow" w:hAnsi="Arial Narrow" w:cs="Calibri"/>
                <w:sz w:val="20"/>
                <w:szCs w:val="20"/>
              </w:rPr>
              <w:t>%</w:t>
            </w:r>
          </w:p>
        </w:tc>
      </w:tr>
      <w:tr w:rsidR="00B60859" w:rsidRPr="0035358E" w14:paraId="40C1728E" w14:textId="77777777" w:rsidTr="00EA01A3">
        <w:trPr>
          <w:trHeight w:val="46"/>
        </w:trPr>
        <w:tc>
          <w:tcPr>
            <w:tcW w:w="4957" w:type="dxa"/>
          </w:tcPr>
          <w:p w14:paraId="1409B00E" w14:textId="77D40E91" w:rsidR="00B60859" w:rsidRPr="0035358E" w:rsidRDefault="00B60859"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3.5</w:t>
            </w:r>
            <w:r w:rsidRPr="0035358E">
              <w:rPr>
                <w:rFonts w:ascii="Arial Narrow" w:hAnsi="Arial Narrow" w:cs="Calibri"/>
                <w:color w:val="000000"/>
                <w:sz w:val="20"/>
                <w:szCs w:val="20"/>
              </w:rPr>
              <w:t>%</w:t>
            </w:r>
          </w:p>
        </w:tc>
        <w:tc>
          <w:tcPr>
            <w:tcW w:w="1134" w:type="dxa"/>
            <w:vAlign w:val="center"/>
          </w:tcPr>
          <w:p w14:paraId="52B3D4FD" w14:textId="1D5152BA" w:rsidR="00B60859"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096"/>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096"/>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096"/>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57FEC7D3" w14:textId="35D45696" w:rsidR="00B60859" w:rsidRPr="001C1B4E" w:rsidRDefault="00B60859"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0.909</w:t>
            </w:r>
          </w:p>
        </w:tc>
        <w:tc>
          <w:tcPr>
            <w:tcW w:w="992" w:type="dxa"/>
            <w:vAlign w:val="center"/>
          </w:tcPr>
          <w:p w14:paraId="6444C24A" w14:textId="0046EB6B" w:rsidR="00B60859"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112"/>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12"/>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tcPr>
          <w:p w14:paraId="3CDE8C84" w14:textId="42FDFB88" w:rsidR="00B60859" w:rsidRPr="0035358E" w:rsidRDefault="00B60859" w:rsidP="00C35C2F">
            <w:pPr>
              <w:jc w:val="center"/>
              <w:rPr>
                <w:rFonts w:ascii="Arial Narrow" w:hAnsi="Arial Narrow" w:cs="Calibri"/>
                <w:sz w:val="20"/>
                <w:szCs w:val="20"/>
              </w:rPr>
            </w:pPr>
            <w:r w:rsidRPr="0035358E">
              <w:rPr>
                <w:rFonts w:ascii="Arial Narrow" w:hAnsi="Arial Narrow" w:cs="Calibri"/>
                <w:sz w:val="20"/>
                <w:szCs w:val="20"/>
              </w:rPr>
              <w:t>-</w:t>
            </w:r>
            <w:r w:rsidR="00E96E79" w:rsidRPr="00E96E79">
              <w:rPr>
                <w:rFonts w:ascii="Arial Narrow" w:hAnsi="Arial Narrow" w:cs="Calibri"/>
                <w:color w:val="000000"/>
                <w:spacing w:val="214"/>
                <w:sz w:val="20"/>
                <w:szCs w:val="20"/>
                <w:shd w:val="solid" w:color="000000" w:fill="000000"/>
                <w:fitText w:val="300" w:id="-961850111"/>
                <w14:textFill>
                  <w14:solidFill>
                    <w14:srgbClr w14:val="000000">
                      <w14:alpha w14:val="100000"/>
                    </w14:srgbClr>
                  </w14:solidFill>
                </w14:textFill>
              </w:rPr>
              <w:t>|</w:t>
            </w:r>
            <w:r w:rsidR="00E96E79" w:rsidRPr="00E96E79">
              <w:rPr>
                <w:rFonts w:ascii="Arial Narrow" w:hAnsi="Arial Narrow" w:cs="Calibri"/>
                <w:color w:val="000000"/>
                <w:spacing w:val="1"/>
                <w:sz w:val="20"/>
                <w:szCs w:val="20"/>
                <w:shd w:val="solid" w:color="000000" w:fill="000000"/>
                <w:fitText w:val="300" w:id="-961850111"/>
                <w14:textFill>
                  <w14:solidFill>
                    <w14:srgbClr w14:val="000000">
                      <w14:alpha w14:val="100000"/>
                    </w14:srgbClr>
                  </w14:solidFill>
                </w14:textFill>
              </w:rPr>
              <w:t>|</w:t>
            </w:r>
            <w:r w:rsidRPr="0035358E">
              <w:rPr>
                <w:rFonts w:ascii="Arial Narrow" w:hAnsi="Arial Narrow" w:cs="Calibri"/>
                <w:sz w:val="20"/>
                <w:szCs w:val="20"/>
              </w:rPr>
              <w:t>%</w:t>
            </w:r>
          </w:p>
        </w:tc>
      </w:tr>
      <w:tr w:rsidR="005B4181" w:rsidRPr="0035358E" w14:paraId="353BA9E7" w14:textId="77777777" w:rsidTr="00EA01A3">
        <w:trPr>
          <w:trHeight w:val="46"/>
        </w:trPr>
        <w:tc>
          <w:tcPr>
            <w:tcW w:w="4957" w:type="dxa"/>
          </w:tcPr>
          <w:p w14:paraId="585479D1" w14:textId="30ADE28F" w:rsidR="005B4181" w:rsidRPr="0035358E" w:rsidRDefault="005B4181" w:rsidP="00C35C2F">
            <w:pPr>
              <w:jc w:val="left"/>
              <w:rPr>
                <w:rFonts w:ascii="Symbol" w:hAnsi="Symbol" w:cs="Calibri"/>
                <w:color w:val="000000"/>
                <w:sz w:val="20"/>
                <w:szCs w:val="20"/>
              </w:rPr>
            </w:pPr>
            <w:bookmarkStart w:id="91" w:name="_Hlk159688400"/>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Reverse discounting to vaccine costs</w:t>
            </w:r>
            <w:r w:rsidRPr="0035358E">
              <w:rPr>
                <w:rFonts w:ascii="Arial Narrow" w:hAnsi="Arial Narrow"/>
                <w:color w:val="000000"/>
                <w:sz w:val="20"/>
                <w:szCs w:val="20"/>
                <w:vertAlign w:val="superscript"/>
              </w:rPr>
              <w:t xml:space="preserve">b </w:t>
            </w:r>
            <w:r w:rsidRPr="0035358E">
              <w:rPr>
                <w:rFonts w:ascii="Arial Narrow" w:hAnsi="Arial Narrow"/>
                <w:b/>
                <w:bCs/>
                <w:color w:val="000000"/>
                <w:sz w:val="20"/>
                <w:szCs w:val="20"/>
              </w:rPr>
              <w:t>#5</w:t>
            </w:r>
          </w:p>
        </w:tc>
        <w:tc>
          <w:tcPr>
            <w:tcW w:w="1134" w:type="dxa"/>
            <w:vAlign w:val="center"/>
          </w:tcPr>
          <w:p w14:paraId="3BD224A9" w14:textId="0082C536"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110"/>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10"/>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10"/>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07D54A27" w14:textId="72B9B6E8"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center"/>
          </w:tcPr>
          <w:p w14:paraId="1C8A7D15" w14:textId="220E1585"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109"/>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9"/>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tcPr>
          <w:p w14:paraId="07ED49FA" w14:textId="4F8DC95E"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108"/>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8"/>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61BADBB2" w14:textId="77777777" w:rsidTr="00EA01A3">
        <w:trPr>
          <w:trHeight w:val="46"/>
        </w:trPr>
        <w:tc>
          <w:tcPr>
            <w:tcW w:w="4957" w:type="dxa"/>
            <w:hideMark/>
          </w:tcPr>
          <w:p w14:paraId="4CF1D198"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Hospitalisation rate of RSV (base case 2.33%)</w:t>
            </w:r>
          </w:p>
        </w:tc>
        <w:tc>
          <w:tcPr>
            <w:tcW w:w="1134" w:type="dxa"/>
            <w:vAlign w:val="center"/>
            <w:hideMark/>
          </w:tcPr>
          <w:p w14:paraId="7402836A"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1F78797D"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6BD96D2D"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0F3E3D1B" w14:textId="77777777" w:rsidR="005B4181" w:rsidRPr="0035358E" w:rsidRDefault="005B4181" w:rsidP="00C35C2F">
            <w:pPr>
              <w:jc w:val="center"/>
              <w:rPr>
                <w:rFonts w:ascii="Arial Narrow" w:hAnsi="Arial Narrow" w:cs="Calibri"/>
                <w:sz w:val="20"/>
                <w:szCs w:val="20"/>
              </w:rPr>
            </w:pPr>
          </w:p>
        </w:tc>
      </w:tr>
      <w:tr w:rsidR="005B4181" w:rsidRPr="0035358E" w14:paraId="2820CD4C" w14:textId="77777777" w:rsidTr="00EA01A3">
        <w:trPr>
          <w:trHeight w:val="46"/>
        </w:trPr>
        <w:tc>
          <w:tcPr>
            <w:tcW w:w="4957" w:type="dxa"/>
          </w:tcPr>
          <w:p w14:paraId="588B1FEB" w14:textId="401C9B80"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2.03%</w:t>
            </w:r>
            <w:r w:rsidRPr="0035358E">
              <w:rPr>
                <w:rFonts w:ascii="Arial Narrow" w:hAnsi="Arial Narrow"/>
                <w:color w:val="000000"/>
                <w:sz w:val="20"/>
                <w:szCs w:val="20"/>
                <w:vertAlign w:val="superscript"/>
              </w:rPr>
              <w:t>c</w:t>
            </w:r>
            <w:r w:rsidRPr="0035358E">
              <w:rPr>
                <w:rFonts w:ascii="Arial Narrow" w:hAnsi="Arial Narrow"/>
                <w:color w:val="000000"/>
                <w:sz w:val="20"/>
                <w:szCs w:val="20"/>
              </w:rPr>
              <w:t xml:space="preserve"> </w:t>
            </w:r>
            <w:r w:rsidR="001E05EA" w:rsidRPr="0035358E">
              <w:rPr>
                <w:rFonts w:ascii="Arial Narrow" w:hAnsi="Arial Narrow"/>
                <w:color w:val="000000"/>
                <w:sz w:val="20"/>
                <w:szCs w:val="20"/>
              </w:rPr>
              <w:t>(i.e., 13% lower than base case)</w:t>
            </w:r>
          </w:p>
        </w:tc>
        <w:tc>
          <w:tcPr>
            <w:tcW w:w="1134" w:type="dxa"/>
            <w:vAlign w:val="center"/>
          </w:tcPr>
          <w:p w14:paraId="6C54558E" w14:textId="58157F51"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50107"/>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7"/>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7"/>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vAlign w:val="center"/>
          </w:tcPr>
          <w:p w14:paraId="7A632AF5" w14:textId="2E0A7B68"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0.719</w:t>
            </w:r>
          </w:p>
        </w:tc>
        <w:tc>
          <w:tcPr>
            <w:tcW w:w="992" w:type="dxa"/>
            <w:vAlign w:val="center"/>
          </w:tcPr>
          <w:p w14:paraId="4973FB4E" w14:textId="68E18FD9"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5010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6"/>
                <w14:textFill>
                  <w14:solidFill>
                    <w14:srgbClr w14:val="000000">
                      <w14:alpha w14:val="100000"/>
                    </w14:srgbClr>
                  </w14:solidFill>
                </w14:textFill>
              </w:rPr>
              <w:t>|</w:t>
            </w:r>
            <w:r w:rsidR="006F1A30" w:rsidRPr="006F1A30">
              <w:rPr>
                <w:rFonts w:ascii="Arial Narrow" w:hAnsi="Arial Narrow" w:cs="Calibri"/>
                <w:color w:val="000000"/>
                <w:sz w:val="20"/>
                <w:szCs w:val="20"/>
                <w:vertAlign w:val="superscript"/>
              </w:rPr>
              <w:t>3</w:t>
            </w:r>
          </w:p>
        </w:tc>
        <w:tc>
          <w:tcPr>
            <w:tcW w:w="800" w:type="dxa"/>
            <w:vAlign w:val="center"/>
          </w:tcPr>
          <w:p w14:paraId="017CB462" w14:textId="30F59464"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105"/>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5"/>
                <w14:textFill>
                  <w14:solidFill>
                    <w14:srgbClr w14:val="000000">
                      <w14:alpha w14:val="100000"/>
                    </w14:srgbClr>
                  </w14:solidFill>
                </w14:textFill>
              </w:rPr>
              <w:t>|</w:t>
            </w:r>
            <w:r w:rsidR="005B4181" w:rsidRPr="0035358E">
              <w:rPr>
                <w:rFonts w:ascii="Arial Narrow" w:hAnsi="Arial Narrow" w:cs="Calibri"/>
                <w:sz w:val="20"/>
                <w:szCs w:val="20"/>
              </w:rPr>
              <w:t>%</w:t>
            </w:r>
          </w:p>
        </w:tc>
      </w:tr>
      <w:tr w:rsidR="003060E9" w:rsidRPr="0035358E" w14:paraId="34C1712F" w14:textId="77777777" w:rsidTr="00EA01A3">
        <w:trPr>
          <w:trHeight w:val="46"/>
        </w:trPr>
        <w:tc>
          <w:tcPr>
            <w:tcW w:w="4957" w:type="dxa"/>
          </w:tcPr>
          <w:p w14:paraId="19F837ED" w14:textId="4F6466B3" w:rsidR="001E05EA" w:rsidRPr="0035358E" w:rsidRDefault="001E05EA" w:rsidP="00C35C2F">
            <w:pPr>
              <w:jc w:val="left"/>
              <w:rPr>
                <w:rFonts w:ascii="Symbol" w:hAnsi="Symbol"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2.63% (i.e., 13% higher than base case)</w:t>
            </w:r>
          </w:p>
        </w:tc>
        <w:tc>
          <w:tcPr>
            <w:tcW w:w="1134" w:type="dxa"/>
            <w:vAlign w:val="center"/>
          </w:tcPr>
          <w:p w14:paraId="62864933" w14:textId="7E33CBCF" w:rsidR="001E05EA" w:rsidRPr="0035358E" w:rsidRDefault="001E05EA" w:rsidP="00C35C2F">
            <w:pPr>
              <w:jc w:val="center"/>
              <w:rPr>
                <w:rFonts w:ascii="Arial Narrow" w:hAnsi="Arial Narrow" w:cs="Calibri"/>
                <w:color w:val="000000"/>
                <w:sz w:val="20"/>
                <w:szCs w:val="20"/>
              </w:rPr>
            </w:pPr>
            <w:r w:rsidRPr="0035358E">
              <w:rPr>
                <w:rFonts w:ascii="Arial Narrow" w:hAnsi="Arial Narrow" w:cs="Calibri"/>
                <w:color w:val="000000"/>
                <w:sz w:val="20"/>
                <w:szCs w:val="20"/>
              </w:rPr>
              <w:t>-</w:t>
            </w:r>
            <w:r w:rsidR="00E96E79" w:rsidRPr="00E96E79">
              <w:rPr>
                <w:rFonts w:ascii="Arial Narrow" w:hAnsi="Arial Narrow" w:cs="Calibri" w:hint="eastAsia"/>
                <w:color w:val="000000"/>
                <w:w w:val="20"/>
                <w:sz w:val="20"/>
                <w:szCs w:val="20"/>
                <w:shd w:val="solid" w:color="000000" w:fill="000000"/>
                <w:fitText w:val="90" w:id="-961850104"/>
                <w14:textFill>
                  <w14:solidFill>
                    <w14:srgbClr w14:val="000000">
                      <w14:alpha w14:val="100000"/>
                    </w14:srgbClr>
                  </w14:solidFill>
                </w14:textFill>
              </w:rPr>
              <w:t xml:space="preserve">　</w:t>
            </w:r>
            <w:r w:rsidR="00E96E79" w:rsidRPr="00E96E79">
              <w:rPr>
                <w:rFonts w:ascii="Arial Narrow" w:hAnsi="Arial Narrow" w:cs="Calibri"/>
                <w:color w:val="000000"/>
                <w:w w:val="20"/>
                <w:sz w:val="20"/>
                <w:szCs w:val="20"/>
                <w:shd w:val="solid" w:color="000000" w:fill="000000"/>
                <w:fitText w:val="90" w:id="-961850104"/>
                <w14:textFill>
                  <w14:solidFill>
                    <w14:srgbClr w14:val="000000">
                      <w14:alpha w14:val="100000"/>
                    </w14:srgbClr>
                  </w14:solidFill>
                </w14:textFill>
              </w:rPr>
              <w:t>|</w:t>
            </w:r>
            <w:r w:rsidR="00E96E79" w:rsidRPr="00E96E79">
              <w:rPr>
                <w:rFonts w:ascii="Arial Narrow" w:hAnsi="Arial Narrow" w:cs="Calibri" w:hint="eastAsia"/>
                <w:color w:val="000000"/>
                <w:spacing w:val="3"/>
                <w:w w:val="20"/>
                <w:sz w:val="20"/>
                <w:szCs w:val="20"/>
                <w:shd w:val="solid" w:color="000000" w:fill="000000"/>
                <w:fitText w:val="90" w:id="-961850104"/>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vAlign w:val="center"/>
          </w:tcPr>
          <w:p w14:paraId="54B31C04" w14:textId="46C0B76C" w:rsidR="001E05EA" w:rsidRPr="001C1B4E" w:rsidRDefault="001E05EA"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0.849</w:t>
            </w:r>
          </w:p>
        </w:tc>
        <w:tc>
          <w:tcPr>
            <w:tcW w:w="992" w:type="dxa"/>
            <w:vAlign w:val="center"/>
          </w:tcPr>
          <w:p w14:paraId="7646B445" w14:textId="3AC6A294" w:rsidR="001E05EA" w:rsidRPr="0035358E" w:rsidRDefault="001E05EA" w:rsidP="00C35C2F">
            <w:pPr>
              <w:jc w:val="center"/>
              <w:rPr>
                <w:rFonts w:ascii="Arial Narrow" w:hAnsi="Arial Narrow" w:cs="Calibri"/>
                <w:color w:val="000000"/>
                <w:sz w:val="20"/>
                <w:szCs w:val="20"/>
              </w:rPr>
            </w:pPr>
            <w:r w:rsidRPr="0035358E">
              <w:rPr>
                <w:rFonts w:ascii="Arial Narrow" w:hAnsi="Arial Narrow" w:cs="Calibri"/>
                <w:color w:val="000000"/>
                <w:sz w:val="20"/>
                <w:szCs w:val="20"/>
              </w:rPr>
              <w:t>Dominant</w:t>
            </w:r>
          </w:p>
        </w:tc>
        <w:tc>
          <w:tcPr>
            <w:tcW w:w="800" w:type="dxa"/>
            <w:vAlign w:val="center"/>
          </w:tcPr>
          <w:p w14:paraId="117EADB6" w14:textId="36013B67" w:rsidR="001E05EA" w:rsidRPr="0035358E" w:rsidRDefault="001E05EA" w:rsidP="00C35C2F">
            <w:pPr>
              <w:jc w:val="center"/>
              <w:rPr>
                <w:rFonts w:ascii="Arial Narrow" w:hAnsi="Arial Narrow" w:cs="Calibri"/>
                <w:sz w:val="20"/>
                <w:szCs w:val="20"/>
              </w:rPr>
            </w:pPr>
            <w:r w:rsidRPr="0035358E">
              <w:rPr>
                <w:rFonts w:ascii="Arial Narrow" w:hAnsi="Arial Narrow" w:cs="Calibri"/>
                <w:sz w:val="20"/>
                <w:szCs w:val="20"/>
              </w:rPr>
              <w:t>-</w:t>
            </w:r>
          </w:p>
        </w:tc>
      </w:tr>
      <w:tr w:rsidR="005B4181" w:rsidRPr="0035358E" w14:paraId="066FDE9B" w14:textId="77777777" w:rsidTr="00EA01A3">
        <w:trPr>
          <w:trHeight w:val="40"/>
        </w:trPr>
        <w:tc>
          <w:tcPr>
            <w:tcW w:w="4957" w:type="dxa"/>
            <w:hideMark/>
          </w:tcPr>
          <w:p w14:paraId="5F9B7CEF" w14:textId="77777777" w:rsidR="005B4181" w:rsidRPr="0035358E" w:rsidRDefault="005B4181" w:rsidP="00EA01A3">
            <w:pPr>
              <w:keepNext/>
              <w:jc w:val="left"/>
              <w:rPr>
                <w:rFonts w:ascii="Arial Narrow" w:hAnsi="Arial Narrow" w:cs="Calibri"/>
                <w:color w:val="000000"/>
                <w:sz w:val="20"/>
                <w:szCs w:val="20"/>
              </w:rPr>
            </w:pPr>
            <w:r w:rsidRPr="0035358E">
              <w:rPr>
                <w:rFonts w:ascii="Arial Narrow" w:hAnsi="Arial Narrow" w:cs="Calibri"/>
                <w:color w:val="000000"/>
                <w:sz w:val="20"/>
                <w:szCs w:val="20"/>
              </w:rPr>
              <w:t>Risk of dying once hospitalised (base case 0.20%)</w:t>
            </w:r>
          </w:p>
        </w:tc>
        <w:tc>
          <w:tcPr>
            <w:tcW w:w="1134" w:type="dxa"/>
            <w:hideMark/>
          </w:tcPr>
          <w:p w14:paraId="6B14C6B2" w14:textId="77777777" w:rsidR="005B4181" w:rsidRPr="0035358E" w:rsidRDefault="005B4181" w:rsidP="00C35C2F">
            <w:pPr>
              <w:jc w:val="center"/>
              <w:rPr>
                <w:rFonts w:ascii="Arial Narrow" w:hAnsi="Arial Narrow" w:cs="Calibri"/>
                <w:color w:val="000000"/>
                <w:sz w:val="20"/>
                <w:szCs w:val="20"/>
              </w:rPr>
            </w:pPr>
          </w:p>
        </w:tc>
        <w:tc>
          <w:tcPr>
            <w:tcW w:w="1134" w:type="dxa"/>
            <w:hideMark/>
          </w:tcPr>
          <w:p w14:paraId="17178DC2" w14:textId="77777777" w:rsidR="005B4181" w:rsidRPr="001C1B4E" w:rsidRDefault="005B4181" w:rsidP="00C35C2F">
            <w:pPr>
              <w:jc w:val="center"/>
              <w:rPr>
                <w:rFonts w:ascii="Arial Narrow" w:hAnsi="Arial Narrow" w:cs="Calibri"/>
                <w:color w:val="000000"/>
                <w:sz w:val="20"/>
                <w:szCs w:val="20"/>
              </w:rPr>
            </w:pPr>
          </w:p>
        </w:tc>
        <w:tc>
          <w:tcPr>
            <w:tcW w:w="992" w:type="dxa"/>
            <w:hideMark/>
          </w:tcPr>
          <w:p w14:paraId="7DA5FEF3" w14:textId="77777777" w:rsidR="005B4181" w:rsidRPr="0035358E" w:rsidRDefault="005B4181" w:rsidP="00C35C2F">
            <w:pPr>
              <w:jc w:val="center"/>
              <w:rPr>
                <w:rFonts w:ascii="Arial Narrow" w:hAnsi="Arial Narrow" w:cs="Calibri"/>
                <w:color w:val="000000"/>
                <w:sz w:val="20"/>
                <w:szCs w:val="20"/>
              </w:rPr>
            </w:pPr>
          </w:p>
        </w:tc>
        <w:tc>
          <w:tcPr>
            <w:tcW w:w="800" w:type="dxa"/>
            <w:hideMark/>
          </w:tcPr>
          <w:p w14:paraId="6432A850" w14:textId="77777777" w:rsidR="005B4181" w:rsidRPr="0035358E" w:rsidRDefault="005B4181" w:rsidP="00C35C2F">
            <w:pPr>
              <w:jc w:val="center"/>
              <w:rPr>
                <w:rFonts w:ascii="Arial Narrow" w:hAnsi="Arial Narrow" w:cs="Calibri"/>
                <w:sz w:val="20"/>
                <w:szCs w:val="20"/>
              </w:rPr>
            </w:pPr>
          </w:p>
        </w:tc>
      </w:tr>
      <w:tr w:rsidR="005B4181" w:rsidRPr="0035358E" w14:paraId="278B7C30" w14:textId="77777777" w:rsidTr="00EA01A3">
        <w:trPr>
          <w:trHeight w:val="40"/>
        </w:trPr>
        <w:tc>
          <w:tcPr>
            <w:tcW w:w="4957" w:type="dxa"/>
          </w:tcPr>
          <w:p w14:paraId="0CBB961C" w14:textId="258D2F77"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s="Calibri"/>
                <w:color w:val="000000"/>
                <w:sz w:val="20"/>
                <w:szCs w:val="20"/>
              </w:rPr>
              <w:t xml:space="preserve"> </w:t>
            </w:r>
            <w:r w:rsidRPr="0035358E">
              <w:rPr>
                <w:rFonts w:ascii="Arial Narrow" w:hAnsi="Arial Narrow" w:cs="Calibri"/>
                <w:color w:val="000000"/>
                <w:sz w:val="20"/>
                <w:szCs w:val="20"/>
              </w:rPr>
              <w:t>0.10%</w:t>
            </w:r>
          </w:p>
        </w:tc>
        <w:tc>
          <w:tcPr>
            <w:tcW w:w="1134" w:type="dxa"/>
          </w:tcPr>
          <w:p w14:paraId="137A73AF" w14:textId="19C44A25"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50103"/>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3"/>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3"/>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tcPr>
          <w:p w14:paraId="5BB4CD4D" w14:textId="129ECC85"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0.594</w:t>
            </w:r>
          </w:p>
        </w:tc>
        <w:tc>
          <w:tcPr>
            <w:tcW w:w="992" w:type="dxa"/>
          </w:tcPr>
          <w:p w14:paraId="4234DCD0" w14:textId="2D6D9ABA"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50102"/>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2"/>
                <w14:textFill>
                  <w14:solidFill>
                    <w14:srgbClr w14:val="000000">
                      <w14:alpha w14:val="100000"/>
                    </w14:srgbClr>
                  </w14:solidFill>
                </w14:textFill>
              </w:rPr>
              <w:t>|</w:t>
            </w:r>
            <w:r w:rsidR="006F1A30" w:rsidRPr="006F1A30">
              <w:rPr>
                <w:rFonts w:ascii="Arial Narrow" w:hAnsi="Arial Narrow" w:cs="Calibri"/>
                <w:color w:val="000000"/>
                <w:sz w:val="20"/>
                <w:szCs w:val="20"/>
                <w:vertAlign w:val="superscript"/>
              </w:rPr>
              <w:t>4</w:t>
            </w:r>
            <w:r w:rsidR="006F1A30">
              <w:rPr>
                <w:rFonts w:ascii="Arial Narrow" w:hAnsi="Arial Narrow" w:cs="Calibri"/>
                <w:color w:val="000000"/>
                <w:sz w:val="20"/>
                <w:szCs w:val="20"/>
              </w:rPr>
              <w:t xml:space="preserve"> </w:t>
            </w:r>
          </w:p>
        </w:tc>
        <w:tc>
          <w:tcPr>
            <w:tcW w:w="800" w:type="dxa"/>
          </w:tcPr>
          <w:p w14:paraId="0107E93D" w14:textId="42513A4D"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101"/>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1"/>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2E795E1B" w14:textId="77777777" w:rsidTr="00EA01A3">
        <w:trPr>
          <w:trHeight w:val="40"/>
        </w:trPr>
        <w:tc>
          <w:tcPr>
            <w:tcW w:w="4957" w:type="dxa"/>
            <w:hideMark/>
          </w:tcPr>
          <w:p w14:paraId="0D70B135"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lastRenderedPageBreak/>
              <w:t xml:space="preserve">VE (base case 41% to hospitalisation, ED and outpatient attendance events) </w:t>
            </w:r>
          </w:p>
        </w:tc>
        <w:tc>
          <w:tcPr>
            <w:tcW w:w="1134" w:type="dxa"/>
            <w:vAlign w:val="center"/>
            <w:hideMark/>
          </w:tcPr>
          <w:p w14:paraId="374B0001" w14:textId="1A467F30"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534BFBF8"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250E33E9"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2CEA2AD1" w14:textId="77777777" w:rsidR="005B4181" w:rsidRPr="0035358E" w:rsidRDefault="005B4181" w:rsidP="00C35C2F">
            <w:pPr>
              <w:jc w:val="center"/>
              <w:rPr>
                <w:rFonts w:ascii="Arial Narrow" w:hAnsi="Arial Narrow" w:cs="Calibri"/>
                <w:sz w:val="20"/>
                <w:szCs w:val="20"/>
              </w:rPr>
            </w:pPr>
          </w:p>
        </w:tc>
      </w:tr>
      <w:tr w:rsidR="005B4181" w:rsidRPr="0035358E" w14:paraId="38F99E6F" w14:textId="77777777" w:rsidTr="00EA01A3">
        <w:trPr>
          <w:trHeight w:val="40"/>
        </w:trPr>
        <w:tc>
          <w:tcPr>
            <w:tcW w:w="4957" w:type="dxa"/>
          </w:tcPr>
          <w:p w14:paraId="011C04E9" w14:textId="6EE21E8C"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s="Calibri"/>
                <w:color w:val="000000"/>
                <w:sz w:val="20"/>
                <w:szCs w:val="20"/>
              </w:rPr>
              <w:t>33% for hospitalisations, 45% for ED and outpatient attendance events</w:t>
            </w:r>
            <w:r w:rsidRPr="0035358E">
              <w:rPr>
                <w:rFonts w:ascii="Arial Narrow" w:hAnsi="Arial Narrow" w:cs="Calibri"/>
                <w:color w:val="000000"/>
                <w:sz w:val="20"/>
                <w:szCs w:val="20"/>
                <w:vertAlign w:val="superscript"/>
              </w:rPr>
              <w:t xml:space="preserve">d </w:t>
            </w:r>
            <w:r w:rsidRPr="0035358E">
              <w:rPr>
                <w:rFonts w:ascii="Arial Narrow" w:hAnsi="Arial Narrow" w:cs="Calibri"/>
                <w:b/>
                <w:bCs/>
                <w:color w:val="000000"/>
                <w:sz w:val="20"/>
                <w:szCs w:val="20"/>
              </w:rPr>
              <w:t>#2</w:t>
            </w:r>
          </w:p>
        </w:tc>
        <w:tc>
          <w:tcPr>
            <w:tcW w:w="1134" w:type="dxa"/>
            <w:vAlign w:val="center"/>
          </w:tcPr>
          <w:p w14:paraId="2AF4FC9E" w14:textId="287A1AE6"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100"/>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0"/>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0"/>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138C060E" w14:textId="59AAD5BF"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0.712</w:t>
            </w:r>
          </w:p>
        </w:tc>
        <w:tc>
          <w:tcPr>
            <w:tcW w:w="992" w:type="dxa"/>
            <w:vAlign w:val="center"/>
          </w:tcPr>
          <w:p w14:paraId="7DD0FF17" w14:textId="61DED14F"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099"/>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099"/>
                <w14:textFill>
                  <w14:solidFill>
                    <w14:srgbClr w14:val="000000">
                      <w14:alpha w14:val="100000"/>
                    </w14:srgbClr>
                  </w14:solidFill>
                </w14:textFill>
              </w:rPr>
              <w:t>|</w:t>
            </w:r>
            <w:r w:rsidR="006F1A30" w:rsidRPr="006F1A30">
              <w:rPr>
                <w:rFonts w:ascii="Arial Narrow" w:hAnsi="Arial Narrow" w:cs="Calibri"/>
                <w:color w:val="000000"/>
                <w:sz w:val="20"/>
                <w:szCs w:val="20"/>
                <w:vertAlign w:val="superscript"/>
              </w:rPr>
              <w:t>5</w:t>
            </w:r>
          </w:p>
        </w:tc>
        <w:tc>
          <w:tcPr>
            <w:tcW w:w="800" w:type="dxa"/>
            <w:vAlign w:val="center"/>
          </w:tcPr>
          <w:p w14:paraId="55D72029" w14:textId="6A300E47"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098"/>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098"/>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3F9D53CD" w14:textId="77777777" w:rsidTr="00EA01A3">
        <w:trPr>
          <w:trHeight w:val="40"/>
        </w:trPr>
        <w:tc>
          <w:tcPr>
            <w:tcW w:w="4957" w:type="dxa"/>
          </w:tcPr>
          <w:p w14:paraId="32562572" w14:textId="5F45836E"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s="Calibri"/>
                <w:color w:val="000000"/>
                <w:sz w:val="20"/>
                <w:szCs w:val="20"/>
              </w:rPr>
              <w:t>41% for hospitalisations, 54% for ED and outpatient attendance events (based on VE in subgroup of mothers at 28 to &lt; 37 weeks gestation as provided in the PSCR using evaluation methodology)</w:t>
            </w:r>
          </w:p>
        </w:tc>
        <w:tc>
          <w:tcPr>
            <w:tcW w:w="1134" w:type="dxa"/>
            <w:vAlign w:val="center"/>
          </w:tcPr>
          <w:p w14:paraId="2DE75E3B" w14:textId="447C5A3C"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097"/>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097"/>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097"/>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2016D2C7" w14:textId="40C00B87"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0.871</w:t>
            </w:r>
          </w:p>
        </w:tc>
        <w:tc>
          <w:tcPr>
            <w:tcW w:w="992" w:type="dxa"/>
            <w:vAlign w:val="center"/>
          </w:tcPr>
          <w:p w14:paraId="26A0F1DD" w14:textId="32520778" w:rsidR="005B4181" w:rsidRPr="001755BD" w:rsidRDefault="00E96E79" w:rsidP="00186F95">
            <w:pPr>
              <w:jc w:val="center"/>
              <w:rPr>
                <w:rFonts w:ascii="Arial Narrow" w:hAnsi="Arial Narrow" w:cs="Calibri"/>
                <w:color w:val="000000"/>
                <w:sz w:val="20"/>
                <w:szCs w:val="20"/>
                <w:highlight w:val="lightGray"/>
              </w:rPr>
            </w:pPr>
            <w:r w:rsidRPr="00B57077">
              <w:rPr>
                <w:rFonts w:ascii="Arial Narrow" w:hAnsi="Arial Narrow" w:cs="Calibri"/>
                <w:color w:val="000000"/>
                <w:spacing w:val="53"/>
                <w:sz w:val="20"/>
                <w:szCs w:val="20"/>
                <w:shd w:val="solid" w:color="000000" w:fill="000000"/>
                <w:fitText w:val="330" w:id="-961850096"/>
                <w14:textFill>
                  <w14:solidFill>
                    <w14:srgbClr w14:val="000000">
                      <w14:alpha w14:val="100000"/>
                    </w14:srgbClr>
                  </w14:solidFill>
                </w14:textFill>
              </w:rPr>
              <w:t>|||</w:t>
            </w:r>
            <w:r w:rsidRPr="00B57077">
              <w:rPr>
                <w:rFonts w:ascii="Arial Narrow" w:hAnsi="Arial Narrow" w:cs="Calibri"/>
                <w:color w:val="000000"/>
                <w:spacing w:val="1"/>
                <w:sz w:val="20"/>
                <w:szCs w:val="20"/>
                <w:shd w:val="solid" w:color="000000" w:fill="000000"/>
                <w:fitText w:val="330" w:id="-961850096"/>
                <w14:textFill>
                  <w14:solidFill>
                    <w14:srgbClr w14:val="000000">
                      <w14:alpha w14:val="100000"/>
                    </w14:srgbClr>
                  </w14:solidFill>
                </w14:textFill>
              </w:rPr>
              <w:t>|</w:t>
            </w:r>
            <w:r w:rsidR="00DB725F" w:rsidRPr="00DB725F">
              <w:rPr>
                <w:rFonts w:ascii="Arial Narrow" w:hAnsi="Arial Narrow" w:cs="Calibri"/>
                <w:color w:val="000000"/>
                <w:sz w:val="20"/>
                <w:szCs w:val="20"/>
                <w:vertAlign w:val="superscript"/>
              </w:rPr>
              <w:t>6</w:t>
            </w:r>
          </w:p>
        </w:tc>
        <w:tc>
          <w:tcPr>
            <w:tcW w:w="800" w:type="dxa"/>
            <w:vAlign w:val="center"/>
          </w:tcPr>
          <w:p w14:paraId="076B6F66" w14:textId="12E20324" w:rsidR="005B4181" w:rsidRPr="0035358E" w:rsidRDefault="005B4181" w:rsidP="00936657">
            <w:pPr>
              <w:jc w:val="center"/>
              <w:rPr>
                <w:rFonts w:ascii="Arial Narrow" w:hAnsi="Arial Narrow" w:cs="Calibri"/>
                <w:color w:val="000000"/>
                <w:sz w:val="20"/>
                <w:szCs w:val="20"/>
              </w:rPr>
            </w:pPr>
            <w:r w:rsidRPr="0035358E">
              <w:rPr>
                <w:rFonts w:ascii="Arial Narrow" w:hAnsi="Arial Narrow" w:cs="Calibri"/>
                <w:color w:val="000000"/>
                <w:sz w:val="20"/>
                <w:szCs w:val="20"/>
              </w:rPr>
              <w:t>-</w:t>
            </w:r>
            <w:r w:rsidR="00E96E79" w:rsidRPr="00E96E79">
              <w:rPr>
                <w:rFonts w:ascii="Arial Narrow" w:hAnsi="Arial Narrow" w:cs="Calibri"/>
                <w:color w:val="000000"/>
                <w:spacing w:val="214"/>
                <w:sz w:val="20"/>
                <w:szCs w:val="20"/>
                <w:shd w:val="solid" w:color="000000" w:fill="000000"/>
                <w:fitText w:val="300" w:id="-961850112"/>
                <w14:textFill>
                  <w14:solidFill>
                    <w14:srgbClr w14:val="000000">
                      <w14:alpha w14:val="100000"/>
                    </w14:srgbClr>
                  </w14:solidFill>
                </w14:textFill>
              </w:rPr>
              <w:t>|</w:t>
            </w:r>
            <w:r w:rsidR="00E96E79" w:rsidRPr="00E96E79">
              <w:rPr>
                <w:rFonts w:ascii="Arial Narrow" w:hAnsi="Arial Narrow" w:cs="Calibri"/>
                <w:color w:val="000000"/>
                <w:spacing w:val="1"/>
                <w:sz w:val="20"/>
                <w:szCs w:val="20"/>
                <w:shd w:val="solid" w:color="000000" w:fill="000000"/>
                <w:fitText w:val="300" w:id="-961850112"/>
                <w14:textFill>
                  <w14:solidFill>
                    <w14:srgbClr w14:val="000000">
                      <w14:alpha w14:val="100000"/>
                    </w14:srgbClr>
                  </w14:solidFill>
                </w14:textFill>
              </w:rPr>
              <w:t>|</w:t>
            </w:r>
            <w:r w:rsidRPr="0035358E">
              <w:rPr>
                <w:rFonts w:ascii="Arial Narrow" w:hAnsi="Arial Narrow" w:cs="Calibri"/>
                <w:color w:val="000000"/>
                <w:sz w:val="20"/>
                <w:szCs w:val="20"/>
              </w:rPr>
              <w:t>%</w:t>
            </w:r>
          </w:p>
        </w:tc>
      </w:tr>
      <w:tr w:rsidR="005B4181" w:rsidRPr="0035358E" w14:paraId="0D1DD390" w14:textId="77777777" w:rsidTr="00EA01A3">
        <w:trPr>
          <w:trHeight w:val="40"/>
        </w:trPr>
        <w:tc>
          <w:tcPr>
            <w:tcW w:w="4957" w:type="dxa"/>
            <w:hideMark/>
          </w:tcPr>
          <w:p w14:paraId="16A12C73"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Infant QALYs lost (base case 0.010 for hospitalisation, 0.00630 for ED and outpatient attendance)</w:t>
            </w:r>
          </w:p>
        </w:tc>
        <w:tc>
          <w:tcPr>
            <w:tcW w:w="1134" w:type="dxa"/>
            <w:hideMark/>
          </w:tcPr>
          <w:p w14:paraId="4032EF4D" w14:textId="77777777" w:rsidR="005B4181" w:rsidRPr="0035358E" w:rsidRDefault="005B4181" w:rsidP="00C35C2F">
            <w:pPr>
              <w:jc w:val="center"/>
              <w:rPr>
                <w:rFonts w:ascii="Arial Narrow" w:hAnsi="Arial Narrow" w:cs="Calibri"/>
                <w:color w:val="000000"/>
                <w:sz w:val="20"/>
                <w:szCs w:val="20"/>
              </w:rPr>
            </w:pPr>
          </w:p>
        </w:tc>
        <w:tc>
          <w:tcPr>
            <w:tcW w:w="1134" w:type="dxa"/>
            <w:hideMark/>
          </w:tcPr>
          <w:p w14:paraId="7D13274C" w14:textId="77777777" w:rsidR="005B4181" w:rsidRPr="001C1B4E" w:rsidRDefault="005B4181" w:rsidP="00C35C2F">
            <w:pPr>
              <w:jc w:val="center"/>
              <w:rPr>
                <w:rFonts w:ascii="Arial Narrow" w:hAnsi="Arial Narrow" w:cs="Calibri"/>
                <w:color w:val="000000"/>
                <w:sz w:val="20"/>
                <w:szCs w:val="20"/>
              </w:rPr>
            </w:pPr>
          </w:p>
        </w:tc>
        <w:tc>
          <w:tcPr>
            <w:tcW w:w="992" w:type="dxa"/>
            <w:hideMark/>
          </w:tcPr>
          <w:p w14:paraId="62D79601" w14:textId="77777777" w:rsidR="005B4181" w:rsidRPr="0035358E" w:rsidRDefault="005B4181" w:rsidP="00C35C2F">
            <w:pPr>
              <w:jc w:val="center"/>
              <w:rPr>
                <w:rFonts w:ascii="Arial Narrow" w:hAnsi="Arial Narrow" w:cs="Calibri"/>
                <w:color w:val="000000"/>
                <w:sz w:val="20"/>
                <w:szCs w:val="20"/>
              </w:rPr>
            </w:pPr>
          </w:p>
        </w:tc>
        <w:tc>
          <w:tcPr>
            <w:tcW w:w="800" w:type="dxa"/>
            <w:hideMark/>
          </w:tcPr>
          <w:p w14:paraId="03A286E6" w14:textId="77777777" w:rsidR="005B4181" w:rsidRPr="0035358E" w:rsidRDefault="005B4181" w:rsidP="00C35C2F">
            <w:pPr>
              <w:jc w:val="center"/>
              <w:rPr>
                <w:rFonts w:ascii="Arial Narrow" w:hAnsi="Arial Narrow" w:cs="Calibri"/>
                <w:sz w:val="20"/>
                <w:szCs w:val="20"/>
              </w:rPr>
            </w:pPr>
          </w:p>
        </w:tc>
      </w:tr>
      <w:bookmarkEnd w:id="91"/>
      <w:tr w:rsidR="005B4181" w:rsidRPr="0035358E" w14:paraId="5A19F848" w14:textId="77777777" w:rsidTr="00EA01A3">
        <w:trPr>
          <w:trHeight w:val="40"/>
        </w:trPr>
        <w:tc>
          <w:tcPr>
            <w:tcW w:w="4957" w:type="dxa"/>
          </w:tcPr>
          <w:p w14:paraId="07E423AE" w14:textId="21D181FC"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s="Calibri"/>
                <w:color w:val="000000"/>
                <w:sz w:val="20"/>
                <w:szCs w:val="20"/>
              </w:rPr>
              <w:t>No infant QALYs lost for outpatient attendance</w:t>
            </w:r>
          </w:p>
        </w:tc>
        <w:tc>
          <w:tcPr>
            <w:tcW w:w="1134" w:type="dxa"/>
            <w:tcBorders>
              <w:top w:val="nil"/>
              <w:left w:val="nil"/>
              <w:bottom w:val="single" w:sz="8" w:space="0" w:color="auto"/>
              <w:right w:val="single" w:sz="8" w:space="0" w:color="auto"/>
            </w:tcBorders>
          </w:tcPr>
          <w:p w14:paraId="56397B37" w14:textId="2BB1C7E9"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50111"/>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11"/>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11"/>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tcBorders>
              <w:top w:val="nil"/>
              <w:left w:val="nil"/>
              <w:bottom w:val="single" w:sz="8" w:space="0" w:color="auto"/>
              <w:right w:val="single" w:sz="8" w:space="0" w:color="auto"/>
            </w:tcBorders>
          </w:tcPr>
          <w:p w14:paraId="7638BEE0" w14:textId="532EFC4E"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-0.574</w:t>
            </w:r>
          </w:p>
        </w:tc>
        <w:tc>
          <w:tcPr>
            <w:tcW w:w="992" w:type="dxa"/>
            <w:tcBorders>
              <w:top w:val="nil"/>
              <w:left w:val="nil"/>
              <w:bottom w:val="single" w:sz="8" w:space="0" w:color="auto"/>
              <w:right w:val="single" w:sz="8" w:space="0" w:color="auto"/>
            </w:tcBorders>
          </w:tcPr>
          <w:p w14:paraId="79FF85AB" w14:textId="04AEB847"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50110"/>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10"/>
                <w14:textFill>
                  <w14:solidFill>
                    <w14:srgbClr w14:val="000000">
                      <w14:alpha w14:val="100000"/>
                    </w14:srgbClr>
                  </w14:solidFill>
                </w14:textFill>
              </w:rPr>
              <w:t>|</w:t>
            </w:r>
            <w:r w:rsidR="006F1A30" w:rsidRPr="006F1A30">
              <w:rPr>
                <w:rFonts w:ascii="Arial Narrow" w:hAnsi="Arial Narrow" w:cs="Calibri"/>
                <w:color w:val="000000"/>
                <w:sz w:val="20"/>
                <w:szCs w:val="20"/>
                <w:vertAlign w:val="superscript"/>
              </w:rPr>
              <w:t>4</w:t>
            </w:r>
          </w:p>
        </w:tc>
        <w:tc>
          <w:tcPr>
            <w:tcW w:w="800" w:type="dxa"/>
            <w:tcBorders>
              <w:top w:val="nil"/>
              <w:left w:val="nil"/>
              <w:bottom w:val="single" w:sz="8" w:space="0" w:color="auto"/>
              <w:right w:val="single" w:sz="8" w:space="0" w:color="auto"/>
            </w:tcBorders>
          </w:tcPr>
          <w:p w14:paraId="5AB7D958" w14:textId="4FBBB567"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50109"/>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9"/>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688547FC" w14:textId="77777777" w:rsidTr="00EA01A3">
        <w:trPr>
          <w:trHeight w:val="40"/>
        </w:trPr>
        <w:tc>
          <w:tcPr>
            <w:tcW w:w="4957" w:type="dxa"/>
            <w:hideMark/>
          </w:tcPr>
          <w:p w14:paraId="5B3FE47C"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Carer QALYs lost (base case 0.00339 for hospitalisation, 0.00055 for ED and outpatient attendance)</w:t>
            </w:r>
          </w:p>
        </w:tc>
        <w:tc>
          <w:tcPr>
            <w:tcW w:w="1134" w:type="dxa"/>
            <w:vAlign w:val="center"/>
            <w:hideMark/>
          </w:tcPr>
          <w:p w14:paraId="3D2D52EC"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0ED2F477"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4DF92CB5"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6B34ED6C" w14:textId="77777777" w:rsidR="005B4181" w:rsidRPr="0035358E" w:rsidRDefault="005B4181" w:rsidP="00C35C2F">
            <w:pPr>
              <w:jc w:val="center"/>
              <w:rPr>
                <w:rFonts w:ascii="Arial Narrow" w:hAnsi="Arial Narrow" w:cs="Calibri"/>
                <w:sz w:val="20"/>
                <w:szCs w:val="20"/>
              </w:rPr>
            </w:pPr>
          </w:p>
        </w:tc>
      </w:tr>
      <w:tr w:rsidR="005B4181" w:rsidRPr="0035358E" w14:paraId="6212470D" w14:textId="77777777" w:rsidTr="00EA01A3">
        <w:trPr>
          <w:trHeight w:val="40"/>
        </w:trPr>
        <w:tc>
          <w:tcPr>
            <w:tcW w:w="4957" w:type="dxa"/>
          </w:tcPr>
          <w:p w14:paraId="5C278335" w14:textId="4D7043F8"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 xml:space="preserve">Excluded </w:t>
            </w:r>
            <w:r w:rsidRPr="0035358E">
              <w:rPr>
                <w:rFonts w:ascii="Arial Narrow" w:hAnsi="Arial Narrow" w:cs="Calibri"/>
                <w:b/>
                <w:bCs/>
                <w:color w:val="000000"/>
                <w:sz w:val="20"/>
                <w:szCs w:val="20"/>
              </w:rPr>
              <w:t>#4</w:t>
            </w:r>
          </w:p>
        </w:tc>
        <w:tc>
          <w:tcPr>
            <w:tcW w:w="1134" w:type="dxa"/>
            <w:vAlign w:val="center"/>
          </w:tcPr>
          <w:p w14:paraId="72E18156" w14:textId="0A23DB04"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108"/>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8"/>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8"/>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502BAE76" w14:textId="30987976"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0.730</w:t>
            </w:r>
          </w:p>
        </w:tc>
        <w:tc>
          <w:tcPr>
            <w:tcW w:w="992" w:type="dxa"/>
            <w:vAlign w:val="center"/>
          </w:tcPr>
          <w:p w14:paraId="36D0C633" w14:textId="78DE4030"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50107"/>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7"/>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tcPr>
          <w:p w14:paraId="02506A7F" w14:textId="40B73A3A"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10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6"/>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3DED16BA" w14:textId="77777777" w:rsidTr="00EA01A3">
        <w:trPr>
          <w:trHeight w:val="40"/>
        </w:trPr>
        <w:tc>
          <w:tcPr>
            <w:tcW w:w="4957" w:type="dxa"/>
            <w:hideMark/>
          </w:tcPr>
          <w:p w14:paraId="723CB169"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Vaccine administration cost (base case $7)</w:t>
            </w:r>
          </w:p>
        </w:tc>
        <w:tc>
          <w:tcPr>
            <w:tcW w:w="1134" w:type="dxa"/>
            <w:vAlign w:val="center"/>
            <w:hideMark/>
          </w:tcPr>
          <w:p w14:paraId="1D6F0B5F"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481409A9"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43C3838B"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3E9A3B98" w14:textId="77777777" w:rsidR="005B4181" w:rsidRPr="0035358E" w:rsidRDefault="005B4181" w:rsidP="00C35C2F">
            <w:pPr>
              <w:jc w:val="center"/>
              <w:rPr>
                <w:rFonts w:ascii="Arial Narrow" w:hAnsi="Arial Narrow" w:cs="Calibri"/>
                <w:sz w:val="20"/>
                <w:szCs w:val="20"/>
              </w:rPr>
            </w:pPr>
          </w:p>
        </w:tc>
      </w:tr>
      <w:tr w:rsidR="005B4181" w:rsidRPr="0035358E" w14:paraId="6B079774" w14:textId="77777777" w:rsidTr="00EA01A3">
        <w:trPr>
          <w:trHeight w:val="60"/>
        </w:trPr>
        <w:tc>
          <w:tcPr>
            <w:tcW w:w="4957" w:type="dxa"/>
          </w:tcPr>
          <w:p w14:paraId="4B8DB59C" w14:textId="16AB1A81" w:rsidR="005B4181" w:rsidRPr="0035358E" w:rsidRDefault="005B4181" w:rsidP="00C35C2F">
            <w:pPr>
              <w:jc w:val="left"/>
              <w:rPr>
                <w:rFonts w:ascii="Symbol" w:hAnsi="Symbol" w:cs="Calibri"/>
                <w:b/>
                <w:bCs/>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$5.00</w:t>
            </w:r>
          </w:p>
        </w:tc>
        <w:tc>
          <w:tcPr>
            <w:tcW w:w="1134" w:type="dxa"/>
            <w:vAlign w:val="bottom"/>
          </w:tcPr>
          <w:p w14:paraId="167D0BEC" w14:textId="19A85E16"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105"/>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5"/>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5"/>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563F25F0" w14:textId="6478716B"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bottom"/>
          </w:tcPr>
          <w:p w14:paraId="4F9F53C9" w14:textId="2A470808"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104"/>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4"/>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bottom"/>
          </w:tcPr>
          <w:p w14:paraId="2E5E1991" w14:textId="27D3D8A3" w:rsidR="005B4181" w:rsidRPr="0035358E" w:rsidRDefault="005B4181" w:rsidP="00C35C2F">
            <w:pPr>
              <w:jc w:val="center"/>
              <w:rPr>
                <w:rFonts w:ascii="Arial Narrow" w:hAnsi="Arial Narrow" w:cs="Calibri"/>
                <w:color w:val="000000"/>
                <w:sz w:val="20"/>
                <w:szCs w:val="20"/>
              </w:rPr>
            </w:pPr>
            <w:r w:rsidRPr="0035358E">
              <w:rPr>
                <w:rFonts w:ascii="Arial Narrow" w:hAnsi="Arial Narrow" w:cs="Calibri"/>
                <w:color w:val="000000"/>
                <w:sz w:val="20"/>
                <w:szCs w:val="20"/>
              </w:rPr>
              <w:t>-</w:t>
            </w:r>
            <w:r w:rsidR="00E96E79" w:rsidRPr="00E96E79">
              <w:rPr>
                <w:rFonts w:ascii="Arial Narrow" w:hAnsi="Arial Narrow" w:cs="Calibri"/>
                <w:color w:val="000000"/>
                <w:spacing w:val="214"/>
                <w:sz w:val="20"/>
                <w:szCs w:val="20"/>
                <w:shd w:val="solid" w:color="000000" w:fill="000000"/>
                <w:fitText w:val="300" w:id="-961850103"/>
                <w14:textFill>
                  <w14:solidFill>
                    <w14:srgbClr w14:val="000000">
                      <w14:alpha w14:val="100000"/>
                    </w14:srgbClr>
                  </w14:solidFill>
                </w14:textFill>
              </w:rPr>
              <w:t>|</w:t>
            </w:r>
            <w:r w:rsidR="00E96E79" w:rsidRPr="00E96E79">
              <w:rPr>
                <w:rFonts w:ascii="Arial Narrow" w:hAnsi="Arial Narrow" w:cs="Calibri"/>
                <w:color w:val="000000"/>
                <w:spacing w:val="1"/>
                <w:sz w:val="20"/>
                <w:szCs w:val="20"/>
                <w:shd w:val="solid" w:color="000000" w:fill="000000"/>
                <w:fitText w:val="300" w:id="-961850103"/>
                <w14:textFill>
                  <w14:solidFill>
                    <w14:srgbClr w14:val="000000">
                      <w14:alpha w14:val="100000"/>
                    </w14:srgbClr>
                  </w14:solidFill>
                </w14:textFill>
              </w:rPr>
              <w:t>|</w:t>
            </w:r>
            <w:r w:rsidRPr="0035358E">
              <w:rPr>
                <w:rFonts w:ascii="Arial Narrow" w:hAnsi="Arial Narrow" w:cs="Calibri"/>
                <w:color w:val="000000"/>
                <w:sz w:val="20"/>
                <w:szCs w:val="20"/>
              </w:rPr>
              <w:t>%</w:t>
            </w:r>
          </w:p>
        </w:tc>
      </w:tr>
      <w:tr w:rsidR="005B4181" w:rsidRPr="0035358E" w14:paraId="42F9C848" w14:textId="77777777" w:rsidTr="00EA01A3">
        <w:trPr>
          <w:trHeight w:val="60"/>
        </w:trPr>
        <w:tc>
          <w:tcPr>
            <w:tcW w:w="4957" w:type="dxa"/>
          </w:tcPr>
          <w:p w14:paraId="1D4A3DCC" w14:textId="3DBDB306" w:rsidR="005B4181" w:rsidRPr="0035358E" w:rsidRDefault="005B4181" w:rsidP="00C35C2F">
            <w:pPr>
              <w:jc w:val="left"/>
              <w:rPr>
                <w:rFonts w:ascii="Symbol" w:hAnsi="Symbol"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$10.00</w:t>
            </w:r>
          </w:p>
        </w:tc>
        <w:tc>
          <w:tcPr>
            <w:tcW w:w="1134" w:type="dxa"/>
            <w:vAlign w:val="bottom"/>
          </w:tcPr>
          <w:p w14:paraId="443169F1" w14:textId="0D51A78C"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102"/>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102"/>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102"/>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36BA0A2F" w14:textId="7BA3EFA2"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bottom"/>
          </w:tcPr>
          <w:p w14:paraId="1A25796E" w14:textId="3294FDBF"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50101"/>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101"/>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bottom"/>
          </w:tcPr>
          <w:p w14:paraId="2AB027F6" w14:textId="2488BD98"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50100"/>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100"/>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258279FB" w14:textId="77777777" w:rsidTr="00EA01A3">
        <w:trPr>
          <w:trHeight w:val="40"/>
        </w:trPr>
        <w:tc>
          <w:tcPr>
            <w:tcW w:w="4957" w:type="dxa"/>
            <w:hideMark/>
          </w:tcPr>
          <w:p w14:paraId="038549AD"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Outpatient attendance cost (base case $64.26)</w:t>
            </w:r>
          </w:p>
        </w:tc>
        <w:tc>
          <w:tcPr>
            <w:tcW w:w="1134" w:type="dxa"/>
            <w:vAlign w:val="center"/>
            <w:hideMark/>
          </w:tcPr>
          <w:p w14:paraId="2B682B52"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5652A87A"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3C16394C"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3BA0DE71" w14:textId="77777777" w:rsidR="005B4181" w:rsidRPr="0035358E" w:rsidRDefault="005B4181" w:rsidP="00C35C2F">
            <w:pPr>
              <w:jc w:val="center"/>
              <w:rPr>
                <w:rFonts w:ascii="Arial Narrow" w:hAnsi="Arial Narrow" w:cs="Calibri"/>
                <w:sz w:val="20"/>
                <w:szCs w:val="20"/>
              </w:rPr>
            </w:pPr>
          </w:p>
        </w:tc>
      </w:tr>
      <w:tr w:rsidR="005B4181" w:rsidRPr="0035358E" w14:paraId="441F133E" w14:textId="77777777" w:rsidTr="00EA01A3">
        <w:trPr>
          <w:trHeight w:val="40"/>
        </w:trPr>
        <w:tc>
          <w:tcPr>
            <w:tcW w:w="4957" w:type="dxa"/>
          </w:tcPr>
          <w:p w14:paraId="198E5F5D" w14:textId="0EB03077"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 xml:space="preserve">1.5 </w:t>
            </w:r>
            <w:r w:rsidRPr="0035358E">
              <w:rPr>
                <w:rFonts w:ascii="Arial Narrow" w:hAnsi="Arial Narrow" w:cs="Calibri"/>
                <w:color w:val="000000"/>
                <w:sz w:val="20"/>
                <w:szCs w:val="20"/>
              </w:rPr>
              <w:t>×</w:t>
            </w:r>
            <w:r w:rsidRPr="0035358E">
              <w:rPr>
                <w:rFonts w:ascii="Arial Narrow" w:hAnsi="Arial Narrow"/>
                <w:color w:val="000000"/>
                <w:sz w:val="20"/>
                <w:szCs w:val="20"/>
              </w:rPr>
              <w:t xml:space="preserve"> $41.20 (</w:t>
            </w:r>
            <w:r w:rsidRPr="0035358E">
              <w:rPr>
                <w:rFonts w:ascii="Arial Narrow" w:hAnsi="Arial Narrow" w:cs="Calibri"/>
                <w:color w:val="000000"/>
                <w:sz w:val="20"/>
                <w:szCs w:val="20"/>
              </w:rPr>
              <w:t xml:space="preserve">MBS Item 23) </w:t>
            </w:r>
            <w:r w:rsidRPr="0035358E">
              <w:rPr>
                <w:rFonts w:ascii="Arial Narrow" w:hAnsi="Arial Narrow" w:cs="Calibri"/>
                <w:b/>
                <w:bCs/>
                <w:color w:val="000000"/>
                <w:sz w:val="20"/>
                <w:szCs w:val="20"/>
              </w:rPr>
              <w:t>#1</w:t>
            </w:r>
          </w:p>
        </w:tc>
        <w:tc>
          <w:tcPr>
            <w:tcW w:w="1134" w:type="dxa"/>
            <w:vAlign w:val="center"/>
          </w:tcPr>
          <w:p w14:paraId="05ED29B6" w14:textId="28FE4DF0"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50099"/>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099"/>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099"/>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vAlign w:val="center"/>
          </w:tcPr>
          <w:p w14:paraId="7665E40F" w14:textId="5B2D0AEB"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center"/>
          </w:tcPr>
          <w:p w14:paraId="3DEB1573" w14:textId="73D75127"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50098"/>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50098"/>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tcPr>
          <w:p w14:paraId="7EA2BC4F" w14:textId="177F2415"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50097"/>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50097"/>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70B066BD" w14:textId="77777777" w:rsidTr="00EA01A3">
        <w:trPr>
          <w:trHeight w:val="53"/>
        </w:trPr>
        <w:tc>
          <w:tcPr>
            <w:tcW w:w="4957" w:type="dxa"/>
            <w:hideMark/>
          </w:tcPr>
          <w:p w14:paraId="773204C4"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color w:val="000000"/>
                <w:sz w:val="20"/>
                <w:szCs w:val="20"/>
              </w:rPr>
              <w:t>Hospitalisation cost (base case $18,617)</w:t>
            </w:r>
          </w:p>
        </w:tc>
        <w:tc>
          <w:tcPr>
            <w:tcW w:w="1134" w:type="dxa"/>
            <w:vAlign w:val="center"/>
            <w:hideMark/>
          </w:tcPr>
          <w:p w14:paraId="54EDCBD6"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hideMark/>
          </w:tcPr>
          <w:p w14:paraId="41B1BBAA" w14:textId="77777777" w:rsidR="005B4181" w:rsidRPr="001C1B4E" w:rsidRDefault="005B4181" w:rsidP="00C35C2F">
            <w:pPr>
              <w:jc w:val="center"/>
              <w:rPr>
                <w:rFonts w:ascii="Arial Narrow" w:hAnsi="Arial Narrow" w:cs="Calibri"/>
                <w:color w:val="000000"/>
                <w:sz w:val="20"/>
                <w:szCs w:val="20"/>
              </w:rPr>
            </w:pPr>
          </w:p>
        </w:tc>
        <w:tc>
          <w:tcPr>
            <w:tcW w:w="992" w:type="dxa"/>
            <w:vAlign w:val="center"/>
            <w:hideMark/>
          </w:tcPr>
          <w:p w14:paraId="5A794A50" w14:textId="77777777" w:rsidR="005B4181" w:rsidRPr="0035358E" w:rsidRDefault="005B4181" w:rsidP="00C35C2F">
            <w:pPr>
              <w:jc w:val="center"/>
              <w:rPr>
                <w:rFonts w:ascii="Arial Narrow" w:hAnsi="Arial Narrow" w:cs="Calibri"/>
                <w:color w:val="000000"/>
                <w:sz w:val="20"/>
                <w:szCs w:val="20"/>
              </w:rPr>
            </w:pPr>
          </w:p>
        </w:tc>
        <w:tc>
          <w:tcPr>
            <w:tcW w:w="800" w:type="dxa"/>
            <w:vAlign w:val="center"/>
            <w:hideMark/>
          </w:tcPr>
          <w:p w14:paraId="7A24CBEE" w14:textId="77777777" w:rsidR="005B4181" w:rsidRPr="0035358E" w:rsidRDefault="005B4181" w:rsidP="00C35C2F">
            <w:pPr>
              <w:jc w:val="center"/>
              <w:rPr>
                <w:rFonts w:ascii="Arial Narrow" w:hAnsi="Arial Narrow" w:cs="Calibri"/>
                <w:sz w:val="20"/>
                <w:szCs w:val="20"/>
              </w:rPr>
            </w:pPr>
          </w:p>
        </w:tc>
      </w:tr>
      <w:tr w:rsidR="005B4181" w:rsidRPr="0035358E" w14:paraId="26B10B32" w14:textId="77777777" w:rsidTr="00EA01A3">
        <w:trPr>
          <w:trHeight w:val="40"/>
        </w:trPr>
        <w:tc>
          <w:tcPr>
            <w:tcW w:w="4957" w:type="dxa"/>
          </w:tcPr>
          <w:p w14:paraId="3A625579" w14:textId="6932298E" w:rsidR="005B4181" w:rsidRPr="0035358E" w:rsidRDefault="005B4181" w:rsidP="00C35C2F">
            <w:pPr>
              <w:jc w:val="left"/>
              <w:rPr>
                <w:rFonts w:ascii="Arial Narrow" w:hAnsi="Arial Narrow"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$14,455</w:t>
            </w:r>
            <w:r w:rsidRPr="0035358E">
              <w:rPr>
                <w:rFonts w:ascii="Arial Narrow" w:hAnsi="Arial Narrow"/>
                <w:color w:val="000000"/>
                <w:sz w:val="20"/>
                <w:szCs w:val="20"/>
                <w:vertAlign w:val="superscript"/>
              </w:rPr>
              <w:t xml:space="preserve">e </w:t>
            </w:r>
          </w:p>
        </w:tc>
        <w:tc>
          <w:tcPr>
            <w:tcW w:w="1134" w:type="dxa"/>
            <w:vAlign w:val="center"/>
          </w:tcPr>
          <w:p w14:paraId="6975E3B0" w14:textId="3416A327"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50096"/>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50096"/>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50096"/>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6AACC3E2" w14:textId="6A08B6F4"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center"/>
          </w:tcPr>
          <w:p w14:paraId="00E392FE" w14:textId="300B3B03"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4985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56"/>
                <w14:textFill>
                  <w14:solidFill>
                    <w14:srgbClr w14:val="000000">
                      <w14:alpha w14:val="100000"/>
                    </w14:srgbClr>
                  </w14:solidFill>
                </w14:textFill>
              </w:rPr>
              <w:t>|</w:t>
            </w:r>
            <w:r w:rsidR="00DB725F" w:rsidRPr="006F1A30">
              <w:rPr>
                <w:rFonts w:ascii="Arial Narrow" w:hAnsi="Arial Narrow" w:cs="Calibri"/>
                <w:color w:val="000000"/>
                <w:sz w:val="20"/>
                <w:szCs w:val="20"/>
                <w:vertAlign w:val="superscript"/>
              </w:rPr>
              <w:t>5</w:t>
            </w:r>
          </w:p>
        </w:tc>
        <w:tc>
          <w:tcPr>
            <w:tcW w:w="800" w:type="dxa"/>
            <w:vAlign w:val="center"/>
          </w:tcPr>
          <w:p w14:paraId="358ABE3D" w14:textId="3B9CCF7F" w:rsidR="005B4181" w:rsidRPr="0035358E" w:rsidRDefault="00E96E79" w:rsidP="00C35C2F">
            <w:pPr>
              <w:jc w:val="center"/>
              <w:rPr>
                <w:rFonts w:ascii="Arial Narrow" w:hAnsi="Arial Narrow" w:cs="Calibri"/>
                <w:sz w:val="20"/>
                <w:szCs w:val="20"/>
              </w:rPr>
            </w:pPr>
            <w:r w:rsidRPr="00E96E79">
              <w:rPr>
                <w:rFonts w:ascii="Arial Narrow" w:hAnsi="Arial Narrow" w:cs="Calibri"/>
                <w:color w:val="000000"/>
                <w:spacing w:val="214"/>
                <w:sz w:val="20"/>
                <w:szCs w:val="20"/>
                <w:shd w:val="solid" w:color="000000" w:fill="000000"/>
                <w:fitText w:val="300" w:id="-961849855"/>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55"/>
                <w14:textFill>
                  <w14:solidFill>
                    <w14:srgbClr w14:val="000000">
                      <w14:alpha w14:val="100000"/>
                    </w14:srgbClr>
                  </w14:solidFill>
                </w14:textFill>
              </w:rPr>
              <w:t>|</w:t>
            </w:r>
            <w:r w:rsidR="005B4181" w:rsidRPr="0035358E">
              <w:rPr>
                <w:rFonts w:ascii="Arial Narrow" w:hAnsi="Arial Narrow" w:cs="Calibri"/>
                <w:sz w:val="20"/>
                <w:szCs w:val="20"/>
              </w:rPr>
              <w:t>%</w:t>
            </w:r>
          </w:p>
        </w:tc>
      </w:tr>
      <w:tr w:rsidR="005B4181" w:rsidRPr="0035358E" w14:paraId="4DDB182A" w14:textId="77777777" w:rsidTr="00EA01A3">
        <w:trPr>
          <w:trHeight w:val="40"/>
        </w:trPr>
        <w:tc>
          <w:tcPr>
            <w:tcW w:w="4957" w:type="dxa"/>
          </w:tcPr>
          <w:p w14:paraId="710744B8" w14:textId="3F9D2EEF" w:rsidR="005B4181" w:rsidRPr="0035358E" w:rsidRDefault="005B4181" w:rsidP="00C35C2F">
            <w:pPr>
              <w:jc w:val="left"/>
              <w:rPr>
                <w:rFonts w:ascii="Symbol" w:hAnsi="Symbol" w:cs="Calibri"/>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$14,991</w:t>
            </w:r>
            <w:r w:rsidRPr="0035358E">
              <w:rPr>
                <w:rFonts w:ascii="Arial Narrow" w:hAnsi="Arial Narrow"/>
                <w:color w:val="000000"/>
                <w:sz w:val="20"/>
                <w:szCs w:val="20"/>
                <w:vertAlign w:val="superscript"/>
              </w:rPr>
              <w:t xml:space="preserve">f </w:t>
            </w:r>
            <w:r w:rsidRPr="0035358E">
              <w:rPr>
                <w:rFonts w:ascii="Arial Narrow" w:hAnsi="Arial Narrow" w:cs="Calibri"/>
                <w:b/>
                <w:bCs/>
                <w:color w:val="000000"/>
                <w:sz w:val="20"/>
                <w:szCs w:val="20"/>
              </w:rPr>
              <w:t>#3</w:t>
            </w:r>
          </w:p>
        </w:tc>
        <w:tc>
          <w:tcPr>
            <w:tcW w:w="1134" w:type="dxa"/>
            <w:vAlign w:val="bottom"/>
          </w:tcPr>
          <w:p w14:paraId="3EE43297" w14:textId="64D8D65E"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54"/>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54"/>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54"/>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5375AC7C" w14:textId="6B5FA9D2"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0.783</w:t>
            </w:r>
          </w:p>
        </w:tc>
        <w:tc>
          <w:tcPr>
            <w:tcW w:w="992" w:type="dxa"/>
            <w:vAlign w:val="bottom"/>
          </w:tcPr>
          <w:p w14:paraId="646704E2" w14:textId="4E1C58E0"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49853"/>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53"/>
                <w14:textFill>
                  <w14:solidFill>
                    <w14:srgbClr w14:val="000000">
                      <w14:alpha w14:val="100000"/>
                    </w14:srgbClr>
                  </w14:solidFill>
                </w14:textFill>
              </w:rPr>
              <w:t>|</w:t>
            </w:r>
            <w:r w:rsidR="006F1A30">
              <w:rPr>
                <w:rFonts w:ascii="Arial Narrow" w:hAnsi="Arial Narrow" w:cs="Calibri"/>
                <w:color w:val="000000"/>
                <w:sz w:val="20"/>
                <w:szCs w:val="20"/>
                <w:vertAlign w:val="superscript"/>
              </w:rPr>
              <w:t>3</w:t>
            </w:r>
          </w:p>
        </w:tc>
        <w:tc>
          <w:tcPr>
            <w:tcW w:w="800" w:type="dxa"/>
            <w:vAlign w:val="bottom"/>
          </w:tcPr>
          <w:p w14:paraId="5F334B42" w14:textId="64C8D626"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52"/>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52"/>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14CA8109" w14:textId="77777777" w:rsidTr="00EA01A3">
        <w:trPr>
          <w:trHeight w:val="40"/>
        </w:trPr>
        <w:tc>
          <w:tcPr>
            <w:tcW w:w="4957" w:type="dxa"/>
          </w:tcPr>
          <w:p w14:paraId="693AE064" w14:textId="09B837FA" w:rsidR="005B4181" w:rsidRPr="0035358E" w:rsidRDefault="005B4181" w:rsidP="00C35C2F">
            <w:pPr>
              <w:jc w:val="left"/>
              <w:rPr>
                <w:rFonts w:ascii="Symbol" w:hAnsi="Symbol" w:cs="Calibri"/>
                <w:color w:val="000000"/>
                <w:sz w:val="20"/>
                <w:szCs w:val="20"/>
              </w:rPr>
            </w:pPr>
            <w:r w:rsidRPr="0035358E">
              <w:rPr>
                <w:rFonts w:ascii="Arial Narrow" w:hAnsi="Arial Narrow" w:cs="Calibri"/>
                <w:b/>
                <w:bCs/>
                <w:color w:val="000000"/>
                <w:sz w:val="20"/>
                <w:szCs w:val="20"/>
              </w:rPr>
              <w:t>Scenario Analysis</w:t>
            </w:r>
          </w:p>
        </w:tc>
        <w:tc>
          <w:tcPr>
            <w:tcW w:w="1134" w:type="dxa"/>
            <w:vAlign w:val="center"/>
          </w:tcPr>
          <w:p w14:paraId="12BF5411"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tcPr>
          <w:p w14:paraId="5108CDB1" w14:textId="77777777" w:rsidR="005B4181" w:rsidRPr="001C1B4E" w:rsidRDefault="005B4181" w:rsidP="00C35C2F">
            <w:pPr>
              <w:jc w:val="center"/>
              <w:rPr>
                <w:rFonts w:ascii="Arial Narrow" w:hAnsi="Arial Narrow" w:cs="Calibri"/>
                <w:color w:val="000000"/>
                <w:sz w:val="20"/>
                <w:szCs w:val="20"/>
              </w:rPr>
            </w:pPr>
          </w:p>
        </w:tc>
        <w:tc>
          <w:tcPr>
            <w:tcW w:w="992" w:type="dxa"/>
            <w:vAlign w:val="center"/>
          </w:tcPr>
          <w:p w14:paraId="59C7DE02" w14:textId="77777777" w:rsidR="005B4181" w:rsidRPr="0035358E" w:rsidRDefault="005B4181" w:rsidP="00C35C2F">
            <w:pPr>
              <w:jc w:val="center"/>
              <w:rPr>
                <w:rFonts w:ascii="Arial Narrow" w:hAnsi="Arial Narrow" w:cs="Calibri"/>
                <w:color w:val="000000"/>
                <w:sz w:val="20"/>
                <w:szCs w:val="20"/>
              </w:rPr>
            </w:pPr>
          </w:p>
        </w:tc>
        <w:tc>
          <w:tcPr>
            <w:tcW w:w="800" w:type="dxa"/>
            <w:vAlign w:val="center"/>
          </w:tcPr>
          <w:p w14:paraId="639CE358" w14:textId="77777777" w:rsidR="005B4181" w:rsidRPr="0035358E" w:rsidRDefault="005B4181" w:rsidP="00C35C2F">
            <w:pPr>
              <w:jc w:val="center"/>
              <w:rPr>
                <w:rFonts w:ascii="Arial Narrow" w:hAnsi="Arial Narrow" w:cs="Calibri"/>
                <w:sz w:val="20"/>
                <w:szCs w:val="20"/>
              </w:rPr>
            </w:pPr>
          </w:p>
        </w:tc>
      </w:tr>
      <w:tr w:rsidR="005B4181" w:rsidRPr="0035358E" w14:paraId="0D0B0CED" w14:textId="77777777" w:rsidTr="00EA01A3">
        <w:trPr>
          <w:trHeight w:val="40"/>
        </w:trPr>
        <w:tc>
          <w:tcPr>
            <w:tcW w:w="4957" w:type="dxa"/>
          </w:tcPr>
          <w:p w14:paraId="37C4F67C" w14:textId="02D9DDAB" w:rsidR="00936657" w:rsidRPr="0035358E" w:rsidRDefault="005B4181" w:rsidP="00936657">
            <w:pPr>
              <w:jc w:val="left"/>
              <w:rPr>
                <w:rFonts w:ascii="Arial Narrow" w:hAnsi="Arial Narrow"/>
                <w:color w:val="000000"/>
                <w:sz w:val="20"/>
                <w:szCs w:val="20"/>
              </w:rPr>
            </w:pPr>
            <w:r w:rsidRPr="0035358E">
              <w:rPr>
                <w:rFonts w:ascii="Symbol" w:hAnsi="Symbol" w:cs="Calibri"/>
                <w:color w:val="000000"/>
                <w:sz w:val="20"/>
                <w:szCs w:val="20"/>
              </w:rPr>
              <w:t>·</w:t>
            </w:r>
            <w:r w:rsidR="00342678">
              <w:rPr>
                <w:rFonts w:ascii="Arial Narrow" w:hAnsi="Arial Narrow"/>
                <w:color w:val="000000"/>
                <w:sz w:val="20"/>
                <w:szCs w:val="20"/>
              </w:rPr>
              <w:t xml:space="preserve"> </w:t>
            </w:r>
            <w:r w:rsidRPr="0035358E">
              <w:rPr>
                <w:rFonts w:ascii="Arial Narrow" w:hAnsi="Arial Narrow"/>
                <w:color w:val="000000"/>
                <w:sz w:val="20"/>
                <w:szCs w:val="20"/>
              </w:rPr>
              <w:t xml:space="preserve">6-month treatment effect period, with adjusted event probabilities, assuming 75% of ED and outpatient attendance events occur by 6-months and CSR </w:t>
            </w:r>
            <w:r w:rsidR="00936657" w:rsidRPr="0035358E">
              <w:rPr>
                <w:rFonts w:ascii="Arial Narrow" w:hAnsi="Arial Narrow"/>
                <w:color w:val="000000"/>
                <w:sz w:val="20"/>
                <w:szCs w:val="20"/>
              </w:rPr>
              <w:t>VEs, hospitalisations (56.1%), and ED and outpatient attendance (51.3%)</w:t>
            </w:r>
            <w:r w:rsidRPr="0035358E">
              <w:rPr>
                <w:rFonts w:ascii="Arial Narrow" w:hAnsi="Arial Narrow"/>
                <w:color w:val="000000"/>
                <w:sz w:val="20"/>
                <w:szCs w:val="20"/>
              </w:rPr>
              <w:t>.</w:t>
            </w:r>
            <w:r w:rsidRPr="0035358E">
              <w:rPr>
                <w:rFonts w:ascii="Arial Narrow" w:hAnsi="Arial Narrow"/>
                <w:color w:val="000000"/>
                <w:sz w:val="20"/>
                <w:szCs w:val="20"/>
                <w:vertAlign w:val="superscript"/>
              </w:rPr>
              <w:t>g</w:t>
            </w:r>
          </w:p>
        </w:tc>
        <w:tc>
          <w:tcPr>
            <w:tcW w:w="1134" w:type="dxa"/>
            <w:vAlign w:val="center"/>
          </w:tcPr>
          <w:p w14:paraId="1A30C013" w14:textId="0A359E07"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49851"/>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51"/>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51"/>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vAlign w:val="center"/>
          </w:tcPr>
          <w:p w14:paraId="5B456840" w14:textId="5002CECE"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0.748</w:t>
            </w:r>
          </w:p>
        </w:tc>
        <w:tc>
          <w:tcPr>
            <w:tcW w:w="992" w:type="dxa"/>
            <w:vAlign w:val="center"/>
          </w:tcPr>
          <w:p w14:paraId="10BD46CE" w14:textId="24DD9B00"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49850"/>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50"/>
                <w14:textFill>
                  <w14:solidFill>
                    <w14:srgbClr w14:val="000000">
                      <w14:alpha w14:val="100000"/>
                    </w14:srgbClr>
                  </w14:solidFill>
                </w14:textFill>
              </w:rPr>
              <w:t>|</w:t>
            </w:r>
            <w:r w:rsidR="006F1A30">
              <w:rPr>
                <w:rFonts w:ascii="Arial Narrow" w:hAnsi="Arial Narrow" w:cs="Calibri"/>
                <w:color w:val="000000"/>
                <w:sz w:val="20"/>
                <w:szCs w:val="20"/>
                <w:vertAlign w:val="superscript"/>
              </w:rPr>
              <w:t>4</w:t>
            </w:r>
          </w:p>
        </w:tc>
        <w:tc>
          <w:tcPr>
            <w:tcW w:w="800" w:type="dxa"/>
            <w:vAlign w:val="center"/>
          </w:tcPr>
          <w:p w14:paraId="4852015C" w14:textId="5A93892F"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49"/>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49"/>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141E8E" w:rsidRPr="0035358E" w14:paraId="60CF231C" w14:textId="77777777" w:rsidTr="00EA01A3">
        <w:trPr>
          <w:trHeight w:val="40"/>
        </w:trPr>
        <w:tc>
          <w:tcPr>
            <w:tcW w:w="4957" w:type="dxa"/>
          </w:tcPr>
          <w:p w14:paraId="04E429E1" w14:textId="4B72A16F" w:rsidR="005B4181" w:rsidRPr="0035358E" w:rsidRDefault="005B4181" w:rsidP="00936657">
            <w:pPr>
              <w:pStyle w:val="TableText0"/>
              <w:keepNext w:val="0"/>
              <w:rPr>
                <w:b/>
              </w:rPr>
            </w:pPr>
            <w:r w:rsidRPr="0035358E">
              <w:rPr>
                <w:rFonts w:cs="Calibri"/>
                <w:b/>
                <w:color w:val="000000"/>
                <w:szCs w:val="20"/>
              </w:rPr>
              <w:t>Pre-PBAC response</w:t>
            </w:r>
            <w:r w:rsidR="00936657" w:rsidRPr="0035358E">
              <w:rPr>
                <w:rFonts w:cs="Calibri"/>
                <w:b/>
                <w:color w:val="000000"/>
                <w:szCs w:val="20"/>
              </w:rPr>
              <w:t xml:space="preserve"> (</w:t>
            </w:r>
            <w:r w:rsidR="00936657" w:rsidRPr="0035358E">
              <w:rPr>
                <w:b/>
              </w:rPr>
              <w:t>Revised version of 6-month model scenario analysis)</w:t>
            </w:r>
          </w:p>
        </w:tc>
        <w:tc>
          <w:tcPr>
            <w:tcW w:w="1134" w:type="dxa"/>
            <w:vAlign w:val="center"/>
          </w:tcPr>
          <w:p w14:paraId="40275B9A" w14:textId="77777777" w:rsidR="005B4181" w:rsidRPr="0035358E" w:rsidRDefault="005B4181" w:rsidP="00C35C2F">
            <w:pPr>
              <w:jc w:val="center"/>
              <w:rPr>
                <w:rFonts w:ascii="Arial Narrow" w:hAnsi="Arial Narrow" w:cs="Calibri"/>
                <w:color w:val="000000"/>
                <w:sz w:val="20"/>
                <w:szCs w:val="20"/>
              </w:rPr>
            </w:pPr>
          </w:p>
        </w:tc>
        <w:tc>
          <w:tcPr>
            <w:tcW w:w="1134" w:type="dxa"/>
            <w:vAlign w:val="center"/>
          </w:tcPr>
          <w:p w14:paraId="40F20BFF" w14:textId="77777777" w:rsidR="005B4181" w:rsidRPr="001C1B4E" w:rsidRDefault="005B4181" w:rsidP="00C35C2F">
            <w:pPr>
              <w:jc w:val="center"/>
              <w:rPr>
                <w:rFonts w:ascii="Arial Narrow" w:hAnsi="Arial Narrow" w:cs="Calibri"/>
                <w:color w:val="000000"/>
                <w:sz w:val="20"/>
                <w:szCs w:val="20"/>
              </w:rPr>
            </w:pPr>
          </w:p>
        </w:tc>
        <w:tc>
          <w:tcPr>
            <w:tcW w:w="992" w:type="dxa"/>
            <w:vAlign w:val="center"/>
          </w:tcPr>
          <w:p w14:paraId="20C30271" w14:textId="772037B0" w:rsidR="005B4181" w:rsidRPr="0035358E" w:rsidRDefault="005B4181" w:rsidP="00C35C2F">
            <w:pPr>
              <w:jc w:val="center"/>
              <w:rPr>
                <w:rFonts w:ascii="Arial Narrow" w:hAnsi="Arial Narrow" w:cs="Calibri"/>
                <w:color w:val="000000"/>
                <w:sz w:val="20"/>
                <w:szCs w:val="20"/>
              </w:rPr>
            </w:pPr>
          </w:p>
        </w:tc>
        <w:tc>
          <w:tcPr>
            <w:tcW w:w="800" w:type="dxa"/>
            <w:vAlign w:val="center"/>
          </w:tcPr>
          <w:p w14:paraId="7441637E" w14:textId="77777777" w:rsidR="005B4181" w:rsidRPr="0035358E" w:rsidRDefault="005B4181" w:rsidP="00C35C2F">
            <w:pPr>
              <w:jc w:val="center"/>
              <w:rPr>
                <w:rFonts w:ascii="Arial Narrow" w:hAnsi="Arial Narrow" w:cs="Calibri"/>
                <w:color w:val="000000"/>
                <w:sz w:val="20"/>
                <w:szCs w:val="20"/>
              </w:rPr>
            </w:pPr>
          </w:p>
        </w:tc>
      </w:tr>
      <w:tr w:rsidR="00141E8E" w:rsidRPr="0035358E" w14:paraId="152B950A" w14:textId="77777777" w:rsidTr="00EA01A3">
        <w:trPr>
          <w:trHeight w:val="40"/>
        </w:trPr>
        <w:tc>
          <w:tcPr>
            <w:tcW w:w="4957" w:type="dxa"/>
          </w:tcPr>
          <w:p w14:paraId="239FB9A1" w14:textId="215FC256" w:rsidR="00936657" w:rsidRPr="0035358E" w:rsidRDefault="005B4181" w:rsidP="00936657">
            <w:pPr>
              <w:pStyle w:val="TableText0"/>
              <w:keepNext w:val="0"/>
              <w:rPr>
                <w:color w:val="000000"/>
                <w:szCs w:val="20"/>
              </w:rPr>
            </w:pPr>
            <w:r w:rsidRPr="0035358E">
              <w:t>·</w:t>
            </w:r>
            <w:r w:rsidR="00342678">
              <w:t xml:space="preserve"> </w:t>
            </w:r>
            <w:r w:rsidRPr="0035358E">
              <w:t>6-month treatment effect period, with adjusted event probabilities, assuming 75% of ED and outpatient attendance events occur by 6-months and VEs for subgroup vaccinated between 28 and &lt;37 weeks gestation sourced from final analysis</w:t>
            </w:r>
            <w:r w:rsidR="00936657" w:rsidRPr="0035358E">
              <w:t xml:space="preserve">, </w:t>
            </w:r>
            <w:r w:rsidR="00936657" w:rsidRPr="0035358E">
              <w:rPr>
                <w:color w:val="000000"/>
                <w:szCs w:val="20"/>
              </w:rPr>
              <w:t>hospitalisations (63.5%), and ED and outpatient attendance (59.3%)</w:t>
            </w:r>
            <w:r w:rsidR="00936657" w:rsidRPr="0035358E">
              <w:rPr>
                <w:color w:val="000000"/>
                <w:szCs w:val="20"/>
                <w:vertAlign w:val="superscript"/>
              </w:rPr>
              <w:t>h</w:t>
            </w:r>
            <w:r w:rsidR="00A05AB4" w:rsidRPr="0035358E">
              <w:t xml:space="preserve">, includes carer disutilities </w:t>
            </w:r>
            <w:r w:rsidRPr="0035358E">
              <w:t>and RSVpreF price of $</w:t>
            </w:r>
            <w:r w:rsidR="00E96E79" w:rsidRPr="00B57077">
              <w:rPr>
                <w:color w:val="000000"/>
                <w:spacing w:val="53"/>
                <w:shd w:val="solid" w:color="000000" w:fill="000000"/>
                <w:fitText w:val="330" w:id="-961849848"/>
                <w14:textFill>
                  <w14:solidFill>
                    <w14:srgbClr w14:val="000000">
                      <w14:alpha w14:val="100000"/>
                    </w14:srgbClr>
                  </w14:solidFill>
                </w14:textFill>
              </w:rPr>
              <w:t>|||</w:t>
            </w:r>
            <w:r w:rsidR="00E96E79" w:rsidRPr="00B57077">
              <w:rPr>
                <w:color w:val="000000"/>
                <w:spacing w:val="1"/>
                <w:shd w:val="solid" w:color="000000" w:fill="000000"/>
                <w:fitText w:val="330" w:id="-961849848"/>
                <w14:textFill>
                  <w14:solidFill>
                    <w14:srgbClr w14:val="000000">
                      <w14:alpha w14:val="100000"/>
                    </w14:srgbClr>
                  </w14:solidFill>
                </w14:textFill>
              </w:rPr>
              <w:t>|</w:t>
            </w:r>
          </w:p>
        </w:tc>
        <w:tc>
          <w:tcPr>
            <w:tcW w:w="1134" w:type="dxa"/>
            <w:vAlign w:val="center"/>
          </w:tcPr>
          <w:p w14:paraId="41A129EF" w14:textId="37C8EFA7"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47"/>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47"/>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47"/>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center"/>
          </w:tcPr>
          <w:p w14:paraId="5ED2847F" w14:textId="15E814EB" w:rsidR="005B4181" w:rsidRPr="001C1B4E" w:rsidRDefault="00936657"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0.847</w:t>
            </w:r>
          </w:p>
        </w:tc>
        <w:tc>
          <w:tcPr>
            <w:tcW w:w="992" w:type="dxa"/>
            <w:vAlign w:val="center"/>
          </w:tcPr>
          <w:p w14:paraId="4D31F1B3" w14:textId="0CEDD107"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4984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46"/>
                <w14:textFill>
                  <w14:solidFill>
                    <w14:srgbClr w14:val="000000">
                      <w14:alpha w14:val="100000"/>
                    </w14:srgbClr>
                  </w14:solidFill>
                </w14:textFill>
              </w:rPr>
              <w:t>|</w:t>
            </w:r>
            <w:r w:rsidR="001755BD" w:rsidRPr="001755BD">
              <w:rPr>
                <w:rFonts w:ascii="Arial Narrow" w:hAnsi="Arial Narrow" w:cs="Calibri"/>
                <w:b/>
                <w:bCs/>
                <w:color w:val="000000"/>
                <w:sz w:val="20"/>
                <w:szCs w:val="20"/>
                <w:vertAlign w:val="superscript"/>
              </w:rPr>
              <w:t>1</w:t>
            </w:r>
          </w:p>
        </w:tc>
        <w:tc>
          <w:tcPr>
            <w:tcW w:w="800" w:type="dxa"/>
            <w:vAlign w:val="center"/>
          </w:tcPr>
          <w:p w14:paraId="101239A5" w14:textId="6E3E950B"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45"/>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45"/>
                <w14:textFill>
                  <w14:solidFill>
                    <w14:srgbClr w14:val="000000">
                      <w14:alpha w14:val="100000"/>
                    </w14:srgbClr>
                  </w14:solidFill>
                </w14:textFill>
              </w:rPr>
              <w:t>|</w:t>
            </w:r>
            <w:r w:rsidR="00936657" w:rsidRPr="0035358E">
              <w:rPr>
                <w:rFonts w:ascii="Arial Narrow" w:hAnsi="Arial Narrow" w:cs="Calibri"/>
                <w:color w:val="000000"/>
                <w:sz w:val="20"/>
                <w:szCs w:val="20"/>
              </w:rPr>
              <w:t>%</w:t>
            </w:r>
          </w:p>
        </w:tc>
      </w:tr>
      <w:tr w:rsidR="005B4181" w:rsidRPr="0035358E" w14:paraId="00222001" w14:textId="77777777" w:rsidTr="00EA01A3">
        <w:trPr>
          <w:trHeight w:val="40"/>
        </w:trPr>
        <w:tc>
          <w:tcPr>
            <w:tcW w:w="9017" w:type="dxa"/>
            <w:gridSpan w:val="5"/>
          </w:tcPr>
          <w:p w14:paraId="7BFBA627" w14:textId="67624794" w:rsidR="005B4181" w:rsidRPr="001C1B4E" w:rsidRDefault="005B4181" w:rsidP="00C35C2F">
            <w:pPr>
              <w:jc w:val="left"/>
              <w:rPr>
                <w:rFonts w:ascii="Arial Narrow" w:hAnsi="Arial Narrow" w:cs="Calibri"/>
                <w:b/>
                <w:bCs/>
                <w:color w:val="000000"/>
                <w:sz w:val="20"/>
                <w:szCs w:val="20"/>
              </w:rPr>
            </w:pPr>
            <w:r w:rsidRPr="001C1B4E">
              <w:rPr>
                <w:rFonts w:ascii="Arial Narrow" w:hAnsi="Arial Narrow" w:cs="Calibri"/>
                <w:b/>
                <w:bCs/>
                <w:color w:val="000000"/>
                <w:sz w:val="20"/>
                <w:szCs w:val="20"/>
              </w:rPr>
              <w:t>Multivariate Analyses</w:t>
            </w:r>
          </w:p>
        </w:tc>
      </w:tr>
      <w:tr w:rsidR="005B4181" w:rsidRPr="0035358E" w14:paraId="3DD5D723" w14:textId="77777777" w:rsidTr="00EA01A3">
        <w:trPr>
          <w:trHeight w:val="40"/>
        </w:trPr>
        <w:tc>
          <w:tcPr>
            <w:tcW w:w="4957" w:type="dxa"/>
          </w:tcPr>
          <w:p w14:paraId="38328754"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b/>
                <w:bCs/>
                <w:color w:val="000000"/>
                <w:sz w:val="20"/>
                <w:szCs w:val="20"/>
              </w:rPr>
              <w:t>#1, #2</w:t>
            </w:r>
          </w:p>
        </w:tc>
        <w:tc>
          <w:tcPr>
            <w:tcW w:w="1134" w:type="dxa"/>
            <w:vAlign w:val="bottom"/>
          </w:tcPr>
          <w:p w14:paraId="057E6781" w14:textId="42DAE418" w:rsidR="005B4181" w:rsidRPr="0035358E" w:rsidRDefault="00E96E79" w:rsidP="00C35C2F">
            <w:pPr>
              <w:jc w:val="center"/>
              <w:rPr>
                <w:rFonts w:ascii="Arial Narrow" w:hAnsi="Arial Narrow" w:cs="Calibri"/>
                <w:color w:val="000000"/>
                <w:sz w:val="20"/>
                <w:szCs w:val="20"/>
              </w:rPr>
            </w:pPr>
            <w:r w:rsidRPr="00B57077">
              <w:rPr>
                <w:rFonts w:ascii="Arial Narrow" w:hAnsi="Arial Narrow" w:cs="Calibri" w:hint="eastAsia"/>
                <w:color w:val="000000"/>
                <w:w w:val="15"/>
                <w:sz w:val="20"/>
                <w:szCs w:val="20"/>
                <w:shd w:val="solid" w:color="000000" w:fill="000000"/>
                <w:fitText w:val="60" w:id="-961849844"/>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44"/>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44"/>
                <w14:textFill>
                  <w14:solidFill>
                    <w14:srgbClr w14:val="000000">
                      <w14:alpha w14:val="100000"/>
                    </w14:srgbClr>
                  </w14:solidFill>
                </w14:textFill>
              </w:rPr>
              <w:t xml:space="preserve">　</w:t>
            </w:r>
            <w:r w:rsidR="005A2532">
              <w:rPr>
                <w:rFonts w:ascii="Arial Narrow" w:hAnsi="Arial Narrow" w:cs="Calibri"/>
                <w:color w:val="000000"/>
                <w:sz w:val="20"/>
                <w:szCs w:val="20"/>
              </w:rPr>
              <w:t xml:space="preserve"> </w:t>
            </w:r>
          </w:p>
        </w:tc>
        <w:tc>
          <w:tcPr>
            <w:tcW w:w="1134" w:type="dxa"/>
            <w:vAlign w:val="bottom"/>
          </w:tcPr>
          <w:p w14:paraId="5D557463" w14:textId="6DFAF489"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0.712</w:t>
            </w:r>
          </w:p>
        </w:tc>
        <w:tc>
          <w:tcPr>
            <w:tcW w:w="992" w:type="dxa"/>
            <w:vAlign w:val="bottom"/>
          </w:tcPr>
          <w:p w14:paraId="325EE078" w14:textId="00418912"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79"/>
                <w:sz w:val="20"/>
                <w:szCs w:val="20"/>
                <w:shd w:val="solid" w:color="000000" w:fill="000000"/>
                <w:fitText w:val="165" w:id="-961849843"/>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43"/>
                <w14:textFill>
                  <w14:solidFill>
                    <w14:srgbClr w14:val="000000">
                      <w14:alpha w14:val="100000"/>
                    </w14:srgbClr>
                  </w14:solidFill>
                </w14:textFill>
              </w:rPr>
              <w:t>|</w:t>
            </w:r>
            <w:r w:rsidR="00DB725F" w:rsidRPr="006F1A30">
              <w:rPr>
                <w:rFonts w:ascii="Arial Narrow" w:hAnsi="Arial Narrow" w:cs="Calibri"/>
                <w:color w:val="000000"/>
                <w:sz w:val="20"/>
                <w:szCs w:val="20"/>
                <w:vertAlign w:val="superscript"/>
              </w:rPr>
              <w:t>5</w:t>
            </w:r>
          </w:p>
        </w:tc>
        <w:tc>
          <w:tcPr>
            <w:tcW w:w="800" w:type="dxa"/>
            <w:vAlign w:val="bottom"/>
          </w:tcPr>
          <w:p w14:paraId="7CD621A6" w14:textId="5BC9B71C"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42"/>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42"/>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47686C84" w14:textId="77777777" w:rsidTr="00EA01A3">
        <w:trPr>
          <w:trHeight w:val="40"/>
        </w:trPr>
        <w:tc>
          <w:tcPr>
            <w:tcW w:w="4957" w:type="dxa"/>
          </w:tcPr>
          <w:p w14:paraId="4FAB410A"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b/>
                <w:bCs/>
                <w:color w:val="000000"/>
                <w:sz w:val="20"/>
                <w:szCs w:val="20"/>
              </w:rPr>
              <w:t>#1, #2, #3</w:t>
            </w:r>
          </w:p>
        </w:tc>
        <w:tc>
          <w:tcPr>
            <w:tcW w:w="1134" w:type="dxa"/>
            <w:vAlign w:val="bottom"/>
          </w:tcPr>
          <w:p w14:paraId="77EB08FA" w14:textId="598C9399"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41"/>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41"/>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41"/>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0EC451B0" w14:textId="4F841EC9"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0.712</w:t>
            </w:r>
          </w:p>
        </w:tc>
        <w:tc>
          <w:tcPr>
            <w:tcW w:w="992" w:type="dxa"/>
            <w:vAlign w:val="bottom"/>
          </w:tcPr>
          <w:p w14:paraId="1C7E91F3" w14:textId="3A221484"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49840"/>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40"/>
                <w14:textFill>
                  <w14:solidFill>
                    <w14:srgbClr w14:val="000000">
                      <w14:alpha w14:val="100000"/>
                    </w14:srgbClr>
                  </w14:solidFill>
                </w14:textFill>
              </w:rPr>
              <w:t>|</w:t>
            </w:r>
            <w:r w:rsidR="00DB725F" w:rsidRPr="00DB725F">
              <w:rPr>
                <w:rFonts w:ascii="Arial Narrow" w:hAnsi="Arial Narrow" w:cs="Calibri"/>
                <w:color w:val="000000"/>
                <w:sz w:val="20"/>
                <w:szCs w:val="20"/>
                <w:vertAlign w:val="superscript"/>
              </w:rPr>
              <w:t>7</w:t>
            </w:r>
          </w:p>
        </w:tc>
        <w:tc>
          <w:tcPr>
            <w:tcW w:w="800" w:type="dxa"/>
            <w:vAlign w:val="bottom"/>
          </w:tcPr>
          <w:p w14:paraId="3EB1D5EB" w14:textId="1513CFEA"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5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56"/>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55B703EE" w14:textId="77777777" w:rsidTr="00EA01A3">
        <w:trPr>
          <w:trHeight w:val="40"/>
        </w:trPr>
        <w:tc>
          <w:tcPr>
            <w:tcW w:w="4957" w:type="dxa"/>
          </w:tcPr>
          <w:p w14:paraId="0C17DD1F"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b/>
                <w:bCs/>
                <w:color w:val="000000"/>
                <w:sz w:val="20"/>
                <w:szCs w:val="20"/>
              </w:rPr>
              <w:t>#1, #2, #3, #4</w:t>
            </w:r>
          </w:p>
        </w:tc>
        <w:tc>
          <w:tcPr>
            <w:tcW w:w="1134" w:type="dxa"/>
            <w:vAlign w:val="bottom"/>
          </w:tcPr>
          <w:p w14:paraId="0A8AA796" w14:textId="3F1D89A8"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55"/>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55"/>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55"/>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044BD740" w14:textId="1A9DD7F8"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0.662</w:t>
            </w:r>
          </w:p>
        </w:tc>
        <w:tc>
          <w:tcPr>
            <w:tcW w:w="992" w:type="dxa"/>
            <w:vAlign w:val="bottom"/>
          </w:tcPr>
          <w:p w14:paraId="6C8D56BD" w14:textId="4486135C" w:rsidR="005B4181" w:rsidRPr="001755BD" w:rsidRDefault="00E96E79" w:rsidP="00C35C2F">
            <w:pPr>
              <w:jc w:val="center"/>
              <w:rPr>
                <w:rFonts w:ascii="Arial Narrow" w:hAnsi="Arial Narrow" w:cs="Calibri"/>
                <w:color w:val="000000"/>
                <w:sz w:val="20"/>
                <w:szCs w:val="20"/>
                <w:highlight w:val="lightGray"/>
              </w:rPr>
            </w:pPr>
            <w:r w:rsidRPr="00B11CCB">
              <w:rPr>
                <w:rFonts w:ascii="Arial Narrow" w:hAnsi="Arial Narrow" w:cs="Calibri"/>
                <w:color w:val="000000"/>
                <w:spacing w:val="79"/>
                <w:sz w:val="20"/>
                <w:szCs w:val="20"/>
                <w:shd w:val="solid" w:color="000000" w:fill="000000"/>
                <w:fitText w:val="165" w:id="-961849854"/>
                <w14:textFill>
                  <w14:solidFill>
                    <w14:srgbClr w14:val="000000">
                      <w14:alpha w14:val="100000"/>
                    </w14:srgbClr>
                  </w14:solidFill>
                </w14:textFill>
              </w:rPr>
              <w:t>|</w:t>
            </w:r>
            <w:r w:rsidRPr="00B11CCB">
              <w:rPr>
                <w:rFonts w:ascii="Arial Narrow" w:hAnsi="Arial Narrow" w:cs="Calibri"/>
                <w:color w:val="000000"/>
                <w:sz w:val="20"/>
                <w:szCs w:val="20"/>
                <w:shd w:val="solid" w:color="000000" w:fill="000000"/>
                <w:fitText w:val="165" w:id="-961849854"/>
                <w14:textFill>
                  <w14:solidFill>
                    <w14:srgbClr w14:val="000000">
                      <w14:alpha w14:val="100000"/>
                    </w14:srgbClr>
                  </w14:solidFill>
                </w14:textFill>
              </w:rPr>
              <w:t>|</w:t>
            </w:r>
            <w:r w:rsidR="001B5AC1" w:rsidRPr="00DB725F">
              <w:rPr>
                <w:rFonts w:ascii="Arial Narrow" w:hAnsi="Arial Narrow" w:cs="Calibri"/>
                <w:color w:val="000000"/>
                <w:sz w:val="20"/>
                <w:szCs w:val="20"/>
                <w:vertAlign w:val="superscript"/>
              </w:rPr>
              <w:t>7</w:t>
            </w:r>
          </w:p>
        </w:tc>
        <w:tc>
          <w:tcPr>
            <w:tcW w:w="800" w:type="dxa"/>
            <w:vAlign w:val="bottom"/>
          </w:tcPr>
          <w:p w14:paraId="05457C1C" w14:textId="45BE48D4"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53"/>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53"/>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5B4181" w:rsidRPr="0035358E" w14:paraId="520CA725" w14:textId="77777777" w:rsidTr="00EA01A3">
        <w:trPr>
          <w:trHeight w:val="40"/>
        </w:trPr>
        <w:tc>
          <w:tcPr>
            <w:tcW w:w="4957" w:type="dxa"/>
          </w:tcPr>
          <w:p w14:paraId="691E9F6B" w14:textId="77777777" w:rsidR="005B4181" w:rsidRPr="0035358E" w:rsidRDefault="005B4181" w:rsidP="00C35C2F">
            <w:pPr>
              <w:jc w:val="left"/>
              <w:rPr>
                <w:rFonts w:ascii="Arial Narrow" w:hAnsi="Arial Narrow" w:cs="Calibri"/>
                <w:color w:val="000000"/>
                <w:sz w:val="20"/>
                <w:szCs w:val="20"/>
              </w:rPr>
            </w:pPr>
            <w:r w:rsidRPr="0035358E">
              <w:rPr>
                <w:rFonts w:ascii="Arial Narrow" w:hAnsi="Arial Narrow" w:cs="Calibri"/>
                <w:b/>
                <w:bCs/>
                <w:color w:val="000000"/>
                <w:sz w:val="20"/>
                <w:szCs w:val="20"/>
              </w:rPr>
              <w:t>#1, #2, #3, #4, #5</w:t>
            </w:r>
          </w:p>
        </w:tc>
        <w:tc>
          <w:tcPr>
            <w:tcW w:w="1134" w:type="dxa"/>
            <w:vAlign w:val="bottom"/>
          </w:tcPr>
          <w:p w14:paraId="56D6C388" w14:textId="4AC37B9A"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52"/>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52"/>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52"/>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vAlign w:val="bottom"/>
          </w:tcPr>
          <w:p w14:paraId="08181552" w14:textId="70F123E5"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0.662</w:t>
            </w:r>
          </w:p>
        </w:tc>
        <w:tc>
          <w:tcPr>
            <w:tcW w:w="992" w:type="dxa"/>
            <w:vAlign w:val="bottom"/>
          </w:tcPr>
          <w:p w14:paraId="1EF6A742" w14:textId="79272308"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49851"/>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51"/>
                <w14:textFill>
                  <w14:solidFill>
                    <w14:srgbClr w14:val="000000">
                      <w14:alpha w14:val="100000"/>
                    </w14:srgbClr>
                  </w14:solidFill>
                </w14:textFill>
              </w:rPr>
              <w:t>|</w:t>
            </w:r>
            <w:r w:rsidR="001B5AC1" w:rsidRPr="00DB725F">
              <w:rPr>
                <w:rFonts w:ascii="Arial Narrow" w:hAnsi="Arial Narrow" w:cs="Calibri"/>
                <w:color w:val="000000"/>
                <w:sz w:val="20"/>
                <w:szCs w:val="20"/>
                <w:vertAlign w:val="superscript"/>
              </w:rPr>
              <w:t>7</w:t>
            </w:r>
          </w:p>
        </w:tc>
        <w:tc>
          <w:tcPr>
            <w:tcW w:w="800" w:type="dxa"/>
            <w:vAlign w:val="bottom"/>
          </w:tcPr>
          <w:p w14:paraId="777B58DA" w14:textId="5F5FBD8F"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50"/>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50"/>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r w:rsidR="00141E8E" w:rsidRPr="0035358E" w14:paraId="2B62A5BD" w14:textId="77777777" w:rsidTr="00EA01A3">
        <w:trPr>
          <w:trHeight w:val="40"/>
        </w:trPr>
        <w:tc>
          <w:tcPr>
            <w:tcW w:w="4957" w:type="dxa"/>
          </w:tcPr>
          <w:p w14:paraId="58A366F2" w14:textId="7CBBC4FD" w:rsidR="005B4181" w:rsidRPr="0035358E" w:rsidRDefault="005B4181" w:rsidP="00C35C2F">
            <w:pPr>
              <w:jc w:val="left"/>
              <w:rPr>
                <w:rFonts w:ascii="Arial Narrow" w:hAnsi="Arial Narrow" w:cs="Calibri"/>
                <w:b/>
                <w:bCs/>
                <w:color w:val="000000"/>
                <w:sz w:val="20"/>
                <w:szCs w:val="20"/>
              </w:rPr>
            </w:pPr>
            <w:r w:rsidRPr="0035358E">
              <w:rPr>
                <w:rFonts w:ascii="Arial Narrow" w:hAnsi="Arial Narrow" w:cs="Calibri"/>
                <w:b/>
                <w:bCs/>
                <w:color w:val="000000"/>
                <w:sz w:val="20"/>
                <w:szCs w:val="20"/>
              </w:rPr>
              <w:t>#1, #2, #3, #4, #5 and RSVpreF price of $</w:t>
            </w:r>
            <w:r w:rsidR="00E96E79" w:rsidRPr="00B57077">
              <w:rPr>
                <w:rFonts w:ascii="Arial Narrow" w:hAnsi="Arial Narrow" w:cs="Calibri"/>
                <w:b/>
                <w:bCs/>
                <w:color w:val="000000"/>
                <w:spacing w:val="58"/>
                <w:sz w:val="20"/>
                <w:szCs w:val="20"/>
                <w:shd w:val="solid" w:color="000000" w:fill="000000"/>
                <w:fitText w:val="360" w:id="-961849849"/>
                <w14:textFill>
                  <w14:solidFill>
                    <w14:srgbClr w14:val="000000">
                      <w14:alpha w14:val="100000"/>
                    </w14:srgbClr>
                  </w14:solidFill>
                </w14:textFill>
              </w:rPr>
              <w:t>|||</w:t>
            </w:r>
            <w:r w:rsidR="00E96E79" w:rsidRPr="00B57077">
              <w:rPr>
                <w:rFonts w:ascii="Arial Narrow" w:hAnsi="Arial Narrow" w:cs="Calibri"/>
                <w:b/>
                <w:bCs/>
                <w:color w:val="000000"/>
                <w:spacing w:val="3"/>
                <w:sz w:val="20"/>
                <w:szCs w:val="20"/>
                <w:shd w:val="solid" w:color="000000" w:fill="000000"/>
                <w:fitText w:val="360" w:id="-961849849"/>
                <w14:textFill>
                  <w14:solidFill>
                    <w14:srgbClr w14:val="000000">
                      <w14:alpha w14:val="100000"/>
                    </w14:srgbClr>
                  </w14:solidFill>
                </w14:textFill>
              </w:rPr>
              <w:t>|</w:t>
            </w:r>
            <w:r w:rsidRPr="0035358E">
              <w:rPr>
                <w:rFonts w:ascii="Arial Narrow" w:hAnsi="Arial Narrow" w:cs="Calibri"/>
                <w:b/>
                <w:bCs/>
                <w:color w:val="000000"/>
                <w:sz w:val="20"/>
                <w:szCs w:val="20"/>
              </w:rPr>
              <w:t xml:space="preserve"> as proposed in pre-PBAC response</w:t>
            </w:r>
          </w:p>
        </w:tc>
        <w:tc>
          <w:tcPr>
            <w:tcW w:w="1134" w:type="dxa"/>
          </w:tcPr>
          <w:p w14:paraId="0FB13E1D" w14:textId="545792C8" w:rsidR="005B4181" w:rsidRPr="001755BD" w:rsidRDefault="00E96E79" w:rsidP="00C35C2F">
            <w:pPr>
              <w:jc w:val="center"/>
              <w:rPr>
                <w:rFonts w:ascii="Arial Narrow" w:hAnsi="Arial Narrow" w:cs="Calibri"/>
                <w:color w:val="000000"/>
                <w:sz w:val="20"/>
                <w:szCs w:val="20"/>
                <w:highlight w:val="lightGray"/>
              </w:rPr>
            </w:pPr>
            <w:r w:rsidRPr="00B57077">
              <w:rPr>
                <w:rFonts w:ascii="Arial Narrow" w:hAnsi="Arial Narrow" w:cs="Calibri" w:hint="eastAsia"/>
                <w:color w:val="000000"/>
                <w:w w:val="15"/>
                <w:sz w:val="20"/>
                <w:szCs w:val="20"/>
                <w:shd w:val="solid" w:color="000000" w:fill="000000"/>
                <w:fitText w:val="60" w:id="-961849848"/>
                <w14:textFill>
                  <w14:solidFill>
                    <w14:srgbClr w14:val="000000">
                      <w14:alpha w14:val="100000"/>
                    </w14:srgbClr>
                  </w14:solidFill>
                </w14:textFill>
              </w:rPr>
              <w:t xml:space="preserve">　</w:t>
            </w:r>
            <w:r w:rsidRPr="00B57077">
              <w:rPr>
                <w:rFonts w:ascii="Arial Narrow" w:hAnsi="Arial Narrow" w:cs="Calibri"/>
                <w:color w:val="000000"/>
                <w:w w:val="15"/>
                <w:sz w:val="20"/>
                <w:szCs w:val="20"/>
                <w:shd w:val="solid" w:color="000000" w:fill="000000"/>
                <w:fitText w:val="60" w:id="-961849848"/>
                <w14:textFill>
                  <w14:solidFill>
                    <w14:srgbClr w14:val="000000">
                      <w14:alpha w14:val="100000"/>
                    </w14:srgbClr>
                  </w14:solidFill>
                </w14:textFill>
              </w:rPr>
              <w:t>|</w:t>
            </w:r>
            <w:r w:rsidRPr="00B57077">
              <w:rPr>
                <w:rFonts w:ascii="Arial Narrow" w:hAnsi="Arial Narrow" w:cs="Calibri" w:hint="eastAsia"/>
                <w:color w:val="000000"/>
                <w:spacing w:val="-5"/>
                <w:w w:val="15"/>
                <w:sz w:val="20"/>
                <w:szCs w:val="20"/>
                <w:shd w:val="solid" w:color="000000" w:fill="000000"/>
                <w:fitText w:val="60" w:id="-961849848"/>
                <w14:textFill>
                  <w14:solidFill>
                    <w14:srgbClr w14:val="000000">
                      <w14:alpha w14:val="100000"/>
                    </w14:srgbClr>
                  </w14:solidFill>
                </w14:textFill>
              </w:rPr>
              <w:t xml:space="preserve">　</w:t>
            </w:r>
            <w:r w:rsidR="005A2532" w:rsidRPr="005A2532">
              <w:rPr>
                <w:rFonts w:ascii="Arial Narrow" w:hAnsi="Arial Narrow" w:cs="Calibri"/>
                <w:color w:val="000000"/>
                <w:sz w:val="20"/>
                <w:szCs w:val="20"/>
              </w:rPr>
              <w:t xml:space="preserve"> </w:t>
            </w:r>
          </w:p>
        </w:tc>
        <w:tc>
          <w:tcPr>
            <w:tcW w:w="1134" w:type="dxa"/>
          </w:tcPr>
          <w:p w14:paraId="1DA89D1A" w14:textId="4537A602" w:rsidR="005B4181" w:rsidRPr="001C1B4E" w:rsidRDefault="005B4181" w:rsidP="00C35C2F">
            <w:pPr>
              <w:jc w:val="center"/>
              <w:rPr>
                <w:rFonts w:ascii="Arial Narrow" w:hAnsi="Arial Narrow" w:cs="Calibri"/>
                <w:color w:val="000000"/>
                <w:sz w:val="20"/>
                <w:szCs w:val="20"/>
              </w:rPr>
            </w:pPr>
            <w:r w:rsidRPr="001C1B4E">
              <w:rPr>
                <w:rFonts w:ascii="Arial Narrow" w:hAnsi="Arial Narrow" w:cs="Calibri"/>
                <w:color w:val="000000"/>
                <w:sz w:val="20"/>
                <w:szCs w:val="20"/>
              </w:rPr>
              <w:t>0.662</w:t>
            </w:r>
          </w:p>
        </w:tc>
        <w:tc>
          <w:tcPr>
            <w:tcW w:w="992" w:type="dxa"/>
          </w:tcPr>
          <w:p w14:paraId="689FBB9F" w14:textId="2E16399E" w:rsidR="005B4181" w:rsidRPr="001755BD" w:rsidRDefault="00E96E79" w:rsidP="00C35C2F">
            <w:pPr>
              <w:jc w:val="center"/>
              <w:rPr>
                <w:rFonts w:ascii="Arial Narrow" w:hAnsi="Arial Narrow" w:cs="Calibri"/>
                <w:color w:val="000000"/>
                <w:sz w:val="20"/>
                <w:szCs w:val="20"/>
                <w:highlight w:val="lightGray"/>
              </w:rPr>
            </w:pPr>
            <w:r w:rsidRPr="00E96E79">
              <w:rPr>
                <w:rFonts w:ascii="Arial Narrow" w:hAnsi="Arial Narrow" w:cs="Calibri"/>
                <w:color w:val="000000"/>
                <w:spacing w:val="79"/>
                <w:sz w:val="20"/>
                <w:szCs w:val="20"/>
                <w:shd w:val="solid" w:color="000000" w:fill="000000"/>
                <w:fitText w:val="165" w:id="-961849847"/>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165" w:id="-961849847"/>
                <w14:textFill>
                  <w14:solidFill>
                    <w14:srgbClr w14:val="000000">
                      <w14:alpha w14:val="100000"/>
                    </w14:srgbClr>
                  </w14:solidFill>
                </w14:textFill>
              </w:rPr>
              <w:t>|</w:t>
            </w:r>
            <w:r w:rsidR="001B5AC1" w:rsidRPr="001B5AC1">
              <w:rPr>
                <w:rFonts w:ascii="Arial Narrow" w:hAnsi="Arial Narrow" w:cs="Calibri"/>
                <w:color w:val="000000"/>
                <w:sz w:val="20"/>
                <w:szCs w:val="20"/>
                <w:vertAlign w:val="superscript"/>
              </w:rPr>
              <w:t>8</w:t>
            </w:r>
          </w:p>
        </w:tc>
        <w:tc>
          <w:tcPr>
            <w:tcW w:w="800" w:type="dxa"/>
          </w:tcPr>
          <w:p w14:paraId="52EDA00C" w14:textId="1C6278FD" w:rsidR="005B4181" w:rsidRPr="0035358E" w:rsidRDefault="00E96E79" w:rsidP="00C35C2F">
            <w:pPr>
              <w:jc w:val="center"/>
              <w:rPr>
                <w:rFonts w:ascii="Arial Narrow" w:hAnsi="Arial Narrow" w:cs="Calibri"/>
                <w:color w:val="000000"/>
                <w:sz w:val="20"/>
                <w:szCs w:val="20"/>
              </w:rPr>
            </w:pPr>
            <w:r w:rsidRPr="00E96E79">
              <w:rPr>
                <w:rFonts w:ascii="Arial Narrow" w:hAnsi="Arial Narrow" w:cs="Calibri"/>
                <w:color w:val="000000"/>
                <w:spacing w:val="214"/>
                <w:sz w:val="20"/>
                <w:szCs w:val="20"/>
                <w:shd w:val="solid" w:color="000000" w:fill="000000"/>
                <w:fitText w:val="300" w:id="-961849846"/>
                <w14:textFill>
                  <w14:solidFill>
                    <w14:srgbClr w14:val="000000">
                      <w14:alpha w14:val="100000"/>
                    </w14:srgbClr>
                  </w14:solidFill>
                </w14:textFill>
              </w:rPr>
              <w:t>|</w:t>
            </w:r>
            <w:r w:rsidRPr="00E96E79">
              <w:rPr>
                <w:rFonts w:ascii="Arial Narrow" w:hAnsi="Arial Narrow" w:cs="Calibri"/>
                <w:color w:val="000000"/>
                <w:spacing w:val="1"/>
                <w:sz w:val="20"/>
                <w:szCs w:val="20"/>
                <w:shd w:val="solid" w:color="000000" w:fill="000000"/>
                <w:fitText w:val="300" w:id="-961849846"/>
                <w14:textFill>
                  <w14:solidFill>
                    <w14:srgbClr w14:val="000000">
                      <w14:alpha w14:val="100000"/>
                    </w14:srgbClr>
                  </w14:solidFill>
                </w14:textFill>
              </w:rPr>
              <w:t>|</w:t>
            </w:r>
            <w:r w:rsidR="005B4181" w:rsidRPr="0035358E">
              <w:rPr>
                <w:rFonts w:ascii="Arial Narrow" w:hAnsi="Arial Narrow" w:cs="Calibri"/>
                <w:color w:val="000000"/>
                <w:sz w:val="20"/>
                <w:szCs w:val="20"/>
              </w:rPr>
              <w:t>%</w:t>
            </w:r>
          </w:p>
        </w:tc>
      </w:tr>
    </w:tbl>
    <w:p w14:paraId="5DE50C9D" w14:textId="77777777" w:rsidR="00B60859" w:rsidRPr="0035358E" w:rsidRDefault="00B60859" w:rsidP="004E1F5F">
      <w:pPr>
        <w:keepNext/>
        <w:rPr>
          <w:rFonts w:ascii="Arial Narrow" w:hAnsi="Arial Narrow"/>
          <w:snapToGrid w:val="0"/>
          <w:sz w:val="18"/>
          <w:szCs w:val="22"/>
        </w:rPr>
      </w:pPr>
      <w:r w:rsidRPr="0035358E">
        <w:rPr>
          <w:rFonts w:ascii="Arial Narrow" w:hAnsi="Arial Narrow"/>
          <w:snapToGrid w:val="0"/>
          <w:sz w:val="18"/>
          <w:szCs w:val="22"/>
        </w:rPr>
        <w:t>Source: Constructed during the evaluation from the “ABRYSVO_Maternal_CEA_Base_Case” Excel Workbook provided with the submission.</w:t>
      </w:r>
    </w:p>
    <w:p w14:paraId="3721C052" w14:textId="07B8076E" w:rsidR="00B60859" w:rsidRPr="0035358E" w:rsidRDefault="00FA2DA6" w:rsidP="004E1F5F">
      <w:pPr>
        <w:pStyle w:val="FooterTableFigure"/>
        <w:keepNext/>
      </w:pPr>
      <w:r>
        <w:t xml:space="preserve">Abbreviations: </w:t>
      </w:r>
      <w:r w:rsidR="00B60859" w:rsidRPr="0035358E">
        <w:t>ED = emergency department; ICER = incremental cost-effectiveness ratio; MBS = Medicare Benefits Schedule; QALY = quality-adjusted life year; RSV = Respiratory Syncytial Virus; VE = vaccine efficacy.</w:t>
      </w:r>
    </w:p>
    <w:p w14:paraId="5CFD0BEF" w14:textId="77777777" w:rsidR="00DB24CC" w:rsidRDefault="00B60859" w:rsidP="004E1F5F">
      <w:pPr>
        <w:pStyle w:val="FooterTableFigure"/>
        <w:keepNext/>
      </w:pPr>
      <w:r w:rsidRPr="0035358E">
        <w:rPr>
          <w:vertAlign w:val="superscript"/>
        </w:rPr>
        <w:t>a</w:t>
      </w:r>
      <w:r w:rsidRPr="0035358E">
        <w:t xml:space="preserve"> Cost and QALYs multiplied by 1,000 in order to clearly observe the effect of the sensitivity analyses</w:t>
      </w:r>
      <w:r w:rsidR="00C93F78" w:rsidRPr="0035358E">
        <w:t>.</w:t>
      </w:r>
    </w:p>
    <w:p w14:paraId="3F132276" w14:textId="299D2E2E" w:rsidR="00DB24CC" w:rsidRDefault="00B60859" w:rsidP="004E1F5F">
      <w:pPr>
        <w:pStyle w:val="FooterTableFigure"/>
      </w:pPr>
      <w:r w:rsidRPr="0035358E">
        <w:rPr>
          <w:vertAlign w:val="superscript"/>
        </w:rPr>
        <w:t xml:space="preserve">b </w:t>
      </w:r>
      <w:r w:rsidRPr="0035358E">
        <w:t>This sensitivity analysis was conducted to estimate the ICER when assuming the base discount year starts from the vaccine administration time point (approximately 2 months before birth). As the discounted incremental QALYs cannot be reliably estimated through this analysis and the choice of discount year does not influence the ICER under equal discounting of costs and outcomes, an alternative method was used by discounting the vaccine acquisition and administration costs by</w:t>
      </w:r>
      <w:r w:rsidR="00C63E95">
        <w:t xml:space="preserve"> </w:t>
      </w:r>
      <w:r w:rsidRPr="0035358E">
        <w:t xml:space="preserve">-0.83% (two </w:t>
      </w:r>
      <w:r w:rsidR="00C63E95" w:rsidRPr="0035358E">
        <w:t>months’ worth</w:t>
      </w:r>
      <w:r w:rsidRPr="0035358E">
        <w:t xml:space="preserve"> of discounting at 5% per annum) as the submission’s base case discount year was from birth. While the ICER is an accurate estimate of assuming the model base discount year starts at vaccine administration, the incremental costs and outcomes are indicative.</w:t>
      </w:r>
    </w:p>
    <w:p w14:paraId="03CDF191" w14:textId="77777777" w:rsidR="00DB24CC" w:rsidRDefault="00B60859" w:rsidP="004E1F5F">
      <w:pPr>
        <w:pStyle w:val="FooterTableFigure"/>
        <w:keepNext/>
      </w:pPr>
      <w:r w:rsidRPr="0035358E">
        <w:rPr>
          <w:vertAlign w:val="superscript"/>
        </w:rPr>
        <w:lastRenderedPageBreak/>
        <w:t xml:space="preserve">c </w:t>
      </w:r>
      <w:r w:rsidRPr="0035358E">
        <w:t>Predicted hospitalisation rate for children (aged &lt;1 year) in 2012, reported by Gebremedhin et al.</w:t>
      </w:r>
    </w:p>
    <w:p w14:paraId="66ADB9B0" w14:textId="77777777" w:rsidR="00DB24CC" w:rsidRDefault="00B60859" w:rsidP="004E1F5F">
      <w:pPr>
        <w:pStyle w:val="FooterTableFigure"/>
        <w:keepNext/>
        <w:rPr>
          <w:vertAlign w:val="superscript"/>
        </w:rPr>
      </w:pPr>
      <w:r w:rsidRPr="0035358E">
        <w:rPr>
          <w:vertAlign w:val="superscript"/>
        </w:rPr>
        <w:t>d</w:t>
      </w:r>
      <w:r w:rsidRPr="0035358E">
        <w:t xml:space="preserve"> ED and outpatient VE adjusted to exclude hospitalisation.</w:t>
      </w:r>
    </w:p>
    <w:p w14:paraId="3C33B7DF" w14:textId="0EB8E820" w:rsidR="00B60859" w:rsidRPr="0035358E" w:rsidRDefault="00B60859" w:rsidP="004E1F5F">
      <w:pPr>
        <w:pStyle w:val="FooterTableFigure"/>
        <w:keepNext/>
      </w:pPr>
      <w:r w:rsidRPr="0035358E">
        <w:rPr>
          <w:vertAlign w:val="superscript"/>
        </w:rPr>
        <w:t>e</w:t>
      </w:r>
      <w:r w:rsidRPr="0035358E">
        <w:t xml:space="preserve"> Hospitalisation cost, excluding re-admission for any cause, sourced from Brusco et al. inflated to 2023 dollars.</w:t>
      </w:r>
    </w:p>
    <w:p w14:paraId="2721B5D0" w14:textId="69E18955" w:rsidR="00B60859" w:rsidRPr="0035358E" w:rsidRDefault="00B60859" w:rsidP="004E1F5F">
      <w:pPr>
        <w:pStyle w:val="FooterTableFigure"/>
        <w:keepNext/>
      </w:pPr>
      <w:r w:rsidRPr="0035358E">
        <w:rPr>
          <w:vertAlign w:val="superscript"/>
        </w:rPr>
        <w:t xml:space="preserve">f </w:t>
      </w:r>
      <w:r w:rsidRPr="0035358E">
        <w:t>Hospitalisation cost, assuming 13% of patients will have a respiratory related re-admission as per Choi et al.</w:t>
      </w:r>
      <w:r w:rsidRPr="0035358E">
        <w:fldChar w:fldCharType="begin"/>
      </w:r>
      <w:r w:rsidRPr="0035358E">
        <w:instrText xml:space="preserve"> NOTEREF _Ref155951618 \f \h </w:instrText>
      </w:r>
      <w:r w:rsidR="00011B33" w:rsidRPr="0035358E">
        <w:instrText xml:space="preserve"> \* MERGEFORMAT </w:instrText>
      </w:r>
      <w:r w:rsidRPr="0035358E">
        <w:fldChar w:fldCharType="separate"/>
      </w:r>
      <w:r w:rsidR="00A46CAC" w:rsidRPr="00A46CAC">
        <w:rPr>
          <w:rStyle w:val="FootnoteReference"/>
        </w:rPr>
        <w:t>29</w:t>
      </w:r>
      <w:r w:rsidRPr="0035358E">
        <w:fldChar w:fldCharType="end"/>
      </w:r>
    </w:p>
    <w:p w14:paraId="32BA7B52" w14:textId="351496A4" w:rsidR="00E952C7" w:rsidRDefault="00B60859" w:rsidP="00A04ECD">
      <w:pPr>
        <w:pStyle w:val="FooterTableFigure"/>
        <w:keepNext/>
      </w:pPr>
      <w:r w:rsidRPr="0035358E">
        <w:rPr>
          <w:vertAlign w:val="superscript"/>
        </w:rPr>
        <w:t xml:space="preserve">g </w:t>
      </w:r>
      <w:r w:rsidRPr="0035358E">
        <w:t>Hospitalisation rate: 1.62% (mean yearly RSV hospitalisation rate for infants aged 3-6 months and &lt;3 months from Gebremedhin et al. divided by 2). 75% of ED and outpatient attendance rate specified in base case (1.35% and 6.08%, respectively) as 75% of MA-LRTI events occurred at the 180-day time point in the MATISSE trial. VE for preventing hospitalisation due to RSV at 180 days (56.1%), the VE for preventing ED and outpatient attendance sourced from the VE for preventing MA-LRTI due to RSV at 180 days (51.3%)</w:t>
      </w:r>
      <w:r w:rsidR="00C93F78" w:rsidRPr="0035358E">
        <w:t>.</w:t>
      </w:r>
      <w:r w:rsidR="00C63E95">
        <w:t xml:space="preserve"> </w:t>
      </w:r>
      <w:r w:rsidR="002C345D" w:rsidRPr="0035358E">
        <w:br/>
      </w:r>
      <w:r w:rsidR="00C74B23" w:rsidRPr="0035358E">
        <w:rPr>
          <w:vertAlign w:val="superscript"/>
        </w:rPr>
        <w:t>h</w:t>
      </w:r>
      <w:r w:rsidR="00E952C7" w:rsidRPr="0035358E">
        <w:rPr>
          <w:vertAlign w:val="superscript"/>
        </w:rPr>
        <w:t xml:space="preserve"> </w:t>
      </w:r>
      <w:r w:rsidR="00E952C7" w:rsidRPr="0035358E">
        <w:t>Hospitalisation rate: 1.62% (mean yearly RSV hospitalisation rate for infants aged 3-6 months and &lt;3 months from Gebremedhin et al. divided by 2). 75% of ED and outpatient attendance rate specified in base case (1.35% and 6.08%, respectively) as 75% of MA-LRTI events occurred at the 180-day time point in the MATISSE trial. VE for preventing hospitalisation due to RSV at 180 days (63.5%), the VE for preventing ED and outpatient attendance sourced from the VE for preventing MA-LRTI due to RSV at 180 days (59.3%).</w:t>
      </w:r>
    </w:p>
    <w:p w14:paraId="528836BE" w14:textId="77777777" w:rsidR="001755BD" w:rsidRDefault="001755BD" w:rsidP="00A04ECD">
      <w:pPr>
        <w:pStyle w:val="FooterTableFigure"/>
        <w:keepNext/>
        <w:rPr>
          <w:i/>
          <w:iCs/>
        </w:rPr>
      </w:pPr>
      <w:bookmarkStart w:id="92" w:name="_Hlk166847719"/>
      <w:r w:rsidRPr="001755BD">
        <w:rPr>
          <w:i/>
          <w:iCs/>
        </w:rPr>
        <w:t>The redacted values correspond to the following ranges</w:t>
      </w:r>
    </w:p>
    <w:p w14:paraId="1EDBC808" w14:textId="6889344A" w:rsidR="001755BD" w:rsidRPr="001755BD" w:rsidRDefault="001755BD" w:rsidP="00A04ECD">
      <w:pPr>
        <w:pStyle w:val="FooterTableFigure"/>
        <w:keepNext/>
        <w:rPr>
          <w:i/>
          <w:iCs/>
        </w:rPr>
      </w:pPr>
      <w:r w:rsidRPr="001755BD">
        <w:rPr>
          <w:i/>
          <w:iCs/>
          <w:vertAlign w:val="superscript"/>
        </w:rPr>
        <w:t>1</w:t>
      </w:r>
      <w:r>
        <w:rPr>
          <w:i/>
          <w:iCs/>
        </w:rPr>
        <w:t xml:space="preserve"> </w:t>
      </w:r>
      <w:r w:rsidRPr="001755BD">
        <w:rPr>
          <w:i/>
          <w:iCs/>
        </w:rPr>
        <w:t>$25,000 to &lt; $35,000</w:t>
      </w:r>
    </w:p>
    <w:p w14:paraId="66DEB4FC" w14:textId="4213D24E" w:rsidR="001755BD" w:rsidRDefault="006F1A30" w:rsidP="00A04ECD">
      <w:pPr>
        <w:pStyle w:val="FooterTableFigure"/>
        <w:keepNext/>
        <w:rPr>
          <w:i/>
          <w:iCs/>
        </w:rPr>
      </w:pPr>
      <w:r w:rsidRPr="006F1A30">
        <w:rPr>
          <w:i/>
          <w:iCs/>
          <w:vertAlign w:val="superscript"/>
        </w:rPr>
        <w:t>2</w:t>
      </w:r>
      <w:r>
        <w:rPr>
          <w:i/>
          <w:iCs/>
        </w:rPr>
        <w:t xml:space="preserve"> </w:t>
      </w:r>
      <w:r w:rsidRPr="006F1A30">
        <w:rPr>
          <w:i/>
          <w:iCs/>
        </w:rPr>
        <w:t>$5,000 to &lt; $15,000</w:t>
      </w:r>
    </w:p>
    <w:p w14:paraId="336E07DC" w14:textId="77777777" w:rsidR="00DB24CC" w:rsidRDefault="006F1A30" w:rsidP="00A04ECD">
      <w:pPr>
        <w:pStyle w:val="FooterTableFigure"/>
        <w:keepNext/>
        <w:rPr>
          <w:i/>
          <w:iCs/>
        </w:rPr>
      </w:pPr>
      <w:r w:rsidRPr="006F1A30">
        <w:rPr>
          <w:i/>
          <w:iCs/>
          <w:vertAlign w:val="superscript"/>
        </w:rPr>
        <w:t>3</w:t>
      </w:r>
      <w:r>
        <w:rPr>
          <w:i/>
          <w:iCs/>
        </w:rPr>
        <w:t xml:space="preserve"> </w:t>
      </w:r>
      <w:r w:rsidRPr="006F1A30">
        <w:rPr>
          <w:i/>
          <w:iCs/>
        </w:rPr>
        <w:t>$55,000 to &lt; $75,000</w:t>
      </w:r>
    </w:p>
    <w:p w14:paraId="02732E60" w14:textId="31B97945" w:rsidR="006F1A30" w:rsidRPr="006F1A30" w:rsidRDefault="006F1A30" w:rsidP="00A04ECD">
      <w:pPr>
        <w:pStyle w:val="FooterTableFigure"/>
        <w:keepNext/>
        <w:rPr>
          <w:i/>
          <w:iCs/>
        </w:rPr>
      </w:pPr>
      <w:r w:rsidRPr="006F1A30">
        <w:rPr>
          <w:i/>
          <w:iCs/>
          <w:vertAlign w:val="superscript"/>
        </w:rPr>
        <w:t>4</w:t>
      </w:r>
      <w:r>
        <w:rPr>
          <w:i/>
          <w:iCs/>
        </w:rPr>
        <w:t xml:space="preserve"> </w:t>
      </w:r>
      <w:r w:rsidRPr="006F1A30">
        <w:rPr>
          <w:i/>
          <w:iCs/>
        </w:rPr>
        <w:t>$35,000 to &lt; $45,000</w:t>
      </w:r>
    </w:p>
    <w:p w14:paraId="5920C34B" w14:textId="53DEECB6" w:rsidR="006F1A30" w:rsidRPr="006F1A30" w:rsidRDefault="006F1A30" w:rsidP="00A04ECD">
      <w:pPr>
        <w:pStyle w:val="FooterTableFigure"/>
        <w:keepNext/>
        <w:rPr>
          <w:i/>
          <w:iCs/>
        </w:rPr>
      </w:pPr>
      <w:r w:rsidRPr="006F1A30">
        <w:rPr>
          <w:i/>
          <w:iCs/>
          <w:vertAlign w:val="superscript"/>
        </w:rPr>
        <w:t>5</w:t>
      </w:r>
      <w:r>
        <w:rPr>
          <w:i/>
          <w:iCs/>
        </w:rPr>
        <w:t xml:space="preserve"> </w:t>
      </w:r>
      <w:r w:rsidRPr="006F1A30">
        <w:rPr>
          <w:i/>
          <w:iCs/>
        </w:rPr>
        <w:t>$75,000 to &lt; $95,000</w:t>
      </w:r>
    </w:p>
    <w:p w14:paraId="3BFDCB49" w14:textId="3D24E482" w:rsidR="00DB725F" w:rsidRPr="00DB725F" w:rsidRDefault="00DB725F" w:rsidP="00A04ECD">
      <w:pPr>
        <w:pStyle w:val="FooterTableFigure"/>
        <w:keepNext/>
        <w:rPr>
          <w:i/>
          <w:iCs/>
        </w:rPr>
      </w:pPr>
      <w:r w:rsidRPr="00DB725F">
        <w:rPr>
          <w:i/>
          <w:iCs/>
          <w:vertAlign w:val="superscript"/>
        </w:rPr>
        <w:t>6</w:t>
      </w:r>
      <w:r>
        <w:rPr>
          <w:i/>
          <w:iCs/>
        </w:rPr>
        <w:t xml:space="preserve"> </w:t>
      </w:r>
      <w:r w:rsidRPr="00DB725F">
        <w:rPr>
          <w:i/>
          <w:iCs/>
        </w:rPr>
        <w:t>$15,000 to &lt; $25,000</w:t>
      </w:r>
    </w:p>
    <w:p w14:paraId="1FC4A22C" w14:textId="5E6B8081" w:rsidR="00DB725F" w:rsidRPr="00DB725F" w:rsidRDefault="00DB725F" w:rsidP="00A04ECD">
      <w:pPr>
        <w:pStyle w:val="FooterTableFigure"/>
        <w:keepNext/>
        <w:rPr>
          <w:i/>
          <w:iCs/>
        </w:rPr>
      </w:pPr>
      <w:r w:rsidRPr="00DB725F">
        <w:rPr>
          <w:i/>
          <w:iCs/>
          <w:vertAlign w:val="superscript"/>
        </w:rPr>
        <w:t xml:space="preserve">7 </w:t>
      </w:r>
      <w:r w:rsidRPr="00DB725F">
        <w:rPr>
          <w:i/>
          <w:iCs/>
        </w:rPr>
        <w:t>$115,000 to &lt; $135,000</w:t>
      </w:r>
    </w:p>
    <w:p w14:paraId="1D18B9E0" w14:textId="77777777" w:rsidR="00DB24CC" w:rsidRDefault="001B5AC1" w:rsidP="004E1F5F">
      <w:pPr>
        <w:pStyle w:val="FooterTableFigure"/>
        <w:contextualSpacing w:val="0"/>
        <w:rPr>
          <w:i/>
          <w:iCs/>
        </w:rPr>
      </w:pPr>
      <w:r w:rsidRPr="001B5AC1">
        <w:rPr>
          <w:i/>
          <w:iCs/>
          <w:vertAlign w:val="superscript"/>
        </w:rPr>
        <w:t>8</w:t>
      </w:r>
      <w:r>
        <w:rPr>
          <w:i/>
          <w:iCs/>
        </w:rPr>
        <w:t xml:space="preserve"> </w:t>
      </w:r>
      <w:r w:rsidRPr="001B5AC1">
        <w:rPr>
          <w:i/>
          <w:iCs/>
        </w:rPr>
        <w:t>$95,000 to &lt; $115,000</w:t>
      </w:r>
      <w:bookmarkEnd w:id="92"/>
    </w:p>
    <w:p w14:paraId="30885625" w14:textId="461164C5" w:rsidR="00730642" w:rsidRPr="0035358E" w:rsidRDefault="00BC3819" w:rsidP="00DD4B2C">
      <w:pPr>
        <w:pStyle w:val="3-BodyText"/>
      </w:pPr>
      <w:bookmarkStart w:id="93" w:name="_Ref163647583"/>
      <w:r w:rsidRPr="0035358E">
        <w:t xml:space="preserve">The PSCR provided an updated economic model which included VE estimates for the subgroup of infants whose mothers were vaccinated </w:t>
      </w:r>
      <w:r w:rsidR="00DD7906" w:rsidRPr="0035358E">
        <w:t>at 28 to &lt;37 weeks gestation</w:t>
      </w:r>
      <w:r w:rsidR="00C93F78" w:rsidRPr="0035358E">
        <w:t xml:space="preserve">. </w:t>
      </w:r>
      <w:r w:rsidR="004132F9" w:rsidRPr="0035358E">
        <w:t>The ESC noted that on average, these infants have higher VEs than the entire population in the MATISSE trial and hence this improves the overall cost-effectiveness of RSVpreF</w:t>
      </w:r>
      <w:r w:rsidR="008A4BA7" w:rsidRPr="0035358E">
        <w:t>.</w:t>
      </w:r>
      <w:r w:rsidR="004132F9" w:rsidRPr="0035358E">
        <w:t xml:space="preserve"> </w:t>
      </w:r>
      <w:r w:rsidR="008A4BA7" w:rsidRPr="0035358E">
        <w:t>The ESC noted the ICER using the base case model and VE estimates for the subgroup of infants whose mothers were vaccinated at 28 to &lt;37 weeks gestation (41% for hospitalisations, 54% for ED and outpatient attendance) was $</w:t>
      </w:r>
      <w:r w:rsidR="00AC0CDB" w:rsidRPr="00AC0CDB">
        <w:t>15,000 to &lt;</w:t>
      </w:r>
      <w:r w:rsidR="00A04ECD">
        <w:t> </w:t>
      </w:r>
      <w:r w:rsidR="00AC0CDB" w:rsidRPr="00AC0CDB">
        <w:t>$25,000</w:t>
      </w:r>
      <w:r w:rsidR="008A4BA7" w:rsidRPr="0035358E">
        <w:t>/ QALY gained</w:t>
      </w:r>
      <w:r w:rsidR="00C93F78" w:rsidRPr="0035358E">
        <w:t xml:space="preserve">. </w:t>
      </w:r>
      <w:r w:rsidR="00173E6F" w:rsidRPr="0035358E">
        <w:t xml:space="preserve">The ESC noted the lower ICER reported when data were used only from those vaccinated </w:t>
      </w:r>
      <w:r w:rsidR="00842BF6" w:rsidRPr="0035358E">
        <w:t xml:space="preserve">from </w:t>
      </w:r>
      <w:r w:rsidR="00173E6F" w:rsidRPr="0035358E">
        <w:t>28 weeks</w:t>
      </w:r>
      <w:r w:rsidR="00842BF6" w:rsidRPr="0035358E">
        <w:t xml:space="preserve"> onwards</w:t>
      </w:r>
      <w:r w:rsidR="00173E6F" w:rsidRPr="0035358E">
        <w:t>. The ESC considered that a decline in the ICER may be plausible, but that there was considerable uncertainty in this area</w:t>
      </w:r>
      <w:r w:rsidR="00141E8E" w:rsidRPr="0035358E">
        <w:t>.</w:t>
      </w:r>
      <w:r w:rsidR="00BD4936">
        <w:t xml:space="preserve"> </w:t>
      </w:r>
      <w:r w:rsidR="001505F9" w:rsidRPr="0035358E">
        <w:t xml:space="preserve">Due to the uncertain magnitude of effect, the </w:t>
      </w:r>
      <w:r w:rsidR="00842BF6" w:rsidRPr="0035358E">
        <w:t>PBAC did not support the use of data from the 28 to &lt;37 weeks gestation subgroup in the economic model (see paragraph</w:t>
      </w:r>
      <w:r w:rsidR="005105A0" w:rsidRPr="0035358E">
        <w:t xml:space="preserve"> </w:t>
      </w:r>
      <w:r w:rsidR="005105A0" w:rsidRPr="0035358E">
        <w:fldChar w:fldCharType="begin"/>
      </w:r>
      <w:r w:rsidR="005105A0" w:rsidRPr="0035358E">
        <w:instrText xml:space="preserve"> REF _Ref163732732 \r \h </w:instrText>
      </w:r>
      <w:r w:rsidR="005105A0" w:rsidRPr="0035358E">
        <w:fldChar w:fldCharType="separate"/>
      </w:r>
      <w:r w:rsidR="00A46CAC">
        <w:t>7.15</w:t>
      </w:r>
      <w:r w:rsidR="005105A0" w:rsidRPr="0035358E">
        <w:fldChar w:fldCharType="end"/>
      </w:r>
      <w:r w:rsidR="00842BF6" w:rsidRPr="0035358E">
        <w:t>).</w:t>
      </w:r>
      <w:bookmarkEnd w:id="93"/>
    </w:p>
    <w:p w14:paraId="54F21BC5" w14:textId="3285868B" w:rsidR="00F85A4C" w:rsidRPr="0035358E" w:rsidRDefault="00F85A4C" w:rsidP="00DD4B2C">
      <w:pPr>
        <w:pStyle w:val="3-BodyText"/>
      </w:pPr>
      <w:bookmarkStart w:id="94" w:name="_Ref159847122"/>
      <w:r w:rsidRPr="0035358E">
        <w:t xml:space="preserve">The ESC recommended that the </w:t>
      </w:r>
      <w:r w:rsidR="008A4BA7" w:rsidRPr="0035358E">
        <w:t xml:space="preserve">multi-variate sensitivity analysis </w:t>
      </w:r>
      <w:r w:rsidR="007E28E2" w:rsidRPr="0035358E">
        <w:t xml:space="preserve">based on the entire population </w:t>
      </w:r>
      <w:r w:rsidR="004D1326" w:rsidRPr="0035358E">
        <w:t>which incorporated the following five changes was appropriate and noted the resulting ICER was $</w:t>
      </w:r>
      <w:r w:rsidR="00AC0CDB" w:rsidRPr="00AC0CDB">
        <w:t>115,000 to &lt; $135,000</w:t>
      </w:r>
      <w:r w:rsidR="004D1326" w:rsidRPr="0035358E">
        <w:t>/QALY</w:t>
      </w:r>
      <w:r w:rsidR="008A4BA7" w:rsidRPr="0035358E">
        <w:t xml:space="preserve"> gained</w:t>
      </w:r>
      <w:r w:rsidR="004D1326" w:rsidRPr="0035358E">
        <w:t>:</w:t>
      </w:r>
      <w:bookmarkEnd w:id="94"/>
    </w:p>
    <w:p w14:paraId="7D903E22" w14:textId="77777777" w:rsidR="00DB24CC" w:rsidRDefault="00F85A4C" w:rsidP="000D0BBC">
      <w:pPr>
        <w:spacing w:after="120"/>
        <w:ind w:firstLine="709"/>
      </w:pPr>
      <w:r w:rsidRPr="0035358E">
        <w:t xml:space="preserve">#1, </w:t>
      </w:r>
      <w:r w:rsidR="004D1326" w:rsidRPr="0035358E">
        <w:t>Outpatient attendance cost of $61.80 (1.5 × $41.20; MBS Item 23)</w:t>
      </w:r>
    </w:p>
    <w:p w14:paraId="3856FF18" w14:textId="589F97D2" w:rsidR="004D1326" w:rsidRPr="0035358E" w:rsidRDefault="004D1326" w:rsidP="000D0BBC">
      <w:pPr>
        <w:spacing w:after="120"/>
        <w:ind w:firstLine="709"/>
      </w:pPr>
      <w:r w:rsidRPr="0035358E">
        <w:t>#2, VE 33% for hospitalisations, 45% for ED and outpatient attendance events</w:t>
      </w:r>
    </w:p>
    <w:p w14:paraId="7C851721" w14:textId="04CF6571" w:rsidR="004D1326" w:rsidRPr="0035358E" w:rsidRDefault="004D1326" w:rsidP="000D0BBC">
      <w:pPr>
        <w:spacing w:after="120"/>
        <w:ind w:firstLine="709"/>
      </w:pPr>
      <w:r w:rsidRPr="0035358E">
        <w:t>#3, Hospitalisation cost $14,991</w:t>
      </w:r>
    </w:p>
    <w:p w14:paraId="18D53DE8" w14:textId="556319B7" w:rsidR="004D1326" w:rsidRPr="0035358E" w:rsidRDefault="004D1326" w:rsidP="000D0BBC">
      <w:pPr>
        <w:spacing w:after="120"/>
        <w:ind w:firstLine="709"/>
      </w:pPr>
      <w:r w:rsidRPr="0035358E">
        <w:t>#4, Exclusion of carer QALYs lost</w:t>
      </w:r>
    </w:p>
    <w:p w14:paraId="16218064" w14:textId="5C55FFE6" w:rsidR="004D1326" w:rsidRPr="0035358E" w:rsidRDefault="004D1326" w:rsidP="000D0BBC">
      <w:pPr>
        <w:spacing w:after="120"/>
        <w:ind w:firstLine="709"/>
      </w:pPr>
      <w:r w:rsidRPr="0035358E">
        <w:t>#5, Reverse discounting to vaccine costs</w:t>
      </w:r>
    </w:p>
    <w:p w14:paraId="76683E09" w14:textId="77777777" w:rsidR="00DB24CC" w:rsidRDefault="004132F9" w:rsidP="00DD4B2C">
      <w:pPr>
        <w:pStyle w:val="3-BodyText"/>
        <w:rPr>
          <w:i/>
          <w:iCs/>
        </w:rPr>
      </w:pPr>
      <w:r w:rsidRPr="0035358E">
        <w:t>The PSCR stated that the base case model is conservative in scope and assesses only a limited range of direct healthcare costs and health outcomes associated with MA</w:t>
      </w:r>
      <w:r w:rsidR="002B1F70" w:rsidRPr="0035358E">
        <w:noBreakHyphen/>
      </w:r>
      <w:r w:rsidRPr="0035358E">
        <w:t>LRTI:</w:t>
      </w:r>
      <w:r w:rsidRPr="0035358E">
        <w:rPr>
          <w:i/>
          <w:iCs/>
        </w:rPr>
        <w:t xml:space="preserve"> </w:t>
      </w:r>
      <w:r w:rsidRPr="0035358E">
        <w:t>RSV. It was stated that the model exclude</w:t>
      </w:r>
      <w:r w:rsidR="001D1E91" w:rsidRPr="0035358E">
        <w:t>d</w:t>
      </w:r>
      <w:r w:rsidRPr="0035358E">
        <w:t xml:space="preserve"> other potential benefits of the proposed immunisation program, including: protection from upper respiratory tract infections in infants, reduction of long term RSV sequelae such as childhood asthma </w:t>
      </w:r>
      <w:r w:rsidRPr="0035358E">
        <w:lastRenderedPageBreak/>
        <w:t>and wheeze, additional direct protection of mothers, reduction of costly and likely inefficient use of palivizumab, indirect protection of other important populations (unvaccinated mother/infant pairs, grandparents, healthcare and childcare workers, and older siblings) and broader societal benefits, such as relief of seasonal access blocks within the health system and improved workplace productivity</w:t>
      </w:r>
      <w:r w:rsidRPr="0035358E">
        <w:rPr>
          <w:i/>
          <w:iCs/>
        </w:rPr>
        <w:t>.</w:t>
      </w:r>
    </w:p>
    <w:p w14:paraId="074D2286" w14:textId="75F9229F" w:rsidR="00D02543" w:rsidRPr="0035358E" w:rsidRDefault="006D0FBB" w:rsidP="00DD4B2C">
      <w:pPr>
        <w:pStyle w:val="3-BodyText"/>
      </w:pPr>
      <w:bookmarkStart w:id="95" w:name="_Ref164238813"/>
      <w:r w:rsidRPr="0035358E">
        <w:t xml:space="preserve">The pre-PBAC response provided an updated economic model which was a revised version of the 6-month model (labelled as Scenario Analysis in </w:t>
      </w:r>
      <w:r w:rsidRPr="0035358E">
        <w:fldChar w:fldCharType="begin"/>
      </w:r>
      <w:r w:rsidRPr="0035358E">
        <w:instrText xml:space="preserve"> REF _Ref104804865 \h </w:instrText>
      </w:r>
      <w:r w:rsidRPr="0035358E">
        <w:fldChar w:fldCharType="separate"/>
      </w:r>
      <w:r w:rsidR="00A46CAC" w:rsidRPr="0035358E">
        <w:t xml:space="preserve">Table </w:t>
      </w:r>
      <w:r w:rsidR="00A46CAC">
        <w:rPr>
          <w:noProof/>
        </w:rPr>
        <w:t>18</w:t>
      </w:r>
      <w:r w:rsidRPr="0035358E">
        <w:fldChar w:fldCharType="end"/>
      </w:r>
      <w:r w:rsidRPr="0035358E">
        <w:t xml:space="preserve"> </w:t>
      </w:r>
      <w:r w:rsidRPr="0035358E">
        <w:fldChar w:fldCharType="begin"/>
      </w:r>
      <w:r w:rsidRPr="0035358E">
        <w:instrText xml:space="preserve"> REF _Ref163154026 \p \h </w:instrText>
      </w:r>
      <w:r w:rsidRPr="0035358E">
        <w:fldChar w:fldCharType="separate"/>
      </w:r>
      <w:r w:rsidR="00A46CAC">
        <w:t>above</w:t>
      </w:r>
      <w:r w:rsidRPr="0035358E">
        <w:fldChar w:fldCharType="end"/>
      </w:r>
      <w:r w:rsidRPr="0035358E">
        <w:t>). The pre-PBAC response model included VE estimates for the subgroup of infants whose mothers were vaccinated at 28 to &lt;37 weeks gestation based on data from the final analysis. The PBAC considered that it would be more robust to apply the observed data for VE from the first year of the trial to the first year of the economic model consistent with the ESC Advice. The PBAC did not consider the pre-PBAC response model reliable for decision making, because the inputs for vaccine efficacy were not adequately supported. Secondly, the PBAC considered that carer QALYs lost should be excluded from the base case, consistent with the PBAC guidelines.</w:t>
      </w:r>
      <w:r w:rsidR="005744B6" w:rsidRPr="0035358E">
        <w:t xml:space="preserve"> The PBAC noted the model provided with the pre-PBAC response incorporated the ESC revisions with respect to reverse discounting (paragraph </w:t>
      </w:r>
      <w:r w:rsidR="005744B6" w:rsidRPr="0035358E">
        <w:fldChar w:fldCharType="begin"/>
      </w:r>
      <w:r w:rsidR="005744B6" w:rsidRPr="0035358E">
        <w:instrText xml:space="preserve"> REF _Ref164194284 \r \h </w:instrText>
      </w:r>
      <w:r w:rsidR="005744B6" w:rsidRPr="0035358E">
        <w:fldChar w:fldCharType="separate"/>
      </w:r>
      <w:r w:rsidR="00A46CAC">
        <w:t>6.48</w:t>
      </w:r>
      <w:r w:rsidR="005744B6" w:rsidRPr="0035358E">
        <w:fldChar w:fldCharType="end"/>
      </w:r>
      <w:r w:rsidR="005744B6" w:rsidRPr="0035358E">
        <w:t xml:space="preserve">), hospital costs (paragraph </w:t>
      </w:r>
      <w:r w:rsidR="005744B6" w:rsidRPr="0035358E">
        <w:fldChar w:fldCharType="begin"/>
      </w:r>
      <w:r w:rsidR="005744B6" w:rsidRPr="0035358E">
        <w:instrText xml:space="preserve"> REF _Ref164238648 \r \h </w:instrText>
      </w:r>
      <w:r w:rsidR="005744B6" w:rsidRPr="0035358E">
        <w:fldChar w:fldCharType="separate"/>
      </w:r>
      <w:r w:rsidR="00A46CAC">
        <w:t>6.56</w:t>
      </w:r>
      <w:r w:rsidR="005744B6" w:rsidRPr="0035358E">
        <w:fldChar w:fldCharType="end"/>
      </w:r>
      <w:r w:rsidR="005744B6" w:rsidRPr="0035358E">
        <w:t xml:space="preserve">) and outpatient attendance costs (paragraph </w:t>
      </w:r>
      <w:r w:rsidR="005744B6" w:rsidRPr="0035358E">
        <w:fldChar w:fldCharType="begin"/>
      </w:r>
      <w:r w:rsidR="005744B6" w:rsidRPr="0035358E">
        <w:instrText xml:space="preserve"> REF _Ref164238669 \r \h </w:instrText>
      </w:r>
      <w:r w:rsidR="005744B6" w:rsidRPr="0035358E">
        <w:fldChar w:fldCharType="separate"/>
      </w:r>
      <w:r w:rsidR="00A46CAC">
        <w:t>6.57</w:t>
      </w:r>
      <w:r w:rsidR="005744B6" w:rsidRPr="0035358E">
        <w:fldChar w:fldCharType="end"/>
      </w:r>
      <w:r w:rsidR="005744B6" w:rsidRPr="0035358E">
        <w:t>).</w:t>
      </w:r>
      <w:bookmarkEnd w:id="95"/>
    </w:p>
    <w:p w14:paraId="0721EA3C" w14:textId="77777777" w:rsidR="00B60859" w:rsidRPr="0035358E" w:rsidRDefault="00B60859" w:rsidP="00B60859">
      <w:pPr>
        <w:pStyle w:val="4-SubsectionHeading"/>
      </w:pPr>
      <w:bookmarkStart w:id="96" w:name="_Toc156993556"/>
      <w:r w:rsidRPr="0035358E">
        <w:t>Vaccine cost/patient/course</w:t>
      </w:r>
      <w:bookmarkEnd w:id="90"/>
      <w:bookmarkEnd w:id="96"/>
    </w:p>
    <w:p w14:paraId="3B23A45D" w14:textId="6B0A835C" w:rsidR="00B60859" w:rsidRPr="0035358E" w:rsidRDefault="00B60859" w:rsidP="00DD4B2C">
      <w:pPr>
        <w:pStyle w:val="3-BodyText"/>
        <w:rPr>
          <w:iCs/>
        </w:rPr>
      </w:pPr>
      <w:r w:rsidRPr="0035358E">
        <w:t xml:space="preserve">The </w:t>
      </w:r>
      <w:r w:rsidR="00EF43D1" w:rsidRPr="0035358E">
        <w:t xml:space="preserve">submission </w:t>
      </w:r>
      <w:r w:rsidRPr="0035358E">
        <w:t xml:space="preserve">proposed cost of RSVpreF </w:t>
      </w:r>
      <w:r w:rsidR="00EF43D1" w:rsidRPr="0035358E">
        <w:t xml:space="preserve">was </w:t>
      </w:r>
      <w:r w:rsidRPr="0035358E">
        <w:t>$</w:t>
      </w:r>
      <w:r w:rsidR="00E96E79" w:rsidRPr="00B57077">
        <w:rPr>
          <w:color w:val="000000"/>
          <w:w w:val="66"/>
          <w:shd w:val="solid" w:color="000000" w:fill="000000"/>
          <w:fitText w:val="475" w:id="-961849845"/>
          <w14:textFill>
            <w14:solidFill>
              <w14:srgbClr w14:val="000000">
                <w14:alpha w14:val="100000"/>
              </w14:srgbClr>
            </w14:solidFill>
          </w14:textFill>
        </w:rPr>
        <w:t>|||</w:t>
      </w:r>
      <w:r w:rsidR="00C63E95" w:rsidRPr="00B57077">
        <w:rPr>
          <w:color w:val="000000"/>
          <w:w w:val="66"/>
          <w:shd w:val="solid" w:color="000000" w:fill="000000"/>
          <w:fitText w:val="475" w:id="-961849845"/>
          <w14:textFill>
            <w14:solidFill>
              <w14:srgbClr w14:val="000000">
                <w14:alpha w14:val="100000"/>
              </w14:srgbClr>
            </w14:solidFill>
          </w14:textFill>
        </w:rPr>
        <w:t xml:space="preserve"> </w:t>
      </w:r>
      <w:r w:rsidR="00E96E79" w:rsidRPr="00B57077">
        <w:rPr>
          <w:color w:val="000000"/>
          <w:w w:val="66"/>
          <w:shd w:val="solid" w:color="000000" w:fill="000000"/>
          <w:fitText w:val="475" w:id="-961849845"/>
          <w14:textFill>
            <w14:solidFill>
              <w14:srgbClr w14:val="000000">
                <w14:alpha w14:val="100000"/>
              </w14:srgbClr>
            </w14:solidFill>
          </w14:textFill>
        </w:rPr>
        <w:t>||</w:t>
      </w:r>
      <w:r w:rsidR="00E96E79" w:rsidRPr="00B57077">
        <w:rPr>
          <w:color w:val="000000"/>
          <w:spacing w:val="1"/>
          <w:w w:val="66"/>
          <w:shd w:val="solid" w:color="000000" w:fill="000000"/>
          <w:fitText w:val="475" w:id="-961849845"/>
          <w14:textFill>
            <w14:solidFill>
              <w14:srgbClr w14:val="000000">
                <w14:alpha w14:val="100000"/>
              </w14:srgbClr>
            </w14:solidFill>
          </w14:textFill>
        </w:rPr>
        <w:t>|</w:t>
      </w:r>
      <w:r w:rsidRPr="0035358E">
        <w:t xml:space="preserve"> per unit. This is a once-off cost and is not dependent on dose. </w:t>
      </w:r>
      <w:r w:rsidR="00EF43D1" w:rsidRPr="0035358E">
        <w:t>The pre-PBAC response proposed a lower price of $</w:t>
      </w:r>
      <w:r w:rsidR="00E96E79" w:rsidRPr="00A46CAC">
        <w:rPr>
          <w:color w:val="000000"/>
          <w:w w:val="15"/>
          <w:shd w:val="solid" w:color="000000" w:fill="000000"/>
          <w:fitText w:val="-20" w:id="-961849844"/>
          <w14:textFill>
            <w14:solidFill>
              <w14:srgbClr w14:val="000000">
                <w14:alpha w14:val="100000"/>
              </w14:srgbClr>
            </w14:solidFill>
          </w14:textFill>
        </w:rPr>
        <w:t>|</w:t>
      </w:r>
      <w:r w:rsidR="00C63E95" w:rsidRPr="00A46CAC">
        <w:rPr>
          <w:color w:val="000000"/>
          <w:w w:val="15"/>
          <w:shd w:val="solid" w:color="000000" w:fill="000000"/>
          <w:fitText w:val="-20" w:id="-961849844"/>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49844"/>
          <w14:textFill>
            <w14:solidFill>
              <w14:srgbClr w14:val="000000">
                <w14:alpha w14:val="100000"/>
              </w14:srgbClr>
            </w14:solidFill>
          </w14:textFill>
        </w:rPr>
        <w:t>|</w:t>
      </w:r>
      <w:r w:rsidR="00EF43D1" w:rsidRPr="0035358E">
        <w:t>.</w:t>
      </w:r>
    </w:p>
    <w:p w14:paraId="61654FD6" w14:textId="77777777" w:rsidR="00B60859" w:rsidRPr="0035358E" w:rsidRDefault="00B60859" w:rsidP="00B60859">
      <w:pPr>
        <w:pStyle w:val="4-SubsectionHeading"/>
      </w:pPr>
      <w:bookmarkStart w:id="97" w:name="_Toc22897647"/>
      <w:bookmarkStart w:id="98" w:name="_Toc156993557"/>
      <w:r w:rsidRPr="0035358E">
        <w:t>Estimated PBS usage &amp; financial implications</w:t>
      </w:r>
      <w:bookmarkEnd w:id="97"/>
      <w:bookmarkEnd w:id="98"/>
    </w:p>
    <w:p w14:paraId="40B6D04B" w14:textId="77777777" w:rsidR="00DB24CC" w:rsidRDefault="00F43500" w:rsidP="00DD4B2C">
      <w:pPr>
        <w:pStyle w:val="3-BodyText"/>
      </w:pPr>
      <w:bookmarkStart w:id="99" w:name="_Ref104805262"/>
      <w:r w:rsidRPr="0035358E">
        <w:t>This submission was considered by DUSC.</w:t>
      </w:r>
    </w:p>
    <w:p w14:paraId="08C6C559" w14:textId="4898F198" w:rsidR="00F43500" w:rsidRPr="0035358E" w:rsidRDefault="00F43500" w:rsidP="00DD4B2C">
      <w:pPr>
        <w:pStyle w:val="3-BodyText"/>
      </w:pPr>
      <w:r w:rsidRPr="0035358E">
        <w:t>An epidemiological approach was used to estimate the financial impact of listing RSVpreF for pregnant women on the NIP.</w:t>
      </w:r>
      <w:r w:rsidRPr="0035358E">
        <w:rPr>
          <w:iCs/>
        </w:rPr>
        <w:t xml:space="preserve"> </w:t>
      </w:r>
      <w:r w:rsidRPr="0035358E">
        <w:t xml:space="preserve">The key data sources and values used in the financial estimates are summarised in </w:t>
      </w:r>
      <w:r w:rsidRPr="0035358E">
        <w:fldChar w:fldCharType="begin"/>
      </w:r>
      <w:r w:rsidRPr="0035358E">
        <w:instrText xml:space="preserve"> REF _Ref151987342 \h </w:instrText>
      </w:r>
      <w:r w:rsidRPr="0035358E">
        <w:fldChar w:fldCharType="separate"/>
      </w:r>
      <w:r w:rsidR="00A46CAC" w:rsidRPr="0035358E">
        <w:t xml:space="preserve">Table </w:t>
      </w:r>
      <w:r w:rsidR="00A46CAC">
        <w:rPr>
          <w:noProof/>
        </w:rPr>
        <w:t>19</w:t>
      </w:r>
      <w:r w:rsidRPr="0035358E">
        <w:fldChar w:fldCharType="end"/>
      </w:r>
      <w:r w:rsidRPr="0035358E">
        <w:t>.</w:t>
      </w:r>
    </w:p>
    <w:p w14:paraId="4C8D8B72" w14:textId="338B6CD8" w:rsidR="00F43500" w:rsidRPr="0035358E" w:rsidRDefault="00F43500" w:rsidP="00AE0C2A">
      <w:pPr>
        <w:pStyle w:val="TableFigureHeading"/>
        <w:rPr>
          <w:rStyle w:val="CommentReference"/>
          <w:b/>
          <w:szCs w:val="24"/>
        </w:rPr>
      </w:pPr>
      <w:bookmarkStart w:id="100" w:name="_Ref151987342"/>
      <w:r w:rsidRPr="0035358E">
        <w:lastRenderedPageBreak/>
        <w:t xml:space="preserve">Table </w:t>
      </w:r>
      <w:r w:rsidR="00560E31">
        <w:fldChar w:fldCharType="begin"/>
      </w:r>
      <w:r w:rsidR="00560E31">
        <w:instrText xml:space="preserve"> SEQ Table \* ARABIC </w:instrText>
      </w:r>
      <w:r w:rsidR="00560E31">
        <w:fldChar w:fldCharType="separate"/>
      </w:r>
      <w:r w:rsidR="00A46CAC">
        <w:rPr>
          <w:noProof/>
        </w:rPr>
        <w:t>19</w:t>
      </w:r>
      <w:r w:rsidR="00560E31">
        <w:rPr>
          <w:noProof/>
        </w:rPr>
        <w:fldChar w:fldCharType="end"/>
      </w:r>
      <w:bookmarkEnd w:id="99"/>
      <w:bookmarkEnd w:id="100"/>
      <w:r w:rsidRPr="0035358E">
        <w:t>:</w:t>
      </w:r>
      <w:r w:rsidRPr="0035358E">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Key inputs for financial estimates"/>
      </w:tblPr>
      <w:tblGrid>
        <w:gridCol w:w="1528"/>
        <w:gridCol w:w="1585"/>
        <w:gridCol w:w="2411"/>
        <w:gridCol w:w="3493"/>
      </w:tblGrid>
      <w:tr w:rsidR="002527AE" w:rsidRPr="0035358E" w14:paraId="26FE2433" w14:textId="77777777" w:rsidTr="0018259F">
        <w:trPr>
          <w:tblHeader/>
        </w:trPr>
        <w:tc>
          <w:tcPr>
            <w:tcW w:w="847" w:type="pct"/>
            <w:vAlign w:val="center"/>
          </w:tcPr>
          <w:p w14:paraId="6DE10551" w14:textId="77777777" w:rsidR="00EA2B26" w:rsidRPr="0035358E" w:rsidRDefault="00EA2B26" w:rsidP="000D0BBC">
            <w:pPr>
              <w:pStyle w:val="In-tableHeading"/>
            </w:pPr>
            <w:r w:rsidRPr="0035358E">
              <w:t>Data</w:t>
            </w:r>
          </w:p>
        </w:tc>
        <w:tc>
          <w:tcPr>
            <w:tcW w:w="879" w:type="pct"/>
            <w:vAlign w:val="center"/>
          </w:tcPr>
          <w:p w14:paraId="6C95E198" w14:textId="77777777" w:rsidR="00EA2B26" w:rsidRPr="0035358E" w:rsidRDefault="00EA2B26" w:rsidP="000D0BBC">
            <w:pPr>
              <w:pStyle w:val="In-tableHeading"/>
            </w:pPr>
            <w:r w:rsidRPr="0035358E">
              <w:t>Value</w:t>
            </w:r>
          </w:p>
        </w:tc>
        <w:tc>
          <w:tcPr>
            <w:tcW w:w="1337" w:type="pct"/>
            <w:vAlign w:val="center"/>
          </w:tcPr>
          <w:p w14:paraId="4CFC7715" w14:textId="77777777" w:rsidR="00EA2B26" w:rsidRPr="0035358E" w:rsidRDefault="00EA2B26" w:rsidP="000D0BBC">
            <w:pPr>
              <w:pStyle w:val="In-tableHeading"/>
            </w:pPr>
            <w:r w:rsidRPr="0035358E">
              <w:t>Source</w:t>
            </w:r>
          </w:p>
        </w:tc>
        <w:tc>
          <w:tcPr>
            <w:tcW w:w="1937" w:type="pct"/>
            <w:vAlign w:val="center"/>
          </w:tcPr>
          <w:p w14:paraId="0C714C01" w14:textId="77777777" w:rsidR="00EA2B26" w:rsidRPr="0035358E" w:rsidRDefault="00EA2B26" w:rsidP="000D0BBC">
            <w:pPr>
              <w:pStyle w:val="In-tableHeading"/>
            </w:pPr>
            <w:r w:rsidRPr="0035358E">
              <w:t xml:space="preserve">Commentary on the submission </w:t>
            </w:r>
          </w:p>
        </w:tc>
      </w:tr>
      <w:tr w:rsidR="002527AE" w:rsidRPr="0035358E" w14:paraId="12570040" w14:textId="77777777" w:rsidTr="00EA2B26">
        <w:tc>
          <w:tcPr>
            <w:tcW w:w="5000" w:type="pct"/>
            <w:gridSpan w:val="4"/>
            <w:vAlign w:val="center"/>
          </w:tcPr>
          <w:p w14:paraId="5EBA6F77" w14:textId="2DA86A1C" w:rsidR="00EA2B26" w:rsidRPr="0035358E" w:rsidRDefault="00EA2B26" w:rsidP="00EA2B26">
            <w:pPr>
              <w:pStyle w:val="TableText0"/>
              <w:rPr>
                <w:b/>
                <w:bCs w:val="0"/>
              </w:rPr>
            </w:pPr>
            <w:r w:rsidRPr="0035358E">
              <w:rPr>
                <w:b/>
                <w:bCs w:val="0"/>
              </w:rPr>
              <w:t>Eligible population</w:t>
            </w:r>
          </w:p>
        </w:tc>
      </w:tr>
      <w:tr w:rsidR="002527AE" w:rsidRPr="0035358E" w14:paraId="5D81A046" w14:textId="77777777" w:rsidTr="0018259F">
        <w:tc>
          <w:tcPr>
            <w:tcW w:w="847" w:type="pct"/>
            <w:vAlign w:val="center"/>
          </w:tcPr>
          <w:p w14:paraId="55459C33" w14:textId="77777777" w:rsidR="00EA2B26" w:rsidRPr="0035358E" w:rsidRDefault="00EA2B26" w:rsidP="00EA2B26">
            <w:pPr>
              <w:pStyle w:val="TableText0"/>
            </w:pPr>
            <w:r w:rsidRPr="0035358E">
              <w:t>Number of pregnant women eligible for vaccination</w:t>
            </w:r>
          </w:p>
        </w:tc>
        <w:tc>
          <w:tcPr>
            <w:tcW w:w="879" w:type="pct"/>
            <w:vAlign w:val="center"/>
          </w:tcPr>
          <w:p w14:paraId="6A8638D3" w14:textId="77777777" w:rsidR="00EA2B26" w:rsidRPr="0035358E" w:rsidRDefault="00EA2B26" w:rsidP="00EA2B26">
            <w:pPr>
              <w:pStyle w:val="TableText0"/>
            </w:pPr>
            <w:r w:rsidRPr="0035358E">
              <w:t>Ranging from 451,428 to 727,029 per year.</w:t>
            </w:r>
          </w:p>
        </w:tc>
        <w:tc>
          <w:tcPr>
            <w:tcW w:w="1337" w:type="pct"/>
            <w:vAlign w:val="center"/>
          </w:tcPr>
          <w:p w14:paraId="3A3EF0DC" w14:textId="6AF3D8F5" w:rsidR="00EA2B26" w:rsidRPr="0035358E" w:rsidRDefault="00EA2B26" w:rsidP="00EA2B26">
            <w:pPr>
              <w:pStyle w:val="TableText0"/>
            </w:pPr>
            <w:r w:rsidRPr="0035358E">
              <w:t>Linear extrapolation based on the number of women who gave birth in Australia from 2011 – 2021, reported in the National Perinatal Data Collection dataset</w:t>
            </w:r>
            <w:r w:rsidRPr="0035358E">
              <w:rPr>
                <w:rStyle w:val="FootnoteReference"/>
              </w:rPr>
              <w:footnoteReference w:id="34"/>
            </w:r>
            <w:r w:rsidRPr="0035358E">
              <w:t xml:space="preserve">. </w:t>
            </w:r>
          </w:p>
        </w:tc>
        <w:tc>
          <w:tcPr>
            <w:tcW w:w="1937" w:type="pct"/>
            <w:vAlign w:val="center"/>
          </w:tcPr>
          <w:p w14:paraId="7BBE7AE5" w14:textId="77777777" w:rsidR="00DB24CC" w:rsidRDefault="00EA2B26" w:rsidP="00EA2B26">
            <w:pPr>
              <w:pStyle w:val="TableText0"/>
            </w:pPr>
            <w:r w:rsidRPr="0035358E">
              <w:t>The commentary considered this was reasonable, noting that a small proportion of births occurred prior to 24 weeks (before the vaccination window commences)</w:t>
            </w:r>
            <w:r w:rsidR="00C93F78" w:rsidRPr="0035358E">
              <w:t>.</w:t>
            </w:r>
          </w:p>
          <w:p w14:paraId="4AD55D86" w14:textId="40619C85" w:rsidR="00EA2B26" w:rsidRPr="0035358E" w:rsidRDefault="00EA2B26" w:rsidP="00EA2B26">
            <w:pPr>
              <w:pStyle w:val="TableText0"/>
            </w:pPr>
          </w:p>
          <w:p w14:paraId="1BAB0B94" w14:textId="1A42D9B6" w:rsidR="00EA2B26" w:rsidRPr="0035358E" w:rsidRDefault="00966D9D" w:rsidP="00EA2B26">
            <w:pPr>
              <w:pStyle w:val="TableText0"/>
            </w:pPr>
            <w:r w:rsidRPr="0035358E">
              <w:t xml:space="preserve">The </w:t>
            </w:r>
            <w:r w:rsidR="00EA2B26" w:rsidRPr="0035358E">
              <w:t>DUSC considered this to be reasonable.</w:t>
            </w:r>
          </w:p>
        </w:tc>
      </w:tr>
      <w:tr w:rsidR="002527AE" w:rsidRPr="0035358E" w14:paraId="3159480E" w14:textId="77777777" w:rsidTr="0018259F">
        <w:tc>
          <w:tcPr>
            <w:tcW w:w="847" w:type="pct"/>
            <w:vAlign w:val="center"/>
          </w:tcPr>
          <w:p w14:paraId="41AAA6F9" w14:textId="77777777" w:rsidR="00EA2B26" w:rsidRPr="0035358E" w:rsidRDefault="00EA2B26" w:rsidP="00EA2B26">
            <w:pPr>
              <w:pStyle w:val="TableText0"/>
            </w:pPr>
            <w:r w:rsidRPr="0035358E">
              <w:t>Uptake rate</w:t>
            </w:r>
          </w:p>
        </w:tc>
        <w:tc>
          <w:tcPr>
            <w:tcW w:w="879" w:type="pct"/>
            <w:vAlign w:val="center"/>
          </w:tcPr>
          <w:p w14:paraId="4AD4693C" w14:textId="04D5BDDB" w:rsidR="00EA2B26" w:rsidRPr="0035358E" w:rsidRDefault="00EA2B26" w:rsidP="00EA2B26">
            <w:pPr>
              <w:pStyle w:val="TableText0"/>
            </w:pPr>
            <w:r w:rsidRPr="0035358E">
              <w:t xml:space="preserve">Starting from </w:t>
            </w:r>
            <w:r w:rsidR="00E96E79" w:rsidRPr="00B3542F">
              <w:rPr>
                <w:color w:val="000000"/>
                <w:spacing w:val="53"/>
                <w:shd w:val="solid" w:color="000000" w:fill="000000"/>
                <w:fitText w:val="330" w:id="-961849843"/>
                <w14:textFill>
                  <w14:solidFill>
                    <w14:srgbClr w14:val="000000">
                      <w14:alpha w14:val="100000"/>
                    </w14:srgbClr>
                  </w14:solidFill>
                </w14:textFill>
              </w:rPr>
              <w:t>|||</w:t>
            </w:r>
            <w:r w:rsidR="00E96E79" w:rsidRPr="00B3542F">
              <w:rPr>
                <w:color w:val="000000"/>
                <w:spacing w:val="1"/>
                <w:shd w:val="solid" w:color="000000" w:fill="000000"/>
                <w:fitText w:val="330" w:id="-961849843"/>
                <w14:textFill>
                  <w14:solidFill>
                    <w14:srgbClr w14:val="000000">
                      <w14:alpha w14:val="100000"/>
                    </w14:srgbClr>
                  </w14:solidFill>
                </w14:textFill>
              </w:rPr>
              <w:t>|</w:t>
            </w:r>
            <w:r w:rsidRPr="001C1B4E">
              <w:t xml:space="preserve">%, increasing to </w:t>
            </w:r>
            <w:r w:rsidR="00E96E79" w:rsidRPr="00B3542F">
              <w:rPr>
                <w:color w:val="000000"/>
                <w:spacing w:val="53"/>
                <w:shd w:val="solid" w:color="000000" w:fill="000000"/>
                <w:fitText w:val="330" w:id="-961849842"/>
                <w14:textFill>
                  <w14:solidFill>
                    <w14:srgbClr w14:val="000000">
                      <w14:alpha w14:val="100000"/>
                    </w14:srgbClr>
                  </w14:solidFill>
                </w14:textFill>
              </w:rPr>
              <w:t>|||</w:t>
            </w:r>
            <w:r w:rsidR="00E96E79" w:rsidRPr="00B3542F">
              <w:rPr>
                <w:color w:val="000000"/>
                <w:spacing w:val="1"/>
                <w:shd w:val="solid" w:color="000000" w:fill="000000"/>
                <w:fitText w:val="330" w:id="-961849842"/>
                <w14:textFill>
                  <w14:solidFill>
                    <w14:srgbClr w14:val="000000">
                      <w14:alpha w14:val="100000"/>
                    </w14:srgbClr>
                  </w14:solidFill>
                </w14:textFill>
              </w:rPr>
              <w:t>|</w:t>
            </w:r>
            <w:r w:rsidRPr="001C1B4E">
              <w:t xml:space="preserve">% </w:t>
            </w:r>
            <w:r w:rsidRPr="0035358E">
              <w:t>by Year 3.</w:t>
            </w:r>
          </w:p>
        </w:tc>
        <w:tc>
          <w:tcPr>
            <w:tcW w:w="1337" w:type="pct"/>
            <w:vAlign w:val="center"/>
          </w:tcPr>
          <w:p w14:paraId="51D60746" w14:textId="1F931B9D" w:rsidR="00EA2B26" w:rsidRPr="0035358E" w:rsidRDefault="00EA2B26" w:rsidP="00EA2B26">
            <w:pPr>
              <w:pStyle w:val="TableText0"/>
            </w:pPr>
            <w:r w:rsidRPr="0035358E">
              <w:t>Assumption based on uptake rates reported in literature for other maternal vaccinations</w:t>
            </w:r>
            <w:r w:rsidR="00C93F78" w:rsidRPr="0035358E">
              <w:t xml:space="preserve">. </w:t>
            </w:r>
          </w:p>
        </w:tc>
        <w:tc>
          <w:tcPr>
            <w:tcW w:w="1937" w:type="pct"/>
            <w:vAlign w:val="center"/>
          </w:tcPr>
          <w:p w14:paraId="50B88270" w14:textId="77777777" w:rsidR="00DB24CC" w:rsidRDefault="00EA2B26" w:rsidP="00EA2B26">
            <w:pPr>
              <w:pStyle w:val="TableText0"/>
            </w:pPr>
            <w:r w:rsidRPr="0035358E">
              <w:t>While uptake rates are generally uncertain, ATAGI considered this was reasonable.</w:t>
            </w:r>
          </w:p>
          <w:p w14:paraId="56FBB229" w14:textId="557DA890" w:rsidR="005A2532" w:rsidRPr="005A2532" w:rsidRDefault="005A2532" w:rsidP="00EA2B26">
            <w:pPr>
              <w:pStyle w:val="TableText0"/>
              <w:rPr>
                <w:rFonts w:eastAsia="SimSun"/>
              </w:rPr>
            </w:pPr>
          </w:p>
          <w:p w14:paraId="7518F290" w14:textId="77777777" w:rsidR="00DB24CC" w:rsidRDefault="00966D9D" w:rsidP="00EA2B26">
            <w:pPr>
              <w:pStyle w:val="TableText0"/>
            </w:pPr>
            <w:r w:rsidRPr="0035358E">
              <w:t xml:space="preserve">The </w:t>
            </w:r>
            <w:r w:rsidR="00EA2B26" w:rsidRPr="0035358E">
              <w:t xml:space="preserve">DUSC considered the uptake rate of RSVpreF might be underestimated based on the uptake rates of influenza and pertussis vaccines in pregnant women. However, </w:t>
            </w:r>
            <w:r w:rsidR="00A222E0" w:rsidRPr="0035358E">
              <w:t xml:space="preserve">it was noted that the </w:t>
            </w:r>
            <w:r w:rsidR="00A222E0" w:rsidRPr="0035358E">
              <w:rPr>
                <w:rFonts w:eastAsia="SimSun"/>
                <w:szCs w:val="20"/>
              </w:rPr>
              <w:t xml:space="preserve">uptake of RSVpreF in other countries was less than 50% and the DUSC also considered that the </w:t>
            </w:r>
            <w:r w:rsidR="00EA2B26" w:rsidRPr="0035358E">
              <w:t xml:space="preserve">availability of </w:t>
            </w:r>
            <w:r w:rsidRPr="0035358E">
              <w:t xml:space="preserve">alternatives, such as </w:t>
            </w:r>
            <w:r w:rsidR="00EA2B26" w:rsidRPr="0035358E">
              <w:t xml:space="preserve">nirsevimab or other RSV vaccines may influence the uptake of RSVpreF. In addition, DUSC commented </w:t>
            </w:r>
            <w:r w:rsidRPr="0035358E">
              <w:t>that</w:t>
            </w:r>
            <w:r w:rsidR="00EA2B26" w:rsidRPr="0035358E">
              <w:t xml:space="preserve"> uptake rates will be sensitive to risk communication about adverse events</w:t>
            </w:r>
            <w:r w:rsidR="00C93F78" w:rsidRPr="0035358E">
              <w:t>.</w:t>
            </w:r>
          </w:p>
          <w:p w14:paraId="1988C813" w14:textId="5170F2A1" w:rsidR="00DA3964" w:rsidRPr="0035358E" w:rsidRDefault="00DA3964" w:rsidP="00EA2B26">
            <w:pPr>
              <w:pStyle w:val="TableText0"/>
            </w:pPr>
          </w:p>
          <w:p w14:paraId="1AE1F886" w14:textId="70A199D5" w:rsidR="00DA3964" w:rsidRPr="0035358E" w:rsidRDefault="00DA3964" w:rsidP="00DA3964">
            <w:pPr>
              <w:pStyle w:val="TableText0"/>
            </w:pPr>
            <w:r w:rsidRPr="0035358E">
              <w:t xml:space="preserve">The pre-PBAC response stated that the uptake rates in the submission were informed by ATAGI’s Advice. </w:t>
            </w:r>
          </w:p>
        </w:tc>
      </w:tr>
      <w:tr w:rsidR="002527AE" w:rsidRPr="0035358E" w14:paraId="04FA73BF" w14:textId="77777777" w:rsidTr="00EA2B26">
        <w:tc>
          <w:tcPr>
            <w:tcW w:w="5000" w:type="pct"/>
            <w:gridSpan w:val="4"/>
            <w:vAlign w:val="center"/>
          </w:tcPr>
          <w:p w14:paraId="0881A8A0" w14:textId="77777777" w:rsidR="00EA2B26" w:rsidRPr="0035358E" w:rsidRDefault="00EA2B26" w:rsidP="00EA2B26">
            <w:pPr>
              <w:pStyle w:val="TableText0"/>
              <w:rPr>
                <w:b/>
                <w:bCs w:val="0"/>
              </w:rPr>
            </w:pPr>
            <w:r w:rsidRPr="0035358E">
              <w:rPr>
                <w:b/>
                <w:bCs w:val="0"/>
              </w:rPr>
              <w:t>Costs</w:t>
            </w:r>
          </w:p>
        </w:tc>
      </w:tr>
      <w:tr w:rsidR="002527AE" w:rsidRPr="0035358E" w14:paraId="28C604E0" w14:textId="77777777" w:rsidTr="0018259F">
        <w:tc>
          <w:tcPr>
            <w:tcW w:w="847" w:type="pct"/>
            <w:vAlign w:val="center"/>
          </w:tcPr>
          <w:p w14:paraId="07FAA662" w14:textId="77777777" w:rsidR="00EA2B26" w:rsidRPr="0035358E" w:rsidRDefault="00EA2B26" w:rsidP="00EA2B26">
            <w:pPr>
              <w:pStyle w:val="TableText0"/>
            </w:pPr>
            <w:r w:rsidRPr="0035358E">
              <w:t>RSVpreF</w:t>
            </w:r>
          </w:p>
        </w:tc>
        <w:tc>
          <w:tcPr>
            <w:tcW w:w="879" w:type="pct"/>
            <w:vAlign w:val="center"/>
          </w:tcPr>
          <w:p w14:paraId="35CDA384" w14:textId="646E7856" w:rsidR="00EA2B26" w:rsidRPr="0035358E" w:rsidRDefault="00EA2B26" w:rsidP="00EA2B26">
            <w:pPr>
              <w:pStyle w:val="TableText0"/>
            </w:pPr>
            <w:r w:rsidRPr="0035358E">
              <w:t>$</w:t>
            </w:r>
            <w:r w:rsidR="00E96E79" w:rsidRPr="00B3542F">
              <w:rPr>
                <w:color w:val="000000"/>
                <w:spacing w:val="53"/>
                <w:shd w:val="solid" w:color="000000" w:fill="000000"/>
                <w:fitText w:val="330" w:id="-961849841"/>
                <w14:textFill>
                  <w14:solidFill>
                    <w14:srgbClr w14:val="000000">
                      <w14:alpha w14:val="100000"/>
                    </w14:srgbClr>
                  </w14:solidFill>
                </w14:textFill>
              </w:rPr>
              <w:t>|||</w:t>
            </w:r>
            <w:r w:rsidR="00E96E79" w:rsidRPr="00B3542F">
              <w:rPr>
                <w:color w:val="000000"/>
                <w:spacing w:val="1"/>
                <w:shd w:val="solid" w:color="000000" w:fill="000000"/>
                <w:fitText w:val="330" w:id="-961849841"/>
                <w14:textFill>
                  <w14:solidFill>
                    <w14:srgbClr w14:val="000000">
                      <w14:alpha w14:val="100000"/>
                    </w14:srgbClr>
                  </w14:solidFill>
                </w14:textFill>
              </w:rPr>
              <w:t>|</w:t>
            </w:r>
          </w:p>
        </w:tc>
        <w:tc>
          <w:tcPr>
            <w:tcW w:w="1337" w:type="pct"/>
            <w:vAlign w:val="center"/>
          </w:tcPr>
          <w:p w14:paraId="2D06D559" w14:textId="77777777" w:rsidR="00EA2B26" w:rsidRPr="0035358E" w:rsidRDefault="00EA2B26" w:rsidP="00EA2B26">
            <w:pPr>
              <w:pStyle w:val="TableText0"/>
            </w:pPr>
            <w:r w:rsidRPr="0035358E">
              <w:t xml:space="preserve">Requested price per unit. </w:t>
            </w:r>
          </w:p>
        </w:tc>
        <w:tc>
          <w:tcPr>
            <w:tcW w:w="1937" w:type="pct"/>
            <w:vAlign w:val="center"/>
          </w:tcPr>
          <w:p w14:paraId="7A337B5D" w14:textId="7BE0D5FA" w:rsidR="00EA2B26" w:rsidRPr="0035358E" w:rsidRDefault="00A222E0" w:rsidP="00EA2B26">
            <w:pPr>
              <w:pStyle w:val="TableText0"/>
            </w:pPr>
            <w:r w:rsidRPr="0035358E">
              <w:t>C</w:t>
            </w:r>
            <w:r w:rsidR="00EA2B26" w:rsidRPr="0035358E">
              <w:t>onsistent with the economic model</w:t>
            </w:r>
            <w:r w:rsidRPr="0035358E">
              <w:t xml:space="preserve"> in the submission</w:t>
            </w:r>
            <w:r w:rsidR="00EA2B26" w:rsidRPr="0035358E">
              <w:t xml:space="preserve">. </w:t>
            </w:r>
          </w:p>
        </w:tc>
      </w:tr>
      <w:tr w:rsidR="002527AE" w:rsidRPr="0035358E" w14:paraId="6DFA7EBB" w14:textId="77777777" w:rsidTr="0018259F">
        <w:tc>
          <w:tcPr>
            <w:tcW w:w="847" w:type="pct"/>
            <w:vAlign w:val="center"/>
          </w:tcPr>
          <w:p w14:paraId="7A212652" w14:textId="77777777" w:rsidR="00EA2B26" w:rsidRPr="0035358E" w:rsidRDefault="00EA2B26" w:rsidP="00EA2B26">
            <w:pPr>
              <w:pStyle w:val="TableText0"/>
            </w:pPr>
            <w:r w:rsidRPr="0035358E">
              <w:t>Units of RSVpreF per person</w:t>
            </w:r>
          </w:p>
        </w:tc>
        <w:tc>
          <w:tcPr>
            <w:tcW w:w="879" w:type="pct"/>
            <w:vAlign w:val="center"/>
          </w:tcPr>
          <w:p w14:paraId="64C82121" w14:textId="77777777" w:rsidR="00EA2B26" w:rsidRPr="0035358E" w:rsidRDefault="00EA2B26" w:rsidP="00EA2B26">
            <w:pPr>
              <w:pStyle w:val="TableText0"/>
              <w:rPr>
                <w:vertAlign w:val="superscript"/>
              </w:rPr>
            </w:pPr>
            <w:r w:rsidRPr="0035358E">
              <w:t>1.00</w:t>
            </w:r>
            <w:r w:rsidRPr="0035358E">
              <w:rPr>
                <w:vertAlign w:val="superscript"/>
              </w:rPr>
              <w:t xml:space="preserve">a </w:t>
            </w:r>
          </w:p>
        </w:tc>
        <w:tc>
          <w:tcPr>
            <w:tcW w:w="1337" w:type="pct"/>
            <w:vAlign w:val="center"/>
          </w:tcPr>
          <w:p w14:paraId="6CABED3D" w14:textId="7823B214" w:rsidR="00EA2B26" w:rsidRPr="0035358E" w:rsidRDefault="00EA2B26" w:rsidP="0018259F">
            <w:pPr>
              <w:pStyle w:val="TableText0"/>
            </w:pPr>
            <w:r w:rsidRPr="0035358E">
              <w:t>One vaccine unit per person</w:t>
            </w:r>
            <w:r w:rsidR="00C63E95">
              <w:t xml:space="preserve"> </w:t>
            </w:r>
          </w:p>
        </w:tc>
        <w:tc>
          <w:tcPr>
            <w:tcW w:w="1937" w:type="pct"/>
          </w:tcPr>
          <w:p w14:paraId="1AB93FD6" w14:textId="58F3AB48" w:rsidR="00EA2B26" w:rsidRPr="0035358E" w:rsidRDefault="00EA2B26" w:rsidP="00EA2B26">
            <w:pPr>
              <w:pStyle w:val="TableText0"/>
            </w:pPr>
            <w:r w:rsidRPr="0035358E">
              <w:t>Reasonable after correcting for a rounding error</w:t>
            </w:r>
            <w:r w:rsidRPr="0035358E">
              <w:rPr>
                <w:vertAlign w:val="superscript"/>
              </w:rPr>
              <w:t>a</w:t>
            </w:r>
            <w:r w:rsidRPr="0035358E">
              <w:t>.</w:t>
            </w:r>
          </w:p>
        </w:tc>
      </w:tr>
      <w:tr w:rsidR="002527AE" w:rsidRPr="0035358E" w14:paraId="5372F24A" w14:textId="77777777" w:rsidTr="0018259F">
        <w:tc>
          <w:tcPr>
            <w:tcW w:w="847" w:type="pct"/>
            <w:vAlign w:val="center"/>
          </w:tcPr>
          <w:p w14:paraId="70396D1B" w14:textId="77777777" w:rsidR="00EA2B26" w:rsidRPr="0035358E" w:rsidRDefault="00EA2B26" w:rsidP="00EA2B26">
            <w:pPr>
              <w:pStyle w:val="TableText0"/>
            </w:pPr>
            <w:r w:rsidRPr="0035358E">
              <w:t>MBS costs</w:t>
            </w:r>
          </w:p>
        </w:tc>
        <w:tc>
          <w:tcPr>
            <w:tcW w:w="879" w:type="pct"/>
            <w:vAlign w:val="center"/>
          </w:tcPr>
          <w:p w14:paraId="661B95CC" w14:textId="77777777" w:rsidR="00EA2B26" w:rsidRPr="0035358E" w:rsidRDefault="00EA2B26" w:rsidP="00EA2B26">
            <w:pPr>
              <w:pStyle w:val="TableText0"/>
            </w:pPr>
            <w:r w:rsidRPr="0035358E">
              <w:t>$5.60 per administration.</w:t>
            </w:r>
          </w:p>
        </w:tc>
        <w:tc>
          <w:tcPr>
            <w:tcW w:w="1337" w:type="pct"/>
            <w:vAlign w:val="center"/>
          </w:tcPr>
          <w:p w14:paraId="4B4EB004" w14:textId="77777777" w:rsidR="00EA2B26" w:rsidRPr="0035358E" w:rsidRDefault="00EA2B26" w:rsidP="00EA2B26">
            <w:pPr>
              <w:pStyle w:val="TableText0"/>
            </w:pPr>
            <w:r w:rsidRPr="0035358E">
              <w:t>80% MBS rebate applied to $7 worth of GP consultation time.</w:t>
            </w:r>
            <w:r w:rsidRPr="0035358E">
              <w:rPr>
                <w:vertAlign w:val="superscript"/>
              </w:rPr>
              <w:t>b</w:t>
            </w:r>
            <w:r w:rsidRPr="0035358E">
              <w:t xml:space="preserve"> </w:t>
            </w:r>
          </w:p>
        </w:tc>
        <w:tc>
          <w:tcPr>
            <w:tcW w:w="1937" w:type="pct"/>
            <w:vAlign w:val="center"/>
          </w:tcPr>
          <w:p w14:paraId="24C35B6D" w14:textId="77777777" w:rsidR="00EA2B26" w:rsidRPr="0035358E" w:rsidRDefault="00EA2B26" w:rsidP="00EA2B26">
            <w:pPr>
              <w:pStyle w:val="TableText0"/>
            </w:pPr>
            <w:r w:rsidRPr="0035358E">
              <w:t xml:space="preserve">While this was consistent with the economic model, the 100% MBS rebate is applicable for GP consultations. This was revised during the evaluation. </w:t>
            </w:r>
          </w:p>
        </w:tc>
      </w:tr>
    </w:tbl>
    <w:p w14:paraId="4ECCA412" w14:textId="77777777" w:rsidR="000613A7" w:rsidRPr="0035358E" w:rsidRDefault="000613A7" w:rsidP="000613A7">
      <w:pPr>
        <w:pStyle w:val="FooterTableFigure"/>
        <w:keepNext/>
      </w:pPr>
      <w:r w:rsidRPr="0035358E">
        <w:t xml:space="preserve">Source: </w:t>
      </w:r>
      <w:r w:rsidRPr="0035358E">
        <w:rPr>
          <w:iCs/>
        </w:rPr>
        <w:t>Constructed during the evaluation</w:t>
      </w:r>
      <w:r w:rsidRPr="0035358E">
        <w:t xml:space="preserve"> from the “ABRYSVO_Maternal_Section 4 Workbook_Nov 2023” Excel Workbook provided with the submission.</w:t>
      </w:r>
    </w:p>
    <w:p w14:paraId="1BBF13A5" w14:textId="75907A51" w:rsidR="000613A7" w:rsidRPr="0035358E" w:rsidRDefault="00FA2DA6" w:rsidP="000613A7">
      <w:pPr>
        <w:pStyle w:val="FooterTableFigure"/>
        <w:keepNext/>
        <w:rPr>
          <w:rStyle w:val="ui-provider"/>
        </w:rPr>
      </w:pPr>
      <w:r>
        <w:t xml:space="preserve">Abbreviations: </w:t>
      </w:r>
      <w:r w:rsidR="000613A7" w:rsidRPr="0035358E">
        <w:t xml:space="preserve">ATAGI = Australian Technical Advisory Group on Immunisation; GP = general practitioner; MBS = Medicare Benefits Schedule; RSVpreF = </w:t>
      </w:r>
      <w:r w:rsidR="000613A7" w:rsidRPr="0035358E">
        <w:rPr>
          <w:rStyle w:val="ui-provider"/>
        </w:rPr>
        <w:t>recombinant respiratory syncytial virus pre-fusion F protein vaccine.</w:t>
      </w:r>
    </w:p>
    <w:p w14:paraId="7DE06E0D" w14:textId="77777777" w:rsidR="00DB24CC" w:rsidRDefault="000613A7" w:rsidP="000613A7">
      <w:pPr>
        <w:pStyle w:val="FooterTableFigure"/>
        <w:keepNext/>
        <w:rPr>
          <w:iCs/>
        </w:rPr>
      </w:pPr>
      <w:r w:rsidRPr="0035358E">
        <w:rPr>
          <w:rStyle w:val="ui-provider"/>
          <w:vertAlign w:val="superscript"/>
        </w:rPr>
        <w:t xml:space="preserve">a </w:t>
      </w:r>
      <w:r w:rsidRPr="0035358E">
        <w:t xml:space="preserve">The submission attempted to convert the number of women to patient-years, resulting in small rounding error </w:t>
      </w:r>
      <w:r w:rsidRPr="0035358E">
        <w:rPr>
          <w:rStyle w:val="ui-provider"/>
        </w:rPr>
        <w:t xml:space="preserve">0.999 </w:t>
      </w:r>
      <w:r w:rsidRPr="0035358E">
        <w:t>(</w:t>
      </w:r>
      <w:r w:rsidRPr="0035358E">
        <w:rPr>
          <w:rStyle w:val="ui-provider"/>
        </w:rPr>
        <w:t>365/365.25) vaccine units per person</w:t>
      </w:r>
      <w:r w:rsidRPr="0035358E">
        <w:t>.</w:t>
      </w:r>
      <w:r w:rsidRPr="0035358E">
        <w:rPr>
          <w:iCs/>
        </w:rPr>
        <w:t xml:space="preserve"> This was revised to one vaccine unit per person.</w:t>
      </w:r>
    </w:p>
    <w:p w14:paraId="3D645B89" w14:textId="77777777" w:rsidR="00DB24CC" w:rsidRDefault="00F9225F" w:rsidP="000D0BBC">
      <w:pPr>
        <w:pStyle w:val="FooterTableFigure"/>
      </w:pPr>
      <w:r w:rsidRPr="0035358E">
        <w:rPr>
          <w:vertAlign w:val="superscript"/>
        </w:rPr>
        <w:t>b</w:t>
      </w:r>
      <w:r w:rsidRPr="0035358E">
        <w:t xml:space="preserve"> $7.00 vaccine administration cost was applied in the model to account for GP consultation time, sourced from the PSD for maternal dTpa Vaccine (paragraph 6.37 July 2016 PBAC Meeting).</w:t>
      </w:r>
    </w:p>
    <w:p w14:paraId="1A5D0594" w14:textId="297208C6" w:rsidR="00DB24CC" w:rsidRDefault="00F43500" w:rsidP="00DD4B2C">
      <w:pPr>
        <w:pStyle w:val="3-BodyText"/>
      </w:pPr>
      <w:r w:rsidRPr="0035358E">
        <w:t xml:space="preserve">The submission considered </w:t>
      </w:r>
      <w:r w:rsidR="000E5BD3" w:rsidRPr="0035358E">
        <w:t xml:space="preserve">that </w:t>
      </w:r>
      <w:r w:rsidRPr="0035358E">
        <w:t>all women who will give birth will be eligible for vaccination and hence linearly extrapolated the number of women who gave birth from 2011-2022 through to 2029. Th</w:t>
      </w:r>
      <w:r w:rsidR="000E5BD3" w:rsidRPr="0035358E">
        <w:t xml:space="preserve">e commentary considered this </w:t>
      </w:r>
      <w:r w:rsidRPr="0035358E">
        <w:t xml:space="preserve">was reasonable, </w:t>
      </w:r>
      <w:r w:rsidR="000E5BD3" w:rsidRPr="0035358E">
        <w:t xml:space="preserve">as </w:t>
      </w:r>
      <w:r w:rsidRPr="0035358E">
        <w:t xml:space="preserve">a very small number of births occur before 24 weeks (the start of the vaccination </w:t>
      </w:r>
      <w:r w:rsidRPr="0035358E">
        <w:lastRenderedPageBreak/>
        <w:t>window).</w:t>
      </w:r>
      <w:r w:rsidRPr="0035358E">
        <w:rPr>
          <w:iCs/>
        </w:rPr>
        <w:t xml:space="preserve"> </w:t>
      </w:r>
      <w:r w:rsidRPr="0035358E">
        <w:t>Uptake rates based on ATAGI advice w</w:t>
      </w:r>
      <w:r w:rsidR="000E5BD3" w:rsidRPr="0035358E">
        <w:t>ere</w:t>
      </w:r>
      <w:r w:rsidRPr="0035358E">
        <w:t xml:space="preserve"> applied to the forecasted number of women giving birth, starting from </w:t>
      </w:r>
      <w:r w:rsidR="00E96E79" w:rsidRPr="00A46CAC">
        <w:rPr>
          <w:color w:val="000000"/>
          <w:w w:val="15"/>
          <w:shd w:val="solid" w:color="000000" w:fill="000000"/>
          <w:fitText w:val="-20" w:id="-961849840"/>
          <w14:textFill>
            <w14:solidFill>
              <w14:srgbClr w14:val="000000">
                <w14:alpha w14:val="100000"/>
              </w14:srgbClr>
            </w14:solidFill>
          </w14:textFill>
        </w:rPr>
        <w:t>|</w:t>
      </w:r>
      <w:r w:rsidR="00C63E95" w:rsidRPr="00A46CAC">
        <w:rPr>
          <w:color w:val="000000"/>
          <w:w w:val="15"/>
          <w:shd w:val="solid" w:color="000000" w:fill="000000"/>
          <w:fitText w:val="-20" w:id="-961849840"/>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49840"/>
          <w14:textFill>
            <w14:solidFill>
              <w14:srgbClr w14:val="000000">
                <w14:alpha w14:val="100000"/>
              </w14:srgbClr>
            </w14:solidFill>
          </w14:textFill>
        </w:rPr>
        <w:t>|</w:t>
      </w:r>
      <w:r w:rsidRPr="001C1B4E">
        <w:t xml:space="preserve">% and increasing to </w:t>
      </w:r>
      <w:r w:rsidR="00E96E79" w:rsidRPr="00A46CAC">
        <w:rPr>
          <w:color w:val="000000"/>
          <w:w w:val="15"/>
          <w:shd w:val="solid" w:color="000000" w:fill="000000"/>
          <w:fitText w:val="-20" w:id="-961849856"/>
          <w14:textFill>
            <w14:solidFill>
              <w14:srgbClr w14:val="000000">
                <w14:alpha w14:val="100000"/>
              </w14:srgbClr>
            </w14:solidFill>
          </w14:textFill>
        </w:rPr>
        <w:t>|</w:t>
      </w:r>
      <w:r w:rsidR="00C63E95" w:rsidRPr="00A46CAC">
        <w:rPr>
          <w:color w:val="000000"/>
          <w:w w:val="15"/>
          <w:shd w:val="solid" w:color="000000" w:fill="000000"/>
          <w:fitText w:val="-20" w:id="-961849856"/>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49856"/>
          <w14:textFill>
            <w14:solidFill>
              <w14:srgbClr w14:val="000000">
                <w14:alpha w14:val="100000"/>
              </w14:srgbClr>
            </w14:solidFill>
          </w14:textFill>
        </w:rPr>
        <w:t>|</w:t>
      </w:r>
      <w:r w:rsidRPr="001C1B4E">
        <w:t>%</w:t>
      </w:r>
      <w:r w:rsidRPr="0035358E">
        <w:t xml:space="preserve"> by Year 3. ATAGI considered these uptake rates reasonable. Given the different maternal vaccines (influenza, pertussis and COVID-19) recommended during the 24 to 36 weeks gestation period and the lack of scheduled antenatal visits during this period, pregnant women may choose to prioritise some vaccines over others, resulting in modest uptake rates.</w:t>
      </w:r>
    </w:p>
    <w:p w14:paraId="42C17994" w14:textId="77777777" w:rsidR="00DB24CC" w:rsidRDefault="00F43500" w:rsidP="00DD4B2C">
      <w:pPr>
        <w:pStyle w:val="3-BodyText"/>
        <w:rPr>
          <w:iCs/>
        </w:rPr>
      </w:pPr>
      <w:r w:rsidRPr="0035358E">
        <w:t xml:space="preserve">Consistent with the economic model and </w:t>
      </w:r>
      <w:r w:rsidR="000E5BD3" w:rsidRPr="0035358E">
        <w:t xml:space="preserve">previous </w:t>
      </w:r>
      <w:r w:rsidRPr="0035358E">
        <w:t xml:space="preserve">ESC advice </w:t>
      </w:r>
      <w:r w:rsidR="000E5BD3" w:rsidRPr="0035358E">
        <w:t xml:space="preserve">from 2016 </w:t>
      </w:r>
      <w:r w:rsidRPr="0035358E">
        <w:t xml:space="preserve">(para 6.37, dTpa vaccine </w:t>
      </w:r>
      <w:r w:rsidR="004A30D9" w:rsidRPr="004A30D9">
        <w:t xml:space="preserve">Public Summary Document </w:t>
      </w:r>
      <w:r w:rsidRPr="0035358E">
        <w:t>, July 2016 PBAC Meeting), the submission included a $7.00 GP administration cost per person. The submission had applied the 80% MBS rebate to the GP administration cost (resulting in a cost per administration of $5.60). This was not appropriate as the 100% rebate applies to GP consultation costs. The MBS implications were re-estimated during the evaluations using the revised number of vaccine units and assuming a 100% MBS benefit.</w:t>
      </w:r>
    </w:p>
    <w:p w14:paraId="30BD1CA3" w14:textId="1778690B" w:rsidR="00DB24CC" w:rsidRDefault="00F43500" w:rsidP="00DD4B2C">
      <w:pPr>
        <w:pStyle w:val="3-BodyText"/>
      </w:pPr>
      <w:r w:rsidRPr="0035358E">
        <w:t>The derivation of the vaccinated population and the net financial implications to the NIP and MBS are presented</w:t>
      </w:r>
      <w:r w:rsidR="000E5BD3" w:rsidRPr="0035358E">
        <w:t xml:space="preserve"> in</w:t>
      </w:r>
      <w:r w:rsidRPr="0035358E">
        <w:t xml:space="preserve"> </w:t>
      </w:r>
      <w:r w:rsidRPr="0035358E">
        <w:fldChar w:fldCharType="begin"/>
      </w:r>
      <w:r w:rsidRPr="0035358E">
        <w:instrText xml:space="preserve"> REF _Ref151988086 \h  \* MERGEFORMAT </w:instrText>
      </w:r>
      <w:r w:rsidRPr="0035358E">
        <w:fldChar w:fldCharType="separate"/>
      </w:r>
      <w:r w:rsidR="00A46CAC" w:rsidRPr="0035358E">
        <w:t xml:space="preserve">Table </w:t>
      </w:r>
      <w:r w:rsidR="00A46CAC">
        <w:t>20</w:t>
      </w:r>
      <w:r w:rsidRPr="0035358E">
        <w:fldChar w:fldCharType="end"/>
      </w:r>
      <w:r w:rsidRPr="0035358E">
        <w:t>.</w:t>
      </w:r>
    </w:p>
    <w:p w14:paraId="27A27A57" w14:textId="7413F09A" w:rsidR="00F43500" w:rsidRPr="0035358E" w:rsidRDefault="00F43500" w:rsidP="00AF2564">
      <w:pPr>
        <w:pStyle w:val="Caption"/>
        <w:jc w:val="left"/>
      </w:pPr>
      <w:bookmarkStart w:id="101" w:name="_Ref151988086"/>
      <w:r w:rsidRPr="0035358E">
        <w:t xml:space="preserve">Table </w:t>
      </w:r>
      <w:r w:rsidR="00560E31">
        <w:fldChar w:fldCharType="begin"/>
      </w:r>
      <w:r w:rsidR="00560E31">
        <w:instrText xml:space="preserve"> SEQ Table \* ARABIC </w:instrText>
      </w:r>
      <w:r w:rsidR="00560E31">
        <w:fldChar w:fldCharType="separate"/>
      </w:r>
      <w:r w:rsidR="00A46CAC">
        <w:rPr>
          <w:noProof/>
        </w:rPr>
        <w:t>20</w:t>
      </w:r>
      <w:r w:rsidR="00560E31">
        <w:rPr>
          <w:noProof/>
        </w:rPr>
        <w:fldChar w:fldCharType="end"/>
      </w:r>
      <w:bookmarkEnd w:id="101"/>
      <w:r w:rsidRPr="0035358E">
        <w:t>: Estimation of number of treated patients and financial implications to the NIP</w:t>
      </w:r>
    </w:p>
    <w:tbl>
      <w:tblPr>
        <w:tblStyle w:val="TableGrid"/>
        <w:tblW w:w="5000" w:type="pct"/>
        <w:tblLayout w:type="fixed"/>
        <w:tblCellMar>
          <w:left w:w="57" w:type="dxa"/>
          <w:right w:w="57" w:type="dxa"/>
        </w:tblCellMar>
        <w:tblLook w:val="04A0" w:firstRow="1" w:lastRow="0" w:firstColumn="1" w:lastColumn="0" w:noHBand="0" w:noVBand="1"/>
        <w:tblCaption w:val="Table 20: Estimation of number of treated patients and financial implications to the NIP"/>
      </w:tblPr>
      <w:tblGrid>
        <w:gridCol w:w="1839"/>
        <w:gridCol w:w="1133"/>
        <w:gridCol w:w="1134"/>
        <w:gridCol w:w="1277"/>
        <w:gridCol w:w="1275"/>
        <w:gridCol w:w="1134"/>
        <w:gridCol w:w="1225"/>
      </w:tblGrid>
      <w:tr w:rsidR="00F43500" w:rsidRPr="0035358E" w14:paraId="0172EB4A" w14:textId="77777777" w:rsidTr="00186F95">
        <w:tc>
          <w:tcPr>
            <w:tcW w:w="1020" w:type="pct"/>
            <w:vAlign w:val="center"/>
          </w:tcPr>
          <w:p w14:paraId="1F3C1A9F" w14:textId="77777777" w:rsidR="00F43500" w:rsidRPr="0035358E" w:rsidRDefault="00F43500" w:rsidP="00AF2564">
            <w:pPr>
              <w:keepNext/>
              <w:jc w:val="center"/>
              <w:rPr>
                <w:color w:val="3366FF"/>
              </w:rPr>
            </w:pPr>
            <w:r w:rsidRPr="0035358E">
              <w:rPr>
                <w:rFonts w:ascii="Arial Narrow" w:eastAsiaTheme="majorEastAsia" w:hAnsi="Arial Narrow" w:cstheme="majorBidi"/>
                <w:b/>
                <w:sz w:val="20"/>
              </w:rPr>
              <w:t>Description</w:t>
            </w:r>
          </w:p>
        </w:tc>
        <w:tc>
          <w:tcPr>
            <w:tcW w:w="628" w:type="pct"/>
            <w:shd w:val="clear" w:color="auto" w:fill="auto"/>
            <w:vAlign w:val="center"/>
          </w:tcPr>
          <w:p w14:paraId="5FD61662" w14:textId="77777777" w:rsidR="00F43500" w:rsidRPr="0035358E" w:rsidRDefault="00F43500" w:rsidP="00AE0C2A">
            <w:pPr>
              <w:pStyle w:val="TableFigureHeading"/>
            </w:pPr>
            <w:r w:rsidRPr="0035358E">
              <w:t>2024</w:t>
            </w:r>
          </w:p>
        </w:tc>
        <w:tc>
          <w:tcPr>
            <w:tcW w:w="629" w:type="pct"/>
            <w:shd w:val="clear" w:color="auto" w:fill="auto"/>
            <w:vAlign w:val="center"/>
          </w:tcPr>
          <w:p w14:paraId="33259886" w14:textId="77777777" w:rsidR="00F43500" w:rsidRPr="0035358E" w:rsidRDefault="00F43500" w:rsidP="00AE0C2A">
            <w:pPr>
              <w:pStyle w:val="TableFigureHeading"/>
            </w:pPr>
            <w:r w:rsidRPr="0035358E">
              <w:t>2025</w:t>
            </w:r>
          </w:p>
        </w:tc>
        <w:tc>
          <w:tcPr>
            <w:tcW w:w="708" w:type="pct"/>
            <w:shd w:val="clear" w:color="auto" w:fill="auto"/>
            <w:vAlign w:val="center"/>
          </w:tcPr>
          <w:p w14:paraId="44592E3D" w14:textId="77777777" w:rsidR="00F43500" w:rsidRPr="0035358E" w:rsidRDefault="00F43500" w:rsidP="00AE0C2A">
            <w:pPr>
              <w:pStyle w:val="TableFigureHeading"/>
            </w:pPr>
            <w:r w:rsidRPr="0035358E">
              <w:t>2026</w:t>
            </w:r>
          </w:p>
        </w:tc>
        <w:tc>
          <w:tcPr>
            <w:tcW w:w="707" w:type="pct"/>
            <w:shd w:val="clear" w:color="auto" w:fill="auto"/>
            <w:vAlign w:val="center"/>
          </w:tcPr>
          <w:p w14:paraId="2C4FA0AB" w14:textId="77777777" w:rsidR="00F43500" w:rsidRPr="0035358E" w:rsidRDefault="00F43500" w:rsidP="00AE0C2A">
            <w:pPr>
              <w:pStyle w:val="TableFigureHeading"/>
            </w:pPr>
            <w:r w:rsidRPr="0035358E">
              <w:t>2027</w:t>
            </w:r>
          </w:p>
        </w:tc>
        <w:tc>
          <w:tcPr>
            <w:tcW w:w="629" w:type="pct"/>
            <w:shd w:val="clear" w:color="auto" w:fill="auto"/>
            <w:vAlign w:val="center"/>
          </w:tcPr>
          <w:p w14:paraId="05D3970B" w14:textId="77777777" w:rsidR="00F43500" w:rsidRPr="0035358E" w:rsidRDefault="00F43500" w:rsidP="00AE0C2A">
            <w:pPr>
              <w:pStyle w:val="TableFigureHeading"/>
            </w:pPr>
            <w:r w:rsidRPr="0035358E">
              <w:t>2028</w:t>
            </w:r>
          </w:p>
        </w:tc>
        <w:tc>
          <w:tcPr>
            <w:tcW w:w="679" w:type="pct"/>
            <w:shd w:val="clear" w:color="auto" w:fill="auto"/>
            <w:vAlign w:val="center"/>
          </w:tcPr>
          <w:p w14:paraId="21562916" w14:textId="77777777" w:rsidR="00F43500" w:rsidRPr="0035358E" w:rsidRDefault="00F43500" w:rsidP="00AE0C2A">
            <w:pPr>
              <w:pStyle w:val="TableFigureHeading"/>
            </w:pPr>
            <w:r w:rsidRPr="0035358E">
              <w:t>2029</w:t>
            </w:r>
          </w:p>
        </w:tc>
      </w:tr>
      <w:tr w:rsidR="00F43500" w:rsidRPr="0035358E" w14:paraId="41B75736" w14:textId="77777777" w:rsidTr="00186F95">
        <w:tc>
          <w:tcPr>
            <w:tcW w:w="1020" w:type="pct"/>
            <w:vAlign w:val="center"/>
          </w:tcPr>
          <w:p w14:paraId="30B93580" w14:textId="77777777" w:rsidR="00F43500" w:rsidRPr="0035358E" w:rsidRDefault="00F43500" w:rsidP="00AF2564">
            <w:pPr>
              <w:pStyle w:val="TableText0"/>
              <w:rPr>
                <w:vertAlign w:val="superscript"/>
              </w:rPr>
            </w:pPr>
            <w:r w:rsidRPr="0035358E">
              <w:t>Predicted number of women who will give birth</w:t>
            </w:r>
            <w:r w:rsidRPr="0035358E">
              <w:rPr>
                <w:vertAlign w:val="superscript"/>
              </w:rPr>
              <w:t>a</w:t>
            </w:r>
          </w:p>
        </w:tc>
        <w:tc>
          <w:tcPr>
            <w:tcW w:w="628" w:type="pct"/>
            <w:vAlign w:val="center"/>
          </w:tcPr>
          <w:p w14:paraId="4C462B25" w14:textId="2F92DB97" w:rsidR="00F43500" w:rsidRPr="00AC0CDB" w:rsidRDefault="00E96E79" w:rsidP="00AF2564">
            <w:pPr>
              <w:pStyle w:val="TableText0"/>
              <w:jc w:val="center"/>
              <w:rPr>
                <w:highlight w:val="lightGray"/>
              </w:rPr>
            </w:pPr>
            <w:r w:rsidRPr="00E96E79">
              <w:rPr>
                <w:rFonts w:hint="eastAsia"/>
                <w:color w:val="000000"/>
                <w:w w:val="16"/>
                <w:shd w:val="solid" w:color="000000" w:fill="000000"/>
                <w:fitText w:val="75" w:id="-961849855"/>
                <w14:textFill>
                  <w14:solidFill>
                    <w14:srgbClr w14:val="000000">
                      <w14:alpha w14:val="100000"/>
                    </w14:srgbClr>
                  </w14:solidFill>
                </w14:textFill>
              </w:rPr>
              <w:t xml:space="preserve">　</w:t>
            </w:r>
            <w:r w:rsidRPr="00E96E79">
              <w:rPr>
                <w:color w:val="000000"/>
                <w:w w:val="16"/>
                <w:shd w:val="solid" w:color="000000" w:fill="000000"/>
                <w:fitText w:val="75" w:id="-961849855"/>
                <w14:textFill>
                  <w14:solidFill>
                    <w14:srgbClr w14:val="000000">
                      <w14:alpha w14:val="100000"/>
                    </w14:srgbClr>
                  </w14:solidFill>
                </w14:textFill>
              </w:rPr>
              <w:t>|</w:t>
            </w:r>
            <w:r w:rsidRPr="00E96E79">
              <w:rPr>
                <w:rFonts w:hint="eastAsia"/>
                <w:color w:val="000000"/>
                <w:spacing w:val="5"/>
                <w:w w:val="16"/>
                <w:shd w:val="solid" w:color="000000" w:fill="000000"/>
                <w:fitText w:val="75" w:id="-961849855"/>
                <w14:textFill>
                  <w14:solidFill>
                    <w14:srgbClr w14:val="000000">
                      <w14:alpha w14:val="100000"/>
                    </w14:srgbClr>
                  </w14:solidFill>
                </w14:textFill>
              </w:rPr>
              <w:t xml:space="preserve">　</w:t>
            </w:r>
            <w:r w:rsidR="00AC0CDB" w:rsidRPr="00AC0CDB">
              <w:rPr>
                <w:vertAlign w:val="superscript"/>
              </w:rPr>
              <w:t>1</w:t>
            </w:r>
          </w:p>
        </w:tc>
        <w:tc>
          <w:tcPr>
            <w:tcW w:w="629" w:type="pct"/>
            <w:vAlign w:val="center"/>
          </w:tcPr>
          <w:p w14:paraId="3AF1FFE6" w14:textId="61C58983"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1</w:t>
            </w:r>
          </w:p>
        </w:tc>
        <w:tc>
          <w:tcPr>
            <w:tcW w:w="708" w:type="pct"/>
            <w:vAlign w:val="center"/>
          </w:tcPr>
          <w:p w14:paraId="70F2E76E" w14:textId="3935CB0A"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2</w:t>
            </w:r>
          </w:p>
        </w:tc>
        <w:tc>
          <w:tcPr>
            <w:tcW w:w="707" w:type="pct"/>
            <w:vAlign w:val="center"/>
          </w:tcPr>
          <w:p w14:paraId="31A54EBD" w14:textId="6465AD74"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2</w:t>
            </w:r>
          </w:p>
        </w:tc>
        <w:tc>
          <w:tcPr>
            <w:tcW w:w="629" w:type="pct"/>
            <w:vAlign w:val="center"/>
          </w:tcPr>
          <w:p w14:paraId="2DCA722B" w14:textId="40B66F7B"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2</w:t>
            </w:r>
          </w:p>
        </w:tc>
        <w:tc>
          <w:tcPr>
            <w:tcW w:w="679" w:type="pct"/>
            <w:vAlign w:val="center"/>
          </w:tcPr>
          <w:p w14:paraId="4A8A965D" w14:textId="69AED2A1" w:rsidR="00F43500" w:rsidRPr="00AC0CDB" w:rsidRDefault="00E96E79" w:rsidP="00AF2564">
            <w:pPr>
              <w:pStyle w:val="TableText0"/>
              <w:jc w:val="center"/>
              <w:rPr>
                <w:highlight w:val="lightGray"/>
              </w:rPr>
            </w:pPr>
            <w:r w:rsidRPr="00E96E79">
              <w:rPr>
                <w:rFonts w:hint="eastAsia"/>
                <w:color w:val="000000"/>
                <w:w w:val="15"/>
                <w:shd w:val="solid" w:color="000000" w:fill="000000"/>
                <w:fitText w:val="30" w:id="-961849854"/>
                <w14:textFill>
                  <w14:solidFill>
                    <w14:srgbClr w14:val="000000">
                      <w14:alpha w14:val="100000"/>
                    </w14:srgbClr>
                  </w14:solidFill>
                </w14:textFill>
              </w:rPr>
              <w:t xml:space="preserve">　</w:t>
            </w:r>
            <w:r w:rsidRPr="00E96E79">
              <w:rPr>
                <w:color w:val="000000"/>
                <w:w w:val="15"/>
                <w:shd w:val="solid" w:color="000000" w:fill="000000"/>
                <w:fitText w:val="30" w:id="-961849854"/>
                <w14:textFill>
                  <w14:solidFill>
                    <w14:srgbClr w14:val="000000">
                      <w14:alpha w14:val="100000"/>
                    </w14:srgbClr>
                  </w14:solidFill>
                </w14:textFill>
              </w:rPr>
              <w:t>|</w:t>
            </w:r>
            <w:r w:rsidRPr="00E96E79">
              <w:rPr>
                <w:rFonts w:hint="eastAsia"/>
                <w:color w:val="000000"/>
                <w:spacing w:val="-35"/>
                <w:w w:val="15"/>
                <w:shd w:val="solid" w:color="000000" w:fill="000000"/>
                <w:fitText w:val="30" w:id="-961849854"/>
                <w14:textFill>
                  <w14:solidFill>
                    <w14:srgbClr w14:val="000000">
                      <w14:alpha w14:val="100000"/>
                    </w14:srgbClr>
                  </w14:solidFill>
                </w14:textFill>
              </w:rPr>
              <w:t xml:space="preserve">　</w:t>
            </w:r>
            <w:r w:rsidR="00AC0CDB" w:rsidRPr="00AC0CDB">
              <w:rPr>
                <w:vertAlign w:val="superscript"/>
              </w:rPr>
              <w:t>2</w:t>
            </w:r>
          </w:p>
        </w:tc>
      </w:tr>
      <w:tr w:rsidR="00F43500" w:rsidRPr="0035358E" w14:paraId="78DB65DD" w14:textId="77777777" w:rsidTr="00186F95">
        <w:tc>
          <w:tcPr>
            <w:tcW w:w="1020" w:type="pct"/>
            <w:vAlign w:val="center"/>
          </w:tcPr>
          <w:p w14:paraId="31997BE6" w14:textId="77777777" w:rsidR="00F43500" w:rsidRPr="0035358E" w:rsidRDefault="00F43500" w:rsidP="00AF2564">
            <w:pPr>
              <w:pStyle w:val="TableText0"/>
              <w:rPr>
                <w:vertAlign w:val="superscript"/>
              </w:rPr>
            </w:pPr>
            <w:r w:rsidRPr="0035358E">
              <w:t>Uptake rate</w:t>
            </w:r>
            <w:r w:rsidRPr="0035358E">
              <w:rPr>
                <w:vertAlign w:val="superscript"/>
              </w:rPr>
              <w:t>b</w:t>
            </w:r>
          </w:p>
        </w:tc>
        <w:tc>
          <w:tcPr>
            <w:tcW w:w="628" w:type="pct"/>
            <w:vAlign w:val="center"/>
          </w:tcPr>
          <w:p w14:paraId="6832F2C1" w14:textId="569C855B" w:rsidR="00F43500" w:rsidRPr="00384F43" w:rsidRDefault="00E96E79" w:rsidP="00EA01A3">
            <w:pPr>
              <w:pStyle w:val="TableText0"/>
              <w:jc w:val="center"/>
              <w:rPr>
                <w:highlight w:val="yellow"/>
              </w:rPr>
            </w:pPr>
            <w:r w:rsidRPr="00E96E79">
              <w:rPr>
                <w:rFonts w:hint="eastAsia"/>
                <w:color w:val="000000"/>
                <w:w w:val="23"/>
                <w:shd w:val="solid" w:color="000000" w:fill="000000"/>
                <w:fitText w:val="105" w:id="-961849853"/>
                <w14:textFill>
                  <w14:solidFill>
                    <w14:srgbClr w14:val="000000">
                      <w14:alpha w14:val="100000"/>
                    </w14:srgbClr>
                  </w14:solidFill>
                </w14:textFill>
              </w:rPr>
              <w:t xml:space="preserve">　</w:t>
            </w:r>
            <w:r w:rsidRPr="00E96E79">
              <w:rPr>
                <w:color w:val="000000"/>
                <w:w w:val="23"/>
                <w:shd w:val="solid" w:color="000000" w:fill="000000"/>
                <w:fitText w:val="105" w:id="-961849853"/>
                <w14:textFill>
                  <w14:solidFill>
                    <w14:srgbClr w14:val="000000">
                      <w14:alpha w14:val="100000"/>
                    </w14:srgbClr>
                  </w14:solidFill>
                </w14:textFill>
              </w:rPr>
              <w:t>|</w:t>
            </w:r>
            <w:r w:rsidRPr="00E96E79">
              <w:rPr>
                <w:rFonts w:hint="eastAsia"/>
                <w:color w:val="000000"/>
                <w:spacing w:val="4"/>
                <w:w w:val="23"/>
                <w:shd w:val="solid" w:color="000000" w:fill="000000"/>
                <w:fitText w:val="105" w:id="-961849853"/>
                <w14:textFill>
                  <w14:solidFill>
                    <w14:srgbClr w14:val="000000">
                      <w14:alpha w14:val="100000"/>
                    </w14:srgbClr>
                  </w14:solidFill>
                </w14:textFill>
              </w:rPr>
              <w:t xml:space="preserve">　</w:t>
            </w:r>
            <w:r w:rsidR="00F43500" w:rsidRPr="001C1B4E">
              <w:t>%</w:t>
            </w:r>
          </w:p>
        </w:tc>
        <w:tc>
          <w:tcPr>
            <w:tcW w:w="629" w:type="pct"/>
            <w:vAlign w:val="center"/>
          </w:tcPr>
          <w:p w14:paraId="0597CBE8" w14:textId="65D2793F" w:rsidR="00F43500" w:rsidRPr="00384F43" w:rsidRDefault="00E96E79" w:rsidP="00AF2564">
            <w:pPr>
              <w:pStyle w:val="TableText0"/>
              <w:jc w:val="center"/>
              <w:rPr>
                <w:highlight w:val="yellow"/>
              </w:rPr>
            </w:pPr>
            <w:r w:rsidRPr="00E96E79">
              <w:rPr>
                <w:rFonts w:hint="eastAsia"/>
                <w:color w:val="000000"/>
                <w:w w:val="15"/>
                <w:shd w:val="solid" w:color="000000" w:fill="000000"/>
                <w:fitText w:val="30" w:id="-961849852"/>
                <w14:textFill>
                  <w14:solidFill>
                    <w14:srgbClr w14:val="000000">
                      <w14:alpha w14:val="100000"/>
                    </w14:srgbClr>
                  </w14:solidFill>
                </w14:textFill>
              </w:rPr>
              <w:t xml:space="preserve">　</w:t>
            </w:r>
            <w:r w:rsidRPr="00E96E79">
              <w:rPr>
                <w:color w:val="000000"/>
                <w:w w:val="15"/>
                <w:shd w:val="solid" w:color="000000" w:fill="000000"/>
                <w:fitText w:val="30" w:id="-961849852"/>
                <w14:textFill>
                  <w14:solidFill>
                    <w14:srgbClr w14:val="000000">
                      <w14:alpha w14:val="100000"/>
                    </w14:srgbClr>
                  </w14:solidFill>
                </w14:textFill>
              </w:rPr>
              <w:t>|</w:t>
            </w:r>
            <w:r w:rsidRPr="00E96E79">
              <w:rPr>
                <w:rFonts w:hint="eastAsia"/>
                <w:color w:val="000000"/>
                <w:spacing w:val="-35"/>
                <w:w w:val="15"/>
                <w:shd w:val="solid" w:color="000000" w:fill="000000"/>
                <w:fitText w:val="30" w:id="-961849852"/>
                <w14:textFill>
                  <w14:solidFill>
                    <w14:srgbClr w14:val="000000">
                      <w14:alpha w14:val="100000"/>
                    </w14:srgbClr>
                  </w14:solidFill>
                </w14:textFill>
              </w:rPr>
              <w:t xml:space="preserve">　</w:t>
            </w:r>
            <w:r w:rsidR="00F43500" w:rsidRPr="001C1B4E">
              <w:t>%</w:t>
            </w:r>
          </w:p>
        </w:tc>
        <w:tc>
          <w:tcPr>
            <w:tcW w:w="708" w:type="pct"/>
            <w:vAlign w:val="center"/>
          </w:tcPr>
          <w:p w14:paraId="2B762513" w14:textId="2808725C" w:rsidR="00F43500" w:rsidRPr="00384F43" w:rsidRDefault="00E96E79" w:rsidP="00AF2564">
            <w:pPr>
              <w:pStyle w:val="TableText0"/>
              <w:jc w:val="center"/>
              <w:rPr>
                <w:highlight w:val="yellow"/>
              </w:rPr>
            </w:pPr>
            <w:r w:rsidRPr="00E96E79">
              <w:rPr>
                <w:rFonts w:hint="eastAsia"/>
                <w:color w:val="000000"/>
                <w:w w:val="15"/>
                <w:shd w:val="solid" w:color="000000" w:fill="000000"/>
                <w:fitText w:val="30" w:id="-961849851"/>
                <w14:textFill>
                  <w14:solidFill>
                    <w14:srgbClr w14:val="000000">
                      <w14:alpha w14:val="100000"/>
                    </w14:srgbClr>
                  </w14:solidFill>
                </w14:textFill>
              </w:rPr>
              <w:t xml:space="preserve">　</w:t>
            </w:r>
            <w:r w:rsidRPr="00E96E79">
              <w:rPr>
                <w:color w:val="000000"/>
                <w:w w:val="15"/>
                <w:shd w:val="solid" w:color="000000" w:fill="000000"/>
                <w:fitText w:val="30" w:id="-961849851"/>
                <w14:textFill>
                  <w14:solidFill>
                    <w14:srgbClr w14:val="000000">
                      <w14:alpha w14:val="100000"/>
                    </w14:srgbClr>
                  </w14:solidFill>
                </w14:textFill>
              </w:rPr>
              <w:t>|</w:t>
            </w:r>
            <w:r w:rsidRPr="00E96E79">
              <w:rPr>
                <w:rFonts w:hint="eastAsia"/>
                <w:color w:val="000000"/>
                <w:spacing w:val="-35"/>
                <w:w w:val="15"/>
                <w:shd w:val="solid" w:color="000000" w:fill="000000"/>
                <w:fitText w:val="30" w:id="-961849851"/>
                <w14:textFill>
                  <w14:solidFill>
                    <w14:srgbClr w14:val="000000">
                      <w14:alpha w14:val="100000"/>
                    </w14:srgbClr>
                  </w14:solidFill>
                </w14:textFill>
              </w:rPr>
              <w:t xml:space="preserve">　</w:t>
            </w:r>
            <w:r w:rsidR="00F43500" w:rsidRPr="001C1B4E">
              <w:t>%</w:t>
            </w:r>
          </w:p>
        </w:tc>
        <w:tc>
          <w:tcPr>
            <w:tcW w:w="707" w:type="pct"/>
            <w:vAlign w:val="center"/>
          </w:tcPr>
          <w:p w14:paraId="6E7920AB" w14:textId="1F3EDE2C" w:rsidR="00F43500" w:rsidRPr="00384F43" w:rsidRDefault="00E96E79" w:rsidP="00AF2564">
            <w:pPr>
              <w:pStyle w:val="TableText0"/>
              <w:jc w:val="center"/>
              <w:rPr>
                <w:highlight w:val="yellow"/>
              </w:rPr>
            </w:pPr>
            <w:r w:rsidRPr="00E96E79">
              <w:rPr>
                <w:rFonts w:hint="eastAsia"/>
                <w:color w:val="000000"/>
                <w:w w:val="15"/>
                <w:shd w:val="solid" w:color="000000" w:fill="000000"/>
                <w:fitText w:val="30" w:id="-961849850"/>
                <w14:textFill>
                  <w14:solidFill>
                    <w14:srgbClr w14:val="000000">
                      <w14:alpha w14:val="100000"/>
                    </w14:srgbClr>
                  </w14:solidFill>
                </w14:textFill>
              </w:rPr>
              <w:t xml:space="preserve">　</w:t>
            </w:r>
            <w:r w:rsidRPr="00E96E79">
              <w:rPr>
                <w:color w:val="000000"/>
                <w:w w:val="15"/>
                <w:shd w:val="solid" w:color="000000" w:fill="000000"/>
                <w:fitText w:val="30" w:id="-961849850"/>
                <w14:textFill>
                  <w14:solidFill>
                    <w14:srgbClr w14:val="000000">
                      <w14:alpha w14:val="100000"/>
                    </w14:srgbClr>
                  </w14:solidFill>
                </w14:textFill>
              </w:rPr>
              <w:t>|</w:t>
            </w:r>
            <w:r w:rsidRPr="00E96E79">
              <w:rPr>
                <w:rFonts w:hint="eastAsia"/>
                <w:color w:val="000000"/>
                <w:spacing w:val="-35"/>
                <w:w w:val="15"/>
                <w:shd w:val="solid" w:color="000000" w:fill="000000"/>
                <w:fitText w:val="30" w:id="-961849850"/>
                <w14:textFill>
                  <w14:solidFill>
                    <w14:srgbClr w14:val="000000">
                      <w14:alpha w14:val="100000"/>
                    </w14:srgbClr>
                  </w14:solidFill>
                </w14:textFill>
              </w:rPr>
              <w:t xml:space="preserve">　</w:t>
            </w:r>
            <w:r w:rsidR="00F43500" w:rsidRPr="001C1B4E">
              <w:t>%</w:t>
            </w:r>
          </w:p>
        </w:tc>
        <w:tc>
          <w:tcPr>
            <w:tcW w:w="629" w:type="pct"/>
            <w:vAlign w:val="center"/>
          </w:tcPr>
          <w:p w14:paraId="37E72700" w14:textId="16A34E17" w:rsidR="00F43500" w:rsidRPr="00384F43" w:rsidRDefault="00E96E79" w:rsidP="00AF2564">
            <w:pPr>
              <w:pStyle w:val="TableText0"/>
              <w:jc w:val="center"/>
              <w:rPr>
                <w:highlight w:val="yellow"/>
              </w:rPr>
            </w:pPr>
            <w:r w:rsidRPr="00E96E79">
              <w:rPr>
                <w:rFonts w:hint="eastAsia"/>
                <w:color w:val="000000"/>
                <w:w w:val="15"/>
                <w:shd w:val="solid" w:color="000000" w:fill="000000"/>
                <w:fitText w:val="30" w:id="-961849849"/>
                <w14:textFill>
                  <w14:solidFill>
                    <w14:srgbClr w14:val="000000">
                      <w14:alpha w14:val="100000"/>
                    </w14:srgbClr>
                  </w14:solidFill>
                </w14:textFill>
              </w:rPr>
              <w:t xml:space="preserve">　</w:t>
            </w:r>
            <w:r w:rsidRPr="00E96E79">
              <w:rPr>
                <w:color w:val="000000"/>
                <w:w w:val="15"/>
                <w:shd w:val="solid" w:color="000000" w:fill="000000"/>
                <w:fitText w:val="30" w:id="-961849849"/>
                <w14:textFill>
                  <w14:solidFill>
                    <w14:srgbClr w14:val="000000">
                      <w14:alpha w14:val="100000"/>
                    </w14:srgbClr>
                  </w14:solidFill>
                </w14:textFill>
              </w:rPr>
              <w:t>|</w:t>
            </w:r>
            <w:r w:rsidRPr="00E96E79">
              <w:rPr>
                <w:rFonts w:hint="eastAsia"/>
                <w:color w:val="000000"/>
                <w:spacing w:val="-35"/>
                <w:w w:val="15"/>
                <w:shd w:val="solid" w:color="000000" w:fill="000000"/>
                <w:fitText w:val="30" w:id="-961849849"/>
                <w14:textFill>
                  <w14:solidFill>
                    <w14:srgbClr w14:val="000000">
                      <w14:alpha w14:val="100000"/>
                    </w14:srgbClr>
                  </w14:solidFill>
                </w14:textFill>
              </w:rPr>
              <w:t xml:space="preserve">　</w:t>
            </w:r>
            <w:r w:rsidR="00F43500" w:rsidRPr="001C1B4E">
              <w:t>%</w:t>
            </w:r>
          </w:p>
        </w:tc>
        <w:tc>
          <w:tcPr>
            <w:tcW w:w="679" w:type="pct"/>
            <w:vAlign w:val="center"/>
          </w:tcPr>
          <w:p w14:paraId="39CFED9D" w14:textId="18F58637" w:rsidR="00F43500" w:rsidRPr="00384F43" w:rsidRDefault="00E96E79" w:rsidP="00AF2564">
            <w:pPr>
              <w:pStyle w:val="TableText0"/>
              <w:jc w:val="center"/>
              <w:rPr>
                <w:highlight w:val="yellow"/>
              </w:rPr>
            </w:pPr>
            <w:r w:rsidRPr="00E96E79">
              <w:rPr>
                <w:rFonts w:hint="eastAsia"/>
                <w:color w:val="000000"/>
                <w:w w:val="16"/>
                <w:shd w:val="solid" w:color="000000" w:fill="000000"/>
                <w:fitText w:val="75" w:id="-961849848"/>
                <w14:textFill>
                  <w14:solidFill>
                    <w14:srgbClr w14:val="000000">
                      <w14:alpha w14:val="100000"/>
                    </w14:srgbClr>
                  </w14:solidFill>
                </w14:textFill>
              </w:rPr>
              <w:t xml:space="preserve">　</w:t>
            </w:r>
            <w:r w:rsidRPr="00E96E79">
              <w:rPr>
                <w:color w:val="000000"/>
                <w:w w:val="16"/>
                <w:shd w:val="solid" w:color="000000" w:fill="000000"/>
                <w:fitText w:val="75" w:id="-961849848"/>
                <w14:textFill>
                  <w14:solidFill>
                    <w14:srgbClr w14:val="000000">
                      <w14:alpha w14:val="100000"/>
                    </w14:srgbClr>
                  </w14:solidFill>
                </w14:textFill>
              </w:rPr>
              <w:t>|</w:t>
            </w:r>
            <w:r w:rsidRPr="00E96E79">
              <w:rPr>
                <w:rFonts w:hint="eastAsia"/>
                <w:color w:val="000000"/>
                <w:spacing w:val="5"/>
                <w:w w:val="16"/>
                <w:shd w:val="solid" w:color="000000" w:fill="000000"/>
                <w:fitText w:val="75" w:id="-961849848"/>
                <w14:textFill>
                  <w14:solidFill>
                    <w14:srgbClr w14:val="000000">
                      <w14:alpha w14:val="100000"/>
                    </w14:srgbClr>
                  </w14:solidFill>
                </w14:textFill>
              </w:rPr>
              <w:t xml:space="preserve">　</w:t>
            </w:r>
            <w:r w:rsidR="00F43500" w:rsidRPr="001C1B4E">
              <w:t>%</w:t>
            </w:r>
          </w:p>
        </w:tc>
      </w:tr>
      <w:tr w:rsidR="00F43500" w:rsidRPr="0035358E" w14:paraId="2FF87E6F" w14:textId="77777777" w:rsidTr="00186F95">
        <w:tc>
          <w:tcPr>
            <w:tcW w:w="1020" w:type="pct"/>
            <w:tcBorders>
              <w:top w:val="single" w:sz="4" w:space="0" w:color="auto"/>
              <w:left w:val="single" w:sz="4" w:space="0" w:color="auto"/>
              <w:bottom w:val="single" w:sz="4" w:space="0" w:color="auto"/>
            </w:tcBorders>
            <w:shd w:val="clear" w:color="auto" w:fill="auto"/>
            <w:vAlign w:val="center"/>
          </w:tcPr>
          <w:p w14:paraId="13DFDA94" w14:textId="77777777" w:rsidR="00F43500" w:rsidRPr="0035358E" w:rsidRDefault="00F43500" w:rsidP="00AF2564">
            <w:pPr>
              <w:pStyle w:val="TableText0"/>
            </w:pPr>
            <w:r w:rsidRPr="0035358E">
              <w:t xml:space="preserve">Number of women vaccinated </w:t>
            </w:r>
          </w:p>
        </w:tc>
        <w:tc>
          <w:tcPr>
            <w:tcW w:w="628" w:type="pct"/>
            <w:tcBorders>
              <w:top w:val="single" w:sz="4" w:space="0" w:color="auto"/>
              <w:bottom w:val="single" w:sz="4" w:space="0" w:color="auto"/>
              <w:right w:val="single" w:sz="4" w:space="0" w:color="auto"/>
            </w:tcBorders>
            <w:shd w:val="clear" w:color="auto" w:fill="auto"/>
            <w:vAlign w:val="center"/>
          </w:tcPr>
          <w:p w14:paraId="0DD12D05" w14:textId="13491A9F" w:rsidR="00F43500" w:rsidRPr="00AC0CDB" w:rsidRDefault="00E96E79" w:rsidP="00AF2564">
            <w:pPr>
              <w:pStyle w:val="TableText0"/>
              <w:jc w:val="center"/>
              <w:rPr>
                <w:highlight w:val="lightGray"/>
              </w:rPr>
            </w:pPr>
            <w:r w:rsidRPr="00E96E79">
              <w:rPr>
                <w:rFonts w:hint="eastAsia"/>
                <w:color w:val="000000"/>
                <w:w w:val="16"/>
                <w:shd w:val="solid" w:color="000000" w:fill="000000"/>
                <w:fitText w:val="75" w:id="-961849847"/>
                <w14:textFill>
                  <w14:solidFill>
                    <w14:srgbClr w14:val="000000">
                      <w14:alpha w14:val="100000"/>
                    </w14:srgbClr>
                  </w14:solidFill>
                </w14:textFill>
              </w:rPr>
              <w:t xml:space="preserve">　</w:t>
            </w:r>
            <w:r w:rsidRPr="00E96E79">
              <w:rPr>
                <w:color w:val="000000"/>
                <w:w w:val="16"/>
                <w:shd w:val="solid" w:color="000000" w:fill="000000"/>
                <w:fitText w:val="75" w:id="-961849847"/>
                <w14:textFill>
                  <w14:solidFill>
                    <w14:srgbClr w14:val="000000">
                      <w14:alpha w14:val="100000"/>
                    </w14:srgbClr>
                  </w14:solidFill>
                </w14:textFill>
              </w:rPr>
              <w:t>|</w:t>
            </w:r>
            <w:r w:rsidRPr="00E96E79">
              <w:rPr>
                <w:rFonts w:hint="eastAsia"/>
                <w:color w:val="000000"/>
                <w:spacing w:val="5"/>
                <w:w w:val="16"/>
                <w:shd w:val="solid" w:color="000000" w:fill="000000"/>
                <w:fitText w:val="75" w:id="-961849847"/>
                <w14:textFill>
                  <w14:solidFill>
                    <w14:srgbClr w14:val="000000">
                      <w14:alpha w14:val="100000"/>
                    </w14:srgbClr>
                  </w14:solidFill>
                </w14:textFill>
              </w:rPr>
              <w:t xml:space="preserve">　</w:t>
            </w:r>
            <w:r w:rsidR="00AC0CDB" w:rsidRPr="00AC0CDB">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2CB8D6B5" w14:textId="71FAE262"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4</w:t>
            </w:r>
          </w:p>
        </w:tc>
        <w:tc>
          <w:tcPr>
            <w:tcW w:w="708" w:type="pct"/>
            <w:tcBorders>
              <w:top w:val="single" w:sz="4" w:space="0" w:color="auto"/>
              <w:left w:val="nil"/>
              <w:bottom w:val="single" w:sz="4" w:space="0" w:color="auto"/>
              <w:right w:val="single" w:sz="4" w:space="0" w:color="auto"/>
            </w:tcBorders>
            <w:shd w:val="clear" w:color="auto" w:fill="auto"/>
            <w:vAlign w:val="center"/>
          </w:tcPr>
          <w:p w14:paraId="4A11B8F1" w14:textId="67798C02"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AC0CDB" w:rsidRPr="00AC0CDB">
              <w:rPr>
                <w:vertAlign w:val="superscript"/>
              </w:rPr>
              <w:t>4</w:t>
            </w:r>
          </w:p>
        </w:tc>
        <w:tc>
          <w:tcPr>
            <w:tcW w:w="707" w:type="pct"/>
            <w:tcBorders>
              <w:top w:val="single" w:sz="4" w:space="0" w:color="auto"/>
              <w:left w:val="nil"/>
              <w:bottom w:val="single" w:sz="4" w:space="0" w:color="auto"/>
              <w:right w:val="single" w:sz="4" w:space="0" w:color="auto"/>
            </w:tcBorders>
            <w:shd w:val="clear" w:color="auto" w:fill="auto"/>
            <w:vAlign w:val="center"/>
          </w:tcPr>
          <w:p w14:paraId="24F0D191" w14:textId="0064A72D"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629" w:type="pct"/>
            <w:tcBorders>
              <w:top w:val="single" w:sz="4" w:space="0" w:color="auto"/>
              <w:left w:val="nil"/>
              <w:bottom w:val="single" w:sz="4" w:space="0" w:color="auto"/>
              <w:right w:val="single" w:sz="4" w:space="0" w:color="auto"/>
            </w:tcBorders>
            <w:shd w:val="clear" w:color="auto" w:fill="auto"/>
            <w:vAlign w:val="center"/>
          </w:tcPr>
          <w:p w14:paraId="45A45D40" w14:textId="1B7B0588"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679" w:type="pct"/>
            <w:tcBorders>
              <w:top w:val="single" w:sz="4" w:space="0" w:color="auto"/>
              <w:left w:val="nil"/>
              <w:bottom w:val="single" w:sz="4" w:space="0" w:color="auto"/>
              <w:right w:val="single" w:sz="4" w:space="0" w:color="auto"/>
            </w:tcBorders>
            <w:shd w:val="clear" w:color="auto" w:fill="auto"/>
            <w:vAlign w:val="center"/>
          </w:tcPr>
          <w:p w14:paraId="4D9A3538" w14:textId="6CF34342" w:rsidR="00F43500" w:rsidRPr="00AC0CDB" w:rsidRDefault="00E96E79" w:rsidP="00AF2564">
            <w:pPr>
              <w:pStyle w:val="TableText0"/>
              <w:jc w:val="center"/>
              <w:rPr>
                <w:highlight w:val="lightGray"/>
              </w:rPr>
            </w:pPr>
            <w:r w:rsidRPr="00E96E79">
              <w:rPr>
                <w:rFonts w:hint="eastAsia"/>
                <w:color w:val="000000"/>
                <w:w w:val="15"/>
                <w:shd w:val="solid" w:color="000000" w:fill="000000"/>
                <w:fitText w:val="30" w:id="-961849846"/>
                <w14:textFill>
                  <w14:solidFill>
                    <w14:srgbClr w14:val="000000">
                      <w14:alpha w14:val="100000"/>
                    </w14:srgbClr>
                  </w14:solidFill>
                </w14:textFill>
              </w:rPr>
              <w:t xml:space="preserve">　</w:t>
            </w:r>
            <w:r w:rsidRPr="00E96E79">
              <w:rPr>
                <w:color w:val="000000"/>
                <w:w w:val="15"/>
                <w:shd w:val="solid" w:color="000000" w:fill="000000"/>
                <w:fitText w:val="30" w:id="-961849846"/>
                <w14:textFill>
                  <w14:solidFill>
                    <w14:srgbClr w14:val="000000">
                      <w14:alpha w14:val="100000"/>
                    </w14:srgbClr>
                  </w14:solidFill>
                </w14:textFill>
              </w:rPr>
              <w:t>|</w:t>
            </w:r>
            <w:r w:rsidRPr="00E96E79">
              <w:rPr>
                <w:rFonts w:hint="eastAsia"/>
                <w:color w:val="000000"/>
                <w:spacing w:val="-35"/>
                <w:w w:val="15"/>
                <w:shd w:val="solid" w:color="000000" w:fill="000000"/>
                <w:fitText w:val="30" w:id="-961849846"/>
                <w14:textFill>
                  <w14:solidFill>
                    <w14:srgbClr w14:val="000000">
                      <w14:alpha w14:val="100000"/>
                    </w14:srgbClr>
                  </w14:solidFill>
                </w14:textFill>
              </w:rPr>
              <w:t xml:space="preserve">　</w:t>
            </w:r>
            <w:r w:rsidR="008F630D" w:rsidRPr="00AC0CDB">
              <w:rPr>
                <w:vertAlign w:val="superscript"/>
              </w:rPr>
              <w:t>4</w:t>
            </w:r>
          </w:p>
        </w:tc>
      </w:tr>
      <w:tr w:rsidR="00F43500" w:rsidRPr="0035358E" w14:paraId="085F8949" w14:textId="77777777" w:rsidTr="00186F9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6B174109" w14:textId="77777777" w:rsidR="00F43500" w:rsidRPr="0035358E" w:rsidRDefault="00F43500" w:rsidP="00AF2564">
            <w:pPr>
              <w:pStyle w:val="TableText0"/>
            </w:pPr>
            <w:r w:rsidRPr="0035358E">
              <w:t xml:space="preserve">Units of vaccine dispensed, </w:t>
            </w:r>
            <w:r w:rsidRPr="0035358E">
              <w:rPr>
                <w:iCs/>
              </w:rPr>
              <w:t>revised</w:t>
            </w:r>
            <w:r w:rsidRPr="0035358E">
              <w:rPr>
                <w:vertAlign w:val="superscript"/>
              </w:rPr>
              <w:t>c</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626F8DE" w14:textId="2F9E0DFE" w:rsidR="00F43500" w:rsidRPr="00AC0CDB" w:rsidRDefault="00E96E79" w:rsidP="00AF2564">
            <w:pPr>
              <w:pStyle w:val="TableText0"/>
              <w:jc w:val="center"/>
              <w:rPr>
                <w:highlight w:val="lightGray"/>
              </w:rPr>
            </w:pPr>
            <w:r w:rsidRPr="00E96E79">
              <w:rPr>
                <w:rFonts w:hint="eastAsia"/>
                <w:color w:val="000000"/>
                <w:w w:val="16"/>
                <w:shd w:val="solid" w:color="000000" w:fill="000000"/>
                <w:fitText w:val="75" w:id="-961849845"/>
                <w14:textFill>
                  <w14:solidFill>
                    <w14:srgbClr w14:val="000000">
                      <w14:alpha w14:val="100000"/>
                    </w14:srgbClr>
                  </w14:solidFill>
                </w14:textFill>
              </w:rPr>
              <w:t xml:space="preserve">　</w:t>
            </w:r>
            <w:r w:rsidRPr="00E96E79">
              <w:rPr>
                <w:color w:val="000000"/>
                <w:w w:val="16"/>
                <w:shd w:val="solid" w:color="000000" w:fill="000000"/>
                <w:fitText w:val="75" w:id="-961849845"/>
                <w14:textFill>
                  <w14:solidFill>
                    <w14:srgbClr w14:val="000000">
                      <w14:alpha w14:val="100000"/>
                    </w14:srgbClr>
                  </w14:solidFill>
                </w14:textFill>
              </w:rPr>
              <w:t>|</w:t>
            </w:r>
            <w:r w:rsidRPr="00E96E79">
              <w:rPr>
                <w:rFonts w:hint="eastAsia"/>
                <w:color w:val="000000"/>
                <w:spacing w:val="5"/>
                <w:w w:val="16"/>
                <w:shd w:val="solid" w:color="000000" w:fill="000000"/>
                <w:fitText w:val="75" w:id="-961849845"/>
                <w14:textFill>
                  <w14:solidFill>
                    <w14:srgbClr w14:val="000000">
                      <w14:alpha w14:val="100000"/>
                    </w14:srgbClr>
                  </w14:solidFill>
                </w14:textFill>
              </w:rPr>
              <w:t xml:space="preserve">　</w:t>
            </w:r>
            <w:r w:rsidR="00AC0CDB" w:rsidRPr="00AC0CDB">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50264D91" w14:textId="2DF53B3E"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708" w:type="pct"/>
            <w:tcBorders>
              <w:top w:val="single" w:sz="4" w:space="0" w:color="auto"/>
              <w:left w:val="nil"/>
              <w:bottom w:val="single" w:sz="4" w:space="0" w:color="auto"/>
              <w:right w:val="single" w:sz="4" w:space="0" w:color="auto"/>
            </w:tcBorders>
            <w:shd w:val="clear" w:color="auto" w:fill="auto"/>
            <w:vAlign w:val="center"/>
          </w:tcPr>
          <w:p w14:paraId="687A8353" w14:textId="2FC305E1"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707" w:type="pct"/>
            <w:tcBorders>
              <w:top w:val="single" w:sz="4" w:space="0" w:color="auto"/>
              <w:left w:val="nil"/>
              <w:bottom w:val="single" w:sz="4" w:space="0" w:color="auto"/>
              <w:right w:val="single" w:sz="4" w:space="0" w:color="auto"/>
            </w:tcBorders>
            <w:shd w:val="clear" w:color="auto" w:fill="auto"/>
            <w:vAlign w:val="center"/>
          </w:tcPr>
          <w:p w14:paraId="3F0CE437" w14:textId="64E85C82"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629" w:type="pct"/>
            <w:tcBorders>
              <w:top w:val="single" w:sz="4" w:space="0" w:color="auto"/>
              <w:left w:val="nil"/>
              <w:bottom w:val="single" w:sz="4" w:space="0" w:color="auto"/>
              <w:right w:val="single" w:sz="4" w:space="0" w:color="auto"/>
            </w:tcBorders>
            <w:shd w:val="clear" w:color="auto" w:fill="auto"/>
            <w:vAlign w:val="center"/>
          </w:tcPr>
          <w:p w14:paraId="6C9BDC62" w14:textId="5EA746F8" w:rsidR="00F43500" w:rsidRPr="00AC0CDB" w:rsidRDefault="00E96E79" w:rsidP="00AF2564">
            <w:pPr>
              <w:pStyle w:val="TableText0"/>
              <w:jc w:val="center"/>
              <w:rPr>
                <w:highlight w:val="lightGray"/>
              </w:rPr>
            </w:pPr>
            <w:r w:rsidRPr="00E96E79">
              <w:rPr>
                <w:color w:val="000000"/>
                <w:shd w:val="solid" w:color="000000" w:fill="000000"/>
                <w14:textFill>
                  <w14:solidFill>
                    <w14:srgbClr w14:val="000000">
                      <w14:alpha w14:val="100000"/>
                    </w14:srgbClr>
                  </w14:solidFill>
                </w14:textFill>
              </w:rPr>
              <w:t>|</w:t>
            </w:r>
            <w:r w:rsidR="008F630D" w:rsidRPr="00AC0CDB">
              <w:rPr>
                <w:vertAlign w:val="superscript"/>
              </w:rPr>
              <w:t>4</w:t>
            </w:r>
          </w:p>
        </w:tc>
        <w:tc>
          <w:tcPr>
            <w:tcW w:w="679" w:type="pct"/>
            <w:tcBorders>
              <w:top w:val="single" w:sz="4" w:space="0" w:color="auto"/>
              <w:left w:val="nil"/>
              <w:bottom w:val="single" w:sz="4" w:space="0" w:color="auto"/>
              <w:right w:val="single" w:sz="4" w:space="0" w:color="auto"/>
            </w:tcBorders>
            <w:shd w:val="clear" w:color="auto" w:fill="auto"/>
            <w:vAlign w:val="center"/>
          </w:tcPr>
          <w:p w14:paraId="3262839A" w14:textId="1B55A2AD" w:rsidR="00F43500" w:rsidRPr="00AC0CDB" w:rsidRDefault="00E96E79" w:rsidP="00AF2564">
            <w:pPr>
              <w:pStyle w:val="TableText0"/>
              <w:jc w:val="center"/>
              <w:rPr>
                <w:highlight w:val="lightGray"/>
              </w:rPr>
            </w:pPr>
            <w:r w:rsidRPr="00E96E79">
              <w:rPr>
                <w:rFonts w:hint="eastAsia"/>
                <w:color w:val="000000"/>
                <w:w w:val="15"/>
                <w:shd w:val="solid" w:color="000000" w:fill="000000"/>
                <w:fitText w:val="30" w:id="-961849844"/>
                <w14:textFill>
                  <w14:solidFill>
                    <w14:srgbClr w14:val="000000">
                      <w14:alpha w14:val="100000"/>
                    </w14:srgbClr>
                  </w14:solidFill>
                </w14:textFill>
              </w:rPr>
              <w:t xml:space="preserve">　</w:t>
            </w:r>
            <w:r w:rsidRPr="00E96E79">
              <w:rPr>
                <w:color w:val="000000"/>
                <w:w w:val="15"/>
                <w:shd w:val="solid" w:color="000000" w:fill="000000"/>
                <w:fitText w:val="30" w:id="-961849844"/>
                <w14:textFill>
                  <w14:solidFill>
                    <w14:srgbClr w14:val="000000">
                      <w14:alpha w14:val="100000"/>
                    </w14:srgbClr>
                  </w14:solidFill>
                </w14:textFill>
              </w:rPr>
              <w:t>|</w:t>
            </w:r>
            <w:r w:rsidRPr="00E96E79">
              <w:rPr>
                <w:rFonts w:hint="eastAsia"/>
                <w:color w:val="000000"/>
                <w:spacing w:val="-35"/>
                <w:w w:val="15"/>
                <w:shd w:val="solid" w:color="000000" w:fill="000000"/>
                <w:fitText w:val="30" w:id="-961849844"/>
                <w14:textFill>
                  <w14:solidFill>
                    <w14:srgbClr w14:val="000000">
                      <w14:alpha w14:val="100000"/>
                    </w14:srgbClr>
                  </w14:solidFill>
                </w14:textFill>
              </w:rPr>
              <w:t xml:space="preserve">　</w:t>
            </w:r>
            <w:r w:rsidR="008F630D" w:rsidRPr="00AC0CDB">
              <w:rPr>
                <w:vertAlign w:val="superscript"/>
              </w:rPr>
              <w:t>4</w:t>
            </w:r>
          </w:p>
        </w:tc>
      </w:tr>
      <w:tr w:rsidR="00F43500" w:rsidRPr="0035358E" w14:paraId="00CDBAB5" w14:textId="77777777" w:rsidTr="00186F9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54225CEE" w14:textId="2DC9308E" w:rsidR="00F43500" w:rsidRPr="00AF2564" w:rsidRDefault="00F43500" w:rsidP="00AF2564">
            <w:pPr>
              <w:pStyle w:val="TableText0"/>
              <w:rPr>
                <w:b/>
                <w:bCs w:val="0"/>
                <w:iCs/>
              </w:rPr>
            </w:pPr>
            <w:r w:rsidRPr="0035358E">
              <w:rPr>
                <w:b/>
                <w:bCs w:val="0"/>
                <w:iCs/>
              </w:rPr>
              <w:t>Total cost to the NIP, revised</w:t>
            </w:r>
            <w:r w:rsidRPr="0035358E">
              <w:rPr>
                <w:b/>
                <w:bCs w:val="0"/>
                <w:iCs/>
                <w:vertAlign w:val="superscript"/>
              </w:rPr>
              <w:t>c</w:t>
            </w:r>
            <w:r w:rsidR="00AF2564">
              <w:rPr>
                <w:b/>
                <w:bCs w:val="0"/>
                <w:iCs/>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5540521" w14:textId="3946E8D8" w:rsidR="00F43500" w:rsidRPr="0035358E" w:rsidRDefault="00E96E79" w:rsidP="00AF2564">
            <w:pPr>
              <w:pStyle w:val="TableText0"/>
              <w:jc w:val="center"/>
              <w:rPr>
                <w:b/>
                <w:bCs w:val="0"/>
                <w:iCs/>
              </w:rPr>
            </w:pPr>
            <w:r w:rsidRPr="00B3542F">
              <w:rPr>
                <w:rFonts w:hint="eastAsia"/>
                <w:b/>
                <w:bCs w:val="0"/>
                <w:iCs/>
                <w:color w:val="000000"/>
                <w:w w:val="26"/>
                <w:shd w:val="solid" w:color="000000" w:fill="000000"/>
                <w:fitText w:val="120" w:id="-961849843"/>
                <w14:textFill>
                  <w14:solidFill>
                    <w14:srgbClr w14:val="000000">
                      <w14:alpha w14:val="100000"/>
                    </w14:srgbClr>
                  </w14:solidFill>
                </w14:textFill>
              </w:rPr>
              <w:t xml:space="preserve">　</w:t>
            </w:r>
            <w:r w:rsidRPr="00B3542F">
              <w:rPr>
                <w:b/>
                <w:bCs w:val="0"/>
                <w:iCs/>
                <w:color w:val="000000"/>
                <w:w w:val="26"/>
                <w:shd w:val="solid" w:color="000000" w:fill="000000"/>
                <w:fitText w:val="120" w:id="-961849843"/>
                <w14:textFill>
                  <w14:solidFill>
                    <w14:srgbClr w14:val="000000">
                      <w14:alpha w14:val="100000"/>
                    </w14:srgbClr>
                  </w14:solidFill>
                </w14:textFill>
              </w:rPr>
              <w:t>|</w:t>
            </w:r>
            <w:r w:rsidRPr="00B3542F">
              <w:rPr>
                <w:rFonts w:hint="eastAsia"/>
                <w:b/>
                <w:bCs w:val="0"/>
                <w:iCs/>
                <w:color w:val="000000"/>
                <w:spacing w:val="4"/>
                <w:w w:val="26"/>
                <w:shd w:val="solid" w:color="000000" w:fill="000000"/>
                <w:fitText w:val="120" w:id="-961849843"/>
                <w14:textFill>
                  <w14:solidFill>
                    <w14:srgbClr w14:val="000000">
                      <w14:alpha w14:val="100000"/>
                    </w14:srgbClr>
                  </w14:solidFill>
                </w14:textFill>
              </w:rPr>
              <w:t xml:space="preserve">　</w:t>
            </w:r>
            <w:r w:rsidR="008F630D" w:rsidRPr="008F630D">
              <w:rPr>
                <w:b/>
                <w:bCs w:val="0"/>
                <w:iCs/>
                <w:vertAlign w:val="superscript"/>
              </w:rPr>
              <w:t>5</w:t>
            </w:r>
          </w:p>
        </w:tc>
        <w:tc>
          <w:tcPr>
            <w:tcW w:w="629" w:type="pct"/>
            <w:tcBorders>
              <w:top w:val="single" w:sz="4" w:space="0" w:color="auto"/>
              <w:left w:val="nil"/>
              <w:bottom w:val="single" w:sz="4" w:space="0" w:color="auto"/>
              <w:right w:val="single" w:sz="4" w:space="0" w:color="auto"/>
            </w:tcBorders>
            <w:shd w:val="clear" w:color="auto" w:fill="auto"/>
            <w:vAlign w:val="center"/>
          </w:tcPr>
          <w:p w14:paraId="4355A7B1" w14:textId="55DE5387"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2"/>
                <w14:textFill>
                  <w14:solidFill>
                    <w14:srgbClr w14:val="000000">
                      <w14:alpha w14:val="100000"/>
                    </w14:srgbClr>
                  </w14:solidFill>
                </w14:textFill>
              </w:rPr>
              <w:t xml:space="preserve">　</w:t>
            </w:r>
            <w:r w:rsidRPr="00E96E79">
              <w:rPr>
                <w:b/>
                <w:bCs w:val="0"/>
                <w:iCs/>
                <w:color w:val="000000"/>
                <w:w w:val="15"/>
                <w:shd w:val="solid" w:color="000000" w:fill="000000"/>
                <w:fitText w:val="45" w:id="-961849842"/>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2"/>
                <w14:textFill>
                  <w14:solidFill>
                    <w14:srgbClr w14:val="000000">
                      <w14:alpha w14:val="100000"/>
                    </w14:srgbClr>
                  </w14:solidFill>
                </w14:textFill>
              </w:rPr>
              <w:t xml:space="preserve">　</w:t>
            </w:r>
            <w:r w:rsidR="008F630D" w:rsidRPr="008F630D">
              <w:rPr>
                <w:b/>
                <w:bCs w:val="0"/>
                <w:iCs/>
                <w:vertAlign w:val="superscript"/>
              </w:rPr>
              <w:t>6</w:t>
            </w:r>
          </w:p>
        </w:tc>
        <w:tc>
          <w:tcPr>
            <w:tcW w:w="708" w:type="pct"/>
            <w:tcBorders>
              <w:top w:val="single" w:sz="4" w:space="0" w:color="auto"/>
              <w:left w:val="nil"/>
              <w:bottom w:val="single" w:sz="4" w:space="0" w:color="auto"/>
              <w:right w:val="single" w:sz="4" w:space="0" w:color="auto"/>
            </w:tcBorders>
            <w:shd w:val="clear" w:color="auto" w:fill="auto"/>
            <w:vAlign w:val="center"/>
          </w:tcPr>
          <w:p w14:paraId="480F0FEF" w14:textId="799DBC75"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1"/>
                <w14:textFill>
                  <w14:solidFill>
                    <w14:srgbClr w14:val="000000">
                      <w14:alpha w14:val="100000"/>
                    </w14:srgbClr>
                  </w14:solidFill>
                </w14:textFill>
              </w:rPr>
              <w:t xml:space="preserve">　</w:t>
            </w:r>
            <w:r w:rsidRPr="00E96E79">
              <w:rPr>
                <w:b/>
                <w:bCs w:val="0"/>
                <w:iCs/>
                <w:color w:val="000000"/>
                <w:w w:val="15"/>
                <w:shd w:val="solid" w:color="000000" w:fill="000000"/>
                <w:fitText w:val="45" w:id="-961849841"/>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1"/>
                <w14:textFill>
                  <w14:solidFill>
                    <w14:srgbClr w14:val="000000">
                      <w14:alpha w14:val="100000"/>
                    </w14:srgbClr>
                  </w14:solidFill>
                </w14:textFill>
              </w:rPr>
              <w:t xml:space="preserve">　</w:t>
            </w:r>
            <w:r w:rsidR="008F630D" w:rsidRPr="008F630D">
              <w:rPr>
                <w:b/>
                <w:bCs w:val="0"/>
                <w:iCs/>
                <w:vertAlign w:val="superscript"/>
              </w:rPr>
              <w:t>7</w:t>
            </w:r>
          </w:p>
        </w:tc>
        <w:tc>
          <w:tcPr>
            <w:tcW w:w="707" w:type="pct"/>
            <w:tcBorders>
              <w:top w:val="single" w:sz="4" w:space="0" w:color="auto"/>
              <w:left w:val="nil"/>
              <w:bottom w:val="single" w:sz="4" w:space="0" w:color="auto"/>
              <w:right w:val="single" w:sz="4" w:space="0" w:color="auto"/>
            </w:tcBorders>
            <w:shd w:val="clear" w:color="auto" w:fill="auto"/>
            <w:vAlign w:val="center"/>
          </w:tcPr>
          <w:p w14:paraId="04E32D7A" w14:textId="5CAE1774"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0"/>
                <w14:textFill>
                  <w14:solidFill>
                    <w14:srgbClr w14:val="000000">
                      <w14:alpha w14:val="100000"/>
                    </w14:srgbClr>
                  </w14:solidFill>
                </w14:textFill>
              </w:rPr>
              <w:t xml:space="preserve">　</w:t>
            </w:r>
            <w:r w:rsidRPr="00E96E79">
              <w:rPr>
                <w:b/>
                <w:bCs w:val="0"/>
                <w:iCs/>
                <w:color w:val="000000"/>
                <w:w w:val="15"/>
                <w:shd w:val="solid" w:color="000000" w:fill="000000"/>
                <w:fitText w:val="45" w:id="-961849840"/>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0"/>
                <w14:textFill>
                  <w14:solidFill>
                    <w14:srgbClr w14:val="000000">
                      <w14:alpha w14:val="100000"/>
                    </w14:srgbClr>
                  </w14:solidFill>
                </w14:textFill>
              </w:rPr>
              <w:t xml:space="preserve">　</w:t>
            </w:r>
            <w:r w:rsidR="008F630D" w:rsidRPr="008F630D">
              <w:rPr>
                <w:b/>
                <w:bCs w:val="0"/>
                <w:iCs/>
                <w:vertAlign w:val="superscript"/>
              </w:rPr>
              <w:t>7</w:t>
            </w:r>
          </w:p>
        </w:tc>
        <w:tc>
          <w:tcPr>
            <w:tcW w:w="629" w:type="pct"/>
            <w:tcBorders>
              <w:top w:val="single" w:sz="4" w:space="0" w:color="auto"/>
              <w:left w:val="nil"/>
              <w:bottom w:val="single" w:sz="4" w:space="0" w:color="auto"/>
              <w:right w:val="single" w:sz="4" w:space="0" w:color="auto"/>
            </w:tcBorders>
            <w:shd w:val="clear" w:color="auto" w:fill="auto"/>
            <w:vAlign w:val="center"/>
          </w:tcPr>
          <w:p w14:paraId="1A545925" w14:textId="3C3DE554"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56"/>
                <w14:textFill>
                  <w14:solidFill>
                    <w14:srgbClr w14:val="000000">
                      <w14:alpha w14:val="100000"/>
                    </w14:srgbClr>
                  </w14:solidFill>
                </w14:textFill>
              </w:rPr>
              <w:t xml:space="preserve">　</w:t>
            </w:r>
            <w:r w:rsidRPr="00E96E79">
              <w:rPr>
                <w:b/>
                <w:bCs w:val="0"/>
                <w:iCs/>
                <w:color w:val="000000"/>
                <w:w w:val="15"/>
                <w:shd w:val="solid" w:color="000000" w:fill="000000"/>
                <w:fitText w:val="45" w:id="-961849856"/>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56"/>
                <w14:textFill>
                  <w14:solidFill>
                    <w14:srgbClr w14:val="000000">
                      <w14:alpha w14:val="100000"/>
                    </w14:srgbClr>
                  </w14:solidFill>
                </w14:textFill>
              </w:rPr>
              <w:t xml:space="preserve">　</w:t>
            </w:r>
            <w:r w:rsidR="008F630D" w:rsidRPr="008F630D">
              <w:rPr>
                <w:b/>
                <w:bCs w:val="0"/>
                <w:iCs/>
                <w:vertAlign w:val="superscript"/>
              </w:rPr>
              <w:t>7</w:t>
            </w:r>
          </w:p>
        </w:tc>
        <w:tc>
          <w:tcPr>
            <w:tcW w:w="679" w:type="pct"/>
            <w:tcBorders>
              <w:top w:val="single" w:sz="4" w:space="0" w:color="auto"/>
              <w:left w:val="nil"/>
              <w:bottom w:val="single" w:sz="4" w:space="0" w:color="auto"/>
              <w:right w:val="single" w:sz="4" w:space="0" w:color="auto"/>
            </w:tcBorders>
            <w:shd w:val="clear" w:color="auto" w:fill="auto"/>
            <w:vAlign w:val="center"/>
          </w:tcPr>
          <w:p w14:paraId="30ECA048" w14:textId="435E9299" w:rsidR="00F43500" w:rsidRPr="0035358E" w:rsidRDefault="00E96E79" w:rsidP="00AF2564">
            <w:pPr>
              <w:pStyle w:val="TableText0"/>
              <w:jc w:val="center"/>
              <w:rPr>
                <w:b/>
                <w:bCs w:val="0"/>
                <w:iCs/>
              </w:rPr>
            </w:pPr>
            <w:r w:rsidRPr="00E96E79">
              <w:rPr>
                <w:rFonts w:hint="eastAsia"/>
                <w:b/>
                <w:bCs w:val="0"/>
                <w:iCs/>
                <w:color w:val="000000"/>
                <w:w w:val="16"/>
                <w:shd w:val="solid" w:color="000000" w:fill="000000"/>
                <w:fitText w:val="75" w:id="-961849855"/>
                <w14:textFill>
                  <w14:solidFill>
                    <w14:srgbClr w14:val="000000">
                      <w14:alpha w14:val="100000"/>
                    </w14:srgbClr>
                  </w14:solidFill>
                </w14:textFill>
              </w:rPr>
              <w:t xml:space="preserve">　</w:t>
            </w:r>
            <w:r w:rsidRPr="00E96E79">
              <w:rPr>
                <w:b/>
                <w:bCs w:val="0"/>
                <w:iCs/>
                <w:color w:val="000000"/>
                <w:w w:val="16"/>
                <w:shd w:val="solid" w:color="000000" w:fill="000000"/>
                <w:fitText w:val="75" w:id="-961849855"/>
                <w14:textFill>
                  <w14:solidFill>
                    <w14:srgbClr w14:val="000000">
                      <w14:alpha w14:val="100000"/>
                    </w14:srgbClr>
                  </w14:solidFill>
                </w14:textFill>
              </w:rPr>
              <w:t>|</w:t>
            </w:r>
            <w:r w:rsidRPr="00E96E79">
              <w:rPr>
                <w:rFonts w:hint="eastAsia"/>
                <w:b/>
                <w:bCs w:val="0"/>
                <w:iCs/>
                <w:color w:val="000000"/>
                <w:spacing w:val="5"/>
                <w:w w:val="16"/>
                <w:shd w:val="solid" w:color="000000" w:fill="000000"/>
                <w:fitText w:val="75" w:id="-961849855"/>
                <w14:textFill>
                  <w14:solidFill>
                    <w14:srgbClr w14:val="000000">
                      <w14:alpha w14:val="100000"/>
                    </w14:srgbClr>
                  </w14:solidFill>
                </w14:textFill>
              </w:rPr>
              <w:t xml:space="preserve">　</w:t>
            </w:r>
            <w:r w:rsidR="008F630D" w:rsidRPr="008F630D">
              <w:rPr>
                <w:b/>
                <w:bCs w:val="0"/>
                <w:iCs/>
                <w:vertAlign w:val="superscript"/>
              </w:rPr>
              <w:t>7</w:t>
            </w:r>
          </w:p>
        </w:tc>
      </w:tr>
      <w:tr w:rsidR="00F43500" w:rsidRPr="0035358E" w14:paraId="0279ACA3" w14:textId="77777777" w:rsidTr="00186F9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6F806F58" w14:textId="12D03D98" w:rsidR="00F43500" w:rsidRPr="0035358E" w:rsidRDefault="00F43500" w:rsidP="00AF2564">
            <w:pPr>
              <w:pStyle w:val="TableText0"/>
              <w:rPr>
                <w:b/>
                <w:bCs w:val="0"/>
                <w:iCs/>
                <w:vertAlign w:val="superscript"/>
              </w:rPr>
            </w:pPr>
            <w:r w:rsidRPr="0035358E">
              <w:rPr>
                <w:b/>
                <w:bCs w:val="0"/>
                <w:iCs/>
              </w:rPr>
              <w:t>Total cost to the MBS, revised</w:t>
            </w:r>
            <w:r w:rsidRPr="0035358E">
              <w:rPr>
                <w:b/>
                <w:bCs w:val="0"/>
                <w:iCs/>
                <w:vertAlign w:val="superscript"/>
              </w:rPr>
              <w:t>c,d</w:t>
            </w:r>
            <w:r w:rsidR="00AF2564">
              <w:rPr>
                <w:b/>
                <w:bCs w:val="0"/>
                <w:iCs/>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2D3C68A6" w14:textId="2CE34CE1" w:rsidR="00F43500" w:rsidRPr="0035358E" w:rsidRDefault="00E96E79" w:rsidP="00AF2564">
            <w:pPr>
              <w:pStyle w:val="TableText0"/>
              <w:jc w:val="center"/>
              <w:rPr>
                <w:b/>
                <w:bCs w:val="0"/>
                <w:iCs/>
              </w:rPr>
            </w:pPr>
            <w:r w:rsidRPr="00B3542F">
              <w:rPr>
                <w:rFonts w:hint="eastAsia"/>
                <w:b/>
                <w:bCs w:val="0"/>
                <w:iCs/>
                <w:color w:val="000000"/>
                <w:w w:val="26"/>
                <w:shd w:val="solid" w:color="000000" w:fill="000000"/>
                <w:fitText w:val="120" w:id="-961849854"/>
                <w14:textFill>
                  <w14:solidFill>
                    <w14:srgbClr w14:val="000000">
                      <w14:alpha w14:val="100000"/>
                    </w14:srgbClr>
                  </w14:solidFill>
                </w14:textFill>
              </w:rPr>
              <w:t xml:space="preserve">　</w:t>
            </w:r>
            <w:r w:rsidRPr="00B3542F">
              <w:rPr>
                <w:b/>
                <w:bCs w:val="0"/>
                <w:iCs/>
                <w:color w:val="000000"/>
                <w:w w:val="26"/>
                <w:shd w:val="solid" w:color="000000" w:fill="000000"/>
                <w:fitText w:val="120" w:id="-961849854"/>
                <w14:textFill>
                  <w14:solidFill>
                    <w14:srgbClr w14:val="000000">
                      <w14:alpha w14:val="100000"/>
                    </w14:srgbClr>
                  </w14:solidFill>
                </w14:textFill>
              </w:rPr>
              <w:t>|</w:t>
            </w:r>
            <w:r w:rsidRPr="00B3542F">
              <w:rPr>
                <w:rFonts w:hint="eastAsia"/>
                <w:b/>
                <w:bCs w:val="0"/>
                <w:iCs/>
                <w:color w:val="000000"/>
                <w:spacing w:val="4"/>
                <w:w w:val="26"/>
                <w:shd w:val="solid" w:color="000000" w:fill="000000"/>
                <w:fitText w:val="120" w:id="-961849854"/>
                <w14:textFill>
                  <w14:solidFill>
                    <w14:srgbClr w14:val="000000">
                      <w14:alpha w14:val="100000"/>
                    </w14:srgbClr>
                  </w14:solidFill>
                </w14:textFill>
              </w:rPr>
              <w:t xml:space="preserve">　</w:t>
            </w:r>
            <w:r w:rsidR="008F630D" w:rsidRPr="008F630D">
              <w:rPr>
                <w:b/>
                <w:bCs w:val="0"/>
                <w:iCs/>
                <w:color w:val="000000"/>
                <w:vertAlign w:val="superscript"/>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01877A0E" w14:textId="43A6EFEC"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53"/>
                <w14:textFill>
                  <w14:solidFill>
                    <w14:srgbClr w14:val="000000">
                      <w14:alpha w14:val="100000"/>
                    </w14:srgbClr>
                  </w14:solidFill>
                </w14:textFill>
              </w:rPr>
              <w:t xml:space="preserve">　</w:t>
            </w:r>
            <w:r w:rsidRPr="00E96E79">
              <w:rPr>
                <w:b/>
                <w:bCs w:val="0"/>
                <w:iCs/>
                <w:color w:val="000000"/>
                <w:w w:val="15"/>
                <w:shd w:val="solid" w:color="000000" w:fill="000000"/>
                <w:fitText w:val="45" w:id="-961849853"/>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53"/>
                <w14:textFill>
                  <w14:solidFill>
                    <w14:srgbClr w14:val="000000">
                      <w14:alpha w14:val="100000"/>
                    </w14:srgbClr>
                  </w14:solidFill>
                </w14:textFill>
              </w:rPr>
              <w:t xml:space="preserve">　</w:t>
            </w:r>
            <w:r w:rsidR="008F630D" w:rsidRPr="008F630D">
              <w:rPr>
                <w:b/>
                <w:bCs w:val="0"/>
                <w:iCs/>
                <w:color w:val="000000"/>
                <w:vertAlign w:val="superscript"/>
              </w:rPr>
              <w:t>8</w:t>
            </w:r>
          </w:p>
        </w:tc>
        <w:tc>
          <w:tcPr>
            <w:tcW w:w="708" w:type="pct"/>
            <w:tcBorders>
              <w:top w:val="single" w:sz="4" w:space="0" w:color="auto"/>
              <w:left w:val="nil"/>
              <w:bottom w:val="single" w:sz="4" w:space="0" w:color="auto"/>
              <w:right w:val="single" w:sz="4" w:space="0" w:color="auto"/>
            </w:tcBorders>
            <w:shd w:val="clear" w:color="auto" w:fill="auto"/>
            <w:vAlign w:val="center"/>
          </w:tcPr>
          <w:p w14:paraId="45622515" w14:textId="6A8FFBFA"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52"/>
                <w14:textFill>
                  <w14:solidFill>
                    <w14:srgbClr w14:val="000000">
                      <w14:alpha w14:val="100000"/>
                    </w14:srgbClr>
                  </w14:solidFill>
                </w14:textFill>
              </w:rPr>
              <w:t xml:space="preserve">　</w:t>
            </w:r>
            <w:r w:rsidRPr="00E96E79">
              <w:rPr>
                <w:b/>
                <w:bCs w:val="0"/>
                <w:iCs/>
                <w:color w:val="000000"/>
                <w:w w:val="15"/>
                <w:shd w:val="solid" w:color="000000" w:fill="000000"/>
                <w:fitText w:val="45" w:id="-961849852"/>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52"/>
                <w14:textFill>
                  <w14:solidFill>
                    <w14:srgbClr w14:val="000000">
                      <w14:alpha w14:val="100000"/>
                    </w14:srgbClr>
                  </w14:solidFill>
                </w14:textFill>
              </w:rPr>
              <w:t xml:space="preserve">　</w:t>
            </w:r>
            <w:r w:rsidR="008F630D" w:rsidRPr="008F630D">
              <w:rPr>
                <w:b/>
                <w:bCs w:val="0"/>
                <w:iCs/>
                <w:color w:val="000000"/>
                <w:vertAlign w:val="superscript"/>
              </w:rPr>
              <w:t>8</w:t>
            </w:r>
          </w:p>
        </w:tc>
        <w:tc>
          <w:tcPr>
            <w:tcW w:w="707" w:type="pct"/>
            <w:tcBorders>
              <w:top w:val="single" w:sz="4" w:space="0" w:color="auto"/>
              <w:left w:val="nil"/>
              <w:bottom w:val="single" w:sz="4" w:space="0" w:color="auto"/>
              <w:right w:val="single" w:sz="4" w:space="0" w:color="auto"/>
            </w:tcBorders>
            <w:shd w:val="clear" w:color="auto" w:fill="auto"/>
            <w:vAlign w:val="center"/>
          </w:tcPr>
          <w:p w14:paraId="613560BC" w14:textId="65562C4C"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51"/>
                <w14:textFill>
                  <w14:solidFill>
                    <w14:srgbClr w14:val="000000">
                      <w14:alpha w14:val="100000"/>
                    </w14:srgbClr>
                  </w14:solidFill>
                </w14:textFill>
              </w:rPr>
              <w:t xml:space="preserve">　</w:t>
            </w:r>
            <w:r w:rsidRPr="00E96E79">
              <w:rPr>
                <w:b/>
                <w:bCs w:val="0"/>
                <w:iCs/>
                <w:color w:val="000000"/>
                <w:w w:val="15"/>
                <w:shd w:val="solid" w:color="000000" w:fill="000000"/>
                <w:fitText w:val="45" w:id="-961849851"/>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51"/>
                <w14:textFill>
                  <w14:solidFill>
                    <w14:srgbClr w14:val="000000">
                      <w14:alpha w14:val="100000"/>
                    </w14:srgbClr>
                  </w14:solidFill>
                </w14:textFill>
              </w:rPr>
              <w:t xml:space="preserve">　</w:t>
            </w:r>
            <w:r w:rsidR="008F630D" w:rsidRPr="008F630D">
              <w:rPr>
                <w:b/>
                <w:bCs w:val="0"/>
                <w:iCs/>
                <w:color w:val="000000"/>
                <w:vertAlign w:val="superscript"/>
              </w:rPr>
              <w:t>8</w:t>
            </w:r>
          </w:p>
        </w:tc>
        <w:tc>
          <w:tcPr>
            <w:tcW w:w="629" w:type="pct"/>
            <w:tcBorders>
              <w:top w:val="single" w:sz="4" w:space="0" w:color="auto"/>
              <w:left w:val="nil"/>
              <w:bottom w:val="single" w:sz="4" w:space="0" w:color="auto"/>
              <w:right w:val="single" w:sz="4" w:space="0" w:color="auto"/>
            </w:tcBorders>
            <w:shd w:val="clear" w:color="auto" w:fill="auto"/>
            <w:vAlign w:val="center"/>
          </w:tcPr>
          <w:p w14:paraId="57CCE3E3" w14:textId="548BF03A"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50"/>
                <w14:textFill>
                  <w14:solidFill>
                    <w14:srgbClr w14:val="000000">
                      <w14:alpha w14:val="100000"/>
                    </w14:srgbClr>
                  </w14:solidFill>
                </w14:textFill>
              </w:rPr>
              <w:t xml:space="preserve">　</w:t>
            </w:r>
            <w:r w:rsidRPr="00E96E79">
              <w:rPr>
                <w:b/>
                <w:bCs w:val="0"/>
                <w:iCs/>
                <w:color w:val="000000"/>
                <w:w w:val="15"/>
                <w:shd w:val="solid" w:color="000000" w:fill="000000"/>
                <w:fitText w:val="45" w:id="-961849850"/>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50"/>
                <w14:textFill>
                  <w14:solidFill>
                    <w14:srgbClr w14:val="000000">
                      <w14:alpha w14:val="100000"/>
                    </w14:srgbClr>
                  </w14:solidFill>
                </w14:textFill>
              </w:rPr>
              <w:t xml:space="preserve">　</w:t>
            </w:r>
            <w:r w:rsidR="008F630D" w:rsidRPr="008F630D">
              <w:rPr>
                <w:b/>
                <w:bCs w:val="0"/>
                <w:iCs/>
                <w:color w:val="000000"/>
                <w:vertAlign w:val="superscript"/>
              </w:rPr>
              <w:t>8</w:t>
            </w:r>
          </w:p>
        </w:tc>
        <w:tc>
          <w:tcPr>
            <w:tcW w:w="679" w:type="pct"/>
            <w:tcBorders>
              <w:top w:val="single" w:sz="4" w:space="0" w:color="auto"/>
              <w:left w:val="nil"/>
              <w:bottom w:val="single" w:sz="4" w:space="0" w:color="auto"/>
              <w:right w:val="single" w:sz="4" w:space="0" w:color="auto"/>
            </w:tcBorders>
            <w:shd w:val="clear" w:color="auto" w:fill="auto"/>
            <w:vAlign w:val="center"/>
          </w:tcPr>
          <w:p w14:paraId="6A4F6244" w14:textId="10C94FFE" w:rsidR="00F43500" w:rsidRPr="0035358E" w:rsidRDefault="00E96E79" w:rsidP="00AF2564">
            <w:pPr>
              <w:pStyle w:val="TableText0"/>
              <w:jc w:val="center"/>
              <w:rPr>
                <w:b/>
                <w:bCs w:val="0"/>
                <w:iCs/>
              </w:rPr>
            </w:pPr>
            <w:r w:rsidRPr="00E96E79">
              <w:rPr>
                <w:rFonts w:hint="eastAsia"/>
                <w:b/>
                <w:bCs w:val="0"/>
                <w:iCs/>
                <w:color w:val="000000"/>
                <w:w w:val="16"/>
                <w:shd w:val="solid" w:color="000000" w:fill="000000"/>
                <w:fitText w:val="75" w:id="-961849849"/>
                <w14:textFill>
                  <w14:solidFill>
                    <w14:srgbClr w14:val="000000">
                      <w14:alpha w14:val="100000"/>
                    </w14:srgbClr>
                  </w14:solidFill>
                </w14:textFill>
              </w:rPr>
              <w:t xml:space="preserve">　</w:t>
            </w:r>
            <w:r w:rsidRPr="00E96E79">
              <w:rPr>
                <w:b/>
                <w:bCs w:val="0"/>
                <w:iCs/>
                <w:color w:val="000000"/>
                <w:w w:val="16"/>
                <w:shd w:val="solid" w:color="000000" w:fill="000000"/>
                <w:fitText w:val="75" w:id="-961849849"/>
                <w14:textFill>
                  <w14:solidFill>
                    <w14:srgbClr w14:val="000000">
                      <w14:alpha w14:val="100000"/>
                    </w14:srgbClr>
                  </w14:solidFill>
                </w14:textFill>
              </w:rPr>
              <w:t>|</w:t>
            </w:r>
            <w:r w:rsidRPr="00E96E79">
              <w:rPr>
                <w:rFonts w:hint="eastAsia"/>
                <w:b/>
                <w:bCs w:val="0"/>
                <w:iCs/>
                <w:color w:val="000000"/>
                <w:spacing w:val="5"/>
                <w:w w:val="16"/>
                <w:shd w:val="solid" w:color="000000" w:fill="000000"/>
                <w:fitText w:val="75" w:id="-961849849"/>
                <w14:textFill>
                  <w14:solidFill>
                    <w14:srgbClr w14:val="000000">
                      <w14:alpha w14:val="100000"/>
                    </w14:srgbClr>
                  </w14:solidFill>
                </w14:textFill>
              </w:rPr>
              <w:t xml:space="preserve">　</w:t>
            </w:r>
            <w:r w:rsidR="008F630D" w:rsidRPr="008F630D">
              <w:rPr>
                <w:b/>
                <w:bCs w:val="0"/>
                <w:iCs/>
                <w:color w:val="000000"/>
                <w:vertAlign w:val="superscript"/>
              </w:rPr>
              <w:t>8</w:t>
            </w:r>
          </w:p>
        </w:tc>
      </w:tr>
      <w:tr w:rsidR="00F43500" w:rsidRPr="0035358E" w14:paraId="491F56B1" w14:textId="77777777" w:rsidTr="00186F9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10E0AC34" w14:textId="1EE8A403" w:rsidR="00F43500" w:rsidRPr="0035358E" w:rsidRDefault="00F43500" w:rsidP="00AF2564">
            <w:pPr>
              <w:pStyle w:val="TableText0"/>
              <w:rPr>
                <w:b/>
                <w:bCs w:val="0"/>
                <w:iCs/>
              </w:rPr>
            </w:pPr>
            <w:r w:rsidRPr="0035358E">
              <w:rPr>
                <w:b/>
                <w:bCs w:val="0"/>
                <w:iCs/>
              </w:rPr>
              <w:t>Total cost, revised</w:t>
            </w:r>
            <w:r w:rsidR="00AF2564">
              <w:rPr>
                <w:b/>
                <w:bCs w:val="0"/>
                <w:iCs/>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63B0935" w14:textId="5CF4648A" w:rsidR="00F43500" w:rsidRPr="0035358E" w:rsidRDefault="00E96E79" w:rsidP="00AF2564">
            <w:pPr>
              <w:pStyle w:val="TableText0"/>
              <w:jc w:val="center"/>
              <w:rPr>
                <w:b/>
                <w:bCs w:val="0"/>
                <w:iCs/>
              </w:rPr>
            </w:pPr>
            <w:r w:rsidRPr="00B3542F">
              <w:rPr>
                <w:rFonts w:hint="eastAsia"/>
                <w:b/>
                <w:bCs w:val="0"/>
                <w:iCs/>
                <w:color w:val="000000"/>
                <w:w w:val="26"/>
                <w:shd w:val="solid" w:color="000000" w:fill="000000"/>
                <w:fitText w:val="120" w:id="-961849848"/>
                <w14:textFill>
                  <w14:solidFill>
                    <w14:srgbClr w14:val="000000">
                      <w14:alpha w14:val="100000"/>
                    </w14:srgbClr>
                  </w14:solidFill>
                </w14:textFill>
              </w:rPr>
              <w:t xml:space="preserve">　</w:t>
            </w:r>
            <w:r w:rsidRPr="00B3542F">
              <w:rPr>
                <w:b/>
                <w:bCs w:val="0"/>
                <w:iCs/>
                <w:color w:val="000000"/>
                <w:w w:val="26"/>
                <w:shd w:val="solid" w:color="000000" w:fill="000000"/>
                <w:fitText w:val="120" w:id="-961849848"/>
                <w14:textFill>
                  <w14:solidFill>
                    <w14:srgbClr w14:val="000000">
                      <w14:alpha w14:val="100000"/>
                    </w14:srgbClr>
                  </w14:solidFill>
                </w14:textFill>
              </w:rPr>
              <w:t>|</w:t>
            </w:r>
            <w:r w:rsidRPr="00B3542F">
              <w:rPr>
                <w:rFonts w:hint="eastAsia"/>
                <w:b/>
                <w:bCs w:val="0"/>
                <w:iCs/>
                <w:color w:val="000000"/>
                <w:spacing w:val="4"/>
                <w:w w:val="26"/>
                <w:shd w:val="solid" w:color="000000" w:fill="000000"/>
                <w:fitText w:val="120" w:id="-961849848"/>
                <w14:textFill>
                  <w14:solidFill>
                    <w14:srgbClr w14:val="000000">
                      <w14:alpha w14:val="100000"/>
                    </w14:srgbClr>
                  </w14:solidFill>
                </w14:textFill>
              </w:rPr>
              <w:t xml:space="preserve">　</w:t>
            </w:r>
            <w:r w:rsidR="008F630D" w:rsidRPr="008F630D">
              <w:rPr>
                <w:b/>
                <w:bCs w:val="0"/>
                <w:iCs/>
                <w:vertAlign w:val="superscript"/>
              </w:rPr>
              <w:t>5</w:t>
            </w:r>
          </w:p>
        </w:tc>
        <w:tc>
          <w:tcPr>
            <w:tcW w:w="629" w:type="pct"/>
            <w:tcBorders>
              <w:top w:val="single" w:sz="4" w:space="0" w:color="auto"/>
              <w:left w:val="nil"/>
              <w:bottom w:val="single" w:sz="4" w:space="0" w:color="auto"/>
              <w:right w:val="single" w:sz="4" w:space="0" w:color="auto"/>
            </w:tcBorders>
            <w:shd w:val="clear" w:color="auto" w:fill="auto"/>
            <w:vAlign w:val="center"/>
          </w:tcPr>
          <w:p w14:paraId="71DCF737" w14:textId="45A6CA4B"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7"/>
                <w14:textFill>
                  <w14:solidFill>
                    <w14:srgbClr w14:val="000000">
                      <w14:alpha w14:val="100000"/>
                    </w14:srgbClr>
                  </w14:solidFill>
                </w14:textFill>
              </w:rPr>
              <w:t xml:space="preserve">　</w:t>
            </w:r>
            <w:r w:rsidRPr="00E96E79">
              <w:rPr>
                <w:b/>
                <w:bCs w:val="0"/>
                <w:iCs/>
                <w:color w:val="000000"/>
                <w:w w:val="15"/>
                <w:shd w:val="solid" w:color="000000" w:fill="000000"/>
                <w:fitText w:val="45" w:id="-961849847"/>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7"/>
                <w14:textFill>
                  <w14:solidFill>
                    <w14:srgbClr w14:val="000000">
                      <w14:alpha w14:val="100000"/>
                    </w14:srgbClr>
                  </w14:solidFill>
                </w14:textFill>
              </w:rPr>
              <w:t xml:space="preserve">　</w:t>
            </w:r>
            <w:r w:rsidR="008F630D" w:rsidRPr="008F630D">
              <w:rPr>
                <w:b/>
                <w:bCs w:val="0"/>
                <w:iCs/>
                <w:vertAlign w:val="superscript"/>
              </w:rPr>
              <w:t>6</w:t>
            </w:r>
          </w:p>
        </w:tc>
        <w:tc>
          <w:tcPr>
            <w:tcW w:w="708" w:type="pct"/>
            <w:tcBorders>
              <w:top w:val="single" w:sz="4" w:space="0" w:color="auto"/>
              <w:left w:val="nil"/>
              <w:bottom w:val="single" w:sz="4" w:space="0" w:color="auto"/>
              <w:right w:val="single" w:sz="4" w:space="0" w:color="auto"/>
            </w:tcBorders>
            <w:shd w:val="clear" w:color="auto" w:fill="auto"/>
            <w:vAlign w:val="center"/>
          </w:tcPr>
          <w:p w14:paraId="4504E554" w14:textId="208BF5E0"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6"/>
                <w14:textFill>
                  <w14:solidFill>
                    <w14:srgbClr w14:val="000000">
                      <w14:alpha w14:val="100000"/>
                    </w14:srgbClr>
                  </w14:solidFill>
                </w14:textFill>
              </w:rPr>
              <w:t xml:space="preserve">　</w:t>
            </w:r>
            <w:r w:rsidRPr="00E96E79">
              <w:rPr>
                <w:b/>
                <w:bCs w:val="0"/>
                <w:iCs/>
                <w:color w:val="000000"/>
                <w:w w:val="15"/>
                <w:shd w:val="solid" w:color="000000" w:fill="000000"/>
                <w:fitText w:val="45" w:id="-961849846"/>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6"/>
                <w14:textFill>
                  <w14:solidFill>
                    <w14:srgbClr w14:val="000000">
                      <w14:alpha w14:val="100000"/>
                    </w14:srgbClr>
                  </w14:solidFill>
                </w14:textFill>
              </w:rPr>
              <w:t xml:space="preserve">　</w:t>
            </w:r>
            <w:r w:rsidR="008F630D" w:rsidRPr="008F630D">
              <w:rPr>
                <w:b/>
                <w:bCs w:val="0"/>
                <w:iCs/>
                <w:vertAlign w:val="superscript"/>
              </w:rPr>
              <w:t>7</w:t>
            </w:r>
          </w:p>
        </w:tc>
        <w:tc>
          <w:tcPr>
            <w:tcW w:w="707" w:type="pct"/>
            <w:tcBorders>
              <w:top w:val="single" w:sz="4" w:space="0" w:color="auto"/>
              <w:left w:val="nil"/>
              <w:bottom w:val="single" w:sz="4" w:space="0" w:color="auto"/>
              <w:right w:val="single" w:sz="4" w:space="0" w:color="auto"/>
            </w:tcBorders>
            <w:shd w:val="clear" w:color="auto" w:fill="auto"/>
            <w:vAlign w:val="center"/>
          </w:tcPr>
          <w:p w14:paraId="67DE942A" w14:textId="02FE28C1"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5"/>
                <w14:textFill>
                  <w14:solidFill>
                    <w14:srgbClr w14:val="000000">
                      <w14:alpha w14:val="100000"/>
                    </w14:srgbClr>
                  </w14:solidFill>
                </w14:textFill>
              </w:rPr>
              <w:t xml:space="preserve">　</w:t>
            </w:r>
            <w:r w:rsidRPr="00E96E79">
              <w:rPr>
                <w:b/>
                <w:bCs w:val="0"/>
                <w:iCs/>
                <w:color w:val="000000"/>
                <w:w w:val="15"/>
                <w:shd w:val="solid" w:color="000000" w:fill="000000"/>
                <w:fitText w:val="45" w:id="-961849845"/>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5"/>
                <w14:textFill>
                  <w14:solidFill>
                    <w14:srgbClr w14:val="000000">
                      <w14:alpha w14:val="100000"/>
                    </w14:srgbClr>
                  </w14:solidFill>
                </w14:textFill>
              </w:rPr>
              <w:t xml:space="preserve">　</w:t>
            </w:r>
            <w:r w:rsidR="008F630D" w:rsidRPr="008F630D">
              <w:rPr>
                <w:b/>
                <w:bCs w:val="0"/>
                <w:iCs/>
                <w:vertAlign w:val="superscript"/>
              </w:rPr>
              <w:t>7</w:t>
            </w:r>
          </w:p>
        </w:tc>
        <w:tc>
          <w:tcPr>
            <w:tcW w:w="629" w:type="pct"/>
            <w:tcBorders>
              <w:top w:val="single" w:sz="4" w:space="0" w:color="auto"/>
              <w:left w:val="nil"/>
              <w:bottom w:val="single" w:sz="4" w:space="0" w:color="auto"/>
              <w:right w:val="single" w:sz="4" w:space="0" w:color="auto"/>
            </w:tcBorders>
            <w:shd w:val="clear" w:color="auto" w:fill="auto"/>
            <w:vAlign w:val="center"/>
          </w:tcPr>
          <w:p w14:paraId="60E7087D" w14:textId="1E8E1630" w:rsidR="00F43500" w:rsidRPr="0035358E" w:rsidRDefault="00E96E79" w:rsidP="00AF2564">
            <w:pPr>
              <w:pStyle w:val="TableText0"/>
              <w:jc w:val="center"/>
              <w:rPr>
                <w:b/>
                <w:bCs w:val="0"/>
                <w:iCs/>
              </w:rPr>
            </w:pPr>
            <w:r w:rsidRPr="00E96E79">
              <w:rPr>
                <w:rFonts w:hint="eastAsia"/>
                <w:b/>
                <w:bCs w:val="0"/>
                <w:iCs/>
                <w:color w:val="000000"/>
                <w:w w:val="15"/>
                <w:shd w:val="solid" w:color="000000" w:fill="000000"/>
                <w:fitText w:val="45" w:id="-961849844"/>
                <w14:textFill>
                  <w14:solidFill>
                    <w14:srgbClr w14:val="000000">
                      <w14:alpha w14:val="100000"/>
                    </w14:srgbClr>
                  </w14:solidFill>
                </w14:textFill>
              </w:rPr>
              <w:t xml:space="preserve">　</w:t>
            </w:r>
            <w:r w:rsidRPr="00E96E79">
              <w:rPr>
                <w:b/>
                <w:bCs w:val="0"/>
                <w:iCs/>
                <w:color w:val="000000"/>
                <w:w w:val="15"/>
                <w:shd w:val="solid" w:color="000000" w:fill="000000"/>
                <w:fitText w:val="45" w:id="-961849844"/>
                <w14:textFill>
                  <w14:solidFill>
                    <w14:srgbClr w14:val="000000">
                      <w14:alpha w14:val="100000"/>
                    </w14:srgbClr>
                  </w14:solidFill>
                </w14:textFill>
              </w:rPr>
              <w:t>|</w:t>
            </w:r>
            <w:r w:rsidRPr="00E96E79">
              <w:rPr>
                <w:rFonts w:hint="eastAsia"/>
                <w:b/>
                <w:bCs w:val="0"/>
                <w:iCs/>
                <w:color w:val="000000"/>
                <w:spacing w:val="-21"/>
                <w:w w:val="15"/>
                <w:shd w:val="solid" w:color="000000" w:fill="000000"/>
                <w:fitText w:val="45" w:id="-961849844"/>
                <w14:textFill>
                  <w14:solidFill>
                    <w14:srgbClr w14:val="000000">
                      <w14:alpha w14:val="100000"/>
                    </w14:srgbClr>
                  </w14:solidFill>
                </w14:textFill>
              </w:rPr>
              <w:t xml:space="preserve">　</w:t>
            </w:r>
            <w:r w:rsidR="008F630D" w:rsidRPr="008F630D">
              <w:rPr>
                <w:b/>
                <w:bCs w:val="0"/>
                <w:iCs/>
                <w:vertAlign w:val="superscript"/>
              </w:rPr>
              <w:t>7</w:t>
            </w:r>
          </w:p>
        </w:tc>
        <w:tc>
          <w:tcPr>
            <w:tcW w:w="679" w:type="pct"/>
            <w:tcBorders>
              <w:top w:val="single" w:sz="4" w:space="0" w:color="auto"/>
              <w:left w:val="nil"/>
              <w:bottom w:val="single" w:sz="4" w:space="0" w:color="auto"/>
              <w:right w:val="single" w:sz="4" w:space="0" w:color="auto"/>
            </w:tcBorders>
            <w:shd w:val="clear" w:color="auto" w:fill="auto"/>
            <w:vAlign w:val="center"/>
          </w:tcPr>
          <w:p w14:paraId="1A3D9F92" w14:textId="6B8A8A61" w:rsidR="00F43500" w:rsidRPr="0035358E" w:rsidRDefault="00E96E79" w:rsidP="00AF2564">
            <w:pPr>
              <w:pStyle w:val="TableText0"/>
              <w:jc w:val="center"/>
              <w:rPr>
                <w:b/>
                <w:bCs w:val="0"/>
                <w:iCs/>
              </w:rPr>
            </w:pPr>
            <w:r w:rsidRPr="00E96E79">
              <w:rPr>
                <w:rFonts w:hint="eastAsia"/>
                <w:b/>
                <w:bCs w:val="0"/>
                <w:iCs/>
                <w:color w:val="000000"/>
                <w:w w:val="16"/>
                <w:shd w:val="solid" w:color="000000" w:fill="000000"/>
                <w:fitText w:val="75" w:id="-961849843"/>
                <w14:textFill>
                  <w14:solidFill>
                    <w14:srgbClr w14:val="000000">
                      <w14:alpha w14:val="100000"/>
                    </w14:srgbClr>
                  </w14:solidFill>
                </w14:textFill>
              </w:rPr>
              <w:t xml:space="preserve">　</w:t>
            </w:r>
            <w:r w:rsidRPr="00E96E79">
              <w:rPr>
                <w:b/>
                <w:bCs w:val="0"/>
                <w:iCs/>
                <w:color w:val="000000"/>
                <w:w w:val="16"/>
                <w:shd w:val="solid" w:color="000000" w:fill="000000"/>
                <w:fitText w:val="75" w:id="-961849843"/>
                <w14:textFill>
                  <w14:solidFill>
                    <w14:srgbClr w14:val="000000">
                      <w14:alpha w14:val="100000"/>
                    </w14:srgbClr>
                  </w14:solidFill>
                </w14:textFill>
              </w:rPr>
              <w:t>|</w:t>
            </w:r>
            <w:r w:rsidRPr="00E96E79">
              <w:rPr>
                <w:rFonts w:hint="eastAsia"/>
                <w:b/>
                <w:bCs w:val="0"/>
                <w:iCs/>
                <w:color w:val="000000"/>
                <w:spacing w:val="5"/>
                <w:w w:val="16"/>
                <w:shd w:val="solid" w:color="000000" w:fill="000000"/>
                <w:fitText w:val="75" w:id="-961849843"/>
                <w14:textFill>
                  <w14:solidFill>
                    <w14:srgbClr w14:val="000000">
                      <w14:alpha w14:val="100000"/>
                    </w14:srgbClr>
                  </w14:solidFill>
                </w14:textFill>
              </w:rPr>
              <w:t xml:space="preserve">　</w:t>
            </w:r>
            <w:r w:rsidR="008F630D" w:rsidRPr="008F630D">
              <w:rPr>
                <w:b/>
                <w:bCs w:val="0"/>
                <w:iCs/>
                <w:vertAlign w:val="superscript"/>
              </w:rPr>
              <w:t>7</w:t>
            </w:r>
          </w:p>
        </w:tc>
      </w:tr>
    </w:tbl>
    <w:p w14:paraId="524D960C" w14:textId="77777777" w:rsidR="00F43500" w:rsidRPr="0035358E" w:rsidRDefault="00F43500" w:rsidP="00AF2564">
      <w:pPr>
        <w:pStyle w:val="FooterTableFigure"/>
        <w:keepNext/>
      </w:pPr>
      <w:r w:rsidRPr="0035358E">
        <w:t xml:space="preserve">Source: </w:t>
      </w:r>
      <w:r w:rsidRPr="0035358E">
        <w:rPr>
          <w:iCs/>
        </w:rPr>
        <w:t>Constructed during the evaluation</w:t>
      </w:r>
      <w:r w:rsidRPr="0035358E">
        <w:t xml:space="preserve"> from the“ABRYSVO_Maternal_Section 4 Workbook_Nov 2023” Excel Workbook provided with the submission.</w:t>
      </w:r>
    </w:p>
    <w:p w14:paraId="05822AB9" w14:textId="56820AAC" w:rsidR="00F43500" w:rsidRPr="0035358E" w:rsidRDefault="00FA2DA6" w:rsidP="00AF2564">
      <w:pPr>
        <w:pStyle w:val="FooterTableFigure"/>
        <w:keepNext/>
      </w:pPr>
      <w:r>
        <w:t xml:space="preserve">Abbreviations: </w:t>
      </w:r>
      <w:r w:rsidR="00F43500" w:rsidRPr="0035358E">
        <w:t>AIHW = Australian Institute of Health and Welfare; ATAGI = Australian Technical Advisory Group on Immunisation; GP = general practitioner; MBS = Medicare Benefits Schedule; NIP = National Immunisation Program; RSVpreF = Respiratory Syncytial Virus.</w:t>
      </w:r>
    </w:p>
    <w:p w14:paraId="6DAD9EF2" w14:textId="77777777" w:rsidR="00F43500" w:rsidRPr="0035358E" w:rsidRDefault="00F43500" w:rsidP="00AF2564">
      <w:pPr>
        <w:pStyle w:val="FooterTableFigure"/>
        <w:keepNext/>
      </w:pPr>
      <w:r w:rsidRPr="0035358E">
        <w:rPr>
          <w:vertAlign w:val="superscript"/>
        </w:rPr>
        <w:t>a</w:t>
      </w:r>
      <w:r w:rsidRPr="0035358E">
        <w:t xml:space="preserve"> Based on linear extrapolation of the number of women who gave birth in 2011-2021, reported in the National Perinatal Data Collection dataset provided by the AIHW.</w:t>
      </w:r>
    </w:p>
    <w:p w14:paraId="4575FB54" w14:textId="77777777" w:rsidR="00DB24CC" w:rsidRDefault="00F43500" w:rsidP="00AF2564">
      <w:pPr>
        <w:pStyle w:val="FooterTableFigure"/>
        <w:keepNext/>
      </w:pPr>
      <w:r w:rsidRPr="0035358E">
        <w:rPr>
          <w:vertAlign w:val="superscript"/>
        </w:rPr>
        <w:t xml:space="preserve">b </w:t>
      </w:r>
      <w:r w:rsidRPr="0035358E">
        <w:t>Uptake rates based on ATAGI advice.</w:t>
      </w:r>
    </w:p>
    <w:p w14:paraId="76F80A3C" w14:textId="62006D82" w:rsidR="00F43500" w:rsidRPr="0035358E" w:rsidRDefault="00F43500" w:rsidP="00AF2564">
      <w:pPr>
        <w:pStyle w:val="FooterTableFigure"/>
        <w:keepNext/>
        <w:rPr>
          <w:iCs/>
        </w:rPr>
      </w:pPr>
      <w:r w:rsidRPr="0035358E">
        <w:rPr>
          <w:vertAlign w:val="superscript"/>
        </w:rPr>
        <w:t xml:space="preserve">c </w:t>
      </w:r>
      <w:r w:rsidRPr="0035358E">
        <w:t xml:space="preserve">Submission assumed 365/365.25 RSVpreF units per woman. </w:t>
      </w:r>
      <w:r w:rsidRPr="0035358E">
        <w:rPr>
          <w:iCs/>
        </w:rPr>
        <w:t>Revised to one RSVpreF unit per woman.</w:t>
      </w:r>
    </w:p>
    <w:p w14:paraId="24AD9270" w14:textId="77777777" w:rsidR="00F43500" w:rsidRDefault="00F43500" w:rsidP="00AF2564">
      <w:pPr>
        <w:pStyle w:val="FooterTableFigure"/>
        <w:keepNext/>
        <w:rPr>
          <w:iCs/>
        </w:rPr>
      </w:pPr>
      <w:r w:rsidRPr="0035358E">
        <w:rPr>
          <w:vertAlign w:val="superscript"/>
        </w:rPr>
        <w:t>d</w:t>
      </w:r>
      <w:r w:rsidRPr="0035358E">
        <w:t xml:space="preserve"> Submission only included an 80% MBS rebate associated with GP consultations ($5.60 per administration). </w:t>
      </w:r>
      <w:r w:rsidRPr="0035358E">
        <w:rPr>
          <w:iCs/>
        </w:rPr>
        <w:t>Revised to a 100% MBS rebate ($7.00 per administration)</w:t>
      </w:r>
    </w:p>
    <w:p w14:paraId="17038C0D" w14:textId="77777777" w:rsidR="00AC0CDB" w:rsidRDefault="00AC0CDB" w:rsidP="00AF2564">
      <w:pPr>
        <w:pStyle w:val="FooterTableFigure"/>
        <w:keepNext/>
        <w:rPr>
          <w:i/>
          <w:iCs/>
        </w:rPr>
      </w:pPr>
      <w:bookmarkStart w:id="102" w:name="_Hlk166829523"/>
      <w:r w:rsidRPr="00AC0CDB">
        <w:rPr>
          <w:i/>
          <w:iCs/>
        </w:rPr>
        <w:t>The redacted values correspond to the following ranges</w:t>
      </w:r>
    </w:p>
    <w:p w14:paraId="1769970D" w14:textId="7FAB731A" w:rsidR="00AC0CDB" w:rsidRDefault="00AC0CDB" w:rsidP="00AF2564">
      <w:pPr>
        <w:pStyle w:val="FooterTableFigure"/>
        <w:keepNext/>
        <w:rPr>
          <w:i/>
          <w:iCs/>
        </w:rPr>
      </w:pPr>
      <w:r w:rsidRPr="00AC0CDB">
        <w:rPr>
          <w:i/>
          <w:iCs/>
          <w:vertAlign w:val="superscript"/>
        </w:rPr>
        <w:t>1</w:t>
      </w:r>
      <w:r>
        <w:rPr>
          <w:i/>
          <w:iCs/>
        </w:rPr>
        <w:t xml:space="preserve"> </w:t>
      </w:r>
      <w:r w:rsidRPr="00AC0CDB">
        <w:rPr>
          <w:i/>
          <w:iCs/>
        </w:rPr>
        <w:t>300,000 to &lt; 400,000</w:t>
      </w:r>
    </w:p>
    <w:p w14:paraId="667DC15D" w14:textId="0C9A8D6E" w:rsidR="00AC0CDB" w:rsidRPr="00AC0CDB" w:rsidRDefault="00AC0CDB" w:rsidP="00AF2564">
      <w:pPr>
        <w:pStyle w:val="FooterTableFigure"/>
        <w:keepNext/>
        <w:rPr>
          <w:i/>
          <w:iCs/>
        </w:rPr>
      </w:pPr>
      <w:r w:rsidRPr="00AC0CDB">
        <w:rPr>
          <w:i/>
          <w:iCs/>
          <w:vertAlign w:val="superscript"/>
        </w:rPr>
        <w:t>2</w:t>
      </w:r>
      <w:r>
        <w:rPr>
          <w:i/>
          <w:iCs/>
        </w:rPr>
        <w:t xml:space="preserve"> </w:t>
      </w:r>
      <w:r w:rsidRPr="00AC0CDB">
        <w:rPr>
          <w:i/>
          <w:iCs/>
        </w:rPr>
        <w:t>200,000 to &lt; 300,000</w:t>
      </w:r>
    </w:p>
    <w:p w14:paraId="679805B5" w14:textId="46E1CB53" w:rsidR="00AC0CDB" w:rsidRPr="00AC0CDB" w:rsidRDefault="00AC0CDB" w:rsidP="00AF2564">
      <w:pPr>
        <w:pStyle w:val="FooterTableFigure"/>
        <w:keepNext/>
        <w:rPr>
          <w:i/>
          <w:iCs/>
        </w:rPr>
      </w:pPr>
      <w:bookmarkStart w:id="103" w:name="_Hlk113629218"/>
      <w:r w:rsidRPr="00AC0CDB">
        <w:rPr>
          <w:i/>
          <w:iCs/>
          <w:vertAlign w:val="superscript"/>
        </w:rPr>
        <w:t xml:space="preserve">3 </w:t>
      </w:r>
      <w:r w:rsidRPr="00AC0CDB">
        <w:rPr>
          <w:i/>
          <w:iCs/>
        </w:rPr>
        <w:t>90,000 to &lt; 100,000</w:t>
      </w:r>
    </w:p>
    <w:p w14:paraId="2A81A5C8" w14:textId="5C158207" w:rsidR="00AC0CDB" w:rsidRDefault="008F630D" w:rsidP="00AF2564">
      <w:pPr>
        <w:pStyle w:val="FooterTableFigure"/>
        <w:keepNext/>
        <w:rPr>
          <w:i/>
          <w:iCs/>
        </w:rPr>
      </w:pPr>
      <w:bookmarkStart w:id="104" w:name="_Hlk113629243"/>
      <w:bookmarkEnd w:id="103"/>
      <w:r w:rsidRPr="008F630D">
        <w:rPr>
          <w:i/>
          <w:iCs/>
          <w:vertAlign w:val="superscript"/>
        </w:rPr>
        <w:t>4</w:t>
      </w:r>
      <w:r>
        <w:rPr>
          <w:i/>
          <w:iCs/>
        </w:rPr>
        <w:t xml:space="preserve"> </w:t>
      </w:r>
      <w:r w:rsidR="00AC0CDB" w:rsidRPr="00AC0CDB">
        <w:rPr>
          <w:i/>
          <w:iCs/>
        </w:rPr>
        <w:t>100,000 to &lt; 200,000</w:t>
      </w:r>
    </w:p>
    <w:p w14:paraId="3C4AE326" w14:textId="3500D0CC" w:rsidR="008F630D" w:rsidRPr="008F630D" w:rsidRDefault="008F630D" w:rsidP="00AF2564">
      <w:pPr>
        <w:pStyle w:val="FooterTableFigure"/>
        <w:keepNext/>
        <w:rPr>
          <w:i/>
          <w:iCs/>
        </w:rPr>
      </w:pPr>
      <w:r w:rsidRPr="008F630D">
        <w:rPr>
          <w:i/>
          <w:iCs/>
          <w:vertAlign w:val="superscript"/>
        </w:rPr>
        <w:t xml:space="preserve">5 </w:t>
      </w:r>
      <w:r w:rsidRPr="008F630D">
        <w:rPr>
          <w:i/>
          <w:iCs/>
        </w:rPr>
        <w:t>$10 million to &lt; $20 million</w:t>
      </w:r>
    </w:p>
    <w:bookmarkEnd w:id="104"/>
    <w:p w14:paraId="3F853A03" w14:textId="75DA4C54" w:rsidR="008F630D" w:rsidRPr="008F630D" w:rsidRDefault="008F630D" w:rsidP="00AF2564">
      <w:pPr>
        <w:pStyle w:val="FooterTableFigure"/>
        <w:keepNext/>
        <w:rPr>
          <w:i/>
          <w:iCs/>
        </w:rPr>
      </w:pPr>
      <w:r w:rsidRPr="008F630D">
        <w:rPr>
          <w:i/>
          <w:iCs/>
          <w:vertAlign w:val="superscript"/>
        </w:rPr>
        <w:t>6</w:t>
      </w:r>
      <w:r>
        <w:rPr>
          <w:i/>
          <w:iCs/>
        </w:rPr>
        <w:t xml:space="preserve"> </w:t>
      </w:r>
      <w:r w:rsidRPr="008F630D">
        <w:rPr>
          <w:i/>
          <w:iCs/>
        </w:rPr>
        <w:t>$20 million to &lt; $30 million</w:t>
      </w:r>
    </w:p>
    <w:p w14:paraId="750F4BE5" w14:textId="25B4449A" w:rsidR="008F630D" w:rsidRDefault="008F630D" w:rsidP="00AF2564">
      <w:pPr>
        <w:pStyle w:val="FooterTableFigure"/>
        <w:keepNext/>
        <w:rPr>
          <w:i/>
          <w:iCs/>
        </w:rPr>
      </w:pPr>
      <w:r w:rsidRPr="008F630D">
        <w:rPr>
          <w:i/>
          <w:iCs/>
          <w:vertAlign w:val="superscript"/>
        </w:rPr>
        <w:t xml:space="preserve">7 </w:t>
      </w:r>
      <w:r w:rsidRPr="008F630D">
        <w:rPr>
          <w:i/>
          <w:iCs/>
        </w:rPr>
        <w:t>$30 million to &lt; $40 million</w:t>
      </w:r>
    </w:p>
    <w:p w14:paraId="15C74AFA" w14:textId="5035EE36" w:rsidR="00AC0CDB" w:rsidRPr="0035358E" w:rsidRDefault="008F630D" w:rsidP="00AF2564">
      <w:pPr>
        <w:pStyle w:val="FooterTableFigure"/>
      </w:pPr>
      <w:bookmarkStart w:id="105" w:name="_Hlk113629090"/>
      <w:r w:rsidRPr="008F630D">
        <w:rPr>
          <w:i/>
          <w:iCs/>
          <w:vertAlign w:val="superscript"/>
        </w:rPr>
        <w:t xml:space="preserve">8 </w:t>
      </w:r>
      <w:r w:rsidRPr="008F630D">
        <w:rPr>
          <w:i/>
          <w:iCs/>
        </w:rPr>
        <w:t>$0 to &lt; $10 million</w:t>
      </w:r>
      <w:bookmarkEnd w:id="102"/>
      <w:bookmarkEnd w:id="105"/>
    </w:p>
    <w:p w14:paraId="31D7A93B" w14:textId="2114C501" w:rsidR="00F43500" w:rsidRPr="0035358E" w:rsidRDefault="00F43500" w:rsidP="00DD4B2C">
      <w:pPr>
        <w:pStyle w:val="3-BodyText"/>
      </w:pPr>
      <w:r w:rsidRPr="0035358E">
        <w:lastRenderedPageBreak/>
        <w:t xml:space="preserve">The total cost to the NIP for listing RSVpreF was estimated to be </w:t>
      </w:r>
      <w:r w:rsidRPr="0035358E">
        <w:rPr>
          <w:iCs/>
        </w:rPr>
        <w:t>$</w:t>
      </w:r>
      <w:r w:rsidR="008F630D" w:rsidRPr="008F630D">
        <w:rPr>
          <w:iCs/>
        </w:rPr>
        <w:t>30 million to &lt;</w:t>
      </w:r>
      <w:r w:rsidR="00AF2564">
        <w:rPr>
          <w:iCs/>
        </w:rPr>
        <w:t> </w:t>
      </w:r>
      <w:r w:rsidR="008F630D" w:rsidRPr="008F630D">
        <w:rPr>
          <w:iCs/>
        </w:rPr>
        <w:t>$40</w:t>
      </w:r>
      <w:r w:rsidR="00AF2564">
        <w:rPr>
          <w:iCs/>
        </w:rPr>
        <w:t> </w:t>
      </w:r>
      <w:r w:rsidR="008F630D" w:rsidRPr="008F630D">
        <w:rPr>
          <w:iCs/>
        </w:rPr>
        <w:t>million</w:t>
      </w:r>
      <w:r w:rsidR="008F630D" w:rsidRPr="008F630D" w:rsidDel="008F630D">
        <w:rPr>
          <w:iCs/>
        </w:rPr>
        <w:t xml:space="preserve"> </w:t>
      </w:r>
      <w:r w:rsidRPr="0035358E">
        <w:t xml:space="preserve">in Year 6, and a total of </w:t>
      </w:r>
      <w:r w:rsidRPr="0035358E">
        <w:rPr>
          <w:iCs/>
        </w:rPr>
        <w:t>$</w:t>
      </w:r>
      <w:r w:rsidR="000F268F" w:rsidRPr="000F268F">
        <w:t>100 million to &lt; $200 million</w:t>
      </w:r>
      <w:r w:rsidR="000F268F" w:rsidRPr="000F268F" w:rsidDel="000F268F">
        <w:t xml:space="preserve"> </w:t>
      </w:r>
      <w:r w:rsidRPr="0035358E">
        <w:t>in the first 6 years of listing</w:t>
      </w:r>
      <w:r w:rsidR="000E5BD3" w:rsidRPr="0035358E">
        <w:t xml:space="preserve"> based on the price proposed in the submission</w:t>
      </w:r>
      <w:r w:rsidRPr="0035358E">
        <w:t>.</w:t>
      </w:r>
      <w:r w:rsidRPr="0035358E">
        <w:rPr>
          <w:rStyle w:val="FootnoteReference"/>
        </w:rPr>
        <w:footnoteReference w:id="35"/>
      </w:r>
    </w:p>
    <w:p w14:paraId="544BE16A" w14:textId="0A0F219B" w:rsidR="00F770C6" w:rsidRPr="0035358E" w:rsidRDefault="00F770C6" w:rsidP="00DD4B2C">
      <w:pPr>
        <w:pStyle w:val="3-BodyText"/>
      </w:pPr>
      <w:r w:rsidRPr="0035358E">
        <w:t xml:space="preserve">The DUSC considered </w:t>
      </w:r>
      <w:r w:rsidR="00E63BA1" w:rsidRPr="0035358E">
        <w:t xml:space="preserve">the utilisation and financial implications associated with the requested </w:t>
      </w:r>
      <w:r w:rsidR="001D1E91" w:rsidRPr="0035358E">
        <w:t>NIP</w:t>
      </w:r>
      <w:r w:rsidR="00E63BA1" w:rsidRPr="0035358E">
        <w:t xml:space="preserve"> listing utilisation of RSVpreF were sensitive to its uptake rate</w:t>
      </w:r>
      <w:r w:rsidR="00C93F78" w:rsidRPr="0035358E">
        <w:t xml:space="preserve">. </w:t>
      </w:r>
      <w:r w:rsidR="00E63BA1" w:rsidRPr="0035358E">
        <w:t>The following concerns were noted:</w:t>
      </w:r>
    </w:p>
    <w:p w14:paraId="17A7CB06" w14:textId="23378FF9" w:rsidR="00E63BA1" w:rsidRPr="0035358E" w:rsidRDefault="000947B8" w:rsidP="00AF2564">
      <w:pPr>
        <w:pStyle w:val="ListParagraph"/>
      </w:pPr>
      <w:r w:rsidRPr="0035358E">
        <w:t>The uptake rate of RSVpreF might be underestimated based on the uptake rates of influenza and pertussis vaccines in pregnant women.</w:t>
      </w:r>
      <w:r w:rsidR="00E63BA1" w:rsidRPr="0035358E">
        <w:t xml:space="preserve"> A Victorian population-based cohort study found that amongst pregnant women, the uptake rate for influenza and pertussis vaccine was 70.6% and 81.8%, respectively.</w:t>
      </w:r>
      <w:r w:rsidR="00E63BA1" w:rsidRPr="0035358E">
        <w:rPr>
          <w:rStyle w:val="FootnoteReference"/>
        </w:rPr>
        <w:footnoteReference w:id="36"/>
      </w:r>
      <w:r w:rsidR="00E63BA1" w:rsidRPr="0035358E">
        <w:t xml:space="preserve"> DUSC also noted a systematic review</w:t>
      </w:r>
      <w:bookmarkStart w:id="106" w:name="_Ref158981081"/>
      <w:r w:rsidR="00E63BA1" w:rsidRPr="0035358E">
        <w:rPr>
          <w:rStyle w:val="FootnoteReference"/>
        </w:rPr>
        <w:footnoteReference w:id="37"/>
      </w:r>
      <w:bookmarkEnd w:id="106"/>
      <w:r w:rsidR="00E63BA1" w:rsidRPr="0035358E">
        <w:t xml:space="preserve"> which suggested uptake rates in Victoria and Western Australia (between 70% to 90%) may be higher than the rest of Australia (less than 58%)</w:t>
      </w:r>
      <w:r w:rsidR="00C93F78" w:rsidRPr="0035358E">
        <w:t>.</w:t>
      </w:r>
      <w:r w:rsidRPr="0035358E">
        <w:t xml:space="preserve"> </w:t>
      </w:r>
      <w:r w:rsidR="00E63BA1" w:rsidRPr="0035358E">
        <w:t>The DUSC also noted that pregnant women already scheduled to receive maternal vaccines under current recommendations may have more opportunity to receive RSVpreF in the future, given RSV has become a reportable disease and its awareness has increased.</w:t>
      </w:r>
    </w:p>
    <w:p w14:paraId="228D3BDF" w14:textId="77777777" w:rsidR="00DB24CC" w:rsidRDefault="00E63BA1" w:rsidP="00AF2564">
      <w:pPr>
        <w:pStyle w:val="ListParagraph"/>
      </w:pPr>
      <w:r w:rsidRPr="0035358E">
        <w:t xml:space="preserve">Data from other countries indicated that uptake of RSVpreF </w:t>
      </w:r>
      <w:r w:rsidR="00FE36D8" w:rsidRPr="0035358E">
        <w:rPr>
          <w:rFonts w:eastAsia="SimSun"/>
          <w:bCs/>
        </w:rPr>
        <w:t>in Italy</w:t>
      </w:r>
      <w:r w:rsidR="00FE36D8" w:rsidRPr="0035358E">
        <w:rPr>
          <w:rStyle w:val="FootnoteReference"/>
          <w:rFonts w:eastAsia="SimSun"/>
          <w:bCs/>
        </w:rPr>
        <w:footnoteReference w:id="38"/>
      </w:r>
      <w:r w:rsidR="00FE36D8" w:rsidRPr="0035358E">
        <w:rPr>
          <w:rFonts w:eastAsia="SimSun"/>
          <w:bCs/>
        </w:rPr>
        <w:t xml:space="preserve"> and the United States</w:t>
      </w:r>
      <w:r w:rsidR="00FE36D8" w:rsidRPr="0035358E">
        <w:rPr>
          <w:rStyle w:val="FootnoteReference"/>
          <w:rFonts w:eastAsia="SimSun"/>
          <w:bCs/>
        </w:rPr>
        <w:footnoteReference w:id="39"/>
      </w:r>
      <w:r w:rsidR="00FE36D8" w:rsidRPr="0035358E">
        <w:rPr>
          <w:rFonts w:eastAsia="SimSun"/>
          <w:bCs/>
        </w:rPr>
        <w:t xml:space="preserve"> were less than 50%.</w:t>
      </w:r>
      <w:r w:rsidR="00FE36D8" w:rsidRPr="0035358E">
        <w:rPr>
          <w:rFonts w:eastAsia="SimSun"/>
          <w:bCs/>
          <w:i/>
          <w:iCs/>
        </w:rPr>
        <w:t xml:space="preserve"> </w:t>
      </w:r>
      <w:r w:rsidR="00FE36D8" w:rsidRPr="0035358E">
        <w:t>T</w:t>
      </w:r>
      <w:r w:rsidRPr="0035358E">
        <w:t xml:space="preserve">he DUSC considered that the availability of alternatives, such as nirsevimab or other RSV vaccines may influence the uptake of RSVpreF. </w:t>
      </w:r>
      <w:r w:rsidR="00FE36D8" w:rsidRPr="0035358E">
        <w:t>DUSC also considered there was potential for ‘vaccine fatigue’ which may reduce the uptake rate. In addition, DUSC commented that uptake rates will be sensitive to risk communication about adverse events</w:t>
      </w:r>
      <w:r w:rsidR="00C93F78" w:rsidRPr="0035358E">
        <w:t>.</w:t>
      </w:r>
    </w:p>
    <w:p w14:paraId="54B0AAE4" w14:textId="5A379CF5" w:rsidR="00A6357C" w:rsidRPr="0035358E" w:rsidRDefault="008C2873" w:rsidP="00DD4B2C">
      <w:pPr>
        <w:pStyle w:val="3-BodyText"/>
      </w:pPr>
      <w:r w:rsidRPr="0035358E">
        <w:t xml:space="preserve">The pre-PBAC response reiterated that the uptake rates in the submission were informed by </w:t>
      </w:r>
      <w:r w:rsidR="005317D2" w:rsidRPr="0035358E">
        <w:t xml:space="preserve">the </w:t>
      </w:r>
      <w:r w:rsidRPr="0035358E">
        <w:t xml:space="preserve">ATAGI’s advice. It was also noted that the </w:t>
      </w:r>
      <w:r w:rsidR="005317D2" w:rsidRPr="0035358E">
        <w:t xml:space="preserve">published </w:t>
      </w:r>
      <w:r w:rsidRPr="0035358E">
        <w:t xml:space="preserve">uptake rates of existing antenatal vaccines </w:t>
      </w:r>
      <w:r w:rsidR="005317D2" w:rsidRPr="0035358E">
        <w:t>had</w:t>
      </w:r>
      <w:r w:rsidRPr="0035358E">
        <w:t xml:space="preserve"> occurred six years (pertussis) to more than 10 years (influenza) since the vaccines were listed on the NIP.</w:t>
      </w:r>
    </w:p>
    <w:p w14:paraId="454971FC" w14:textId="77777777" w:rsidR="00B60859" w:rsidRPr="0035358E" w:rsidRDefault="00B60859" w:rsidP="00B60859">
      <w:pPr>
        <w:pStyle w:val="4-SubsectionHeading"/>
      </w:pPr>
      <w:bookmarkStart w:id="107" w:name="_Toc22897648"/>
      <w:bookmarkStart w:id="108" w:name="_Toc156993558"/>
      <w:r w:rsidRPr="0035358E">
        <w:t>Quality Use of Medicines</w:t>
      </w:r>
      <w:bookmarkEnd w:id="107"/>
      <w:bookmarkEnd w:id="108"/>
    </w:p>
    <w:p w14:paraId="2DA6A54B" w14:textId="631A8AD7" w:rsidR="00B60859" w:rsidRPr="0035358E" w:rsidRDefault="00B60859" w:rsidP="00DD4B2C">
      <w:pPr>
        <w:pStyle w:val="3-BodyText"/>
      </w:pPr>
      <w:bookmarkStart w:id="109" w:name="_Toc22897649"/>
      <w:r w:rsidRPr="0035358E">
        <w:t>The submission presented the following activities to support the quality use of RSVpreF:</w:t>
      </w:r>
    </w:p>
    <w:p w14:paraId="6D1FF26E" w14:textId="77777777" w:rsidR="00B60859" w:rsidRPr="0035358E" w:rsidRDefault="00B60859" w:rsidP="00DD4B2C">
      <w:pPr>
        <w:pStyle w:val="ListParagraph"/>
      </w:pPr>
      <w:r w:rsidRPr="0035358E">
        <w:t>Providing educational resources for RSVpreF for health care professionals and;</w:t>
      </w:r>
    </w:p>
    <w:p w14:paraId="403969E4" w14:textId="77777777" w:rsidR="00DB24CC" w:rsidRDefault="00B60859" w:rsidP="00DD4B2C">
      <w:pPr>
        <w:pStyle w:val="ListParagraph"/>
      </w:pPr>
      <w:r w:rsidRPr="0035358E">
        <w:lastRenderedPageBreak/>
        <w:t>Trained field personnel, an information hotline and online portals available to answer queries from health care professionals.</w:t>
      </w:r>
      <w:bookmarkEnd w:id="109"/>
    </w:p>
    <w:p w14:paraId="49E82530" w14:textId="1F3E9DD3" w:rsidR="00C408E3" w:rsidRPr="0035358E" w:rsidRDefault="00DA6510" w:rsidP="00DD4B2C">
      <w:pPr>
        <w:pStyle w:val="3-BodyText"/>
      </w:pPr>
      <w:r w:rsidRPr="0035358E">
        <w:t xml:space="preserve">The </w:t>
      </w:r>
      <w:r w:rsidR="00F770C6" w:rsidRPr="0035358E">
        <w:t>DUSC noted RSV hospitalisation rates were higher in</w:t>
      </w:r>
      <w:r w:rsidR="001F1B5C" w:rsidRPr="0035358E">
        <w:t xml:space="preserve"> First Nations</w:t>
      </w:r>
      <w:r w:rsidR="00F770C6" w:rsidRPr="0035358E">
        <w:t xml:space="preserve"> infants compared to non-Indigenous infants and uptake rates of influenza and pertussis vaccines were lower in Indigenous and culturally and linguistically diverse pregnant women and pregnant women from lower socioeconomic backgrounds</w:t>
      </w:r>
      <w:r w:rsidR="00DD6B8D" w:rsidRPr="0035358E">
        <w:rPr>
          <w:rStyle w:val="FootnoteReference"/>
        </w:rPr>
        <w:footnoteReference w:id="40"/>
      </w:r>
      <w:r w:rsidR="001D1E91" w:rsidRPr="0035358E">
        <w:t xml:space="preserve"> </w:t>
      </w:r>
      <w:r w:rsidR="00737FCA" w:rsidRPr="0035358E">
        <w:rPr>
          <w:vertAlign w:val="superscript"/>
        </w:rPr>
        <w:footnoteReference w:id="41"/>
      </w:r>
      <w:r w:rsidR="00F770C6" w:rsidRPr="0035358E">
        <w:t xml:space="preserve">. </w:t>
      </w:r>
      <w:r w:rsidRPr="0035358E">
        <w:t xml:space="preserve">The </w:t>
      </w:r>
      <w:r w:rsidR="00F770C6" w:rsidRPr="0035358E">
        <w:t xml:space="preserve">DUSC considered QUM activities </w:t>
      </w:r>
      <w:r w:rsidRPr="0035358E">
        <w:t xml:space="preserve">would be important </w:t>
      </w:r>
      <w:r w:rsidR="00F770C6" w:rsidRPr="0035358E">
        <w:t xml:space="preserve">to support increased uptake of RSVpreF in pregnant women </w:t>
      </w:r>
      <w:r w:rsidRPr="0035358E">
        <w:t>within</w:t>
      </w:r>
      <w:r w:rsidR="00F770C6" w:rsidRPr="0035358E">
        <w:t xml:space="preserve"> these </w:t>
      </w:r>
      <w:r w:rsidRPr="0035358E">
        <w:t>groups</w:t>
      </w:r>
      <w:r w:rsidR="00F770C6" w:rsidRPr="0035358E">
        <w:t xml:space="preserve">. </w:t>
      </w:r>
      <w:r w:rsidRPr="0035358E">
        <w:t>The pre-PBAC response stated that the sponsor is committed to addressing health inequities experienced by</w:t>
      </w:r>
      <w:r w:rsidR="001F1B5C" w:rsidRPr="0035358E">
        <w:t xml:space="preserve"> First Nations</w:t>
      </w:r>
      <w:r w:rsidRPr="0035358E">
        <w:t xml:space="preserve"> people and those of culturally diverse backgrounds. Culturally appropriate patient information will be developed by the sponsor to address community needs and facilitate informed decision making.</w:t>
      </w:r>
    </w:p>
    <w:p w14:paraId="19F2F33F" w14:textId="77777777" w:rsidR="00DB24CC" w:rsidRDefault="00A6357C" w:rsidP="00DD4B2C">
      <w:pPr>
        <w:pStyle w:val="3-BodyText"/>
      </w:pPr>
      <w:r w:rsidRPr="0035358E">
        <w:t xml:space="preserve">The submission considered that </w:t>
      </w:r>
      <w:r w:rsidR="00737FCA" w:rsidRPr="0035358E">
        <w:t xml:space="preserve">additional </w:t>
      </w:r>
      <w:r w:rsidRPr="0035358E">
        <w:t xml:space="preserve">post-marketing surveillance of RSVpreF was not necessary as existing safety monitoring systems (AUSVAXSafety) </w:t>
      </w:r>
      <w:r w:rsidR="00737FCA" w:rsidRPr="0035358E">
        <w:t xml:space="preserve">and the sponsor’s global pharmacovigilance system </w:t>
      </w:r>
      <w:r w:rsidRPr="0035358E">
        <w:t>are in place</w:t>
      </w:r>
      <w:r w:rsidR="00C93F78" w:rsidRPr="0035358E">
        <w:t xml:space="preserve">. </w:t>
      </w:r>
      <w:r w:rsidR="00737FCA" w:rsidRPr="0035358E">
        <w:t xml:space="preserve">The </w:t>
      </w:r>
      <w:r w:rsidRPr="0035358E">
        <w:t xml:space="preserve">DUSC commented that adverse events (such as whooping cough) associated with the coadministration of dTPa may not be reported to the </w:t>
      </w:r>
      <w:r w:rsidR="00737FCA" w:rsidRPr="0035358E">
        <w:t>s</w:t>
      </w:r>
      <w:r w:rsidRPr="0035358E">
        <w:t>ponsor.</w:t>
      </w:r>
    </w:p>
    <w:p w14:paraId="5FEF13CB" w14:textId="75A0192E" w:rsidR="00F770C6" w:rsidRPr="0035358E" w:rsidRDefault="00D3466E" w:rsidP="00DD4B2C">
      <w:pPr>
        <w:pStyle w:val="3-BodyText"/>
      </w:pPr>
      <w:r w:rsidRPr="0035358E">
        <w:t xml:space="preserve">With regard to post-market surveillance, the pre-PBAC response stated that the sponsor will </w:t>
      </w:r>
      <w:r w:rsidR="00DA6510" w:rsidRPr="0035358E">
        <w:t>provide Periodic Safety Update Report</w:t>
      </w:r>
      <w:r w:rsidR="00C408E3" w:rsidRPr="0035358E">
        <w:t>s</w:t>
      </w:r>
      <w:r w:rsidR="00DA6510" w:rsidRPr="0035358E">
        <w:t xml:space="preserve"> (PSUR</w:t>
      </w:r>
      <w:r w:rsidR="00C408E3" w:rsidRPr="0035358E">
        <w:t>s</w:t>
      </w:r>
      <w:r w:rsidR="00DA6510" w:rsidRPr="0035358E">
        <w:t xml:space="preserve">) in accordance with the TGA requirements. </w:t>
      </w:r>
      <w:r w:rsidR="00C408E3" w:rsidRPr="0035358E">
        <w:t xml:space="preserve">It was stated that </w:t>
      </w:r>
      <w:r w:rsidR="00DA6510" w:rsidRPr="0035358E">
        <w:t xml:space="preserve">Abrysvo will be included on the TGA’s Black Triangle Scheme which actively encourages patients and healthcare professionals to report any suspected adverse events. </w:t>
      </w:r>
      <w:r w:rsidR="00737FCA" w:rsidRPr="0035358E">
        <w:t xml:space="preserve">It was noted that </w:t>
      </w:r>
      <w:r w:rsidR="00DA6510" w:rsidRPr="0035358E">
        <w:t>several post-market studies are planned or ongoing to investigate potential or identified risks or missing information.</w:t>
      </w:r>
    </w:p>
    <w:p w14:paraId="0921D439" w14:textId="0A2B55FA" w:rsidR="00811217" w:rsidRPr="0035358E" w:rsidRDefault="00F43500" w:rsidP="00AF2564">
      <w:pPr>
        <w:ind w:firstLine="720"/>
        <w:jc w:val="left"/>
        <w:rPr>
          <w:i/>
          <w:iCs/>
        </w:rPr>
      </w:pPr>
      <w:r w:rsidRPr="0035358E">
        <w:rPr>
          <w:i/>
          <w:iCs/>
        </w:rPr>
        <w:t>For more detail on PBAC’s view, see section 7 PBAC outcome.</w:t>
      </w:r>
    </w:p>
    <w:p w14:paraId="08ACB244" w14:textId="77777777" w:rsidR="00F43500" w:rsidRPr="0035358E" w:rsidRDefault="00F43500" w:rsidP="00F43500">
      <w:pPr>
        <w:pStyle w:val="2-SectionHeading"/>
        <w:numPr>
          <w:ilvl w:val="0"/>
          <w:numId w:val="1"/>
        </w:numPr>
      </w:pPr>
      <w:r w:rsidRPr="0035358E">
        <w:t>PBAC Outcome</w:t>
      </w:r>
    </w:p>
    <w:p w14:paraId="493D7713" w14:textId="77777777" w:rsidR="00DB24CC" w:rsidRDefault="00141E0A" w:rsidP="00DD4B2C">
      <w:pPr>
        <w:pStyle w:val="3-BodyText"/>
      </w:pPr>
      <w:bookmarkStart w:id="110" w:name="_Hlk111543188"/>
      <w:r w:rsidRPr="0035358E">
        <w:t>The PBAC did not recommend</w:t>
      </w:r>
      <w:r w:rsidR="00893A8D" w:rsidRPr="0035358E">
        <w:t xml:space="preserve"> </w:t>
      </w:r>
      <w:r w:rsidR="001D1E91" w:rsidRPr="0035358E">
        <w:t>recombinant syncytial pre-fusion F protein vaccine</w:t>
      </w:r>
      <w:r w:rsidR="005744B6" w:rsidRPr="0035358E">
        <w:t xml:space="preserve"> (</w:t>
      </w:r>
      <w:r w:rsidR="001D1E91" w:rsidRPr="0035358E">
        <w:t xml:space="preserve">RSVpreF) </w:t>
      </w:r>
      <w:r w:rsidRPr="0035358E">
        <w:t>for the prevention of lower respiratory tract illness (LRTI) caused by respiratory syncytial virus (RSV) in infants from birth through 6 months of age by active immunisation of pregnant women</w:t>
      </w:r>
      <w:r w:rsidR="00C93F78" w:rsidRPr="0035358E">
        <w:t xml:space="preserve">. </w:t>
      </w:r>
      <w:r w:rsidRPr="0035358E">
        <w:t xml:space="preserve">The PBAC </w:t>
      </w:r>
      <w:r w:rsidR="007C20AE" w:rsidRPr="0035358E">
        <w:t>noted</w:t>
      </w:r>
      <w:r w:rsidRPr="0035358E">
        <w:t xml:space="preserve"> </w:t>
      </w:r>
      <w:r w:rsidR="007C20AE" w:rsidRPr="0035358E">
        <w:t>the</w:t>
      </w:r>
      <w:r w:rsidRPr="0035358E">
        <w:t xml:space="preserve"> </w:t>
      </w:r>
      <w:r w:rsidR="000A524B" w:rsidRPr="0035358E">
        <w:t xml:space="preserve">clinical trial evidence </w:t>
      </w:r>
      <w:r w:rsidR="001D1E91" w:rsidRPr="0035358E">
        <w:t xml:space="preserve">presented in the submission </w:t>
      </w:r>
      <w:r w:rsidR="000A524B" w:rsidRPr="0035358E">
        <w:t>show</w:t>
      </w:r>
      <w:r w:rsidR="007C20AE" w:rsidRPr="0035358E">
        <w:t>ed</w:t>
      </w:r>
      <w:r w:rsidR="000A524B" w:rsidRPr="0035358E">
        <w:t xml:space="preserve"> there was a reduced risk of </w:t>
      </w:r>
      <w:r w:rsidRPr="0035358E">
        <w:t>medically attended lower respiratory tract illness (MA-LRTI) and severe MA-LRTI due to RSV among infants during the first 6 months of life</w:t>
      </w:r>
      <w:r w:rsidR="007C20AE" w:rsidRPr="0035358E">
        <w:t xml:space="preserve"> in </w:t>
      </w:r>
      <w:r w:rsidR="00252163" w:rsidRPr="0035358E">
        <w:t>RSV-</w:t>
      </w:r>
      <w:r w:rsidR="007C20AE" w:rsidRPr="0035358E">
        <w:t>vaccinated versus placebo-vaccinated individuals</w:t>
      </w:r>
      <w:r w:rsidR="00C93F78" w:rsidRPr="0035358E">
        <w:t xml:space="preserve">. </w:t>
      </w:r>
      <w:r w:rsidR="00AA57B3" w:rsidRPr="0035358E">
        <w:t xml:space="preserve">The PBAC considered that </w:t>
      </w:r>
      <w:r w:rsidR="00AA57B3" w:rsidRPr="0035358E">
        <w:rPr>
          <w:rFonts w:eastAsia="Calibri"/>
        </w:rPr>
        <w:t>the adverse event profile</w:t>
      </w:r>
      <w:r w:rsidR="00252163" w:rsidRPr="0035358E">
        <w:rPr>
          <w:rFonts w:eastAsia="Calibri"/>
        </w:rPr>
        <w:t xml:space="preserve"> of RSVpreF</w:t>
      </w:r>
      <w:r w:rsidR="00AA57B3" w:rsidRPr="0035358E">
        <w:rPr>
          <w:rFonts w:eastAsia="Calibri"/>
        </w:rPr>
        <w:t xml:space="preserve"> was </w:t>
      </w:r>
      <w:r w:rsidR="00AA57B3" w:rsidRPr="0035358E">
        <w:rPr>
          <w:rFonts w:eastAsia="Calibri"/>
        </w:rPr>
        <w:lastRenderedPageBreak/>
        <w:t>acceptable compared to placebo</w:t>
      </w:r>
      <w:r w:rsidR="00C93F78" w:rsidRPr="0035358E">
        <w:rPr>
          <w:rFonts w:eastAsia="Calibri"/>
        </w:rPr>
        <w:t xml:space="preserve">. </w:t>
      </w:r>
      <w:r w:rsidRPr="0035358E">
        <w:t xml:space="preserve">The PBAC considered that the incremental cost-effectiveness ratio </w:t>
      </w:r>
      <w:r w:rsidR="001D1E91" w:rsidRPr="0035358E">
        <w:t xml:space="preserve">(ICER) </w:t>
      </w:r>
      <w:r w:rsidRPr="0035358E">
        <w:t>was high and uncertain</w:t>
      </w:r>
      <w:r w:rsidR="001D1E91" w:rsidRPr="0035358E">
        <w:t xml:space="preserve">. </w:t>
      </w:r>
      <w:r w:rsidRPr="0035358E">
        <w:t>The PBAC considered that a price reduction would be required to ensure the vaccine was cost-effective in the proposed circumstances of use.</w:t>
      </w:r>
    </w:p>
    <w:bookmarkEnd w:id="110"/>
    <w:p w14:paraId="6A7DFC2E" w14:textId="186A8358" w:rsidR="00421D10" w:rsidRPr="0035358E" w:rsidRDefault="00421D10" w:rsidP="00421D10">
      <w:pPr>
        <w:widowControl w:val="0"/>
        <w:numPr>
          <w:ilvl w:val="1"/>
          <w:numId w:val="1"/>
        </w:numPr>
        <w:spacing w:after="120"/>
        <w:ind w:left="720" w:hanging="720"/>
        <w:rPr>
          <w:rFonts w:asciiTheme="minorHAnsi" w:hAnsiTheme="minorHAnsi"/>
          <w:snapToGrid w:val="0"/>
        </w:rPr>
      </w:pPr>
      <w:r w:rsidRPr="0035358E">
        <w:t>The primary reason for this outcome was due to the economic evaluation presented.</w:t>
      </w:r>
    </w:p>
    <w:p w14:paraId="1CC8A315" w14:textId="0DEBDC42" w:rsidR="00F5447B" w:rsidRPr="0035358E" w:rsidRDefault="00F5447B" w:rsidP="00D356EC">
      <w:pPr>
        <w:widowControl w:val="0"/>
        <w:numPr>
          <w:ilvl w:val="1"/>
          <w:numId w:val="1"/>
        </w:numPr>
        <w:spacing w:after="120"/>
        <w:ind w:left="720" w:hanging="720"/>
        <w:rPr>
          <w:rFonts w:asciiTheme="minorHAnsi" w:hAnsiTheme="minorHAnsi"/>
          <w:bCs/>
        </w:rPr>
      </w:pPr>
      <w:r w:rsidRPr="0035358E">
        <w:t xml:space="preserve">The PBAC considered there is a high clinical need for vaccines, or other interventions, to reduce the risk of RSV, noting that RSV is a common respiratory infection and although symptoms are usually mild, some children </w:t>
      </w:r>
      <w:r w:rsidR="00F70E04" w:rsidRPr="0035358E">
        <w:t xml:space="preserve">develop severe disease which poses a significant risk, especially in infants aged up to six months. </w:t>
      </w:r>
      <w:r w:rsidRPr="0035358E">
        <w:t xml:space="preserve">The PBAC noted </w:t>
      </w:r>
      <w:r w:rsidR="00F70E04" w:rsidRPr="0035358E">
        <w:t xml:space="preserve">the proposed NIP listing </w:t>
      </w:r>
      <w:r w:rsidR="0000670D" w:rsidRPr="0035358E">
        <w:t xml:space="preserve">for maternal vaccination with </w:t>
      </w:r>
      <w:r w:rsidR="00F70E04" w:rsidRPr="0035358E">
        <w:t xml:space="preserve">RSVpreF </w:t>
      </w:r>
      <w:r w:rsidR="0000670D" w:rsidRPr="0035358E">
        <w:t xml:space="preserve">for the protection of infants </w:t>
      </w:r>
      <w:r w:rsidR="00F70E04" w:rsidRPr="0035358E">
        <w:t xml:space="preserve">was </w:t>
      </w:r>
      <w:r w:rsidRPr="0035358E">
        <w:t>supported by the consumer comments received for this submission.</w:t>
      </w:r>
    </w:p>
    <w:p w14:paraId="6D599D55" w14:textId="2CF1C641" w:rsidR="009563F2" w:rsidRPr="0035358E" w:rsidRDefault="009563F2" w:rsidP="00DD4B2C">
      <w:pPr>
        <w:pStyle w:val="3-BodyText"/>
      </w:pPr>
      <w:r w:rsidRPr="0035358E">
        <w:t>The PBAC noted that RSV infections became a notifiable disease on the National Notifiable Disease List (NNDL) in 2021, however RSV notifications are considered incomplete at this time, as diagnostic testing for RSV is not routinely done.</w:t>
      </w:r>
    </w:p>
    <w:p w14:paraId="7739B00F" w14:textId="094D1635" w:rsidR="007F4B3B" w:rsidRPr="0035358E" w:rsidRDefault="0000670D" w:rsidP="00DD4B2C">
      <w:pPr>
        <w:pStyle w:val="3-BodyText"/>
      </w:pPr>
      <w:r w:rsidRPr="0035358E">
        <w:t xml:space="preserve">The PBAC noted that </w:t>
      </w:r>
      <w:r w:rsidR="0029534E" w:rsidRPr="0035358E">
        <w:t xml:space="preserve">RSVpreF is a bivalent, unadjuvanted vaccine composed of </w:t>
      </w:r>
      <w:r w:rsidR="007F4B3B" w:rsidRPr="0035358E">
        <w:t xml:space="preserve">stabilised </w:t>
      </w:r>
      <w:r w:rsidR="0029534E" w:rsidRPr="0035358E">
        <w:t xml:space="preserve">prefusion F antigens representing the two </w:t>
      </w:r>
      <w:r w:rsidR="00B96A54" w:rsidRPr="0035358E">
        <w:t xml:space="preserve">major </w:t>
      </w:r>
      <w:r w:rsidR="0029534E" w:rsidRPr="0035358E">
        <w:t>RSV subgroups (RSV-A and RSV-B).</w:t>
      </w:r>
      <w:r w:rsidR="007F4B3B" w:rsidRPr="0035358E">
        <w:t xml:space="preserve"> When administered to pregnant individuals, protection is mediated through transfer of antibodies from mother to infant through the placenta.</w:t>
      </w:r>
    </w:p>
    <w:p w14:paraId="3A30909D" w14:textId="786CB983" w:rsidR="00B1124A" w:rsidRPr="0035358E" w:rsidRDefault="00B1124A" w:rsidP="00DD4B2C">
      <w:pPr>
        <w:pStyle w:val="3-BodyText"/>
      </w:pPr>
      <w:r w:rsidRPr="0035358E">
        <w:t>The PBAC considered the nomination of “</w:t>
      </w:r>
      <w:r w:rsidR="001D1E91" w:rsidRPr="0035358E">
        <w:t>n</w:t>
      </w:r>
      <w:r w:rsidRPr="0035358E">
        <w:t xml:space="preserve">o vaccine” as </w:t>
      </w:r>
      <w:r w:rsidR="001D1E91" w:rsidRPr="0035358E">
        <w:t xml:space="preserve">the </w:t>
      </w:r>
      <w:r w:rsidRPr="0035358E">
        <w:t>main comparator was appropriate</w:t>
      </w:r>
      <w:r w:rsidR="00C93F78" w:rsidRPr="0035358E">
        <w:t xml:space="preserve">. </w:t>
      </w:r>
      <w:r w:rsidRPr="0035358E">
        <w:t xml:space="preserve">It was also noted that nirsevimab is a mAb for prevention of RSV-associated LRTI that received TGA approval in November 2023, and the PBAC considered that nirsevimab should be considered a near market comparator. </w:t>
      </w:r>
      <w:r w:rsidR="00D65A28">
        <w:t xml:space="preserve">The PBAC considered that the </w:t>
      </w:r>
      <w:r w:rsidR="00D65A28" w:rsidRPr="00D65A28">
        <w:t xml:space="preserve">recommendations for use </w:t>
      </w:r>
      <w:r w:rsidR="00D65A28">
        <w:t>of</w:t>
      </w:r>
      <w:r w:rsidR="00D65A28" w:rsidRPr="00D65A28">
        <w:t xml:space="preserve"> either RSVpreF or nirsevimab, or both, </w:t>
      </w:r>
      <w:r w:rsidR="00D65A28">
        <w:t xml:space="preserve">for </w:t>
      </w:r>
      <w:r w:rsidR="00D65A28" w:rsidRPr="00D65A28">
        <w:t>preventi</w:t>
      </w:r>
      <w:r w:rsidR="00D65A28">
        <w:t>on of</w:t>
      </w:r>
      <w:r w:rsidR="00D65A28" w:rsidRPr="00D65A28">
        <w:t xml:space="preserve"> RSV in </w:t>
      </w:r>
      <w:r w:rsidR="00D65A28">
        <w:t>infants</w:t>
      </w:r>
      <w:r w:rsidR="00D65A28" w:rsidRPr="00D65A28">
        <w:t xml:space="preserve"> </w:t>
      </w:r>
      <w:r w:rsidR="00D65A28">
        <w:t>require</w:t>
      </w:r>
      <w:r w:rsidR="00D65A28" w:rsidRPr="00D65A28">
        <w:t xml:space="preserve"> further consideration.</w:t>
      </w:r>
    </w:p>
    <w:p w14:paraId="6D2D3D4D" w14:textId="3E1011CC" w:rsidR="00DB24CC" w:rsidRDefault="00292FEF" w:rsidP="00292FEF">
      <w:pPr>
        <w:widowControl w:val="0"/>
        <w:numPr>
          <w:ilvl w:val="1"/>
          <w:numId w:val="1"/>
        </w:numPr>
        <w:spacing w:after="120"/>
        <w:ind w:left="720" w:hanging="720"/>
      </w:pPr>
      <w:r w:rsidRPr="0035358E">
        <w:rPr>
          <w:rFonts w:asciiTheme="minorHAnsi" w:hAnsiTheme="minorHAnsi"/>
          <w:snapToGrid w:val="0"/>
        </w:rPr>
        <w:t>The PBAC noted t</w:t>
      </w:r>
      <w:r w:rsidRPr="0035358E">
        <w:t>he proposed place in therapy for RSVpreF is as a vaccination given during the third trimester of pregnancy to prevent LRTI in infants during the first 6</w:t>
      </w:r>
      <w:r w:rsidR="00AF2564">
        <w:t> </w:t>
      </w:r>
      <w:r w:rsidRPr="0035358E">
        <w:t>months of life</w:t>
      </w:r>
      <w:r w:rsidR="00C93F78" w:rsidRPr="0035358E">
        <w:t xml:space="preserve">. </w:t>
      </w:r>
      <w:r w:rsidRPr="0035358E">
        <w:t>The PBAC considered this was appropriate, with some minor adjustments to reflect ATAGI’s advice regarding the timing of administration in relation to gestational age (see paragraph</w:t>
      </w:r>
      <w:r w:rsidR="000D2263" w:rsidRPr="0035358E">
        <w:t xml:space="preserve"> </w:t>
      </w:r>
      <w:r w:rsidR="00F0666C" w:rsidRPr="0035358E">
        <w:fldChar w:fldCharType="begin"/>
      </w:r>
      <w:r w:rsidR="00F0666C" w:rsidRPr="0035358E">
        <w:instrText xml:space="preserve"> REF _Ref164144775 \r \h </w:instrText>
      </w:r>
      <w:r w:rsidR="00F0666C" w:rsidRPr="0035358E">
        <w:fldChar w:fldCharType="separate"/>
      </w:r>
      <w:r w:rsidR="00A46CAC">
        <w:t>7.9</w:t>
      </w:r>
      <w:r w:rsidR="00F0666C" w:rsidRPr="0035358E">
        <w:fldChar w:fldCharType="end"/>
      </w:r>
      <w:r w:rsidR="000D2263" w:rsidRPr="0035358E">
        <w:t>)</w:t>
      </w:r>
      <w:r w:rsidR="00C93F78" w:rsidRPr="0035358E">
        <w:t>.</w:t>
      </w:r>
    </w:p>
    <w:p w14:paraId="2B25BABB" w14:textId="560DDEE8" w:rsidR="00B379E5" w:rsidRPr="0035358E" w:rsidRDefault="00B379E5" w:rsidP="00B379E5">
      <w:pPr>
        <w:widowControl w:val="0"/>
        <w:numPr>
          <w:ilvl w:val="1"/>
          <w:numId w:val="1"/>
        </w:numPr>
        <w:spacing w:after="120"/>
        <w:ind w:left="720" w:hanging="720"/>
      </w:pPr>
      <w:bookmarkStart w:id="111" w:name="_Ref163658502"/>
      <w:r w:rsidRPr="0035358E">
        <w:rPr>
          <w:bCs/>
        </w:rPr>
        <w:t>The PBAC noted that some infants are at an increased risk of severe RSV complications, including First Nations infants, infants with weakened immune systems, premature babies, and those with chronic lung or heart conditions</w:t>
      </w:r>
      <w:r w:rsidR="00C93F78" w:rsidRPr="0035358E">
        <w:rPr>
          <w:bCs/>
        </w:rPr>
        <w:t xml:space="preserve">. </w:t>
      </w:r>
      <w:r w:rsidRPr="0035358E">
        <w:rPr>
          <w:bCs/>
        </w:rPr>
        <w:t>In addition, the outcomes for infants with RSV infections could be worse for those living in remote or regional areas, especially those requiring extended travel times to access medical care.</w:t>
      </w:r>
      <w:r w:rsidRPr="0035358E">
        <w:t xml:space="preserve"> While some high-risk pregnancies and high-risk infants can be identified before birth, the majority of risk factors for RSV-related disease cannot be identified until after birth.</w:t>
      </w:r>
    </w:p>
    <w:p w14:paraId="77CEAA5C" w14:textId="0DD83BB0" w:rsidR="001505F9" w:rsidRPr="0035358E" w:rsidRDefault="007F4B3B" w:rsidP="00DD4B2C">
      <w:pPr>
        <w:pStyle w:val="3-BodyText"/>
      </w:pPr>
      <w:bookmarkStart w:id="112" w:name="_Ref164144775"/>
      <w:r w:rsidRPr="0035358E">
        <w:t>The PBAC noted that ATAGI recommended vaccine administration from 28 weeks gestation, rather than 24 weeks as proposed by the submission, while awaiting further data regarding the risk of preterm birth</w:t>
      </w:r>
      <w:r w:rsidR="00C93F78" w:rsidRPr="0035358E">
        <w:t xml:space="preserve">. </w:t>
      </w:r>
      <w:r w:rsidRPr="0035358E">
        <w:t xml:space="preserve">The </w:t>
      </w:r>
      <w:r w:rsidR="001505F9" w:rsidRPr="0035358E">
        <w:t xml:space="preserve">PBAC </w:t>
      </w:r>
      <w:r w:rsidR="00A5372C" w:rsidRPr="0035358E">
        <w:t>noted</w:t>
      </w:r>
      <w:r w:rsidR="00EC332B" w:rsidRPr="0035358E">
        <w:t xml:space="preserve"> that</w:t>
      </w:r>
      <w:r w:rsidRPr="0035358E">
        <w:t xml:space="preserve"> </w:t>
      </w:r>
      <w:r w:rsidR="00292FEF" w:rsidRPr="0035358E">
        <w:t>RSVpreF</w:t>
      </w:r>
      <w:r w:rsidR="001505F9" w:rsidRPr="0035358E">
        <w:t xml:space="preserve"> should </w:t>
      </w:r>
      <w:r w:rsidR="00A5372C" w:rsidRPr="0035358E">
        <w:t xml:space="preserve">ideally </w:t>
      </w:r>
      <w:r w:rsidR="001505F9" w:rsidRPr="0035358E">
        <w:lastRenderedPageBreak/>
        <w:t xml:space="preserve">be given from 28 to 36 weeks gestation, but administration after 36 weeks </w:t>
      </w:r>
      <w:r w:rsidRPr="0035358E">
        <w:t>wa</w:t>
      </w:r>
      <w:r w:rsidR="001505F9" w:rsidRPr="0035358E">
        <w:t>s acceptable.</w:t>
      </w:r>
      <w:bookmarkEnd w:id="111"/>
      <w:bookmarkEnd w:id="112"/>
    </w:p>
    <w:p w14:paraId="1155501D" w14:textId="2AC86057" w:rsidR="003C0DCB" w:rsidRPr="0035358E" w:rsidRDefault="00EC332B" w:rsidP="00DD4B2C">
      <w:pPr>
        <w:pStyle w:val="3-BodyText"/>
      </w:pPr>
      <w:r w:rsidRPr="0035358E">
        <w:t>The PBAC noted evidence that c</w:t>
      </w:r>
      <w:r w:rsidR="007208C1" w:rsidRPr="0035358E">
        <w:t>o-administration of RSVpreF with diphtheria-tetanus-acellular pertussis vaccine (dTpa) resulted in a reduction in anti-pertussis antibodies in non-pregnant women. The clinical significance of this interaction is uncertain but ha</w:t>
      </w:r>
      <w:r w:rsidRPr="0035358E">
        <w:t>d</w:t>
      </w:r>
      <w:r w:rsidR="007208C1" w:rsidRPr="0035358E">
        <w:t xml:space="preserve"> informed the </w:t>
      </w:r>
      <w:r w:rsidRPr="0035358E">
        <w:t>s</w:t>
      </w:r>
      <w:r w:rsidR="007208C1" w:rsidRPr="0035358E">
        <w:t>ponsor’s position that RSVpreF should be administered in isolation.</w:t>
      </w:r>
      <w:r w:rsidR="00292FEF" w:rsidRPr="0035358E">
        <w:t xml:space="preserve"> The PBAC </w:t>
      </w:r>
      <w:r w:rsidR="00A5372C" w:rsidRPr="0035358E">
        <w:t>noted</w:t>
      </w:r>
      <w:r w:rsidR="00292FEF" w:rsidRPr="0035358E">
        <w:t xml:space="preserve"> that</w:t>
      </w:r>
      <w:r w:rsidR="007208C1" w:rsidRPr="0035358E">
        <w:t xml:space="preserve"> co-administration was </w:t>
      </w:r>
      <w:r w:rsidR="00A5372C" w:rsidRPr="0035358E">
        <w:t xml:space="preserve">acceptable when </w:t>
      </w:r>
      <w:r w:rsidR="007208C1" w:rsidRPr="0035358E">
        <w:t>considered necessary</w:t>
      </w:r>
      <w:r w:rsidR="00292FEF" w:rsidRPr="0035358E">
        <w:t>, e.g.</w:t>
      </w:r>
      <w:r w:rsidR="007208C1" w:rsidRPr="0035358E">
        <w:t xml:space="preserve"> </w:t>
      </w:r>
      <w:r w:rsidR="00292FEF" w:rsidRPr="0035358E">
        <w:t xml:space="preserve">due to </w:t>
      </w:r>
      <w:r w:rsidR="007208C1" w:rsidRPr="0035358E">
        <w:t>insufficient time or a lack of opportunity to separate vaccines.</w:t>
      </w:r>
    </w:p>
    <w:p w14:paraId="66622B9F" w14:textId="3173C5E1" w:rsidR="00E30439" w:rsidRPr="0035358E" w:rsidRDefault="00E30439" w:rsidP="00E30439">
      <w:pPr>
        <w:widowControl w:val="0"/>
        <w:numPr>
          <w:ilvl w:val="1"/>
          <w:numId w:val="1"/>
        </w:numPr>
        <w:spacing w:after="120"/>
        <w:ind w:left="720" w:hanging="720"/>
      </w:pPr>
      <w:bookmarkStart w:id="113" w:name="_Ref163738019"/>
      <w:r w:rsidRPr="0035358E">
        <w:t>The PBAC noted the ATAGI advice that repeat dosing with each pregnancy is anticipated, but</w:t>
      </w:r>
      <w:r w:rsidR="00F0666C" w:rsidRPr="0035358E">
        <w:t xml:space="preserve"> it had not yet made </w:t>
      </w:r>
      <w:r w:rsidRPr="0035358E">
        <w:t xml:space="preserve">a final decision (paragraph </w:t>
      </w:r>
      <w:r w:rsidRPr="0035358E">
        <w:fldChar w:fldCharType="begin"/>
      </w:r>
      <w:r w:rsidRPr="0035358E">
        <w:instrText xml:space="preserve"> REF _Ref163128766 \r \h  \* MERGEFORMAT </w:instrText>
      </w:r>
      <w:r w:rsidRPr="0035358E">
        <w:fldChar w:fldCharType="separate"/>
      </w:r>
      <w:r w:rsidR="00A46CAC">
        <w:t>3.7</w:t>
      </w:r>
      <w:r w:rsidRPr="0035358E">
        <w:fldChar w:fldCharType="end"/>
      </w:r>
      <w:r w:rsidRPr="0035358E">
        <w:t>)</w:t>
      </w:r>
      <w:r w:rsidR="00C93F78" w:rsidRPr="0035358E">
        <w:t xml:space="preserve">. </w:t>
      </w:r>
      <w:r w:rsidRPr="0035358E">
        <w:t>The PBAC noted that the submitted economic model</w:t>
      </w:r>
      <w:r w:rsidR="00A46DB0" w:rsidRPr="0035358E">
        <w:t xml:space="preserve"> and financial estimates</w:t>
      </w:r>
      <w:r w:rsidRPr="0035358E">
        <w:t xml:space="preserve"> </w:t>
      </w:r>
      <w:r w:rsidR="00A46DB0" w:rsidRPr="0035358E">
        <w:t>were</w:t>
      </w:r>
      <w:r w:rsidRPr="0035358E">
        <w:t xml:space="preserve"> consistent with ATAGI’s advice </w:t>
      </w:r>
      <w:r w:rsidR="00A46DB0" w:rsidRPr="0035358E">
        <w:t>to</w:t>
      </w:r>
      <w:r w:rsidRPr="0035358E">
        <w:t xml:space="preserve"> assume </w:t>
      </w:r>
      <w:r w:rsidR="00A46DB0" w:rsidRPr="0035358E">
        <w:t xml:space="preserve">that </w:t>
      </w:r>
      <w:r w:rsidRPr="0035358E">
        <w:t>revaccination would occur in each pregnancy</w:t>
      </w:r>
      <w:r w:rsidR="00C93F78" w:rsidRPr="0035358E">
        <w:t xml:space="preserve">. </w:t>
      </w:r>
      <w:r w:rsidRPr="0035358E">
        <w:t>The PBAC noted ATAGI’s intention to review additional data when available and include the relevant recommendation in the Australian Immunisation Handbook when appropriate.</w:t>
      </w:r>
      <w:bookmarkEnd w:id="113"/>
    </w:p>
    <w:p w14:paraId="53A04319" w14:textId="57CE0A02" w:rsidR="004F7DBA" w:rsidRPr="0035358E" w:rsidRDefault="00660847" w:rsidP="00DD4B2C">
      <w:pPr>
        <w:pStyle w:val="3-BodyText"/>
      </w:pPr>
      <w:r w:rsidRPr="0035358E">
        <w:t>The primary clinical evidence was drawn from one head-to-head trial (MATISSE) comparing RSVpreF to placebo (n=7,392)</w:t>
      </w:r>
      <w:r w:rsidR="00C93F78" w:rsidRPr="0035358E">
        <w:t xml:space="preserve">. </w:t>
      </w:r>
      <w:r w:rsidRPr="0035358E">
        <w:t>MATISSE was a phase 3, double-blind trial that evaluated the efficacy and safety of maternal RSVpreF immuni</w:t>
      </w:r>
      <w:r w:rsidR="00F2067A" w:rsidRPr="0035358E">
        <w:t>s</w:t>
      </w:r>
      <w:r w:rsidRPr="0035358E">
        <w:t xml:space="preserve">ation against RSV-associated </w:t>
      </w:r>
      <w:r w:rsidR="006D0FBB" w:rsidRPr="0035358E">
        <w:t xml:space="preserve">MA-LRTI </w:t>
      </w:r>
      <w:r w:rsidRPr="0035358E">
        <w:t>in infants. Eligible participants were healthy women aged 49 years of age or younger, at 24 through 36 weeks gestation on the day of injection, with an uncomplicated, singleton pregnancy and no known increased risk of pregnancy complications</w:t>
      </w:r>
      <w:r w:rsidR="00C93F78" w:rsidRPr="0035358E">
        <w:t xml:space="preserve">. </w:t>
      </w:r>
      <w:r w:rsidR="007450A1" w:rsidRPr="0035358E">
        <w:t>Two supporting studies were also included, SAVVY and Study 1004</w:t>
      </w:r>
      <w:r w:rsidR="00C93F78" w:rsidRPr="0035358E">
        <w:t xml:space="preserve">. </w:t>
      </w:r>
      <w:r w:rsidR="007450A1" w:rsidRPr="0035358E">
        <w:t>The SAVVY trial was a randomised, placebo-controlled phase 2b study (n=581), which assessed rates of RSV-associated LRTI among infants as an exploratory endpoint</w:t>
      </w:r>
      <w:r w:rsidR="00C93F78" w:rsidRPr="0035358E">
        <w:t xml:space="preserve">. </w:t>
      </w:r>
      <w:r w:rsidR="007450A1" w:rsidRPr="0035358E">
        <w:t>The SAVVY trial also provided data on the immunogenicity of RSVpreF to support the clinical claim. Study 1004 was designed to assess co-administration of RSVpreF with dTpa in non-pregnant women.</w:t>
      </w:r>
    </w:p>
    <w:p w14:paraId="0865F265" w14:textId="3E88A81B" w:rsidR="004A02E3" w:rsidRPr="0035358E" w:rsidRDefault="004A02E3" w:rsidP="00DD4B2C">
      <w:pPr>
        <w:pStyle w:val="3-BodyText"/>
      </w:pPr>
      <w:r w:rsidRPr="0035358E">
        <w:t xml:space="preserve">The PBAC noted that immunogenicity data from the SAVVY trial demonstrated the generation of robust neutralising titres to RSV-A and RSV-B following RSVpreF injection, in participants and their infants (see paragraphs </w:t>
      </w:r>
      <w:r w:rsidRPr="0035358E">
        <w:fldChar w:fldCharType="begin"/>
      </w:r>
      <w:r w:rsidRPr="0035358E">
        <w:instrText xml:space="preserve"> REF _Ref163128383 \r \h </w:instrText>
      </w:r>
      <w:r w:rsidRPr="0035358E">
        <w:fldChar w:fldCharType="separate"/>
      </w:r>
      <w:r w:rsidR="00A46CAC">
        <w:t>6.26</w:t>
      </w:r>
      <w:r w:rsidRPr="0035358E">
        <w:fldChar w:fldCharType="end"/>
      </w:r>
      <w:r w:rsidRPr="0035358E">
        <w:t xml:space="preserve"> and </w:t>
      </w:r>
      <w:r w:rsidRPr="0035358E">
        <w:fldChar w:fldCharType="begin"/>
      </w:r>
      <w:r w:rsidRPr="0035358E">
        <w:instrText xml:space="preserve"> REF _Ref163128388 \r \h </w:instrText>
      </w:r>
      <w:r w:rsidRPr="0035358E">
        <w:fldChar w:fldCharType="separate"/>
      </w:r>
      <w:r w:rsidR="00A46CAC">
        <w:t>6.27</w:t>
      </w:r>
      <w:r w:rsidRPr="0035358E">
        <w:fldChar w:fldCharType="end"/>
      </w:r>
      <w:r w:rsidRPr="0035358E">
        <w:t>).</w:t>
      </w:r>
    </w:p>
    <w:p w14:paraId="125E5158" w14:textId="79EB3754" w:rsidR="00FE30A4" w:rsidRPr="0035358E" w:rsidRDefault="00FE30A4" w:rsidP="00DD4B2C">
      <w:pPr>
        <w:pStyle w:val="3-BodyText"/>
      </w:pPr>
      <w:bookmarkStart w:id="114" w:name="_Hlk163161919"/>
      <w:r w:rsidRPr="0035358E">
        <w:t>The PBAC considered that RSVpreF was superior in terms of effectiveness compared to placebo on the basis of the RSV-positive MA-LRTI and RSV-positive severe MA-LRTI endpoints in the MATISSE trial (</w:t>
      </w:r>
      <w:r w:rsidRPr="0035358E">
        <w:fldChar w:fldCharType="begin"/>
      </w:r>
      <w:r w:rsidRPr="0035358E">
        <w:instrText xml:space="preserve"> REF _Ref152040019 \h </w:instrText>
      </w:r>
      <w:r w:rsidRPr="0035358E">
        <w:fldChar w:fldCharType="separate"/>
      </w:r>
      <w:r w:rsidR="00A46CAC" w:rsidRPr="0035358E">
        <w:t xml:space="preserve">Table </w:t>
      </w:r>
      <w:r w:rsidR="00A46CAC">
        <w:rPr>
          <w:noProof/>
        </w:rPr>
        <w:t>4</w:t>
      </w:r>
      <w:r w:rsidRPr="0035358E">
        <w:fldChar w:fldCharType="end"/>
      </w:r>
      <w:r w:rsidRPr="0035358E">
        <w:t xml:space="preserve">, </w:t>
      </w:r>
      <w:r w:rsidRPr="0035358E">
        <w:fldChar w:fldCharType="begin"/>
      </w:r>
      <w:r w:rsidRPr="0035358E">
        <w:instrText xml:space="preserve"> REF _Ref152040231 \h </w:instrText>
      </w:r>
      <w:r w:rsidRPr="0035358E">
        <w:fldChar w:fldCharType="separate"/>
      </w:r>
      <w:r w:rsidR="00A46CAC" w:rsidRPr="0035358E">
        <w:t xml:space="preserve">Table </w:t>
      </w:r>
      <w:r w:rsidR="00A46CAC">
        <w:rPr>
          <w:noProof/>
        </w:rPr>
        <w:t>6</w:t>
      </w:r>
      <w:r w:rsidRPr="0035358E">
        <w:fldChar w:fldCharType="end"/>
      </w:r>
      <w:r w:rsidRPr="0035358E">
        <w:t>)</w:t>
      </w:r>
      <w:r w:rsidR="00C93F78" w:rsidRPr="0035358E">
        <w:t>.</w:t>
      </w:r>
      <w:r w:rsidRPr="0035358E">
        <w:t xml:space="preserve"> </w:t>
      </w:r>
      <w:bookmarkEnd w:id="114"/>
      <w:r w:rsidRPr="0035358E">
        <w:t>Based on the results of the primary analysis</w:t>
      </w:r>
      <w:r w:rsidR="006D0FBB" w:rsidRPr="0035358E">
        <w:t xml:space="preserve"> (provided in the submission)</w:t>
      </w:r>
      <w:r w:rsidRPr="0035358E">
        <w:t xml:space="preserve">, administration of RSVpreF to pregnant women resulted in significant reductions in RSV-positive MA-LRTI and RSV-positive severe MA-LRTI, in infants up to 180 days after birth, with a </w:t>
      </w:r>
      <w:r w:rsidR="001E526C" w:rsidRPr="0035358E">
        <w:t>vaccine efficacy (</w:t>
      </w:r>
      <w:r w:rsidRPr="0035358E">
        <w:t>VE</w:t>
      </w:r>
      <w:r w:rsidR="001E526C" w:rsidRPr="0035358E">
        <w:t>)</w:t>
      </w:r>
      <w:r w:rsidRPr="0035358E">
        <w:t xml:space="preserve"> of 51.3%, and 69.4%, respectively</w:t>
      </w:r>
      <w:r w:rsidR="00C93F78" w:rsidRPr="0035358E">
        <w:t xml:space="preserve">. </w:t>
      </w:r>
      <w:r w:rsidRPr="0035358E">
        <w:t>The results of the final analysis, reported in the pre-PBAC response, were similar, with a VE of 49.2%, and 70.0%, respectively</w:t>
      </w:r>
      <w:r w:rsidR="00AD504A" w:rsidRPr="0035358E">
        <w:t xml:space="preserve"> at six months post birth</w:t>
      </w:r>
      <w:r w:rsidRPr="0035358E">
        <w:t>.</w:t>
      </w:r>
    </w:p>
    <w:p w14:paraId="2F1C3AAC" w14:textId="5E8AA537" w:rsidR="00DB24CC" w:rsidRDefault="005105A0" w:rsidP="00DD4B2C">
      <w:pPr>
        <w:pStyle w:val="3-BodyText"/>
      </w:pPr>
      <w:bookmarkStart w:id="115" w:name="_Ref163732732"/>
      <w:r w:rsidRPr="0035358E">
        <w:t xml:space="preserve">The PBAC noted that the PSCR and pre-PBAC response provided data for the subgroup vaccinated from 28 weeks to &lt;37 weeks gestation, however the magnitude of effect </w:t>
      </w:r>
      <w:r w:rsidRPr="0035358E">
        <w:lastRenderedPageBreak/>
        <w:t xml:space="preserve">in the subgroup was less certain due to the relatively small number of cases of RSV-positive MA-LRTI and RSV-positive severe MA-LRTI in the subgroup, in comparison with the overall analysis (see </w:t>
      </w:r>
      <w:r w:rsidRPr="0035358E">
        <w:fldChar w:fldCharType="begin"/>
      </w:r>
      <w:r w:rsidRPr="0035358E">
        <w:instrText xml:space="preserve"> REF _Ref159652766 \h </w:instrText>
      </w:r>
      <w:r w:rsidRPr="0035358E">
        <w:fldChar w:fldCharType="separate"/>
      </w:r>
      <w:r w:rsidR="00A46CAC" w:rsidRPr="0035358E">
        <w:t xml:space="preserve">Table </w:t>
      </w:r>
      <w:r w:rsidR="00A46CAC">
        <w:rPr>
          <w:noProof/>
        </w:rPr>
        <w:t>5</w:t>
      </w:r>
      <w:r w:rsidRPr="0035358E">
        <w:fldChar w:fldCharType="end"/>
      </w:r>
      <w:r w:rsidRPr="0035358E">
        <w:t xml:space="preserve"> and </w:t>
      </w:r>
      <w:r w:rsidRPr="0035358E">
        <w:fldChar w:fldCharType="begin"/>
      </w:r>
      <w:r w:rsidRPr="0035358E">
        <w:instrText xml:space="preserve"> REF _Ref159653342 \h </w:instrText>
      </w:r>
      <w:r w:rsidRPr="0035358E">
        <w:fldChar w:fldCharType="separate"/>
      </w:r>
      <w:r w:rsidR="00A46CAC" w:rsidRPr="0035358E">
        <w:t xml:space="preserve">Table </w:t>
      </w:r>
      <w:r w:rsidR="00A46CAC">
        <w:rPr>
          <w:noProof/>
        </w:rPr>
        <w:t>7</w:t>
      </w:r>
      <w:r w:rsidRPr="0035358E">
        <w:fldChar w:fldCharType="end"/>
      </w:r>
      <w:r w:rsidRPr="0035358E">
        <w:t>).</w:t>
      </w:r>
      <w:bookmarkEnd w:id="115"/>
      <w:r w:rsidRPr="0035358E">
        <w:t xml:space="preserve"> </w:t>
      </w:r>
      <w:r w:rsidR="006D0FBB" w:rsidRPr="0035358E">
        <w:t xml:space="preserve">Additionally, the PBAC noted this data had not been evaluated and no information was provided to support the use of outcomes from a subgroup of the whole trial population </w:t>
      </w:r>
      <w:r w:rsidR="00EE5844" w:rsidRPr="0035358E">
        <w:t xml:space="preserve">to determine the magnitude of benefit </w:t>
      </w:r>
      <w:r w:rsidR="006D0FBB" w:rsidRPr="0035358E">
        <w:t>(as outlined in Section 2.6.1 of the PBAC Guidelines).</w:t>
      </w:r>
    </w:p>
    <w:p w14:paraId="08D1AA8F" w14:textId="2A55DF32" w:rsidR="00770028" w:rsidRPr="0035358E" w:rsidRDefault="00EE6ED1" w:rsidP="00450C52">
      <w:pPr>
        <w:widowControl w:val="0"/>
        <w:numPr>
          <w:ilvl w:val="1"/>
          <w:numId w:val="1"/>
        </w:numPr>
        <w:spacing w:after="120"/>
        <w:ind w:left="720" w:hanging="720"/>
        <w:rPr>
          <w:rFonts w:asciiTheme="minorHAnsi" w:hAnsiTheme="minorHAnsi"/>
          <w:snapToGrid w:val="0"/>
        </w:rPr>
      </w:pPr>
      <w:r w:rsidRPr="0035358E">
        <w:t>The PBAC considered that RSVpreF was inferior in terms of safety compared to placebo</w:t>
      </w:r>
      <w:r w:rsidR="00C93F78" w:rsidRPr="0035358E">
        <w:t xml:space="preserve">. </w:t>
      </w:r>
      <w:r w:rsidRPr="0035358E">
        <w:rPr>
          <w:rFonts w:eastAsia="Calibri"/>
        </w:rPr>
        <w:t xml:space="preserve">The PBAC noted that maternal RSVpreF recipients experienced local reactions more frequently (42.5%) compared with placebo recipients (10.4%). Maternal participants who received RSVpreF were more likely to experience pain at the injection site, and muscle pain when compared with participants who received a placebo injection </w:t>
      </w:r>
      <w:r w:rsidRPr="0035358E">
        <w:rPr>
          <w:iCs/>
        </w:rPr>
        <w:t>(40.6% vs 10.1%, and 26.5% vs 17.1%, respectively). The PBAC also noted in the RSVpreF arm of MATISSE, there were numerically higher rates of premature births (RSVpreF = 5.7% vs. placebo = 4.7%) and low birthweight</w:t>
      </w:r>
      <w:r w:rsidR="006D0FBB" w:rsidRPr="0035358E">
        <w:rPr>
          <w:iCs/>
        </w:rPr>
        <w:t xml:space="preserve"> infants</w:t>
      </w:r>
      <w:r w:rsidRPr="0035358E">
        <w:rPr>
          <w:iCs/>
        </w:rPr>
        <w:t xml:space="preserve"> (RSVpreF = 5.1% vs. placebo=4.3%). </w:t>
      </w:r>
      <w:r w:rsidR="00770028" w:rsidRPr="0035358E">
        <w:rPr>
          <w:iCs/>
        </w:rPr>
        <w:t xml:space="preserve">The PBAC noted that </w:t>
      </w:r>
      <w:r w:rsidR="00770028" w:rsidRPr="0035358E">
        <w:t xml:space="preserve">the ATAGI was awaiting further data regarding the risk of preterm birth (see paragraph </w:t>
      </w:r>
      <w:r w:rsidR="00F0666C" w:rsidRPr="0035358E">
        <w:fldChar w:fldCharType="begin"/>
      </w:r>
      <w:r w:rsidR="00F0666C" w:rsidRPr="0035358E">
        <w:instrText xml:space="preserve"> REF _Ref164144775 \r \h </w:instrText>
      </w:r>
      <w:r w:rsidR="00F0666C" w:rsidRPr="0035358E">
        <w:fldChar w:fldCharType="separate"/>
      </w:r>
      <w:r w:rsidR="00A46CAC">
        <w:t>7.9</w:t>
      </w:r>
      <w:r w:rsidR="00F0666C" w:rsidRPr="0035358E">
        <w:fldChar w:fldCharType="end"/>
      </w:r>
      <w:r w:rsidR="00770028" w:rsidRPr="0035358E">
        <w:t>).</w:t>
      </w:r>
    </w:p>
    <w:p w14:paraId="072E2031" w14:textId="4BD835EA" w:rsidR="00DB24CC" w:rsidRDefault="008819B7" w:rsidP="00DD4B2C">
      <w:pPr>
        <w:pStyle w:val="3-BodyText"/>
      </w:pPr>
      <w:bookmarkStart w:id="116" w:name="_Ref163738355"/>
      <w:r w:rsidRPr="0035358E">
        <w:t xml:space="preserve">The PBAC noted that the pre-PBAC response presented </w:t>
      </w:r>
      <w:r w:rsidR="00141E8E" w:rsidRPr="0035358E">
        <w:t>some</w:t>
      </w:r>
      <w:r w:rsidRPr="0035358E">
        <w:t xml:space="preserve"> results from the final analysis of the MATISSE trial, corresponding to a data cut-off date of October 2023 (see paragraph </w:t>
      </w:r>
      <w:r w:rsidRPr="0035358E">
        <w:fldChar w:fldCharType="begin"/>
      </w:r>
      <w:r w:rsidRPr="0035358E">
        <w:instrText xml:space="preserve"> REF _Ref163593559 \r \h </w:instrText>
      </w:r>
      <w:r w:rsidRPr="0035358E">
        <w:fldChar w:fldCharType="separate"/>
      </w:r>
      <w:r w:rsidR="00A46CAC">
        <w:t>6.10</w:t>
      </w:r>
      <w:r w:rsidRPr="0035358E">
        <w:fldChar w:fldCharType="end"/>
      </w:r>
      <w:r w:rsidRPr="0035358E">
        <w:t>)</w:t>
      </w:r>
      <w:r w:rsidR="00C93F78" w:rsidRPr="0035358E">
        <w:t xml:space="preserve">. </w:t>
      </w:r>
      <w:r w:rsidR="00F0666C" w:rsidRPr="0035358E">
        <w:t xml:space="preserve">The results included </w:t>
      </w:r>
      <w:r w:rsidR="006D0FBB" w:rsidRPr="0035358E">
        <w:t>RSV</w:t>
      </w:r>
      <w:r w:rsidR="006D0FBB" w:rsidRPr="0035358E">
        <w:noBreakHyphen/>
        <w:t xml:space="preserve">positive MA-LRTI, </w:t>
      </w:r>
      <w:r w:rsidR="00F0666C" w:rsidRPr="0035358E">
        <w:t>RSV-positive severe MA-LRTI, and hospitalisations due to RSV.</w:t>
      </w:r>
      <w:r w:rsidR="00C63E95">
        <w:t xml:space="preserve"> </w:t>
      </w:r>
      <w:r w:rsidR="006D0FBB" w:rsidRPr="0035358E">
        <w:t>This data was not evaluated and s</w:t>
      </w:r>
      <w:r w:rsidRPr="0035358E">
        <w:t xml:space="preserve">ome of the results </w:t>
      </w:r>
      <w:r w:rsidR="001F5BA8" w:rsidRPr="0035358E">
        <w:t xml:space="preserve">in the pre-PBAC response </w:t>
      </w:r>
      <w:r w:rsidRPr="0035358E">
        <w:t>could not be verified as the source data were not provided (</w:t>
      </w:r>
      <w:r w:rsidRPr="0035358E">
        <w:fldChar w:fldCharType="begin"/>
      </w:r>
      <w:r w:rsidRPr="0035358E">
        <w:instrText xml:space="preserve"> REF _Ref159652766 \h </w:instrText>
      </w:r>
      <w:r w:rsidRPr="0035358E">
        <w:fldChar w:fldCharType="separate"/>
      </w:r>
      <w:r w:rsidR="00A46CAC" w:rsidRPr="0035358E">
        <w:t xml:space="preserve">Table </w:t>
      </w:r>
      <w:r w:rsidR="00A46CAC">
        <w:rPr>
          <w:noProof/>
        </w:rPr>
        <w:t>5</w:t>
      </w:r>
      <w:r w:rsidRPr="0035358E">
        <w:fldChar w:fldCharType="end"/>
      </w:r>
      <w:r w:rsidRPr="0035358E">
        <w:t xml:space="preserve">, </w:t>
      </w:r>
      <w:r w:rsidRPr="0035358E">
        <w:fldChar w:fldCharType="begin"/>
      </w:r>
      <w:r w:rsidRPr="0035358E">
        <w:instrText xml:space="preserve"> REF _Ref159653342 \h </w:instrText>
      </w:r>
      <w:r w:rsidRPr="0035358E">
        <w:fldChar w:fldCharType="separate"/>
      </w:r>
      <w:r w:rsidR="00A46CAC" w:rsidRPr="0035358E">
        <w:t xml:space="preserve">Table </w:t>
      </w:r>
      <w:r w:rsidR="00A46CAC">
        <w:rPr>
          <w:noProof/>
        </w:rPr>
        <w:t>7</w:t>
      </w:r>
      <w:r w:rsidRPr="0035358E">
        <w:fldChar w:fldCharType="end"/>
      </w:r>
      <w:r w:rsidRPr="0035358E">
        <w:t xml:space="preserve">, </w:t>
      </w:r>
      <w:r w:rsidRPr="0035358E">
        <w:fldChar w:fldCharType="begin"/>
      </w:r>
      <w:r w:rsidRPr="0035358E">
        <w:instrText xml:space="preserve"> REF _Ref152040529 \h </w:instrText>
      </w:r>
      <w:r w:rsidRPr="0035358E">
        <w:fldChar w:fldCharType="separate"/>
      </w:r>
      <w:r w:rsidR="00A46CAC" w:rsidRPr="0035358E">
        <w:t xml:space="preserve">Table </w:t>
      </w:r>
      <w:r w:rsidR="00A46CAC">
        <w:rPr>
          <w:noProof/>
        </w:rPr>
        <w:t>8</w:t>
      </w:r>
      <w:r w:rsidRPr="0035358E">
        <w:fldChar w:fldCharType="end"/>
      </w:r>
      <w:r w:rsidRPr="0035358E">
        <w:t>).</w:t>
      </w:r>
      <w:bookmarkEnd w:id="116"/>
    </w:p>
    <w:p w14:paraId="7E3FB8C9" w14:textId="77777777" w:rsidR="00DB24CC" w:rsidRDefault="005105A0" w:rsidP="00DD4B2C">
      <w:pPr>
        <w:pStyle w:val="3-BodyText"/>
      </w:pPr>
      <w:r w:rsidRPr="0035358E">
        <w:t xml:space="preserve">The PBAC noted there </w:t>
      </w:r>
      <w:r w:rsidR="00770028" w:rsidRPr="0035358E">
        <w:t>was</w:t>
      </w:r>
      <w:r w:rsidRPr="0035358E">
        <w:t xml:space="preserve"> a lack of evidence on the safety of RSVpreF and its efficacy in preventing RSV in babies born prematurely, in multiple birth pregnancies, and in non</w:t>
      </w:r>
      <w:r w:rsidRPr="0035358E">
        <w:noBreakHyphen/>
        <w:t>healthy pregnancies. These groups include patients who are at high risk of RSV</w:t>
      </w:r>
      <w:r w:rsidRPr="0035358E">
        <w:noBreakHyphen/>
        <w:t>related complications and who would potentially benefit from RSVpreF</w:t>
      </w:r>
      <w:r w:rsidR="00C93F78" w:rsidRPr="0035358E">
        <w:t>.</w:t>
      </w:r>
    </w:p>
    <w:p w14:paraId="75FB7F60" w14:textId="28C2C335" w:rsidR="00770028" w:rsidRPr="0035358E" w:rsidRDefault="00EF43D1" w:rsidP="00964862">
      <w:pPr>
        <w:widowControl w:val="0"/>
        <w:numPr>
          <w:ilvl w:val="1"/>
          <w:numId w:val="1"/>
        </w:numPr>
        <w:spacing w:after="120"/>
        <w:ind w:left="720" w:hanging="720"/>
        <w:rPr>
          <w:rFonts w:asciiTheme="minorHAnsi" w:hAnsiTheme="minorHAnsi"/>
          <w:snapToGrid w:val="0"/>
        </w:rPr>
      </w:pPr>
      <w:r w:rsidRPr="0035358E">
        <w:t xml:space="preserve">The submission presented a cost-utility analysis based on the MATISSE clinical trial. </w:t>
      </w:r>
      <w:r w:rsidR="00770028" w:rsidRPr="0035358E">
        <w:t>T</w:t>
      </w:r>
      <w:r w:rsidRPr="0035358E">
        <w:t xml:space="preserve">he </w:t>
      </w:r>
      <w:r w:rsidR="00770028" w:rsidRPr="0035358E">
        <w:t xml:space="preserve">PBAC noted that the base case ICER </w:t>
      </w:r>
      <w:r w:rsidR="006D0FBB" w:rsidRPr="0035358E">
        <w:t xml:space="preserve">in </w:t>
      </w:r>
      <w:r w:rsidR="00770028" w:rsidRPr="0035358E">
        <w:t xml:space="preserve">the submission </w:t>
      </w:r>
      <w:r w:rsidR="006D0FBB" w:rsidRPr="0035358E">
        <w:t>was $</w:t>
      </w:r>
      <w:r w:rsidR="000F268F" w:rsidRPr="000F268F">
        <w:t>25,000</w:t>
      </w:r>
      <w:r w:rsidR="00AF2564">
        <w:t> </w:t>
      </w:r>
      <w:r w:rsidR="000F268F" w:rsidRPr="000F268F">
        <w:t>to</w:t>
      </w:r>
      <w:r w:rsidR="00AF2564">
        <w:t> </w:t>
      </w:r>
      <w:r w:rsidR="000F268F" w:rsidRPr="000F268F">
        <w:t>&lt;</w:t>
      </w:r>
      <w:r w:rsidR="00AF2564">
        <w:t> </w:t>
      </w:r>
      <w:r w:rsidR="000F268F" w:rsidRPr="000F268F">
        <w:t>$35,000</w:t>
      </w:r>
      <w:r w:rsidR="006D0FBB" w:rsidRPr="0035358E">
        <w:t xml:space="preserve">/QALY; </w:t>
      </w:r>
      <w:r w:rsidR="00770028" w:rsidRPr="0035358E">
        <w:t>however</w:t>
      </w:r>
      <w:r w:rsidR="006D0FBB" w:rsidRPr="0035358E">
        <w:t>,</w:t>
      </w:r>
      <w:r w:rsidR="00770028" w:rsidRPr="0035358E">
        <w:t xml:space="preserve"> considered the results of the </w:t>
      </w:r>
      <w:r w:rsidRPr="0035358E">
        <w:t xml:space="preserve">economic evaluation </w:t>
      </w:r>
      <w:r w:rsidR="00770028" w:rsidRPr="0035358E">
        <w:t xml:space="preserve">uncertain because the model was </w:t>
      </w:r>
      <w:r w:rsidR="003F1FC0" w:rsidRPr="0035358E">
        <w:t xml:space="preserve">highly </w:t>
      </w:r>
      <w:r w:rsidRPr="0035358E">
        <w:t xml:space="preserve">sensitive to </w:t>
      </w:r>
      <w:r w:rsidR="003F1FC0" w:rsidRPr="0035358E">
        <w:t xml:space="preserve">small variations in several </w:t>
      </w:r>
      <w:r w:rsidRPr="0035358E">
        <w:t>inputs</w:t>
      </w:r>
      <w:r w:rsidR="003F1FC0" w:rsidRPr="0035358E">
        <w:t xml:space="preserve"> as</w:t>
      </w:r>
      <w:r w:rsidRPr="0035358E">
        <w:t xml:space="preserve"> </w:t>
      </w:r>
      <w:r w:rsidR="00770028" w:rsidRPr="0035358E">
        <w:t xml:space="preserve">evidenced by sensitivity analyses that </w:t>
      </w:r>
      <w:r w:rsidR="006D0FBB" w:rsidRPr="0035358E">
        <w:t>resulted in</w:t>
      </w:r>
      <w:r w:rsidR="00770028" w:rsidRPr="0035358E">
        <w:t xml:space="preserve"> ICERs </w:t>
      </w:r>
      <w:r w:rsidR="003F1FC0" w:rsidRPr="0035358E">
        <w:t>exceeding $</w:t>
      </w:r>
      <w:r w:rsidR="000F268F" w:rsidRPr="000F268F">
        <w:t>95,000 to &lt; $115,000</w:t>
      </w:r>
      <w:r w:rsidR="003F1FC0" w:rsidRPr="0035358E">
        <w:t xml:space="preserve">/QALY </w:t>
      </w:r>
      <w:r w:rsidR="00770028" w:rsidRPr="0035358E">
        <w:t>(</w:t>
      </w:r>
      <w:r w:rsidR="00770028" w:rsidRPr="0035358E">
        <w:fldChar w:fldCharType="begin"/>
      </w:r>
      <w:r w:rsidR="00770028" w:rsidRPr="0035358E">
        <w:instrText xml:space="preserve"> REF _Ref104804865 \h </w:instrText>
      </w:r>
      <w:r w:rsidR="00770028" w:rsidRPr="0035358E">
        <w:fldChar w:fldCharType="separate"/>
      </w:r>
      <w:r w:rsidR="00A46CAC" w:rsidRPr="0035358E">
        <w:t xml:space="preserve">Table </w:t>
      </w:r>
      <w:r w:rsidR="00A46CAC">
        <w:rPr>
          <w:noProof/>
        </w:rPr>
        <w:t>18</w:t>
      </w:r>
      <w:r w:rsidR="00770028" w:rsidRPr="0035358E">
        <w:fldChar w:fldCharType="end"/>
      </w:r>
      <w:r w:rsidR="00770028" w:rsidRPr="0035358E">
        <w:t>).</w:t>
      </w:r>
    </w:p>
    <w:p w14:paraId="4B9B3152" w14:textId="4F99A4C7" w:rsidR="00DB24CC" w:rsidRDefault="006D0FBB" w:rsidP="00DD4B2C">
      <w:pPr>
        <w:pStyle w:val="3-BodyText"/>
      </w:pPr>
      <w:bookmarkStart w:id="117" w:name="_Ref164194093"/>
      <w:r w:rsidRPr="0035358E">
        <w:t xml:space="preserve">The PBAC noted the multi-variate sensitivity analysis specified by the ESC (as outlined in paragraph </w:t>
      </w:r>
      <w:r w:rsidRPr="0035358E">
        <w:fldChar w:fldCharType="begin"/>
      </w:r>
      <w:r w:rsidRPr="0035358E">
        <w:instrText xml:space="preserve"> REF _Ref159847122 \r \h </w:instrText>
      </w:r>
      <w:r w:rsidRPr="0035358E">
        <w:fldChar w:fldCharType="separate"/>
      </w:r>
      <w:r w:rsidR="00A46CAC">
        <w:t>6.63</w:t>
      </w:r>
      <w:r w:rsidRPr="0035358E">
        <w:fldChar w:fldCharType="end"/>
      </w:r>
      <w:r w:rsidRPr="0035358E">
        <w:t>) that incorporated the following five changes:</w:t>
      </w:r>
      <w:bookmarkEnd w:id="117"/>
    </w:p>
    <w:p w14:paraId="19BAE17A" w14:textId="639E6798" w:rsidR="00DB24CC" w:rsidRDefault="00F43DBC" w:rsidP="00AF2564">
      <w:pPr>
        <w:pStyle w:val="ListParagraph"/>
      </w:pPr>
      <w:r w:rsidRPr="0035358E">
        <w:t>Outpatient attendance cost of $</w:t>
      </w:r>
      <w:r w:rsidRPr="00AF2564">
        <w:t>61.80</w:t>
      </w:r>
      <w:r w:rsidR="006D0FBB" w:rsidRPr="0035358E">
        <w:t xml:space="preserve">: accepted in the pre-PBAC response (paragraph </w:t>
      </w:r>
      <w:r w:rsidR="005744B6" w:rsidRPr="0035358E">
        <w:rPr>
          <w:highlight w:val="yellow"/>
        </w:rPr>
        <w:fldChar w:fldCharType="begin"/>
      </w:r>
      <w:r w:rsidR="005744B6" w:rsidRPr="0035358E">
        <w:instrText xml:space="preserve"> REF _Ref164238813 \r \h </w:instrText>
      </w:r>
      <w:r w:rsidR="005744B6" w:rsidRPr="0035358E">
        <w:rPr>
          <w:highlight w:val="yellow"/>
        </w:rPr>
      </w:r>
      <w:r w:rsidR="005744B6" w:rsidRPr="0035358E">
        <w:rPr>
          <w:highlight w:val="yellow"/>
        </w:rPr>
        <w:fldChar w:fldCharType="separate"/>
      </w:r>
      <w:r w:rsidR="00A46CAC">
        <w:t>6.65</w:t>
      </w:r>
      <w:r w:rsidR="005744B6" w:rsidRPr="0035358E">
        <w:rPr>
          <w:highlight w:val="yellow"/>
        </w:rPr>
        <w:fldChar w:fldCharType="end"/>
      </w:r>
      <w:r w:rsidR="006D0FBB" w:rsidRPr="0035358E">
        <w:t>);</w:t>
      </w:r>
    </w:p>
    <w:p w14:paraId="1C99D859" w14:textId="45C0310F" w:rsidR="00DB24CC" w:rsidRDefault="00F43DBC" w:rsidP="00AF2564">
      <w:pPr>
        <w:pStyle w:val="ListParagraph"/>
      </w:pPr>
      <w:r w:rsidRPr="0035358E">
        <w:t>VE</w:t>
      </w:r>
      <w:r w:rsidR="00124B33" w:rsidRPr="0035358E">
        <w:t xml:space="preserve"> of</w:t>
      </w:r>
      <w:r w:rsidRPr="0035358E">
        <w:t xml:space="preserve"> 33% for hospitalisations, 45% for </w:t>
      </w:r>
      <w:r w:rsidR="00EE5844" w:rsidRPr="0035358E">
        <w:t>emergency department (ED)</w:t>
      </w:r>
      <w:r w:rsidRPr="0035358E">
        <w:t xml:space="preserve"> and outpatient attendance events</w:t>
      </w:r>
      <w:r w:rsidR="006D0FBB" w:rsidRPr="0035358E">
        <w:t xml:space="preserve">: the PBAC agreed with the ESC that assuming VE 33% for hospitalisations, and 45% for ED and outpatient attendance events was appropriate (see paragraph </w:t>
      </w:r>
      <w:r w:rsidR="006D0FBB" w:rsidRPr="0035358E">
        <w:fldChar w:fldCharType="begin"/>
      </w:r>
      <w:r w:rsidR="006D0FBB" w:rsidRPr="0035358E">
        <w:instrText xml:space="preserve"> REF _Ref163737432 \r \h </w:instrText>
      </w:r>
      <w:r w:rsidR="006D0FBB" w:rsidRPr="0035358E">
        <w:fldChar w:fldCharType="separate"/>
      </w:r>
      <w:r w:rsidR="00A46CAC">
        <w:t>6.51</w:t>
      </w:r>
      <w:r w:rsidR="006D0FBB" w:rsidRPr="0035358E">
        <w:fldChar w:fldCharType="end"/>
      </w:r>
      <w:r w:rsidR="006D0FBB" w:rsidRPr="0035358E">
        <w:t>);</w:t>
      </w:r>
    </w:p>
    <w:p w14:paraId="1FD397E2" w14:textId="62832BE4" w:rsidR="00F43DBC" w:rsidRPr="0035358E" w:rsidRDefault="00F43DBC" w:rsidP="00AF2564">
      <w:pPr>
        <w:pStyle w:val="ListParagraph"/>
      </w:pPr>
      <w:r w:rsidRPr="0035358E">
        <w:lastRenderedPageBreak/>
        <w:t>Hospitalisation cost $14,991</w:t>
      </w:r>
      <w:r w:rsidR="006D0FBB" w:rsidRPr="0035358E">
        <w:t xml:space="preserve">: accepted in the pre-PBAC response (paragraph </w:t>
      </w:r>
      <w:r w:rsidR="005744B6" w:rsidRPr="0035358E">
        <w:rPr>
          <w:highlight w:val="yellow"/>
        </w:rPr>
        <w:fldChar w:fldCharType="begin"/>
      </w:r>
      <w:r w:rsidR="005744B6" w:rsidRPr="0035358E">
        <w:instrText xml:space="preserve"> REF _Ref164238813 \r \h </w:instrText>
      </w:r>
      <w:r w:rsidR="005744B6" w:rsidRPr="0035358E">
        <w:rPr>
          <w:highlight w:val="yellow"/>
        </w:rPr>
      </w:r>
      <w:r w:rsidR="005744B6" w:rsidRPr="0035358E">
        <w:rPr>
          <w:highlight w:val="yellow"/>
        </w:rPr>
        <w:fldChar w:fldCharType="separate"/>
      </w:r>
      <w:r w:rsidR="00A46CAC">
        <w:t>6.65</w:t>
      </w:r>
      <w:r w:rsidR="005744B6" w:rsidRPr="0035358E">
        <w:rPr>
          <w:highlight w:val="yellow"/>
        </w:rPr>
        <w:fldChar w:fldCharType="end"/>
      </w:r>
      <w:r w:rsidR="006D0FBB" w:rsidRPr="0035358E">
        <w:t>);</w:t>
      </w:r>
    </w:p>
    <w:p w14:paraId="056A0F25" w14:textId="77777777" w:rsidR="00DB24CC" w:rsidRDefault="00F43DBC" w:rsidP="00AF2564">
      <w:pPr>
        <w:pStyle w:val="ListParagraph"/>
      </w:pPr>
      <w:r w:rsidRPr="0035358E">
        <w:t>Exclusion of carer QALYs lost</w:t>
      </w:r>
      <w:r w:rsidR="006D0FBB" w:rsidRPr="0035358E">
        <w:t xml:space="preserve">: the PBAC advised that exclusion of carer QALYs </w:t>
      </w:r>
      <w:r w:rsidR="006D0FBB" w:rsidRPr="00AF2564">
        <w:t>lost</w:t>
      </w:r>
      <w:r w:rsidR="006D0FBB" w:rsidRPr="0035358E">
        <w:t xml:space="preserve"> from the base case was appropriate, although it noted that inclusion in a sensitivity analysis was informative;</w:t>
      </w:r>
    </w:p>
    <w:p w14:paraId="2921696A" w14:textId="3EAAB976" w:rsidR="006D0FBB" w:rsidRPr="0035358E" w:rsidRDefault="00F43DBC" w:rsidP="00AF2564">
      <w:pPr>
        <w:pStyle w:val="ListParagraph"/>
      </w:pPr>
      <w:r w:rsidRPr="0035358E">
        <w:t>Reverse discounting to vaccine costs</w:t>
      </w:r>
      <w:r w:rsidR="006D0FBB" w:rsidRPr="0035358E">
        <w:t xml:space="preserve">: accepted in the PSCR (see paragraph </w:t>
      </w:r>
      <w:r w:rsidR="006D0FBB" w:rsidRPr="0035358E">
        <w:rPr>
          <w:highlight w:val="yellow"/>
        </w:rPr>
        <w:fldChar w:fldCharType="begin"/>
      </w:r>
      <w:r w:rsidR="006D0FBB" w:rsidRPr="0035358E">
        <w:instrText xml:space="preserve"> REF _Ref164194284 \r \h </w:instrText>
      </w:r>
      <w:r w:rsidR="006D0FBB" w:rsidRPr="0035358E">
        <w:rPr>
          <w:highlight w:val="yellow"/>
        </w:rPr>
      </w:r>
      <w:r w:rsidR="006D0FBB" w:rsidRPr="0035358E">
        <w:rPr>
          <w:highlight w:val="yellow"/>
        </w:rPr>
        <w:fldChar w:fldCharType="separate"/>
      </w:r>
      <w:r w:rsidR="00A46CAC">
        <w:t>6.48</w:t>
      </w:r>
      <w:r w:rsidR="006D0FBB" w:rsidRPr="0035358E">
        <w:rPr>
          <w:highlight w:val="yellow"/>
        </w:rPr>
        <w:fldChar w:fldCharType="end"/>
      </w:r>
      <w:r w:rsidR="006D0FBB" w:rsidRPr="0035358E">
        <w:t>).</w:t>
      </w:r>
    </w:p>
    <w:p w14:paraId="2F173BF0" w14:textId="6A16B833" w:rsidR="00672DE3" w:rsidRPr="0035358E" w:rsidRDefault="006D0FBB" w:rsidP="00DD4B2C">
      <w:pPr>
        <w:pStyle w:val="3-BodyText"/>
      </w:pPr>
      <w:r w:rsidRPr="0035358E">
        <w:t>The PBAC noted the ICER using the model specified in the paragraph above and the price proposed in the pre-PBAC response was $</w:t>
      </w:r>
      <w:r w:rsidR="000F268F" w:rsidRPr="000F268F">
        <w:t>95,000</w:t>
      </w:r>
      <w:r w:rsidR="00852253">
        <w:t> </w:t>
      </w:r>
      <w:r w:rsidR="000F268F" w:rsidRPr="000F268F">
        <w:t>to</w:t>
      </w:r>
      <w:r w:rsidR="00852253">
        <w:t> </w:t>
      </w:r>
      <w:r w:rsidR="000F268F" w:rsidRPr="000F268F">
        <w:t>&lt;</w:t>
      </w:r>
      <w:r w:rsidR="00852253">
        <w:t> </w:t>
      </w:r>
      <w:r w:rsidR="000F268F" w:rsidRPr="000F268F">
        <w:t>$115,000</w:t>
      </w:r>
      <w:r w:rsidRPr="0035358E">
        <w:t>/QALY. The PBAC considered that RSVpreF was not cost effective at the price proposed in the pre-PBAC response and a price reduction would be required to achieve an ICER of no more than $</w:t>
      </w:r>
      <w:r w:rsidR="00495FCC" w:rsidRPr="00495FCC">
        <w:t>15,000</w:t>
      </w:r>
      <w:r w:rsidR="00852253">
        <w:t> </w:t>
      </w:r>
      <w:r w:rsidR="00495FCC" w:rsidRPr="00495FCC">
        <w:t>to</w:t>
      </w:r>
      <w:r w:rsidR="00852253">
        <w:t> </w:t>
      </w:r>
      <w:r w:rsidR="00495FCC" w:rsidRPr="00495FCC">
        <w:t>&lt;</w:t>
      </w:r>
      <w:r w:rsidR="00852253">
        <w:t> </w:t>
      </w:r>
      <w:r w:rsidR="00495FCC" w:rsidRPr="00495FCC">
        <w:t>$25,000</w:t>
      </w:r>
      <w:r w:rsidRPr="0035358E">
        <w:t xml:space="preserve">/QALY. </w:t>
      </w:r>
      <w:r w:rsidR="005744B6" w:rsidRPr="0035358E">
        <w:t xml:space="preserve">The PBAC considered </w:t>
      </w:r>
      <w:r w:rsidR="00672DE3" w:rsidRPr="0035358E">
        <w:t xml:space="preserve">that </w:t>
      </w:r>
      <w:r w:rsidR="005744B6" w:rsidRPr="0035358E">
        <w:t xml:space="preserve">an ICER of less than </w:t>
      </w:r>
      <w:r w:rsidR="000220FC" w:rsidRPr="0035358E">
        <w:t>$</w:t>
      </w:r>
      <w:r w:rsidR="000220FC" w:rsidRPr="00495FCC">
        <w:t>15,000</w:t>
      </w:r>
      <w:r w:rsidR="00852253">
        <w:t> </w:t>
      </w:r>
      <w:r w:rsidR="000220FC" w:rsidRPr="00495FCC">
        <w:t>to</w:t>
      </w:r>
      <w:r w:rsidR="00852253">
        <w:t> </w:t>
      </w:r>
      <w:r w:rsidR="000220FC" w:rsidRPr="00495FCC">
        <w:t>&lt;</w:t>
      </w:r>
      <w:r w:rsidR="00852253">
        <w:t> </w:t>
      </w:r>
      <w:r w:rsidR="000220FC" w:rsidRPr="00495FCC">
        <w:t>$25,000</w:t>
      </w:r>
      <w:r w:rsidR="005744B6" w:rsidRPr="005A2532">
        <w:t>/QALY</w:t>
      </w:r>
      <w:r w:rsidR="005744B6" w:rsidRPr="0035358E">
        <w:t xml:space="preserve"> would be</w:t>
      </w:r>
      <w:r w:rsidR="00672DE3" w:rsidRPr="0035358E">
        <w:t xml:space="preserve"> required to demonstrate cost-effectiveness for the proposed listing of RSVpreF as a maternal vaccination to reduce the risk of RSV in infants aged up to six months.</w:t>
      </w:r>
      <w:bookmarkStart w:id="118" w:name="_Ref163739017"/>
    </w:p>
    <w:p w14:paraId="2D48849E" w14:textId="706484F8" w:rsidR="00DB24CC" w:rsidRDefault="000206B6" w:rsidP="00DD4B2C">
      <w:pPr>
        <w:pStyle w:val="3-BodyText"/>
      </w:pPr>
      <w:r w:rsidRPr="0035358E">
        <w:t>The PBAC noted that First Nations infants are more susceptible to RSV infection and poorer health outcomes and therefore the proposed vaccine may be associated with greater incremental health outcomes in this population</w:t>
      </w:r>
      <w:r w:rsidR="00C93F78" w:rsidRPr="0035358E">
        <w:t>.</w:t>
      </w:r>
      <w:r w:rsidR="006D0FBB" w:rsidRPr="0035358E">
        <w:t xml:space="preserve"> Additionally, the PBAC noted the rates of hospitalisation in First Nations infants are higher than in non-Indigenous infants (see paragraph </w:t>
      </w:r>
      <w:r w:rsidR="006D0FBB" w:rsidRPr="0035358E">
        <w:fldChar w:fldCharType="begin"/>
      </w:r>
      <w:r w:rsidR="006D0FBB" w:rsidRPr="0035358E">
        <w:instrText xml:space="preserve"> REF _Ref164193865 \r \h </w:instrText>
      </w:r>
      <w:r w:rsidR="006D0FBB" w:rsidRPr="0035358E">
        <w:fldChar w:fldCharType="separate"/>
      </w:r>
      <w:r w:rsidR="00A46CAC">
        <w:t>4.2</w:t>
      </w:r>
      <w:r w:rsidR="006D0FBB" w:rsidRPr="0035358E">
        <w:fldChar w:fldCharType="end"/>
      </w:r>
      <w:r w:rsidR="006D0FBB" w:rsidRPr="0035358E">
        <w:t xml:space="preserve">) and the model is very sensitive to higher rates of hospitalisation (see </w:t>
      </w:r>
      <w:r w:rsidR="006D0FBB" w:rsidRPr="0035358E">
        <w:fldChar w:fldCharType="begin"/>
      </w:r>
      <w:r w:rsidR="006D0FBB" w:rsidRPr="0035358E">
        <w:instrText xml:space="preserve"> REF _Ref104804865 \h </w:instrText>
      </w:r>
      <w:r w:rsidR="006D0FBB" w:rsidRPr="0035358E">
        <w:fldChar w:fldCharType="separate"/>
      </w:r>
      <w:r w:rsidR="00A46CAC" w:rsidRPr="0035358E">
        <w:t xml:space="preserve">Table </w:t>
      </w:r>
      <w:r w:rsidR="00A46CAC">
        <w:rPr>
          <w:noProof/>
        </w:rPr>
        <w:t>18</w:t>
      </w:r>
      <w:r w:rsidR="006D0FBB" w:rsidRPr="0035358E">
        <w:fldChar w:fldCharType="end"/>
      </w:r>
      <w:r w:rsidR="006D0FBB" w:rsidRPr="0035358E">
        <w:t>).</w:t>
      </w:r>
      <w:bookmarkEnd w:id="118"/>
    </w:p>
    <w:p w14:paraId="6EE2AA66" w14:textId="73F0C740" w:rsidR="00E30439" w:rsidRPr="0035358E" w:rsidRDefault="00E30439" w:rsidP="00DD4B2C">
      <w:pPr>
        <w:pStyle w:val="3-BodyText"/>
      </w:pPr>
      <w:r w:rsidRPr="0035358E">
        <w:t xml:space="preserve">The PBAC considered the utilisation estimates presented in the submission to be reasonable. It was noted that assuming a maximum uptake of </w:t>
      </w:r>
      <w:r w:rsidR="00E96E79" w:rsidRPr="00A46CAC">
        <w:rPr>
          <w:color w:val="000000"/>
          <w:w w:val="15"/>
          <w:shd w:val="solid" w:color="000000" w:fill="000000"/>
          <w:fitText w:val="-20" w:id="-961849842"/>
          <w14:textFill>
            <w14:solidFill>
              <w14:srgbClr w14:val="000000">
                <w14:alpha w14:val="100000"/>
              </w14:srgbClr>
            </w14:solidFill>
          </w14:textFill>
        </w:rPr>
        <w:t>|</w:t>
      </w:r>
      <w:r w:rsidR="00C63E95" w:rsidRPr="00A46CAC">
        <w:rPr>
          <w:color w:val="000000"/>
          <w:w w:val="15"/>
          <w:shd w:val="solid" w:color="000000" w:fill="000000"/>
          <w:fitText w:val="-20" w:id="-961849842"/>
          <w14:textFill>
            <w14:solidFill>
              <w14:srgbClr w14:val="000000">
                <w14:alpha w14:val="100000"/>
              </w14:srgbClr>
            </w14:solidFill>
          </w14:textFill>
        </w:rPr>
        <w:t xml:space="preserve"> </w:t>
      </w:r>
      <w:r w:rsidR="00E96E79" w:rsidRPr="00A46CAC">
        <w:rPr>
          <w:color w:val="000000"/>
          <w:spacing w:val="-61"/>
          <w:w w:val="15"/>
          <w:shd w:val="solid" w:color="000000" w:fill="000000"/>
          <w:fitText w:val="-20" w:id="-961849842"/>
          <w14:textFill>
            <w14:solidFill>
              <w14:srgbClr w14:val="000000">
                <w14:alpha w14:val="100000"/>
              </w14:srgbClr>
            </w14:solidFill>
          </w14:textFill>
        </w:rPr>
        <w:t>|</w:t>
      </w:r>
      <w:r w:rsidRPr="005A2532">
        <w:t>%</w:t>
      </w:r>
      <w:r w:rsidRPr="0035358E">
        <w:t xml:space="preserve"> in the eligible population was consistent with ATAGI advice on this matter.</w:t>
      </w:r>
    </w:p>
    <w:p w14:paraId="21555F13" w14:textId="77777777" w:rsidR="00DB24CC" w:rsidRDefault="000B4056" w:rsidP="00DD4B2C">
      <w:pPr>
        <w:pStyle w:val="3-BodyText"/>
      </w:pPr>
      <w:r w:rsidRPr="0035358E">
        <w:t xml:space="preserve">The PBAC considered the outstanding issues could be resolved in a simple resubmission for RSVpreF. The PBAC also considered RSVpreF addresses a high and urgent unmet clinical need and was expected to provide a substantial and clinically relevant improvement in efficacy/reduction of toxicity, over </w:t>
      </w:r>
      <w:r w:rsidR="00B1124A" w:rsidRPr="0035358E">
        <w:t>no vaccine</w:t>
      </w:r>
      <w:r w:rsidRPr="0035358E">
        <w:t>. Therefore, the PBAC considered an early resolution pathway would be acceptable. If the sponsor accepts this pathway, the following changes may address these outstanding issues without requiring further re-evaluation.</w:t>
      </w:r>
    </w:p>
    <w:p w14:paraId="52FE8A8C" w14:textId="7F75CD98" w:rsidR="00DB24CC" w:rsidRDefault="006D0FBB" w:rsidP="00BC7C41">
      <w:pPr>
        <w:pStyle w:val="ListParagraph"/>
      </w:pPr>
      <w:r w:rsidRPr="0035358E">
        <w:t xml:space="preserve">Using the economic model outlined in paragraph </w:t>
      </w:r>
      <w:r w:rsidRPr="0035358E">
        <w:fldChar w:fldCharType="begin"/>
      </w:r>
      <w:r w:rsidRPr="0035358E">
        <w:instrText xml:space="preserve"> REF _Ref164194093 \r \h </w:instrText>
      </w:r>
      <w:r w:rsidRPr="0035358E">
        <w:fldChar w:fldCharType="separate"/>
      </w:r>
      <w:r w:rsidR="00A46CAC">
        <w:t>7.20</w:t>
      </w:r>
      <w:r w:rsidRPr="0035358E">
        <w:fldChar w:fldCharType="end"/>
      </w:r>
      <w:r w:rsidRPr="0035358E">
        <w:t xml:space="preserve">, propose </w:t>
      </w:r>
      <w:r w:rsidR="006D69B4" w:rsidRPr="0035358E">
        <w:t xml:space="preserve">a price </w:t>
      </w:r>
      <w:r w:rsidRPr="0035358E">
        <w:t xml:space="preserve">that results in an </w:t>
      </w:r>
      <w:r w:rsidR="006D69B4" w:rsidRPr="0035358E">
        <w:t xml:space="preserve">ICER of no more </w:t>
      </w:r>
      <w:r w:rsidR="006D69B4" w:rsidRPr="005A2532">
        <w:t xml:space="preserve">than </w:t>
      </w:r>
      <w:r w:rsidR="000220FC" w:rsidRPr="0035358E">
        <w:t>$</w:t>
      </w:r>
      <w:r w:rsidR="000220FC" w:rsidRPr="00495FCC">
        <w:t>15,000</w:t>
      </w:r>
      <w:r w:rsidR="00852253">
        <w:t> </w:t>
      </w:r>
      <w:r w:rsidR="000220FC" w:rsidRPr="00495FCC">
        <w:t>to</w:t>
      </w:r>
      <w:r w:rsidR="00852253">
        <w:t> </w:t>
      </w:r>
      <w:r w:rsidR="000220FC" w:rsidRPr="00495FCC">
        <w:t>&lt;</w:t>
      </w:r>
      <w:r w:rsidR="00852253">
        <w:t> </w:t>
      </w:r>
      <w:r w:rsidR="000220FC" w:rsidRPr="00495FCC">
        <w:t>$25,000</w:t>
      </w:r>
      <w:r w:rsidR="006D69B4" w:rsidRPr="005A2532">
        <w:t>/QALY</w:t>
      </w:r>
      <w:r w:rsidRPr="005A2532">
        <w:t>;</w:t>
      </w:r>
    </w:p>
    <w:p w14:paraId="35F376C4" w14:textId="632D1153" w:rsidR="000B4056" w:rsidRPr="0035358E" w:rsidRDefault="000B4056" w:rsidP="00BC7C41">
      <w:pPr>
        <w:pStyle w:val="ListParagraph"/>
      </w:pPr>
      <w:r w:rsidRPr="0035358E">
        <w:t>Recalculation of the financial implications using the revised RSVpreF price</w:t>
      </w:r>
      <w:r w:rsidR="006D69B4" w:rsidRPr="0035358E">
        <w:t>.</w:t>
      </w:r>
    </w:p>
    <w:p w14:paraId="2AD18DC5" w14:textId="73808174" w:rsidR="000B4056" w:rsidRPr="0035358E" w:rsidRDefault="000B4056" w:rsidP="00DD4B2C">
      <w:pPr>
        <w:pStyle w:val="3-BodyText"/>
      </w:pPr>
      <w:r w:rsidRPr="0035358E">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08C575C5" w14:textId="77777777" w:rsidR="00DB24CC" w:rsidRDefault="006B2E32" w:rsidP="00BC7C41">
      <w:pPr>
        <w:pStyle w:val="3-BodyText"/>
      </w:pPr>
      <w:r w:rsidRPr="0035358E">
        <w:t>The PBAC noted that this submission is not eligible for an Independent Review because it is only relevant to submissions requesting a listing (or change to a listing) on the PBS.</w:t>
      </w:r>
    </w:p>
    <w:p w14:paraId="2D3F1FF7" w14:textId="0A15FE32" w:rsidR="00F43500" w:rsidRPr="0035358E" w:rsidRDefault="00F43500" w:rsidP="00F43500">
      <w:pPr>
        <w:spacing w:before="240"/>
        <w:rPr>
          <w:rFonts w:asciiTheme="minorHAnsi" w:hAnsiTheme="minorHAnsi"/>
          <w:b/>
          <w:bCs/>
          <w:snapToGrid w:val="0"/>
        </w:rPr>
      </w:pPr>
      <w:r w:rsidRPr="0035358E">
        <w:rPr>
          <w:rFonts w:asciiTheme="minorHAnsi" w:hAnsiTheme="minorHAnsi"/>
          <w:b/>
          <w:bCs/>
          <w:snapToGrid w:val="0"/>
        </w:rPr>
        <w:lastRenderedPageBreak/>
        <w:t>Outcome:</w:t>
      </w:r>
    </w:p>
    <w:p w14:paraId="0AEBEDA0" w14:textId="5A55FD68" w:rsidR="004A30D9" w:rsidRPr="004A30D9" w:rsidRDefault="00F43500" w:rsidP="00BC7C41">
      <w:pPr>
        <w:rPr>
          <w:rFonts w:eastAsia="Calibri"/>
          <w:bCs/>
          <w:snapToGrid w:val="0"/>
          <w:szCs w:val="22"/>
          <w:lang w:val="en-GB" w:eastAsia="en-US"/>
        </w:rPr>
      </w:pPr>
      <w:r w:rsidRPr="0035358E">
        <w:rPr>
          <w:rFonts w:asciiTheme="minorHAnsi" w:hAnsiTheme="minorHAnsi"/>
          <w:bCs/>
          <w:snapToGrid w:val="0"/>
        </w:rPr>
        <w:t>Not recommended</w:t>
      </w:r>
      <w:bookmarkStart w:id="119" w:name="_Hlk166836942"/>
    </w:p>
    <w:p w14:paraId="1807D79D" w14:textId="77777777" w:rsidR="004A30D9" w:rsidRPr="004A30D9" w:rsidRDefault="004A30D9" w:rsidP="004A30D9">
      <w:pPr>
        <w:keepNext/>
        <w:keepLines/>
        <w:numPr>
          <w:ilvl w:val="0"/>
          <w:numId w:val="1"/>
        </w:numPr>
        <w:spacing w:before="240" w:after="120"/>
        <w:jc w:val="left"/>
        <w:outlineLvl w:val="0"/>
        <w:rPr>
          <w:b/>
          <w:snapToGrid w:val="0"/>
          <w:sz w:val="32"/>
          <w:szCs w:val="32"/>
        </w:rPr>
      </w:pPr>
      <w:bookmarkStart w:id="120" w:name="_Hlk165280286"/>
      <w:r w:rsidRPr="004A30D9">
        <w:rPr>
          <w:b/>
          <w:snapToGrid w:val="0"/>
          <w:sz w:val="32"/>
          <w:szCs w:val="32"/>
        </w:rPr>
        <w:t>Context for Decision</w:t>
      </w:r>
    </w:p>
    <w:p w14:paraId="7FE75642" w14:textId="77777777" w:rsidR="004A30D9" w:rsidRPr="004A30D9" w:rsidRDefault="004A30D9" w:rsidP="004A30D9">
      <w:pPr>
        <w:keepNext/>
        <w:keepLines/>
        <w:widowControl w:val="0"/>
        <w:spacing w:after="120"/>
        <w:ind w:left="720"/>
        <w:rPr>
          <w:bCs/>
          <w:snapToGrid w:val="0"/>
        </w:rPr>
      </w:pPr>
      <w:r w:rsidRPr="004A30D9">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E512F7" w14:textId="77777777" w:rsidR="004A30D9" w:rsidRPr="004A30D9" w:rsidRDefault="004A30D9" w:rsidP="004A30D9">
      <w:pPr>
        <w:keepNext/>
        <w:keepLines/>
        <w:numPr>
          <w:ilvl w:val="0"/>
          <w:numId w:val="1"/>
        </w:numPr>
        <w:spacing w:before="240" w:after="120"/>
        <w:jc w:val="left"/>
        <w:outlineLvl w:val="0"/>
        <w:rPr>
          <w:b/>
          <w:snapToGrid w:val="0"/>
          <w:sz w:val="32"/>
          <w:szCs w:val="32"/>
        </w:rPr>
      </w:pPr>
      <w:r w:rsidRPr="004A30D9">
        <w:rPr>
          <w:b/>
          <w:snapToGrid w:val="0"/>
          <w:sz w:val="32"/>
          <w:szCs w:val="32"/>
        </w:rPr>
        <w:t>Sponsor’s Comment</w:t>
      </w:r>
    </w:p>
    <w:p w14:paraId="330E57A7" w14:textId="77B4A161" w:rsidR="008535B8" w:rsidRDefault="00A4701F" w:rsidP="008535B8">
      <w:pPr>
        <w:widowControl w:val="0"/>
        <w:ind w:left="720"/>
      </w:pPr>
      <w:r w:rsidRPr="00BC7C41">
        <w:t>Pfizer welcomes the PBAC’s acknowledgement of the high and urgent unmet clinical need for prevention of RSV in infants from birth through 6 months of age and the clinical benefit of Abrysvo compared to placebo. Pfizer will continue to work collaboratively with the PBAC and Department of Health and Aged Care to deliver access to Abrysvo for pregnant individuals via the proposed National Immunisation Program</w:t>
      </w:r>
      <w:r w:rsidR="00E3412D" w:rsidRPr="00BC7C41">
        <w:t>.</w:t>
      </w:r>
      <w:bookmarkEnd w:id="119"/>
      <w:bookmarkEnd w:id="120"/>
    </w:p>
    <w:p w14:paraId="679FF8BA" w14:textId="77777777" w:rsidR="008535B8" w:rsidRDefault="008535B8">
      <w:pPr>
        <w:jc w:val="left"/>
      </w:pPr>
      <w:r>
        <w:br w:type="page"/>
      </w:r>
    </w:p>
    <w:p w14:paraId="637AC24C" w14:textId="686AA038" w:rsidR="007164AD" w:rsidRPr="00ED3190" w:rsidRDefault="007164AD" w:rsidP="007164AD">
      <w:pPr>
        <w:pStyle w:val="1-MainHeading0"/>
        <w:rPr>
          <w:color w:val="FF0000"/>
          <w:sz w:val="28"/>
          <w:szCs w:val="28"/>
        </w:rPr>
      </w:pPr>
      <w:bookmarkStart w:id="121" w:name="Addendum"/>
      <w:r w:rsidRPr="00ED3190">
        <w:rPr>
          <w:color w:val="FF0000"/>
          <w:sz w:val="28"/>
          <w:szCs w:val="28"/>
        </w:rPr>
        <w:lastRenderedPageBreak/>
        <w:t>Addendum</w:t>
      </w:r>
      <w:bookmarkEnd w:id="121"/>
      <w:r w:rsidRPr="00ED3190">
        <w:rPr>
          <w:color w:val="FF0000"/>
          <w:sz w:val="28"/>
          <w:szCs w:val="28"/>
        </w:rPr>
        <w:t xml:space="preserve"> to the March 2024 </w:t>
      </w:r>
      <w:r w:rsidR="00594F3A">
        <w:rPr>
          <w:color w:val="FF0000"/>
          <w:sz w:val="28"/>
          <w:szCs w:val="28"/>
        </w:rPr>
        <w:t xml:space="preserve">PBAC </w:t>
      </w:r>
      <w:r w:rsidR="004B4991">
        <w:rPr>
          <w:color w:val="FF0000"/>
          <w:sz w:val="28"/>
          <w:szCs w:val="28"/>
        </w:rPr>
        <w:t>PSD</w:t>
      </w:r>
      <w:r w:rsidRPr="00ED3190">
        <w:rPr>
          <w:color w:val="FF0000"/>
          <w:sz w:val="28"/>
          <w:szCs w:val="28"/>
        </w:rPr>
        <w:t>:</w:t>
      </w:r>
    </w:p>
    <w:p w14:paraId="7BB19559" w14:textId="554CA141" w:rsidR="007164AD" w:rsidRPr="00ED3190" w:rsidRDefault="007164AD" w:rsidP="007164AD">
      <w:pPr>
        <w:pStyle w:val="1-MainHeading"/>
        <w:ind w:left="851" w:hanging="851"/>
      </w:pPr>
      <w:r w:rsidRPr="00ED3190">
        <w:t>7.01</w:t>
      </w:r>
      <w:r w:rsidRPr="00ED3190">
        <w:tab/>
        <w:t>RESPIRATORY SYNCYTIAL VIRUS VACCINE,</w:t>
      </w:r>
      <w:r w:rsidRPr="00ED3190">
        <w:br/>
        <w:t>Injection (0.5 mL),</w:t>
      </w:r>
      <w:r w:rsidRPr="00ED3190">
        <w:br/>
        <w:t>Abrysvo</w:t>
      </w:r>
      <w:r w:rsidRPr="00ED3190">
        <w:rPr>
          <w:vertAlign w:val="superscript"/>
        </w:rPr>
        <w:t>®</w:t>
      </w:r>
      <w:r w:rsidRPr="00ED3190">
        <w:t>,</w:t>
      </w:r>
      <w:r w:rsidRPr="00ED3190">
        <w:br/>
        <w:t>PFIZER AUSTRALIA PTY LTD</w:t>
      </w:r>
    </w:p>
    <w:p w14:paraId="7F7DB769" w14:textId="77777777" w:rsidR="00DB24CC" w:rsidRDefault="007164AD" w:rsidP="007164AD">
      <w:pPr>
        <w:pStyle w:val="2-SectionHeading"/>
        <w:numPr>
          <w:ilvl w:val="0"/>
          <w:numId w:val="1"/>
        </w:numPr>
      </w:pPr>
      <w:r w:rsidRPr="00ED3190">
        <w:t>Purpose</w:t>
      </w:r>
    </w:p>
    <w:p w14:paraId="2AEBE6F6" w14:textId="77777777" w:rsidR="00DB24CC" w:rsidRDefault="007164AD" w:rsidP="007164AD">
      <w:pPr>
        <w:pStyle w:val="3-BodyText"/>
      </w:pPr>
      <w:r w:rsidRPr="00ED3190">
        <w:t>The Early Resolution resubmission requested National Immunisation Program (NIP) listing for recombinant syncytial pre-fusion F protein vaccine (RSVpreF) for the prevention of lower respiratory tract illness (LRTI) caused by respiratory syncytial virus (RSV) in infants from birth through 6 months of age by active immunisation of pregnant women.</w:t>
      </w:r>
    </w:p>
    <w:p w14:paraId="233A3F6A" w14:textId="14F2351A" w:rsidR="007164AD" w:rsidRPr="00ED3190" w:rsidRDefault="007164AD" w:rsidP="007164AD">
      <w:pPr>
        <w:pStyle w:val="2-SectionHeading"/>
        <w:numPr>
          <w:ilvl w:val="0"/>
          <w:numId w:val="1"/>
        </w:numPr>
      </w:pPr>
      <w:r w:rsidRPr="00ED3190">
        <w:t>Background</w:t>
      </w:r>
    </w:p>
    <w:p w14:paraId="0C9F8487" w14:textId="77777777" w:rsidR="007164AD" w:rsidRPr="00ED3190" w:rsidRDefault="007164AD" w:rsidP="007164AD">
      <w:pPr>
        <w:pStyle w:val="3-BodyText"/>
      </w:pPr>
      <w:r w:rsidRPr="00ED3190">
        <w:t>RSVpreF was considered by the PBAC and not recommended for NIP listing at the March 2024 meeting. The PBAC considered there was a high clinical need for vaccines, or other interventions, to reduce the risk of RSV, noting that RSV is a common respiratory infection and although symptoms are usually mild, some children develop severe disease which poses a significant risk, especially in infants aged up to six months. In March 2024, the PBAC considered that the incremental cost-effectiveness ratio (ICER) was high and uncertain. The PBAC considered that a price reduction would be required to ensure the vaccine was cost-effective in the proposed circumstances of use. The PBAC considered that the outstanding issues could be addressed using the early resolution pathway if the matters were addressed as outlined in Table 21. A summary of the resubmission’s approach to these matters is also provided in Table 21.</w:t>
      </w:r>
    </w:p>
    <w:p w14:paraId="5EABD94D" w14:textId="77777777" w:rsidR="007164AD" w:rsidRPr="00ED3190" w:rsidRDefault="007164AD" w:rsidP="007164AD">
      <w:pPr>
        <w:pStyle w:val="3-BodyText"/>
        <w:numPr>
          <w:ilvl w:val="0"/>
          <w:numId w:val="0"/>
        </w:numPr>
        <w:ind w:left="720"/>
      </w:pPr>
    </w:p>
    <w:p w14:paraId="01BC49E6" w14:textId="31554604" w:rsidR="007164AD" w:rsidRPr="00ED3190" w:rsidRDefault="007164AD" w:rsidP="007164AD">
      <w:pPr>
        <w:pStyle w:val="COMtablefigcaption"/>
      </w:pPr>
      <w:bookmarkStart w:id="122" w:name="_Ref146064139"/>
      <w:bookmarkStart w:id="123" w:name="_Hlk167352582"/>
      <w:r w:rsidRPr="00ED3190">
        <w:lastRenderedPageBreak/>
        <w:t xml:space="preserve">Table </w:t>
      </w:r>
      <w:r w:rsidR="00560E31">
        <w:fldChar w:fldCharType="begin"/>
      </w:r>
      <w:r w:rsidR="00560E31">
        <w:instrText xml:space="preserve"> SEQ Table \* ARABIC </w:instrText>
      </w:r>
      <w:r w:rsidR="00560E31">
        <w:fldChar w:fldCharType="separate"/>
      </w:r>
      <w:r w:rsidR="00A46CAC">
        <w:rPr>
          <w:noProof/>
        </w:rPr>
        <w:t>21</w:t>
      </w:r>
      <w:r w:rsidR="00560E31">
        <w:fldChar w:fldCharType="end"/>
      </w:r>
      <w:bookmarkEnd w:id="122"/>
      <w:r w:rsidRPr="00ED3190">
        <w:t xml:space="preserve">: Issues to be addressed (March 2024 PBAC </w:t>
      </w:r>
      <w:r w:rsidR="004B4991">
        <w:t>PSD</w:t>
      </w:r>
      <w:r w:rsidRPr="00ED3190">
        <w:t>)</w:t>
      </w:r>
    </w:p>
    <w:tbl>
      <w:tblPr>
        <w:tblStyle w:val="TableGrid"/>
        <w:tblW w:w="0" w:type="auto"/>
        <w:tblLook w:val="04A0" w:firstRow="1" w:lastRow="0" w:firstColumn="1" w:lastColumn="0" w:noHBand="0" w:noVBand="1"/>
      </w:tblPr>
      <w:tblGrid>
        <w:gridCol w:w="308"/>
        <w:gridCol w:w="3479"/>
        <w:gridCol w:w="5230"/>
      </w:tblGrid>
      <w:tr w:rsidR="007164AD" w:rsidRPr="00ED3190" w14:paraId="6EA45CE5" w14:textId="77777777" w:rsidTr="00022AC7">
        <w:trPr>
          <w:trHeight w:val="20"/>
        </w:trPr>
        <w:tc>
          <w:tcPr>
            <w:tcW w:w="0" w:type="auto"/>
            <w:gridSpan w:val="2"/>
          </w:tcPr>
          <w:bookmarkEnd w:id="123"/>
          <w:p w14:paraId="2F6BB7C0" w14:textId="77777777" w:rsidR="007164AD" w:rsidRPr="00ED3190" w:rsidRDefault="007164AD" w:rsidP="00022AC7">
            <w:pPr>
              <w:pStyle w:val="COMTabletext"/>
              <w:rPr>
                <w:b/>
                <w:bCs w:val="0"/>
                <w:szCs w:val="20"/>
              </w:rPr>
            </w:pPr>
            <w:r w:rsidRPr="00ED3190">
              <w:rPr>
                <w:b/>
                <w:bCs w:val="0"/>
                <w:szCs w:val="20"/>
              </w:rPr>
              <w:t>Matters Raised by PBAC</w:t>
            </w:r>
          </w:p>
        </w:tc>
        <w:tc>
          <w:tcPr>
            <w:tcW w:w="0" w:type="auto"/>
          </w:tcPr>
          <w:p w14:paraId="52750742" w14:textId="77777777" w:rsidR="007164AD" w:rsidRPr="00ED3190" w:rsidRDefault="007164AD" w:rsidP="00022AC7">
            <w:pPr>
              <w:pStyle w:val="COMTabletext"/>
              <w:rPr>
                <w:b/>
                <w:bCs w:val="0"/>
                <w:szCs w:val="20"/>
              </w:rPr>
            </w:pPr>
            <w:r w:rsidRPr="00ED3190">
              <w:rPr>
                <w:b/>
                <w:bCs w:val="0"/>
                <w:szCs w:val="20"/>
              </w:rPr>
              <w:t>Resubmission</w:t>
            </w:r>
          </w:p>
        </w:tc>
      </w:tr>
      <w:tr w:rsidR="007164AD" w:rsidRPr="00ED3190" w14:paraId="28631C59" w14:textId="77777777" w:rsidTr="00022AC7">
        <w:trPr>
          <w:trHeight w:val="20"/>
        </w:trPr>
        <w:tc>
          <w:tcPr>
            <w:tcW w:w="0" w:type="auto"/>
          </w:tcPr>
          <w:p w14:paraId="328CA8F0" w14:textId="77777777" w:rsidR="007164AD" w:rsidRPr="00ED3190" w:rsidRDefault="007164AD" w:rsidP="00022AC7">
            <w:pPr>
              <w:pStyle w:val="COMTabletext"/>
              <w:rPr>
                <w:szCs w:val="20"/>
              </w:rPr>
            </w:pPr>
            <w:r w:rsidRPr="00ED3190">
              <w:rPr>
                <w:szCs w:val="20"/>
              </w:rPr>
              <w:t>1</w:t>
            </w:r>
          </w:p>
        </w:tc>
        <w:tc>
          <w:tcPr>
            <w:tcW w:w="0" w:type="auto"/>
          </w:tcPr>
          <w:p w14:paraId="5939E0D1" w14:textId="77777777" w:rsidR="007164AD" w:rsidRPr="00ED3190" w:rsidRDefault="007164AD" w:rsidP="00022AC7">
            <w:pPr>
              <w:pStyle w:val="COMTabletext"/>
              <w:rPr>
                <w:szCs w:val="20"/>
              </w:rPr>
            </w:pPr>
            <w:r w:rsidRPr="00ED3190">
              <w:rPr>
                <w:szCs w:val="20"/>
              </w:rPr>
              <w:t>Revision of economic model as outlined in paragraphs 7.20 and 7.24:</w:t>
            </w:r>
          </w:p>
          <w:p w14:paraId="1C72A5C4" w14:textId="77777777" w:rsidR="007164AD" w:rsidRPr="00ED3190" w:rsidRDefault="007164AD" w:rsidP="007164AD">
            <w:pPr>
              <w:pStyle w:val="COMTabletext"/>
              <w:numPr>
                <w:ilvl w:val="0"/>
                <w:numId w:val="17"/>
              </w:numPr>
              <w:ind w:left="711" w:hanging="351"/>
              <w:rPr>
                <w:szCs w:val="20"/>
              </w:rPr>
            </w:pPr>
            <w:r w:rsidRPr="00ED3190">
              <w:rPr>
                <w:szCs w:val="20"/>
              </w:rPr>
              <w:tab/>
              <w:t>Outpatient attendance cost of $61.80;</w:t>
            </w:r>
          </w:p>
          <w:p w14:paraId="754E22FF" w14:textId="77777777" w:rsidR="007164AD" w:rsidRPr="00ED3190" w:rsidRDefault="007164AD" w:rsidP="007164AD">
            <w:pPr>
              <w:pStyle w:val="COMTabletext"/>
              <w:numPr>
                <w:ilvl w:val="0"/>
                <w:numId w:val="17"/>
              </w:numPr>
              <w:ind w:left="711" w:hanging="351"/>
              <w:rPr>
                <w:szCs w:val="20"/>
              </w:rPr>
            </w:pPr>
            <w:r w:rsidRPr="00ED3190">
              <w:rPr>
                <w:szCs w:val="20"/>
              </w:rPr>
              <w:t>Hospitalisation cost $14,991;</w:t>
            </w:r>
          </w:p>
          <w:p w14:paraId="4FD5DC25" w14:textId="77777777" w:rsidR="00DB24CC" w:rsidRDefault="007164AD" w:rsidP="007164AD">
            <w:pPr>
              <w:pStyle w:val="COMTabletext"/>
              <w:numPr>
                <w:ilvl w:val="0"/>
                <w:numId w:val="17"/>
              </w:numPr>
              <w:ind w:left="711" w:hanging="351"/>
              <w:rPr>
                <w:szCs w:val="20"/>
              </w:rPr>
            </w:pPr>
            <w:r w:rsidRPr="00ED3190">
              <w:rPr>
                <w:szCs w:val="20"/>
              </w:rPr>
              <w:t>Exclusion of carer QALYs lost from the base case;</w:t>
            </w:r>
          </w:p>
          <w:p w14:paraId="64618E93" w14:textId="77777777" w:rsidR="00DB24CC" w:rsidRDefault="007164AD" w:rsidP="007164AD">
            <w:pPr>
              <w:pStyle w:val="COMTabletext"/>
              <w:numPr>
                <w:ilvl w:val="0"/>
                <w:numId w:val="17"/>
              </w:numPr>
              <w:ind w:left="711" w:hanging="351"/>
              <w:rPr>
                <w:szCs w:val="20"/>
              </w:rPr>
            </w:pPr>
            <w:r w:rsidRPr="00ED3190">
              <w:rPr>
                <w:szCs w:val="20"/>
              </w:rPr>
              <w:t>Reverse discounting to vaccine costs;</w:t>
            </w:r>
          </w:p>
          <w:p w14:paraId="269832C2" w14:textId="5A6B607D" w:rsidR="007164AD" w:rsidRPr="00ED3190" w:rsidRDefault="007164AD" w:rsidP="007164AD">
            <w:pPr>
              <w:pStyle w:val="COMTabletext"/>
              <w:numPr>
                <w:ilvl w:val="0"/>
                <w:numId w:val="17"/>
              </w:numPr>
              <w:ind w:left="711" w:hanging="351"/>
              <w:rPr>
                <w:szCs w:val="20"/>
              </w:rPr>
            </w:pPr>
            <w:r w:rsidRPr="00ED3190">
              <w:rPr>
                <w:szCs w:val="20"/>
              </w:rPr>
              <w:t>VE of 33% for hospitalisations, 45% for ED and outpatient attendance events (</w:t>
            </w:r>
            <w:r w:rsidRPr="00ED3190">
              <w:t>based on trial results over 12 months)</w:t>
            </w:r>
            <w:r w:rsidRPr="00ED3190">
              <w:rPr>
                <w:szCs w:val="20"/>
              </w:rPr>
              <w:t>;</w:t>
            </w:r>
          </w:p>
          <w:p w14:paraId="37DFF9FE" w14:textId="4E0A72F2" w:rsidR="007164AD" w:rsidRPr="00ED3190" w:rsidRDefault="007164AD" w:rsidP="007164AD">
            <w:pPr>
              <w:pStyle w:val="COMTabletext"/>
              <w:numPr>
                <w:ilvl w:val="0"/>
                <w:numId w:val="17"/>
              </w:numPr>
              <w:ind w:left="711" w:hanging="351"/>
              <w:rPr>
                <w:szCs w:val="20"/>
              </w:rPr>
            </w:pPr>
            <w:r w:rsidRPr="00ED3190">
              <w:rPr>
                <w:szCs w:val="20"/>
              </w:rPr>
              <w:t>ICER of no more than $</w:t>
            </w:r>
            <w:r w:rsidR="00B3542F" w:rsidRPr="00B3542F">
              <w:rPr>
                <w:color w:val="000000"/>
                <w:szCs w:val="20"/>
                <w:shd w:val="solid" w:color="000000" w:fill="000000"/>
                <w14:textFill>
                  <w14:solidFill>
                    <w14:srgbClr w14:val="000000">
                      <w14:alpha w14:val="100000"/>
                    </w14:srgbClr>
                  </w14:solidFill>
                </w14:textFill>
              </w:rPr>
              <w:t>|</w:t>
            </w:r>
            <w:r w:rsidR="001244DF">
              <w:rPr>
                <w:szCs w:val="20"/>
                <w:vertAlign w:val="superscript"/>
              </w:rPr>
              <w:t>1</w:t>
            </w:r>
            <w:r w:rsidRPr="00ED3190">
              <w:rPr>
                <w:szCs w:val="20"/>
              </w:rPr>
              <w:t>/QALY.</w:t>
            </w:r>
          </w:p>
        </w:tc>
        <w:tc>
          <w:tcPr>
            <w:tcW w:w="0" w:type="auto"/>
          </w:tcPr>
          <w:p w14:paraId="268663FC" w14:textId="19AEFD09" w:rsidR="007164AD" w:rsidRPr="00ED3190" w:rsidRDefault="007164AD" w:rsidP="00022AC7">
            <w:pPr>
              <w:pStyle w:val="COMTabletext"/>
              <w:rPr>
                <w:szCs w:val="20"/>
              </w:rPr>
            </w:pPr>
            <w:r w:rsidRPr="00ED3190">
              <w:rPr>
                <w:szCs w:val="20"/>
              </w:rPr>
              <w:t>The resubmission proposed a revised base case which incorporated the PBAC’s advice described in points (i) to (iv).</w:t>
            </w:r>
            <w:r w:rsidR="00C63E95">
              <w:rPr>
                <w:szCs w:val="20"/>
              </w:rPr>
              <w:t xml:space="preserve"> </w:t>
            </w:r>
            <w:r w:rsidRPr="00ED3190">
              <w:rPr>
                <w:szCs w:val="20"/>
              </w:rPr>
              <w:t>The resubmission proposed a vial price of $</w:t>
            </w:r>
            <w:r w:rsidR="00B3542F" w:rsidRPr="00B3542F">
              <w:rPr>
                <w:color w:val="000000"/>
                <w:spacing w:val="53"/>
                <w:szCs w:val="20"/>
                <w:shd w:val="solid" w:color="000000" w:fill="000000"/>
                <w:fitText w:val="330" w:id="-931930368"/>
                <w14:textFill>
                  <w14:solidFill>
                    <w14:srgbClr w14:val="000000">
                      <w14:alpha w14:val="100000"/>
                    </w14:srgbClr>
                  </w14:solidFill>
                </w14:textFill>
              </w:rPr>
              <w:t>|||</w:t>
            </w:r>
            <w:r w:rsidR="00B3542F" w:rsidRPr="00B3542F">
              <w:rPr>
                <w:color w:val="000000"/>
                <w:spacing w:val="1"/>
                <w:szCs w:val="20"/>
                <w:shd w:val="solid" w:color="000000" w:fill="000000"/>
                <w:fitText w:val="330" w:id="-931930368"/>
                <w14:textFill>
                  <w14:solidFill>
                    <w14:srgbClr w14:val="000000">
                      <w14:alpha w14:val="100000"/>
                    </w14:srgbClr>
                  </w14:solidFill>
                </w14:textFill>
              </w:rPr>
              <w:t>|</w:t>
            </w:r>
            <w:r w:rsidRPr="00ED3190">
              <w:rPr>
                <w:szCs w:val="20"/>
              </w:rPr>
              <w:t>, which resulted in an ICER of $</w:t>
            </w:r>
            <w:r w:rsidR="00B3542F" w:rsidRPr="00B3542F">
              <w:rPr>
                <w:color w:val="000000"/>
                <w:spacing w:val="53"/>
                <w:szCs w:val="20"/>
                <w:shd w:val="solid" w:color="000000" w:fill="000000"/>
                <w:fitText w:val="330" w:id="-931930367"/>
                <w14:textFill>
                  <w14:solidFill>
                    <w14:srgbClr w14:val="000000">
                      <w14:alpha w14:val="100000"/>
                    </w14:srgbClr>
                  </w14:solidFill>
                </w14:textFill>
              </w:rPr>
              <w:t>|||</w:t>
            </w:r>
            <w:r w:rsidR="00B3542F" w:rsidRPr="00B3542F">
              <w:rPr>
                <w:color w:val="000000"/>
                <w:spacing w:val="1"/>
                <w:szCs w:val="20"/>
                <w:shd w:val="solid" w:color="000000" w:fill="000000"/>
                <w:fitText w:val="330" w:id="-931930367"/>
                <w14:textFill>
                  <w14:solidFill>
                    <w14:srgbClr w14:val="000000">
                      <w14:alpha w14:val="100000"/>
                    </w14:srgbClr>
                  </w14:solidFill>
                </w14:textFill>
              </w:rPr>
              <w:t>|</w:t>
            </w:r>
            <w:r w:rsidR="001244DF">
              <w:rPr>
                <w:szCs w:val="20"/>
                <w:vertAlign w:val="superscript"/>
              </w:rPr>
              <w:t>1</w:t>
            </w:r>
            <w:r w:rsidRPr="00ED3190">
              <w:rPr>
                <w:szCs w:val="20"/>
              </w:rPr>
              <w:t xml:space="preserve">/QALY using the resubmission’s revised base case (see </w:t>
            </w:r>
            <w:r w:rsidRPr="00ED3190">
              <w:rPr>
                <w:szCs w:val="20"/>
              </w:rPr>
              <w:fldChar w:fldCharType="begin"/>
            </w:r>
            <w:r w:rsidRPr="00ED3190">
              <w:rPr>
                <w:szCs w:val="20"/>
              </w:rPr>
              <w:instrText xml:space="preserve"> REF _Ref167377371 \h </w:instrText>
            </w:r>
            <w:r w:rsidRPr="00ED3190">
              <w:rPr>
                <w:szCs w:val="20"/>
              </w:rPr>
            </w:r>
            <w:r w:rsidRPr="00ED3190">
              <w:rPr>
                <w:szCs w:val="20"/>
              </w:rPr>
              <w:fldChar w:fldCharType="separate"/>
            </w:r>
            <w:r w:rsidR="00A46CAC" w:rsidRPr="00ED3190">
              <w:t xml:space="preserve">Table </w:t>
            </w:r>
            <w:r w:rsidR="00A46CAC">
              <w:rPr>
                <w:noProof/>
              </w:rPr>
              <w:t>24</w:t>
            </w:r>
            <w:r w:rsidRPr="00ED3190">
              <w:rPr>
                <w:szCs w:val="20"/>
              </w:rPr>
              <w:fldChar w:fldCharType="end"/>
            </w:r>
            <w:r w:rsidRPr="00ED3190">
              <w:rPr>
                <w:szCs w:val="20"/>
              </w:rPr>
              <w:t>).</w:t>
            </w:r>
          </w:p>
          <w:p w14:paraId="0CB684CE" w14:textId="77777777" w:rsidR="007164AD" w:rsidRPr="00ED3190" w:rsidRDefault="007164AD" w:rsidP="00022AC7">
            <w:pPr>
              <w:pStyle w:val="COMTabletext"/>
              <w:rPr>
                <w:szCs w:val="20"/>
              </w:rPr>
            </w:pPr>
          </w:p>
          <w:p w14:paraId="51118689" w14:textId="01D2B523" w:rsidR="007164AD" w:rsidRPr="00ED3190" w:rsidRDefault="007164AD" w:rsidP="00022AC7">
            <w:pPr>
              <w:pStyle w:val="COMTabletext"/>
              <w:rPr>
                <w:szCs w:val="20"/>
              </w:rPr>
            </w:pPr>
            <w:r w:rsidRPr="00ED3190">
              <w:rPr>
                <w:szCs w:val="20"/>
              </w:rPr>
              <w:t>The resubmission did not implement the PBAC’s advice in relation to the inputs for VE, described in point (v).</w:t>
            </w:r>
            <w:r w:rsidR="00C63E95">
              <w:rPr>
                <w:szCs w:val="20"/>
              </w:rPr>
              <w:t xml:space="preserve"> </w:t>
            </w:r>
            <w:r w:rsidRPr="00ED3190">
              <w:rPr>
                <w:szCs w:val="20"/>
              </w:rPr>
              <w:t>The resubmission presented an alternative analysis which did incorporate this advice, and it resulted in an ICER of $</w:t>
            </w:r>
            <w:r w:rsidR="00B3542F" w:rsidRPr="00B3542F">
              <w:rPr>
                <w:color w:val="000000"/>
                <w:spacing w:val="53"/>
                <w:szCs w:val="20"/>
                <w:shd w:val="solid" w:color="000000" w:fill="000000"/>
                <w:fitText w:val="330" w:id="-931930366"/>
                <w14:textFill>
                  <w14:solidFill>
                    <w14:srgbClr w14:val="000000">
                      <w14:alpha w14:val="100000"/>
                    </w14:srgbClr>
                  </w14:solidFill>
                </w14:textFill>
              </w:rPr>
              <w:t>|||</w:t>
            </w:r>
            <w:r w:rsidR="00B3542F" w:rsidRPr="00B3542F">
              <w:rPr>
                <w:color w:val="000000"/>
                <w:spacing w:val="1"/>
                <w:szCs w:val="20"/>
                <w:shd w:val="solid" w:color="000000" w:fill="000000"/>
                <w:fitText w:val="330" w:id="-931930366"/>
                <w14:textFill>
                  <w14:solidFill>
                    <w14:srgbClr w14:val="000000">
                      <w14:alpha w14:val="100000"/>
                    </w14:srgbClr>
                  </w14:solidFill>
                </w14:textFill>
              </w:rPr>
              <w:t>|</w:t>
            </w:r>
            <w:r w:rsidR="001244DF">
              <w:rPr>
                <w:szCs w:val="20"/>
                <w:vertAlign w:val="superscript"/>
              </w:rPr>
              <w:t>2</w:t>
            </w:r>
            <w:r w:rsidRPr="00ED3190">
              <w:rPr>
                <w:szCs w:val="20"/>
              </w:rPr>
              <w:t xml:space="preserve">/QALY using the resubmission’s proposed vial price (see </w:t>
            </w:r>
            <w:r w:rsidRPr="00ED3190">
              <w:rPr>
                <w:szCs w:val="20"/>
              </w:rPr>
              <w:fldChar w:fldCharType="begin"/>
            </w:r>
            <w:r w:rsidRPr="00ED3190">
              <w:rPr>
                <w:szCs w:val="20"/>
              </w:rPr>
              <w:instrText xml:space="preserve"> REF _Ref167377371 \h </w:instrText>
            </w:r>
            <w:r w:rsidRPr="00ED3190">
              <w:rPr>
                <w:szCs w:val="20"/>
              </w:rPr>
            </w:r>
            <w:r w:rsidRPr="00ED3190">
              <w:rPr>
                <w:szCs w:val="20"/>
              </w:rPr>
              <w:fldChar w:fldCharType="separate"/>
            </w:r>
            <w:r w:rsidR="00A46CAC" w:rsidRPr="00ED3190">
              <w:t xml:space="preserve">Table </w:t>
            </w:r>
            <w:r w:rsidR="00A46CAC">
              <w:rPr>
                <w:noProof/>
              </w:rPr>
              <w:t>24</w:t>
            </w:r>
            <w:r w:rsidRPr="00ED3190">
              <w:rPr>
                <w:szCs w:val="20"/>
              </w:rPr>
              <w:fldChar w:fldCharType="end"/>
            </w:r>
            <w:r w:rsidRPr="00ED3190">
              <w:rPr>
                <w:szCs w:val="20"/>
              </w:rPr>
              <w:t>).</w:t>
            </w:r>
          </w:p>
        </w:tc>
      </w:tr>
      <w:tr w:rsidR="007164AD" w:rsidRPr="00ED3190" w14:paraId="3CCDB5A8" w14:textId="77777777" w:rsidTr="00022AC7">
        <w:trPr>
          <w:trHeight w:val="20"/>
        </w:trPr>
        <w:tc>
          <w:tcPr>
            <w:tcW w:w="0" w:type="auto"/>
          </w:tcPr>
          <w:p w14:paraId="7D434F5B" w14:textId="77777777" w:rsidR="007164AD" w:rsidRPr="00ED3190" w:rsidRDefault="007164AD" w:rsidP="00022AC7">
            <w:pPr>
              <w:pStyle w:val="COMTabletext"/>
              <w:rPr>
                <w:szCs w:val="20"/>
              </w:rPr>
            </w:pPr>
            <w:r w:rsidRPr="00ED3190">
              <w:rPr>
                <w:szCs w:val="20"/>
              </w:rPr>
              <w:t>2</w:t>
            </w:r>
          </w:p>
        </w:tc>
        <w:tc>
          <w:tcPr>
            <w:tcW w:w="0" w:type="auto"/>
          </w:tcPr>
          <w:p w14:paraId="1A484BC6" w14:textId="77777777" w:rsidR="007164AD" w:rsidRPr="00ED3190" w:rsidRDefault="007164AD" w:rsidP="00022AC7">
            <w:pPr>
              <w:pStyle w:val="COMTabletext"/>
              <w:rPr>
                <w:szCs w:val="20"/>
              </w:rPr>
            </w:pPr>
            <w:r w:rsidRPr="00ED3190">
              <w:rPr>
                <w:szCs w:val="20"/>
              </w:rPr>
              <w:t>Recalculation of the financial estimates using the revised RSVpreF price as outlined in paragraph 7.24.</w:t>
            </w:r>
          </w:p>
        </w:tc>
        <w:tc>
          <w:tcPr>
            <w:tcW w:w="0" w:type="auto"/>
          </w:tcPr>
          <w:p w14:paraId="628FAC31" w14:textId="452324A8" w:rsidR="007164AD" w:rsidRPr="00ED3190" w:rsidRDefault="007164AD" w:rsidP="00022AC7">
            <w:pPr>
              <w:pStyle w:val="COMTabletext"/>
              <w:rPr>
                <w:szCs w:val="20"/>
              </w:rPr>
            </w:pPr>
            <w:r w:rsidRPr="00ED3190">
              <w:rPr>
                <w:szCs w:val="20"/>
              </w:rPr>
              <w:t xml:space="preserve">The resubmission provided revised estimates, consistent with the PBAC’s advice (see </w:t>
            </w:r>
            <w:r w:rsidRPr="00ED3190">
              <w:rPr>
                <w:szCs w:val="20"/>
              </w:rPr>
              <w:fldChar w:fldCharType="begin"/>
            </w:r>
            <w:r w:rsidRPr="00ED3190">
              <w:rPr>
                <w:szCs w:val="20"/>
              </w:rPr>
              <w:instrText xml:space="preserve"> REF _Ref167383566 \h </w:instrText>
            </w:r>
            <w:r w:rsidRPr="00ED3190">
              <w:rPr>
                <w:szCs w:val="20"/>
              </w:rPr>
            </w:r>
            <w:r w:rsidRPr="00ED3190">
              <w:rPr>
                <w:szCs w:val="20"/>
              </w:rPr>
              <w:fldChar w:fldCharType="separate"/>
            </w:r>
            <w:r w:rsidR="00A46CAC" w:rsidRPr="00ED3190">
              <w:t xml:space="preserve">Table </w:t>
            </w:r>
            <w:r w:rsidR="00A46CAC">
              <w:rPr>
                <w:noProof/>
              </w:rPr>
              <w:t>25</w:t>
            </w:r>
            <w:r w:rsidRPr="00ED3190">
              <w:rPr>
                <w:szCs w:val="20"/>
              </w:rPr>
              <w:fldChar w:fldCharType="end"/>
            </w:r>
            <w:r w:rsidRPr="00ED3190">
              <w:rPr>
                <w:szCs w:val="20"/>
              </w:rPr>
              <w:t xml:space="preserve">). </w:t>
            </w:r>
          </w:p>
        </w:tc>
      </w:tr>
    </w:tbl>
    <w:p w14:paraId="65D17662" w14:textId="77777777" w:rsidR="00FA2DA6" w:rsidRDefault="00FA2DA6" w:rsidP="00FA2DA6">
      <w:pPr>
        <w:pStyle w:val="FooterTableFigure"/>
      </w:pPr>
      <w:r w:rsidRPr="00ED3190">
        <w:t xml:space="preserve">Source: March 2024 PBAC </w:t>
      </w:r>
      <w:r>
        <w:t>PSD</w:t>
      </w:r>
      <w:r w:rsidRPr="00ED3190">
        <w:t>, and Early Resolution Resubmission.</w:t>
      </w:r>
    </w:p>
    <w:p w14:paraId="3ABED06A" w14:textId="2E4B13E6" w:rsidR="007164AD" w:rsidRPr="00ED3190" w:rsidRDefault="00FA2DA6" w:rsidP="007164AD">
      <w:pPr>
        <w:pStyle w:val="FooterTableFigure"/>
        <w:keepNext/>
      </w:pPr>
      <w:r>
        <w:t xml:space="preserve">Abbreviations: </w:t>
      </w:r>
      <w:r w:rsidR="007164AD" w:rsidRPr="00ED3190">
        <w:t>ED = emergency department; ICER = incremental cost effectiveness ratio; QALY = quality-adjusted life year; RSVpreF = recombinant respiratory syncytial virus pre-fusion F protein vaccine; VE = vaccine efficacy.</w:t>
      </w:r>
    </w:p>
    <w:p w14:paraId="4D3197B0" w14:textId="705A434F" w:rsidR="001244DF" w:rsidRPr="001244DF" w:rsidRDefault="001244DF" w:rsidP="007164AD">
      <w:pPr>
        <w:pStyle w:val="FooterTableFigure"/>
        <w:rPr>
          <w:i/>
          <w:iCs/>
        </w:rPr>
      </w:pPr>
      <w:r w:rsidRPr="001244DF">
        <w:rPr>
          <w:i/>
          <w:iCs/>
        </w:rPr>
        <w:t>The redacted values correspond to the following ranges:</w:t>
      </w:r>
    </w:p>
    <w:p w14:paraId="216EC66A" w14:textId="4F69711F" w:rsidR="001244DF" w:rsidRDefault="001244DF" w:rsidP="007164AD">
      <w:pPr>
        <w:pStyle w:val="FooterTableFigure"/>
        <w:rPr>
          <w:i/>
          <w:iCs/>
        </w:rPr>
      </w:pPr>
      <w:r w:rsidRPr="001244DF">
        <w:rPr>
          <w:i/>
          <w:iCs/>
          <w:vertAlign w:val="superscript"/>
        </w:rPr>
        <w:t>1</w:t>
      </w:r>
      <w:r w:rsidRPr="001244DF">
        <w:rPr>
          <w:i/>
          <w:iCs/>
        </w:rPr>
        <w:t xml:space="preserve"> $15,000 to &lt; $25,000</w:t>
      </w:r>
    </w:p>
    <w:p w14:paraId="6C3868FC" w14:textId="5C8A7320" w:rsidR="001244DF" w:rsidRPr="001244DF" w:rsidRDefault="001244DF" w:rsidP="007164AD">
      <w:pPr>
        <w:pStyle w:val="FooterTableFigure"/>
        <w:rPr>
          <w:i/>
          <w:iCs/>
        </w:rPr>
      </w:pPr>
      <w:r>
        <w:rPr>
          <w:i/>
          <w:iCs/>
          <w:vertAlign w:val="superscript"/>
        </w:rPr>
        <w:t>2</w:t>
      </w:r>
      <w:r>
        <w:rPr>
          <w:i/>
          <w:iCs/>
        </w:rPr>
        <w:t xml:space="preserve"> $45,000 to &lt; $55,000</w:t>
      </w:r>
    </w:p>
    <w:p w14:paraId="30D61212" w14:textId="77777777" w:rsidR="007164AD" w:rsidRPr="00ED3190" w:rsidRDefault="007164AD" w:rsidP="007164AD">
      <w:pPr>
        <w:pStyle w:val="3-BodyText"/>
      </w:pPr>
      <w:r w:rsidRPr="00ED3190">
        <w:t xml:space="preserve">Additional advice from ATAGI was provided to the PBAC prior to the </w:t>
      </w:r>
      <w:r w:rsidRPr="00ED3190">
        <w:rPr>
          <w:rFonts w:cstheme="minorHAnsi"/>
        </w:rPr>
        <w:t>PBAC May 2024 Intracycle Meeting</w:t>
      </w:r>
      <w:r w:rsidRPr="00ED3190">
        <w:t xml:space="preserve"> (ATAGI post-submission advice to PBAC for Abrysvo).</w:t>
      </w:r>
    </w:p>
    <w:p w14:paraId="1F801CD3" w14:textId="77777777" w:rsidR="007164AD" w:rsidRPr="00ED3190" w:rsidRDefault="007164AD" w:rsidP="007164AD">
      <w:pPr>
        <w:pStyle w:val="4-SubsectionHeading"/>
      </w:pPr>
      <w:r w:rsidRPr="00ED3190">
        <w:t>Registration status</w:t>
      </w:r>
    </w:p>
    <w:p w14:paraId="10DE8DCB" w14:textId="668363DB" w:rsidR="007164AD" w:rsidRPr="00ED3190" w:rsidRDefault="007164AD" w:rsidP="007164AD">
      <w:pPr>
        <w:pStyle w:val="3-BodyText"/>
      </w:pPr>
      <w:r w:rsidRPr="00ED3190">
        <w:t>RSVpreF was</w:t>
      </w:r>
      <w:r w:rsidRPr="00ED3190">
        <w:rPr>
          <w:lang w:eastAsia="en-US"/>
        </w:rPr>
        <w:t xml:space="preserve"> entered on </w:t>
      </w:r>
      <w:r w:rsidRPr="00ED3190">
        <w:t>the Australian Register of Therapeutic Goods (ARTG)</w:t>
      </w:r>
      <w:r w:rsidRPr="00ED3190">
        <w:rPr>
          <w:lang w:eastAsia="en-US"/>
        </w:rPr>
        <w:t xml:space="preserve"> by the TGA on 20 March 2024</w:t>
      </w:r>
      <w:r w:rsidRPr="00ED3190">
        <w:rPr>
          <w:rFonts w:eastAsia="Calibri"/>
        </w:rPr>
        <w:t xml:space="preserve">. The indication was unchanged from the indication described in paragraph </w:t>
      </w:r>
      <w:r w:rsidRPr="00ED3190">
        <w:rPr>
          <w:rFonts w:eastAsia="Calibri"/>
        </w:rPr>
        <w:fldChar w:fldCharType="begin"/>
      </w:r>
      <w:r w:rsidRPr="00ED3190">
        <w:rPr>
          <w:rFonts w:eastAsia="Calibri"/>
        </w:rPr>
        <w:instrText xml:space="preserve"> REF _Ref167352200 \r \h </w:instrText>
      </w:r>
      <w:r w:rsidRPr="00ED3190">
        <w:rPr>
          <w:rFonts w:eastAsia="Calibri"/>
        </w:rPr>
        <w:fldChar w:fldCharType="separate"/>
      </w:r>
      <w:r w:rsidR="00A46CAC">
        <w:rPr>
          <w:rFonts w:eastAsia="Calibri"/>
          <w:b/>
          <w:bCs/>
          <w:lang w:val="en-US"/>
        </w:rPr>
        <w:t>Error! Reference source not found.</w:t>
      </w:r>
      <w:r w:rsidRPr="00ED3190">
        <w:rPr>
          <w:rFonts w:eastAsia="Calibri"/>
        </w:rPr>
        <w:fldChar w:fldCharType="end"/>
      </w:r>
      <w:r w:rsidRPr="00ED3190">
        <w:rPr>
          <w:rFonts w:eastAsia="Calibri"/>
        </w:rPr>
        <w:t>. The TGA-approved product information states that:</w:t>
      </w:r>
    </w:p>
    <w:p w14:paraId="44F24EA2" w14:textId="77777777" w:rsidR="007164AD" w:rsidRPr="00ED3190" w:rsidRDefault="007164AD" w:rsidP="007164AD">
      <w:pPr>
        <w:pStyle w:val="3-BodyText"/>
        <w:numPr>
          <w:ilvl w:val="0"/>
          <w:numId w:val="0"/>
        </w:numPr>
        <w:ind w:left="720"/>
      </w:pPr>
      <w:r w:rsidRPr="00ED3190">
        <w:t>“ABRYSVO is administered as a single dose (0.5 mL) in late second or third trimester of pregnancy (24-36 weeks of gestation). Revaccination in subsequent pregnancies has not been studied.”</w:t>
      </w:r>
    </w:p>
    <w:p w14:paraId="1EBF64EF" w14:textId="77777777" w:rsidR="007164AD" w:rsidRPr="00ED3190" w:rsidRDefault="007164AD" w:rsidP="007164AD">
      <w:pPr>
        <w:pStyle w:val="3-BodyText"/>
        <w:numPr>
          <w:ilvl w:val="0"/>
          <w:numId w:val="0"/>
        </w:numPr>
        <w:ind w:left="720"/>
      </w:pPr>
      <w:r w:rsidRPr="00ED3190">
        <w:rPr>
          <w:i/>
        </w:rPr>
        <w:t>For more detail on PBAC’s view, see section 12 PBAC outcome.</w:t>
      </w:r>
    </w:p>
    <w:p w14:paraId="40A862C2" w14:textId="77777777" w:rsidR="007164AD" w:rsidRPr="00ED3190" w:rsidRDefault="007164AD" w:rsidP="007164AD">
      <w:pPr>
        <w:pStyle w:val="COMH1numbered"/>
        <w:numPr>
          <w:ilvl w:val="0"/>
          <w:numId w:val="1"/>
        </w:numPr>
      </w:pPr>
      <w:r w:rsidRPr="00ED3190">
        <w:lastRenderedPageBreak/>
        <w:t>Requested listing</w:t>
      </w:r>
    </w:p>
    <w:p w14:paraId="16E19501" w14:textId="77777777" w:rsidR="007164AD" w:rsidRPr="00ED3190" w:rsidRDefault="007164AD" w:rsidP="00AE0C2A">
      <w:pPr>
        <w:pStyle w:val="TableFigureHeading"/>
      </w:pPr>
      <w:bookmarkStart w:id="124" w:name="_Ref167357272"/>
      <w:r w:rsidRPr="00ED3190">
        <w:t xml:space="preserve">Details of the proposed NIP schedule listing </w:t>
      </w:r>
      <w:r w:rsidRPr="00ED3190">
        <w:rPr>
          <w:rStyle w:val="CommentReference"/>
          <w:b/>
          <w:szCs w:val="24"/>
        </w:rPr>
        <w:t>(as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3005"/>
        <w:gridCol w:w="3006"/>
        <w:gridCol w:w="3006"/>
      </w:tblGrid>
      <w:tr w:rsidR="007164AD" w:rsidRPr="00ED3190" w14:paraId="00B48AEE" w14:textId="77777777" w:rsidTr="00022AC7">
        <w:trPr>
          <w:cantSplit/>
          <w:trHeight w:val="20"/>
        </w:trPr>
        <w:tc>
          <w:tcPr>
            <w:tcW w:w="5000" w:type="pct"/>
            <w:gridSpan w:val="3"/>
          </w:tcPr>
          <w:p w14:paraId="6DA1AB2A" w14:textId="77777777" w:rsidR="00DB24CC" w:rsidRDefault="007164AD" w:rsidP="00022AC7">
            <w:pPr>
              <w:pStyle w:val="TableText0"/>
              <w:keepLines/>
              <w:rPr>
                <w:b/>
              </w:rPr>
            </w:pPr>
            <w:r w:rsidRPr="00ED3190">
              <w:rPr>
                <w:b/>
              </w:rPr>
              <w:t>Schedule / Program:</w:t>
            </w:r>
          </w:p>
          <w:p w14:paraId="0668E20C" w14:textId="0DA77E37" w:rsidR="007164AD" w:rsidRPr="00ED3190" w:rsidRDefault="007164AD" w:rsidP="00022AC7">
            <w:pPr>
              <w:pStyle w:val="TableText0"/>
              <w:keepLines/>
            </w:pPr>
            <w:r w:rsidRPr="00ED3190">
              <w:rPr>
                <w:rFonts w:eastAsiaTheme="minorEastAsia"/>
                <w:szCs w:val="20"/>
              </w:rPr>
              <w:t>Respiratory syncytial virus (RSV) vaccination schedule for immunisation during pregnancy (24–36 weeks gestation)*</w:t>
            </w:r>
          </w:p>
        </w:tc>
      </w:tr>
      <w:tr w:rsidR="007164AD" w:rsidRPr="00ED3190" w14:paraId="752203A7" w14:textId="77777777" w:rsidTr="00022AC7">
        <w:trPr>
          <w:cantSplit/>
          <w:trHeight w:val="20"/>
        </w:trPr>
        <w:tc>
          <w:tcPr>
            <w:tcW w:w="5000" w:type="pct"/>
            <w:gridSpan w:val="3"/>
          </w:tcPr>
          <w:p w14:paraId="29427227" w14:textId="77777777" w:rsidR="007164AD" w:rsidRPr="00ED3190" w:rsidRDefault="007164AD" w:rsidP="00022AC7">
            <w:pPr>
              <w:pStyle w:val="TableText0"/>
              <w:keepLines/>
              <w:rPr>
                <w:b/>
              </w:rPr>
            </w:pPr>
            <w:r w:rsidRPr="00ED3190">
              <w:rPr>
                <w:rFonts w:eastAsiaTheme="minorEastAsia"/>
                <w:szCs w:val="20"/>
              </w:rPr>
              <w:t>Age(s) of administration(s) other restrictions or details:</w:t>
            </w:r>
          </w:p>
        </w:tc>
      </w:tr>
      <w:tr w:rsidR="007164AD" w:rsidRPr="00ED3190" w14:paraId="212C455F" w14:textId="77777777" w:rsidTr="00022AC7">
        <w:trPr>
          <w:cantSplit/>
          <w:trHeight w:val="20"/>
        </w:trPr>
        <w:tc>
          <w:tcPr>
            <w:tcW w:w="1666" w:type="pct"/>
          </w:tcPr>
          <w:p w14:paraId="34F31FEF" w14:textId="77777777" w:rsidR="007164AD" w:rsidRPr="00ED3190" w:rsidRDefault="007164AD" w:rsidP="00022AC7">
            <w:pPr>
              <w:pStyle w:val="TableText0"/>
              <w:keepLines/>
              <w:rPr>
                <w:rFonts w:eastAsia="Times New Roman"/>
                <w:b/>
                <w:bCs w:val="0"/>
              </w:rPr>
            </w:pPr>
            <w:r w:rsidRPr="00ED3190">
              <w:rPr>
                <w:rFonts w:eastAsia="Times New Roman"/>
                <w:b/>
                <w:bCs w:val="0"/>
              </w:rPr>
              <w:t xml:space="preserve">Disease </w:t>
            </w:r>
          </w:p>
        </w:tc>
        <w:tc>
          <w:tcPr>
            <w:tcW w:w="1667" w:type="pct"/>
          </w:tcPr>
          <w:p w14:paraId="6E1CD23D" w14:textId="77777777" w:rsidR="007164AD" w:rsidRPr="00ED3190" w:rsidRDefault="007164AD" w:rsidP="00022AC7">
            <w:pPr>
              <w:pStyle w:val="TableText0"/>
              <w:keepLines/>
              <w:rPr>
                <w:rFonts w:eastAsia="Times New Roman"/>
                <w:b/>
                <w:bCs w:val="0"/>
              </w:rPr>
            </w:pPr>
            <w:r w:rsidRPr="00ED3190">
              <w:rPr>
                <w:rFonts w:eastAsia="Times New Roman"/>
                <w:b/>
                <w:bCs w:val="0"/>
              </w:rPr>
              <w:t>Vaccine</w:t>
            </w:r>
          </w:p>
        </w:tc>
        <w:tc>
          <w:tcPr>
            <w:tcW w:w="1667" w:type="pct"/>
          </w:tcPr>
          <w:p w14:paraId="62BA53C3" w14:textId="77777777" w:rsidR="007164AD" w:rsidRPr="00ED3190" w:rsidRDefault="007164AD" w:rsidP="00022AC7">
            <w:pPr>
              <w:pStyle w:val="TableText0"/>
              <w:keepLines/>
              <w:rPr>
                <w:rFonts w:eastAsia="Times New Roman"/>
                <w:b/>
                <w:bCs w:val="0"/>
              </w:rPr>
            </w:pPr>
            <w:r w:rsidRPr="00ED3190">
              <w:rPr>
                <w:rFonts w:eastAsia="Times New Roman"/>
                <w:b/>
                <w:bCs w:val="0"/>
              </w:rPr>
              <w:t>Comments</w:t>
            </w:r>
          </w:p>
        </w:tc>
      </w:tr>
      <w:tr w:rsidR="007164AD" w:rsidRPr="00ED3190" w14:paraId="6767A550" w14:textId="77777777" w:rsidTr="00022AC7">
        <w:trPr>
          <w:cantSplit/>
          <w:trHeight w:val="20"/>
        </w:trPr>
        <w:tc>
          <w:tcPr>
            <w:tcW w:w="1666" w:type="pct"/>
          </w:tcPr>
          <w:p w14:paraId="3A6E05B5" w14:textId="77777777" w:rsidR="007164AD" w:rsidRPr="00ED3190" w:rsidRDefault="007164AD" w:rsidP="00022AC7">
            <w:pPr>
              <w:pStyle w:val="TableText0"/>
              <w:keepLines/>
              <w:rPr>
                <w:rFonts w:eastAsia="Times New Roman"/>
              </w:rPr>
            </w:pPr>
            <w:r w:rsidRPr="00ED3190">
              <w:rPr>
                <w:rFonts w:eastAsiaTheme="minorEastAsia"/>
                <w:szCs w:val="20"/>
              </w:rPr>
              <w:t>RSV in infants aged 0-6 months</w:t>
            </w:r>
          </w:p>
        </w:tc>
        <w:tc>
          <w:tcPr>
            <w:tcW w:w="1667" w:type="pct"/>
          </w:tcPr>
          <w:p w14:paraId="29DDD370" w14:textId="77777777" w:rsidR="007164AD" w:rsidRPr="00ED3190" w:rsidRDefault="007164AD" w:rsidP="00022AC7">
            <w:pPr>
              <w:pStyle w:val="TableText0"/>
              <w:keepLines/>
              <w:rPr>
                <w:rFonts w:eastAsia="Times New Roman"/>
              </w:rPr>
            </w:pPr>
            <w:r w:rsidRPr="00ED3190">
              <w:rPr>
                <w:szCs w:val="20"/>
              </w:rPr>
              <w:t xml:space="preserve">RSVpreF (Abrysvo) 0.5 mL </w:t>
            </w:r>
            <w:r w:rsidRPr="00ED3190">
              <w:rPr>
                <w:rFonts w:eastAsiaTheme="minorEastAsia"/>
                <w:szCs w:val="20"/>
              </w:rPr>
              <w:t>containing 120 micrograms (mcg) of stabilised prefusion F protein</w:t>
            </w:r>
            <w:r w:rsidRPr="00ED3190">
              <w:rPr>
                <w:szCs w:val="20"/>
              </w:rPr>
              <w:t>s</w:t>
            </w:r>
            <w:r w:rsidRPr="00ED3190">
              <w:rPr>
                <w:rFonts w:eastAsiaTheme="minorEastAsia"/>
                <w:szCs w:val="20"/>
              </w:rPr>
              <w:t xml:space="preserve"> (60 mcg RSV-A and 60 mcg RSV-B antigens)</w:t>
            </w:r>
          </w:p>
        </w:tc>
        <w:tc>
          <w:tcPr>
            <w:tcW w:w="1667" w:type="pct"/>
          </w:tcPr>
          <w:p w14:paraId="3E052BA1" w14:textId="77777777" w:rsidR="007164AD" w:rsidRPr="00ED3190" w:rsidRDefault="007164AD" w:rsidP="00022AC7">
            <w:pPr>
              <w:pStyle w:val="TableText0"/>
              <w:keepLines/>
              <w:rPr>
                <w:rFonts w:eastAsia="Times New Roman"/>
              </w:rPr>
            </w:pPr>
          </w:p>
        </w:tc>
      </w:tr>
    </w:tbl>
    <w:p w14:paraId="0E3DE880" w14:textId="77777777" w:rsidR="007164AD" w:rsidRPr="00ED3190" w:rsidRDefault="007164AD" w:rsidP="007164AD">
      <w:pPr>
        <w:pStyle w:val="FooterTableFigure"/>
        <w:keepNext/>
      </w:pPr>
      <w:r w:rsidRPr="00ED3190">
        <w:t>Source: Table 3.2, p6 of the resubmission.</w:t>
      </w:r>
    </w:p>
    <w:p w14:paraId="780D2254" w14:textId="3FAA4B82" w:rsidR="007164AD" w:rsidRPr="00ED3190" w:rsidRDefault="00FA2DA6" w:rsidP="007164AD">
      <w:pPr>
        <w:pStyle w:val="FooterTableFigure"/>
        <w:keepNext/>
      </w:pPr>
      <w:r>
        <w:t xml:space="preserve">Abbreviations: </w:t>
      </w:r>
      <w:r w:rsidR="007164AD" w:rsidRPr="00ED3190">
        <w:t>RSV = respiratory syncytial virus; RSVpreF = recombinant respiratory syncytial virus pre-fusion F protein vaccine.</w:t>
      </w:r>
    </w:p>
    <w:p w14:paraId="2AEAFAAF" w14:textId="77777777" w:rsidR="007164AD" w:rsidRPr="00ED3190" w:rsidRDefault="007164AD" w:rsidP="007164AD">
      <w:pPr>
        <w:pStyle w:val="FooterTableFigure"/>
        <w:keepNext/>
      </w:pPr>
      <w:r w:rsidRPr="00ED3190">
        <w:t>* administration after 36 weeks is acceptable, noting two weeks between vaccination and birth are required for adequate transplacental transfer of maternal antibodies against RSV.</w:t>
      </w:r>
    </w:p>
    <w:p w14:paraId="139FE351" w14:textId="77777777" w:rsidR="007164AD" w:rsidRPr="00ED3190" w:rsidRDefault="007164AD" w:rsidP="007164AD">
      <w:pPr>
        <w:pStyle w:val="3-BodyText"/>
      </w:pPr>
      <w:bookmarkStart w:id="125" w:name="_Ref167396956"/>
      <w:r w:rsidRPr="00ED3190">
        <w:t xml:space="preserve">The resubmission acknowledged the updated ATAGI advice to the PBAC dated 18 December 2023 (herein “updated ATAGI advice”), regarding the recommended gestational age at vaccination with RSVpreF. The updated ATAGI advice stated RSV vaccine during pregnancy should be given from 28 to 36 weeks gestation, but administration after 36 weeks is acceptable, noting that two weeks are needed for adequate transfer of antibodies. This advice was reflected in the </w:t>
      </w:r>
      <w:r w:rsidRPr="00ED3190">
        <w:rPr>
          <w:szCs w:val="20"/>
        </w:rPr>
        <w:t>proposed NIP schedule listing.</w:t>
      </w:r>
      <w:bookmarkEnd w:id="124"/>
      <w:bookmarkEnd w:id="125"/>
    </w:p>
    <w:p w14:paraId="77E068CC" w14:textId="202368E3" w:rsidR="007164AD" w:rsidRPr="00ED3190" w:rsidRDefault="007164AD" w:rsidP="007164AD">
      <w:pPr>
        <w:pStyle w:val="3-BodyText"/>
      </w:pPr>
      <w:r w:rsidRPr="00ED3190">
        <w:t xml:space="preserve">The resubmission acknowledged the updated ATAGI advice that maternal RSV vaccine can be given either at the same time as, or separate to, other maternal vaccines at the recommended gestational age. The resubmission stated that there should be sufficient time for all potential maternal NIP vaccinations (RSVpreF, dTpa, influenza) to be administered in routine antenatal care, given the ATAGI advice with respect to vaccination window (see paragraph </w:t>
      </w:r>
      <w:r w:rsidRPr="00ED3190">
        <w:fldChar w:fldCharType="begin"/>
      </w:r>
      <w:r w:rsidRPr="00ED3190">
        <w:instrText xml:space="preserve"> REF _Ref167396956 \r \h </w:instrText>
      </w:r>
      <w:r w:rsidRPr="00ED3190">
        <w:fldChar w:fldCharType="separate"/>
      </w:r>
      <w:r w:rsidR="00A46CAC">
        <w:t>12.1</w:t>
      </w:r>
      <w:r w:rsidRPr="00ED3190">
        <w:fldChar w:fldCharType="end"/>
      </w:r>
      <w:r w:rsidRPr="00ED3190">
        <w:t>).</w:t>
      </w:r>
    </w:p>
    <w:p w14:paraId="77215A29" w14:textId="517619DD" w:rsidR="007164AD" w:rsidRPr="00ED3190" w:rsidRDefault="007164AD" w:rsidP="007164AD">
      <w:pPr>
        <w:pStyle w:val="3-BodyText"/>
      </w:pPr>
      <w:r w:rsidRPr="00ED3190">
        <w:t>The resubmission proposed a price of $</w:t>
      </w:r>
      <w:r w:rsidR="00B3542F" w:rsidRPr="00B3542F">
        <w:rPr>
          <w:color w:val="000000"/>
          <w:w w:val="60"/>
          <w:shd w:val="solid" w:color="000000" w:fill="000000"/>
          <w:fitText w:val="470" w:id="-931930365"/>
          <w14:textFill>
            <w14:solidFill>
              <w14:srgbClr w14:val="000000">
                <w14:alpha w14:val="100000"/>
              </w14:srgbClr>
            </w14:solidFill>
          </w14:textFill>
        </w:rPr>
        <w:t>|||  ||</w:t>
      </w:r>
      <w:r w:rsidR="00B3542F" w:rsidRPr="00B3542F">
        <w:rPr>
          <w:color w:val="000000"/>
          <w:spacing w:val="6"/>
          <w:w w:val="60"/>
          <w:shd w:val="solid" w:color="000000" w:fill="000000"/>
          <w:fitText w:val="470" w:id="-931930365"/>
          <w14:textFill>
            <w14:solidFill>
              <w14:srgbClr w14:val="000000">
                <w14:alpha w14:val="100000"/>
              </w14:srgbClr>
            </w14:solidFill>
          </w14:textFill>
        </w:rPr>
        <w:t>|</w:t>
      </w:r>
      <w:r w:rsidRPr="00ED3190">
        <w:t xml:space="preserve"> per dose of RSVpreF.</w:t>
      </w:r>
    </w:p>
    <w:p w14:paraId="558CC111" w14:textId="77777777" w:rsidR="007164AD" w:rsidRPr="00ED3190" w:rsidRDefault="007164AD" w:rsidP="007164AD">
      <w:pPr>
        <w:pStyle w:val="3-BodyText"/>
        <w:numPr>
          <w:ilvl w:val="0"/>
          <w:numId w:val="0"/>
        </w:numPr>
        <w:ind w:left="720"/>
      </w:pPr>
      <w:r w:rsidRPr="00ED3190">
        <w:rPr>
          <w:i/>
        </w:rPr>
        <w:t>For more detail on PBAC’s view, see section 12 PBAC outcome.</w:t>
      </w:r>
    </w:p>
    <w:p w14:paraId="13D791DB" w14:textId="77777777" w:rsidR="007164AD" w:rsidRPr="00ED3190" w:rsidRDefault="007164AD" w:rsidP="007164AD">
      <w:pPr>
        <w:pStyle w:val="COMH1numbered"/>
        <w:numPr>
          <w:ilvl w:val="0"/>
          <w:numId w:val="1"/>
        </w:numPr>
      </w:pPr>
      <w:r w:rsidRPr="00ED3190">
        <w:t>Consideration of the evidence</w:t>
      </w:r>
    </w:p>
    <w:p w14:paraId="50032885" w14:textId="77777777" w:rsidR="007164AD" w:rsidRPr="00ED3190" w:rsidRDefault="007164AD" w:rsidP="007164AD">
      <w:pPr>
        <w:pStyle w:val="4-SubsectionHeading"/>
      </w:pPr>
      <w:bookmarkStart w:id="126" w:name="_Hlk150432441"/>
      <w:r w:rsidRPr="00ED3190">
        <w:t>Sponsor hearing</w:t>
      </w:r>
    </w:p>
    <w:p w14:paraId="2436455E" w14:textId="77777777" w:rsidR="007164AD" w:rsidRPr="00ED3190" w:rsidRDefault="007164AD" w:rsidP="007164AD">
      <w:pPr>
        <w:widowControl w:val="0"/>
        <w:numPr>
          <w:ilvl w:val="1"/>
          <w:numId w:val="1"/>
        </w:numPr>
        <w:spacing w:after="120"/>
        <w:ind w:left="720" w:hanging="720"/>
        <w:rPr>
          <w:rFonts w:cs="Calibri"/>
          <w:bCs/>
          <w:snapToGrid w:val="0"/>
        </w:rPr>
      </w:pPr>
      <w:r w:rsidRPr="00ED3190">
        <w:rPr>
          <w:rFonts w:cs="Calibri"/>
          <w:bCs/>
          <w:snapToGrid w:val="0"/>
        </w:rPr>
        <w:t>There was no hearing for this item.</w:t>
      </w:r>
    </w:p>
    <w:p w14:paraId="510FF2D3" w14:textId="77777777" w:rsidR="007164AD" w:rsidRPr="00ED3190" w:rsidRDefault="007164AD" w:rsidP="007164AD">
      <w:pPr>
        <w:pStyle w:val="4-SubsectionHeading"/>
      </w:pPr>
      <w:r w:rsidRPr="00ED3190">
        <w:t>Consumer comments</w:t>
      </w:r>
    </w:p>
    <w:p w14:paraId="0FE6EF30" w14:textId="5A7EF6B4" w:rsidR="007164AD" w:rsidRPr="00ED3190" w:rsidRDefault="007164AD" w:rsidP="00A13605">
      <w:pPr>
        <w:widowControl w:val="0"/>
        <w:numPr>
          <w:ilvl w:val="1"/>
          <w:numId w:val="1"/>
        </w:numPr>
        <w:spacing w:after="120"/>
        <w:ind w:left="720" w:hanging="720"/>
      </w:pPr>
      <w:r w:rsidRPr="009C2014">
        <w:rPr>
          <w:rFonts w:asciiTheme="minorHAnsi" w:hAnsiTheme="minorHAnsi"/>
          <w:bCs/>
          <w:snapToGrid w:val="0"/>
        </w:rPr>
        <w:t xml:space="preserve">Previously the PBAC considered comments from three organisations that supported the proposed NIP listing for RSVpreF at the March 2024 meeting (see paragraphs </w:t>
      </w:r>
      <w:r w:rsidRPr="009C2014">
        <w:rPr>
          <w:rFonts w:asciiTheme="minorHAnsi" w:hAnsiTheme="minorHAnsi"/>
          <w:bCs/>
          <w:snapToGrid w:val="0"/>
        </w:rPr>
        <w:fldChar w:fldCharType="begin"/>
      </w:r>
      <w:r w:rsidRPr="009C2014">
        <w:rPr>
          <w:rFonts w:asciiTheme="minorHAnsi" w:hAnsiTheme="minorHAnsi"/>
          <w:bCs/>
          <w:snapToGrid w:val="0"/>
        </w:rPr>
        <w:instrText xml:space="preserve"> REF _Ref167357605 \r \h </w:instrText>
      </w:r>
      <w:r w:rsidRPr="009C2014">
        <w:rPr>
          <w:rFonts w:asciiTheme="minorHAnsi" w:hAnsiTheme="minorHAnsi"/>
          <w:bCs/>
          <w:snapToGrid w:val="0"/>
        </w:rPr>
        <w:fldChar w:fldCharType="separate"/>
      </w:r>
      <w:r w:rsidR="00A46CAC">
        <w:rPr>
          <w:rFonts w:asciiTheme="minorHAnsi" w:hAnsiTheme="minorHAnsi"/>
          <w:b/>
          <w:snapToGrid w:val="0"/>
          <w:lang w:val="en-US"/>
        </w:rPr>
        <w:t>Error! Reference source not found.</w:t>
      </w:r>
      <w:r w:rsidRPr="009C2014">
        <w:rPr>
          <w:rFonts w:asciiTheme="minorHAnsi" w:hAnsiTheme="minorHAnsi"/>
          <w:bCs/>
          <w:snapToGrid w:val="0"/>
        </w:rPr>
        <w:fldChar w:fldCharType="end"/>
      </w:r>
      <w:r w:rsidRPr="009C2014">
        <w:rPr>
          <w:rFonts w:asciiTheme="minorHAnsi" w:hAnsiTheme="minorHAnsi"/>
          <w:bCs/>
          <w:snapToGrid w:val="0"/>
        </w:rPr>
        <w:t xml:space="preserve"> to </w:t>
      </w:r>
      <w:r w:rsidRPr="009C2014">
        <w:rPr>
          <w:rFonts w:asciiTheme="minorHAnsi" w:hAnsiTheme="minorHAnsi"/>
          <w:bCs/>
          <w:snapToGrid w:val="0"/>
        </w:rPr>
        <w:fldChar w:fldCharType="begin"/>
      </w:r>
      <w:r w:rsidRPr="009C2014">
        <w:rPr>
          <w:rFonts w:asciiTheme="minorHAnsi" w:hAnsiTheme="minorHAnsi"/>
          <w:bCs/>
          <w:snapToGrid w:val="0"/>
        </w:rPr>
        <w:instrText xml:space="preserve"> REF _Ref167357608 \r \h </w:instrText>
      </w:r>
      <w:r w:rsidRPr="009C2014">
        <w:rPr>
          <w:rFonts w:asciiTheme="minorHAnsi" w:hAnsiTheme="minorHAnsi"/>
          <w:bCs/>
          <w:snapToGrid w:val="0"/>
        </w:rPr>
        <w:fldChar w:fldCharType="separate"/>
      </w:r>
      <w:r w:rsidR="00A46CAC">
        <w:rPr>
          <w:rFonts w:asciiTheme="minorHAnsi" w:hAnsiTheme="minorHAnsi"/>
          <w:b/>
          <w:snapToGrid w:val="0"/>
          <w:lang w:val="en-US"/>
        </w:rPr>
        <w:t>Error! Reference source not found.</w:t>
      </w:r>
      <w:r w:rsidRPr="009C2014">
        <w:rPr>
          <w:rFonts w:asciiTheme="minorHAnsi" w:hAnsiTheme="minorHAnsi"/>
          <w:bCs/>
          <w:snapToGrid w:val="0"/>
        </w:rPr>
        <w:fldChar w:fldCharType="end"/>
      </w:r>
      <w:r w:rsidRPr="009C2014">
        <w:rPr>
          <w:rFonts w:asciiTheme="minorHAnsi" w:hAnsiTheme="minorHAnsi"/>
          <w:bCs/>
          <w:snapToGrid w:val="0"/>
        </w:rPr>
        <w:t>).</w:t>
      </w:r>
      <w:bookmarkEnd w:id="126"/>
    </w:p>
    <w:p w14:paraId="2972B238" w14:textId="77777777" w:rsidR="007164AD" w:rsidRPr="00ED3190" w:rsidRDefault="007164AD" w:rsidP="007164AD">
      <w:pPr>
        <w:pStyle w:val="4-SubsectionHeading"/>
      </w:pPr>
      <w:r w:rsidRPr="00ED3190">
        <w:t>Vaccine efficacy</w:t>
      </w:r>
    </w:p>
    <w:p w14:paraId="302BE782" w14:textId="15FD7625" w:rsidR="007164AD" w:rsidRPr="00ED3190" w:rsidRDefault="007164AD" w:rsidP="007164AD">
      <w:pPr>
        <w:pStyle w:val="3-BodyText"/>
      </w:pPr>
      <w:r w:rsidRPr="00ED3190">
        <w:t xml:space="preserve">At the March 2024 meeting, the PBAC considered that RSVpreF was superior to placebo in terms of effectiveness on the basis of the RSV-positive MA-LRTI and </w:t>
      </w:r>
      <w:r w:rsidRPr="00ED3190">
        <w:lastRenderedPageBreak/>
        <w:t>RSV</w:t>
      </w:r>
      <w:r w:rsidRPr="00ED3190">
        <w:noBreakHyphen/>
        <w:t xml:space="preserve">positive severe MA-LRTI endpoints for the overall population in the MATISSE trial (paragraph </w:t>
      </w:r>
      <w:r w:rsidRPr="00ED3190">
        <w:fldChar w:fldCharType="begin"/>
      </w:r>
      <w:r w:rsidRPr="00ED3190">
        <w:instrText xml:space="preserve"> REF _Ref167364771 \r \h </w:instrText>
      </w:r>
      <w:r w:rsidRPr="00ED3190">
        <w:fldChar w:fldCharType="separate"/>
      </w:r>
      <w:r w:rsidR="00A46CAC">
        <w:rPr>
          <w:b/>
          <w:bCs/>
          <w:lang w:val="en-US"/>
        </w:rPr>
        <w:t>Error! Reference source not found.</w:t>
      </w:r>
      <w:r w:rsidRPr="00ED3190">
        <w:fldChar w:fldCharType="end"/>
      </w:r>
      <w:r w:rsidRPr="00ED3190">
        <w:t xml:space="preserve">). At that meeting, the PBAC noted that the PSCR and pre-PBAC response had provided data for the subgroup vaccinated from 28 weeks to &lt;37 weeks gestation, however considered the magnitude of effect in the subgroup was less certain due to the relatively small number of cases of RSV-positive MA-LRTI and RSV-positive severe MA-LRTI in the subgroup, in comparison with the overall analysis (paragraph </w:t>
      </w:r>
      <w:r w:rsidRPr="00ED3190">
        <w:fldChar w:fldCharType="begin"/>
      </w:r>
      <w:r w:rsidRPr="00ED3190">
        <w:instrText xml:space="preserve"> REF _Ref167364768 \r \h </w:instrText>
      </w:r>
      <w:r w:rsidRPr="00ED3190">
        <w:fldChar w:fldCharType="separate"/>
      </w:r>
      <w:r w:rsidR="00A46CAC">
        <w:rPr>
          <w:b/>
          <w:bCs/>
          <w:lang w:val="en-US"/>
        </w:rPr>
        <w:t>Error! Reference source not found.</w:t>
      </w:r>
      <w:r w:rsidRPr="00ED3190">
        <w:fldChar w:fldCharType="end"/>
      </w:r>
      <w:r w:rsidRPr="00ED3190">
        <w:t>).</w:t>
      </w:r>
    </w:p>
    <w:p w14:paraId="70D0E35A" w14:textId="37F6D1C9" w:rsidR="00DB24CC" w:rsidRDefault="007164AD" w:rsidP="007164AD">
      <w:pPr>
        <w:pStyle w:val="3-BodyText"/>
      </w:pPr>
      <w:r w:rsidRPr="00ED3190">
        <w:t xml:space="preserve">The resubmission maintained that the VE results from the MATISSE study for the subgroup of women vaccinated between 28 and &lt;37 weeks gestation were appropriate to inform the base case economic model. However, no information was provided to address the PBAC’s concern discussed in paragraph </w:t>
      </w:r>
      <w:r w:rsidRPr="00ED3190">
        <w:fldChar w:fldCharType="begin"/>
      </w:r>
      <w:r w:rsidRPr="00ED3190">
        <w:instrText xml:space="preserve"> REF _Ref167364768 \r \h </w:instrText>
      </w:r>
      <w:r w:rsidRPr="00ED3190">
        <w:fldChar w:fldCharType="separate"/>
      </w:r>
      <w:r w:rsidR="00A46CAC">
        <w:rPr>
          <w:b/>
          <w:bCs/>
          <w:lang w:val="en-US"/>
        </w:rPr>
        <w:t>Error! Reference source not found.</w:t>
      </w:r>
      <w:r w:rsidRPr="00ED3190">
        <w:fldChar w:fldCharType="end"/>
      </w:r>
      <w:r w:rsidRPr="00ED3190">
        <w:t xml:space="preserve"> regarding the use of outcomes from a subgroup of a trial population to determine the magnitude of benefit. The resubmission stated that it applied the overall results from the MATISSE study in the economic model, consistent with PBAC advice, to facilitate the Early Resolution resubmission, and considered that this was conservative.</w:t>
      </w:r>
    </w:p>
    <w:p w14:paraId="08B8E85C" w14:textId="7215C193" w:rsidR="00DB24CC" w:rsidRDefault="007164AD" w:rsidP="007164AD">
      <w:pPr>
        <w:pStyle w:val="3-BodyText"/>
      </w:pPr>
      <w:r w:rsidRPr="00ED3190">
        <w:t xml:space="preserve">At the March 2024 meeting, the PBAC noted that the pre-PBAC response had provided an updated economic model informed by trial data for VE with a follow-up period of only 6 months, compared with 12 months as provided in the submission (paragraph </w:t>
      </w:r>
      <w:r w:rsidRPr="00ED3190">
        <w:fldChar w:fldCharType="begin"/>
      </w:r>
      <w:r w:rsidRPr="00ED3190">
        <w:instrText xml:space="preserve"> REF _Ref164238813 \r \h </w:instrText>
      </w:r>
      <w:r w:rsidRPr="00ED3190">
        <w:fldChar w:fldCharType="separate"/>
      </w:r>
      <w:r w:rsidR="00A46CAC">
        <w:t>6.65</w:t>
      </w:r>
      <w:r w:rsidRPr="00ED3190">
        <w:fldChar w:fldCharType="end"/>
      </w:r>
      <w:r w:rsidRPr="00ED3190">
        <w:t>). At that meeting, the PBAC considered that it would be more robust to apply the observed data for VE from the first year of the trial.</w:t>
      </w:r>
    </w:p>
    <w:p w14:paraId="097BAAB2" w14:textId="4A42AE06" w:rsidR="007164AD" w:rsidRPr="00ED3190" w:rsidRDefault="007164AD" w:rsidP="007164AD">
      <w:pPr>
        <w:pStyle w:val="3-BodyText"/>
      </w:pPr>
      <w:r w:rsidRPr="00ED3190">
        <w:t>The resubmission stated that at the time of the primary analysis, the MATISSE trial was ongoing and results for the 360 day VE against hospitalised MA-LRTI remained immature and relatively uncertain. The resubmission referred to the final analysis results reported by Munjal et al., 2024</w:t>
      </w:r>
      <w:r w:rsidRPr="00ED3190">
        <w:rPr>
          <w:vertAlign w:val="superscript"/>
        </w:rPr>
        <w:footnoteReference w:id="42"/>
      </w:r>
      <w:r w:rsidRPr="00ED3190">
        <w:t>, that were provided with the pre</w:t>
      </w:r>
      <w:r w:rsidRPr="00ED3190">
        <w:noBreakHyphen/>
        <w:t xml:space="preserve">PBAC response (see paragraph </w:t>
      </w:r>
      <w:r w:rsidRPr="00ED3190">
        <w:fldChar w:fldCharType="begin"/>
      </w:r>
      <w:r w:rsidRPr="00ED3190">
        <w:instrText xml:space="preserve"> REF _Ref163593559 \r \h </w:instrText>
      </w:r>
      <w:r w:rsidRPr="00ED3190">
        <w:fldChar w:fldCharType="separate"/>
      </w:r>
      <w:r w:rsidR="00A46CAC">
        <w:t>6.10</w:t>
      </w:r>
      <w:r w:rsidRPr="00ED3190">
        <w:fldChar w:fldCharType="end"/>
      </w:r>
      <w:r w:rsidRPr="00ED3190">
        <w:t>), but did not propose to use these data in the economic model.</w:t>
      </w:r>
      <w:bookmarkStart w:id="127" w:name="_Ref167365324"/>
    </w:p>
    <w:p w14:paraId="685033BF" w14:textId="77777777" w:rsidR="007164AD" w:rsidRPr="00ED3190" w:rsidRDefault="007164AD" w:rsidP="007164AD">
      <w:pPr>
        <w:pStyle w:val="3-BodyText"/>
      </w:pPr>
      <w:r w:rsidRPr="00ED3190">
        <w:t>The resubmission stated that the duration of protection of approximately 6 months (rather than 12 months as hypothesised in the initial submission) is reflected in the final TGA-approved indication, and aligns with the highest burden of hospitalisations due to RSV in the first 6 months of an infant’s life. The resubmission considered that clinical data for the 6-month time point are more robust, given this was the primary outcome of the pivotal trial and a higher proportion of infant participants had completed the follow-up visit 6 months after birth compared with the follow-up visit at 12 months after birth.</w:t>
      </w:r>
      <w:bookmarkEnd w:id="127"/>
    </w:p>
    <w:p w14:paraId="5789D344" w14:textId="77777777" w:rsidR="00DB24CC" w:rsidRDefault="007164AD" w:rsidP="007164AD">
      <w:pPr>
        <w:pStyle w:val="4-SubsectionHeading"/>
      </w:pPr>
      <w:r w:rsidRPr="00ED3190">
        <w:lastRenderedPageBreak/>
        <w:t>Economic analysis</w:t>
      </w:r>
    </w:p>
    <w:p w14:paraId="4D732372" w14:textId="38B6CAAB" w:rsidR="007164AD" w:rsidRPr="00ED3190" w:rsidRDefault="007164AD" w:rsidP="007164AD">
      <w:pPr>
        <w:pStyle w:val="3-BodyText"/>
      </w:pPr>
      <w:bookmarkStart w:id="128" w:name="_Ref167375990"/>
      <w:r w:rsidRPr="00ED3190">
        <w:t>Consistent with the March 2024 submission, the resubmission presented a revised economic analysis assessing the cost</w:t>
      </w:r>
      <w:r w:rsidRPr="00ED3190">
        <w:noBreakHyphen/>
        <w:t>effectiveness of a year-round maternal RSV immunisation program using RSVpreF, in comparison to current practice (no vaccine). The resubmission applied 6-month VE estimates from MATISSE in the revised base case, claiming this would reduce uncertainty in the economic analysis.</w:t>
      </w:r>
      <w:bookmarkEnd w:id="128"/>
    </w:p>
    <w:p w14:paraId="5523A5F4" w14:textId="0ECE21B9" w:rsidR="007164AD" w:rsidRPr="00ED3190" w:rsidRDefault="007164AD" w:rsidP="007164AD">
      <w:pPr>
        <w:pStyle w:val="3-BodyText"/>
      </w:pPr>
      <w:r w:rsidRPr="00ED3190">
        <w:t xml:space="preserve">The resubmission’s revised base case incorporated the following changes, consistent with PBAC advice as set out in paragraph </w:t>
      </w:r>
      <w:r w:rsidRPr="00ED3190">
        <w:fldChar w:fldCharType="begin"/>
      </w:r>
      <w:r w:rsidRPr="00ED3190">
        <w:instrText xml:space="preserve"> REF _Ref164194093 \r \h </w:instrText>
      </w:r>
      <w:r w:rsidRPr="00ED3190">
        <w:fldChar w:fldCharType="separate"/>
      </w:r>
      <w:r w:rsidR="00A46CAC">
        <w:t>7.20</w:t>
      </w:r>
      <w:r w:rsidRPr="00ED3190">
        <w:fldChar w:fldCharType="end"/>
      </w:r>
      <w:r w:rsidRPr="00ED3190">
        <w:t>: 1) Outpatient attendance cost of $61.80; 2) Hospitalisation cost of $14,991; 3) Exclusion of carer QALYs lost from the base case; and 4) Reverse discounting to vaccine costs. The resubmission did not implement the PBAC’s advice in relation to the inputs for VE in its revised base case (ICER $</w:t>
      </w:r>
      <w:r w:rsidR="001244DF">
        <w:t>15,000</w:t>
      </w:r>
      <w:r w:rsidR="00852253">
        <w:t> </w:t>
      </w:r>
      <w:r w:rsidR="001244DF">
        <w:t>to</w:t>
      </w:r>
      <w:r w:rsidR="00852253">
        <w:t> </w:t>
      </w:r>
      <w:r w:rsidR="001244DF">
        <w:t>&lt;$25,000</w:t>
      </w:r>
      <w:r w:rsidRPr="00ED3190">
        <w:t xml:space="preserve">/QALY). The PBAC had advised that VE of 33% should be applied for hospitalisations, and VE of 45% should be applied for ED and outpatient attendance events, based on trial results over 12 months as presented in </w:t>
      </w:r>
      <w:r w:rsidRPr="00ED3190">
        <w:fldChar w:fldCharType="begin"/>
      </w:r>
      <w:r w:rsidRPr="00ED3190">
        <w:instrText xml:space="preserve"> REF _Ref155780912 \h </w:instrText>
      </w:r>
      <w:r w:rsidRPr="00ED3190">
        <w:fldChar w:fldCharType="separate"/>
      </w:r>
      <w:r w:rsidR="00A46CAC" w:rsidRPr="0035358E">
        <w:t xml:space="preserve">Table </w:t>
      </w:r>
      <w:r w:rsidR="00A46CAC">
        <w:rPr>
          <w:noProof/>
        </w:rPr>
        <w:t>13</w:t>
      </w:r>
      <w:r w:rsidRPr="00ED3190">
        <w:fldChar w:fldCharType="end"/>
      </w:r>
      <w:r w:rsidRPr="00ED3190">
        <w:t>. The resubmission did, however, present an alternative analysis which did incorporate this advice, and this resulted in an ICER of $</w:t>
      </w:r>
      <w:r w:rsidR="001244DF">
        <w:t>45,000</w:t>
      </w:r>
      <w:r w:rsidR="00852253">
        <w:t> </w:t>
      </w:r>
      <w:r w:rsidR="001244DF">
        <w:t>to</w:t>
      </w:r>
      <w:r w:rsidR="00852253">
        <w:t> </w:t>
      </w:r>
      <w:r w:rsidR="001244DF">
        <w:t>&lt;$55,000</w:t>
      </w:r>
      <w:r w:rsidRPr="00ED3190">
        <w:t>/QALY using the resubmission’s proposed vial price.</w:t>
      </w:r>
    </w:p>
    <w:p w14:paraId="53A25DCD" w14:textId="59C889CD" w:rsidR="007164AD" w:rsidRPr="00ED3190" w:rsidRDefault="007164AD" w:rsidP="007164AD">
      <w:pPr>
        <w:pStyle w:val="3-BodyText"/>
      </w:pPr>
      <w:r w:rsidRPr="00ED3190">
        <w:t>In March 2024, the PBAC advised that exclusion of carer QALYs lost from the base case was appropriate, although it noted that inclusion in a sensitivity analysis was informative.</w:t>
      </w:r>
      <w:r w:rsidR="00C63E95">
        <w:t xml:space="preserve"> </w:t>
      </w:r>
      <w:r w:rsidRPr="00ED3190">
        <w:t>The resubmission maintained that inclusion of carer QALYs would be appropriate in scenarios impacting infants and their carers (such as for RSV prevention), however it excluded carer quality of life effects in line with the PBAC recommendation.</w:t>
      </w:r>
    </w:p>
    <w:p w14:paraId="16F56B59" w14:textId="10478B42" w:rsidR="007164AD" w:rsidRPr="00ED3190" w:rsidRDefault="007164AD" w:rsidP="007164AD">
      <w:pPr>
        <w:pStyle w:val="3-BodyText"/>
      </w:pPr>
      <w:r w:rsidRPr="00ED3190">
        <w:fldChar w:fldCharType="begin"/>
      </w:r>
      <w:r w:rsidRPr="00ED3190">
        <w:instrText xml:space="preserve"> REF _Ref167394820 \h </w:instrText>
      </w:r>
      <w:r w:rsidRPr="00ED3190">
        <w:fldChar w:fldCharType="separate"/>
      </w:r>
      <w:r w:rsidR="00A46CAC" w:rsidRPr="00ED3190">
        <w:t xml:space="preserve">Table </w:t>
      </w:r>
      <w:r w:rsidR="00A46CAC">
        <w:rPr>
          <w:noProof/>
        </w:rPr>
        <w:t>22</w:t>
      </w:r>
      <w:r w:rsidRPr="00ED3190">
        <w:fldChar w:fldCharType="end"/>
      </w:r>
      <w:r w:rsidRPr="00ED3190">
        <w:t xml:space="preserve"> shows the baseline risk of events and VE estimates recommended by the PBAC in March 2024 for use in the economic model, and the settings used in the resubmission base case.</w:t>
      </w:r>
    </w:p>
    <w:p w14:paraId="6024020F" w14:textId="5B54D36D" w:rsidR="007164AD" w:rsidRPr="00ED3190" w:rsidRDefault="007164AD" w:rsidP="007164AD">
      <w:pPr>
        <w:pStyle w:val="COMtablefigcaption"/>
      </w:pPr>
      <w:bookmarkStart w:id="129" w:name="_Ref167394820"/>
      <w:r w:rsidRPr="00ED3190">
        <w:lastRenderedPageBreak/>
        <w:t xml:space="preserve">Table </w:t>
      </w:r>
      <w:r w:rsidR="00560E31">
        <w:fldChar w:fldCharType="begin"/>
      </w:r>
      <w:r w:rsidR="00560E31">
        <w:instrText xml:space="preserve"> SEQ Table \* ARABIC </w:instrText>
      </w:r>
      <w:r w:rsidR="00560E31">
        <w:fldChar w:fldCharType="separate"/>
      </w:r>
      <w:r w:rsidR="00A46CAC">
        <w:rPr>
          <w:noProof/>
        </w:rPr>
        <w:t>22</w:t>
      </w:r>
      <w:r w:rsidR="00560E31">
        <w:fldChar w:fldCharType="end"/>
      </w:r>
      <w:bookmarkEnd w:id="129"/>
      <w:r w:rsidRPr="00ED3190">
        <w:t xml:space="preserve">: </w:t>
      </w:r>
      <w:bookmarkStart w:id="130" w:name="_Hlk167394795"/>
      <w:r w:rsidRPr="00ED3190">
        <w:t>Comparison of settings for economic model</w:t>
      </w:r>
    </w:p>
    <w:bookmarkEnd w:id="130"/>
    <w:tbl>
      <w:tblPr>
        <w:tblStyle w:val="TableGrid"/>
        <w:tblW w:w="5000" w:type="pct"/>
        <w:tblLook w:val="04A0" w:firstRow="1" w:lastRow="0" w:firstColumn="1" w:lastColumn="0" w:noHBand="0" w:noVBand="1"/>
      </w:tblPr>
      <w:tblGrid>
        <w:gridCol w:w="1605"/>
        <w:gridCol w:w="3706"/>
        <w:gridCol w:w="3706"/>
      </w:tblGrid>
      <w:tr w:rsidR="007164AD" w:rsidRPr="00ED3190" w14:paraId="57E2941C" w14:textId="77777777" w:rsidTr="00022AC7">
        <w:tc>
          <w:tcPr>
            <w:tcW w:w="890" w:type="pct"/>
          </w:tcPr>
          <w:p w14:paraId="606FD349" w14:textId="77777777" w:rsidR="007164AD" w:rsidRPr="00ED3190" w:rsidRDefault="007164AD" w:rsidP="00022AC7">
            <w:pPr>
              <w:pStyle w:val="TableText0"/>
            </w:pPr>
          </w:p>
        </w:tc>
        <w:tc>
          <w:tcPr>
            <w:tcW w:w="2055" w:type="pct"/>
          </w:tcPr>
          <w:p w14:paraId="5B5D7F23" w14:textId="77777777" w:rsidR="00DB24CC" w:rsidRDefault="007164AD" w:rsidP="00022AC7">
            <w:pPr>
              <w:pStyle w:val="TableText0"/>
              <w:rPr>
                <w:b/>
              </w:rPr>
            </w:pPr>
            <w:r w:rsidRPr="00ED3190">
              <w:rPr>
                <w:b/>
              </w:rPr>
              <w:t>March 2024 - PBAC recommended settings</w:t>
            </w:r>
          </w:p>
          <w:p w14:paraId="32D513FA" w14:textId="6FE5BBAB" w:rsidR="007164AD" w:rsidRPr="00ED3190" w:rsidRDefault="007164AD" w:rsidP="00022AC7">
            <w:pPr>
              <w:pStyle w:val="TableText0"/>
              <w:rPr>
                <w:b/>
              </w:rPr>
            </w:pPr>
            <w:r w:rsidRPr="00ED3190">
              <w:rPr>
                <w:b/>
              </w:rPr>
              <w:t>(used in Resubmission Alternative Analysis</w:t>
            </w:r>
          </w:p>
        </w:tc>
        <w:tc>
          <w:tcPr>
            <w:tcW w:w="2055" w:type="pct"/>
          </w:tcPr>
          <w:p w14:paraId="336C2C0C" w14:textId="77777777" w:rsidR="007164AD" w:rsidRPr="00ED3190" w:rsidRDefault="007164AD" w:rsidP="00022AC7">
            <w:pPr>
              <w:pStyle w:val="TableText0"/>
              <w:rPr>
                <w:b/>
              </w:rPr>
            </w:pPr>
            <w:r w:rsidRPr="00ED3190">
              <w:rPr>
                <w:b/>
              </w:rPr>
              <w:t>Resubmission Base Case</w:t>
            </w:r>
          </w:p>
        </w:tc>
      </w:tr>
      <w:tr w:rsidR="007164AD" w:rsidRPr="00ED3190" w14:paraId="595F15F6" w14:textId="77777777" w:rsidTr="00022AC7">
        <w:tc>
          <w:tcPr>
            <w:tcW w:w="890" w:type="pct"/>
          </w:tcPr>
          <w:p w14:paraId="2A58E884" w14:textId="77777777" w:rsidR="007164AD" w:rsidRPr="00ED3190" w:rsidRDefault="007164AD" w:rsidP="00022AC7">
            <w:pPr>
              <w:pStyle w:val="TableText0"/>
            </w:pPr>
            <w:r w:rsidRPr="00ED3190">
              <w:t>Follow-up period for estimating VE</w:t>
            </w:r>
          </w:p>
        </w:tc>
        <w:tc>
          <w:tcPr>
            <w:tcW w:w="2055" w:type="pct"/>
          </w:tcPr>
          <w:p w14:paraId="2FDCCA79" w14:textId="77777777" w:rsidR="007164AD" w:rsidRPr="00ED3190" w:rsidRDefault="007164AD" w:rsidP="00022AC7">
            <w:pPr>
              <w:pStyle w:val="TableText0"/>
            </w:pPr>
            <w:r w:rsidRPr="00ED3190">
              <w:t xml:space="preserve">12 months </w:t>
            </w:r>
          </w:p>
        </w:tc>
        <w:tc>
          <w:tcPr>
            <w:tcW w:w="2055" w:type="pct"/>
          </w:tcPr>
          <w:p w14:paraId="4450587A" w14:textId="77777777" w:rsidR="007164AD" w:rsidRPr="00ED3190" w:rsidRDefault="007164AD" w:rsidP="00022AC7">
            <w:pPr>
              <w:pStyle w:val="TableText0"/>
            </w:pPr>
            <w:r w:rsidRPr="00ED3190">
              <w:t xml:space="preserve">6 months </w:t>
            </w:r>
          </w:p>
        </w:tc>
      </w:tr>
      <w:tr w:rsidR="007164AD" w:rsidRPr="00ED3190" w14:paraId="45A995DD" w14:textId="77777777" w:rsidTr="00022AC7">
        <w:tc>
          <w:tcPr>
            <w:tcW w:w="890" w:type="pct"/>
          </w:tcPr>
          <w:p w14:paraId="27A0E388" w14:textId="77777777" w:rsidR="00DB24CC" w:rsidRDefault="007164AD" w:rsidP="00022AC7">
            <w:pPr>
              <w:pStyle w:val="TableText0"/>
            </w:pPr>
            <w:r w:rsidRPr="00ED3190">
              <w:t>Baseline risks</w:t>
            </w:r>
          </w:p>
          <w:p w14:paraId="6A003230" w14:textId="355C5C49" w:rsidR="007164AD" w:rsidRPr="00ED3190" w:rsidRDefault="00C63E95" w:rsidP="00022AC7">
            <w:pPr>
              <w:pStyle w:val="TableText0"/>
            </w:pPr>
            <w:r>
              <w:t xml:space="preserve"> </w:t>
            </w:r>
            <w:r w:rsidR="007164AD" w:rsidRPr="00ED3190">
              <w:t>Hospitalised</w:t>
            </w:r>
          </w:p>
          <w:p w14:paraId="24923B0C" w14:textId="3322C4FE" w:rsidR="007164AD" w:rsidRPr="00ED3190" w:rsidRDefault="00C63E95" w:rsidP="00022AC7">
            <w:pPr>
              <w:pStyle w:val="TableText0"/>
            </w:pPr>
            <w:r>
              <w:t xml:space="preserve"> </w:t>
            </w:r>
            <w:r w:rsidR="007164AD" w:rsidRPr="00ED3190">
              <w:t>Emergency</w:t>
            </w:r>
          </w:p>
          <w:p w14:paraId="18F00C82" w14:textId="178E58BF" w:rsidR="007164AD" w:rsidRPr="00ED3190" w:rsidRDefault="00C63E95" w:rsidP="00022AC7">
            <w:pPr>
              <w:pStyle w:val="TableText0"/>
            </w:pPr>
            <w:r>
              <w:t xml:space="preserve"> </w:t>
            </w:r>
            <w:r w:rsidR="007164AD" w:rsidRPr="00ED3190">
              <w:t>Outpatient</w:t>
            </w:r>
          </w:p>
        </w:tc>
        <w:tc>
          <w:tcPr>
            <w:tcW w:w="2055" w:type="pct"/>
          </w:tcPr>
          <w:p w14:paraId="4C1CA633" w14:textId="77777777" w:rsidR="007164AD" w:rsidRPr="00ED3190" w:rsidRDefault="007164AD" w:rsidP="00022AC7">
            <w:pPr>
              <w:pStyle w:val="TableText0"/>
            </w:pPr>
          </w:p>
          <w:p w14:paraId="0220DD9B" w14:textId="77777777" w:rsidR="007164AD" w:rsidRPr="00ED3190" w:rsidRDefault="007164AD" w:rsidP="00022AC7">
            <w:pPr>
              <w:pStyle w:val="TableText0"/>
            </w:pPr>
            <w:r w:rsidRPr="00ED3190">
              <w:t xml:space="preserve">2.33% </w:t>
            </w:r>
            <w:r w:rsidRPr="00ED3190">
              <w:rPr>
                <w:vertAlign w:val="superscript"/>
              </w:rPr>
              <w:t>a</w:t>
            </w:r>
          </w:p>
          <w:p w14:paraId="41E22613" w14:textId="77777777" w:rsidR="007164AD" w:rsidRPr="00ED3190" w:rsidRDefault="007164AD" w:rsidP="00022AC7">
            <w:pPr>
              <w:pStyle w:val="TableText0"/>
            </w:pPr>
            <w:r w:rsidRPr="00ED3190">
              <w:t xml:space="preserve">1.80% </w:t>
            </w:r>
            <w:r w:rsidRPr="00ED3190">
              <w:rPr>
                <w:vertAlign w:val="superscript"/>
              </w:rPr>
              <w:t>b</w:t>
            </w:r>
          </w:p>
          <w:p w14:paraId="1BDB8B89" w14:textId="77777777" w:rsidR="007164AD" w:rsidRPr="00ED3190" w:rsidRDefault="007164AD" w:rsidP="00022AC7">
            <w:pPr>
              <w:pStyle w:val="TableText0"/>
            </w:pPr>
            <w:r w:rsidRPr="00ED3190">
              <w:t xml:space="preserve">8.10% </w:t>
            </w:r>
            <w:r w:rsidRPr="00ED3190">
              <w:rPr>
                <w:vertAlign w:val="superscript"/>
              </w:rPr>
              <w:t>c</w:t>
            </w:r>
          </w:p>
        </w:tc>
        <w:tc>
          <w:tcPr>
            <w:tcW w:w="2055" w:type="pct"/>
          </w:tcPr>
          <w:p w14:paraId="5084CF13" w14:textId="77777777" w:rsidR="007164AD" w:rsidRPr="00ED3190" w:rsidRDefault="007164AD" w:rsidP="00022AC7">
            <w:pPr>
              <w:pStyle w:val="TableText0"/>
            </w:pPr>
          </w:p>
          <w:p w14:paraId="1208F09C" w14:textId="77777777" w:rsidR="007164AD" w:rsidRPr="00ED3190" w:rsidRDefault="007164AD" w:rsidP="00022AC7">
            <w:pPr>
              <w:pStyle w:val="TableText0"/>
            </w:pPr>
            <w:r w:rsidRPr="00ED3190">
              <w:t xml:space="preserve">1.62% </w:t>
            </w:r>
            <w:r w:rsidRPr="00ED3190">
              <w:rPr>
                <w:vertAlign w:val="superscript"/>
              </w:rPr>
              <w:t>e</w:t>
            </w:r>
          </w:p>
          <w:p w14:paraId="23D74EF6" w14:textId="77777777" w:rsidR="00DB24CC" w:rsidRDefault="007164AD" w:rsidP="00022AC7">
            <w:pPr>
              <w:pStyle w:val="TableText0"/>
            </w:pPr>
            <w:r w:rsidRPr="00ED3190">
              <w:t xml:space="preserve">1.35% </w:t>
            </w:r>
            <w:r w:rsidRPr="00ED3190">
              <w:rPr>
                <w:vertAlign w:val="superscript"/>
              </w:rPr>
              <w:t>f</w:t>
            </w:r>
          </w:p>
          <w:p w14:paraId="25122F34" w14:textId="62459E50" w:rsidR="007164AD" w:rsidRPr="00ED3190" w:rsidRDefault="007164AD" w:rsidP="00022AC7">
            <w:pPr>
              <w:pStyle w:val="TableText0"/>
            </w:pPr>
            <w:r w:rsidRPr="00ED3190">
              <w:t xml:space="preserve">6.08% </w:t>
            </w:r>
            <w:r w:rsidRPr="00ED3190">
              <w:rPr>
                <w:vertAlign w:val="superscript"/>
              </w:rPr>
              <w:t>g</w:t>
            </w:r>
            <w:r w:rsidRPr="00ED3190">
              <w:t xml:space="preserve"> </w:t>
            </w:r>
          </w:p>
        </w:tc>
      </w:tr>
      <w:tr w:rsidR="007164AD" w:rsidRPr="00ED3190" w14:paraId="34CDB664" w14:textId="77777777" w:rsidTr="00022AC7">
        <w:tc>
          <w:tcPr>
            <w:tcW w:w="890" w:type="pct"/>
          </w:tcPr>
          <w:p w14:paraId="15E70D10" w14:textId="77777777" w:rsidR="007164AD" w:rsidRPr="00ED3190" w:rsidRDefault="007164AD" w:rsidP="00022AC7">
            <w:pPr>
              <w:pStyle w:val="TableText0"/>
            </w:pPr>
            <w:r w:rsidRPr="00ED3190">
              <w:t>Vaccine efficacy</w:t>
            </w:r>
          </w:p>
          <w:p w14:paraId="5BECE71E" w14:textId="598ACCC8" w:rsidR="007164AD" w:rsidRPr="00ED3190" w:rsidRDefault="00C63E95" w:rsidP="00022AC7">
            <w:pPr>
              <w:pStyle w:val="TableText0"/>
            </w:pPr>
            <w:r>
              <w:t xml:space="preserve"> </w:t>
            </w:r>
            <w:r w:rsidR="007164AD" w:rsidRPr="00ED3190">
              <w:t>Hospitalised</w:t>
            </w:r>
          </w:p>
          <w:p w14:paraId="2A6B4E9B" w14:textId="5369E207" w:rsidR="007164AD" w:rsidRPr="00ED3190" w:rsidRDefault="00C63E95" w:rsidP="00022AC7">
            <w:pPr>
              <w:pStyle w:val="TableText0"/>
            </w:pPr>
            <w:r>
              <w:t xml:space="preserve"> </w:t>
            </w:r>
            <w:r w:rsidR="007164AD" w:rsidRPr="00ED3190">
              <w:t>Emergency</w:t>
            </w:r>
          </w:p>
          <w:p w14:paraId="71B34894" w14:textId="470F03DC" w:rsidR="007164AD" w:rsidRPr="00ED3190" w:rsidRDefault="00C63E95" w:rsidP="00022AC7">
            <w:pPr>
              <w:pStyle w:val="TableText0"/>
            </w:pPr>
            <w:r>
              <w:t xml:space="preserve"> </w:t>
            </w:r>
            <w:r w:rsidR="007164AD" w:rsidRPr="00ED3190">
              <w:t>Outpatient</w:t>
            </w:r>
          </w:p>
        </w:tc>
        <w:tc>
          <w:tcPr>
            <w:tcW w:w="2055" w:type="pct"/>
          </w:tcPr>
          <w:p w14:paraId="05F43F6B" w14:textId="77777777" w:rsidR="007164AD" w:rsidRPr="00ED3190" w:rsidRDefault="007164AD" w:rsidP="00022AC7">
            <w:pPr>
              <w:pStyle w:val="TableText0"/>
            </w:pPr>
          </w:p>
          <w:p w14:paraId="0631A3D9" w14:textId="77777777" w:rsidR="007164AD" w:rsidRPr="00ED3190" w:rsidRDefault="007164AD" w:rsidP="00022AC7">
            <w:pPr>
              <w:pStyle w:val="TableText0"/>
            </w:pPr>
            <w:r w:rsidRPr="00ED3190">
              <w:t xml:space="preserve">33.0% </w:t>
            </w:r>
            <w:r w:rsidRPr="00ED3190">
              <w:rPr>
                <w:vertAlign w:val="superscript"/>
              </w:rPr>
              <w:t>d</w:t>
            </w:r>
          </w:p>
          <w:p w14:paraId="3967633F" w14:textId="77777777" w:rsidR="007164AD" w:rsidRPr="00ED3190" w:rsidRDefault="007164AD" w:rsidP="00022AC7">
            <w:pPr>
              <w:pStyle w:val="TableText0"/>
            </w:pPr>
            <w:r w:rsidRPr="00ED3190">
              <w:t xml:space="preserve">45.0% </w:t>
            </w:r>
            <w:r w:rsidRPr="00ED3190">
              <w:rPr>
                <w:vertAlign w:val="superscript"/>
              </w:rPr>
              <w:t>d</w:t>
            </w:r>
          </w:p>
          <w:p w14:paraId="4E573031" w14:textId="77777777" w:rsidR="007164AD" w:rsidRPr="00ED3190" w:rsidRDefault="007164AD" w:rsidP="00022AC7">
            <w:pPr>
              <w:pStyle w:val="TableText0"/>
            </w:pPr>
            <w:r w:rsidRPr="00ED3190">
              <w:t xml:space="preserve">45.0% </w:t>
            </w:r>
            <w:r w:rsidRPr="00ED3190">
              <w:rPr>
                <w:vertAlign w:val="superscript"/>
              </w:rPr>
              <w:t>d</w:t>
            </w:r>
          </w:p>
        </w:tc>
        <w:tc>
          <w:tcPr>
            <w:tcW w:w="2055" w:type="pct"/>
          </w:tcPr>
          <w:p w14:paraId="01E0AC82" w14:textId="77777777" w:rsidR="007164AD" w:rsidRPr="00ED3190" w:rsidRDefault="007164AD" w:rsidP="00022AC7">
            <w:pPr>
              <w:pStyle w:val="TableText0"/>
            </w:pPr>
          </w:p>
          <w:p w14:paraId="2346AF80" w14:textId="77777777" w:rsidR="007164AD" w:rsidRPr="00ED3190" w:rsidRDefault="007164AD" w:rsidP="00022AC7">
            <w:pPr>
              <w:pStyle w:val="TableText0"/>
            </w:pPr>
            <w:r w:rsidRPr="00ED3190">
              <w:t xml:space="preserve">56.8% </w:t>
            </w:r>
            <w:r w:rsidRPr="00ED3190">
              <w:rPr>
                <w:vertAlign w:val="superscript"/>
              </w:rPr>
              <w:t>h</w:t>
            </w:r>
          </w:p>
          <w:p w14:paraId="69C784C9" w14:textId="77777777" w:rsidR="007164AD" w:rsidRPr="00ED3190" w:rsidRDefault="007164AD" w:rsidP="00022AC7">
            <w:pPr>
              <w:pStyle w:val="TableText0"/>
            </w:pPr>
            <w:r w:rsidRPr="00ED3190">
              <w:t xml:space="preserve">51.3% </w:t>
            </w:r>
            <w:r w:rsidRPr="00ED3190">
              <w:rPr>
                <w:vertAlign w:val="superscript"/>
              </w:rPr>
              <w:t>i</w:t>
            </w:r>
          </w:p>
          <w:p w14:paraId="263E0836" w14:textId="77777777" w:rsidR="007164AD" w:rsidRPr="00ED3190" w:rsidRDefault="007164AD" w:rsidP="00022AC7">
            <w:pPr>
              <w:pStyle w:val="TableText0"/>
            </w:pPr>
            <w:r w:rsidRPr="00ED3190">
              <w:t xml:space="preserve">51.3% </w:t>
            </w:r>
            <w:r w:rsidRPr="00ED3190">
              <w:rPr>
                <w:vertAlign w:val="superscript"/>
              </w:rPr>
              <w:t>i</w:t>
            </w:r>
          </w:p>
        </w:tc>
      </w:tr>
    </w:tbl>
    <w:p w14:paraId="52DAEBB3" w14:textId="77777777" w:rsidR="007164AD" w:rsidRPr="00ED3190" w:rsidRDefault="007164AD" w:rsidP="009C2014">
      <w:pPr>
        <w:pStyle w:val="FooterTableFigure"/>
        <w:keepNext/>
      </w:pPr>
      <w:r w:rsidRPr="003955C4">
        <w:rPr>
          <w:vertAlign w:val="superscript"/>
        </w:rPr>
        <w:t>a.</w:t>
      </w:r>
      <w:r w:rsidRPr="00ED3190">
        <w:t xml:space="preserve"> From </w:t>
      </w:r>
      <w:r w:rsidRPr="00ED3190">
        <w:rPr>
          <w:rFonts w:eastAsia="Arial"/>
        </w:rPr>
        <w:t>Gebremedhin 2022, cases aged &lt;1 year.</w:t>
      </w:r>
    </w:p>
    <w:p w14:paraId="339115E8" w14:textId="77777777" w:rsidR="007164AD" w:rsidRPr="00ED3190" w:rsidRDefault="007164AD" w:rsidP="009C2014">
      <w:pPr>
        <w:pStyle w:val="FooterTableFigure"/>
        <w:keepNext/>
      </w:pPr>
      <w:r w:rsidRPr="003955C4">
        <w:rPr>
          <w:vertAlign w:val="superscript"/>
        </w:rPr>
        <w:t>b</w:t>
      </w:r>
      <w:r w:rsidRPr="00ED3190">
        <w:t>. From Takashima 2021, cases aged &lt;1 year.</w:t>
      </w:r>
    </w:p>
    <w:p w14:paraId="600243FD" w14:textId="77777777" w:rsidR="007164AD" w:rsidRPr="00ED3190" w:rsidRDefault="007164AD" w:rsidP="009C2014">
      <w:pPr>
        <w:pStyle w:val="FooterTableFigure"/>
        <w:keepNext/>
      </w:pPr>
      <w:r w:rsidRPr="003955C4">
        <w:rPr>
          <w:vertAlign w:val="superscript"/>
        </w:rPr>
        <w:t>c</w:t>
      </w:r>
      <w:r w:rsidRPr="00ED3190">
        <w:t>. From Takashima 2021, cases aged &lt;1 year.</w:t>
      </w:r>
    </w:p>
    <w:p w14:paraId="51F73187" w14:textId="534BCFB3" w:rsidR="007164AD" w:rsidRPr="00ED3190" w:rsidRDefault="007164AD" w:rsidP="009C2014">
      <w:pPr>
        <w:pStyle w:val="FooterTableFigure"/>
        <w:keepNext/>
      </w:pPr>
      <w:r w:rsidRPr="003955C4">
        <w:rPr>
          <w:vertAlign w:val="superscript"/>
        </w:rPr>
        <w:t>d</w:t>
      </w:r>
      <w:r w:rsidRPr="00ED3190">
        <w:t xml:space="preserve">. From paragraph </w:t>
      </w:r>
      <w:r w:rsidRPr="00ED3190">
        <w:fldChar w:fldCharType="begin"/>
      </w:r>
      <w:r w:rsidRPr="00ED3190">
        <w:instrText xml:space="preserve"> REF _Ref164194093 \r \h </w:instrText>
      </w:r>
      <w:r w:rsidRPr="00ED3190">
        <w:fldChar w:fldCharType="separate"/>
      </w:r>
      <w:r w:rsidR="00A46CAC">
        <w:t>7.20</w:t>
      </w:r>
      <w:r w:rsidRPr="00ED3190">
        <w:fldChar w:fldCharType="end"/>
      </w:r>
      <w:r w:rsidRPr="00ED3190">
        <w:t xml:space="preserve">, as presented in </w:t>
      </w:r>
      <w:r w:rsidRPr="00ED3190">
        <w:fldChar w:fldCharType="begin"/>
      </w:r>
      <w:r w:rsidRPr="00ED3190">
        <w:instrText xml:space="preserve"> REF _Ref155780912 \h </w:instrText>
      </w:r>
      <w:r w:rsidRPr="00ED3190">
        <w:fldChar w:fldCharType="separate"/>
      </w:r>
      <w:r w:rsidR="00A46CAC" w:rsidRPr="0035358E">
        <w:t xml:space="preserve">Table </w:t>
      </w:r>
      <w:r w:rsidR="00A46CAC">
        <w:rPr>
          <w:noProof/>
        </w:rPr>
        <w:t>13</w:t>
      </w:r>
      <w:r w:rsidRPr="00ED3190">
        <w:fldChar w:fldCharType="end"/>
      </w:r>
      <w:r w:rsidRPr="00ED3190">
        <w:t xml:space="preserve"> (</w:t>
      </w:r>
      <w:r w:rsidRPr="00ED3190">
        <w:rPr>
          <w:iCs/>
        </w:rPr>
        <w:t>VE for preventing MA-LRTI RSV excluding hospitalisation)</w:t>
      </w:r>
      <w:r w:rsidRPr="00ED3190">
        <w:t>.</w:t>
      </w:r>
    </w:p>
    <w:p w14:paraId="1333E21C" w14:textId="77777777" w:rsidR="007164AD" w:rsidRPr="00ED3190" w:rsidRDefault="007164AD" w:rsidP="009C2014">
      <w:pPr>
        <w:pStyle w:val="FooterTableFigure"/>
        <w:keepNext/>
      </w:pPr>
      <w:r w:rsidRPr="003955C4">
        <w:rPr>
          <w:vertAlign w:val="superscript"/>
        </w:rPr>
        <w:t>e</w:t>
      </w:r>
      <w:r w:rsidRPr="00ED3190">
        <w:t>. From Gebremedhin 2022, cases aged &lt;6 months</w:t>
      </w:r>
    </w:p>
    <w:p w14:paraId="48760C63" w14:textId="77777777" w:rsidR="007164AD" w:rsidRPr="00ED3190" w:rsidRDefault="007164AD" w:rsidP="009C2014">
      <w:pPr>
        <w:pStyle w:val="FooterTableFigure"/>
        <w:keepNext/>
      </w:pPr>
      <w:r w:rsidRPr="003955C4">
        <w:rPr>
          <w:vertAlign w:val="superscript"/>
        </w:rPr>
        <w:t>f</w:t>
      </w:r>
      <w:r w:rsidRPr="00ED3190">
        <w:t>. Calculated as 0.75*1.8%</w:t>
      </w:r>
    </w:p>
    <w:p w14:paraId="73C5FEFD" w14:textId="77777777" w:rsidR="007164AD" w:rsidRPr="00ED3190" w:rsidRDefault="007164AD" w:rsidP="009C2014">
      <w:pPr>
        <w:pStyle w:val="FooterTableFigure"/>
        <w:keepNext/>
      </w:pPr>
      <w:r w:rsidRPr="003955C4">
        <w:rPr>
          <w:vertAlign w:val="superscript"/>
        </w:rPr>
        <w:t>g</w:t>
      </w:r>
      <w:r w:rsidRPr="00ED3190">
        <w:t>. Calculated as 0.75*8.1%</w:t>
      </w:r>
    </w:p>
    <w:p w14:paraId="0DD425A0" w14:textId="77777777" w:rsidR="007164AD" w:rsidRPr="00ED3190" w:rsidRDefault="007164AD" w:rsidP="009C2014">
      <w:pPr>
        <w:pStyle w:val="FooterTableFigure"/>
        <w:keepNext/>
      </w:pPr>
      <w:r w:rsidRPr="003955C4">
        <w:rPr>
          <w:vertAlign w:val="superscript"/>
        </w:rPr>
        <w:t>h</w:t>
      </w:r>
      <w:r w:rsidRPr="00ED3190">
        <w:t>. At 180 days after birth, there were 19 (0.5%) hospitalisations due to RSV in infants in the RSVpreF group, and 44 (1.3%) hospitalisations in the placebo group, corresponding to a VE of 56.8% (99.17% CI:10.1%, 80.7%), based on the results of the primary analysis.</w:t>
      </w:r>
    </w:p>
    <w:p w14:paraId="0117B3D3" w14:textId="60D80FFE" w:rsidR="007164AD" w:rsidRPr="00ED3190" w:rsidRDefault="007164AD" w:rsidP="009C2014">
      <w:pPr>
        <w:pStyle w:val="FooterTableFigure"/>
        <w:keepNext/>
      </w:pPr>
      <w:r w:rsidRPr="003955C4">
        <w:rPr>
          <w:vertAlign w:val="superscript"/>
        </w:rPr>
        <w:t>i</w:t>
      </w:r>
      <w:r w:rsidRPr="00ED3190">
        <w:t>. At 180 days after birth, there were 57 (1.6%) cases of RSV-positive MA-LRTI in the RSVpreF group and 117 (3.4%) cases in the placebo group, corresponding to a VE of 51.3% (97.58% CI:29.4%, 66.8%), based on the results of the primary analysis.</w:t>
      </w:r>
    </w:p>
    <w:p w14:paraId="055A61AC" w14:textId="2B3D18B6" w:rsidR="007164AD" w:rsidRPr="00ED3190" w:rsidRDefault="007164AD" w:rsidP="007164AD">
      <w:pPr>
        <w:pStyle w:val="3-BodyText"/>
      </w:pPr>
      <w:r w:rsidRPr="00ED3190">
        <w:fldChar w:fldCharType="begin"/>
      </w:r>
      <w:r w:rsidRPr="00ED3190">
        <w:instrText xml:space="preserve"> REF _Ref167394900 \h </w:instrText>
      </w:r>
      <w:r w:rsidRPr="00ED3190">
        <w:fldChar w:fldCharType="separate"/>
      </w:r>
      <w:r w:rsidR="00A46CAC" w:rsidRPr="00ED3190">
        <w:t xml:space="preserve">Table </w:t>
      </w:r>
      <w:r w:rsidR="00A46CAC">
        <w:rPr>
          <w:noProof/>
        </w:rPr>
        <w:t>23</w:t>
      </w:r>
      <w:r w:rsidRPr="00ED3190">
        <w:fldChar w:fldCharType="end"/>
      </w:r>
      <w:r w:rsidRPr="00ED3190">
        <w:t xml:space="preserve"> shows the results of the economic model in terms of incremental events avoided based on the model settings recommended by the PBAC in March 2024, and the settings used in the resubmission base case.</w:t>
      </w:r>
    </w:p>
    <w:p w14:paraId="7761C9EA" w14:textId="2D18DBEF" w:rsidR="007164AD" w:rsidRPr="00ED3190" w:rsidRDefault="007164AD" w:rsidP="007164AD">
      <w:pPr>
        <w:pStyle w:val="TableHeading0"/>
        <w:keepNext/>
        <w:rPr>
          <w:color w:val="4F81BD" w:themeColor="accent1"/>
        </w:rPr>
      </w:pPr>
      <w:bookmarkStart w:id="131" w:name="_Ref167394900"/>
      <w:r w:rsidRPr="00ED3190">
        <w:t xml:space="preserve">Table </w:t>
      </w:r>
      <w:r w:rsidR="00560E31">
        <w:fldChar w:fldCharType="begin"/>
      </w:r>
      <w:r w:rsidR="00560E31">
        <w:instrText xml:space="preserve"> SEQ Table \* ARABIC </w:instrText>
      </w:r>
      <w:r w:rsidR="00560E31">
        <w:fldChar w:fldCharType="separate"/>
      </w:r>
      <w:r w:rsidR="00A46CAC">
        <w:rPr>
          <w:noProof/>
        </w:rPr>
        <w:t>23</w:t>
      </w:r>
      <w:r w:rsidR="00560E31">
        <w:fldChar w:fldCharType="end"/>
      </w:r>
      <w:bookmarkEnd w:id="131"/>
      <w:r w:rsidRPr="00ED3190">
        <w:t>: Comparison of incremental events avoided (RSVpreF minus No Vaccination), per 1,000 vaccinated</w:t>
      </w:r>
    </w:p>
    <w:tbl>
      <w:tblPr>
        <w:tblStyle w:val="TableGrid"/>
        <w:tblW w:w="5000" w:type="pct"/>
        <w:tblLook w:val="04A0" w:firstRow="1" w:lastRow="0" w:firstColumn="1" w:lastColumn="0" w:noHBand="0" w:noVBand="1"/>
      </w:tblPr>
      <w:tblGrid>
        <w:gridCol w:w="1733"/>
        <w:gridCol w:w="3643"/>
        <w:gridCol w:w="3641"/>
      </w:tblGrid>
      <w:tr w:rsidR="007164AD" w:rsidRPr="00ED3190" w14:paraId="4714DDEB" w14:textId="77777777" w:rsidTr="00022AC7">
        <w:tc>
          <w:tcPr>
            <w:tcW w:w="961" w:type="pct"/>
          </w:tcPr>
          <w:p w14:paraId="7D8C17D0" w14:textId="77777777" w:rsidR="007164AD" w:rsidRPr="00ED3190" w:rsidRDefault="007164AD" w:rsidP="00022AC7">
            <w:pPr>
              <w:pStyle w:val="TableText0"/>
            </w:pPr>
          </w:p>
        </w:tc>
        <w:tc>
          <w:tcPr>
            <w:tcW w:w="2020" w:type="pct"/>
          </w:tcPr>
          <w:p w14:paraId="256C98E6" w14:textId="77777777" w:rsidR="00DB24CC" w:rsidRDefault="007164AD" w:rsidP="00022AC7">
            <w:pPr>
              <w:pStyle w:val="TableText0"/>
              <w:rPr>
                <w:b/>
                <w:bCs w:val="0"/>
              </w:rPr>
            </w:pPr>
            <w:r w:rsidRPr="00ED3190">
              <w:rPr>
                <w:b/>
                <w:bCs w:val="0"/>
              </w:rPr>
              <w:t>March 2024 - PBAC recommended settings</w:t>
            </w:r>
          </w:p>
          <w:p w14:paraId="318B1F36" w14:textId="15FCFC6D" w:rsidR="007164AD" w:rsidRPr="00ED3190" w:rsidRDefault="007164AD" w:rsidP="00022AC7">
            <w:pPr>
              <w:pStyle w:val="TableText0"/>
              <w:rPr>
                <w:b/>
                <w:bCs w:val="0"/>
              </w:rPr>
            </w:pPr>
            <w:r w:rsidRPr="00ED3190">
              <w:rPr>
                <w:b/>
                <w:bCs w:val="0"/>
              </w:rPr>
              <w:t>(used in Resubmission Alternative Case)</w:t>
            </w:r>
          </w:p>
        </w:tc>
        <w:tc>
          <w:tcPr>
            <w:tcW w:w="2020" w:type="pct"/>
          </w:tcPr>
          <w:p w14:paraId="41391CDB" w14:textId="77777777" w:rsidR="007164AD" w:rsidRPr="00ED3190" w:rsidRDefault="007164AD" w:rsidP="00022AC7">
            <w:pPr>
              <w:pStyle w:val="TableText0"/>
              <w:rPr>
                <w:b/>
                <w:bCs w:val="0"/>
              </w:rPr>
            </w:pPr>
            <w:r w:rsidRPr="00ED3190">
              <w:rPr>
                <w:b/>
                <w:bCs w:val="0"/>
              </w:rPr>
              <w:t>Resubmission Base Case</w:t>
            </w:r>
          </w:p>
        </w:tc>
      </w:tr>
      <w:tr w:rsidR="007164AD" w:rsidRPr="00ED3190" w14:paraId="7B6B6412" w14:textId="77777777" w:rsidTr="00022AC7">
        <w:tc>
          <w:tcPr>
            <w:tcW w:w="961" w:type="pct"/>
          </w:tcPr>
          <w:p w14:paraId="06924A7B" w14:textId="77777777" w:rsidR="007164AD" w:rsidRPr="00ED3190" w:rsidRDefault="007164AD" w:rsidP="00022AC7">
            <w:pPr>
              <w:pStyle w:val="TableText0"/>
            </w:pPr>
            <w:r w:rsidRPr="00ED3190">
              <w:t>Analysis</w:t>
            </w:r>
          </w:p>
        </w:tc>
        <w:tc>
          <w:tcPr>
            <w:tcW w:w="2020" w:type="pct"/>
          </w:tcPr>
          <w:p w14:paraId="353FF673" w14:textId="77777777" w:rsidR="007164AD" w:rsidRPr="00ED3190" w:rsidRDefault="007164AD" w:rsidP="00022AC7">
            <w:pPr>
              <w:pStyle w:val="TableText0"/>
            </w:pPr>
            <w:r w:rsidRPr="00ED3190">
              <w:t>12 months</w:t>
            </w:r>
          </w:p>
        </w:tc>
        <w:tc>
          <w:tcPr>
            <w:tcW w:w="2020" w:type="pct"/>
          </w:tcPr>
          <w:p w14:paraId="71DE623B" w14:textId="77777777" w:rsidR="007164AD" w:rsidRPr="00ED3190" w:rsidRDefault="007164AD" w:rsidP="00022AC7">
            <w:pPr>
              <w:pStyle w:val="TableText0"/>
            </w:pPr>
            <w:r w:rsidRPr="00ED3190">
              <w:t>6 months</w:t>
            </w:r>
          </w:p>
        </w:tc>
      </w:tr>
      <w:tr w:rsidR="007164AD" w:rsidRPr="00ED3190" w14:paraId="12738B7F" w14:textId="77777777" w:rsidTr="00022AC7">
        <w:tc>
          <w:tcPr>
            <w:tcW w:w="961" w:type="pct"/>
          </w:tcPr>
          <w:p w14:paraId="61EB0371" w14:textId="77777777" w:rsidR="007164AD" w:rsidRPr="00ED3190" w:rsidRDefault="007164AD" w:rsidP="00022AC7">
            <w:pPr>
              <w:pStyle w:val="TableText0"/>
            </w:pPr>
            <w:r w:rsidRPr="00ED3190">
              <w:t>Outcome</w:t>
            </w:r>
          </w:p>
          <w:p w14:paraId="0FEFFE77" w14:textId="659E8975" w:rsidR="007164AD" w:rsidRPr="00ED3190" w:rsidRDefault="00C63E95" w:rsidP="00022AC7">
            <w:pPr>
              <w:pStyle w:val="TableText0"/>
            </w:pPr>
            <w:r>
              <w:t xml:space="preserve"> </w:t>
            </w:r>
            <w:r w:rsidR="007164AD" w:rsidRPr="00ED3190">
              <w:t>Hospitalisation</w:t>
            </w:r>
          </w:p>
          <w:p w14:paraId="0501CABD" w14:textId="06000D9B" w:rsidR="007164AD" w:rsidRPr="00ED3190" w:rsidRDefault="00C63E95" w:rsidP="00022AC7">
            <w:pPr>
              <w:pStyle w:val="TableText0"/>
            </w:pPr>
            <w:r>
              <w:t xml:space="preserve"> </w:t>
            </w:r>
            <w:r w:rsidR="007164AD" w:rsidRPr="00ED3190">
              <w:t>Emergency</w:t>
            </w:r>
          </w:p>
          <w:p w14:paraId="30CB6E48" w14:textId="4039F0FC" w:rsidR="007164AD" w:rsidRPr="00ED3190" w:rsidRDefault="00C63E95" w:rsidP="00022AC7">
            <w:pPr>
              <w:pStyle w:val="TableText0"/>
            </w:pPr>
            <w:r>
              <w:t xml:space="preserve"> </w:t>
            </w:r>
            <w:r w:rsidR="007164AD" w:rsidRPr="00ED3190">
              <w:t>Outpatient</w:t>
            </w:r>
          </w:p>
          <w:p w14:paraId="07528DC9" w14:textId="412FBB05" w:rsidR="007164AD" w:rsidRPr="00ED3190" w:rsidRDefault="00C63E95" w:rsidP="00022AC7">
            <w:pPr>
              <w:pStyle w:val="TableText0"/>
            </w:pPr>
            <w:r>
              <w:t xml:space="preserve"> </w:t>
            </w:r>
            <w:r w:rsidR="007164AD" w:rsidRPr="00ED3190">
              <w:t>Death</w:t>
            </w:r>
          </w:p>
        </w:tc>
        <w:tc>
          <w:tcPr>
            <w:tcW w:w="2020" w:type="pct"/>
          </w:tcPr>
          <w:p w14:paraId="05161265" w14:textId="77777777" w:rsidR="007164AD" w:rsidRPr="00ED3190" w:rsidRDefault="007164AD" w:rsidP="00022AC7">
            <w:pPr>
              <w:pStyle w:val="TableText0"/>
            </w:pPr>
          </w:p>
          <w:p w14:paraId="3ACC4CE9" w14:textId="77777777" w:rsidR="007164AD" w:rsidRPr="00ED3190" w:rsidRDefault="007164AD" w:rsidP="00022AC7">
            <w:pPr>
              <w:pStyle w:val="TableText0"/>
            </w:pPr>
            <w:r w:rsidRPr="00ED3190">
              <w:t>-7.67</w:t>
            </w:r>
          </w:p>
          <w:p w14:paraId="4AAF6488" w14:textId="77777777" w:rsidR="007164AD" w:rsidRPr="00ED3190" w:rsidRDefault="007164AD" w:rsidP="00022AC7">
            <w:pPr>
              <w:pStyle w:val="TableText0"/>
            </w:pPr>
            <w:r w:rsidRPr="00ED3190">
              <w:t>-8.10</w:t>
            </w:r>
          </w:p>
          <w:p w14:paraId="45B07FBC" w14:textId="77777777" w:rsidR="007164AD" w:rsidRPr="00ED3190" w:rsidRDefault="007164AD" w:rsidP="00022AC7">
            <w:pPr>
              <w:pStyle w:val="TableText0"/>
            </w:pPr>
            <w:r w:rsidRPr="00ED3190">
              <w:t>-36.45</w:t>
            </w:r>
          </w:p>
          <w:p w14:paraId="1F213055" w14:textId="77777777" w:rsidR="007164AD" w:rsidRPr="00ED3190" w:rsidRDefault="007164AD" w:rsidP="00022AC7">
            <w:pPr>
              <w:pStyle w:val="TableText0"/>
            </w:pPr>
            <w:r w:rsidRPr="00ED3190">
              <w:t>-0.015</w:t>
            </w:r>
          </w:p>
        </w:tc>
        <w:tc>
          <w:tcPr>
            <w:tcW w:w="2020" w:type="pct"/>
          </w:tcPr>
          <w:p w14:paraId="5747E8F8" w14:textId="77777777" w:rsidR="007164AD" w:rsidRPr="00ED3190" w:rsidRDefault="007164AD" w:rsidP="00022AC7">
            <w:pPr>
              <w:pStyle w:val="TableText0"/>
            </w:pPr>
          </w:p>
          <w:p w14:paraId="7CC165DB" w14:textId="77777777" w:rsidR="007164AD" w:rsidRPr="00ED3190" w:rsidRDefault="007164AD" w:rsidP="00022AC7">
            <w:pPr>
              <w:pStyle w:val="TableText0"/>
            </w:pPr>
            <w:r w:rsidRPr="00ED3190">
              <w:t>-9.20</w:t>
            </w:r>
          </w:p>
          <w:p w14:paraId="226D74C0" w14:textId="77777777" w:rsidR="007164AD" w:rsidRPr="00ED3190" w:rsidRDefault="007164AD" w:rsidP="00022AC7">
            <w:pPr>
              <w:pStyle w:val="TableText0"/>
            </w:pPr>
            <w:r w:rsidRPr="00ED3190">
              <w:t>-6.93</w:t>
            </w:r>
          </w:p>
          <w:p w14:paraId="5C24BCB2" w14:textId="77777777" w:rsidR="007164AD" w:rsidRPr="00ED3190" w:rsidRDefault="007164AD" w:rsidP="00022AC7">
            <w:pPr>
              <w:pStyle w:val="TableText0"/>
            </w:pPr>
            <w:r w:rsidRPr="00ED3190">
              <w:t>-31.16</w:t>
            </w:r>
          </w:p>
          <w:p w14:paraId="0867D56E" w14:textId="77777777" w:rsidR="007164AD" w:rsidRPr="00ED3190" w:rsidRDefault="007164AD" w:rsidP="00022AC7">
            <w:pPr>
              <w:pStyle w:val="TableText0"/>
            </w:pPr>
            <w:r w:rsidRPr="00ED3190">
              <w:t>-0.018</w:t>
            </w:r>
          </w:p>
        </w:tc>
      </w:tr>
    </w:tbl>
    <w:p w14:paraId="75BB32E4" w14:textId="77777777" w:rsidR="007164AD" w:rsidRPr="00ED3190" w:rsidRDefault="007164AD" w:rsidP="007164AD">
      <w:pPr>
        <w:pStyle w:val="FooterTableFigure"/>
      </w:pPr>
      <w:r w:rsidRPr="00ED3190">
        <w:t>Source: Results sheet in both models provided with resubmission (ABRYSVO maternal CEA_Base Case 6M_Early Resolution.xlsx and ABRYSVO maternal CEA_12M_Early Resolution.xlsx)</w:t>
      </w:r>
    </w:p>
    <w:p w14:paraId="299C5807" w14:textId="09055DA6" w:rsidR="007164AD" w:rsidRPr="00ED3190" w:rsidRDefault="007164AD" w:rsidP="007164AD">
      <w:pPr>
        <w:pStyle w:val="3-BodyText"/>
      </w:pPr>
      <w:r w:rsidRPr="00ED3190">
        <w:t xml:space="preserve">The estimated ICERs ($ per QALY) from the economic model are shown in </w:t>
      </w:r>
      <w:r w:rsidRPr="00ED3190">
        <w:fldChar w:fldCharType="begin"/>
      </w:r>
      <w:r w:rsidRPr="00ED3190">
        <w:instrText xml:space="preserve"> REF _Ref167377371 \h </w:instrText>
      </w:r>
      <w:r w:rsidRPr="00ED3190">
        <w:fldChar w:fldCharType="separate"/>
      </w:r>
      <w:r w:rsidR="00A46CAC" w:rsidRPr="00ED3190">
        <w:t xml:space="preserve">Table </w:t>
      </w:r>
      <w:r w:rsidR="00A46CAC">
        <w:rPr>
          <w:noProof/>
        </w:rPr>
        <w:t>24</w:t>
      </w:r>
      <w:r w:rsidRPr="00ED3190">
        <w:fldChar w:fldCharType="end"/>
      </w:r>
      <w:r w:rsidRPr="00ED3190">
        <w:t>.</w:t>
      </w:r>
    </w:p>
    <w:p w14:paraId="6DE9E07A" w14:textId="4109F004" w:rsidR="007164AD" w:rsidRPr="00ED3190" w:rsidRDefault="007164AD" w:rsidP="00AE0C2A">
      <w:pPr>
        <w:pStyle w:val="TableFigureHeading"/>
      </w:pPr>
      <w:bookmarkStart w:id="132" w:name="_Ref167377371"/>
      <w:r w:rsidRPr="00ED3190">
        <w:lastRenderedPageBreak/>
        <w:t xml:space="preserve">Table </w:t>
      </w:r>
      <w:r w:rsidR="00560E31">
        <w:fldChar w:fldCharType="begin"/>
      </w:r>
      <w:r w:rsidR="00560E31">
        <w:instrText xml:space="preserve"> SEQ Table \* ARABIC </w:instrText>
      </w:r>
      <w:r w:rsidR="00560E31">
        <w:fldChar w:fldCharType="separate"/>
      </w:r>
      <w:r w:rsidR="00A46CAC">
        <w:rPr>
          <w:noProof/>
        </w:rPr>
        <w:t>24</w:t>
      </w:r>
      <w:r w:rsidR="00560E31">
        <w:fldChar w:fldCharType="end"/>
      </w:r>
      <w:bookmarkEnd w:id="132"/>
      <w:r w:rsidRPr="00ED3190">
        <w:t xml:space="preserve">: </w:t>
      </w:r>
      <w:r w:rsidRPr="00AE0C2A">
        <w:t>Results</w:t>
      </w:r>
      <w:r w:rsidRPr="00ED3190">
        <w:t xml:space="preserve"> of economic model</w:t>
      </w:r>
    </w:p>
    <w:tbl>
      <w:tblPr>
        <w:tblStyle w:val="TableGrid"/>
        <w:tblW w:w="0" w:type="auto"/>
        <w:tblLook w:val="04A0" w:firstRow="1" w:lastRow="0" w:firstColumn="1" w:lastColumn="0" w:noHBand="0" w:noVBand="1"/>
      </w:tblPr>
      <w:tblGrid>
        <w:gridCol w:w="4106"/>
        <w:gridCol w:w="1692"/>
        <w:gridCol w:w="1693"/>
        <w:gridCol w:w="1526"/>
      </w:tblGrid>
      <w:tr w:rsidR="007164AD" w:rsidRPr="00ED3190" w14:paraId="5892BF97" w14:textId="77777777" w:rsidTr="00022AC7">
        <w:trPr>
          <w:trHeight w:val="54"/>
          <w:tblHeader/>
        </w:trPr>
        <w:tc>
          <w:tcPr>
            <w:tcW w:w="4106" w:type="dxa"/>
            <w:vAlign w:val="center"/>
            <w:hideMark/>
          </w:tcPr>
          <w:p w14:paraId="4055A3A7" w14:textId="77777777" w:rsidR="007164AD" w:rsidRPr="00ED3190" w:rsidRDefault="007164AD" w:rsidP="00022AC7">
            <w:pPr>
              <w:pStyle w:val="TableText0"/>
              <w:rPr>
                <w:b/>
                <w:bCs w:val="0"/>
              </w:rPr>
            </w:pPr>
            <w:r w:rsidRPr="00ED3190">
              <w:rPr>
                <w:b/>
                <w:bCs w:val="0"/>
              </w:rPr>
              <w:t>Analyses</w:t>
            </w:r>
          </w:p>
        </w:tc>
        <w:tc>
          <w:tcPr>
            <w:tcW w:w="1692" w:type="dxa"/>
            <w:vAlign w:val="center"/>
            <w:hideMark/>
          </w:tcPr>
          <w:p w14:paraId="307416E9" w14:textId="77777777" w:rsidR="007164AD" w:rsidRPr="00ED3190" w:rsidRDefault="007164AD" w:rsidP="00022AC7">
            <w:pPr>
              <w:pStyle w:val="TableText0"/>
              <w:rPr>
                <w:b/>
                <w:bCs w:val="0"/>
              </w:rPr>
            </w:pPr>
            <w:r w:rsidRPr="00ED3190">
              <w:rPr>
                <w:b/>
                <w:bCs w:val="0"/>
              </w:rPr>
              <w:t>Incremental cost (per 1,000)</w:t>
            </w:r>
          </w:p>
        </w:tc>
        <w:tc>
          <w:tcPr>
            <w:tcW w:w="1693" w:type="dxa"/>
            <w:vAlign w:val="center"/>
            <w:hideMark/>
          </w:tcPr>
          <w:p w14:paraId="709FA8EE" w14:textId="77777777" w:rsidR="007164AD" w:rsidRPr="00ED3190" w:rsidRDefault="007164AD" w:rsidP="00022AC7">
            <w:pPr>
              <w:pStyle w:val="TableText0"/>
              <w:rPr>
                <w:b/>
                <w:bCs w:val="0"/>
              </w:rPr>
            </w:pPr>
            <w:r w:rsidRPr="00ED3190">
              <w:rPr>
                <w:b/>
                <w:bCs w:val="0"/>
              </w:rPr>
              <w:t xml:space="preserve">Incremental QALY (per 1,000) </w:t>
            </w:r>
          </w:p>
        </w:tc>
        <w:tc>
          <w:tcPr>
            <w:tcW w:w="1526" w:type="dxa"/>
            <w:vAlign w:val="center"/>
            <w:hideMark/>
          </w:tcPr>
          <w:p w14:paraId="3820ACD2" w14:textId="77777777" w:rsidR="007164AD" w:rsidRPr="00ED3190" w:rsidRDefault="007164AD" w:rsidP="00022AC7">
            <w:pPr>
              <w:pStyle w:val="TableText0"/>
              <w:rPr>
                <w:b/>
                <w:bCs w:val="0"/>
              </w:rPr>
            </w:pPr>
            <w:r w:rsidRPr="00ED3190">
              <w:rPr>
                <w:b/>
                <w:bCs w:val="0"/>
              </w:rPr>
              <w:t>ICER (per QALY)</w:t>
            </w:r>
          </w:p>
        </w:tc>
      </w:tr>
      <w:tr w:rsidR="007164AD" w:rsidRPr="00ED3190" w14:paraId="4A9451B5" w14:textId="77777777" w:rsidTr="00022AC7">
        <w:trPr>
          <w:trHeight w:val="54"/>
        </w:trPr>
        <w:tc>
          <w:tcPr>
            <w:tcW w:w="4106" w:type="dxa"/>
            <w:hideMark/>
          </w:tcPr>
          <w:p w14:paraId="10CCF2C1" w14:textId="71604B48" w:rsidR="007164AD" w:rsidRPr="00ED3190" w:rsidRDefault="007164AD" w:rsidP="00022AC7">
            <w:pPr>
              <w:pStyle w:val="TableText0"/>
              <w:rPr>
                <w:b/>
                <w:bCs w:val="0"/>
              </w:rPr>
            </w:pPr>
            <w:r w:rsidRPr="00ED3190">
              <w:rPr>
                <w:b/>
                <w:bCs w:val="0"/>
              </w:rPr>
              <w:t xml:space="preserve">March 2024 Submission Base Case </w:t>
            </w:r>
            <w:r w:rsidRPr="00ED3190">
              <w:rPr>
                <w:b/>
                <w:bCs w:val="0"/>
              </w:rPr>
              <w:br/>
              <w:t>(vial price $</w:t>
            </w:r>
            <w:r w:rsidR="00B3542F" w:rsidRPr="00B3542F">
              <w:rPr>
                <w:b/>
                <w:bCs w:val="0"/>
                <w:color w:val="000000"/>
                <w:spacing w:val="58"/>
                <w:shd w:val="solid" w:color="000000" w:fill="000000"/>
                <w:fitText w:val="360" w:id="-931930364"/>
                <w14:textFill>
                  <w14:solidFill>
                    <w14:srgbClr w14:val="000000">
                      <w14:alpha w14:val="100000"/>
                    </w14:srgbClr>
                  </w14:solidFill>
                </w14:textFill>
              </w:rPr>
              <w:t>|||</w:t>
            </w:r>
            <w:r w:rsidR="00B3542F" w:rsidRPr="00B3542F">
              <w:rPr>
                <w:b/>
                <w:bCs w:val="0"/>
                <w:color w:val="000000"/>
                <w:spacing w:val="3"/>
                <w:shd w:val="solid" w:color="000000" w:fill="000000"/>
                <w:fitText w:val="360" w:id="-931930364"/>
                <w14:textFill>
                  <w14:solidFill>
                    <w14:srgbClr w14:val="000000">
                      <w14:alpha w14:val="100000"/>
                    </w14:srgbClr>
                  </w14:solidFill>
                </w14:textFill>
              </w:rPr>
              <w:t>|</w:t>
            </w:r>
            <w:r w:rsidRPr="00ED3190">
              <w:rPr>
                <w:b/>
                <w:bCs w:val="0"/>
              </w:rPr>
              <w:t>) (as per Table 16)</w:t>
            </w:r>
          </w:p>
        </w:tc>
        <w:tc>
          <w:tcPr>
            <w:tcW w:w="1692" w:type="dxa"/>
            <w:hideMark/>
          </w:tcPr>
          <w:p w14:paraId="218982FF" w14:textId="4B67AA01" w:rsidR="007164AD" w:rsidRPr="00ED3190" w:rsidRDefault="007164AD" w:rsidP="00022AC7">
            <w:pPr>
              <w:pStyle w:val="TableText0"/>
              <w:rPr>
                <w:b/>
                <w:bCs w:val="0"/>
              </w:rPr>
            </w:pPr>
            <w:r w:rsidRPr="00ED3190">
              <w:rPr>
                <w:b/>
                <w:bCs w:val="0"/>
              </w:rPr>
              <w:t>$</w:t>
            </w:r>
            <w:r w:rsidR="00B3542F" w:rsidRPr="00B3542F">
              <w:rPr>
                <w:b/>
                <w:bCs w:val="0"/>
                <w:color w:val="000000"/>
                <w:spacing w:val="55"/>
                <w:shd w:val="solid" w:color="000000" w:fill="000000"/>
                <w:fitText w:val="350" w:id="-931930363"/>
                <w14:textFill>
                  <w14:solidFill>
                    <w14:srgbClr w14:val="000000">
                      <w14:alpha w14:val="100000"/>
                    </w14:srgbClr>
                  </w14:solidFill>
                </w14:textFill>
              </w:rPr>
              <w:t>|||</w:t>
            </w:r>
            <w:r w:rsidR="00B3542F" w:rsidRPr="00B3542F">
              <w:rPr>
                <w:b/>
                <w:bCs w:val="0"/>
                <w:color w:val="000000"/>
                <w:spacing w:val="2"/>
                <w:shd w:val="solid" w:color="000000" w:fill="000000"/>
                <w:fitText w:val="350" w:id="-931930363"/>
                <w14:textFill>
                  <w14:solidFill>
                    <w14:srgbClr w14:val="000000">
                      <w14:alpha w14:val="100000"/>
                    </w14:srgbClr>
                  </w14:solidFill>
                </w14:textFill>
              </w:rPr>
              <w:t>|</w:t>
            </w:r>
          </w:p>
        </w:tc>
        <w:tc>
          <w:tcPr>
            <w:tcW w:w="1693" w:type="dxa"/>
            <w:hideMark/>
          </w:tcPr>
          <w:p w14:paraId="337342E9" w14:textId="77777777" w:rsidR="007164AD" w:rsidRPr="00ED3190" w:rsidRDefault="007164AD" w:rsidP="00022AC7">
            <w:pPr>
              <w:pStyle w:val="TableText0"/>
              <w:rPr>
                <w:b/>
                <w:bCs w:val="0"/>
              </w:rPr>
            </w:pPr>
            <w:r w:rsidRPr="00ED3190">
              <w:rPr>
                <w:b/>
                <w:bCs w:val="0"/>
              </w:rPr>
              <w:t>0.783</w:t>
            </w:r>
          </w:p>
        </w:tc>
        <w:tc>
          <w:tcPr>
            <w:tcW w:w="1526" w:type="dxa"/>
            <w:hideMark/>
          </w:tcPr>
          <w:p w14:paraId="67DAA90D" w14:textId="316688AA" w:rsidR="007164AD" w:rsidRPr="001244DF" w:rsidRDefault="00B3542F" w:rsidP="00022AC7">
            <w:pPr>
              <w:pStyle w:val="TableText0"/>
              <w:rPr>
                <w:b/>
                <w:bCs w:val="0"/>
                <w:vertAlign w:val="superscript"/>
              </w:rPr>
            </w:pPr>
            <w:r w:rsidRPr="00B3542F">
              <w:rPr>
                <w:b/>
                <w:bCs w:val="0"/>
                <w:color w:val="000000"/>
                <w:spacing w:val="55"/>
                <w:shd w:val="solid" w:color="000000" w:fill="000000"/>
                <w:fitText w:val="350" w:id="-931930362"/>
                <w14:textFill>
                  <w14:solidFill>
                    <w14:srgbClr w14:val="000000">
                      <w14:alpha w14:val="100000"/>
                    </w14:srgbClr>
                  </w14:solidFill>
                </w14:textFill>
              </w:rPr>
              <w:t>|||</w:t>
            </w:r>
            <w:r w:rsidRPr="00B3542F">
              <w:rPr>
                <w:b/>
                <w:bCs w:val="0"/>
                <w:color w:val="000000"/>
                <w:spacing w:val="2"/>
                <w:shd w:val="solid" w:color="000000" w:fill="000000"/>
                <w:fitText w:val="350" w:id="-931930362"/>
                <w14:textFill>
                  <w14:solidFill>
                    <w14:srgbClr w14:val="000000">
                      <w14:alpha w14:val="100000"/>
                    </w14:srgbClr>
                  </w14:solidFill>
                </w14:textFill>
              </w:rPr>
              <w:t>|</w:t>
            </w:r>
            <w:r w:rsidR="001244DF">
              <w:rPr>
                <w:b/>
                <w:bCs w:val="0"/>
                <w:vertAlign w:val="superscript"/>
              </w:rPr>
              <w:t>1</w:t>
            </w:r>
          </w:p>
        </w:tc>
      </w:tr>
      <w:tr w:rsidR="007164AD" w:rsidRPr="00ED3190" w14:paraId="5DCC8741" w14:textId="77777777" w:rsidTr="00022AC7">
        <w:trPr>
          <w:trHeight w:val="54"/>
        </w:trPr>
        <w:tc>
          <w:tcPr>
            <w:tcW w:w="4106" w:type="dxa"/>
          </w:tcPr>
          <w:p w14:paraId="370F5B81" w14:textId="77777777" w:rsidR="007164AD" w:rsidRPr="00ED3190" w:rsidRDefault="007164AD" w:rsidP="00022AC7">
            <w:pPr>
              <w:pStyle w:val="TableText0"/>
              <w:rPr>
                <w:b/>
                <w:bCs w:val="0"/>
              </w:rPr>
            </w:pPr>
            <w:r w:rsidRPr="00ED3190">
              <w:rPr>
                <w:b/>
                <w:bCs w:val="0"/>
              </w:rPr>
              <w:t>PBAC recommended settings and March 2024 pre</w:t>
            </w:r>
            <w:r w:rsidRPr="00ED3190">
              <w:rPr>
                <w:b/>
                <w:bCs w:val="0"/>
              </w:rPr>
              <w:noBreakHyphen/>
              <w:t>PBAC response price (as per Table 18)</w:t>
            </w:r>
          </w:p>
          <w:p w14:paraId="63363A07" w14:textId="77777777" w:rsidR="007164AD" w:rsidRPr="00ED3190" w:rsidRDefault="007164AD" w:rsidP="00022AC7">
            <w:pPr>
              <w:pStyle w:val="TableText0"/>
              <w:rPr>
                <w:rFonts w:eastAsia="Arial"/>
              </w:rPr>
            </w:pPr>
            <w:r w:rsidRPr="00ED3190">
              <w:rPr>
                <w:rFonts w:eastAsia="Arial"/>
              </w:rPr>
              <w:t>• 12 month analysis</w:t>
            </w:r>
          </w:p>
          <w:p w14:paraId="325D1A67" w14:textId="77777777" w:rsidR="007164AD" w:rsidRPr="00ED3190" w:rsidRDefault="007164AD" w:rsidP="00022AC7">
            <w:pPr>
              <w:pStyle w:val="TableText0"/>
              <w:rPr>
                <w:rFonts w:eastAsia="Arial"/>
              </w:rPr>
            </w:pPr>
            <w:r w:rsidRPr="00ED3190">
              <w:rPr>
                <w:rFonts w:eastAsia="Arial"/>
              </w:rPr>
              <w:t>• VE 33% for hospitalisations and 45% for emergency department and outpatient attendance</w:t>
            </w:r>
          </w:p>
          <w:p w14:paraId="38CA9E8F" w14:textId="377E3E68" w:rsidR="007164AD" w:rsidRPr="00ED3190" w:rsidRDefault="007164AD" w:rsidP="00022AC7">
            <w:pPr>
              <w:pStyle w:val="TableText0"/>
              <w:rPr>
                <w:rFonts w:eastAsia="Arial"/>
              </w:rPr>
            </w:pPr>
            <w:r w:rsidRPr="00ED3190">
              <w:rPr>
                <w:rFonts w:eastAsia="Arial"/>
              </w:rPr>
              <w:t>• vial price $</w:t>
            </w:r>
            <w:r w:rsidR="00B3542F" w:rsidRPr="00B3542F">
              <w:rPr>
                <w:rFonts w:eastAsia="Arial"/>
                <w:color w:val="000000"/>
                <w:spacing w:val="49"/>
                <w:shd w:val="solid" w:color="000000" w:fill="000000"/>
                <w:fitText w:val="320" w:id="-931930361"/>
                <w14:textFill>
                  <w14:solidFill>
                    <w14:srgbClr w14:val="000000">
                      <w14:alpha w14:val="100000"/>
                    </w14:srgbClr>
                  </w14:solidFill>
                </w14:textFill>
              </w:rPr>
              <w:t>|||</w:t>
            </w:r>
            <w:r w:rsidR="00B3542F" w:rsidRPr="00B3542F">
              <w:rPr>
                <w:rFonts w:eastAsia="Arial"/>
                <w:color w:val="000000"/>
                <w:spacing w:val="3"/>
                <w:shd w:val="solid" w:color="000000" w:fill="000000"/>
                <w:fitText w:val="320" w:id="-931930361"/>
                <w14:textFill>
                  <w14:solidFill>
                    <w14:srgbClr w14:val="000000">
                      <w14:alpha w14:val="100000"/>
                    </w14:srgbClr>
                  </w14:solidFill>
                </w14:textFill>
              </w:rPr>
              <w:t>|</w:t>
            </w:r>
          </w:p>
        </w:tc>
        <w:tc>
          <w:tcPr>
            <w:tcW w:w="1692" w:type="dxa"/>
          </w:tcPr>
          <w:p w14:paraId="5031B62E" w14:textId="5E40ABFF" w:rsidR="007164AD" w:rsidRPr="00ED3190" w:rsidRDefault="007164AD" w:rsidP="00022AC7">
            <w:pPr>
              <w:pStyle w:val="TableText0"/>
            </w:pPr>
            <w:r w:rsidRPr="00ED3190">
              <w:t>$</w:t>
            </w:r>
            <w:r w:rsidR="00B3542F" w:rsidRPr="00B3542F">
              <w:rPr>
                <w:color w:val="000000"/>
                <w:spacing w:val="53"/>
                <w:shd w:val="solid" w:color="000000" w:fill="000000"/>
                <w:fitText w:val="330" w:id="-931930360"/>
                <w14:textFill>
                  <w14:solidFill>
                    <w14:srgbClr w14:val="000000">
                      <w14:alpha w14:val="100000"/>
                    </w14:srgbClr>
                  </w14:solidFill>
                </w14:textFill>
              </w:rPr>
              <w:t>|||</w:t>
            </w:r>
            <w:r w:rsidR="00B3542F" w:rsidRPr="00B3542F">
              <w:rPr>
                <w:color w:val="000000"/>
                <w:spacing w:val="1"/>
                <w:shd w:val="solid" w:color="000000" w:fill="000000"/>
                <w:fitText w:val="330" w:id="-931930360"/>
                <w14:textFill>
                  <w14:solidFill>
                    <w14:srgbClr w14:val="000000">
                      <w14:alpha w14:val="100000"/>
                    </w14:srgbClr>
                  </w14:solidFill>
                </w14:textFill>
              </w:rPr>
              <w:t>|</w:t>
            </w:r>
          </w:p>
        </w:tc>
        <w:tc>
          <w:tcPr>
            <w:tcW w:w="1693" w:type="dxa"/>
          </w:tcPr>
          <w:p w14:paraId="1E26E193" w14:textId="77777777" w:rsidR="007164AD" w:rsidRPr="00ED3190" w:rsidRDefault="007164AD" w:rsidP="00022AC7">
            <w:pPr>
              <w:pStyle w:val="TableText0"/>
            </w:pPr>
            <w:r w:rsidRPr="00ED3190">
              <w:t>0.662</w:t>
            </w:r>
          </w:p>
        </w:tc>
        <w:tc>
          <w:tcPr>
            <w:tcW w:w="1526" w:type="dxa"/>
          </w:tcPr>
          <w:p w14:paraId="54A8763B" w14:textId="00CBF1FD" w:rsidR="007164AD" w:rsidRPr="001244DF" w:rsidRDefault="00B3542F" w:rsidP="00022AC7">
            <w:pPr>
              <w:pStyle w:val="TableText0"/>
              <w:rPr>
                <w:vertAlign w:val="superscript"/>
              </w:rPr>
            </w:pPr>
            <w:r w:rsidRPr="00B3542F">
              <w:rPr>
                <w:color w:val="000000"/>
                <w:spacing w:val="53"/>
                <w:shd w:val="solid" w:color="000000" w:fill="000000"/>
                <w:fitText w:val="330" w:id="-931930359"/>
                <w14:textFill>
                  <w14:solidFill>
                    <w14:srgbClr w14:val="000000">
                      <w14:alpha w14:val="100000"/>
                    </w14:srgbClr>
                  </w14:solidFill>
                </w14:textFill>
              </w:rPr>
              <w:t>|||</w:t>
            </w:r>
            <w:r w:rsidRPr="00B3542F">
              <w:rPr>
                <w:color w:val="000000"/>
                <w:spacing w:val="1"/>
                <w:shd w:val="solid" w:color="000000" w:fill="000000"/>
                <w:fitText w:val="330" w:id="-931930359"/>
                <w14:textFill>
                  <w14:solidFill>
                    <w14:srgbClr w14:val="000000">
                      <w14:alpha w14:val="100000"/>
                    </w14:srgbClr>
                  </w14:solidFill>
                </w14:textFill>
              </w:rPr>
              <w:t>|</w:t>
            </w:r>
            <w:r w:rsidR="001244DF">
              <w:rPr>
                <w:vertAlign w:val="superscript"/>
              </w:rPr>
              <w:t>2</w:t>
            </w:r>
          </w:p>
        </w:tc>
      </w:tr>
      <w:tr w:rsidR="007164AD" w:rsidRPr="00ED3190" w14:paraId="25B562FD" w14:textId="77777777" w:rsidTr="00022AC7">
        <w:trPr>
          <w:trHeight w:val="40"/>
        </w:trPr>
        <w:tc>
          <w:tcPr>
            <w:tcW w:w="4106" w:type="dxa"/>
          </w:tcPr>
          <w:p w14:paraId="0A6DAFF1" w14:textId="77777777" w:rsidR="007164AD" w:rsidRPr="00ED3190" w:rsidRDefault="007164AD" w:rsidP="00022AC7">
            <w:pPr>
              <w:pStyle w:val="TableText0"/>
              <w:rPr>
                <w:b/>
                <w:bCs w:val="0"/>
              </w:rPr>
            </w:pPr>
            <w:r w:rsidRPr="00ED3190">
              <w:rPr>
                <w:b/>
                <w:bCs w:val="0"/>
              </w:rPr>
              <w:t>Resubmission Base Case</w:t>
            </w:r>
          </w:p>
          <w:p w14:paraId="2D037689" w14:textId="77777777" w:rsidR="007164AD" w:rsidRPr="00ED3190" w:rsidRDefault="007164AD" w:rsidP="00022AC7">
            <w:pPr>
              <w:pStyle w:val="TableText0"/>
            </w:pPr>
            <w:r w:rsidRPr="00ED3190">
              <w:rPr>
                <w:rFonts w:eastAsia="Arial"/>
              </w:rPr>
              <w:t xml:space="preserve">• </w:t>
            </w:r>
            <w:r w:rsidRPr="00ED3190">
              <w:t>6-month analysis</w:t>
            </w:r>
          </w:p>
          <w:p w14:paraId="78E73245" w14:textId="77777777" w:rsidR="007164AD" w:rsidRPr="00ED3190" w:rsidRDefault="007164AD" w:rsidP="00022AC7">
            <w:pPr>
              <w:pStyle w:val="TableText0"/>
            </w:pPr>
            <w:r w:rsidRPr="00ED3190">
              <w:rPr>
                <w:rFonts w:eastAsia="Arial"/>
              </w:rPr>
              <w:t xml:space="preserve">• </w:t>
            </w:r>
            <w:r w:rsidRPr="00ED3190">
              <w:t>75% of ED and outpatient attendance events occur by 6-months</w:t>
            </w:r>
          </w:p>
          <w:p w14:paraId="7258B836" w14:textId="77777777" w:rsidR="00DB24CC" w:rsidRDefault="007164AD" w:rsidP="00022AC7">
            <w:pPr>
              <w:pStyle w:val="TableText0"/>
            </w:pPr>
            <w:r w:rsidRPr="00ED3190">
              <w:rPr>
                <w:rFonts w:eastAsia="Arial"/>
              </w:rPr>
              <w:t xml:space="preserve">• </w:t>
            </w:r>
            <w:r w:rsidRPr="00ED3190">
              <w:t>VE 56.8% for hospitalisations and 51.3% for emergency department and outpatient attendance</w:t>
            </w:r>
          </w:p>
          <w:p w14:paraId="51CA09D2" w14:textId="04637A36" w:rsidR="007164AD" w:rsidRPr="00ED3190" w:rsidRDefault="007164AD" w:rsidP="00022AC7">
            <w:pPr>
              <w:pStyle w:val="TableText0"/>
            </w:pPr>
            <w:r w:rsidRPr="00ED3190">
              <w:rPr>
                <w:rFonts w:eastAsia="Arial"/>
              </w:rPr>
              <w:t>• vial price $</w:t>
            </w:r>
            <w:r w:rsidR="00B3542F" w:rsidRPr="00B3542F">
              <w:rPr>
                <w:rFonts w:eastAsia="Arial"/>
                <w:color w:val="000000"/>
                <w:spacing w:val="49"/>
                <w:shd w:val="solid" w:color="000000" w:fill="000000"/>
                <w:fitText w:val="320" w:id="-931930358"/>
                <w14:textFill>
                  <w14:solidFill>
                    <w14:srgbClr w14:val="000000">
                      <w14:alpha w14:val="100000"/>
                    </w14:srgbClr>
                  </w14:solidFill>
                </w14:textFill>
              </w:rPr>
              <w:t>|||</w:t>
            </w:r>
            <w:r w:rsidR="00B3542F" w:rsidRPr="00B3542F">
              <w:rPr>
                <w:rFonts w:eastAsia="Arial"/>
                <w:color w:val="000000"/>
                <w:spacing w:val="3"/>
                <w:shd w:val="solid" w:color="000000" w:fill="000000"/>
                <w:fitText w:val="320" w:id="-931930358"/>
                <w14:textFill>
                  <w14:solidFill>
                    <w14:srgbClr w14:val="000000">
                      <w14:alpha w14:val="100000"/>
                    </w14:srgbClr>
                  </w14:solidFill>
                </w14:textFill>
              </w:rPr>
              <w:t>|</w:t>
            </w:r>
          </w:p>
        </w:tc>
        <w:tc>
          <w:tcPr>
            <w:tcW w:w="1692" w:type="dxa"/>
          </w:tcPr>
          <w:p w14:paraId="4EE7958E" w14:textId="74B392C7" w:rsidR="007164AD" w:rsidRPr="00ED3190" w:rsidRDefault="007164AD" w:rsidP="00022AC7">
            <w:pPr>
              <w:pStyle w:val="TableText0"/>
            </w:pPr>
            <w:r w:rsidRPr="00ED3190">
              <w:t>$</w:t>
            </w:r>
            <w:r w:rsidR="00B3542F" w:rsidRPr="00B3542F">
              <w:rPr>
                <w:color w:val="000000"/>
                <w:spacing w:val="53"/>
                <w:shd w:val="solid" w:color="000000" w:fill="000000"/>
                <w:fitText w:val="330" w:id="-931930357"/>
                <w14:textFill>
                  <w14:solidFill>
                    <w14:srgbClr w14:val="000000">
                      <w14:alpha w14:val="100000"/>
                    </w14:srgbClr>
                  </w14:solidFill>
                </w14:textFill>
              </w:rPr>
              <w:t>|||</w:t>
            </w:r>
            <w:r w:rsidR="00B3542F" w:rsidRPr="00B3542F">
              <w:rPr>
                <w:color w:val="000000"/>
                <w:spacing w:val="1"/>
                <w:shd w:val="solid" w:color="000000" w:fill="000000"/>
                <w:fitText w:val="330" w:id="-931930357"/>
                <w14:textFill>
                  <w14:solidFill>
                    <w14:srgbClr w14:val="000000">
                      <w14:alpha w14:val="100000"/>
                    </w14:srgbClr>
                  </w14:solidFill>
                </w14:textFill>
              </w:rPr>
              <w:t>|</w:t>
            </w:r>
          </w:p>
        </w:tc>
        <w:tc>
          <w:tcPr>
            <w:tcW w:w="1693" w:type="dxa"/>
          </w:tcPr>
          <w:p w14:paraId="25614161" w14:textId="77777777" w:rsidR="007164AD" w:rsidRPr="00ED3190" w:rsidRDefault="007164AD" w:rsidP="00022AC7">
            <w:pPr>
              <w:pStyle w:val="TableText0"/>
            </w:pPr>
            <w:r w:rsidRPr="00ED3190">
              <w:t>0.697</w:t>
            </w:r>
          </w:p>
        </w:tc>
        <w:tc>
          <w:tcPr>
            <w:tcW w:w="1526" w:type="dxa"/>
          </w:tcPr>
          <w:p w14:paraId="1F15E315" w14:textId="2F22F4DF" w:rsidR="007164AD" w:rsidRPr="001244DF" w:rsidRDefault="00B3542F" w:rsidP="00022AC7">
            <w:pPr>
              <w:pStyle w:val="TableText0"/>
              <w:rPr>
                <w:vertAlign w:val="superscript"/>
              </w:rPr>
            </w:pPr>
            <w:r w:rsidRPr="00B3542F">
              <w:rPr>
                <w:color w:val="000000"/>
                <w:spacing w:val="53"/>
                <w:shd w:val="solid" w:color="000000" w:fill="000000"/>
                <w:fitText w:val="330" w:id="-931930356"/>
                <w14:textFill>
                  <w14:solidFill>
                    <w14:srgbClr w14:val="000000">
                      <w14:alpha w14:val="100000"/>
                    </w14:srgbClr>
                  </w14:solidFill>
                </w14:textFill>
              </w:rPr>
              <w:t>|||</w:t>
            </w:r>
            <w:r w:rsidRPr="00B3542F">
              <w:rPr>
                <w:color w:val="000000"/>
                <w:spacing w:val="1"/>
                <w:shd w:val="solid" w:color="000000" w:fill="000000"/>
                <w:fitText w:val="330" w:id="-931930356"/>
                <w14:textFill>
                  <w14:solidFill>
                    <w14:srgbClr w14:val="000000">
                      <w14:alpha w14:val="100000"/>
                    </w14:srgbClr>
                  </w14:solidFill>
                </w14:textFill>
              </w:rPr>
              <w:t>|</w:t>
            </w:r>
            <w:r w:rsidR="001244DF">
              <w:rPr>
                <w:vertAlign w:val="superscript"/>
              </w:rPr>
              <w:t>3</w:t>
            </w:r>
          </w:p>
        </w:tc>
      </w:tr>
      <w:tr w:rsidR="007164AD" w:rsidRPr="00ED3190" w14:paraId="170DD630" w14:textId="77777777" w:rsidTr="00022AC7">
        <w:trPr>
          <w:trHeight w:val="40"/>
        </w:trPr>
        <w:tc>
          <w:tcPr>
            <w:tcW w:w="4106" w:type="dxa"/>
          </w:tcPr>
          <w:p w14:paraId="4386B6C8" w14:textId="77777777" w:rsidR="00DB24CC" w:rsidRDefault="007164AD" w:rsidP="00022AC7">
            <w:pPr>
              <w:pStyle w:val="TableText0"/>
              <w:rPr>
                <w:b/>
                <w:bCs w:val="0"/>
              </w:rPr>
            </w:pPr>
            <w:r w:rsidRPr="00ED3190">
              <w:rPr>
                <w:b/>
                <w:bCs w:val="0"/>
              </w:rPr>
              <w:t>Resubmission Alternative Case</w:t>
            </w:r>
          </w:p>
          <w:p w14:paraId="16D4B8DF" w14:textId="4B7E3366" w:rsidR="00DB24CC" w:rsidRDefault="007164AD" w:rsidP="00022AC7">
            <w:pPr>
              <w:pStyle w:val="TableText0"/>
              <w:rPr>
                <w:rFonts w:eastAsia="Arial"/>
              </w:rPr>
            </w:pPr>
            <w:r w:rsidRPr="00ED3190">
              <w:rPr>
                <w:rFonts w:eastAsia="Arial"/>
              </w:rPr>
              <w:t>• 12 month model</w:t>
            </w:r>
          </w:p>
          <w:p w14:paraId="42ACD73A" w14:textId="52A81FB1" w:rsidR="007164AD" w:rsidRPr="00ED3190" w:rsidRDefault="007164AD" w:rsidP="00022AC7">
            <w:pPr>
              <w:pStyle w:val="TableText0"/>
              <w:rPr>
                <w:rFonts w:eastAsia="Arial"/>
              </w:rPr>
            </w:pPr>
            <w:r w:rsidRPr="00ED3190">
              <w:rPr>
                <w:rFonts w:eastAsia="Arial"/>
              </w:rPr>
              <w:t>• VE 33% for hospitalisations and 45% for emergency department and outpatient attendance</w:t>
            </w:r>
          </w:p>
          <w:p w14:paraId="7BC992B9" w14:textId="489E8D81" w:rsidR="007164AD" w:rsidRPr="00ED3190" w:rsidRDefault="007164AD" w:rsidP="00022AC7">
            <w:pPr>
              <w:pStyle w:val="TableText0"/>
            </w:pPr>
            <w:r w:rsidRPr="00ED3190">
              <w:rPr>
                <w:rFonts w:eastAsia="Arial"/>
              </w:rPr>
              <w:t>• vial price $</w:t>
            </w:r>
            <w:r w:rsidR="00B3542F" w:rsidRPr="00B3542F">
              <w:rPr>
                <w:rFonts w:eastAsia="Arial"/>
                <w:color w:val="000000"/>
                <w:spacing w:val="49"/>
                <w:shd w:val="solid" w:color="000000" w:fill="000000"/>
                <w:fitText w:val="320" w:id="-931930355"/>
                <w14:textFill>
                  <w14:solidFill>
                    <w14:srgbClr w14:val="000000">
                      <w14:alpha w14:val="100000"/>
                    </w14:srgbClr>
                  </w14:solidFill>
                </w14:textFill>
              </w:rPr>
              <w:t>|||</w:t>
            </w:r>
            <w:r w:rsidR="00B3542F" w:rsidRPr="00B3542F">
              <w:rPr>
                <w:rFonts w:eastAsia="Arial"/>
                <w:color w:val="000000"/>
                <w:spacing w:val="3"/>
                <w:shd w:val="solid" w:color="000000" w:fill="000000"/>
                <w:fitText w:val="320" w:id="-931930355"/>
                <w14:textFill>
                  <w14:solidFill>
                    <w14:srgbClr w14:val="000000">
                      <w14:alpha w14:val="100000"/>
                    </w14:srgbClr>
                  </w14:solidFill>
                </w14:textFill>
              </w:rPr>
              <w:t>|</w:t>
            </w:r>
          </w:p>
        </w:tc>
        <w:tc>
          <w:tcPr>
            <w:tcW w:w="1692" w:type="dxa"/>
          </w:tcPr>
          <w:p w14:paraId="7F0ECE6C" w14:textId="66D47335" w:rsidR="007164AD" w:rsidRPr="00ED3190" w:rsidRDefault="007164AD" w:rsidP="00022AC7">
            <w:pPr>
              <w:pStyle w:val="TableText0"/>
            </w:pPr>
            <w:r w:rsidRPr="00ED3190">
              <w:t>$</w:t>
            </w:r>
            <w:r w:rsidR="00B3542F" w:rsidRPr="00B3542F">
              <w:rPr>
                <w:color w:val="000000"/>
                <w:spacing w:val="53"/>
                <w:shd w:val="solid" w:color="000000" w:fill="000000"/>
                <w:fitText w:val="330" w:id="-931930354"/>
                <w14:textFill>
                  <w14:solidFill>
                    <w14:srgbClr w14:val="000000">
                      <w14:alpha w14:val="100000"/>
                    </w14:srgbClr>
                  </w14:solidFill>
                </w14:textFill>
              </w:rPr>
              <w:t>|||</w:t>
            </w:r>
            <w:r w:rsidR="00B3542F" w:rsidRPr="00B3542F">
              <w:rPr>
                <w:color w:val="000000"/>
                <w:spacing w:val="1"/>
                <w:shd w:val="solid" w:color="000000" w:fill="000000"/>
                <w:fitText w:val="330" w:id="-931930354"/>
                <w14:textFill>
                  <w14:solidFill>
                    <w14:srgbClr w14:val="000000">
                      <w14:alpha w14:val="100000"/>
                    </w14:srgbClr>
                  </w14:solidFill>
                </w14:textFill>
              </w:rPr>
              <w:t>|</w:t>
            </w:r>
          </w:p>
        </w:tc>
        <w:tc>
          <w:tcPr>
            <w:tcW w:w="1693" w:type="dxa"/>
          </w:tcPr>
          <w:p w14:paraId="7611F1F4" w14:textId="77777777" w:rsidR="007164AD" w:rsidRPr="00ED3190" w:rsidRDefault="007164AD" w:rsidP="00022AC7">
            <w:pPr>
              <w:pStyle w:val="TableText0"/>
            </w:pPr>
            <w:r w:rsidRPr="00ED3190">
              <w:t>0.662</w:t>
            </w:r>
          </w:p>
        </w:tc>
        <w:tc>
          <w:tcPr>
            <w:tcW w:w="1526" w:type="dxa"/>
          </w:tcPr>
          <w:p w14:paraId="297C0D10" w14:textId="05C0F1C4" w:rsidR="007164AD" w:rsidRPr="001244DF" w:rsidRDefault="00B3542F" w:rsidP="00022AC7">
            <w:pPr>
              <w:pStyle w:val="TableText0"/>
              <w:rPr>
                <w:vertAlign w:val="superscript"/>
              </w:rPr>
            </w:pPr>
            <w:r w:rsidRPr="00B3542F">
              <w:rPr>
                <w:color w:val="000000"/>
                <w:spacing w:val="53"/>
                <w:shd w:val="solid" w:color="000000" w:fill="000000"/>
                <w:fitText w:val="330" w:id="-931930353"/>
                <w14:textFill>
                  <w14:solidFill>
                    <w14:srgbClr w14:val="000000">
                      <w14:alpha w14:val="100000"/>
                    </w14:srgbClr>
                  </w14:solidFill>
                </w14:textFill>
              </w:rPr>
              <w:t>|||</w:t>
            </w:r>
            <w:r w:rsidRPr="00B3542F">
              <w:rPr>
                <w:color w:val="000000"/>
                <w:spacing w:val="1"/>
                <w:shd w:val="solid" w:color="000000" w:fill="000000"/>
                <w:fitText w:val="330" w:id="-931930353"/>
                <w14:textFill>
                  <w14:solidFill>
                    <w14:srgbClr w14:val="000000">
                      <w14:alpha w14:val="100000"/>
                    </w14:srgbClr>
                  </w14:solidFill>
                </w14:textFill>
              </w:rPr>
              <w:t>|</w:t>
            </w:r>
            <w:r w:rsidR="001244DF">
              <w:rPr>
                <w:vertAlign w:val="superscript"/>
              </w:rPr>
              <w:t>4</w:t>
            </w:r>
          </w:p>
        </w:tc>
      </w:tr>
    </w:tbl>
    <w:p w14:paraId="1C2B2A49" w14:textId="5ADD6985" w:rsidR="001244DF" w:rsidRPr="001244DF" w:rsidRDefault="001244DF" w:rsidP="001244DF">
      <w:pPr>
        <w:pStyle w:val="3Bodytext"/>
        <w:spacing w:after="0"/>
        <w:rPr>
          <w:rFonts w:ascii="Arial Narrow" w:hAnsi="Arial Narrow"/>
          <w:i/>
          <w:iCs/>
          <w:sz w:val="18"/>
          <w:szCs w:val="18"/>
        </w:rPr>
      </w:pPr>
      <w:r w:rsidRPr="001244DF">
        <w:rPr>
          <w:rFonts w:ascii="Arial Narrow" w:hAnsi="Arial Narrow"/>
          <w:i/>
          <w:iCs/>
          <w:sz w:val="18"/>
          <w:szCs w:val="18"/>
        </w:rPr>
        <w:t>The redacted values correspond to the following ranges:</w:t>
      </w:r>
    </w:p>
    <w:p w14:paraId="2F6CC127" w14:textId="168A9462" w:rsidR="001244DF" w:rsidRPr="001244DF" w:rsidRDefault="001244DF" w:rsidP="001244DF">
      <w:pPr>
        <w:pStyle w:val="3Bodytext"/>
        <w:spacing w:after="0"/>
        <w:rPr>
          <w:rFonts w:ascii="Arial Narrow" w:hAnsi="Arial Narrow"/>
          <w:i/>
          <w:iCs/>
          <w:sz w:val="18"/>
          <w:szCs w:val="18"/>
        </w:rPr>
      </w:pPr>
      <w:r w:rsidRPr="001244DF">
        <w:rPr>
          <w:rFonts w:ascii="Arial Narrow" w:hAnsi="Arial Narrow"/>
          <w:i/>
          <w:iCs/>
          <w:sz w:val="18"/>
          <w:szCs w:val="18"/>
          <w:vertAlign w:val="superscript"/>
        </w:rPr>
        <w:t>1</w:t>
      </w:r>
      <w:r w:rsidRPr="001244DF">
        <w:rPr>
          <w:rFonts w:ascii="Arial Narrow" w:hAnsi="Arial Narrow"/>
          <w:i/>
          <w:iCs/>
          <w:sz w:val="18"/>
          <w:szCs w:val="18"/>
        </w:rPr>
        <w:t xml:space="preserve"> $25,000 to &lt; $35,000</w:t>
      </w:r>
    </w:p>
    <w:p w14:paraId="7A7A907F" w14:textId="1677F241" w:rsidR="001244DF" w:rsidRPr="001244DF" w:rsidRDefault="001244DF" w:rsidP="001244DF">
      <w:pPr>
        <w:pStyle w:val="3Bodytext"/>
        <w:spacing w:after="0"/>
        <w:rPr>
          <w:rFonts w:ascii="Arial Narrow" w:hAnsi="Arial Narrow"/>
          <w:i/>
          <w:iCs/>
          <w:sz w:val="18"/>
          <w:szCs w:val="18"/>
        </w:rPr>
      </w:pPr>
      <w:r w:rsidRPr="001244DF">
        <w:rPr>
          <w:rFonts w:ascii="Arial Narrow" w:hAnsi="Arial Narrow"/>
          <w:i/>
          <w:iCs/>
          <w:sz w:val="18"/>
          <w:szCs w:val="18"/>
          <w:vertAlign w:val="superscript"/>
        </w:rPr>
        <w:t>2</w:t>
      </w:r>
      <w:r w:rsidRPr="001244DF">
        <w:rPr>
          <w:rFonts w:ascii="Arial Narrow" w:hAnsi="Arial Narrow"/>
          <w:i/>
          <w:iCs/>
          <w:sz w:val="18"/>
          <w:szCs w:val="18"/>
        </w:rPr>
        <w:t xml:space="preserve"> $95,000 to &lt; $115,000</w:t>
      </w:r>
    </w:p>
    <w:p w14:paraId="7E3288EC" w14:textId="2619CBFC" w:rsidR="001244DF" w:rsidRPr="001244DF" w:rsidRDefault="001244DF" w:rsidP="001244DF">
      <w:pPr>
        <w:pStyle w:val="3Bodytext"/>
        <w:spacing w:after="0"/>
        <w:rPr>
          <w:rFonts w:ascii="Arial Narrow" w:hAnsi="Arial Narrow"/>
          <w:i/>
          <w:iCs/>
          <w:sz w:val="18"/>
          <w:szCs w:val="18"/>
        </w:rPr>
      </w:pPr>
      <w:r w:rsidRPr="001244DF">
        <w:rPr>
          <w:rFonts w:ascii="Arial Narrow" w:hAnsi="Arial Narrow"/>
          <w:i/>
          <w:iCs/>
          <w:sz w:val="18"/>
          <w:szCs w:val="18"/>
          <w:vertAlign w:val="superscript"/>
        </w:rPr>
        <w:t>3</w:t>
      </w:r>
      <w:r w:rsidRPr="001244DF">
        <w:rPr>
          <w:rFonts w:ascii="Arial Narrow" w:hAnsi="Arial Narrow"/>
          <w:i/>
          <w:iCs/>
          <w:sz w:val="18"/>
          <w:szCs w:val="18"/>
        </w:rPr>
        <w:t xml:space="preserve"> $15,000 to &lt; $25,000</w:t>
      </w:r>
    </w:p>
    <w:p w14:paraId="5D58D810" w14:textId="0CD3A024" w:rsidR="001244DF" w:rsidRPr="001244DF" w:rsidRDefault="001244DF" w:rsidP="001244DF">
      <w:pPr>
        <w:pStyle w:val="3Bodytext"/>
        <w:spacing w:after="0"/>
        <w:rPr>
          <w:rFonts w:ascii="Arial Narrow" w:hAnsi="Arial Narrow"/>
          <w:i/>
          <w:iCs/>
          <w:sz w:val="18"/>
          <w:szCs w:val="18"/>
        </w:rPr>
      </w:pPr>
      <w:r w:rsidRPr="001244DF">
        <w:rPr>
          <w:rFonts w:ascii="Arial Narrow" w:hAnsi="Arial Narrow"/>
          <w:i/>
          <w:iCs/>
          <w:sz w:val="18"/>
          <w:szCs w:val="18"/>
          <w:vertAlign w:val="superscript"/>
        </w:rPr>
        <w:t>4</w:t>
      </w:r>
      <w:r w:rsidRPr="001244DF">
        <w:rPr>
          <w:rFonts w:ascii="Arial Narrow" w:hAnsi="Arial Narrow"/>
          <w:i/>
          <w:iCs/>
          <w:sz w:val="18"/>
          <w:szCs w:val="18"/>
        </w:rPr>
        <w:t xml:space="preserve"> $45,000 to &lt; $55,000</w:t>
      </w:r>
    </w:p>
    <w:p w14:paraId="6172CD4A" w14:textId="5B5D0F92" w:rsidR="007164AD" w:rsidRPr="00ED3190" w:rsidRDefault="007164AD" w:rsidP="007164AD">
      <w:pPr>
        <w:pStyle w:val="4-SubsectionHeading"/>
      </w:pPr>
      <w:r w:rsidRPr="00ED3190">
        <w:t>Estimated PBS usage &amp; financial implications</w:t>
      </w:r>
    </w:p>
    <w:p w14:paraId="0C3A7198" w14:textId="11650CBD" w:rsidR="007164AD" w:rsidRPr="00ED3190" w:rsidRDefault="007164AD" w:rsidP="007164AD">
      <w:pPr>
        <w:pStyle w:val="3-BodyText"/>
      </w:pPr>
      <w:r w:rsidRPr="00ED3190">
        <w:t xml:space="preserve">The resubmission provided revised financial estimates, consistent with the PBAC’s advice as outlined in paragraph </w:t>
      </w:r>
      <w:r w:rsidRPr="00ED3190">
        <w:fldChar w:fldCharType="begin"/>
      </w:r>
      <w:r w:rsidRPr="00ED3190">
        <w:instrText xml:space="preserve"> REF _Ref167369439 \r \h </w:instrText>
      </w:r>
      <w:r w:rsidRPr="00ED3190">
        <w:fldChar w:fldCharType="separate"/>
      </w:r>
      <w:r w:rsidR="00A46CAC">
        <w:rPr>
          <w:b/>
          <w:bCs/>
          <w:lang w:val="en-US"/>
        </w:rPr>
        <w:t>Error! Reference source not found.</w:t>
      </w:r>
      <w:r w:rsidRPr="00ED3190">
        <w:fldChar w:fldCharType="end"/>
      </w:r>
      <w:r w:rsidRPr="00ED3190">
        <w:t>.</w:t>
      </w:r>
    </w:p>
    <w:p w14:paraId="3924824D" w14:textId="03F2B2C9" w:rsidR="007164AD" w:rsidRPr="00ED3190" w:rsidRDefault="007164AD" w:rsidP="00AE0C2A">
      <w:pPr>
        <w:pStyle w:val="TableFigureHeading"/>
      </w:pPr>
      <w:bookmarkStart w:id="133" w:name="_Ref167383566"/>
      <w:bookmarkStart w:id="134" w:name="_Toc147929938"/>
      <w:bookmarkStart w:id="135" w:name="_Hlk167380121"/>
      <w:r w:rsidRPr="00ED3190">
        <w:t xml:space="preserve">Table </w:t>
      </w:r>
      <w:r w:rsidR="00560E31">
        <w:fldChar w:fldCharType="begin"/>
      </w:r>
      <w:r w:rsidR="00560E31">
        <w:instrText xml:space="preserve"> SEQ Table \* ARABIC </w:instrText>
      </w:r>
      <w:r w:rsidR="00560E31">
        <w:fldChar w:fldCharType="separate"/>
      </w:r>
      <w:r w:rsidR="00A46CAC">
        <w:rPr>
          <w:noProof/>
        </w:rPr>
        <w:t>25</w:t>
      </w:r>
      <w:r w:rsidR="00560E31">
        <w:fldChar w:fldCharType="end"/>
      </w:r>
      <w:bookmarkEnd w:id="133"/>
      <w:r w:rsidRPr="00ED3190">
        <w:t>: Net financial implications of RSVpreF for the proposed NIP listing</w:t>
      </w:r>
      <w:bookmarkEnd w:id="134"/>
    </w:p>
    <w:tbl>
      <w:tblPr>
        <w:tblW w:w="5000" w:type="pct"/>
        <w:tblLook w:val="04A0" w:firstRow="1" w:lastRow="0" w:firstColumn="1" w:lastColumn="0" w:noHBand="0" w:noVBand="1"/>
      </w:tblPr>
      <w:tblGrid>
        <w:gridCol w:w="4641"/>
        <w:gridCol w:w="731"/>
        <w:gridCol w:w="730"/>
        <w:gridCol w:w="730"/>
        <w:gridCol w:w="730"/>
        <w:gridCol w:w="730"/>
        <w:gridCol w:w="725"/>
      </w:tblGrid>
      <w:tr w:rsidR="007164AD" w:rsidRPr="00ED3190" w14:paraId="1143A9EE" w14:textId="77777777" w:rsidTr="003955C4">
        <w:tc>
          <w:tcPr>
            <w:tcW w:w="2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92A6" w14:textId="77777777" w:rsidR="007164AD" w:rsidRPr="00ED3190" w:rsidRDefault="007164AD" w:rsidP="00022AC7">
            <w:pPr>
              <w:pStyle w:val="TableText0"/>
            </w:pPr>
            <w:r w:rsidRPr="00ED3190">
              <w:t> </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5FB1B981" w14:textId="77777777" w:rsidR="007164AD" w:rsidRPr="00ED3190" w:rsidRDefault="007164AD" w:rsidP="00022AC7">
            <w:pPr>
              <w:pStyle w:val="TableText0"/>
              <w:jc w:val="center"/>
              <w:rPr>
                <w:b/>
                <w:bCs w:val="0"/>
              </w:rPr>
            </w:pPr>
            <w:r w:rsidRPr="00ED3190">
              <w:rPr>
                <w:b/>
                <w:bCs w:val="0"/>
              </w:rPr>
              <w:t>2024</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4026637A" w14:textId="77777777" w:rsidR="007164AD" w:rsidRPr="00ED3190" w:rsidRDefault="007164AD" w:rsidP="00022AC7">
            <w:pPr>
              <w:pStyle w:val="TableText0"/>
              <w:jc w:val="center"/>
              <w:rPr>
                <w:b/>
                <w:bCs w:val="0"/>
              </w:rPr>
            </w:pPr>
            <w:r w:rsidRPr="00ED3190">
              <w:rPr>
                <w:b/>
                <w:bCs w:val="0"/>
              </w:rPr>
              <w:t>2025</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BC32274" w14:textId="77777777" w:rsidR="007164AD" w:rsidRPr="00ED3190" w:rsidRDefault="007164AD" w:rsidP="00022AC7">
            <w:pPr>
              <w:pStyle w:val="TableText0"/>
              <w:jc w:val="center"/>
              <w:rPr>
                <w:b/>
                <w:bCs w:val="0"/>
              </w:rPr>
            </w:pPr>
            <w:r w:rsidRPr="00ED3190">
              <w:rPr>
                <w:b/>
                <w:bCs w:val="0"/>
              </w:rPr>
              <w:t>2026</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280D7B88" w14:textId="77777777" w:rsidR="007164AD" w:rsidRPr="00ED3190" w:rsidRDefault="007164AD" w:rsidP="00022AC7">
            <w:pPr>
              <w:pStyle w:val="TableText0"/>
              <w:jc w:val="center"/>
              <w:rPr>
                <w:b/>
                <w:bCs w:val="0"/>
              </w:rPr>
            </w:pPr>
            <w:r w:rsidRPr="00ED3190">
              <w:rPr>
                <w:b/>
                <w:bCs w:val="0"/>
              </w:rPr>
              <w:t>2027</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2848DD82" w14:textId="77777777" w:rsidR="007164AD" w:rsidRPr="00ED3190" w:rsidRDefault="007164AD" w:rsidP="00022AC7">
            <w:pPr>
              <w:pStyle w:val="TableText0"/>
              <w:jc w:val="center"/>
              <w:rPr>
                <w:b/>
                <w:bCs w:val="0"/>
              </w:rPr>
            </w:pPr>
            <w:r w:rsidRPr="00ED3190">
              <w:rPr>
                <w:b/>
                <w:bCs w:val="0"/>
              </w:rPr>
              <w:t>2028</w:t>
            </w:r>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0E669A8C" w14:textId="77777777" w:rsidR="007164AD" w:rsidRPr="00ED3190" w:rsidRDefault="007164AD" w:rsidP="00022AC7">
            <w:pPr>
              <w:pStyle w:val="TableText0"/>
              <w:jc w:val="center"/>
              <w:rPr>
                <w:b/>
                <w:bCs w:val="0"/>
              </w:rPr>
            </w:pPr>
            <w:r w:rsidRPr="00ED3190">
              <w:rPr>
                <w:b/>
                <w:bCs w:val="0"/>
              </w:rPr>
              <w:t>2029</w:t>
            </w:r>
          </w:p>
        </w:tc>
      </w:tr>
      <w:tr w:rsidR="007164AD" w:rsidRPr="00ED3190" w14:paraId="42ABE067" w14:textId="77777777" w:rsidTr="00B57077">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DAC45C" w14:textId="222B2821" w:rsidR="007164AD" w:rsidRPr="00ED3190" w:rsidRDefault="007164AD" w:rsidP="00022AC7">
            <w:pPr>
              <w:pStyle w:val="TableText0"/>
              <w:rPr>
                <w:b/>
                <w:bCs w:val="0"/>
              </w:rPr>
            </w:pPr>
            <w:r w:rsidRPr="00ED3190">
              <w:rPr>
                <w:b/>
                <w:bCs w:val="0"/>
              </w:rPr>
              <w:t>Resubmission estimates ($</w:t>
            </w:r>
            <w:r w:rsidR="00B3542F" w:rsidRPr="00B3542F">
              <w:rPr>
                <w:b/>
                <w:bCs w:val="0"/>
                <w:color w:val="000000"/>
                <w:spacing w:val="58"/>
                <w:shd w:val="solid" w:color="000000" w:fill="000000"/>
                <w:fitText w:val="360" w:id="-931930352"/>
                <w14:textFill>
                  <w14:solidFill>
                    <w14:srgbClr w14:val="000000">
                      <w14:alpha w14:val="100000"/>
                    </w14:srgbClr>
                  </w14:solidFill>
                </w14:textFill>
              </w:rPr>
              <w:t>|||</w:t>
            </w:r>
            <w:r w:rsidR="00B3542F" w:rsidRPr="00B3542F">
              <w:rPr>
                <w:b/>
                <w:bCs w:val="0"/>
                <w:color w:val="000000"/>
                <w:spacing w:val="3"/>
                <w:shd w:val="solid" w:color="000000" w:fill="000000"/>
                <w:fitText w:val="360" w:id="-931930352"/>
                <w14:textFill>
                  <w14:solidFill>
                    <w14:srgbClr w14:val="000000">
                      <w14:alpha w14:val="100000"/>
                    </w14:srgbClr>
                  </w14:solidFill>
                </w14:textFill>
              </w:rPr>
              <w:t>|</w:t>
            </w:r>
            <w:r w:rsidRPr="00ED3190">
              <w:rPr>
                <w:b/>
                <w:bCs w:val="0"/>
              </w:rPr>
              <w:t xml:space="preserve"> per dose) </w:t>
            </w:r>
          </w:p>
        </w:tc>
      </w:tr>
      <w:tr w:rsidR="007164AD" w:rsidRPr="00ED3190" w14:paraId="3AF67E4D" w14:textId="77777777" w:rsidTr="003955C4">
        <w:tc>
          <w:tcPr>
            <w:tcW w:w="2573" w:type="pct"/>
            <w:tcBorders>
              <w:top w:val="nil"/>
              <w:left w:val="single" w:sz="4" w:space="0" w:color="auto"/>
              <w:bottom w:val="single" w:sz="4" w:space="0" w:color="auto"/>
              <w:right w:val="single" w:sz="4" w:space="0" w:color="auto"/>
            </w:tcBorders>
            <w:shd w:val="clear" w:color="auto" w:fill="auto"/>
            <w:noWrap/>
            <w:vAlign w:val="center"/>
          </w:tcPr>
          <w:p w14:paraId="56CCA74F" w14:textId="77777777" w:rsidR="007164AD" w:rsidRPr="00ED3190" w:rsidRDefault="007164AD" w:rsidP="00022AC7">
            <w:pPr>
              <w:pStyle w:val="TableText0"/>
            </w:pPr>
            <w:r w:rsidRPr="00ED3190">
              <w:t xml:space="preserve">Cost of RSVpreF to NIP </w:t>
            </w:r>
          </w:p>
        </w:tc>
        <w:tc>
          <w:tcPr>
            <w:tcW w:w="405" w:type="pct"/>
            <w:tcBorders>
              <w:top w:val="nil"/>
              <w:left w:val="nil"/>
              <w:bottom w:val="single" w:sz="4" w:space="0" w:color="auto"/>
              <w:right w:val="single" w:sz="4" w:space="0" w:color="auto"/>
            </w:tcBorders>
            <w:shd w:val="clear" w:color="auto" w:fill="auto"/>
          </w:tcPr>
          <w:p w14:paraId="043B5E04" w14:textId="0F14B0BD" w:rsidR="007164AD" w:rsidRPr="001244DF" w:rsidRDefault="00B3542F" w:rsidP="00022AC7">
            <w:pPr>
              <w:pStyle w:val="TableText0"/>
              <w:jc w:val="right"/>
              <w:rPr>
                <w:highlight w:val="darkGray"/>
              </w:rPr>
            </w:pPr>
            <w:r w:rsidRPr="00B3542F">
              <w:rPr>
                <w:color w:val="000000"/>
                <w:spacing w:val="49"/>
                <w:shd w:val="solid" w:color="000000" w:fill="000000"/>
                <w:fitText w:val="320" w:id="-931930368"/>
                <w14:textFill>
                  <w14:solidFill>
                    <w14:srgbClr w14:val="000000">
                      <w14:alpha w14:val="100000"/>
                    </w14:srgbClr>
                  </w14:solidFill>
                </w14:textFill>
              </w:rPr>
              <w:t>|||</w:t>
            </w:r>
            <w:r w:rsidRPr="00B3542F">
              <w:rPr>
                <w:color w:val="000000"/>
                <w:spacing w:val="3"/>
                <w:shd w:val="solid" w:color="000000" w:fill="000000"/>
                <w:fitText w:val="320" w:id="-931930368"/>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tcPr>
          <w:p w14:paraId="74926A89" w14:textId="2CA870F3" w:rsidR="007164AD" w:rsidRPr="001244DF" w:rsidRDefault="00B3542F" w:rsidP="00022AC7">
            <w:pPr>
              <w:pStyle w:val="TableText0"/>
              <w:jc w:val="right"/>
              <w:rPr>
                <w:highlight w:val="darkGray"/>
              </w:rPr>
            </w:pPr>
            <w:r w:rsidRPr="00B3542F">
              <w:rPr>
                <w:color w:val="000000"/>
                <w:spacing w:val="49"/>
                <w:shd w:val="solid" w:color="000000" w:fill="000000"/>
                <w:fitText w:val="320" w:id="-931930367"/>
                <w14:textFill>
                  <w14:solidFill>
                    <w14:srgbClr w14:val="000000">
                      <w14:alpha w14:val="100000"/>
                    </w14:srgbClr>
                  </w14:solidFill>
                </w14:textFill>
              </w:rPr>
              <w:t>|||</w:t>
            </w:r>
            <w:r w:rsidRPr="00B3542F">
              <w:rPr>
                <w:color w:val="000000"/>
                <w:spacing w:val="3"/>
                <w:shd w:val="solid" w:color="000000" w:fill="000000"/>
                <w:fitText w:val="320" w:id="-931930367"/>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tcPr>
          <w:p w14:paraId="300DF49E" w14:textId="37EEA316" w:rsidR="007164AD" w:rsidRPr="001244DF" w:rsidRDefault="00B3542F" w:rsidP="00022AC7">
            <w:pPr>
              <w:pStyle w:val="TableText0"/>
              <w:jc w:val="right"/>
              <w:rPr>
                <w:highlight w:val="darkGray"/>
              </w:rPr>
            </w:pPr>
            <w:r w:rsidRPr="00B3542F">
              <w:rPr>
                <w:color w:val="000000"/>
                <w:spacing w:val="49"/>
                <w:shd w:val="solid" w:color="000000" w:fill="000000"/>
                <w:fitText w:val="320" w:id="-931930366"/>
                <w14:textFill>
                  <w14:solidFill>
                    <w14:srgbClr w14:val="000000">
                      <w14:alpha w14:val="100000"/>
                    </w14:srgbClr>
                  </w14:solidFill>
                </w14:textFill>
              </w:rPr>
              <w:t>|||</w:t>
            </w:r>
            <w:r w:rsidRPr="00B3542F">
              <w:rPr>
                <w:color w:val="000000"/>
                <w:spacing w:val="3"/>
                <w:shd w:val="solid" w:color="000000" w:fill="000000"/>
                <w:fitText w:val="320" w:id="-931930366"/>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tcPr>
          <w:p w14:paraId="226E2C24" w14:textId="636051DC" w:rsidR="007164AD" w:rsidRPr="001244DF" w:rsidRDefault="00B3542F" w:rsidP="00022AC7">
            <w:pPr>
              <w:pStyle w:val="TableText0"/>
              <w:jc w:val="right"/>
              <w:rPr>
                <w:highlight w:val="darkGray"/>
              </w:rPr>
            </w:pPr>
            <w:r w:rsidRPr="00B3542F">
              <w:rPr>
                <w:color w:val="000000"/>
                <w:spacing w:val="49"/>
                <w:shd w:val="solid" w:color="000000" w:fill="000000"/>
                <w:fitText w:val="320" w:id="-931930365"/>
                <w14:textFill>
                  <w14:solidFill>
                    <w14:srgbClr w14:val="000000">
                      <w14:alpha w14:val="100000"/>
                    </w14:srgbClr>
                  </w14:solidFill>
                </w14:textFill>
              </w:rPr>
              <w:t>|||</w:t>
            </w:r>
            <w:r w:rsidRPr="00B3542F">
              <w:rPr>
                <w:color w:val="000000"/>
                <w:spacing w:val="3"/>
                <w:shd w:val="solid" w:color="000000" w:fill="000000"/>
                <w:fitText w:val="320" w:id="-931930365"/>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tcPr>
          <w:p w14:paraId="77A01347" w14:textId="40A168C3" w:rsidR="007164AD" w:rsidRPr="001244DF" w:rsidRDefault="00B3542F" w:rsidP="00022AC7">
            <w:pPr>
              <w:pStyle w:val="TableText0"/>
              <w:jc w:val="right"/>
              <w:rPr>
                <w:highlight w:val="darkGray"/>
              </w:rPr>
            </w:pPr>
            <w:r w:rsidRPr="00B3542F">
              <w:rPr>
                <w:color w:val="000000"/>
                <w:spacing w:val="49"/>
                <w:shd w:val="solid" w:color="000000" w:fill="000000"/>
                <w:fitText w:val="320" w:id="-931930364"/>
                <w14:textFill>
                  <w14:solidFill>
                    <w14:srgbClr w14:val="000000">
                      <w14:alpha w14:val="100000"/>
                    </w14:srgbClr>
                  </w14:solidFill>
                </w14:textFill>
              </w:rPr>
              <w:t>|||</w:t>
            </w:r>
            <w:r w:rsidRPr="00B3542F">
              <w:rPr>
                <w:color w:val="000000"/>
                <w:spacing w:val="3"/>
                <w:shd w:val="solid" w:color="000000" w:fill="000000"/>
                <w:fitText w:val="320" w:id="-931930364"/>
                <w14:textFill>
                  <w14:solidFill>
                    <w14:srgbClr w14:val="000000">
                      <w14:alpha w14:val="100000"/>
                    </w14:srgbClr>
                  </w14:solidFill>
                </w14:textFill>
              </w:rPr>
              <w:t>|</w:t>
            </w:r>
            <w:r w:rsidR="001244DF">
              <w:rPr>
                <w:vertAlign w:val="superscript"/>
              </w:rPr>
              <w:t>2</w:t>
            </w:r>
          </w:p>
        </w:tc>
        <w:tc>
          <w:tcPr>
            <w:tcW w:w="402" w:type="pct"/>
            <w:tcBorders>
              <w:top w:val="nil"/>
              <w:left w:val="nil"/>
              <w:bottom w:val="single" w:sz="4" w:space="0" w:color="auto"/>
              <w:right w:val="single" w:sz="4" w:space="0" w:color="auto"/>
            </w:tcBorders>
            <w:shd w:val="clear" w:color="auto" w:fill="auto"/>
          </w:tcPr>
          <w:p w14:paraId="53107F75" w14:textId="59C1BFC0" w:rsidR="007164AD" w:rsidRPr="001244DF" w:rsidRDefault="00B3542F" w:rsidP="00022AC7">
            <w:pPr>
              <w:pStyle w:val="TableText0"/>
              <w:jc w:val="right"/>
              <w:rPr>
                <w:highlight w:val="darkGray"/>
              </w:rPr>
            </w:pPr>
            <w:r w:rsidRPr="00B3542F">
              <w:rPr>
                <w:color w:val="000000"/>
                <w:spacing w:val="49"/>
                <w:shd w:val="solid" w:color="000000" w:fill="000000"/>
                <w:fitText w:val="320" w:id="-931930363"/>
                <w14:textFill>
                  <w14:solidFill>
                    <w14:srgbClr w14:val="000000">
                      <w14:alpha w14:val="100000"/>
                    </w14:srgbClr>
                  </w14:solidFill>
                </w14:textFill>
              </w:rPr>
              <w:t>|||</w:t>
            </w:r>
            <w:r w:rsidRPr="00B3542F">
              <w:rPr>
                <w:color w:val="000000"/>
                <w:spacing w:val="3"/>
                <w:shd w:val="solid" w:color="000000" w:fill="000000"/>
                <w:fitText w:val="320" w:id="-931930363"/>
                <w14:textFill>
                  <w14:solidFill>
                    <w14:srgbClr w14:val="000000">
                      <w14:alpha w14:val="100000"/>
                    </w14:srgbClr>
                  </w14:solidFill>
                </w14:textFill>
              </w:rPr>
              <w:t>|</w:t>
            </w:r>
            <w:r w:rsidR="001244DF">
              <w:rPr>
                <w:vertAlign w:val="superscript"/>
              </w:rPr>
              <w:t>2</w:t>
            </w:r>
          </w:p>
        </w:tc>
      </w:tr>
      <w:tr w:rsidR="007164AD" w:rsidRPr="00ED3190" w14:paraId="15127FED" w14:textId="77777777" w:rsidTr="003955C4">
        <w:tc>
          <w:tcPr>
            <w:tcW w:w="2573" w:type="pct"/>
            <w:tcBorders>
              <w:top w:val="nil"/>
              <w:left w:val="single" w:sz="4" w:space="0" w:color="auto"/>
              <w:bottom w:val="single" w:sz="4" w:space="0" w:color="auto"/>
              <w:right w:val="nil"/>
            </w:tcBorders>
            <w:shd w:val="clear" w:color="auto" w:fill="auto"/>
            <w:vAlign w:val="center"/>
          </w:tcPr>
          <w:p w14:paraId="1D581ECD" w14:textId="77777777" w:rsidR="007164AD" w:rsidRPr="00ED3190" w:rsidRDefault="007164AD" w:rsidP="00022AC7">
            <w:pPr>
              <w:pStyle w:val="TableText0"/>
            </w:pPr>
            <w:r w:rsidRPr="00ED3190">
              <w:t>Cost of MBS items</w:t>
            </w:r>
            <w:r w:rsidRPr="00ED3190">
              <w:rPr>
                <w:vertAlign w:val="superscript"/>
              </w:rPr>
              <w:t>a</w:t>
            </w:r>
          </w:p>
        </w:tc>
        <w:tc>
          <w:tcPr>
            <w:tcW w:w="405" w:type="pct"/>
            <w:tcBorders>
              <w:top w:val="nil"/>
              <w:left w:val="single" w:sz="4" w:space="0" w:color="auto"/>
              <w:bottom w:val="single" w:sz="4" w:space="0" w:color="auto"/>
              <w:right w:val="single" w:sz="4" w:space="0" w:color="auto"/>
            </w:tcBorders>
            <w:shd w:val="clear" w:color="auto" w:fill="auto"/>
          </w:tcPr>
          <w:p w14:paraId="58A2553E" w14:textId="7FF717E4" w:rsidR="007164AD" w:rsidRPr="001244DF" w:rsidRDefault="00B3542F" w:rsidP="00022AC7">
            <w:pPr>
              <w:pStyle w:val="TableText0"/>
              <w:jc w:val="right"/>
              <w:rPr>
                <w:highlight w:val="darkGray"/>
              </w:rPr>
            </w:pPr>
            <w:r w:rsidRPr="00B3542F">
              <w:rPr>
                <w:color w:val="000000"/>
                <w:spacing w:val="49"/>
                <w:shd w:val="solid" w:color="000000" w:fill="000000"/>
                <w:fitText w:val="320" w:id="-931930362"/>
                <w14:textFill>
                  <w14:solidFill>
                    <w14:srgbClr w14:val="000000">
                      <w14:alpha w14:val="100000"/>
                    </w14:srgbClr>
                  </w14:solidFill>
                </w14:textFill>
              </w:rPr>
              <w:t>|||</w:t>
            </w:r>
            <w:r w:rsidRPr="00B3542F">
              <w:rPr>
                <w:color w:val="000000"/>
                <w:spacing w:val="3"/>
                <w:shd w:val="solid" w:color="000000" w:fill="000000"/>
                <w:fitText w:val="320" w:id="-931930362"/>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66AD2342" w14:textId="71B4D907" w:rsidR="007164AD" w:rsidRPr="001244DF" w:rsidRDefault="00B3542F" w:rsidP="00022AC7">
            <w:pPr>
              <w:pStyle w:val="TableText0"/>
              <w:jc w:val="right"/>
              <w:rPr>
                <w:highlight w:val="darkGray"/>
              </w:rPr>
            </w:pPr>
            <w:r w:rsidRPr="00B3542F">
              <w:rPr>
                <w:color w:val="000000"/>
                <w:spacing w:val="49"/>
                <w:shd w:val="solid" w:color="000000" w:fill="000000"/>
                <w:fitText w:val="320" w:id="-931930361"/>
                <w14:textFill>
                  <w14:solidFill>
                    <w14:srgbClr w14:val="000000">
                      <w14:alpha w14:val="100000"/>
                    </w14:srgbClr>
                  </w14:solidFill>
                </w14:textFill>
              </w:rPr>
              <w:t>|||</w:t>
            </w:r>
            <w:r w:rsidRPr="00B3542F">
              <w:rPr>
                <w:color w:val="000000"/>
                <w:spacing w:val="3"/>
                <w:shd w:val="solid" w:color="000000" w:fill="000000"/>
                <w:fitText w:val="320" w:id="-931930361"/>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1B2E7EDC" w14:textId="185DDCCB" w:rsidR="007164AD" w:rsidRPr="001244DF" w:rsidRDefault="00B3542F" w:rsidP="00022AC7">
            <w:pPr>
              <w:pStyle w:val="TableText0"/>
              <w:jc w:val="right"/>
              <w:rPr>
                <w:highlight w:val="darkGray"/>
              </w:rPr>
            </w:pPr>
            <w:r w:rsidRPr="00B3542F">
              <w:rPr>
                <w:color w:val="000000"/>
                <w:spacing w:val="49"/>
                <w:shd w:val="solid" w:color="000000" w:fill="000000"/>
                <w:fitText w:val="320" w:id="-931930360"/>
                <w14:textFill>
                  <w14:solidFill>
                    <w14:srgbClr w14:val="000000">
                      <w14:alpha w14:val="100000"/>
                    </w14:srgbClr>
                  </w14:solidFill>
                </w14:textFill>
              </w:rPr>
              <w:t>|||</w:t>
            </w:r>
            <w:r w:rsidRPr="00B3542F">
              <w:rPr>
                <w:color w:val="000000"/>
                <w:spacing w:val="3"/>
                <w:shd w:val="solid" w:color="000000" w:fill="000000"/>
                <w:fitText w:val="320" w:id="-931930360"/>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61C57644" w14:textId="30752BFF" w:rsidR="007164AD" w:rsidRPr="001244DF" w:rsidRDefault="00B3542F" w:rsidP="00022AC7">
            <w:pPr>
              <w:pStyle w:val="TableText0"/>
              <w:jc w:val="right"/>
              <w:rPr>
                <w:highlight w:val="darkGray"/>
              </w:rPr>
            </w:pPr>
            <w:r w:rsidRPr="00B3542F">
              <w:rPr>
                <w:color w:val="000000"/>
                <w:spacing w:val="49"/>
                <w:shd w:val="solid" w:color="000000" w:fill="000000"/>
                <w:fitText w:val="320" w:id="-931930359"/>
                <w14:textFill>
                  <w14:solidFill>
                    <w14:srgbClr w14:val="000000">
                      <w14:alpha w14:val="100000"/>
                    </w14:srgbClr>
                  </w14:solidFill>
                </w14:textFill>
              </w:rPr>
              <w:t>|||</w:t>
            </w:r>
            <w:r w:rsidRPr="00B3542F">
              <w:rPr>
                <w:color w:val="000000"/>
                <w:spacing w:val="3"/>
                <w:shd w:val="solid" w:color="000000" w:fill="000000"/>
                <w:fitText w:val="320" w:id="-931930359"/>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6F56FF51" w14:textId="1CCDE69F" w:rsidR="007164AD" w:rsidRPr="001244DF" w:rsidRDefault="00B3542F" w:rsidP="00022AC7">
            <w:pPr>
              <w:pStyle w:val="TableText0"/>
              <w:jc w:val="right"/>
              <w:rPr>
                <w:highlight w:val="darkGray"/>
              </w:rPr>
            </w:pPr>
            <w:r w:rsidRPr="00B3542F">
              <w:rPr>
                <w:color w:val="000000"/>
                <w:spacing w:val="49"/>
                <w:shd w:val="solid" w:color="000000" w:fill="000000"/>
                <w:fitText w:val="320" w:id="-931930358"/>
                <w14:textFill>
                  <w14:solidFill>
                    <w14:srgbClr w14:val="000000">
                      <w14:alpha w14:val="100000"/>
                    </w14:srgbClr>
                  </w14:solidFill>
                </w14:textFill>
              </w:rPr>
              <w:t>|||</w:t>
            </w:r>
            <w:r w:rsidRPr="00B3542F">
              <w:rPr>
                <w:color w:val="000000"/>
                <w:spacing w:val="3"/>
                <w:shd w:val="solid" w:color="000000" w:fill="000000"/>
                <w:fitText w:val="320" w:id="-931930358"/>
                <w14:textFill>
                  <w14:solidFill>
                    <w14:srgbClr w14:val="000000">
                      <w14:alpha w14:val="100000"/>
                    </w14:srgbClr>
                  </w14:solidFill>
                </w14:textFill>
              </w:rPr>
              <w:t>|</w:t>
            </w:r>
            <w:r w:rsidR="001244DF">
              <w:rPr>
                <w:vertAlign w:val="superscript"/>
              </w:rPr>
              <w:t>3</w:t>
            </w:r>
          </w:p>
        </w:tc>
        <w:tc>
          <w:tcPr>
            <w:tcW w:w="402" w:type="pct"/>
            <w:tcBorders>
              <w:top w:val="nil"/>
              <w:left w:val="nil"/>
              <w:bottom w:val="single" w:sz="4" w:space="0" w:color="auto"/>
              <w:right w:val="single" w:sz="4" w:space="0" w:color="auto"/>
            </w:tcBorders>
            <w:shd w:val="clear" w:color="auto" w:fill="auto"/>
          </w:tcPr>
          <w:p w14:paraId="778DC6DA" w14:textId="0424F912" w:rsidR="007164AD" w:rsidRPr="001244DF" w:rsidRDefault="00B3542F" w:rsidP="00022AC7">
            <w:pPr>
              <w:pStyle w:val="TableText0"/>
              <w:jc w:val="right"/>
              <w:rPr>
                <w:highlight w:val="darkGray"/>
              </w:rPr>
            </w:pPr>
            <w:r w:rsidRPr="00B3542F">
              <w:rPr>
                <w:color w:val="000000"/>
                <w:spacing w:val="49"/>
                <w:shd w:val="solid" w:color="000000" w:fill="000000"/>
                <w:fitText w:val="320" w:id="-931930357"/>
                <w14:textFill>
                  <w14:solidFill>
                    <w14:srgbClr w14:val="000000">
                      <w14:alpha w14:val="100000"/>
                    </w14:srgbClr>
                  </w14:solidFill>
                </w14:textFill>
              </w:rPr>
              <w:t>|||</w:t>
            </w:r>
            <w:r w:rsidRPr="00B3542F">
              <w:rPr>
                <w:color w:val="000000"/>
                <w:spacing w:val="3"/>
                <w:shd w:val="solid" w:color="000000" w:fill="000000"/>
                <w:fitText w:val="320" w:id="-931930357"/>
                <w14:textFill>
                  <w14:solidFill>
                    <w14:srgbClr w14:val="000000">
                      <w14:alpha w14:val="100000"/>
                    </w14:srgbClr>
                  </w14:solidFill>
                </w14:textFill>
              </w:rPr>
              <w:t>|</w:t>
            </w:r>
            <w:r w:rsidR="001244DF">
              <w:rPr>
                <w:vertAlign w:val="superscript"/>
              </w:rPr>
              <w:t>3</w:t>
            </w:r>
          </w:p>
        </w:tc>
      </w:tr>
      <w:bookmarkEnd w:id="135"/>
      <w:tr w:rsidR="007164AD" w:rsidRPr="00ED3190" w14:paraId="4DBEE14C" w14:textId="77777777" w:rsidTr="003955C4">
        <w:tc>
          <w:tcPr>
            <w:tcW w:w="2573" w:type="pct"/>
            <w:tcBorders>
              <w:top w:val="nil"/>
              <w:left w:val="single" w:sz="4" w:space="0" w:color="auto"/>
              <w:bottom w:val="single" w:sz="4" w:space="0" w:color="auto"/>
              <w:right w:val="nil"/>
            </w:tcBorders>
            <w:shd w:val="clear" w:color="auto" w:fill="auto"/>
            <w:vAlign w:val="center"/>
            <w:hideMark/>
          </w:tcPr>
          <w:p w14:paraId="01C25BC7" w14:textId="77777777" w:rsidR="007164AD" w:rsidRPr="00ED3190" w:rsidRDefault="007164AD" w:rsidP="00022AC7">
            <w:pPr>
              <w:pStyle w:val="TableText0"/>
            </w:pPr>
            <w:r w:rsidRPr="00ED3190">
              <w:t>Net increase in cost to government health budget</w:t>
            </w:r>
          </w:p>
        </w:tc>
        <w:tc>
          <w:tcPr>
            <w:tcW w:w="405" w:type="pct"/>
            <w:tcBorders>
              <w:top w:val="nil"/>
              <w:left w:val="single" w:sz="4" w:space="0" w:color="auto"/>
              <w:bottom w:val="single" w:sz="4" w:space="0" w:color="auto"/>
              <w:right w:val="single" w:sz="4" w:space="0" w:color="auto"/>
            </w:tcBorders>
            <w:shd w:val="clear" w:color="auto" w:fill="auto"/>
            <w:vAlign w:val="center"/>
          </w:tcPr>
          <w:p w14:paraId="18478902" w14:textId="5BE038AE" w:rsidR="007164AD" w:rsidRPr="001244DF" w:rsidRDefault="00B3542F" w:rsidP="00022AC7">
            <w:pPr>
              <w:pStyle w:val="TableText0"/>
              <w:jc w:val="right"/>
              <w:rPr>
                <w:highlight w:val="darkGray"/>
              </w:rPr>
            </w:pPr>
            <w:r w:rsidRPr="00B3542F">
              <w:rPr>
                <w:color w:val="000000"/>
                <w:spacing w:val="49"/>
                <w:shd w:val="solid" w:color="000000" w:fill="000000"/>
                <w:fitText w:val="320" w:id="-931930356"/>
                <w14:textFill>
                  <w14:solidFill>
                    <w14:srgbClr w14:val="000000">
                      <w14:alpha w14:val="100000"/>
                    </w14:srgbClr>
                  </w14:solidFill>
                </w14:textFill>
              </w:rPr>
              <w:t>|||</w:t>
            </w:r>
            <w:r w:rsidRPr="00B3542F">
              <w:rPr>
                <w:color w:val="000000"/>
                <w:spacing w:val="3"/>
                <w:shd w:val="solid" w:color="000000" w:fill="000000"/>
                <w:fitText w:val="320" w:id="-931930356"/>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vAlign w:val="center"/>
          </w:tcPr>
          <w:p w14:paraId="0B5FCF8C" w14:textId="6F17D6BE" w:rsidR="007164AD" w:rsidRPr="001244DF" w:rsidRDefault="00B3542F" w:rsidP="00022AC7">
            <w:pPr>
              <w:pStyle w:val="TableText0"/>
              <w:jc w:val="right"/>
              <w:rPr>
                <w:highlight w:val="darkGray"/>
              </w:rPr>
            </w:pPr>
            <w:r w:rsidRPr="00B3542F">
              <w:rPr>
                <w:color w:val="000000"/>
                <w:spacing w:val="49"/>
                <w:shd w:val="solid" w:color="000000" w:fill="000000"/>
                <w:fitText w:val="320" w:id="-931930355"/>
                <w14:textFill>
                  <w14:solidFill>
                    <w14:srgbClr w14:val="000000">
                      <w14:alpha w14:val="100000"/>
                    </w14:srgbClr>
                  </w14:solidFill>
                </w14:textFill>
              </w:rPr>
              <w:t>|||</w:t>
            </w:r>
            <w:r w:rsidRPr="00B3542F">
              <w:rPr>
                <w:color w:val="000000"/>
                <w:spacing w:val="3"/>
                <w:shd w:val="solid" w:color="000000" w:fill="000000"/>
                <w:fitText w:val="320" w:id="-931930355"/>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vAlign w:val="center"/>
          </w:tcPr>
          <w:p w14:paraId="75A9F2B7" w14:textId="7A0C51C2" w:rsidR="007164AD" w:rsidRPr="001244DF" w:rsidRDefault="00B3542F" w:rsidP="00022AC7">
            <w:pPr>
              <w:pStyle w:val="TableText0"/>
              <w:jc w:val="right"/>
              <w:rPr>
                <w:highlight w:val="darkGray"/>
              </w:rPr>
            </w:pPr>
            <w:r w:rsidRPr="00B3542F">
              <w:rPr>
                <w:color w:val="000000"/>
                <w:spacing w:val="49"/>
                <w:shd w:val="solid" w:color="000000" w:fill="000000"/>
                <w:fitText w:val="320" w:id="-931930354"/>
                <w14:textFill>
                  <w14:solidFill>
                    <w14:srgbClr w14:val="000000">
                      <w14:alpha w14:val="100000"/>
                    </w14:srgbClr>
                  </w14:solidFill>
                </w14:textFill>
              </w:rPr>
              <w:t>|||</w:t>
            </w:r>
            <w:r w:rsidRPr="00B3542F">
              <w:rPr>
                <w:color w:val="000000"/>
                <w:spacing w:val="3"/>
                <w:shd w:val="solid" w:color="000000" w:fill="000000"/>
                <w:fitText w:val="320" w:id="-931930354"/>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vAlign w:val="center"/>
          </w:tcPr>
          <w:p w14:paraId="13D153EA" w14:textId="221C2763" w:rsidR="007164AD" w:rsidRPr="001244DF" w:rsidRDefault="00B3542F" w:rsidP="00022AC7">
            <w:pPr>
              <w:pStyle w:val="TableText0"/>
              <w:jc w:val="right"/>
              <w:rPr>
                <w:highlight w:val="darkGray"/>
              </w:rPr>
            </w:pPr>
            <w:r w:rsidRPr="00B3542F">
              <w:rPr>
                <w:color w:val="000000"/>
                <w:spacing w:val="49"/>
                <w:shd w:val="solid" w:color="000000" w:fill="000000"/>
                <w:fitText w:val="320" w:id="-931930353"/>
                <w14:textFill>
                  <w14:solidFill>
                    <w14:srgbClr w14:val="000000">
                      <w14:alpha w14:val="100000"/>
                    </w14:srgbClr>
                  </w14:solidFill>
                </w14:textFill>
              </w:rPr>
              <w:t>|||</w:t>
            </w:r>
            <w:r w:rsidRPr="00B3542F">
              <w:rPr>
                <w:color w:val="000000"/>
                <w:spacing w:val="3"/>
                <w:shd w:val="solid" w:color="000000" w:fill="000000"/>
                <w:fitText w:val="320" w:id="-931930353"/>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vAlign w:val="center"/>
          </w:tcPr>
          <w:p w14:paraId="608CEE2E" w14:textId="6647D169" w:rsidR="007164AD" w:rsidRPr="001244DF" w:rsidRDefault="00B3542F" w:rsidP="00022AC7">
            <w:pPr>
              <w:pStyle w:val="TableText0"/>
              <w:jc w:val="right"/>
              <w:rPr>
                <w:highlight w:val="darkGray"/>
              </w:rPr>
            </w:pPr>
            <w:r w:rsidRPr="00B3542F">
              <w:rPr>
                <w:color w:val="000000"/>
                <w:spacing w:val="49"/>
                <w:shd w:val="solid" w:color="000000" w:fill="000000"/>
                <w:fitText w:val="320" w:id="-931930352"/>
                <w14:textFill>
                  <w14:solidFill>
                    <w14:srgbClr w14:val="000000">
                      <w14:alpha w14:val="100000"/>
                    </w14:srgbClr>
                  </w14:solidFill>
                </w14:textFill>
              </w:rPr>
              <w:t>|||</w:t>
            </w:r>
            <w:r w:rsidRPr="00B3542F">
              <w:rPr>
                <w:color w:val="000000"/>
                <w:spacing w:val="3"/>
                <w:shd w:val="solid" w:color="000000" w:fill="000000"/>
                <w:fitText w:val="320" w:id="-931930352"/>
                <w14:textFill>
                  <w14:solidFill>
                    <w14:srgbClr w14:val="000000">
                      <w14:alpha w14:val="100000"/>
                    </w14:srgbClr>
                  </w14:solidFill>
                </w14:textFill>
              </w:rPr>
              <w:t>|</w:t>
            </w:r>
            <w:r w:rsidR="001244DF">
              <w:rPr>
                <w:vertAlign w:val="superscript"/>
              </w:rPr>
              <w:t>2</w:t>
            </w:r>
          </w:p>
        </w:tc>
        <w:tc>
          <w:tcPr>
            <w:tcW w:w="402" w:type="pct"/>
            <w:tcBorders>
              <w:top w:val="nil"/>
              <w:left w:val="nil"/>
              <w:bottom w:val="single" w:sz="4" w:space="0" w:color="auto"/>
              <w:right w:val="single" w:sz="4" w:space="0" w:color="auto"/>
            </w:tcBorders>
            <w:shd w:val="clear" w:color="auto" w:fill="auto"/>
            <w:vAlign w:val="center"/>
          </w:tcPr>
          <w:p w14:paraId="199A4111" w14:textId="17084A11" w:rsidR="007164AD" w:rsidRPr="001244DF" w:rsidRDefault="00B3542F" w:rsidP="00022AC7">
            <w:pPr>
              <w:pStyle w:val="TableText0"/>
              <w:jc w:val="right"/>
              <w:rPr>
                <w:highlight w:val="darkGray"/>
              </w:rPr>
            </w:pPr>
            <w:r w:rsidRPr="00B3542F">
              <w:rPr>
                <w:color w:val="000000"/>
                <w:spacing w:val="49"/>
                <w:shd w:val="solid" w:color="000000" w:fill="000000"/>
                <w:fitText w:val="320" w:id="-931930368"/>
                <w14:textFill>
                  <w14:solidFill>
                    <w14:srgbClr w14:val="000000">
                      <w14:alpha w14:val="100000"/>
                    </w14:srgbClr>
                  </w14:solidFill>
                </w14:textFill>
              </w:rPr>
              <w:t>|||</w:t>
            </w:r>
            <w:r w:rsidRPr="00B3542F">
              <w:rPr>
                <w:color w:val="000000"/>
                <w:spacing w:val="3"/>
                <w:shd w:val="solid" w:color="000000" w:fill="000000"/>
                <w:fitText w:val="320" w:id="-931930368"/>
                <w14:textFill>
                  <w14:solidFill>
                    <w14:srgbClr w14:val="000000">
                      <w14:alpha w14:val="100000"/>
                    </w14:srgbClr>
                  </w14:solidFill>
                </w14:textFill>
              </w:rPr>
              <w:t>|</w:t>
            </w:r>
            <w:r w:rsidR="001244DF">
              <w:rPr>
                <w:vertAlign w:val="superscript"/>
              </w:rPr>
              <w:t>2</w:t>
            </w:r>
          </w:p>
        </w:tc>
      </w:tr>
      <w:tr w:rsidR="007164AD" w:rsidRPr="00ED3190" w14:paraId="623DBC37" w14:textId="77777777" w:rsidTr="00B57077">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2ED5FC53" w14:textId="4519E5A3" w:rsidR="007164AD" w:rsidRPr="00ED3190" w:rsidRDefault="007164AD" w:rsidP="00022AC7">
            <w:pPr>
              <w:pStyle w:val="TableText0"/>
              <w:rPr>
                <w:b/>
                <w:bCs w:val="0"/>
              </w:rPr>
            </w:pPr>
            <w:r w:rsidRPr="00ED3190">
              <w:rPr>
                <w:b/>
                <w:bCs w:val="0"/>
              </w:rPr>
              <w:t>March 2024 submission estimates ($</w:t>
            </w:r>
            <w:r w:rsidR="00B3542F" w:rsidRPr="00B3542F">
              <w:rPr>
                <w:b/>
                <w:bCs w:val="0"/>
                <w:color w:val="000000"/>
                <w:spacing w:val="58"/>
                <w:shd w:val="solid" w:color="000000" w:fill="000000"/>
                <w:fitText w:val="360" w:id="-931930367"/>
                <w14:textFill>
                  <w14:solidFill>
                    <w14:srgbClr w14:val="000000">
                      <w14:alpha w14:val="100000"/>
                    </w14:srgbClr>
                  </w14:solidFill>
                </w14:textFill>
              </w:rPr>
              <w:t>|||</w:t>
            </w:r>
            <w:r w:rsidR="00B3542F" w:rsidRPr="00B3542F">
              <w:rPr>
                <w:b/>
                <w:bCs w:val="0"/>
                <w:color w:val="000000"/>
                <w:spacing w:val="3"/>
                <w:shd w:val="solid" w:color="000000" w:fill="000000"/>
                <w:fitText w:val="360" w:id="-931930367"/>
                <w14:textFill>
                  <w14:solidFill>
                    <w14:srgbClr w14:val="000000">
                      <w14:alpha w14:val="100000"/>
                    </w14:srgbClr>
                  </w14:solidFill>
                </w14:textFill>
              </w:rPr>
              <w:t>|</w:t>
            </w:r>
            <w:r w:rsidRPr="00ED3190">
              <w:rPr>
                <w:b/>
                <w:bCs w:val="0"/>
              </w:rPr>
              <w:t xml:space="preserve"> per dose)</w:t>
            </w:r>
          </w:p>
        </w:tc>
      </w:tr>
      <w:tr w:rsidR="007164AD" w:rsidRPr="00ED3190" w14:paraId="165C219F" w14:textId="77777777" w:rsidTr="003955C4">
        <w:tc>
          <w:tcPr>
            <w:tcW w:w="2573" w:type="pct"/>
            <w:tcBorders>
              <w:top w:val="nil"/>
              <w:left w:val="single" w:sz="4" w:space="0" w:color="auto"/>
              <w:bottom w:val="single" w:sz="4" w:space="0" w:color="auto"/>
              <w:right w:val="nil"/>
            </w:tcBorders>
            <w:shd w:val="clear" w:color="auto" w:fill="auto"/>
            <w:vAlign w:val="center"/>
          </w:tcPr>
          <w:p w14:paraId="756A6F6E" w14:textId="77777777" w:rsidR="007164AD" w:rsidRPr="00ED3190" w:rsidRDefault="007164AD" w:rsidP="00022AC7">
            <w:pPr>
              <w:pStyle w:val="TableText0"/>
            </w:pPr>
            <w:r w:rsidRPr="00ED3190">
              <w:t xml:space="preserve">Cost of RSVpreF to NIP </w:t>
            </w:r>
          </w:p>
        </w:tc>
        <w:tc>
          <w:tcPr>
            <w:tcW w:w="405" w:type="pct"/>
            <w:tcBorders>
              <w:top w:val="nil"/>
              <w:left w:val="single" w:sz="4" w:space="0" w:color="auto"/>
              <w:bottom w:val="single" w:sz="4" w:space="0" w:color="auto"/>
              <w:right w:val="single" w:sz="4" w:space="0" w:color="auto"/>
            </w:tcBorders>
            <w:shd w:val="clear" w:color="auto" w:fill="auto"/>
          </w:tcPr>
          <w:p w14:paraId="0F41CCEB" w14:textId="16D43F39" w:rsidR="007164AD" w:rsidRPr="001244DF" w:rsidRDefault="00B3542F" w:rsidP="00022AC7">
            <w:pPr>
              <w:pStyle w:val="TableText0"/>
              <w:jc w:val="right"/>
              <w:rPr>
                <w:highlight w:val="darkGray"/>
              </w:rPr>
            </w:pPr>
            <w:r w:rsidRPr="00B3542F">
              <w:rPr>
                <w:color w:val="000000"/>
                <w:spacing w:val="49"/>
                <w:shd w:val="solid" w:color="000000" w:fill="000000"/>
                <w:fitText w:val="320" w:id="-931930366"/>
                <w14:textFill>
                  <w14:solidFill>
                    <w14:srgbClr w14:val="000000">
                      <w14:alpha w14:val="100000"/>
                    </w14:srgbClr>
                  </w14:solidFill>
                </w14:textFill>
              </w:rPr>
              <w:t>|||</w:t>
            </w:r>
            <w:r w:rsidRPr="00B3542F">
              <w:rPr>
                <w:color w:val="000000"/>
                <w:spacing w:val="3"/>
                <w:shd w:val="solid" w:color="000000" w:fill="000000"/>
                <w:fitText w:val="320" w:id="-931930366"/>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tcPr>
          <w:p w14:paraId="6A5F13E2" w14:textId="2BC50215" w:rsidR="007164AD" w:rsidRPr="001244DF" w:rsidRDefault="00B3542F" w:rsidP="00022AC7">
            <w:pPr>
              <w:pStyle w:val="TableText0"/>
              <w:jc w:val="right"/>
              <w:rPr>
                <w:highlight w:val="darkGray"/>
              </w:rPr>
            </w:pPr>
            <w:r w:rsidRPr="00B3542F">
              <w:rPr>
                <w:color w:val="000000"/>
                <w:spacing w:val="49"/>
                <w:shd w:val="solid" w:color="000000" w:fill="000000"/>
                <w:fitText w:val="320" w:id="-931930365"/>
                <w14:textFill>
                  <w14:solidFill>
                    <w14:srgbClr w14:val="000000">
                      <w14:alpha w14:val="100000"/>
                    </w14:srgbClr>
                  </w14:solidFill>
                </w14:textFill>
              </w:rPr>
              <w:t>|||</w:t>
            </w:r>
            <w:r w:rsidRPr="00B3542F">
              <w:rPr>
                <w:color w:val="000000"/>
                <w:spacing w:val="3"/>
                <w:shd w:val="solid" w:color="000000" w:fill="000000"/>
                <w:fitText w:val="320" w:id="-931930365"/>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tcPr>
          <w:p w14:paraId="5C8AAE00" w14:textId="4451E6BF" w:rsidR="007164AD" w:rsidRPr="001244DF" w:rsidRDefault="00B3542F" w:rsidP="00022AC7">
            <w:pPr>
              <w:pStyle w:val="TableText0"/>
              <w:jc w:val="right"/>
              <w:rPr>
                <w:highlight w:val="darkGray"/>
              </w:rPr>
            </w:pPr>
            <w:r w:rsidRPr="00B3542F">
              <w:rPr>
                <w:color w:val="000000"/>
                <w:spacing w:val="49"/>
                <w:shd w:val="solid" w:color="000000" w:fill="000000"/>
                <w:fitText w:val="320" w:id="-931930364"/>
                <w14:textFill>
                  <w14:solidFill>
                    <w14:srgbClr w14:val="000000">
                      <w14:alpha w14:val="100000"/>
                    </w14:srgbClr>
                  </w14:solidFill>
                </w14:textFill>
              </w:rPr>
              <w:t>|||</w:t>
            </w:r>
            <w:r w:rsidRPr="00B3542F">
              <w:rPr>
                <w:color w:val="000000"/>
                <w:spacing w:val="3"/>
                <w:shd w:val="solid" w:color="000000" w:fill="000000"/>
                <w:fitText w:val="320" w:id="-931930364"/>
                <w14:textFill>
                  <w14:solidFill>
                    <w14:srgbClr w14:val="000000">
                      <w14:alpha w14:val="100000"/>
                    </w14:srgbClr>
                  </w14:solidFill>
                </w14:textFill>
              </w:rPr>
              <w:t>|</w:t>
            </w:r>
            <w:r w:rsidR="001244DF">
              <w:rPr>
                <w:vertAlign w:val="superscript"/>
              </w:rPr>
              <w:t>4</w:t>
            </w:r>
          </w:p>
        </w:tc>
        <w:tc>
          <w:tcPr>
            <w:tcW w:w="405" w:type="pct"/>
            <w:tcBorders>
              <w:top w:val="nil"/>
              <w:left w:val="nil"/>
              <w:bottom w:val="single" w:sz="4" w:space="0" w:color="auto"/>
              <w:right w:val="single" w:sz="4" w:space="0" w:color="auto"/>
            </w:tcBorders>
            <w:shd w:val="clear" w:color="auto" w:fill="auto"/>
          </w:tcPr>
          <w:p w14:paraId="4F421B3A" w14:textId="1DB1D525" w:rsidR="007164AD" w:rsidRPr="001244DF" w:rsidRDefault="00B3542F" w:rsidP="00022AC7">
            <w:pPr>
              <w:pStyle w:val="TableText0"/>
              <w:jc w:val="right"/>
              <w:rPr>
                <w:highlight w:val="darkGray"/>
              </w:rPr>
            </w:pPr>
            <w:r w:rsidRPr="00B3542F">
              <w:rPr>
                <w:color w:val="000000"/>
                <w:spacing w:val="49"/>
                <w:shd w:val="solid" w:color="000000" w:fill="000000"/>
                <w:fitText w:val="320" w:id="-931930363"/>
                <w14:textFill>
                  <w14:solidFill>
                    <w14:srgbClr w14:val="000000">
                      <w14:alpha w14:val="100000"/>
                    </w14:srgbClr>
                  </w14:solidFill>
                </w14:textFill>
              </w:rPr>
              <w:t>|||</w:t>
            </w:r>
            <w:r w:rsidRPr="00B3542F">
              <w:rPr>
                <w:color w:val="000000"/>
                <w:spacing w:val="3"/>
                <w:shd w:val="solid" w:color="000000" w:fill="000000"/>
                <w:fitText w:val="320" w:id="-931930363"/>
                <w14:textFill>
                  <w14:solidFill>
                    <w14:srgbClr w14:val="000000">
                      <w14:alpha w14:val="100000"/>
                    </w14:srgbClr>
                  </w14:solidFill>
                </w14:textFill>
              </w:rPr>
              <w:t>|</w:t>
            </w:r>
            <w:r w:rsidR="001244DF">
              <w:rPr>
                <w:vertAlign w:val="superscript"/>
              </w:rPr>
              <w:t>4</w:t>
            </w:r>
          </w:p>
        </w:tc>
        <w:tc>
          <w:tcPr>
            <w:tcW w:w="405" w:type="pct"/>
            <w:tcBorders>
              <w:top w:val="nil"/>
              <w:left w:val="nil"/>
              <w:bottom w:val="single" w:sz="4" w:space="0" w:color="auto"/>
              <w:right w:val="single" w:sz="4" w:space="0" w:color="auto"/>
            </w:tcBorders>
            <w:shd w:val="clear" w:color="auto" w:fill="auto"/>
          </w:tcPr>
          <w:p w14:paraId="361B691F" w14:textId="0B3E2074" w:rsidR="007164AD" w:rsidRPr="001244DF" w:rsidRDefault="00B3542F" w:rsidP="00022AC7">
            <w:pPr>
              <w:pStyle w:val="TableText0"/>
              <w:jc w:val="right"/>
              <w:rPr>
                <w:highlight w:val="darkGray"/>
              </w:rPr>
            </w:pPr>
            <w:r w:rsidRPr="00B3542F">
              <w:rPr>
                <w:color w:val="000000"/>
                <w:spacing w:val="49"/>
                <w:shd w:val="solid" w:color="000000" w:fill="000000"/>
                <w:fitText w:val="320" w:id="-931930362"/>
                <w14:textFill>
                  <w14:solidFill>
                    <w14:srgbClr w14:val="000000">
                      <w14:alpha w14:val="100000"/>
                    </w14:srgbClr>
                  </w14:solidFill>
                </w14:textFill>
              </w:rPr>
              <w:t>|||</w:t>
            </w:r>
            <w:r w:rsidRPr="00B3542F">
              <w:rPr>
                <w:color w:val="000000"/>
                <w:spacing w:val="3"/>
                <w:shd w:val="solid" w:color="000000" w:fill="000000"/>
                <w:fitText w:val="320" w:id="-931930362"/>
                <w14:textFill>
                  <w14:solidFill>
                    <w14:srgbClr w14:val="000000">
                      <w14:alpha w14:val="100000"/>
                    </w14:srgbClr>
                  </w14:solidFill>
                </w14:textFill>
              </w:rPr>
              <w:t>|</w:t>
            </w:r>
            <w:r w:rsidR="001244DF">
              <w:rPr>
                <w:vertAlign w:val="superscript"/>
              </w:rPr>
              <w:t>4</w:t>
            </w:r>
          </w:p>
        </w:tc>
        <w:tc>
          <w:tcPr>
            <w:tcW w:w="402" w:type="pct"/>
            <w:tcBorders>
              <w:top w:val="nil"/>
              <w:left w:val="nil"/>
              <w:bottom w:val="single" w:sz="4" w:space="0" w:color="auto"/>
              <w:right w:val="single" w:sz="4" w:space="0" w:color="auto"/>
            </w:tcBorders>
            <w:shd w:val="clear" w:color="auto" w:fill="auto"/>
          </w:tcPr>
          <w:p w14:paraId="549C9710" w14:textId="18A78C76" w:rsidR="007164AD" w:rsidRPr="001244DF" w:rsidRDefault="00B3542F" w:rsidP="00022AC7">
            <w:pPr>
              <w:pStyle w:val="TableText0"/>
              <w:jc w:val="right"/>
              <w:rPr>
                <w:highlight w:val="darkGray"/>
              </w:rPr>
            </w:pPr>
            <w:r w:rsidRPr="00B3542F">
              <w:rPr>
                <w:color w:val="000000"/>
                <w:spacing w:val="49"/>
                <w:shd w:val="solid" w:color="000000" w:fill="000000"/>
                <w:fitText w:val="320" w:id="-931930361"/>
                <w14:textFill>
                  <w14:solidFill>
                    <w14:srgbClr w14:val="000000">
                      <w14:alpha w14:val="100000"/>
                    </w14:srgbClr>
                  </w14:solidFill>
                </w14:textFill>
              </w:rPr>
              <w:t>|||</w:t>
            </w:r>
            <w:r w:rsidRPr="00B3542F">
              <w:rPr>
                <w:color w:val="000000"/>
                <w:spacing w:val="3"/>
                <w:shd w:val="solid" w:color="000000" w:fill="000000"/>
                <w:fitText w:val="320" w:id="-931930361"/>
                <w14:textFill>
                  <w14:solidFill>
                    <w14:srgbClr w14:val="000000">
                      <w14:alpha w14:val="100000"/>
                    </w14:srgbClr>
                  </w14:solidFill>
                </w14:textFill>
              </w:rPr>
              <w:t>|</w:t>
            </w:r>
            <w:r w:rsidR="001244DF">
              <w:rPr>
                <w:vertAlign w:val="superscript"/>
              </w:rPr>
              <w:t>4</w:t>
            </w:r>
          </w:p>
        </w:tc>
      </w:tr>
      <w:tr w:rsidR="007164AD" w:rsidRPr="00ED3190" w14:paraId="0B42EAA7" w14:textId="77777777" w:rsidTr="003955C4">
        <w:tc>
          <w:tcPr>
            <w:tcW w:w="2573" w:type="pct"/>
            <w:tcBorders>
              <w:top w:val="nil"/>
              <w:left w:val="single" w:sz="4" w:space="0" w:color="auto"/>
              <w:bottom w:val="single" w:sz="4" w:space="0" w:color="auto"/>
              <w:right w:val="nil"/>
            </w:tcBorders>
            <w:shd w:val="clear" w:color="auto" w:fill="auto"/>
            <w:vAlign w:val="center"/>
          </w:tcPr>
          <w:p w14:paraId="67829E4F" w14:textId="77777777" w:rsidR="007164AD" w:rsidRPr="00ED3190" w:rsidRDefault="007164AD" w:rsidP="00022AC7">
            <w:pPr>
              <w:pStyle w:val="TableText0"/>
            </w:pPr>
            <w:r w:rsidRPr="00ED3190">
              <w:t>Cost of MBS items</w:t>
            </w:r>
            <w:r w:rsidRPr="00ED3190">
              <w:rPr>
                <w:vertAlign w:val="superscript"/>
              </w:rPr>
              <w:t>a</w:t>
            </w:r>
          </w:p>
        </w:tc>
        <w:tc>
          <w:tcPr>
            <w:tcW w:w="405" w:type="pct"/>
            <w:tcBorders>
              <w:top w:val="nil"/>
              <w:left w:val="single" w:sz="4" w:space="0" w:color="auto"/>
              <w:bottom w:val="single" w:sz="4" w:space="0" w:color="auto"/>
              <w:right w:val="single" w:sz="4" w:space="0" w:color="auto"/>
            </w:tcBorders>
            <w:shd w:val="clear" w:color="auto" w:fill="auto"/>
          </w:tcPr>
          <w:p w14:paraId="19003CD4" w14:textId="5BC24963" w:rsidR="007164AD" w:rsidRPr="001244DF" w:rsidRDefault="00B3542F" w:rsidP="00022AC7">
            <w:pPr>
              <w:pStyle w:val="TableText0"/>
              <w:jc w:val="right"/>
              <w:rPr>
                <w:highlight w:val="darkGray"/>
              </w:rPr>
            </w:pPr>
            <w:r w:rsidRPr="00B3542F">
              <w:rPr>
                <w:color w:val="000000"/>
                <w:spacing w:val="49"/>
                <w:shd w:val="solid" w:color="000000" w:fill="000000"/>
                <w:fitText w:val="320" w:id="-931930360"/>
                <w14:textFill>
                  <w14:solidFill>
                    <w14:srgbClr w14:val="000000">
                      <w14:alpha w14:val="100000"/>
                    </w14:srgbClr>
                  </w14:solidFill>
                </w14:textFill>
              </w:rPr>
              <w:t>|||</w:t>
            </w:r>
            <w:r w:rsidRPr="00B3542F">
              <w:rPr>
                <w:color w:val="000000"/>
                <w:spacing w:val="3"/>
                <w:shd w:val="solid" w:color="000000" w:fill="000000"/>
                <w:fitText w:val="320" w:id="-931930360"/>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392A5BB8" w14:textId="7B92D8CB" w:rsidR="007164AD" w:rsidRPr="001244DF" w:rsidRDefault="00B3542F" w:rsidP="00022AC7">
            <w:pPr>
              <w:pStyle w:val="TableText0"/>
              <w:jc w:val="right"/>
              <w:rPr>
                <w:highlight w:val="darkGray"/>
              </w:rPr>
            </w:pPr>
            <w:r w:rsidRPr="00B3542F">
              <w:rPr>
                <w:color w:val="000000"/>
                <w:spacing w:val="49"/>
                <w:shd w:val="solid" w:color="000000" w:fill="000000"/>
                <w:fitText w:val="320" w:id="-931930359"/>
                <w14:textFill>
                  <w14:solidFill>
                    <w14:srgbClr w14:val="000000">
                      <w14:alpha w14:val="100000"/>
                    </w14:srgbClr>
                  </w14:solidFill>
                </w14:textFill>
              </w:rPr>
              <w:t>|||</w:t>
            </w:r>
            <w:r w:rsidRPr="00B3542F">
              <w:rPr>
                <w:color w:val="000000"/>
                <w:spacing w:val="3"/>
                <w:shd w:val="solid" w:color="000000" w:fill="000000"/>
                <w:fitText w:val="320" w:id="-931930359"/>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290D7F5B" w14:textId="24211697" w:rsidR="007164AD" w:rsidRPr="001244DF" w:rsidRDefault="00B3542F" w:rsidP="00022AC7">
            <w:pPr>
              <w:pStyle w:val="TableText0"/>
              <w:jc w:val="right"/>
              <w:rPr>
                <w:highlight w:val="darkGray"/>
              </w:rPr>
            </w:pPr>
            <w:r w:rsidRPr="00B3542F">
              <w:rPr>
                <w:color w:val="000000"/>
                <w:spacing w:val="49"/>
                <w:shd w:val="solid" w:color="000000" w:fill="000000"/>
                <w:fitText w:val="320" w:id="-931930358"/>
                <w14:textFill>
                  <w14:solidFill>
                    <w14:srgbClr w14:val="000000">
                      <w14:alpha w14:val="100000"/>
                    </w14:srgbClr>
                  </w14:solidFill>
                </w14:textFill>
              </w:rPr>
              <w:t>|||</w:t>
            </w:r>
            <w:r w:rsidRPr="00B3542F">
              <w:rPr>
                <w:color w:val="000000"/>
                <w:spacing w:val="3"/>
                <w:shd w:val="solid" w:color="000000" w:fill="000000"/>
                <w:fitText w:val="320" w:id="-931930358"/>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05DB93EA" w14:textId="7B05BD21" w:rsidR="007164AD" w:rsidRPr="001244DF" w:rsidRDefault="00B3542F" w:rsidP="00022AC7">
            <w:pPr>
              <w:pStyle w:val="TableText0"/>
              <w:jc w:val="right"/>
              <w:rPr>
                <w:highlight w:val="darkGray"/>
              </w:rPr>
            </w:pPr>
            <w:r w:rsidRPr="00B3542F">
              <w:rPr>
                <w:color w:val="000000"/>
                <w:spacing w:val="49"/>
                <w:shd w:val="solid" w:color="000000" w:fill="000000"/>
                <w:fitText w:val="320" w:id="-931930357"/>
                <w14:textFill>
                  <w14:solidFill>
                    <w14:srgbClr w14:val="000000">
                      <w14:alpha w14:val="100000"/>
                    </w14:srgbClr>
                  </w14:solidFill>
                </w14:textFill>
              </w:rPr>
              <w:t>|||</w:t>
            </w:r>
            <w:r w:rsidRPr="00B3542F">
              <w:rPr>
                <w:color w:val="000000"/>
                <w:spacing w:val="3"/>
                <w:shd w:val="solid" w:color="000000" w:fill="000000"/>
                <w:fitText w:val="320" w:id="-931930357"/>
                <w14:textFill>
                  <w14:solidFill>
                    <w14:srgbClr w14:val="000000">
                      <w14:alpha w14:val="100000"/>
                    </w14:srgbClr>
                  </w14:solidFill>
                </w14:textFill>
              </w:rPr>
              <w:t>|</w:t>
            </w:r>
            <w:r w:rsidR="001244DF">
              <w:rPr>
                <w:vertAlign w:val="superscript"/>
              </w:rPr>
              <w:t>3</w:t>
            </w:r>
          </w:p>
        </w:tc>
        <w:tc>
          <w:tcPr>
            <w:tcW w:w="405" w:type="pct"/>
            <w:tcBorders>
              <w:top w:val="nil"/>
              <w:left w:val="nil"/>
              <w:bottom w:val="single" w:sz="4" w:space="0" w:color="auto"/>
              <w:right w:val="single" w:sz="4" w:space="0" w:color="auto"/>
            </w:tcBorders>
            <w:shd w:val="clear" w:color="auto" w:fill="auto"/>
          </w:tcPr>
          <w:p w14:paraId="53C620EB" w14:textId="37175D40" w:rsidR="007164AD" w:rsidRPr="001244DF" w:rsidRDefault="00B3542F" w:rsidP="00022AC7">
            <w:pPr>
              <w:pStyle w:val="TableText0"/>
              <w:jc w:val="right"/>
              <w:rPr>
                <w:highlight w:val="darkGray"/>
              </w:rPr>
            </w:pPr>
            <w:r w:rsidRPr="00B3542F">
              <w:rPr>
                <w:color w:val="000000"/>
                <w:spacing w:val="49"/>
                <w:shd w:val="solid" w:color="000000" w:fill="000000"/>
                <w:fitText w:val="320" w:id="-931930356"/>
                <w14:textFill>
                  <w14:solidFill>
                    <w14:srgbClr w14:val="000000">
                      <w14:alpha w14:val="100000"/>
                    </w14:srgbClr>
                  </w14:solidFill>
                </w14:textFill>
              </w:rPr>
              <w:t>|||</w:t>
            </w:r>
            <w:r w:rsidRPr="00B3542F">
              <w:rPr>
                <w:color w:val="000000"/>
                <w:spacing w:val="3"/>
                <w:shd w:val="solid" w:color="000000" w:fill="000000"/>
                <w:fitText w:val="320" w:id="-931930356"/>
                <w14:textFill>
                  <w14:solidFill>
                    <w14:srgbClr w14:val="000000">
                      <w14:alpha w14:val="100000"/>
                    </w14:srgbClr>
                  </w14:solidFill>
                </w14:textFill>
              </w:rPr>
              <w:t>|</w:t>
            </w:r>
            <w:r w:rsidR="001244DF">
              <w:rPr>
                <w:vertAlign w:val="superscript"/>
              </w:rPr>
              <w:t>3</w:t>
            </w:r>
          </w:p>
        </w:tc>
        <w:tc>
          <w:tcPr>
            <w:tcW w:w="402" w:type="pct"/>
            <w:tcBorders>
              <w:top w:val="nil"/>
              <w:left w:val="nil"/>
              <w:bottom w:val="single" w:sz="4" w:space="0" w:color="auto"/>
              <w:right w:val="single" w:sz="4" w:space="0" w:color="auto"/>
            </w:tcBorders>
            <w:shd w:val="clear" w:color="auto" w:fill="auto"/>
          </w:tcPr>
          <w:p w14:paraId="72E9B7F3" w14:textId="367826F2" w:rsidR="007164AD" w:rsidRPr="001244DF" w:rsidRDefault="00B3542F" w:rsidP="00022AC7">
            <w:pPr>
              <w:pStyle w:val="TableText0"/>
              <w:jc w:val="right"/>
              <w:rPr>
                <w:highlight w:val="darkGray"/>
              </w:rPr>
            </w:pPr>
            <w:r w:rsidRPr="00B3542F">
              <w:rPr>
                <w:color w:val="000000"/>
                <w:spacing w:val="49"/>
                <w:shd w:val="solid" w:color="000000" w:fill="000000"/>
                <w:fitText w:val="320" w:id="-931930355"/>
                <w14:textFill>
                  <w14:solidFill>
                    <w14:srgbClr w14:val="000000">
                      <w14:alpha w14:val="100000"/>
                    </w14:srgbClr>
                  </w14:solidFill>
                </w14:textFill>
              </w:rPr>
              <w:t>|||</w:t>
            </w:r>
            <w:r w:rsidRPr="00B3542F">
              <w:rPr>
                <w:color w:val="000000"/>
                <w:spacing w:val="3"/>
                <w:shd w:val="solid" w:color="000000" w:fill="000000"/>
                <w:fitText w:val="320" w:id="-931930355"/>
                <w14:textFill>
                  <w14:solidFill>
                    <w14:srgbClr w14:val="000000">
                      <w14:alpha w14:val="100000"/>
                    </w14:srgbClr>
                  </w14:solidFill>
                </w14:textFill>
              </w:rPr>
              <w:t>|</w:t>
            </w:r>
            <w:r w:rsidR="001244DF">
              <w:rPr>
                <w:vertAlign w:val="superscript"/>
              </w:rPr>
              <w:t>3</w:t>
            </w:r>
          </w:p>
        </w:tc>
      </w:tr>
      <w:tr w:rsidR="007164AD" w:rsidRPr="00ED3190" w14:paraId="20D038B9" w14:textId="77777777" w:rsidTr="003955C4">
        <w:tc>
          <w:tcPr>
            <w:tcW w:w="2573" w:type="pct"/>
            <w:tcBorders>
              <w:top w:val="nil"/>
              <w:left w:val="single" w:sz="4" w:space="0" w:color="auto"/>
              <w:bottom w:val="single" w:sz="4" w:space="0" w:color="auto"/>
              <w:right w:val="nil"/>
            </w:tcBorders>
            <w:shd w:val="clear" w:color="auto" w:fill="auto"/>
            <w:vAlign w:val="center"/>
          </w:tcPr>
          <w:p w14:paraId="2130C86F" w14:textId="77777777" w:rsidR="007164AD" w:rsidRPr="00ED3190" w:rsidRDefault="007164AD" w:rsidP="00022AC7">
            <w:pPr>
              <w:pStyle w:val="TableText0"/>
            </w:pPr>
            <w:r w:rsidRPr="00ED3190">
              <w:t>Net increase in cost to government health budget</w:t>
            </w:r>
          </w:p>
        </w:tc>
        <w:tc>
          <w:tcPr>
            <w:tcW w:w="405" w:type="pct"/>
            <w:tcBorders>
              <w:top w:val="nil"/>
              <w:left w:val="single" w:sz="4" w:space="0" w:color="auto"/>
              <w:bottom w:val="single" w:sz="4" w:space="0" w:color="auto"/>
              <w:right w:val="single" w:sz="4" w:space="0" w:color="auto"/>
            </w:tcBorders>
            <w:shd w:val="clear" w:color="auto" w:fill="auto"/>
          </w:tcPr>
          <w:p w14:paraId="678613E7" w14:textId="43D23F10" w:rsidR="007164AD" w:rsidRPr="001244DF" w:rsidRDefault="00B3542F" w:rsidP="00022AC7">
            <w:pPr>
              <w:pStyle w:val="TableText0"/>
              <w:jc w:val="right"/>
              <w:rPr>
                <w:highlight w:val="darkGray"/>
              </w:rPr>
            </w:pPr>
            <w:r w:rsidRPr="00B3542F">
              <w:rPr>
                <w:color w:val="000000"/>
                <w:spacing w:val="49"/>
                <w:shd w:val="solid" w:color="000000" w:fill="000000"/>
                <w:fitText w:val="320" w:id="-931930354"/>
                <w14:textFill>
                  <w14:solidFill>
                    <w14:srgbClr w14:val="000000">
                      <w14:alpha w14:val="100000"/>
                    </w14:srgbClr>
                  </w14:solidFill>
                </w14:textFill>
              </w:rPr>
              <w:t>|||</w:t>
            </w:r>
            <w:r w:rsidRPr="00B3542F">
              <w:rPr>
                <w:color w:val="000000"/>
                <w:spacing w:val="3"/>
                <w:shd w:val="solid" w:color="000000" w:fill="000000"/>
                <w:fitText w:val="320" w:id="-931930354"/>
                <w14:textFill>
                  <w14:solidFill>
                    <w14:srgbClr w14:val="000000">
                      <w14:alpha w14:val="100000"/>
                    </w14:srgbClr>
                  </w14:solidFill>
                </w14:textFill>
              </w:rPr>
              <w:t>|</w:t>
            </w:r>
            <w:r w:rsidR="001244DF">
              <w:rPr>
                <w:vertAlign w:val="superscript"/>
              </w:rPr>
              <w:t>1</w:t>
            </w:r>
          </w:p>
        </w:tc>
        <w:tc>
          <w:tcPr>
            <w:tcW w:w="405" w:type="pct"/>
            <w:tcBorders>
              <w:top w:val="nil"/>
              <w:left w:val="nil"/>
              <w:bottom w:val="single" w:sz="4" w:space="0" w:color="auto"/>
              <w:right w:val="single" w:sz="4" w:space="0" w:color="auto"/>
            </w:tcBorders>
            <w:shd w:val="clear" w:color="auto" w:fill="auto"/>
          </w:tcPr>
          <w:p w14:paraId="1DB66CFF" w14:textId="70C075EB" w:rsidR="007164AD" w:rsidRPr="001244DF" w:rsidRDefault="00B3542F" w:rsidP="00022AC7">
            <w:pPr>
              <w:pStyle w:val="TableText0"/>
              <w:jc w:val="right"/>
              <w:rPr>
                <w:highlight w:val="darkGray"/>
              </w:rPr>
            </w:pPr>
            <w:r w:rsidRPr="00B3542F">
              <w:rPr>
                <w:color w:val="000000"/>
                <w:spacing w:val="49"/>
                <w:shd w:val="solid" w:color="000000" w:fill="000000"/>
                <w:fitText w:val="320" w:id="-931930353"/>
                <w14:textFill>
                  <w14:solidFill>
                    <w14:srgbClr w14:val="000000">
                      <w14:alpha w14:val="100000"/>
                    </w14:srgbClr>
                  </w14:solidFill>
                </w14:textFill>
              </w:rPr>
              <w:t>|||</w:t>
            </w:r>
            <w:r w:rsidRPr="00B3542F">
              <w:rPr>
                <w:color w:val="000000"/>
                <w:spacing w:val="3"/>
                <w:shd w:val="solid" w:color="000000" w:fill="000000"/>
                <w:fitText w:val="320" w:id="-931930353"/>
                <w14:textFill>
                  <w14:solidFill>
                    <w14:srgbClr w14:val="000000">
                      <w14:alpha w14:val="100000"/>
                    </w14:srgbClr>
                  </w14:solidFill>
                </w14:textFill>
              </w:rPr>
              <w:t>|</w:t>
            </w:r>
            <w:r w:rsidR="001244DF">
              <w:rPr>
                <w:vertAlign w:val="superscript"/>
              </w:rPr>
              <w:t>2</w:t>
            </w:r>
          </w:p>
        </w:tc>
        <w:tc>
          <w:tcPr>
            <w:tcW w:w="405" w:type="pct"/>
            <w:tcBorders>
              <w:top w:val="nil"/>
              <w:left w:val="nil"/>
              <w:bottom w:val="single" w:sz="4" w:space="0" w:color="auto"/>
              <w:right w:val="single" w:sz="4" w:space="0" w:color="auto"/>
            </w:tcBorders>
            <w:shd w:val="clear" w:color="auto" w:fill="auto"/>
          </w:tcPr>
          <w:p w14:paraId="7A803193" w14:textId="082BEBEB" w:rsidR="007164AD" w:rsidRPr="001244DF" w:rsidRDefault="00B3542F" w:rsidP="00022AC7">
            <w:pPr>
              <w:pStyle w:val="TableText0"/>
              <w:jc w:val="right"/>
              <w:rPr>
                <w:highlight w:val="darkGray"/>
              </w:rPr>
            </w:pPr>
            <w:r w:rsidRPr="00B3542F">
              <w:rPr>
                <w:color w:val="000000"/>
                <w:spacing w:val="49"/>
                <w:shd w:val="solid" w:color="000000" w:fill="000000"/>
                <w:fitText w:val="320" w:id="-931930352"/>
                <w14:textFill>
                  <w14:solidFill>
                    <w14:srgbClr w14:val="000000">
                      <w14:alpha w14:val="100000"/>
                    </w14:srgbClr>
                  </w14:solidFill>
                </w14:textFill>
              </w:rPr>
              <w:t>|||</w:t>
            </w:r>
            <w:r w:rsidRPr="00B3542F">
              <w:rPr>
                <w:color w:val="000000"/>
                <w:spacing w:val="3"/>
                <w:shd w:val="solid" w:color="000000" w:fill="000000"/>
                <w:fitText w:val="320" w:id="-931930352"/>
                <w14:textFill>
                  <w14:solidFill>
                    <w14:srgbClr w14:val="000000">
                      <w14:alpha w14:val="100000"/>
                    </w14:srgbClr>
                  </w14:solidFill>
                </w14:textFill>
              </w:rPr>
              <w:t>|</w:t>
            </w:r>
            <w:r w:rsidR="001244DF">
              <w:rPr>
                <w:vertAlign w:val="superscript"/>
              </w:rPr>
              <w:t>4</w:t>
            </w:r>
          </w:p>
        </w:tc>
        <w:tc>
          <w:tcPr>
            <w:tcW w:w="405" w:type="pct"/>
            <w:tcBorders>
              <w:top w:val="nil"/>
              <w:left w:val="nil"/>
              <w:bottom w:val="single" w:sz="4" w:space="0" w:color="auto"/>
              <w:right w:val="single" w:sz="4" w:space="0" w:color="auto"/>
            </w:tcBorders>
            <w:shd w:val="clear" w:color="auto" w:fill="auto"/>
          </w:tcPr>
          <w:p w14:paraId="22FAC46C" w14:textId="59164ECF" w:rsidR="007164AD" w:rsidRPr="001244DF" w:rsidRDefault="00B3542F" w:rsidP="00022AC7">
            <w:pPr>
              <w:pStyle w:val="TableText0"/>
              <w:jc w:val="right"/>
              <w:rPr>
                <w:highlight w:val="darkGray"/>
              </w:rPr>
            </w:pPr>
            <w:r w:rsidRPr="00B3542F">
              <w:rPr>
                <w:color w:val="000000"/>
                <w:spacing w:val="49"/>
                <w:shd w:val="solid" w:color="000000" w:fill="000000"/>
                <w:fitText w:val="320" w:id="-931930368"/>
                <w14:textFill>
                  <w14:solidFill>
                    <w14:srgbClr w14:val="000000">
                      <w14:alpha w14:val="100000"/>
                    </w14:srgbClr>
                  </w14:solidFill>
                </w14:textFill>
              </w:rPr>
              <w:t>|||</w:t>
            </w:r>
            <w:r w:rsidRPr="00B3542F">
              <w:rPr>
                <w:color w:val="000000"/>
                <w:spacing w:val="3"/>
                <w:shd w:val="solid" w:color="000000" w:fill="000000"/>
                <w:fitText w:val="320" w:id="-931930368"/>
                <w14:textFill>
                  <w14:solidFill>
                    <w14:srgbClr w14:val="000000">
                      <w14:alpha w14:val="100000"/>
                    </w14:srgbClr>
                  </w14:solidFill>
                </w14:textFill>
              </w:rPr>
              <w:t>|</w:t>
            </w:r>
            <w:r w:rsidR="001244DF">
              <w:rPr>
                <w:vertAlign w:val="superscript"/>
              </w:rPr>
              <w:t>4</w:t>
            </w:r>
          </w:p>
        </w:tc>
        <w:tc>
          <w:tcPr>
            <w:tcW w:w="405" w:type="pct"/>
            <w:tcBorders>
              <w:top w:val="nil"/>
              <w:left w:val="nil"/>
              <w:bottom w:val="single" w:sz="4" w:space="0" w:color="auto"/>
              <w:right w:val="single" w:sz="4" w:space="0" w:color="auto"/>
            </w:tcBorders>
            <w:shd w:val="clear" w:color="auto" w:fill="auto"/>
          </w:tcPr>
          <w:p w14:paraId="094E2BFE" w14:textId="52B5A60E" w:rsidR="007164AD" w:rsidRPr="001244DF" w:rsidRDefault="00B3542F" w:rsidP="00022AC7">
            <w:pPr>
              <w:pStyle w:val="TableText0"/>
              <w:jc w:val="right"/>
              <w:rPr>
                <w:highlight w:val="darkGray"/>
              </w:rPr>
            </w:pPr>
            <w:r w:rsidRPr="00B3542F">
              <w:rPr>
                <w:color w:val="000000"/>
                <w:spacing w:val="49"/>
                <w:shd w:val="solid" w:color="000000" w:fill="000000"/>
                <w:fitText w:val="320" w:id="-931930367"/>
                <w14:textFill>
                  <w14:solidFill>
                    <w14:srgbClr w14:val="000000">
                      <w14:alpha w14:val="100000"/>
                    </w14:srgbClr>
                  </w14:solidFill>
                </w14:textFill>
              </w:rPr>
              <w:t>|||</w:t>
            </w:r>
            <w:r w:rsidRPr="00B3542F">
              <w:rPr>
                <w:color w:val="000000"/>
                <w:spacing w:val="3"/>
                <w:shd w:val="solid" w:color="000000" w:fill="000000"/>
                <w:fitText w:val="320" w:id="-931930367"/>
                <w14:textFill>
                  <w14:solidFill>
                    <w14:srgbClr w14:val="000000">
                      <w14:alpha w14:val="100000"/>
                    </w14:srgbClr>
                  </w14:solidFill>
                </w14:textFill>
              </w:rPr>
              <w:t>|</w:t>
            </w:r>
            <w:r w:rsidR="001244DF">
              <w:rPr>
                <w:vertAlign w:val="superscript"/>
              </w:rPr>
              <w:t>4</w:t>
            </w:r>
          </w:p>
        </w:tc>
        <w:tc>
          <w:tcPr>
            <w:tcW w:w="402" w:type="pct"/>
            <w:tcBorders>
              <w:top w:val="nil"/>
              <w:left w:val="nil"/>
              <w:bottom w:val="single" w:sz="4" w:space="0" w:color="auto"/>
              <w:right w:val="single" w:sz="4" w:space="0" w:color="auto"/>
            </w:tcBorders>
            <w:shd w:val="clear" w:color="auto" w:fill="auto"/>
          </w:tcPr>
          <w:p w14:paraId="16FA7110" w14:textId="3CE950D9" w:rsidR="007164AD" w:rsidRPr="001244DF" w:rsidRDefault="00B3542F" w:rsidP="00022AC7">
            <w:pPr>
              <w:pStyle w:val="TableText0"/>
              <w:jc w:val="right"/>
              <w:rPr>
                <w:highlight w:val="darkGray"/>
              </w:rPr>
            </w:pPr>
            <w:r w:rsidRPr="00B3542F">
              <w:rPr>
                <w:color w:val="000000"/>
                <w:spacing w:val="49"/>
                <w:shd w:val="solid" w:color="000000" w:fill="000000"/>
                <w:fitText w:val="320" w:id="-931930366"/>
                <w14:textFill>
                  <w14:solidFill>
                    <w14:srgbClr w14:val="000000">
                      <w14:alpha w14:val="100000"/>
                    </w14:srgbClr>
                  </w14:solidFill>
                </w14:textFill>
              </w:rPr>
              <w:t>|||</w:t>
            </w:r>
            <w:r w:rsidRPr="00B3542F">
              <w:rPr>
                <w:color w:val="000000"/>
                <w:spacing w:val="3"/>
                <w:shd w:val="solid" w:color="000000" w:fill="000000"/>
                <w:fitText w:val="320" w:id="-931930366"/>
                <w14:textFill>
                  <w14:solidFill>
                    <w14:srgbClr w14:val="000000">
                      <w14:alpha w14:val="100000"/>
                    </w14:srgbClr>
                  </w14:solidFill>
                </w14:textFill>
              </w:rPr>
              <w:t>|</w:t>
            </w:r>
            <w:r w:rsidR="001244DF">
              <w:rPr>
                <w:vertAlign w:val="superscript"/>
              </w:rPr>
              <w:t>4</w:t>
            </w:r>
          </w:p>
        </w:tc>
      </w:tr>
    </w:tbl>
    <w:p w14:paraId="48574377" w14:textId="77777777" w:rsidR="003955C4" w:rsidRDefault="003955C4" w:rsidP="003955C4">
      <w:pPr>
        <w:pStyle w:val="FooterTableFigure"/>
        <w:keepNext/>
        <w:keepLines/>
        <w:spacing w:after="0"/>
      </w:pPr>
      <w:r w:rsidRPr="00ED3190">
        <w:t xml:space="preserve">Source: ABRYSVO_Maternal_Section 4 Workbook_May 2024.xlsx, March PBAC </w:t>
      </w:r>
      <w:r>
        <w:t>PSD</w:t>
      </w:r>
      <w:r w:rsidRPr="00ED3190">
        <w:t xml:space="preserve"> Table 20.</w:t>
      </w:r>
    </w:p>
    <w:p w14:paraId="6F1CD6BD" w14:textId="435FCC96" w:rsidR="007164AD" w:rsidRPr="00ED3190" w:rsidRDefault="00124F02" w:rsidP="003955C4">
      <w:pPr>
        <w:pStyle w:val="FooterTableFigure"/>
        <w:keepNext/>
        <w:keepLines/>
        <w:spacing w:after="0"/>
      </w:pPr>
      <w:r w:rsidRPr="00124F02">
        <w:rPr>
          <w:vertAlign w:val="superscript"/>
        </w:rPr>
        <w:t>a</w:t>
      </w:r>
      <w:r w:rsidR="007164AD" w:rsidRPr="00ED3190">
        <w:t xml:space="preserve"> MBS costs estimated for vaccine administration.</w:t>
      </w:r>
    </w:p>
    <w:p w14:paraId="0E4CAD9B" w14:textId="1C300106" w:rsidR="001244DF" w:rsidRPr="00017668" w:rsidRDefault="001244DF" w:rsidP="003955C4">
      <w:pPr>
        <w:pStyle w:val="TableFigureHeading"/>
        <w:keepLines/>
        <w:rPr>
          <w:b w:val="0"/>
          <w:bCs w:val="0"/>
          <w:i/>
          <w:iCs/>
          <w:sz w:val="18"/>
          <w:szCs w:val="22"/>
        </w:rPr>
      </w:pPr>
      <w:r w:rsidRPr="00017668">
        <w:rPr>
          <w:b w:val="0"/>
          <w:bCs w:val="0"/>
          <w:i/>
          <w:iCs/>
          <w:sz w:val="18"/>
          <w:szCs w:val="22"/>
        </w:rPr>
        <w:t>The redacted values correspond to the following ranges:</w:t>
      </w:r>
    </w:p>
    <w:p w14:paraId="18CF8187" w14:textId="4D1A348F" w:rsidR="001244DF" w:rsidRPr="00017668" w:rsidRDefault="001244DF" w:rsidP="00560E31">
      <w:pPr>
        <w:pStyle w:val="TableFigureHeading"/>
        <w:keepLines/>
        <w:rPr>
          <w:b w:val="0"/>
          <w:bCs w:val="0"/>
          <w:i/>
          <w:iCs/>
          <w:sz w:val="18"/>
          <w:szCs w:val="22"/>
        </w:rPr>
      </w:pPr>
      <w:r w:rsidRPr="00017668">
        <w:rPr>
          <w:b w:val="0"/>
          <w:bCs w:val="0"/>
          <w:i/>
          <w:iCs/>
          <w:sz w:val="18"/>
          <w:szCs w:val="22"/>
          <w:vertAlign w:val="superscript"/>
        </w:rPr>
        <w:t>1</w:t>
      </w:r>
      <w:r w:rsidRPr="00017668">
        <w:rPr>
          <w:b w:val="0"/>
          <w:bCs w:val="0"/>
          <w:i/>
          <w:iCs/>
          <w:sz w:val="18"/>
          <w:szCs w:val="22"/>
        </w:rPr>
        <w:t xml:space="preserve"> $10 million to &lt; $20 million</w:t>
      </w:r>
    </w:p>
    <w:p w14:paraId="0E455428" w14:textId="1368F86D" w:rsidR="001244DF" w:rsidRPr="00017668" w:rsidRDefault="001244DF" w:rsidP="00560E31">
      <w:pPr>
        <w:pStyle w:val="TableFigureHeading"/>
        <w:keepLines/>
        <w:rPr>
          <w:b w:val="0"/>
          <w:bCs w:val="0"/>
          <w:i/>
          <w:iCs/>
          <w:sz w:val="18"/>
          <w:szCs w:val="22"/>
        </w:rPr>
      </w:pPr>
      <w:r w:rsidRPr="00017668">
        <w:rPr>
          <w:b w:val="0"/>
          <w:bCs w:val="0"/>
          <w:i/>
          <w:iCs/>
          <w:sz w:val="18"/>
          <w:szCs w:val="22"/>
          <w:vertAlign w:val="superscript"/>
        </w:rPr>
        <w:t>2</w:t>
      </w:r>
      <w:r w:rsidRPr="00017668">
        <w:rPr>
          <w:b w:val="0"/>
          <w:bCs w:val="0"/>
          <w:i/>
          <w:iCs/>
          <w:sz w:val="18"/>
          <w:szCs w:val="22"/>
        </w:rPr>
        <w:t xml:space="preserve"> $20 million to &lt; $30 million</w:t>
      </w:r>
    </w:p>
    <w:p w14:paraId="724E319C" w14:textId="3C1AB49A" w:rsidR="001244DF" w:rsidRPr="00017668" w:rsidRDefault="001244DF" w:rsidP="00560E31">
      <w:pPr>
        <w:pStyle w:val="TableFigureHeading"/>
        <w:keepLines/>
        <w:rPr>
          <w:b w:val="0"/>
          <w:bCs w:val="0"/>
          <w:i/>
          <w:iCs/>
          <w:sz w:val="18"/>
          <w:szCs w:val="22"/>
        </w:rPr>
      </w:pPr>
      <w:r w:rsidRPr="00017668">
        <w:rPr>
          <w:b w:val="0"/>
          <w:bCs w:val="0"/>
          <w:i/>
          <w:iCs/>
          <w:sz w:val="18"/>
          <w:szCs w:val="22"/>
          <w:vertAlign w:val="superscript"/>
        </w:rPr>
        <w:t>3</w:t>
      </w:r>
      <w:r w:rsidRPr="00017668">
        <w:rPr>
          <w:b w:val="0"/>
          <w:bCs w:val="0"/>
          <w:i/>
          <w:iCs/>
          <w:sz w:val="18"/>
          <w:szCs w:val="22"/>
        </w:rPr>
        <w:t xml:space="preserve"> $0 to &lt; $10 million</w:t>
      </w:r>
    </w:p>
    <w:p w14:paraId="436B34F2" w14:textId="3BA5BBAB" w:rsidR="001244DF" w:rsidRPr="00017668" w:rsidRDefault="001244DF" w:rsidP="00124F02">
      <w:pPr>
        <w:pStyle w:val="TableFigureHeading"/>
        <w:keepLines/>
        <w:rPr>
          <w:b w:val="0"/>
          <w:bCs w:val="0"/>
          <w:i/>
          <w:iCs/>
          <w:sz w:val="18"/>
          <w:szCs w:val="22"/>
        </w:rPr>
      </w:pPr>
      <w:r w:rsidRPr="00017668">
        <w:rPr>
          <w:b w:val="0"/>
          <w:bCs w:val="0"/>
          <w:i/>
          <w:iCs/>
          <w:sz w:val="18"/>
          <w:szCs w:val="22"/>
          <w:vertAlign w:val="superscript"/>
        </w:rPr>
        <w:t>4</w:t>
      </w:r>
      <w:r w:rsidRPr="00017668">
        <w:rPr>
          <w:b w:val="0"/>
          <w:bCs w:val="0"/>
          <w:i/>
          <w:iCs/>
          <w:sz w:val="18"/>
          <w:szCs w:val="22"/>
        </w:rPr>
        <w:t xml:space="preserve"> $30 million to &lt; $40 million</w:t>
      </w:r>
    </w:p>
    <w:p w14:paraId="667D2BC1" w14:textId="77777777" w:rsidR="007164AD" w:rsidRPr="00ED3190" w:rsidRDefault="007164AD" w:rsidP="007164AD">
      <w:pPr>
        <w:pStyle w:val="3-BodyText"/>
        <w:numPr>
          <w:ilvl w:val="0"/>
          <w:numId w:val="0"/>
        </w:numPr>
        <w:ind w:left="720"/>
      </w:pPr>
      <w:r w:rsidRPr="00ED3190">
        <w:rPr>
          <w:i/>
        </w:rPr>
        <w:t>For more detail on PBAC’s view, see section 12 PBAC outcome.</w:t>
      </w:r>
    </w:p>
    <w:p w14:paraId="6B047463" w14:textId="77777777" w:rsidR="007164AD" w:rsidRPr="00ED3190" w:rsidRDefault="007164AD" w:rsidP="007164AD">
      <w:pPr>
        <w:pStyle w:val="2-SectionHeading"/>
        <w:numPr>
          <w:ilvl w:val="0"/>
          <w:numId w:val="1"/>
        </w:numPr>
      </w:pPr>
      <w:r w:rsidRPr="00ED3190">
        <w:lastRenderedPageBreak/>
        <w:t>PBAC outcome</w:t>
      </w:r>
    </w:p>
    <w:p w14:paraId="24F1DBAC" w14:textId="63C5AD2B" w:rsidR="007164AD" w:rsidRPr="00ED3190" w:rsidRDefault="007164AD" w:rsidP="007164AD">
      <w:pPr>
        <w:widowControl w:val="0"/>
        <w:numPr>
          <w:ilvl w:val="1"/>
          <w:numId w:val="1"/>
        </w:numPr>
        <w:spacing w:after="120"/>
        <w:ind w:left="720" w:hanging="720"/>
        <w:rPr>
          <w:snapToGrid w:val="0"/>
        </w:rPr>
      </w:pPr>
      <w:bookmarkStart w:id="136" w:name="_Hlk167396241"/>
      <w:r w:rsidRPr="00ED3190">
        <w:rPr>
          <w:snapToGrid w:val="0"/>
        </w:rPr>
        <w:t xml:space="preserve">The PBAC recommended that respiratory syncytial virus vaccine (Abrysvo®, RSVpreF) be a designated vaccine for the purposes of the </w:t>
      </w:r>
      <w:r w:rsidRPr="00ED3190">
        <w:rPr>
          <w:i/>
          <w:iCs/>
          <w:snapToGrid w:val="0"/>
        </w:rPr>
        <w:t>National Health Act 1953</w:t>
      </w:r>
      <w:r w:rsidRPr="00ED3190">
        <w:rPr>
          <w:snapToGrid w:val="0"/>
        </w:rPr>
        <w:t xml:space="preserve"> for the prevention of lower respiratory tract illness (LRTI) caused by respiratory syncytial virus (RSV) in infants from birth through 6 months of age by active immunisation of pregnant women. The PBAC considered that the vaccine was superior to no vaccine in terms of effectiveness, based on the reduced risk of medically attended-lower respiratory tract illness (MA-LRTI) and severe MA-LRTI due to RSV among infants during the first 6 months of life.</w:t>
      </w:r>
      <w:r w:rsidR="00C63E95">
        <w:rPr>
          <w:snapToGrid w:val="0"/>
        </w:rPr>
        <w:t xml:space="preserve"> </w:t>
      </w:r>
      <w:r w:rsidRPr="00ED3190">
        <w:t xml:space="preserve">The PBAC considered that </w:t>
      </w:r>
      <w:r w:rsidRPr="00ED3190">
        <w:rPr>
          <w:rFonts w:eastAsia="Calibri"/>
        </w:rPr>
        <w:t>the adverse event profile of RSVpreF was acceptable compared to placebo.</w:t>
      </w:r>
      <w:r>
        <w:rPr>
          <w:rFonts w:eastAsia="Calibri"/>
        </w:rPr>
        <w:t xml:space="preserve"> </w:t>
      </w:r>
      <w:r w:rsidRPr="00ED3190">
        <w:rPr>
          <w:snapToGrid w:val="0"/>
        </w:rPr>
        <w:t xml:space="preserve">The PBAC noted that the resubmission had offered a lower price compared with the price considered by the PBAC in March 2024, and had accepted most of its advice arising from that meeting. However, the resubmission had not accepted the PBAC’s advice regarding the estimates of vaccine efficacy (VE) to be applied in the economic evaluation. The PBAC maintained its advice from the March 2024 meeting, that clinical trial data with 12 months of follow-up be used to inform the VE, rather than with 6 months of follow-up as proposed by the resubmission. </w:t>
      </w:r>
      <w:r w:rsidRPr="00ED3190">
        <w:rPr>
          <w:rFonts w:cstheme="minorHAnsi"/>
        </w:rPr>
        <w:t xml:space="preserve">The </w:t>
      </w:r>
      <w:r w:rsidRPr="00ED3190">
        <w:rPr>
          <w:snapToGrid w:val="0"/>
        </w:rPr>
        <w:t>PBAC noted using clinical trial data with 12 months of follow-up to inform the VE, resulted in an ICER that was unacceptably high. On this basis, the PBAC considered that a price reduction would be required to ensure the vaccine is cost-effective in the proposed circumstances of use.</w:t>
      </w:r>
    </w:p>
    <w:bookmarkEnd w:id="136"/>
    <w:p w14:paraId="182827DF" w14:textId="77777777" w:rsidR="00DB24CC" w:rsidRDefault="007164AD" w:rsidP="007164AD">
      <w:pPr>
        <w:widowControl w:val="0"/>
        <w:numPr>
          <w:ilvl w:val="1"/>
          <w:numId w:val="1"/>
        </w:numPr>
        <w:spacing w:after="120"/>
        <w:ind w:left="720" w:hanging="720"/>
        <w:rPr>
          <w:rFonts w:asciiTheme="minorHAnsi" w:hAnsiTheme="minorHAnsi"/>
          <w:snapToGrid w:val="0"/>
        </w:rPr>
      </w:pPr>
      <w:r w:rsidRPr="00ED3190">
        <w:rPr>
          <w:rFonts w:asciiTheme="minorHAnsi" w:hAnsiTheme="minorHAnsi"/>
          <w:snapToGrid w:val="0"/>
        </w:rPr>
        <w:t>The PBAC recommended the listing of RSVpreF for use as a maternal vaccine, on the basis that it should be available through the National Immunisation Program under the circumstances specified in Section 13 below.</w:t>
      </w:r>
    </w:p>
    <w:p w14:paraId="2A47D3F8" w14:textId="221EF19F" w:rsidR="00DB24CC" w:rsidRDefault="007164AD" w:rsidP="007164AD">
      <w:pPr>
        <w:widowControl w:val="0"/>
        <w:numPr>
          <w:ilvl w:val="1"/>
          <w:numId w:val="1"/>
        </w:numPr>
        <w:spacing w:after="120"/>
        <w:ind w:left="720" w:hanging="720"/>
        <w:rPr>
          <w:rFonts w:asciiTheme="minorHAnsi" w:hAnsiTheme="minorHAnsi"/>
          <w:snapToGrid w:val="0"/>
        </w:rPr>
      </w:pPr>
      <w:r w:rsidRPr="00ED3190">
        <w:rPr>
          <w:rFonts w:asciiTheme="minorHAnsi" w:hAnsiTheme="minorHAnsi"/>
          <w:snapToGrid w:val="0"/>
        </w:rPr>
        <w:t xml:space="preserve">The PBAC was satisfied that RSVpreF provides, for some patients, a significant improvement in efficacy over </w:t>
      </w:r>
      <w:r w:rsidRPr="00ED3190">
        <w:rPr>
          <w:szCs w:val="20"/>
        </w:rPr>
        <w:t>standard of care (no vaccine)</w:t>
      </w:r>
      <w:r w:rsidRPr="00ED3190">
        <w:rPr>
          <w:rFonts w:asciiTheme="minorHAnsi" w:hAnsiTheme="minorHAnsi"/>
          <w:snapToGrid w:val="0"/>
        </w:rPr>
        <w:t>.</w:t>
      </w:r>
    </w:p>
    <w:p w14:paraId="0AD0D920" w14:textId="61445709" w:rsidR="00DB24CC" w:rsidRDefault="007164AD" w:rsidP="007164AD">
      <w:pPr>
        <w:pStyle w:val="3-BodyText"/>
      </w:pPr>
      <w:r w:rsidRPr="00ED3190">
        <w:rPr>
          <w:rFonts w:cstheme="minorHAnsi"/>
        </w:rPr>
        <w:t xml:space="preserve">The PBAC considered that the resubmission had addressed the majority of outstanding issues identified at the March 2024 PBAC meeting, via the </w:t>
      </w:r>
      <w:r w:rsidRPr="00ED3190">
        <w:rPr>
          <w:rFonts w:cstheme="minorHAnsi"/>
          <w:snapToGrid w:val="0"/>
        </w:rPr>
        <w:t>respecified economic model and recalculated financial estimates</w:t>
      </w:r>
      <w:r w:rsidRPr="00ED3190">
        <w:rPr>
          <w:rFonts w:cstheme="minorHAnsi"/>
        </w:rPr>
        <w:t xml:space="preserve">. However, for the base case economic evaluation </w:t>
      </w:r>
      <w:r w:rsidRPr="00ED3190">
        <w:t>the PBAC’s advice in relation to the inputs for VE was not implemented. The PBAC noted its previous advice that a VE of 33% should be applied for hospitalisations, and a VE of 45% should be applied for ED and outpatient attendance events, based on observed events in the trial over 12 months. While the resubmission base case resulted in an ICER of less than $</w:t>
      </w:r>
      <w:r w:rsidR="001244DF">
        <w:t>15,000</w:t>
      </w:r>
      <w:r w:rsidR="00852253">
        <w:t> </w:t>
      </w:r>
      <w:r w:rsidR="001244DF">
        <w:t>to</w:t>
      </w:r>
      <w:r w:rsidR="00852253">
        <w:t> </w:t>
      </w:r>
      <w:r w:rsidR="001244DF">
        <w:t>&lt;</w:t>
      </w:r>
      <w:r w:rsidR="00852253">
        <w:t> </w:t>
      </w:r>
      <w:r w:rsidR="001244DF">
        <w:t>$25,000</w:t>
      </w:r>
      <w:r w:rsidRPr="00ED3190">
        <w:t>/QALY, the alternative analysis which incorporated all of the PBAC’s previous advice, resulted in an ICER of $</w:t>
      </w:r>
      <w:r w:rsidR="001244DF">
        <w:t>45,000</w:t>
      </w:r>
      <w:r w:rsidR="00852253">
        <w:t> </w:t>
      </w:r>
      <w:r w:rsidR="001244DF">
        <w:t>to</w:t>
      </w:r>
      <w:r w:rsidR="00852253">
        <w:t> </w:t>
      </w:r>
      <w:r w:rsidR="001244DF">
        <w:t>&lt;</w:t>
      </w:r>
      <w:r w:rsidR="00852253">
        <w:t> </w:t>
      </w:r>
      <w:r w:rsidR="001244DF">
        <w:t>$55,000</w:t>
      </w:r>
      <w:r w:rsidRPr="00ED3190">
        <w:t>/QALY using the resubmission’s proposed vial price.</w:t>
      </w:r>
    </w:p>
    <w:p w14:paraId="28925258" w14:textId="31737CE7" w:rsidR="00DB24CC" w:rsidRDefault="007164AD" w:rsidP="007164AD">
      <w:pPr>
        <w:pStyle w:val="3-BodyText"/>
      </w:pPr>
      <w:r w:rsidRPr="00ED3190">
        <w:t xml:space="preserve">The PBAC did not accept the resubmission’s claim that use of 6-month data would reduce uncertainty in the economic model (paragraph </w:t>
      </w:r>
      <w:r w:rsidRPr="00ED3190">
        <w:fldChar w:fldCharType="begin"/>
      </w:r>
      <w:r w:rsidRPr="00ED3190">
        <w:instrText xml:space="preserve"> REF _Ref167375990 \r \h </w:instrText>
      </w:r>
      <w:r w:rsidRPr="00ED3190">
        <w:fldChar w:fldCharType="separate"/>
      </w:r>
      <w:r w:rsidR="00A46CAC">
        <w:t>13.8</w:t>
      </w:r>
      <w:r w:rsidRPr="00ED3190">
        <w:fldChar w:fldCharType="end"/>
      </w:r>
      <w:r w:rsidRPr="00ED3190">
        <w:t xml:space="preserve">). The PBAC noted that the VE results of the 6-month analysis which informed the resubmission’s base case had wide confidence intervals: VE of 56.8% (99.17% CI:10.1%, 80.7%) for hospitalisations due to RSV; and VE of 51.3% (97.58% CI:29.4%, 66.8%) for RSV-positive MA-LRTI. The </w:t>
      </w:r>
      <w:r w:rsidRPr="00ED3190">
        <w:lastRenderedPageBreak/>
        <w:t xml:space="preserve">PBAC also noted that the ICER was highly sensitive to the VE estimates (as seen in </w:t>
      </w:r>
      <w:r w:rsidRPr="00ED3190">
        <w:fldChar w:fldCharType="begin"/>
      </w:r>
      <w:r w:rsidRPr="00ED3190">
        <w:instrText xml:space="preserve"> REF _Ref167377371 \h </w:instrText>
      </w:r>
      <w:r w:rsidRPr="00ED3190">
        <w:fldChar w:fldCharType="separate"/>
      </w:r>
      <w:r w:rsidR="00A46CAC" w:rsidRPr="00ED3190">
        <w:t xml:space="preserve">Table </w:t>
      </w:r>
      <w:r w:rsidR="00A46CAC">
        <w:rPr>
          <w:noProof/>
        </w:rPr>
        <w:t>24</w:t>
      </w:r>
      <w:r w:rsidRPr="00ED3190">
        <w:fldChar w:fldCharType="end"/>
      </w:r>
      <w:r w:rsidRPr="00ED3190">
        <w:t>).</w:t>
      </w:r>
    </w:p>
    <w:p w14:paraId="1FEDCA2E" w14:textId="782D1D0A" w:rsidR="00DB24CC" w:rsidRDefault="007164AD" w:rsidP="007164AD">
      <w:pPr>
        <w:pStyle w:val="3-BodyText"/>
      </w:pPr>
      <w:r w:rsidRPr="00ED3190">
        <w:t xml:space="preserve">The PBAC maintained that the parameters recommended in March 2024 were appropriate for assessing the cost-effectiveness of the proposed </w:t>
      </w:r>
      <w:r w:rsidR="00E82F4A" w:rsidRPr="00ED3190">
        <w:t>listing and</w:t>
      </w:r>
      <w:r w:rsidRPr="00ED3190">
        <w:t xml:space="preserve"> considered that conservative estimates were appropriate for decision-making in this instance. The PBAC noted the proposed use of RSVpreF as a year-round maternal vaccine, administered according to gestational age, differs from the seasonal nature of RSV.</w:t>
      </w:r>
      <w:r>
        <w:t xml:space="preserve"> </w:t>
      </w:r>
      <w:r w:rsidRPr="00ED3190">
        <w:t>The PBAC considered that seasonal factors may impact the future cost</w:t>
      </w:r>
      <w:r w:rsidRPr="00ED3190">
        <w:noBreakHyphen/>
        <w:t>effectiveness of maternal RSV vaccine, with varying seasonality in different parts of Australia, and noting that severity of future RSV seasons was difficult to predict.</w:t>
      </w:r>
    </w:p>
    <w:p w14:paraId="77A9880F" w14:textId="1FEBCAEE" w:rsidR="007164AD" w:rsidRPr="00ED3190" w:rsidRDefault="007164AD" w:rsidP="007164AD">
      <w:pPr>
        <w:pStyle w:val="3-BodyText"/>
      </w:pPr>
      <w:bookmarkStart w:id="137" w:name="_Ref167396194"/>
      <w:r w:rsidRPr="00ED3190">
        <w:rPr>
          <w:rFonts w:cstheme="minorHAnsi"/>
        </w:rPr>
        <w:t xml:space="preserve">The </w:t>
      </w:r>
      <w:r w:rsidRPr="00ED3190">
        <w:rPr>
          <w:snapToGrid w:val="0"/>
        </w:rPr>
        <w:t>PBAC noted using clinical trial data with 12 months of follow-up to inform the VE, rather than with 6 months of follow-up as proposed by the resubmission, resulted in an ICER (</w:t>
      </w:r>
      <w:r w:rsidRPr="00ED3190">
        <w:t>$</w:t>
      </w:r>
      <w:r w:rsidR="001244DF">
        <w:t>45,000 to &lt; $55,000</w:t>
      </w:r>
      <w:r w:rsidRPr="00ED3190">
        <w:t xml:space="preserve">/QALY) </w:t>
      </w:r>
      <w:r w:rsidRPr="00ED3190">
        <w:rPr>
          <w:snapToGrid w:val="0"/>
        </w:rPr>
        <w:t>that was unacceptably high.</w:t>
      </w:r>
      <w:r>
        <w:rPr>
          <w:snapToGrid w:val="0"/>
        </w:rPr>
        <w:t xml:space="preserve"> </w:t>
      </w:r>
      <w:r w:rsidRPr="00ED3190">
        <w:rPr>
          <w:snapToGrid w:val="0"/>
        </w:rPr>
        <w:t>On this basis, the PBAC considered that a further price reduction would be required to achieve an acceptable ICER for this listing, u</w:t>
      </w:r>
      <w:r w:rsidRPr="00ED3190">
        <w:t xml:space="preserve">sing the economic model outlined in paragraph </w:t>
      </w:r>
      <w:r w:rsidRPr="00ED3190">
        <w:fldChar w:fldCharType="begin"/>
      </w:r>
      <w:r w:rsidRPr="00ED3190">
        <w:instrText xml:space="preserve"> REF _Ref164194093 \r \h </w:instrText>
      </w:r>
      <w:r w:rsidRPr="00ED3190">
        <w:fldChar w:fldCharType="separate"/>
      </w:r>
      <w:r w:rsidR="00A46CAC">
        <w:t>7.20</w:t>
      </w:r>
      <w:r w:rsidRPr="00ED3190">
        <w:fldChar w:fldCharType="end"/>
      </w:r>
      <w:r w:rsidRPr="00ED3190">
        <w:t>, and a price that results in an ICER of no more than $</w:t>
      </w:r>
      <w:r w:rsidR="001244DF">
        <w:t>15,000 to &lt; $25,000</w:t>
      </w:r>
      <w:r w:rsidRPr="00ED3190">
        <w:t>/QALY.</w:t>
      </w:r>
      <w:bookmarkEnd w:id="137"/>
      <w:r w:rsidRPr="00ED3190">
        <w:t xml:space="preserve"> </w:t>
      </w:r>
      <w:bookmarkStart w:id="138" w:name="_Hlk167900892"/>
      <w:r w:rsidRPr="00ED3190">
        <w:t>The PBAC noted that this analysis supported a price of no more than $</w:t>
      </w:r>
      <w:r w:rsidR="00B3542F" w:rsidRPr="00A46CAC">
        <w:rPr>
          <w:color w:val="000000"/>
          <w:w w:val="15"/>
          <w:shd w:val="solid" w:color="000000" w:fill="000000"/>
          <w:fitText w:val="-20" w:id="-931930365"/>
          <w14:textFill>
            <w14:solidFill>
              <w14:srgbClr w14:val="000000">
                <w14:alpha w14:val="100000"/>
              </w14:srgbClr>
            </w14:solidFill>
          </w14:textFill>
        </w:rPr>
        <w:t xml:space="preserve">|  </w:t>
      </w:r>
      <w:r w:rsidR="00B3542F" w:rsidRPr="00A46CAC">
        <w:rPr>
          <w:color w:val="000000"/>
          <w:spacing w:val="-69"/>
          <w:w w:val="15"/>
          <w:shd w:val="solid" w:color="000000" w:fill="000000"/>
          <w:fitText w:val="-20" w:id="-931930365"/>
          <w14:textFill>
            <w14:solidFill>
              <w14:srgbClr w14:val="000000">
                <w14:alpha w14:val="100000"/>
              </w14:srgbClr>
            </w14:solidFill>
          </w14:textFill>
        </w:rPr>
        <w:t>|</w:t>
      </w:r>
      <w:r w:rsidRPr="00ED3190">
        <w:t xml:space="preserve"> per dose of RSVpreF in order for the vaccine to be considered cost-effective.</w:t>
      </w:r>
      <w:bookmarkEnd w:id="138"/>
    </w:p>
    <w:p w14:paraId="3DD59AEA" w14:textId="77777777" w:rsidR="007164AD" w:rsidRPr="00ED3190" w:rsidRDefault="007164AD" w:rsidP="007164AD">
      <w:pPr>
        <w:pStyle w:val="3-BodyText"/>
        <w:ind w:left="709"/>
      </w:pPr>
      <w:r w:rsidRPr="00ED3190">
        <w:t>The PBAC noted that data on immunogenicity, efficacy and safety of vaccination with RSVpreF in subsequent pregnancies were not yet available. The updated ATAGI advice stated that ATAGI will review these data when available, and ATAGI will confirm its advice regarding vaccination in subsequent pregnancies in the Australian Immunisation Handbook when appropriate. The PBAC noted that the cost-effectiveness of maternal vaccination may need to be reconsidered if the efficacy in subsequent pregnancies is less than in the first.</w:t>
      </w:r>
    </w:p>
    <w:p w14:paraId="46A4D966" w14:textId="6E31B0D1" w:rsidR="007164AD" w:rsidRPr="00ED3190" w:rsidRDefault="007164AD" w:rsidP="007164AD">
      <w:pPr>
        <w:pStyle w:val="3-BodyText"/>
        <w:ind w:left="709"/>
      </w:pPr>
      <w:r w:rsidRPr="00ED3190">
        <w:t xml:space="preserve">The PBAC noted that the resubmission had recalculated the financial implications using the proposed RSVpreF price as requested, however the estimates would need to be recalculated using the cost-effective price based on the advice in paragraph </w:t>
      </w:r>
      <w:r w:rsidRPr="00ED3190">
        <w:fldChar w:fldCharType="begin"/>
      </w:r>
      <w:r w:rsidRPr="00ED3190">
        <w:instrText xml:space="preserve"> REF _Ref167396194 \r \h </w:instrText>
      </w:r>
      <w:r w:rsidRPr="00ED3190">
        <w:fldChar w:fldCharType="separate"/>
      </w:r>
      <w:r w:rsidR="00A46CAC">
        <w:t>14.7</w:t>
      </w:r>
      <w:r w:rsidRPr="00ED3190">
        <w:fldChar w:fldCharType="end"/>
      </w:r>
      <w:r w:rsidRPr="00ED3190">
        <w:t>.</w:t>
      </w:r>
    </w:p>
    <w:p w14:paraId="3D350874" w14:textId="77777777" w:rsidR="007164AD" w:rsidRPr="00ED3190" w:rsidRDefault="007164AD" w:rsidP="007164AD">
      <w:pPr>
        <w:pStyle w:val="3-BodyText"/>
        <w:rPr>
          <w:i/>
        </w:rPr>
      </w:pPr>
      <w:r w:rsidRPr="00ED3190">
        <w:t>The PBAC noted that this submission is not eligible for an Independent Review because it is only relevant to submissions requesting a listing (or change to a listing) on the PBS.</w:t>
      </w:r>
    </w:p>
    <w:p w14:paraId="36922148" w14:textId="77777777" w:rsidR="007164AD" w:rsidRPr="00ED3190" w:rsidRDefault="007164AD" w:rsidP="007164AD">
      <w:pPr>
        <w:spacing w:before="240"/>
        <w:rPr>
          <w:rFonts w:asciiTheme="minorHAnsi" w:hAnsiTheme="minorHAnsi"/>
          <w:b/>
          <w:bCs/>
          <w:snapToGrid w:val="0"/>
        </w:rPr>
      </w:pPr>
      <w:r w:rsidRPr="00ED3190">
        <w:rPr>
          <w:rFonts w:asciiTheme="minorHAnsi" w:hAnsiTheme="minorHAnsi"/>
          <w:b/>
          <w:bCs/>
          <w:snapToGrid w:val="0"/>
        </w:rPr>
        <w:t>Outcome:</w:t>
      </w:r>
    </w:p>
    <w:p w14:paraId="26B8F7CD" w14:textId="77777777" w:rsidR="00AE0C2A" w:rsidRDefault="007164AD" w:rsidP="00AE0C2A">
      <w:pPr>
        <w:rPr>
          <w:rFonts w:asciiTheme="minorHAnsi" w:hAnsiTheme="minorHAnsi"/>
          <w:bCs/>
          <w:snapToGrid w:val="0"/>
        </w:rPr>
      </w:pPr>
      <w:r w:rsidRPr="00ED3190">
        <w:rPr>
          <w:rFonts w:asciiTheme="minorHAnsi" w:hAnsiTheme="minorHAnsi"/>
          <w:bCs/>
          <w:snapToGrid w:val="0"/>
        </w:rPr>
        <w:t>Recommended</w:t>
      </w:r>
    </w:p>
    <w:p w14:paraId="508137E2" w14:textId="4D96A15B" w:rsidR="007164AD" w:rsidRPr="00ED3190" w:rsidRDefault="007164AD" w:rsidP="00AE0C2A">
      <w:pPr>
        <w:pStyle w:val="2-SectionHeading"/>
        <w:rPr>
          <w:snapToGrid/>
        </w:rPr>
      </w:pPr>
      <w:r w:rsidRPr="00ED3190">
        <w:rPr>
          <w:snapToGrid/>
        </w:rPr>
        <w:lastRenderedPageBreak/>
        <w:t>Recommended listing</w:t>
      </w:r>
    </w:p>
    <w:p w14:paraId="0849C035" w14:textId="77777777" w:rsidR="007164AD" w:rsidRPr="00ED3190" w:rsidRDefault="007164AD" w:rsidP="007164AD">
      <w:pPr>
        <w:keepNext/>
        <w:keepLines/>
        <w:widowControl w:val="0"/>
        <w:numPr>
          <w:ilvl w:val="1"/>
          <w:numId w:val="1"/>
        </w:numPr>
        <w:spacing w:before="120" w:after="120"/>
        <w:ind w:left="720" w:hanging="720"/>
        <w:rPr>
          <w:b/>
          <w:bCs/>
          <w:snapToGrid w:val="0"/>
        </w:rPr>
      </w:pPr>
      <w:r w:rsidRPr="00ED3190">
        <w:rPr>
          <w:bCs/>
          <w:snapToGrid w:val="0"/>
        </w:rPr>
        <w:t xml:space="preserve">Add new item to the Determination: </w:t>
      </w: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705"/>
        <w:gridCol w:w="809"/>
        <w:gridCol w:w="3930"/>
        <w:gridCol w:w="1573"/>
      </w:tblGrid>
      <w:tr w:rsidR="007164AD" w:rsidRPr="00ED3190" w14:paraId="0881DC90" w14:textId="77777777" w:rsidTr="00022AC7">
        <w:trPr>
          <w:tblHeader/>
        </w:trPr>
        <w:tc>
          <w:tcPr>
            <w:tcW w:w="0" w:type="auto"/>
            <w:tcBorders>
              <w:top w:val="single" w:sz="4" w:space="0" w:color="auto"/>
              <w:left w:val="single" w:sz="4" w:space="0" w:color="auto"/>
              <w:bottom w:val="single" w:sz="4" w:space="0" w:color="auto"/>
              <w:right w:val="single" w:sz="4" w:space="0" w:color="auto"/>
            </w:tcBorders>
          </w:tcPr>
          <w:p w14:paraId="105F6256" w14:textId="77777777" w:rsidR="007164AD" w:rsidRPr="00ED3190" w:rsidRDefault="007164AD" w:rsidP="00022AC7">
            <w:pPr>
              <w:pStyle w:val="TableHeading"/>
              <w:spacing w:line="276" w:lineRule="auto"/>
              <w:rPr>
                <w:rFonts w:eastAsiaTheme="minorEastAsia"/>
                <w:szCs w:val="20"/>
              </w:rPr>
            </w:pPr>
            <w:r w:rsidRPr="00ED3190">
              <w:rPr>
                <w:rFonts w:eastAsiaTheme="minorEastAsia"/>
                <w:szCs w:val="20"/>
              </w:rPr>
              <w:t>Vaccine and the circumstances in which vaccine may be provided</w:t>
            </w:r>
          </w:p>
        </w:tc>
        <w:tc>
          <w:tcPr>
            <w:tcW w:w="0" w:type="auto"/>
            <w:tcBorders>
              <w:top w:val="single" w:sz="4" w:space="0" w:color="auto"/>
              <w:left w:val="single" w:sz="4" w:space="0" w:color="auto"/>
              <w:bottom w:val="single" w:sz="4" w:space="0" w:color="auto"/>
              <w:right w:val="single" w:sz="4" w:space="0" w:color="auto"/>
            </w:tcBorders>
          </w:tcPr>
          <w:p w14:paraId="364C2FBF" w14:textId="77777777" w:rsidR="007164AD" w:rsidRPr="00ED3190" w:rsidRDefault="007164AD" w:rsidP="00022AC7">
            <w:pPr>
              <w:pStyle w:val="TableHeading"/>
              <w:spacing w:line="276" w:lineRule="auto"/>
              <w:rPr>
                <w:rFonts w:eastAsiaTheme="minorEastAsia"/>
                <w:szCs w:val="20"/>
              </w:rPr>
            </w:pPr>
            <w:r w:rsidRPr="00ED3190">
              <w:rPr>
                <w:rFonts w:eastAsiaTheme="minorEastAsia"/>
                <w:szCs w:val="20"/>
              </w:rPr>
              <w:t xml:space="preserve">Brand </w:t>
            </w:r>
          </w:p>
        </w:tc>
        <w:tc>
          <w:tcPr>
            <w:tcW w:w="0" w:type="auto"/>
            <w:tcBorders>
              <w:top w:val="single" w:sz="4" w:space="0" w:color="auto"/>
              <w:left w:val="single" w:sz="4" w:space="0" w:color="auto"/>
              <w:bottom w:val="single" w:sz="4" w:space="0" w:color="auto"/>
              <w:right w:val="single" w:sz="4" w:space="0" w:color="auto"/>
            </w:tcBorders>
          </w:tcPr>
          <w:p w14:paraId="23D07633" w14:textId="77777777" w:rsidR="007164AD" w:rsidRPr="00ED3190" w:rsidRDefault="007164AD" w:rsidP="00022AC7">
            <w:pPr>
              <w:pStyle w:val="TableHeading"/>
              <w:spacing w:line="276" w:lineRule="auto"/>
              <w:rPr>
                <w:rFonts w:eastAsiaTheme="minorEastAsia"/>
                <w:szCs w:val="20"/>
              </w:rPr>
            </w:pPr>
            <w:r w:rsidRPr="00ED3190">
              <w:rPr>
                <w:rFonts w:eastAsiaTheme="minorEastAsia"/>
                <w:szCs w:val="20"/>
              </w:rPr>
              <w:t xml:space="preserve">Formulation </w:t>
            </w:r>
          </w:p>
        </w:tc>
        <w:tc>
          <w:tcPr>
            <w:tcW w:w="0" w:type="auto"/>
            <w:tcBorders>
              <w:top w:val="single" w:sz="4" w:space="0" w:color="auto"/>
              <w:left w:val="single" w:sz="4" w:space="0" w:color="auto"/>
              <w:bottom w:val="single" w:sz="4" w:space="0" w:color="auto"/>
              <w:right w:val="single" w:sz="4" w:space="0" w:color="auto"/>
            </w:tcBorders>
          </w:tcPr>
          <w:p w14:paraId="0F5344C4" w14:textId="77777777" w:rsidR="007164AD" w:rsidRPr="00ED3190" w:rsidRDefault="007164AD" w:rsidP="00022AC7">
            <w:pPr>
              <w:pStyle w:val="TableHeading"/>
              <w:spacing w:line="276" w:lineRule="auto"/>
              <w:rPr>
                <w:rFonts w:eastAsiaTheme="minorEastAsia"/>
                <w:szCs w:val="20"/>
              </w:rPr>
            </w:pPr>
            <w:r w:rsidRPr="00ED3190">
              <w:rPr>
                <w:rFonts w:eastAsiaTheme="minorEastAsia"/>
                <w:szCs w:val="20"/>
              </w:rPr>
              <w:t>Number and timing of doses</w:t>
            </w:r>
          </w:p>
        </w:tc>
      </w:tr>
      <w:tr w:rsidR="007164AD" w:rsidRPr="00ED3190" w14:paraId="646624FE" w14:textId="77777777" w:rsidTr="00022AC7">
        <w:tc>
          <w:tcPr>
            <w:tcW w:w="0" w:type="auto"/>
            <w:tcBorders>
              <w:top w:val="single" w:sz="4" w:space="0" w:color="auto"/>
              <w:left w:val="single" w:sz="4" w:space="0" w:color="auto"/>
              <w:bottom w:val="single" w:sz="4" w:space="0" w:color="auto"/>
              <w:right w:val="single" w:sz="4" w:space="0" w:color="auto"/>
            </w:tcBorders>
          </w:tcPr>
          <w:p w14:paraId="78F72D1E" w14:textId="77777777" w:rsidR="007164AD" w:rsidRPr="00ED3190" w:rsidRDefault="007164AD" w:rsidP="00022AC7">
            <w:pPr>
              <w:pStyle w:val="TableText0"/>
              <w:spacing w:line="276" w:lineRule="auto"/>
              <w:rPr>
                <w:szCs w:val="20"/>
                <w:u w:val="single"/>
              </w:rPr>
            </w:pPr>
            <w:r w:rsidRPr="00ED3190">
              <w:rPr>
                <w:szCs w:val="20"/>
                <w:u w:val="single"/>
              </w:rPr>
              <w:t>Vaccine</w:t>
            </w:r>
          </w:p>
          <w:p w14:paraId="3D8AC991" w14:textId="77777777" w:rsidR="007164AD" w:rsidRPr="00ED3190" w:rsidRDefault="007164AD" w:rsidP="00022AC7">
            <w:pPr>
              <w:rPr>
                <w:rFonts w:ascii="Arial Narrow" w:eastAsiaTheme="minorEastAsia" w:hAnsi="Arial Narrow"/>
                <w:sz w:val="20"/>
                <w:szCs w:val="20"/>
                <w:lang w:eastAsia="en-US"/>
              </w:rPr>
            </w:pPr>
            <w:r w:rsidRPr="00ED3190">
              <w:rPr>
                <w:rFonts w:ascii="Arial Narrow" w:eastAsiaTheme="minorEastAsia" w:hAnsi="Arial Narrow"/>
                <w:sz w:val="20"/>
                <w:szCs w:val="20"/>
                <w:lang w:eastAsia="en-US"/>
              </w:rPr>
              <w:t>RSV stabilised prefusion F subunit vaccine (</w:t>
            </w:r>
            <w:r w:rsidRPr="00ED3190">
              <w:rPr>
                <w:rFonts w:ascii="Arial Narrow" w:hAnsi="Arial Narrow"/>
                <w:sz w:val="20"/>
                <w:szCs w:val="20"/>
              </w:rPr>
              <w:t>RSVpreF)</w:t>
            </w:r>
          </w:p>
          <w:p w14:paraId="10638849" w14:textId="77777777" w:rsidR="007164AD" w:rsidRPr="00ED3190" w:rsidRDefault="007164AD" w:rsidP="00022AC7">
            <w:pPr>
              <w:pStyle w:val="TableText0"/>
              <w:spacing w:line="276" w:lineRule="auto"/>
              <w:rPr>
                <w:rFonts w:eastAsiaTheme="minorEastAsia"/>
                <w:szCs w:val="20"/>
              </w:rPr>
            </w:pPr>
          </w:p>
          <w:p w14:paraId="55700C5E" w14:textId="77777777" w:rsidR="007164AD" w:rsidRPr="00ED3190" w:rsidRDefault="007164AD" w:rsidP="00022AC7">
            <w:pPr>
              <w:pStyle w:val="TableText0"/>
              <w:spacing w:line="276" w:lineRule="auto"/>
              <w:rPr>
                <w:rFonts w:eastAsiaTheme="minorEastAsia"/>
                <w:szCs w:val="20"/>
                <w:u w:val="single"/>
              </w:rPr>
            </w:pPr>
            <w:r w:rsidRPr="00ED3190">
              <w:rPr>
                <w:rFonts w:eastAsiaTheme="minorEastAsia"/>
                <w:szCs w:val="20"/>
                <w:u w:val="single"/>
              </w:rPr>
              <w:t>Circumstances</w:t>
            </w:r>
          </w:p>
          <w:p w14:paraId="469766A9" w14:textId="77777777" w:rsidR="007164AD" w:rsidRPr="00ED3190" w:rsidRDefault="007164AD" w:rsidP="00022AC7">
            <w:pPr>
              <w:pStyle w:val="TableText0"/>
              <w:spacing w:line="276" w:lineRule="auto"/>
              <w:rPr>
                <w:rFonts w:eastAsiaTheme="minorEastAsia"/>
                <w:szCs w:val="20"/>
              </w:rPr>
            </w:pPr>
            <w:r w:rsidRPr="00ED3190">
              <w:rPr>
                <w:rFonts w:eastAsiaTheme="minorEastAsia"/>
                <w:szCs w:val="20"/>
              </w:rPr>
              <w:t>Vaccine may be provided to a person who is pregnant</w:t>
            </w:r>
          </w:p>
        </w:tc>
        <w:tc>
          <w:tcPr>
            <w:tcW w:w="0" w:type="auto"/>
            <w:tcBorders>
              <w:top w:val="single" w:sz="4" w:space="0" w:color="auto"/>
              <w:left w:val="single" w:sz="4" w:space="0" w:color="auto"/>
              <w:bottom w:val="single" w:sz="4" w:space="0" w:color="auto"/>
              <w:right w:val="single" w:sz="4" w:space="0" w:color="auto"/>
            </w:tcBorders>
          </w:tcPr>
          <w:p w14:paraId="394A4C8B" w14:textId="77777777" w:rsidR="007164AD" w:rsidRPr="00ED3190" w:rsidRDefault="007164AD" w:rsidP="00022AC7">
            <w:pPr>
              <w:pStyle w:val="TableText0"/>
              <w:spacing w:line="276" w:lineRule="auto"/>
              <w:rPr>
                <w:rFonts w:eastAsiaTheme="minorEastAsia"/>
                <w:szCs w:val="20"/>
              </w:rPr>
            </w:pPr>
            <w:r w:rsidRPr="00ED3190">
              <w:rPr>
                <w:szCs w:val="20"/>
              </w:rPr>
              <w:t>Abrysvo</w:t>
            </w:r>
          </w:p>
        </w:tc>
        <w:tc>
          <w:tcPr>
            <w:tcW w:w="0" w:type="auto"/>
            <w:tcBorders>
              <w:top w:val="single" w:sz="4" w:space="0" w:color="auto"/>
              <w:left w:val="single" w:sz="4" w:space="0" w:color="auto"/>
              <w:bottom w:val="single" w:sz="4" w:space="0" w:color="auto"/>
              <w:right w:val="single" w:sz="4" w:space="0" w:color="auto"/>
            </w:tcBorders>
          </w:tcPr>
          <w:p w14:paraId="72674097" w14:textId="77777777" w:rsidR="007164AD" w:rsidRPr="00ED3190" w:rsidRDefault="007164AD" w:rsidP="00022AC7">
            <w:pPr>
              <w:pStyle w:val="TableText0"/>
              <w:spacing w:line="276" w:lineRule="auto"/>
              <w:rPr>
                <w:rFonts w:eastAsiaTheme="minorEastAsia"/>
                <w:szCs w:val="20"/>
              </w:rPr>
            </w:pPr>
            <w:r w:rsidRPr="00ED3190">
              <w:rPr>
                <w:szCs w:val="20"/>
              </w:rPr>
              <w:t xml:space="preserve">0.5 mL </w:t>
            </w:r>
            <w:r w:rsidRPr="00ED3190">
              <w:rPr>
                <w:rFonts w:eastAsiaTheme="minorEastAsia"/>
                <w:szCs w:val="20"/>
              </w:rPr>
              <w:t>containing 120 micrograms (mcg) of stabilised prefusion F protein</w:t>
            </w:r>
            <w:r w:rsidRPr="00ED3190">
              <w:rPr>
                <w:szCs w:val="20"/>
              </w:rPr>
              <w:t>s</w:t>
            </w:r>
            <w:r w:rsidRPr="00ED3190">
              <w:rPr>
                <w:rFonts w:eastAsiaTheme="minorEastAsia"/>
                <w:szCs w:val="20"/>
              </w:rPr>
              <w:t xml:space="preserve"> (60 mcg RSV-A and 60 mcg RSV-B antigens)</w:t>
            </w:r>
          </w:p>
        </w:tc>
        <w:tc>
          <w:tcPr>
            <w:tcW w:w="0" w:type="auto"/>
            <w:tcBorders>
              <w:top w:val="single" w:sz="4" w:space="0" w:color="auto"/>
              <w:left w:val="single" w:sz="4" w:space="0" w:color="auto"/>
              <w:bottom w:val="single" w:sz="4" w:space="0" w:color="auto"/>
              <w:right w:val="single" w:sz="4" w:space="0" w:color="auto"/>
            </w:tcBorders>
          </w:tcPr>
          <w:p w14:paraId="7E25E7B9" w14:textId="77777777" w:rsidR="007164AD" w:rsidRPr="00ED3190" w:rsidRDefault="007164AD" w:rsidP="00022AC7">
            <w:pPr>
              <w:pStyle w:val="TableText0"/>
              <w:spacing w:line="276" w:lineRule="auto"/>
              <w:rPr>
                <w:rFonts w:eastAsiaTheme="minorEastAsia"/>
                <w:szCs w:val="20"/>
              </w:rPr>
            </w:pPr>
            <w:r w:rsidRPr="00ED3190">
              <w:rPr>
                <w:rFonts w:eastAsiaTheme="minorEastAsia"/>
                <w:szCs w:val="20"/>
              </w:rPr>
              <w:t>1 dose at 28 to 36 weeks gestation*</w:t>
            </w:r>
          </w:p>
          <w:p w14:paraId="0F37A29D" w14:textId="77777777" w:rsidR="007164AD" w:rsidRPr="00ED3190" w:rsidRDefault="007164AD" w:rsidP="00022AC7">
            <w:pPr>
              <w:pStyle w:val="TableText0"/>
              <w:spacing w:line="276" w:lineRule="auto"/>
              <w:rPr>
                <w:rFonts w:eastAsiaTheme="minorEastAsia"/>
                <w:szCs w:val="20"/>
              </w:rPr>
            </w:pPr>
          </w:p>
        </w:tc>
      </w:tr>
    </w:tbl>
    <w:p w14:paraId="3DA61ACF" w14:textId="164C4CEE" w:rsidR="007164AD" w:rsidRPr="00ED3190" w:rsidRDefault="003955C4" w:rsidP="007164AD">
      <w:pPr>
        <w:pStyle w:val="FooterTableFigure"/>
      </w:pPr>
      <w:r>
        <w:t xml:space="preserve">Abbreviations: </w:t>
      </w:r>
      <w:r w:rsidR="007164AD" w:rsidRPr="00ED3190">
        <w:t>mcg = micrograms; RSV = respiratory syncytial virus; RSVpreF = RSV stabilised prefusion F subunit vaccine</w:t>
      </w:r>
    </w:p>
    <w:p w14:paraId="285F5EAD" w14:textId="77777777" w:rsidR="007164AD" w:rsidRPr="00ED3190" w:rsidRDefault="007164AD" w:rsidP="007164AD">
      <w:pPr>
        <w:pStyle w:val="FooterTableFigure"/>
      </w:pPr>
      <w:r w:rsidRPr="00ED3190">
        <w:t>* administration after 36 weeks is acceptable, noting two weeks between vaccination and birth are required for adequate transplacental transfer of maternal antibodies against RSV.</w:t>
      </w:r>
    </w:p>
    <w:p w14:paraId="2B5B2A84" w14:textId="4DBD1C0C" w:rsidR="007164AD" w:rsidRDefault="007164AD" w:rsidP="007164AD">
      <w:pPr>
        <w:pStyle w:val="3Bodytext"/>
        <w:ind w:left="0" w:firstLine="0"/>
        <w:rPr>
          <w:rFonts w:cs="Arial"/>
          <w:b/>
          <w:i/>
        </w:rPr>
      </w:pPr>
      <w:r w:rsidRPr="00ED3190">
        <w:rPr>
          <w:rFonts w:cs="Arial"/>
          <w:b/>
          <w:i/>
        </w:rPr>
        <w:t>This restriction may be subject to further review. Should there be any changes made to the restriction the Sponsor will be informed.</w:t>
      </w:r>
    </w:p>
    <w:p w14:paraId="531B96A1" w14:textId="122E2740" w:rsidR="003F7916" w:rsidRPr="00ED3A24" w:rsidRDefault="003F7916" w:rsidP="00ED3A24">
      <w:pPr>
        <w:pStyle w:val="2-SectionHeading"/>
        <w:rPr>
          <w:snapToGrid/>
        </w:rPr>
      </w:pPr>
      <w:r w:rsidRPr="00ED3A24">
        <w:rPr>
          <w:snapToGrid/>
        </w:rPr>
        <w:t>Context for Decision</w:t>
      </w:r>
    </w:p>
    <w:p w14:paraId="646E9386" w14:textId="77777777" w:rsidR="003F7916" w:rsidRPr="00061CBE" w:rsidRDefault="003F7916" w:rsidP="003F791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11E713F" w14:textId="74FDBB50" w:rsidR="003F7916" w:rsidRPr="00ED3A24" w:rsidRDefault="003F7916" w:rsidP="00ED3A24">
      <w:pPr>
        <w:pStyle w:val="2-SectionHeading"/>
        <w:rPr>
          <w:snapToGrid/>
        </w:rPr>
      </w:pPr>
      <w:r w:rsidRPr="00ED3A24">
        <w:rPr>
          <w:snapToGrid/>
        </w:rPr>
        <w:t>Sponsor’s Comment</w:t>
      </w:r>
    </w:p>
    <w:p w14:paraId="0EE415C1" w14:textId="01B53730" w:rsidR="00A304F9" w:rsidRPr="00AF2803" w:rsidRDefault="00A304F9" w:rsidP="00A304F9">
      <w:pPr>
        <w:ind w:left="720"/>
        <w:rPr>
          <w:bCs/>
        </w:rPr>
      </w:pPr>
      <w:r w:rsidRPr="00AF2803">
        <w:rPr>
          <w:bCs/>
        </w:rPr>
        <w:t xml:space="preserve">Pfizer Australia welcomes the PBAC recommendation that Abrysvo® be a designated vaccine on the National Immunisation Program (NIP) for the prevention of lower respiratory tract illness (LRTI) caused by respiratory syncytial virus (RSV) in infants from birth through 6 months of age by active immunisation of pregnant women; however, </w:t>
      </w:r>
      <w:r w:rsidRPr="005E039F">
        <w:rPr>
          <w:bCs/>
        </w:rPr>
        <w:t xml:space="preserve">we are disappointed with the PBAC’s economic evaluation of </w:t>
      </w:r>
      <w:r w:rsidRPr="00666197">
        <w:rPr>
          <w:bCs/>
        </w:rPr>
        <w:t>Abrysvo.</w:t>
      </w:r>
    </w:p>
    <w:p w14:paraId="4DB1431F" w14:textId="77777777" w:rsidR="00A304F9" w:rsidRDefault="00A304F9" w:rsidP="00A304F9">
      <w:pPr>
        <w:ind w:left="720"/>
        <w:rPr>
          <w:bCs/>
        </w:rPr>
      </w:pPr>
    </w:p>
    <w:p w14:paraId="48B2AE99" w14:textId="63B5BA19" w:rsidR="00A304F9" w:rsidRPr="003F7916" w:rsidRDefault="00A304F9" w:rsidP="00A304F9">
      <w:pPr>
        <w:ind w:left="720"/>
        <w:rPr>
          <w:bCs/>
        </w:rPr>
      </w:pPr>
      <w:r w:rsidRPr="00AF2803">
        <w:rPr>
          <w:bCs/>
        </w:rPr>
        <w:t>Pfizer Australia supports rapid implementation of a maternal vaccination program and remains committed to ensuring all pregnant women have equitable and affordable access to this vaccine as soon as possible</w:t>
      </w:r>
      <w:r>
        <w:rPr>
          <w:bCs/>
        </w:rPr>
        <w:t>.</w:t>
      </w:r>
    </w:p>
    <w:sectPr w:rsidR="00A304F9" w:rsidRPr="003F7916" w:rsidSect="00756A9B">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F528" w14:textId="77777777" w:rsidR="00BF2327" w:rsidRDefault="00BF2327" w:rsidP="00124A51">
      <w:r>
        <w:separator/>
      </w:r>
    </w:p>
    <w:p w14:paraId="27E7A705" w14:textId="77777777" w:rsidR="00BF2327" w:rsidRDefault="00BF2327"/>
  </w:endnote>
  <w:endnote w:type="continuationSeparator" w:id="0">
    <w:p w14:paraId="666464F0" w14:textId="77777777" w:rsidR="00BF2327" w:rsidRDefault="00BF2327" w:rsidP="00124A51">
      <w:r>
        <w:continuationSeparator/>
      </w:r>
    </w:p>
    <w:p w14:paraId="34812A46" w14:textId="77777777" w:rsidR="00BF2327" w:rsidRDefault="00BF2327"/>
  </w:endnote>
  <w:endnote w:type="continuationNotice" w:id="1">
    <w:p w14:paraId="520ABEB7" w14:textId="77777777" w:rsidR="00BF2327" w:rsidRDefault="00BF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688" w14:textId="77777777" w:rsidR="00575AA1" w:rsidRDefault="00575AA1" w:rsidP="00753B29">
    <w:pPr>
      <w:pStyle w:val="Footer"/>
      <w:jc w:val="center"/>
    </w:pPr>
  </w:p>
  <w:p w14:paraId="4128D726" w14:textId="0FADC7BA" w:rsidR="00575AA1" w:rsidRPr="007C1CD9" w:rsidRDefault="00A46CAC" w:rsidP="00753B29">
    <w:pPr>
      <w:pStyle w:val="Footer"/>
      <w:jc w:val="center"/>
    </w:pPr>
    <w:sdt>
      <w:sdtPr>
        <w:id w:val="1036156457"/>
        <w:docPartObj>
          <w:docPartGallery w:val="Page Numbers (Bottom of Page)"/>
          <w:docPartUnique/>
        </w:docPartObj>
      </w:sdtPr>
      <w:sdtEndPr>
        <w:rPr>
          <w:noProof/>
        </w:rPr>
      </w:sdtEndPr>
      <w:sdtContent>
        <w:r w:rsidR="00575AA1" w:rsidRPr="00CB5ECD">
          <w:rPr>
            <w:b/>
            <w:bCs/>
          </w:rPr>
          <w:fldChar w:fldCharType="begin"/>
        </w:r>
        <w:r w:rsidR="00575AA1" w:rsidRPr="00CB5ECD">
          <w:rPr>
            <w:b/>
            <w:bCs/>
          </w:rPr>
          <w:instrText xml:space="preserve"> PAGE   \* MERGEFORMAT </w:instrText>
        </w:r>
        <w:r w:rsidR="00575AA1" w:rsidRPr="00CB5ECD">
          <w:rPr>
            <w:b/>
            <w:bCs/>
          </w:rPr>
          <w:fldChar w:fldCharType="separate"/>
        </w:r>
        <w:r w:rsidR="00684A5C" w:rsidRPr="00CB5ECD">
          <w:rPr>
            <w:b/>
            <w:bCs/>
            <w:noProof/>
          </w:rPr>
          <w:t>i</w:t>
        </w:r>
        <w:r w:rsidR="00575AA1" w:rsidRPr="00CB5ECD">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9295" w14:textId="77777777" w:rsidR="00BF2327" w:rsidRDefault="00BF2327" w:rsidP="00124A51">
      <w:r>
        <w:separator/>
      </w:r>
    </w:p>
    <w:p w14:paraId="7EC95A22" w14:textId="77777777" w:rsidR="00BF2327" w:rsidRDefault="00BF2327"/>
  </w:footnote>
  <w:footnote w:type="continuationSeparator" w:id="0">
    <w:p w14:paraId="779B14AD" w14:textId="77777777" w:rsidR="00BF2327" w:rsidRDefault="00BF2327" w:rsidP="00124A51">
      <w:r>
        <w:continuationSeparator/>
      </w:r>
    </w:p>
    <w:p w14:paraId="137539AB" w14:textId="77777777" w:rsidR="00BF2327" w:rsidRDefault="00BF2327"/>
  </w:footnote>
  <w:footnote w:type="continuationNotice" w:id="1">
    <w:p w14:paraId="0568FA41" w14:textId="77777777" w:rsidR="00BF2327" w:rsidRDefault="00BF2327"/>
  </w:footnote>
  <w:footnote w:id="2">
    <w:p w14:paraId="56C6341F" w14:textId="18B887E0" w:rsidR="00F1459A" w:rsidRPr="00023554" w:rsidRDefault="00F1459A" w:rsidP="00F1459A">
      <w:pPr>
        <w:pStyle w:val="FootnoteText"/>
        <w:rPr>
          <w:rFonts w:ascii="Arial Narrow" w:hAnsi="Arial Narrow"/>
          <w:sz w:val="18"/>
          <w:szCs w:val="18"/>
        </w:rPr>
      </w:pPr>
      <w:r w:rsidRPr="00023554">
        <w:rPr>
          <w:rStyle w:val="FootnoteReference"/>
          <w:rFonts w:ascii="Arial Narrow" w:hAnsi="Arial Narrow"/>
          <w:sz w:val="18"/>
          <w:szCs w:val="18"/>
        </w:rPr>
        <w:footnoteRef/>
      </w:r>
      <w:r w:rsidRPr="00023554">
        <w:rPr>
          <w:rFonts w:ascii="Arial Narrow" w:hAnsi="Arial Narrow"/>
          <w:sz w:val="18"/>
          <w:szCs w:val="18"/>
        </w:rPr>
        <w:t xml:space="preserve"> </w:t>
      </w:r>
      <w:r w:rsidRPr="00023554">
        <w:rPr>
          <w:rFonts w:ascii="Arial Narrow" w:hAnsi="Arial Narrow"/>
          <w:noProof/>
          <w:sz w:val="18"/>
          <w:szCs w:val="18"/>
        </w:rPr>
        <w:t>Ranmuthugala</w:t>
      </w:r>
      <w:r w:rsidR="003D7D35">
        <w:rPr>
          <w:rFonts w:ascii="Arial Narrow" w:hAnsi="Arial Narrow"/>
          <w:noProof/>
          <w:sz w:val="18"/>
          <w:szCs w:val="18"/>
        </w:rPr>
        <w:t xml:space="preserve"> G,</w:t>
      </w:r>
      <w:r w:rsidRPr="00023554">
        <w:rPr>
          <w:rFonts w:ascii="Arial Narrow" w:hAnsi="Arial Narrow"/>
          <w:noProof/>
          <w:sz w:val="18"/>
          <w:szCs w:val="18"/>
        </w:rPr>
        <w:t xml:space="preserve"> </w:t>
      </w:r>
      <w:r w:rsidR="003D7D35">
        <w:rPr>
          <w:rFonts w:ascii="Arial Narrow" w:hAnsi="Arial Narrow"/>
          <w:noProof/>
          <w:sz w:val="18"/>
          <w:szCs w:val="18"/>
        </w:rPr>
        <w:t xml:space="preserve">Brown </w:t>
      </w:r>
      <w:r w:rsidRPr="00023554">
        <w:rPr>
          <w:rFonts w:ascii="Arial Narrow" w:hAnsi="Arial Narrow"/>
          <w:noProof/>
          <w:sz w:val="18"/>
          <w:szCs w:val="18"/>
        </w:rPr>
        <w:t>L, Lidbury</w:t>
      </w:r>
      <w:r w:rsidR="003D7D35">
        <w:rPr>
          <w:rFonts w:ascii="Arial Narrow" w:hAnsi="Arial Narrow"/>
          <w:noProof/>
          <w:sz w:val="18"/>
          <w:szCs w:val="18"/>
        </w:rPr>
        <w:t xml:space="preserve"> BA</w:t>
      </w:r>
      <w:r w:rsidR="00DB288D">
        <w:rPr>
          <w:rFonts w:ascii="Arial Narrow" w:hAnsi="Arial Narrow"/>
          <w:noProof/>
          <w:sz w:val="18"/>
          <w:szCs w:val="18"/>
        </w:rPr>
        <w:t>,</w:t>
      </w:r>
      <w:r w:rsidRPr="00023554">
        <w:rPr>
          <w:rFonts w:ascii="Arial Narrow" w:hAnsi="Arial Narrow"/>
          <w:noProof/>
          <w:sz w:val="18"/>
          <w:szCs w:val="18"/>
        </w:rPr>
        <w:t xml:space="preserve"> </w:t>
      </w:r>
      <w:r w:rsidR="00DB288D">
        <w:rPr>
          <w:rFonts w:ascii="Arial Narrow" w:hAnsi="Arial Narrow"/>
          <w:noProof/>
          <w:sz w:val="18"/>
          <w:szCs w:val="18"/>
        </w:rPr>
        <w:t>(2011),</w:t>
      </w:r>
      <w:r w:rsidRPr="00023554">
        <w:rPr>
          <w:rFonts w:ascii="Arial Narrow" w:hAnsi="Arial Narrow"/>
          <w:noProof/>
          <w:sz w:val="18"/>
          <w:szCs w:val="18"/>
        </w:rPr>
        <w:t xml:space="preserve">Respiratory syncytial virus – the unrecognised cause of health and economic burden among young children in Australia. </w:t>
      </w:r>
      <w:r w:rsidRPr="00023554">
        <w:rPr>
          <w:rFonts w:ascii="Arial Narrow" w:hAnsi="Arial Narrow"/>
          <w:i/>
          <w:noProof/>
          <w:sz w:val="18"/>
          <w:szCs w:val="18"/>
        </w:rPr>
        <w:t>Communicable Diseases Intelligence</w:t>
      </w:r>
      <w:r w:rsidRPr="00023554">
        <w:rPr>
          <w:rFonts w:ascii="Arial Narrow" w:hAnsi="Arial Narrow"/>
          <w:noProof/>
          <w:sz w:val="18"/>
          <w:szCs w:val="18"/>
        </w:rPr>
        <w:t>;35(2)</w:t>
      </w:r>
    </w:p>
  </w:footnote>
  <w:footnote w:id="3">
    <w:p w14:paraId="6781CF56" w14:textId="6A3D02CA" w:rsidR="00887899" w:rsidRPr="00FA2DA6" w:rsidRDefault="00887899" w:rsidP="00887899">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Homaira N, Oei JL, Mallitt KA, Abdel-Latif ME, Hilder L, Bajuk B, et al. (2016) High burden of RSV hospitalization in very young children: a data linkage study. </w:t>
      </w:r>
      <w:r w:rsidRPr="00FA2DA6">
        <w:rPr>
          <w:rFonts w:ascii="Arial Narrow" w:hAnsi="Arial Narrow"/>
          <w:i/>
          <w:iCs/>
          <w:sz w:val="18"/>
          <w:szCs w:val="18"/>
        </w:rPr>
        <w:t>Epidemiol Infect</w:t>
      </w:r>
      <w:r w:rsidRPr="00FA2DA6">
        <w:rPr>
          <w:rFonts w:ascii="Arial Narrow" w:hAnsi="Arial Narrow"/>
          <w:sz w:val="18"/>
          <w:szCs w:val="18"/>
        </w:rPr>
        <w:t>. 2016 Jun;144(8):1612-21.</w:t>
      </w:r>
    </w:p>
  </w:footnote>
  <w:footnote w:id="4">
    <w:p w14:paraId="19146165" w14:textId="3B60F64A" w:rsidR="00AC3471" w:rsidRPr="00FA2DA6" w:rsidRDefault="00AC3471">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Le H, Gidding H, Blyth CC, Richmond P, Moore HC. Pneumococcal Conjugate Vaccines Are Protective Against Respiratory Syncytial Virus Hospitalizations in Infants: A Population-Based Observational Study. Open Forum Infect Dis. 2023;10(4):ofad199. Published 2023 Apr 19.</w:t>
      </w:r>
    </w:p>
  </w:footnote>
  <w:footnote w:id="5">
    <w:p w14:paraId="0CCA6640" w14:textId="56D480B0" w:rsidR="00F1459A" w:rsidRPr="00FA2DA6"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 xml:space="preserve">Smith DK, Seales S, Budzik C. </w:t>
      </w:r>
      <w:r w:rsidR="00DB288D" w:rsidRPr="00FA2DA6">
        <w:rPr>
          <w:rFonts w:ascii="Arial Narrow" w:hAnsi="Arial Narrow"/>
          <w:noProof/>
          <w:sz w:val="18"/>
          <w:szCs w:val="18"/>
        </w:rPr>
        <w:t xml:space="preserve">(2017), </w:t>
      </w:r>
      <w:r w:rsidRPr="00FA2DA6">
        <w:rPr>
          <w:rFonts w:ascii="Arial Narrow" w:hAnsi="Arial Narrow"/>
          <w:noProof/>
          <w:sz w:val="18"/>
          <w:szCs w:val="18"/>
        </w:rPr>
        <w:t xml:space="preserve">Respiratory Syncytial Virus Bronchiolitis in Children. </w:t>
      </w:r>
      <w:r w:rsidRPr="00FA2DA6">
        <w:rPr>
          <w:rFonts w:ascii="Arial Narrow" w:hAnsi="Arial Narrow"/>
          <w:i/>
          <w:noProof/>
          <w:sz w:val="18"/>
          <w:szCs w:val="18"/>
        </w:rPr>
        <w:t>Am Fam Physician</w:t>
      </w:r>
      <w:r w:rsidRPr="00FA2DA6">
        <w:rPr>
          <w:rFonts w:ascii="Arial Narrow" w:hAnsi="Arial Narrow"/>
          <w:noProof/>
          <w:sz w:val="18"/>
          <w:szCs w:val="18"/>
        </w:rPr>
        <w:t>.95(2):</w:t>
      </w:r>
      <w:r w:rsidR="00DB288D" w:rsidRPr="00FA2DA6">
        <w:rPr>
          <w:rFonts w:ascii="Arial Narrow" w:hAnsi="Arial Narrow"/>
          <w:noProof/>
          <w:sz w:val="18"/>
          <w:szCs w:val="18"/>
        </w:rPr>
        <w:t>pp</w:t>
      </w:r>
      <w:r w:rsidRPr="00FA2DA6">
        <w:rPr>
          <w:rFonts w:ascii="Arial Narrow" w:hAnsi="Arial Narrow"/>
          <w:noProof/>
          <w:sz w:val="18"/>
          <w:szCs w:val="18"/>
        </w:rPr>
        <w:t>94-9</w:t>
      </w:r>
    </w:p>
  </w:footnote>
  <w:footnote w:id="6">
    <w:p w14:paraId="4BC168AF" w14:textId="3159CE62" w:rsidR="00F1459A" w:rsidRPr="00FA2DA6"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Havdal LB, Bøås H, Bekkevold T, Bakken Kran A-M, Rojahn AE, Størdal K, et al.</w:t>
      </w:r>
      <w:r w:rsidR="00DB288D" w:rsidRPr="00FA2DA6">
        <w:rPr>
          <w:rFonts w:ascii="Arial Narrow" w:hAnsi="Arial Narrow"/>
          <w:noProof/>
          <w:sz w:val="18"/>
          <w:szCs w:val="18"/>
        </w:rPr>
        <w:t xml:space="preserve"> (2022),</w:t>
      </w:r>
      <w:r w:rsidRPr="00FA2DA6">
        <w:rPr>
          <w:rFonts w:ascii="Arial Narrow" w:hAnsi="Arial Narrow"/>
          <w:noProof/>
          <w:sz w:val="18"/>
          <w:szCs w:val="18"/>
        </w:rPr>
        <w:t xml:space="preserve"> Risk factors associated with severe disease in respiratory syncytial virus infected children under 5 years of age. </w:t>
      </w:r>
      <w:r w:rsidRPr="00FA2DA6">
        <w:rPr>
          <w:rFonts w:ascii="Arial Narrow" w:hAnsi="Arial Narrow"/>
          <w:i/>
          <w:noProof/>
          <w:sz w:val="18"/>
          <w:szCs w:val="18"/>
        </w:rPr>
        <w:t>Frontiers in Pediatrics</w:t>
      </w:r>
      <w:r w:rsidRPr="00FA2DA6">
        <w:rPr>
          <w:rFonts w:ascii="Arial Narrow" w:hAnsi="Arial Narrow"/>
          <w:noProof/>
          <w:sz w:val="18"/>
          <w:szCs w:val="18"/>
        </w:rPr>
        <w:t>.</w:t>
      </w:r>
      <w:r w:rsidR="00DB288D" w:rsidRPr="00FA2DA6">
        <w:rPr>
          <w:rFonts w:ascii="Arial Narrow" w:hAnsi="Arial Narrow"/>
          <w:noProof/>
          <w:sz w:val="18"/>
          <w:szCs w:val="18"/>
        </w:rPr>
        <w:t xml:space="preserve"> </w:t>
      </w:r>
      <w:r w:rsidRPr="00FA2DA6">
        <w:rPr>
          <w:rFonts w:ascii="Arial Narrow" w:hAnsi="Arial Narrow"/>
          <w:noProof/>
          <w:sz w:val="18"/>
          <w:szCs w:val="18"/>
        </w:rPr>
        <w:t>30;</w:t>
      </w:r>
      <w:r w:rsidR="00DB288D" w:rsidRPr="00FA2DA6">
        <w:rPr>
          <w:rFonts w:ascii="Arial Narrow" w:hAnsi="Arial Narrow"/>
          <w:noProof/>
          <w:sz w:val="18"/>
          <w:szCs w:val="18"/>
        </w:rPr>
        <w:t>p</w:t>
      </w:r>
      <w:r w:rsidRPr="00FA2DA6">
        <w:rPr>
          <w:rFonts w:ascii="Arial Narrow" w:hAnsi="Arial Narrow"/>
          <w:noProof/>
          <w:sz w:val="18"/>
          <w:szCs w:val="18"/>
        </w:rPr>
        <w:t>10</w:t>
      </w:r>
    </w:p>
  </w:footnote>
  <w:footnote w:id="7">
    <w:p w14:paraId="55D9EDB2" w14:textId="0C98D22C" w:rsidR="00F1459A" w:rsidRPr="00FA2DA6"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Jain H SJ, Justice NA.</w:t>
      </w:r>
      <w:r w:rsidR="00DB288D" w:rsidRPr="00FA2DA6">
        <w:rPr>
          <w:rFonts w:ascii="Arial Narrow" w:hAnsi="Arial Narrow"/>
          <w:noProof/>
          <w:sz w:val="18"/>
          <w:szCs w:val="18"/>
        </w:rPr>
        <w:t xml:space="preserve"> (2023),</w:t>
      </w:r>
      <w:r w:rsidRPr="00FA2DA6">
        <w:rPr>
          <w:rFonts w:ascii="Arial Narrow" w:hAnsi="Arial Narrow"/>
          <w:noProof/>
          <w:sz w:val="18"/>
          <w:szCs w:val="18"/>
        </w:rPr>
        <w:t xml:space="preserve"> Respiratory Syncytial Virus Infection in Children. </w:t>
      </w:r>
      <w:r w:rsidRPr="00FA2DA6">
        <w:rPr>
          <w:rFonts w:ascii="Arial Narrow" w:hAnsi="Arial Narrow"/>
          <w:i/>
          <w:noProof/>
          <w:sz w:val="18"/>
          <w:szCs w:val="18"/>
        </w:rPr>
        <w:t>In: StatPearls [Internet] Treasure Island (FL): StatPearls Publishing; Available from: https://wwwncbinlmnihgov/books/NBK459215/</w:t>
      </w:r>
      <w:r w:rsidRPr="00FA2DA6">
        <w:rPr>
          <w:rFonts w:ascii="Arial Narrow" w:hAnsi="Arial Narrow"/>
          <w:noProof/>
          <w:sz w:val="18"/>
          <w:szCs w:val="18"/>
        </w:rPr>
        <w:t>. 2023</w:t>
      </w:r>
    </w:p>
  </w:footnote>
  <w:footnote w:id="8">
    <w:p w14:paraId="2480A3A0" w14:textId="478C150D" w:rsidR="00F1459A" w:rsidRPr="00FA2DA6"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Jacoby P, Glass K, Moore HC.</w:t>
      </w:r>
      <w:r w:rsidR="00DB288D" w:rsidRPr="00FA2DA6">
        <w:rPr>
          <w:rFonts w:ascii="Arial Narrow" w:hAnsi="Arial Narrow"/>
          <w:noProof/>
          <w:sz w:val="18"/>
          <w:szCs w:val="18"/>
        </w:rPr>
        <w:t xml:space="preserve"> (2017),</w:t>
      </w:r>
      <w:r w:rsidRPr="00FA2DA6">
        <w:rPr>
          <w:rFonts w:ascii="Arial Narrow" w:hAnsi="Arial Narrow"/>
          <w:noProof/>
          <w:sz w:val="18"/>
          <w:szCs w:val="18"/>
        </w:rPr>
        <w:t xml:space="preserve"> Characterizing the risk of respiratory syncytial virus in infants with older siblings: a population-based birth cohort study. </w:t>
      </w:r>
      <w:r w:rsidRPr="00FA2DA6">
        <w:rPr>
          <w:rFonts w:ascii="Arial Narrow" w:hAnsi="Arial Narrow"/>
          <w:i/>
          <w:noProof/>
          <w:sz w:val="18"/>
          <w:szCs w:val="18"/>
        </w:rPr>
        <w:t>Epidemiol Infect</w:t>
      </w:r>
      <w:r w:rsidRPr="00FA2DA6">
        <w:rPr>
          <w:rFonts w:ascii="Arial Narrow" w:hAnsi="Arial Narrow"/>
          <w:noProof/>
          <w:sz w:val="18"/>
          <w:szCs w:val="18"/>
        </w:rPr>
        <w:t>.</w:t>
      </w:r>
      <w:r w:rsidR="00DB288D" w:rsidRPr="00FA2DA6">
        <w:rPr>
          <w:rFonts w:ascii="Arial Narrow" w:hAnsi="Arial Narrow"/>
          <w:noProof/>
          <w:sz w:val="18"/>
          <w:szCs w:val="18"/>
        </w:rPr>
        <w:t xml:space="preserve"> </w:t>
      </w:r>
      <w:r w:rsidRPr="00FA2DA6">
        <w:rPr>
          <w:rFonts w:ascii="Arial Narrow" w:hAnsi="Arial Narrow"/>
          <w:noProof/>
          <w:sz w:val="18"/>
          <w:szCs w:val="18"/>
        </w:rPr>
        <w:t>145(2):</w:t>
      </w:r>
      <w:r w:rsidR="00DB288D" w:rsidRPr="00FA2DA6">
        <w:rPr>
          <w:rFonts w:ascii="Arial Narrow" w:hAnsi="Arial Narrow"/>
          <w:noProof/>
          <w:sz w:val="18"/>
          <w:szCs w:val="18"/>
        </w:rPr>
        <w:t>pp</w:t>
      </w:r>
      <w:r w:rsidRPr="00FA2DA6">
        <w:rPr>
          <w:rFonts w:ascii="Arial Narrow" w:hAnsi="Arial Narrow"/>
          <w:noProof/>
          <w:sz w:val="18"/>
          <w:szCs w:val="18"/>
        </w:rPr>
        <w:t>266-71</w:t>
      </w:r>
    </w:p>
  </w:footnote>
  <w:footnote w:id="9">
    <w:p w14:paraId="7612026B" w14:textId="5EC8FADD" w:rsidR="00F1459A" w:rsidRPr="00FA2DA6"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 xml:space="preserve">Hall CB, Weinberg GA, Blumkin AK, Edwards KM, Staat MA, Schultz AF, et al. </w:t>
      </w:r>
      <w:r w:rsidR="00DB288D" w:rsidRPr="00FA2DA6">
        <w:rPr>
          <w:rFonts w:ascii="Arial Narrow" w:hAnsi="Arial Narrow"/>
          <w:noProof/>
          <w:sz w:val="18"/>
          <w:szCs w:val="18"/>
        </w:rPr>
        <w:t xml:space="preserve">(2013), </w:t>
      </w:r>
      <w:r w:rsidRPr="00FA2DA6">
        <w:rPr>
          <w:rFonts w:ascii="Arial Narrow" w:hAnsi="Arial Narrow"/>
          <w:noProof/>
          <w:sz w:val="18"/>
          <w:szCs w:val="18"/>
        </w:rPr>
        <w:t xml:space="preserve">Respiratory syncytial virus-associated hospitalizations among children less than 24 months of age. </w:t>
      </w:r>
      <w:r w:rsidRPr="00FA2DA6">
        <w:rPr>
          <w:rFonts w:ascii="Arial Narrow" w:hAnsi="Arial Narrow"/>
          <w:i/>
          <w:noProof/>
          <w:sz w:val="18"/>
          <w:szCs w:val="18"/>
        </w:rPr>
        <w:t>Pediatrics</w:t>
      </w:r>
      <w:r w:rsidRPr="00FA2DA6">
        <w:rPr>
          <w:rFonts w:ascii="Arial Narrow" w:hAnsi="Arial Narrow"/>
          <w:noProof/>
          <w:sz w:val="18"/>
          <w:szCs w:val="18"/>
        </w:rPr>
        <w:t>.132(2):e341-8</w:t>
      </w:r>
    </w:p>
  </w:footnote>
  <w:footnote w:id="10">
    <w:p w14:paraId="2BF3C626" w14:textId="6DD2854E" w:rsidR="00F1459A" w:rsidRPr="003F68A8" w:rsidRDefault="00F1459A" w:rsidP="00F1459A">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Hause AM, Avadhanula V, Maccato ML, Pinell PM, Bond N, Santarcangelo P, et al.</w:t>
      </w:r>
      <w:r w:rsidR="00DB288D" w:rsidRPr="00FA2DA6">
        <w:rPr>
          <w:rFonts w:ascii="Arial Narrow" w:hAnsi="Arial Narrow"/>
          <w:noProof/>
          <w:sz w:val="18"/>
          <w:szCs w:val="18"/>
        </w:rPr>
        <w:t xml:space="preserve"> (2019),</w:t>
      </w:r>
      <w:r w:rsidRPr="00FA2DA6">
        <w:rPr>
          <w:rFonts w:ascii="Arial Narrow" w:hAnsi="Arial Narrow"/>
          <w:noProof/>
          <w:sz w:val="18"/>
          <w:szCs w:val="18"/>
        </w:rPr>
        <w:t xml:space="preserve"> Clinical characteristics and outcomes of respiratory syncytial virus infection in pregnant women. </w:t>
      </w:r>
      <w:r w:rsidRPr="00FA2DA6">
        <w:rPr>
          <w:rFonts w:ascii="Arial Narrow" w:hAnsi="Arial Narrow"/>
          <w:i/>
          <w:noProof/>
          <w:sz w:val="18"/>
          <w:szCs w:val="18"/>
        </w:rPr>
        <w:t>Vaccine</w:t>
      </w:r>
      <w:r w:rsidRPr="00FA2DA6">
        <w:rPr>
          <w:rFonts w:ascii="Arial Narrow" w:hAnsi="Arial Narrow"/>
          <w:noProof/>
          <w:sz w:val="18"/>
          <w:szCs w:val="18"/>
        </w:rPr>
        <w:t>. 37(26):</w:t>
      </w:r>
      <w:r w:rsidR="00DB288D" w:rsidRPr="00FA2DA6">
        <w:rPr>
          <w:rFonts w:ascii="Arial Narrow" w:hAnsi="Arial Narrow"/>
          <w:noProof/>
          <w:sz w:val="18"/>
          <w:szCs w:val="18"/>
        </w:rPr>
        <w:t>pp</w:t>
      </w:r>
      <w:r w:rsidRPr="00FA2DA6">
        <w:rPr>
          <w:rFonts w:ascii="Arial Narrow" w:hAnsi="Arial Narrow"/>
          <w:noProof/>
          <w:sz w:val="18"/>
          <w:szCs w:val="18"/>
        </w:rPr>
        <w:t>3464-71</w:t>
      </w:r>
    </w:p>
  </w:footnote>
  <w:footnote w:id="11">
    <w:p w14:paraId="42055C46" w14:textId="7F3F08A9" w:rsidR="00F1459A" w:rsidRPr="003F68A8" w:rsidRDefault="00F1459A" w:rsidP="00F1459A">
      <w:pPr>
        <w:pStyle w:val="FootnoteText"/>
        <w:rPr>
          <w:rFonts w:ascii="Arial Narrow" w:hAnsi="Arial Narrow"/>
          <w:sz w:val="18"/>
          <w:szCs w:val="18"/>
        </w:rPr>
      </w:pPr>
      <w:r w:rsidRPr="003F68A8">
        <w:rPr>
          <w:rStyle w:val="FootnoteReference"/>
          <w:rFonts w:ascii="Arial Narrow" w:hAnsi="Arial Narrow"/>
          <w:sz w:val="18"/>
          <w:szCs w:val="18"/>
        </w:rPr>
        <w:footnoteRef/>
      </w:r>
      <w:r w:rsidRPr="003F68A8">
        <w:rPr>
          <w:rFonts w:ascii="Arial Narrow" w:hAnsi="Arial Narrow"/>
          <w:sz w:val="18"/>
          <w:szCs w:val="18"/>
        </w:rPr>
        <w:t xml:space="preserve"> </w:t>
      </w:r>
      <w:r w:rsidRPr="003F68A8">
        <w:rPr>
          <w:rFonts w:ascii="Arial Narrow" w:hAnsi="Arial Narrow"/>
          <w:noProof/>
          <w:sz w:val="18"/>
          <w:szCs w:val="18"/>
        </w:rPr>
        <w:t xml:space="preserve">Staadegaard L, Caini S, Wangchuk S, Thapa B, de Almeida WAF, de Carvalho FC, et al. </w:t>
      </w:r>
      <w:r w:rsidR="00DB288D">
        <w:rPr>
          <w:rFonts w:ascii="Arial Narrow" w:hAnsi="Arial Narrow"/>
          <w:noProof/>
          <w:sz w:val="18"/>
          <w:szCs w:val="18"/>
        </w:rPr>
        <w:t xml:space="preserve">(2021), </w:t>
      </w:r>
      <w:r w:rsidRPr="003F68A8">
        <w:rPr>
          <w:rFonts w:ascii="Arial Narrow" w:hAnsi="Arial Narrow"/>
          <w:noProof/>
          <w:sz w:val="18"/>
          <w:szCs w:val="18"/>
        </w:rPr>
        <w:t xml:space="preserve">Defining the seasonality of respiratory syncytial virus around the world: National and subnational surveillance data from 12 countries. </w:t>
      </w:r>
      <w:r w:rsidRPr="003F68A8">
        <w:rPr>
          <w:rFonts w:ascii="Arial Narrow" w:hAnsi="Arial Narrow"/>
          <w:i/>
          <w:noProof/>
          <w:sz w:val="18"/>
          <w:szCs w:val="18"/>
        </w:rPr>
        <w:t>Influenza Other Respir Viruses</w:t>
      </w:r>
      <w:r w:rsidRPr="003F68A8">
        <w:rPr>
          <w:rFonts w:ascii="Arial Narrow" w:hAnsi="Arial Narrow"/>
          <w:noProof/>
          <w:sz w:val="18"/>
          <w:szCs w:val="18"/>
        </w:rPr>
        <w:t>.15(6):</w:t>
      </w:r>
      <w:r w:rsidR="00DB288D">
        <w:rPr>
          <w:rFonts w:ascii="Arial Narrow" w:hAnsi="Arial Narrow"/>
          <w:noProof/>
          <w:sz w:val="18"/>
          <w:szCs w:val="18"/>
        </w:rPr>
        <w:t>pp</w:t>
      </w:r>
      <w:r w:rsidRPr="003F68A8">
        <w:rPr>
          <w:rFonts w:ascii="Arial Narrow" w:hAnsi="Arial Narrow"/>
          <w:noProof/>
          <w:sz w:val="18"/>
          <w:szCs w:val="18"/>
        </w:rPr>
        <w:t>732-41</w:t>
      </w:r>
    </w:p>
  </w:footnote>
  <w:footnote w:id="12">
    <w:p w14:paraId="62B1B34F" w14:textId="4F4A01C7" w:rsidR="00F1459A" w:rsidRPr="003F68A8" w:rsidRDefault="00F1459A" w:rsidP="00F1459A">
      <w:pPr>
        <w:pStyle w:val="FootnoteText"/>
        <w:rPr>
          <w:rFonts w:ascii="Arial Narrow" w:hAnsi="Arial Narrow"/>
          <w:sz w:val="18"/>
          <w:szCs w:val="18"/>
        </w:rPr>
      </w:pPr>
      <w:r w:rsidRPr="003F68A8">
        <w:rPr>
          <w:rStyle w:val="FootnoteReference"/>
          <w:rFonts w:ascii="Arial Narrow" w:hAnsi="Arial Narrow"/>
          <w:sz w:val="18"/>
          <w:szCs w:val="18"/>
        </w:rPr>
        <w:footnoteRef/>
      </w:r>
      <w:r w:rsidRPr="003F68A8">
        <w:rPr>
          <w:rFonts w:ascii="Arial Narrow" w:hAnsi="Arial Narrow"/>
          <w:sz w:val="18"/>
          <w:szCs w:val="18"/>
        </w:rPr>
        <w:t xml:space="preserve"> </w:t>
      </w:r>
      <w:r w:rsidRPr="003F68A8">
        <w:rPr>
          <w:rFonts w:ascii="Arial Narrow" w:hAnsi="Arial Narrow"/>
          <w:noProof/>
          <w:sz w:val="18"/>
          <w:szCs w:val="18"/>
        </w:rPr>
        <w:t xml:space="preserve">Hogan AB, Anderssen RS, Davis S, Moore HC, Lim FJ, Fathima P, et al. </w:t>
      </w:r>
      <w:r w:rsidR="00DB288D">
        <w:rPr>
          <w:rFonts w:ascii="Arial Narrow" w:hAnsi="Arial Narrow"/>
          <w:noProof/>
          <w:sz w:val="18"/>
          <w:szCs w:val="18"/>
        </w:rPr>
        <w:t xml:space="preserve">(2016), </w:t>
      </w:r>
      <w:r w:rsidRPr="003F68A8">
        <w:rPr>
          <w:rFonts w:ascii="Arial Narrow" w:hAnsi="Arial Narrow"/>
          <w:noProof/>
          <w:sz w:val="18"/>
          <w:szCs w:val="18"/>
        </w:rPr>
        <w:t xml:space="preserve">Time series analysis of RSV and bronchiolitis seasonality in temperate and tropical Western Australia. </w:t>
      </w:r>
      <w:r w:rsidRPr="003F68A8">
        <w:rPr>
          <w:rFonts w:ascii="Arial Narrow" w:hAnsi="Arial Narrow"/>
          <w:i/>
          <w:noProof/>
          <w:sz w:val="18"/>
          <w:szCs w:val="18"/>
        </w:rPr>
        <w:t>Epidemics</w:t>
      </w:r>
      <w:r w:rsidRPr="003F68A8">
        <w:rPr>
          <w:rFonts w:ascii="Arial Narrow" w:hAnsi="Arial Narrow"/>
          <w:noProof/>
          <w:sz w:val="18"/>
          <w:szCs w:val="18"/>
        </w:rPr>
        <w:t>.16:</w:t>
      </w:r>
      <w:r w:rsidR="00DB288D">
        <w:rPr>
          <w:rFonts w:ascii="Arial Narrow" w:hAnsi="Arial Narrow"/>
          <w:noProof/>
          <w:sz w:val="18"/>
          <w:szCs w:val="18"/>
        </w:rPr>
        <w:t>pp</w:t>
      </w:r>
      <w:r w:rsidRPr="003F68A8">
        <w:rPr>
          <w:rFonts w:ascii="Arial Narrow" w:hAnsi="Arial Narrow"/>
          <w:noProof/>
          <w:sz w:val="18"/>
          <w:szCs w:val="18"/>
        </w:rPr>
        <w:t>49-55</w:t>
      </w:r>
    </w:p>
  </w:footnote>
  <w:footnote w:id="13">
    <w:p w14:paraId="5638BB49" w14:textId="497ED002" w:rsidR="00F1459A" w:rsidRPr="003F68A8" w:rsidRDefault="00F1459A" w:rsidP="00F1459A">
      <w:pPr>
        <w:pStyle w:val="FootnoteText"/>
        <w:rPr>
          <w:rFonts w:ascii="Arial Narrow" w:hAnsi="Arial Narrow"/>
          <w:sz w:val="18"/>
          <w:szCs w:val="18"/>
        </w:rPr>
      </w:pPr>
      <w:r w:rsidRPr="003F68A8">
        <w:rPr>
          <w:rStyle w:val="FootnoteReference"/>
          <w:rFonts w:ascii="Arial Narrow" w:hAnsi="Arial Narrow"/>
          <w:sz w:val="18"/>
          <w:szCs w:val="18"/>
        </w:rPr>
        <w:footnoteRef/>
      </w:r>
      <w:r w:rsidRPr="003F68A8">
        <w:rPr>
          <w:rFonts w:ascii="Arial Narrow" w:hAnsi="Arial Narrow"/>
          <w:sz w:val="18"/>
          <w:szCs w:val="18"/>
        </w:rPr>
        <w:t xml:space="preserve"> </w:t>
      </w:r>
      <w:r w:rsidRPr="003F68A8">
        <w:rPr>
          <w:rFonts w:ascii="Arial Narrow" w:hAnsi="Arial Narrow"/>
          <w:noProof/>
          <w:sz w:val="18"/>
          <w:szCs w:val="18"/>
        </w:rPr>
        <w:t xml:space="preserve">Chuang YC, Lin KP, Wang LA, Yeh TK, Liu PY. </w:t>
      </w:r>
      <w:r w:rsidR="00DB288D">
        <w:rPr>
          <w:rFonts w:ascii="Arial Narrow" w:hAnsi="Arial Narrow"/>
          <w:noProof/>
          <w:sz w:val="18"/>
          <w:szCs w:val="18"/>
        </w:rPr>
        <w:t xml:space="preserve">(2023), </w:t>
      </w:r>
      <w:r w:rsidRPr="003F68A8">
        <w:rPr>
          <w:rFonts w:ascii="Arial Narrow" w:hAnsi="Arial Narrow"/>
          <w:noProof/>
          <w:sz w:val="18"/>
          <w:szCs w:val="18"/>
        </w:rPr>
        <w:t xml:space="preserve">The Impact of the COVID-19 Pandemic on Respiratory Syncytial Virus Infection: A Narrative Review. </w:t>
      </w:r>
      <w:r w:rsidRPr="003F68A8">
        <w:rPr>
          <w:rFonts w:ascii="Arial Narrow" w:hAnsi="Arial Narrow"/>
          <w:i/>
          <w:noProof/>
          <w:sz w:val="18"/>
          <w:szCs w:val="18"/>
        </w:rPr>
        <w:t>Infect Drug Resist</w:t>
      </w:r>
      <w:r w:rsidRPr="003F68A8">
        <w:rPr>
          <w:rFonts w:ascii="Arial Narrow" w:hAnsi="Arial Narrow"/>
          <w:noProof/>
          <w:sz w:val="18"/>
          <w:szCs w:val="18"/>
        </w:rPr>
        <w:t>.</w:t>
      </w:r>
      <w:r w:rsidR="00DB288D">
        <w:rPr>
          <w:rFonts w:ascii="Arial Narrow" w:hAnsi="Arial Narrow"/>
          <w:noProof/>
          <w:sz w:val="18"/>
          <w:szCs w:val="18"/>
        </w:rPr>
        <w:t xml:space="preserve"> </w:t>
      </w:r>
      <w:r w:rsidRPr="003F68A8">
        <w:rPr>
          <w:rFonts w:ascii="Arial Narrow" w:hAnsi="Arial Narrow"/>
          <w:noProof/>
          <w:sz w:val="18"/>
          <w:szCs w:val="18"/>
        </w:rPr>
        <w:t>16:</w:t>
      </w:r>
      <w:r w:rsidR="00DB288D">
        <w:rPr>
          <w:rFonts w:ascii="Arial Narrow" w:hAnsi="Arial Narrow"/>
          <w:noProof/>
          <w:sz w:val="18"/>
          <w:szCs w:val="18"/>
        </w:rPr>
        <w:t>pp</w:t>
      </w:r>
      <w:r w:rsidRPr="003F68A8">
        <w:rPr>
          <w:rFonts w:ascii="Arial Narrow" w:hAnsi="Arial Narrow"/>
          <w:noProof/>
          <w:sz w:val="18"/>
          <w:szCs w:val="18"/>
        </w:rPr>
        <w:t>661-75</w:t>
      </w:r>
    </w:p>
  </w:footnote>
  <w:footnote w:id="14">
    <w:p w14:paraId="5975B456" w14:textId="096D11C8" w:rsidR="00F1459A" w:rsidRPr="003F68A8" w:rsidRDefault="00F1459A" w:rsidP="00F1459A">
      <w:pPr>
        <w:pStyle w:val="FootnoteText"/>
        <w:rPr>
          <w:rFonts w:ascii="Arial Narrow" w:hAnsi="Arial Narrow"/>
          <w:sz w:val="18"/>
          <w:szCs w:val="18"/>
        </w:rPr>
      </w:pPr>
      <w:r w:rsidRPr="003F68A8">
        <w:rPr>
          <w:rStyle w:val="FootnoteReference"/>
          <w:rFonts w:ascii="Arial Narrow" w:hAnsi="Arial Narrow"/>
          <w:sz w:val="18"/>
          <w:szCs w:val="18"/>
        </w:rPr>
        <w:footnoteRef/>
      </w:r>
      <w:r w:rsidRPr="003F68A8">
        <w:rPr>
          <w:rFonts w:ascii="Arial Narrow" w:hAnsi="Arial Narrow"/>
          <w:sz w:val="18"/>
          <w:szCs w:val="18"/>
        </w:rPr>
        <w:t xml:space="preserve"> </w:t>
      </w:r>
      <w:r w:rsidRPr="003F68A8">
        <w:rPr>
          <w:rFonts w:ascii="Arial Narrow" w:hAnsi="Arial Narrow"/>
          <w:noProof/>
          <w:sz w:val="18"/>
          <w:szCs w:val="18"/>
        </w:rPr>
        <w:t>Kampmann B, Madhi SA, Munjal I, Simões EAF, Pahud BA, Llapur C, et al.</w:t>
      </w:r>
      <w:r w:rsidR="00DB288D">
        <w:rPr>
          <w:rFonts w:ascii="Arial Narrow" w:hAnsi="Arial Narrow"/>
          <w:noProof/>
          <w:sz w:val="18"/>
          <w:szCs w:val="18"/>
        </w:rPr>
        <w:t xml:space="preserve"> (2023),</w:t>
      </w:r>
      <w:r w:rsidRPr="003F68A8">
        <w:rPr>
          <w:rFonts w:ascii="Arial Narrow" w:hAnsi="Arial Narrow"/>
          <w:noProof/>
          <w:sz w:val="18"/>
          <w:szCs w:val="18"/>
        </w:rPr>
        <w:t xml:space="preserve"> Bivalent Prefusion F Vaccine in Pregnancy to Prevent RSV Illness in Infants. </w:t>
      </w:r>
      <w:r w:rsidRPr="003F68A8">
        <w:rPr>
          <w:rFonts w:ascii="Arial Narrow" w:hAnsi="Arial Narrow"/>
          <w:i/>
          <w:noProof/>
          <w:sz w:val="18"/>
          <w:szCs w:val="18"/>
        </w:rPr>
        <w:t>New England Journal of Medicine</w:t>
      </w:r>
      <w:r w:rsidRPr="003F68A8">
        <w:rPr>
          <w:rFonts w:ascii="Arial Narrow" w:hAnsi="Arial Narrow"/>
          <w:noProof/>
          <w:sz w:val="18"/>
          <w:szCs w:val="18"/>
        </w:rPr>
        <w:t>. 388(16):</w:t>
      </w:r>
      <w:r w:rsidR="00DB288D">
        <w:rPr>
          <w:rFonts w:ascii="Arial Narrow" w:hAnsi="Arial Narrow"/>
          <w:noProof/>
          <w:sz w:val="18"/>
          <w:szCs w:val="18"/>
        </w:rPr>
        <w:t>pp</w:t>
      </w:r>
      <w:r w:rsidRPr="003F68A8">
        <w:rPr>
          <w:rFonts w:ascii="Arial Narrow" w:hAnsi="Arial Narrow"/>
          <w:noProof/>
          <w:sz w:val="18"/>
          <w:szCs w:val="18"/>
        </w:rPr>
        <w:t>1451-64</w:t>
      </w:r>
    </w:p>
  </w:footnote>
  <w:footnote w:id="15">
    <w:p w14:paraId="3930A645" w14:textId="62830C35" w:rsidR="00537430" w:rsidRPr="00FA2DA6" w:rsidRDefault="00537430">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hyperlink r:id="rId1" w:history="1">
        <w:r w:rsidR="00FF719A" w:rsidRPr="00FA2DA6">
          <w:rPr>
            <w:rStyle w:val="cf01"/>
            <w:rFonts w:ascii="Arial Narrow" w:hAnsi="Arial Narrow"/>
            <w:color w:val="0000FF"/>
            <w:u w:val="single"/>
          </w:rPr>
          <w:t>https://www.tga.gov.au/resources/auspmd/beyfortus</w:t>
        </w:r>
      </w:hyperlink>
    </w:p>
  </w:footnote>
  <w:footnote w:id="16">
    <w:p w14:paraId="1E38883D" w14:textId="453595BA" w:rsidR="000445C6" w:rsidRPr="00FA2DA6" w:rsidRDefault="000445C6">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noProof/>
          <w:sz w:val="18"/>
          <w:szCs w:val="18"/>
        </w:rPr>
        <w:t xml:space="preserve">Hammitt LL, Dagan R, Yuan Y, Baca Cots M, Bosheva M, Madhi SA, et al. (2022) Nirsevimab for Prevention of RSV in Healthy Late-Preterm and Term Infants. </w:t>
      </w:r>
      <w:r w:rsidRPr="00FA2DA6">
        <w:rPr>
          <w:rFonts w:ascii="Arial Narrow" w:hAnsi="Arial Narrow"/>
          <w:i/>
          <w:noProof/>
          <w:sz w:val="18"/>
          <w:szCs w:val="18"/>
        </w:rPr>
        <w:t>New England Journal of Medicine</w:t>
      </w:r>
      <w:r w:rsidRPr="00FA2DA6">
        <w:rPr>
          <w:rFonts w:ascii="Arial Narrow" w:hAnsi="Arial Narrow"/>
          <w:noProof/>
          <w:sz w:val="18"/>
          <w:szCs w:val="18"/>
        </w:rPr>
        <w:t>. 2022;386(9):837-46.</w:t>
      </w:r>
    </w:p>
  </w:footnote>
  <w:footnote w:id="17">
    <w:p w14:paraId="3449C826" w14:textId="1C629434" w:rsidR="006A21D0" w:rsidRDefault="006A21D0">
      <w:pPr>
        <w:pStyle w:val="FootnoteText"/>
      </w:pPr>
      <w:r w:rsidRPr="00FA2DA6">
        <w:rPr>
          <w:rStyle w:val="FootnoteReference"/>
          <w:rFonts w:ascii="Arial Narrow" w:hAnsi="Arial Narrow"/>
          <w:sz w:val="18"/>
          <w:szCs w:val="18"/>
        </w:rPr>
        <w:footnoteRef/>
      </w:r>
      <w:r w:rsidRPr="00FA2DA6">
        <w:rPr>
          <w:rFonts w:ascii="Arial Narrow" w:hAnsi="Arial Narrow"/>
          <w:sz w:val="18"/>
          <w:szCs w:val="18"/>
        </w:rPr>
        <w:t xml:space="preserve"> </w:t>
      </w:r>
      <w:hyperlink r:id="rId2" w:anchor="conclusions-and-advice" w:history="1">
        <w:r w:rsidRPr="00FA2DA6">
          <w:rPr>
            <w:rStyle w:val="Hyperlink"/>
            <w:rFonts w:ascii="Arial Narrow" w:hAnsi="Arial Narrow"/>
            <w:sz w:val="18"/>
            <w:szCs w:val="18"/>
          </w:rPr>
          <w:t>Respiratory syncytial virus (RSV) immunisation programme for infants and older adults: JCVI full statement, 11 September 2023 - GOV.UK (www.gov.uk)</w:t>
        </w:r>
      </w:hyperlink>
    </w:p>
  </w:footnote>
  <w:footnote w:id="18">
    <w:p w14:paraId="1A43C37C" w14:textId="77777777" w:rsidR="00DB24CC" w:rsidRPr="00FA2DA6" w:rsidRDefault="005D023A" w:rsidP="005D023A">
      <w:pPr>
        <w:pStyle w:val="FootnoteText"/>
        <w:rPr>
          <w:rFonts w:ascii="Arial Narrow" w:hAnsi="Arial Narrow"/>
          <w:i/>
          <w:iCs/>
          <w:sz w:val="18"/>
          <w:szCs w:val="18"/>
        </w:rPr>
      </w:pPr>
      <w:r w:rsidRPr="00FA2DA6">
        <w:rPr>
          <w:rStyle w:val="FootnoteReference"/>
          <w:rFonts w:ascii="Arial Narrow" w:hAnsi="Arial Narrow"/>
          <w:i/>
          <w:iCs/>
          <w:sz w:val="18"/>
          <w:szCs w:val="18"/>
        </w:rPr>
        <w:footnoteRef/>
      </w:r>
      <w:r w:rsidRPr="00FA2DA6">
        <w:rPr>
          <w:rFonts w:ascii="Arial Narrow" w:hAnsi="Arial Narrow"/>
          <w:i/>
          <w:iCs/>
          <w:sz w:val="18"/>
          <w:szCs w:val="18"/>
        </w:rPr>
        <w:t xml:space="preserve"> </w:t>
      </w:r>
      <w:r w:rsidRPr="00FA2DA6">
        <w:rPr>
          <w:rFonts w:ascii="Arial Narrow" w:hAnsi="Arial Narrow"/>
          <w:sz w:val="18"/>
          <w:szCs w:val="18"/>
        </w:rPr>
        <w:t>Munjal, I. et al. Prevention of infant RSV illness with a bivalent RSV prefusion F vaccine administered during pregnancy: efficacy results from a phase 3 global clinical trial. 8</w:t>
      </w:r>
      <w:r w:rsidRPr="00FA2DA6">
        <w:rPr>
          <w:rFonts w:ascii="Arial Narrow" w:hAnsi="Arial Narrow"/>
          <w:sz w:val="18"/>
          <w:szCs w:val="18"/>
          <w:vertAlign w:val="superscript"/>
        </w:rPr>
        <w:t>th</w:t>
      </w:r>
      <w:r w:rsidRPr="00FA2DA6">
        <w:rPr>
          <w:rFonts w:ascii="Arial Narrow" w:hAnsi="Arial Narrow"/>
          <w:sz w:val="18"/>
          <w:szCs w:val="18"/>
        </w:rPr>
        <w:t xml:space="preserve"> ReSViNET Conference, February 13-16, 2024 (Abstract Book, p98).</w:t>
      </w:r>
    </w:p>
    <w:p w14:paraId="1847FCA7" w14:textId="77777777" w:rsidR="005D023A" w:rsidRPr="007E32D3" w:rsidRDefault="005D023A" w:rsidP="005D023A">
      <w:pPr>
        <w:pStyle w:val="FootnoteText"/>
        <w:rPr>
          <w:i/>
          <w:iCs/>
        </w:rPr>
      </w:pPr>
      <w:r w:rsidRPr="00FA2DA6">
        <w:rPr>
          <w:rFonts w:ascii="Arial Narrow" w:hAnsi="Arial Narrow"/>
          <w:i/>
          <w:iCs/>
          <w:sz w:val="18"/>
          <w:szCs w:val="18"/>
        </w:rPr>
        <w:t xml:space="preserve"> </w:t>
      </w:r>
    </w:p>
  </w:footnote>
  <w:footnote w:id="19">
    <w:p w14:paraId="15C231EE" w14:textId="77777777" w:rsidR="00B60859" w:rsidRPr="00EB0FE3" w:rsidRDefault="00B60859" w:rsidP="00B60859">
      <w:pPr>
        <w:pStyle w:val="FootnoteText"/>
        <w:rPr>
          <w:rFonts w:ascii="Arial Narrow" w:hAnsi="Arial Narrow"/>
          <w:sz w:val="18"/>
          <w:szCs w:val="18"/>
        </w:rPr>
      </w:pPr>
      <w:r w:rsidRPr="00EB0FE3">
        <w:rPr>
          <w:rStyle w:val="FootnoteReference"/>
          <w:rFonts w:ascii="Arial Narrow" w:hAnsi="Arial Narrow"/>
          <w:sz w:val="18"/>
          <w:szCs w:val="18"/>
        </w:rPr>
        <w:footnoteRef/>
      </w:r>
      <w:r w:rsidRPr="00EB0FE3">
        <w:rPr>
          <w:rFonts w:ascii="Arial Narrow" w:hAnsi="Arial Narrow"/>
          <w:sz w:val="18"/>
          <w:szCs w:val="18"/>
        </w:rPr>
        <w:t xml:space="preserve"> Mao Z, Li X, Dacosta-Urbieta A, Billard M-N, Wildenbeest J, Korsten K, et al. </w:t>
      </w:r>
      <w:r>
        <w:rPr>
          <w:rFonts w:ascii="Arial Narrow" w:hAnsi="Arial Narrow"/>
          <w:sz w:val="18"/>
          <w:szCs w:val="18"/>
        </w:rPr>
        <w:t xml:space="preserve">2023. </w:t>
      </w:r>
      <w:r w:rsidRPr="00EB0FE3">
        <w:rPr>
          <w:rFonts w:ascii="Arial Narrow" w:hAnsi="Arial Narrow"/>
          <w:sz w:val="18"/>
          <w:szCs w:val="18"/>
        </w:rPr>
        <w:t>Economic burden and health-related quality-of-life among infants with respiratory syncytial virus infection: A multi-country prospective cohort study in Europe. Vaccine.</w:t>
      </w:r>
      <w:r>
        <w:rPr>
          <w:rFonts w:ascii="Arial Narrow" w:hAnsi="Arial Narrow"/>
          <w:sz w:val="18"/>
          <w:szCs w:val="18"/>
        </w:rPr>
        <w:t xml:space="preserve"> </w:t>
      </w:r>
      <w:r w:rsidRPr="00EB0FE3">
        <w:rPr>
          <w:rFonts w:ascii="Arial Narrow" w:hAnsi="Arial Narrow"/>
          <w:sz w:val="18"/>
          <w:szCs w:val="18"/>
        </w:rPr>
        <w:t>41(16):2707-15</w:t>
      </w:r>
    </w:p>
  </w:footnote>
  <w:footnote w:id="20">
    <w:p w14:paraId="5602228B" w14:textId="568E1625" w:rsidR="00B60859" w:rsidRPr="004F4CF4" w:rsidRDefault="00B60859" w:rsidP="00FF623D">
      <w:pPr>
        <w:pStyle w:val="FooterTableFigure"/>
      </w:pPr>
      <w:r>
        <w:rPr>
          <w:rStyle w:val="FootnoteReference"/>
        </w:rPr>
        <w:footnoteRef/>
      </w:r>
      <w:r>
        <w:t xml:space="preserve"> $</w:t>
      </w:r>
      <w:r w:rsidR="00E96E79" w:rsidRPr="00C63E95">
        <w:rPr>
          <w:color w:val="000000"/>
          <w:spacing w:val="73"/>
          <w:shd w:val="solid" w:color="000000" w:fill="000000"/>
          <w:fitText w:val="265" w:id="-961849841"/>
          <w14:textFill>
            <w14:solidFill>
              <w14:srgbClr w14:val="000000">
                <w14:alpha w14:val="100000"/>
              </w14:srgbClr>
            </w14:solidFill>
          </w14:textFill>
        </w:rPr>
        <w:t>|</w:t>
      </w:r>
      <w:r w:rsidR="00C63E95" w:rsidRPr="00C63E95">
        <w:rPr>
          <w:color w:val="000000"/>
          <w:spacing w:val="73"/>
          <w:shd w:val="solid" w:color="000000" w:fill="000000"/>
          <w:fitText w:val="265" w:id="-961849841"/>
          <w14:textFill>
            <w14:solidFill>
              <w14:srgbClr w14:val="000000">
                <w14:alpha w14:val="100000"/>
              </w14:srgbClr>
            </w14:solidFill>
          </w14:textFill>
        </w:rPr>
        <w:t xml:space="preserve"> </w:t>
      </w:r>
      <w:r w:rsidR="00E96E79" w:rsidRPr="00C63E95">
        <w:rPr>
          <w:color w:val="000000"/>
          <w:spacing w:val="2"/>
          <w:shd w:val="solid" w:color="000000" w:fill="000000"/>
          <w:fitText w:val="265" w:id="-961849841"/>
          <w14:textFill>
            <w14:solidFill>
              <w14:srgbClr w14:val="000000">
                <w14:alpha w14:val="100000"/>
              </w14:srgbClr>
            </w14:solidFill>
          </w14:textFill>
        </w:rPr>
        <w:t>|</w:t>
      </w:r>
      <w:r>
        <w:t>/(1+0.05)</w:t>
      </w:r>
      <w:r>
        <w:rPr>
          <w:vertAlign w:val="superscript"/>
        </w:rPr>
        <w:t>-2/12</w:t>
      </w:r>
      <w:r>
        <w:t xml:space="preserve"> + $7/(1+0.05)</w:t>
      </w:r>
      <w:r>
        <w:rPr>
          <w:vertAlign w:val="superscript"/>
        </w:rPr>
        <w:t>-2/12</w:t>
      </w:r>
      <w:r>
        <w:t xml:space="preserve"> = $</w:t>
      </w:r>
      <w:r w:rsidR="00E96E79" w:rsidRPr="00C63E95">
        <w:rPr>
          <w:color w:val="000000"/>
          <w:spacing w:val="73"/>
          <w:shd w:val="solid" w:color="000000" w:fill="000000"/>
          <w:fitText w:val="265" w:id="-961849840"/>
          <w14:textFill>
            <w14:solidFill>
              <w14:srgbClr w14:val="000000">
                <w14:alpha w14:val="100000"/>
              </w14:srgbClr>
            </w14:solidFill>
          </w14:textFill>
        </w:rPr>
        <w:t>|</w:t>
      </w:r>
      <w:r w:rsidR="00C63E95" w:rsidRPr="00C63E95">
        <w:rPr>
          <w:color w:val="000000"/>
          <w:spacing w:val="73"/>
          <w:shd w:val="solid" w:color="000000" w:fill="000000"/>
          <w:fitText w:val="265" w:id="-961849840"/>
          <w14:textFill>
            <w14:solidFill>
              <w14:srgbClr w14:val="000000">
                <w14:alpha w14:val="100000"/>
              </w14:srgbClr>
            </w14:solidFill>
          </w14:textFill>
        </w:rPr>
        <w:t xml:space="preserve"> </w:t>
      </w:r>
      <w:r w:rsidR="00E96E79" w:rsidRPr="00C63E95">
        <w:rPr>
          <w:color w:val="000000"/>
          <w:spacing w:val="2"/>
          <w:shd w:val="solid" w:color="000000" w:fill="000000"/>
          <w:fitText w:val="265" w:id="-961849840"/>
          <w14:textFill>
            <w14:solidFill>
              <w14:srgbClr w14:val="000000">
                <w14:alpha w14:val="100000"/>
              </w14:srgbClr>
            </w14:solidFill>
          </w14:textFill>
        </w:rPr>
        <w:t>|</w:t>
      </w:r>
    </w:p>
  </w:footnote>
  <w:footnote w:id="21">
    <w:p w14:paraId="2AF41958" w14:textId="77777777" w:rsidR="00B60859" w:rsidRDefault="00B60859" w:rsidP="00B60859">
      <w:pPr>
        <w:pStyle w:val="FooterTableFigure"/>
      </w:pPr>
      <w:r>
        <w:rPr>
          <w:rStyle w:val="FootnoteReference"/>
        </w:rPr>
        <w:footnoteRef/>
      </w:r>
      <w:r>
        <w:t xml:space="preserve"> Gebremedhin AT, Hogan AB, Blyth CC, Glass K, Moore HC. 2022. Developing a prediction model to estimate the true burden of respiratory syncytial virus (RSV) in hospitalised children in Western Australia. </w:t>
      </w:r>
      <w:r>
        <w:rPr>
          <w:i/>
          <w:iCs/>
        </w:rPr>
        <w:t>Scientific Reports</w:t>
      </w:r>
      <w:r>
        <w:t>. 12(1):332.</w:t>
      </w:r>
    </w:p>
  </w:footnote>
  <w:footnote w:id="22">
    <w:p w14:paraId="717D1F8E" w14:textId="77777777" w:rsidR="00B60859" w:rsidRPr="00D46235" w:rsidRDefault="00B60859" w:rsidP="00B60859">
      <w:pPr>
        <w:pStyle w:val="FooterTableFigure"/>
        <w:rPr>
          <w:vertAlign w:val="superscript"/>
        </w:rPr>
      </w:pPr>
      <w:r>
        <w:rPr>
          <w:rStyle w:val="FootnoteReference"/>
        </w:rPr>
        <w:footnoteRef/>
      </w:r>
      <w:r w:rsidRPr="00FD22B1">
        <w:rPr>
          <w:rStyle w:val="FootnoteReference"/>
        </w:rPr>
        <w:t xml:space="preserve"> </w:t>
      </w:r>
      <w:r w:rsidRPr="00FD22B1">
        <w:t>Takashima MD, Grimwood K, Sly PD, Lambert SB, Chappell KJ, Watterson D, et al.</w:t>
      </w:r>
      <w:r>
        <w:t xml:space="preserve"> 2021.</w:t>
      </w:r>
      <w:r w:rsidRPr="00FD22B1">
        <w:t xml:space="preserve"> Epidemiology of respiratory syncytial virus in a community birth cohort of infants in the first 2 years of life. European journal of paediatrics.</w:t>
      </w:r>
      <w:r>
        <w:t xml:space="preserve"> </w:t>
      </w:r>
      <w:r w:rsidRPr="00FD22B1">
        <w:t>180(7):2125-35.</w:t>
      </w:r>
    </w:p>
  </w:footnote>
  <w:footnote w:id="23">
    <w:p w14:paraId="68307B93" w14:textId="77777777" w:rsidR="00B60859" w:rsidRDefault="00B60859" w:rsidP="00134D9D">
      <w:pPr>
        <w:pStyle w:val="FooterTableFigure"/>
        <w:spacing w:after="0"/>
      </w:pPr>
      <w:r w:rsidRPr="00D46235">
        <w:rPr>
          <w:rStyle w:val="FootnoteReference"/>
          <w:snapToGrid/>
        </w:rPr>
        <w:footnoteRef/>
      </w:r>
      <w:r>
        <w:t xml:space="preserve"> </w:t>
      </w:r>
      <w:r w:rsidRPr="00D46235">
        <w:rPr>
          <w:snapToGrid/>
        </w:rPr>
        <w:t xml:space="preserve">Saravanos GL, Hsu P, Isaacs D, Macartney K, Wood NJ, Britton PN. </w:t>
      </w:r>
      <w:r>
        <w:rPr>
          <w:snapToGrid/>
        </w:rPr>
        <w:t xml:space="preserve">2022. </w:t>
      </w:r>
      <w:r w:rsidRPr="00D46235">
        <w:rPr>
          <w:snapToGrid/>
        </w:rPr>
        <w:t>Respiratory Syncytial Virus-attributable Deaths in a Major Pediatric Hospital in New South Wales, Australia, 1998-2018. The Pediatric infectious disease journal. 41(3):186-91.</w:t>
      </w:r>
    </w:p>
  </w:footnote>
  <w:footnote w:id="24">
    <w:p w14:paraId="614F3A30" w14:textId="222CAE5C" w:rsidR="00D176C8" w:rsidRPr="00D176C8" w:rsidRDefault="00D176C8">
      <w:pPr>
        <w:pStyle w:val="FootnoteText"/>
        <w:rPr>
          <w:rFonts w:ascii="Arial Narrow" w:hAnsi="Arial Narrow"/>
          <w:snapToGrid w:val="0"/>
          <w:sz w:val="18"/>
          <w:szCs w:val="22"/>
        </w:rPr>
      </w:pPr>
      <w:r w:rsidRPr="00D176C8">
        <w:rPr>
          <w:rFonts w:ascii="Arial Narrow" w:hAnsi="Arial Narrow"/>
          <w:snapToGrid w:val="0"/>
          <w:sz w:val="18"/>
          <w:szCs w:val="22"/>
          <w:vertAlign w:val="superscript"/>
        </w:rPr>
        <w:footnoteRef/>
      </w:r>
      <w:r w:rsidRPr="00D176C8">
        <w:rPr>
          <w:rFonts w:ascii="Arial Narrow" w:hAnsi="Arial Narrow"/>
          <w:snapToGrid w:val="0"/>
          <w:sz w:val="18"/>
          <w:szCs w:val="22"/>
          <w:vertAlign w:val="superscript"/>
        </w:rPr>
        <w:t xml:space="preserve"> </w:t>
      </w:r>
      <w:r w:rsidRPr="00D176C8">
        <w:rPr>
          <w:rFonts w:ascii="Arial Narrow" w:hAnsi="Arial Narrow"/>
          <w:snapToGrid w:val="0"/>
          <w:sz w:val="18"/>
          <w:szCs w:val="22"/>
        </w:rPr>
        <w:t>Li Y, Wang X, Blau DM, Caballero MT, Feikin DR, Gill CJ, et al. Global, regional, and national disease burden estimates of acute lower respiratory infections due to respiratory syncytial virus in children younger than 5 years in 2019: a systematic analysis. Lancet. 2022;399(10340):2047-64</w:t>
      </w:r>
      <w:r w:rsidR="00667620">
        <w:rPr>
          <w:rFonts w:ascii="Arial Narrow" w:hAnsi="Arial Narrow"/>
          <w:snapToGrid w:val="0"/>
          <w:sz w:val="18"/>
          <w:szCs w:val="22"/>
        </w:rPr>
        <w:t xml:space="preserve"> (Extracted from Table 3, </w:t>
      </w:r>
      <w:r w:rsidR="00667620" w:rsidRPr="00667620">
        <w:rPr>
          <w:rFonts w:ascii="Arial Narrow" w:hAnsi="Arial Narrow"/>
          <w:snapToGrid w:val="0"/>
          <w:sz w:val="18"/>
          <w:szCs w:val="22"/>
        </w:rPr>
        <w:t>Case fatality ratio for industrialised countries</w:t>
      </w:r>
      <w:r w:rsidR="00667620">
        <w:rPr>
          <w:rFonts w:ascii="Arial Narrow" w:hAnsi="Arial Narrow"/>
          <w:snapToGrid w:val="0"/>
          <w:sz w:val="18"/>
          <w:szCs w:val="22"/>
        </w:rPr>
        <w:t>)</w:t>
      </w:r>
      <w:r w:rsidRPr="00D176C8">
        <w:rPr>
          <w:rFonts w:ascii="Arial Narrow" w:hAnsi="Arial Narrow"/>
          <w:snapToGrid w:val="0"/>
          <w:sz w:val="18"/>
          <w:szCs w:val="22"/>
        </w:rPr>
        <w:t>.</w:t>
      </w:r>
    </w:p>
  </w:footnote>
  <w:footnote w:id="25">
    <w:p w14:paraId="2701B34F" w14:textId="77777777" w:rsidR="00B60859" w:rsidRPr="00542986" w:rsidRDefault="00B60859" w:rsidP="00914A93">
      <w:pPr>
        <w:pStyle w:val="FooterTableFigure"/>
      </w:pPr>
      <w:r>
        <w:rPr>
          <w:rStyle w:val="FootnoteReference"/>
        </w:rPr>
        <w:footnoteRef/>
      </w:r>
      <w:r>
        <w:t xml:space="preserve"> McCaffrey N, Kaambwa B, Currow DC, Ratcliffe J. 2016. Health-related quality of life measured using the EQ-5D–5L: South Australian </w:t>
      </w:r>
      <w:r w:rsidRPr="00542986">
        <w:t xml:space="preserve">population norms. </w:t>
      </w:r>
      <w:r w:rsidRPr="00542986">
        <w:rPr>
          <w:i/>
          <w:iCs/>
        </w:rPr>
        <w:t>Health and Quality of Life Outcomes</w:t>
      </w:r>
      <w:r w:rsidRPr="00542986">
        <w:t>. 2016/09/20;14(1):133.</w:t>
      </w:r>
    </w:p>
  </w:footnote>
  <w:footnote w:id="26">
    <w:p w14:paraId="0A882863" w14:textId="788D4FCF" w:rsidR="00B60859" w:rsidRDefault="00B60859" w:rsidP="003B3B7C">
      <w:pPr>
        <w:pStyle w:val="FooterTableFigure"/>
        <w:jc w:val="left"/>
      </w:pPr>
      <w:r w:rsidRPr="00542986">
        <w:rPr>
          <w:rStyle w:val="FootnoteReference"/>
        </w:rPr>
        <w:footnoteRef/>
      </w:r>
      <w:r w:rsidRPr="00914A93">
        <w:rPr>
          <w:vertAlign w:val="superscript"/>
        </w:rPr>
        <w:t xml:space="preserve"> </w:t>
      </w:r>
      <w:r>
        <w:t>Australian Bureau of Statistics</w:t>
      </w:r>
      <w:r w:rsidRPr="00914A93">
        <w:t xml:space="preserve">. </w:t>
      </w:r>
      <w:r>
        <w:t xml:space="preserve">2023. </w:t>
      </w:r>
      <w:r w:rsidRPr="00914A93">
        <w:t>Life expectancy.</w:t>
      </w:r>
      <w:r>
        <w:t xml:space="preserve"> </w:t>
      </w:r>
      <w:r w:rsidRPr="00914A93">
        <w:t xml:space="preserve">[cited 2023 13 Nov]; Available from: </w:t>
      </w:r>
      <w:hyperlink r:id="rId3" w:anchor="cite-window1" w:history="1">
        <w:r w:rsidRPr="00914A93">
          <w:t>https://www.abs.gov.au/statistics/people/population/life-expectancy/2020-2022#cite-window1</w:t>
        </w:r>
      </w:hyperlink>
      <w:r w:rsidRPr="00914A93">
        <w:t>.</w:t>
      </w:r>
    </w:p>
  </w:footnote>
  <w:footnote w:id="27">
    <w:p w14:paraId="24821BB5" w14:textId="173A5A9F" w:rsidR="00B60859" w:rsidRPr="00300C76" w:rsidRDefault="00B60859" w:rsidP="00B60859">
      <w:pPr>
        <w:pStyle w:val="FooterTableFigure"/>
        <w:spacing w:after="0"/>
        <w:rPr>
          <w:szCs w:val="18"/>
        </w:rPr>
      </w:pPr>
      <w:r w:rsidRPr="00300C76">
        <w:rPr>
          <w:rStyle w:val="FootnoteReference"/>
          <w:szCs w:val="18"/>
        </w:rPr>
        <w:footnoteRef/>
      </w:r>
      <w:r w:rsidRPr="00300C76">
        <w:rPr>
          <w:szCs w:val="18"/>
        </w:rPr>
        <w:t xml:space="preserve"> EuroQol. EuroQol research foundation</w:t>
      </w:r>
      <w:r w:rsidR="00C93F78">
        <w:rPr>
          <w:szCs w:val="18"/>
        </w:rPr>
        <w:t xml:space="preserve">. </w:t>
      </w:r>
      <w:r w:rsidRPr="00300C76">
        <w:rPr>
          <w:szCs w:val="18"/>
        </w:rPr>
        <w:t xml:space="preserve">2023 [cited 2023 13 Nov]; Available from: </w:t>
      </w:r>
      <w:hyperlink r:id="rId4" w:history="1">
        <w:r w:rsidRPr="00300C76">
          <w:rPr>
            <w:szCs w:val="18"/>
          </w:rPr>
          <w:t>https://euroqol.org/publications/user-guides/</w:t>
        </w:r>
      </w:hyperlink>
      <w:r w:rsidRPr="00300C76">
        <w:rPr>
          <w:szCs w:val="18"/>
        </w:rPr>
        <w:t>.</w:t>
      </w:r>
    </w:p>
  </w:footnote>
  <w:footnote w:id="28">
    <w:p w14:paraId="2E6DBC02" w14:textId="77777777" w:rsidR="00B60859" w:rsidRDefault="00B60859" w:rsidP="00B60859">
      <w:pPr>
        <w:autoSpaceDE w:val="0"/>
        <w:autoSpaceDN w:val="0"/>
        <w:adjustRightInd w:val="0"/>
        <w:jc w:val="left"/>
      </w:pPr>
      <w:r w:rsidRPr="00300C76">
        <w:rPr>
          <w:rStyle w:val="FootnoteReference"/>
          <w:rFonts w:ascii="Arial Narrow" w:hAnsi="Arial Narrow"/>
          <w:sz w:val="18"/>
          <w:szCs w:val="18"/>
        </w:rPr>
        <w:footnoteRef/>
      </w:r>
      <w:r w:rsidRPr="00300C76">
        <w:rPr>
          <w:rFonts w:ascii="Arial Narrow" w:hAnsi="Arial Narrow"/>
          <w:sz w:val="18"/>
          <w:szCs w:val="18"/>
        </w:rPr>
        <w:t xml:space="preserve"> </w:t>
      </w:r>
      <w:r w:rsidRPr="00300C76">
        <w:rPr>
          <w:rFonts w:ascii="Arial Narrow" w:hAnsi="Arial Narrow" w:cs="Segoe UI"/>
          <w:sz w:val="18"/>
          <w:szCs w:val="18"/>
        </w:rPr>
        <w:t xml:space="preserve">McCaffrey N, Kaambwa B, Currow DC, Ratcliffe J. </w:t>
      </w:r>
      <w:r>
        <w:rPr>
          <w:rFonts w:ascii="Arial Narrow" w:hAnsi="Arial Narrow" w:cs="Segoe UI"/>
          <w:sz w:val="18"/>
          <w:szCs w:val="18"/>
        </w:rPr>
        <w:t xml:space="preserve">2016. </w:t>
      </w:r>
      <w:r w:rsidRPr="00300C76">
        <w:rPr>
          <w:rFonts w:ascii="Arial Narrow" w:hAnsi="Arial Narrow" w:cs="Segoe UI"/>
          <w:sz w:val="18"/>
          <w:szCs w:val="18"/>
        </w:rPr>
        <w:t xml:space="preserve">Health-related quality of life measured using the EQ-5D–5L: South Australian population norms. </w:t>
      </w:r>
      <w:r w:rsidRPr="00300C76">
        <w:rPr>
          <w:rFonts w:ascii="Arial Narrow" w:hAnsi="Arial Narrow" w:cs="Segoe UI"/>
          <w:i/>
          <w:iCs/>
          <w:sz w:val="18"/>
          <w:szCs w:val="18"/>
        </w:rPr>
        <w:t>Health and Quality of Life Outcomes</w:t>
      </w:r>
      <w:r w:rsidRPr="00300C76">
        <w:rPr>
          <w:rFonts w:ascii="Arial Narrow" w:hAnsi="Arial Narrow" w:cs="Segoe UI"/>
          <w:sz w:val="18"/>
          <w:szCs w:val="18"/>
        </w:rPr>
        <w:t>. 2016/09/20;14(1):133.</w:t>
      </w:r>
    </w:p>
  </w:footnote>
  <w:footnote w:id="29">
    <w:p w14:paraId="42D2569E" w14:textId="77777777" w:rsidR="00B60859" w:rsidRDefault="00B60859" w:rsidP="00B60859">
      <w:pPr>
        <w:pStyle w:val="FooterTableFigure"/>
      </w:pPr>
      <w:r>
        <w:rPr>
          <w:rStyle w:val="FootnoteReference"/>
        </w:rPr>
        <w:footnoteRef/>
      </w:r>
      <w:r>
        <w:t xml:space="preserve"> All costs inflated to 2023 dollars from Brusco NK, Alafaci A, Tuckerman J, Frawley H, Pratt J, Daley AJ, et al. 2022. The 2018 annual cost burden for children under five years of age hospitalised with respiratory syncytial virus in Australia. </w:t>
      </w:r>
      <w:r>
        <w:rPr>
          <w:i/>
          <w:iCs/>
        </w:rPr>
        <w:t>Commun Dis Intell</w:t>
      </w:r>
      <w:r>
        <w:t>. 46:1-21.</w:t>
      </w:r>
    </w:p>
  </w:footnote>
  <w:footnote w:id="30">
    <w:p w14:paraId="4E3C4481" w14:textId="603BAAFD" w:rsidR="00B60859" w:rsidRDefault="00B60859" w:rsidP="003B3B7C">
      <w:pPr>
        <w:pStyle w:val="FooterTableFigure"/>
      </w:pPr>
      <w:r>
        <w:rPr>
          <w:rStyle w:val="FootnoteReference"/>
        </w:rPr>
        <w:footnoteRef/>
      </w:r>
      <w:r>
        <w:t xml:space="preserve"> Choi Y, Heller EG, Gesteland PH, Amoafo L, Zhang Y, Finelli L, et al. 2021. 1346. The Risk of Readmission after RSV Hospitalization Among Children Younger than 5 Years. </w:t>
      </w:r>
      <w:r>
        <w:rPr>
          <w:i/>
          <w:iCs/>
        </w:rPr>
        <w:t>Open Forum Infectious Diseases</w:t>
      </w:r>
      <w:r>
        <w:t>. 2021;8(Supplement_1):S760-S.</w:t>
      </w:r>
    </w:p>
  </w:footnote>
  <w:footnote w:id="31">
    <w:p w14:paraId="34AF3960" w14:textId="77777777" w:rsidR="00DB24CC" w:rsidRDefault="00B60859" w:rsidP="00B60859">
      <w:pPr>
        <w:pStyle w:val="FooterTableFigure"/>
      </w:pPr>
      <w:r>
        <w:rPr>
          <w:rStyle w:val="FootnoteReference"/>
        </w:rPr>
        <w:footnoteRef/>
      </w:r>
      <w:r>
        <w:t xml:space="preserve"> Cleanbill Blue Report (January 2023).</w:t>
      </w:r>
    </w:p>
    <w:p w14:paraId="791CE4CC" w14:textId="77777777" w:rsidR="00B60859" w:rsidRDefault="00B60859" w:rsidP="00B60859">
      <w:pPr>
        <w:pStyle w:val="FooterTableFigure"/>
      </w:pPr>
      <w:r>
        <w:t xml:space="preserve"> </w:t>
      </w:r>
    </w:p>
  </w:footnote>
  <w:footnote w:id="32">
    <w:p w14:paraId="64826170" w14:textId="77777777" w:rsidR="00B60859" w:rsidRDefault="00B60859" w:rsidP="00B60859">
      <w:pPr>
        <w:pStyle w:val="FooterTableFigure"/>
      </w:pPr>
      <w:r>
        <w:rPr>
          <w:rStyle w:val="FootnoteReference"/>
        </w:rPr>
        <w:footnoteRef/>
      </w:r>
      <w:r>
        <w:t xml:space="preserve"> O’Sullivan BG, Kippen R, Hickson H, Wallace G. 2022. Mandatory bulk billing policies may have differential rural effects: An exploration of Australian data. </w:t>
      </w:r>
      <w:r>
        <w:rPr>
          <w:i/>
          <w:iCs/>
        </w:rPr>
        <w:t>Rural and Remote Health</w:t>
      </w:r>
      <w:r>
        <w:t>. [Journal Article]. 22(1):[1]-8.</w:t>
      </w:r>
    </w:p>
  </w:footnote>
  <w:footnote w:id="33">
    <w:p w14:paraId="6B94CE88" w14:textId="6C1B903D" w:rsidR="00B60859" w:rsidRDefault="00B60859" w:rsidP="003B3B7C">
      <w:pPr>
        <w:pStyle w:val="FooterTableFigure"/>
      </w:pPr>
      <w:r>
        <w:rPr>
          <w:rStyle w:val="FootnoteReference"/>
        </w:rPr>
        <w:footnoteRef/>
      </w:r>
      <w:r>
        <w:t xml:space="preserve"> Freed GL, Allen AR. 2018. General paediatrics outpatient consultation fees, bulk billing rates and service use patterns in Australia. </w:t>
      </w:r>
      <w:r>
        <w:rPr>
          <w:i/>
          <w:iCs/>
        </w:rPr>
        <w:t>Australian and New Zealand Journal of Public Health</w:t>
      </w:r>
      <w:r>
        <w:t>. 2018/12/01/;42(6):582-7.</w:t>
      </w:r>
    </w:p>
  </w:footnote>
  <w:footnote w:id="34">
    <w:p w14:paraId="27D71FEC" w14:textId="77777777" w:rsidR="00EA2B26" w:rsidRDefault="00EA2B26" w:rsidP="000613A7">
      <w:pPr>
        <w:pStyle w:val="FootnoteText"/>
      </w:pPr>
      <w:r>
        <w:rPr>
          <w:rStyle w:val="FootnoteReference"/>
        </w:rPr>
        <w:footnoteRef/>
      </w:r>
      <w:r>
        <w:t xml:space="preserve"> </w:t>
      </w:r>
      <w:r w:rsidRPr="00A804B2">
        <w:rPr>
          <w:rStyle w:val="FooterTableFigureChar"/>
        </w:rPr>
        <w:t>AIHW. National Perinatal Data Collection.</w:t>
      </w:r>
      <w:r>
        <w:rPr>
          <w:rStyle w:val="FooterTableFigureChar"/>
        </w:rPr>
        <w:t xml:space="preserve"> </w:t>
      </w:r>
      <w:r w:rsidRPr="00A804B2">
        <w:rPr>
          <w:rStyle w:val="FooterTableFigureChar"/>
        </w:rPr>
        <w:t xml:space="preserve">2021; Available from: </w:t>
      </w:r>
      <w:hyperlink r:id="rId5" w:history="1">
        <w:r w:rsidRPr="00A804B2">
          <w:rPr>
            <w:rStyle w:val="FooterTableFigureChar"/>
          </w:rPr>
          <w:t>https://www.aihw.gov.au/about-our-data/our-data-collections/national-perinatal-data-collection</w:t>
        </w:r>
      </w:hyperlink>
      <w:r w:rsidRPr="00A804B2">
        <w:rPr>
          <w:rStyle w:val="FooterTableFigureChar"/>
        </w:rPr>
        <w:t>.</w:t>
      </w:r>
    </w:p>
  </w:footnote>
  <w:footnote w:id="35">
    <w:p w14:paraId="24715421" w14:textId="5873B2E0" w:rsidR="00F43500" w:rsidRPr="000E5BD3" w:rsidRDefault="00F43500" w:rsidP="00FA2DA6">
      <w:pPr>
        <w:pStyle w:val="FooterTableFigure"/>
        <w:spacing w:after="0"/>
      </w:pPr>
      <w:r w:rsidRPr="000E5BD3">
        <w:rPr>
          <w:rStyle w:val="FootnoteReference"/>
        </w:rPr>
        <w:footnoteRef/>
      </w:r>
      <w:r w:rsidRPr="000E5BD3">
        <w:t xml:space="preserve"> Financial estimates were revised to assume one vaccine unit per vaccinated person.</w:t>
      </w:r>
    </w:p>
  </w:footnote>
  <w:footnote w:id="36">
    <w:p w14:paraId="0F24A0F1" w14:textId="77777777" w:rsidR="00E63BA1" w:rsidRPr="00FA2DA6" w:rsidRDefault="00E63BA1" w:rsidP="00FA2DA6">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cstheme="minorHAnsi"/>
          <w:color w:val="212121"/>
          <w:sz w:val="18"/>
          <w:szCs w:val="18"/>
          <w:shd w:val="clear" w:color="auto" w:fill="FFFFFF"/>
        </w:rPr>
        <w:t>Giles ML, Krishnaswamy S, Coote W, Davey MA. Factors Associated with Early Versus Late Uptake of the COVID-19 Vaccine during Pregnancy over Time in Australia: A Population-Based Cohort Study. Vaccines (Basel). 2023;11(11):1713. doi:10.3390/vaccines11111713</w:t>
      </w:r>
    </w:p>
  </w:footnote>
  <w:footnote w:id="37">
    <w:p w14:paraId="0B3EE737" w14:textId="77777777" w:rsidR="00E63BA1" w:rsidRPr="00FA2DA6" w:rsidRDefault="00E63BA1" w:rsidP="00E63BA1">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cstheme="minorHAnsi"/>
          <w:color w:val="1C1D1E"/>
          <w:sz w:val="18"/>
          <w:szCs w:val="18"/>
          <w:shd w:val="clear" w:color="auto" w:fill="FFFFFF"/>
        </w:rPr>
        <w:t>McRae, J.E., McHugh, L., King, C., Beard, F.H., Blyth, C.C., Danchin, M.H., Giles, M.L., Mohammed, H., Wood, N. and Macartney, K. (2023), Influenza and pertussis vaccine coverage in pregnancy in Australia, 2016–2021. Med J Aust, 218: 528-541. </w:t>
      </w:r>
      <w:hyperlink r:id="rId6" w:history="1">
        <w:r w:rsidRPr="00FA2DA6">
          <w:rPr>
            <w:rStyle w:val="Hyperlink"/>
            <w:rFonts w:ascii="Arial Narrow" w:hAnsi="Arial Narrow" w:cstheme="minorHAnsi"/>
            <w:sz w:val="18"/>
            <w:szCs w:val="18"/>
            <w:shd w:val="clear" w:color="auto" w:fill="FFFFFF"/>
          </w:rPr>
          <w:t>https://doi.org/10.5694/mja2.51989</w:t>
        </w:r>
      </w:hyperlink>
    </w:p>
  </w:footnote>
  <w:footnote w:id="38">
    <w:p w14:paraId="311535C2" w14:textId="77777777" w:rsidR="00FE36D8" w:rsidRPr="00FA2DA6" w:rsidRDefault="00FE36D8" w:rsidP="00FE36D8">
      <w:pPr>
        <w:pStyle w:val="FootnoteText"/>
        <w:rPr>
          <w:rFonts w:ascii="Arial Narrow" w:hAnsi="Arial Narrow"/>
          <w:sz w:val="18"/>
          <w:szCs w:val="18"/>
        </w:rPr>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cstheme="minorHAnsi"/>
          <w:color w:val="212121"/>
          <w:sz w:val="18"/>
          <w:szCs w:val="18"/>
          <w:shd w:val="clear" w:color="auto" w:fill="FFFFFF"/>
        </w:rPr>
        <w:t>Miraglia Del Giudice G, Sansone V, Airoma F, Angelillo S, Licata F, Di Giuseppe G. Respiratory Syncytial Virus: Willingness towards a Future Vaccine among Pregnant Women in Italy. </w:t>
      </w:r>
      <w:r w:rsidRPr="00FA2DA6">
        <w:rPr>
          <w:rFonts w:ascii="Arial Narrow" w:hAnsi="Arial Narrow" w:cstheme="minorHAnsi"/>
          <w:i/>
          <w:iCs/>
          <w:color w:val="212121"/>
          <w:sz w:val="18"/>
          <w:szCs w:val="18"/>
          <w:shd w:val="clear" w:color="auto" w:fill="FFFFFF"/>
        </w:rPr>
        <w:t>Vaccines (Basel).</w:t>
      </w:r>
      <w:r w:rsidRPr="00FA2DA6">
        <w:rPr>
          <w:rFonts w:ascii="Arial Narrow" w:hAnsi="Arial Narrow" w:cstheme="minorHAnsi"/>
          <w:color w:val="212121"/>
          <w:sz w:val="18"/>
          <w:szCs w:val="18"/>
          <w:shd w:val="clear" w:color="auto" w:fill="FFFFFF"/>
        </w:rPr>
        <w:t xml:space="preserve"> 2023;11(11):1691. doi:10.3390/vaccines11111691</w:t>
      </w:r>
    </w:p>
  </w:footnote>
  <w:footnote w:id="39">
    <w:p w14:paraId="15BC1378" w14:textId="77777777" w:rsidR="00FE36D8" w:rsidRDefault="00FE36D8" w:rsidP="00FE36D8">
      <w:pPr>
        <w:pStyle w:val="FootnoteText"/>
      </w:pPr>
      <w:r w:rsidRPr="00FA2DA6">
        <w:rPr>
          <w:rStyle w:val="FootnoteReference"/>
          <w:rFonts w:ascii="Arial Narrow" w:hAnsi="Arial Narrow"/>
          <w:sz w:val="18"/>
          <w:szCs w:val="18"/>
        </w:rPr>
        <w:footnoteRef/>
      </w:r>
      <w:r w:rsidRPr="00FA2DA6">
        <w:rPr>
          <w:rFonts w:ascii="Arial Narrow" w:hAnsi="Arial Narrow"/>
          <w:sz w:val="18"/>
          <w:szCs w:val="18"/>
        </w:rPr>
        <w:t xml:space="preserve"> Centers for Disease Control and Prevention. Respiratory Syncital Virus (RSV) Vaccination Coverage, Pregnant Persons, United States. Accessed from: https://www.ncbi.nlm.nih.gov/pmc/articles/PMC10674197/</w:t>
      </w:r>
    </w:p>
  </w:footnote>
  <w:footnote w:id="40">
    <w:p w14:paraId="6514FFB4" w14:textId="77777777" w:rsidR="00DD6B8D" w:rsidRPr="00FA2DA6" w:rsidRDefault="00DD6B8D" w:rsidP="00DD6B8D">
      <w:pPr>
        <w:pStyle w:val="FootnoteText"/>
        <w:rPr>
          <w:rFonts w:ascii="Arial Narrow" w:hAnsi="Arial Narrow"/>
          <w:sz w:val="18"/>
          <w:szCs w:val="18"/>
        </w:rPr>
      </w:pPr>
      <w:r>
        <w:rPr>
          <w:rStyle w:val="FootnoteReference"/>
        </w:rPr>
        <w:footnoteRef/>
      </w:r>
      <w:r w:rsidRPr="00FA2DA6">
        <w:rPr>
          <w:rFonts w:ascii="Arial Narrow" w:hAnsi="Arial Narrow"/>
          <w:sz w:val="18"/>
          <w:szCs w:val="18"/>
        </w:rPr>
        <w:t xml:space="preserve"> </w:t>
      </w:r>
      <w:r w:rsidRPr="00FA2DA6">
        <w:rPr>
          <w:rFonts w:ascii="Arial Narrow" w:hAnsi="Arial Narrow" w:cstheme="minorHAnsi"/>
          <w:color w:val="1C1D1E"/>
          <w:sz w:val="18"/>
          <w:szCs w:val="18"/>
          <w:shd w:val="clear" w:color="auto" w:fill="FFFFFF"/>
        </w:rPr>
        <w:t>McRae, J.E., McHugh, L., King, C., Beard, F.H., Blyth, C.C., Danchin, M.H., Giles, M.L., Mohammed, H., Wood, N. and Macartney, K. (2023), Influenza and pertussis vaccine coverage in pregnancy in Australia, 2016–2021. Med J Aust, 218: 528-541. </w:t>
      </w:r>
      <w:hyperlink r:id="rId7" w:history="1">
        <w:r w:rsidRPr="00FA2DA6">
          <w:rPr>
            <w:rStyle w:val="Hyperlink"/>
            <w:rFonts w:ascii="Arial Narrow" w:hAnsi="Arial Narrow" w:cstheme="minorHAnsi"/>
            <w:sz w:val="18"/>
            <w:szCs w:val="18"/>
            <w:shd w:val="clear" w:color="auto" w:fill="FFFFFF"/>
          </w:rPr>
          <w:t>https://doi.org/10.5694/mja2.51989</w:t>
        </w:r>
      </w:hyperlink>
    </w:p>
  </w:footnote>
  <w:footnote w:id="41">
    <w:p w14:paraId="0B8BFCD2" w14:textId="77777777" w:rsidR="00737FCA" w:rsidRDefault="00737FCA" w:rsidP="00737FCA">
      <w:pPr>
        <w:pStyle w:val="FootnoteText"/>
      </w:pPr>
      <w:r w:rsidRPr="00FA2DA6">
        <w:rPr>
          <w:rStyle w:val="FootnoteReference"/>
          <w:rFonts w:ascii="Arial Narrow" w:hAnsi="Arial Narrow"/>
          <w:sz w:val="18"/>
          <w:szCs w:val="18"/>
        </w:rPr>
        <w:footnoteRef/>
      </w:r>
      <w:r w:rsidRPr="00FA2DA6">
        <w:rPr>
          <w:rFonts w:ascii="Arial Narrow" w:hAnsi="Arial Narrow"/>
          <w:sz w:val="18"/>
          <w:szCs w:val="18"/>
        </w:rPr>
        <w:t xml:space="preserve"> </w:t>
      </w:r>
      <w:r w:rsidRPr="00FA2DA6">
        <w:rPr>
          <w:rFonts w:ascii="Arial Narrow" w:hAnsi="Arial Narrow" w:cstheme="minorHAnsi"/>
          <w:sz w:val="18"/>
          <w:szCs w:val="18"/>
        </w:rPr>
        <w:t>J</w:t>
      </w:r>
      <w:r w:rsidRPr="00FA2DA6">
        <w:rPr>
          <w:rStyle w:val="author"/>
          <w:rFonts w:ascii="Arial Narrow" w:hAnsi="Arial Narrow" w:cstheme="minorHAnsi"/>
          <w:color w:val="1C1D1E"/>
          <w:sz w:val="18"/>
          <w:szCs w:val="18"/>
          <w:shd w:val="clear" w:color="auto" w:fill="FFFFFF"/>
        </w:rPr>
        <w:t>avid N</w:t>
      </w:r>
      <w:r w:rsidRPr="00FA2DA6">
        <w:rPr>
          <w:rFonts w:ascii="Arial Narrow" w:hAnsi="Arial Narrow" w:cstheme="minorHAnsi"/>
          <w:color w:val="1C1D1E"/>
          <w:sz w:val="18"/>
          <w:szCs w:val="18"/>
          <w:shd w:val="clear" w:color="auto" w:fill="FFFFFF"/>
        </w:rPr>
        <w:t>, </w:t>
      </w:r>
      <w:r w:rsidRPr="00FA2DA6">
        <w:rPr>
          <w:rStyle w:val="author"/>
          <w:rFonts w:ascii="Arial Narrow" w:hAnsi="Arial Narrow" w:cstheme="minorHAnsi"/>
          <w:color w:val="1C1D1E"/>
          <w:sz w:val="18"/>
          <w:szCs w:val="18"/>
          <w:shd w:val="clear" w:color="auto" w:fill="FFFFFF"/>
        </w:rPr>
        <w:t>Phipps H</w:t>
      </w:r>
      <w:r w:rsidRPr="00FA2DA6">
        <w:rPr>
          <w:rFonts w:ascii="Arial Narrow" w:hAnsi="Arial Narrow" w:cstheme="minorHAnsi"/>
          <w:color w:val="1C1D1E"/>
          <w:sz w:val="18"/>
          <w:szCs w:val="18"/>
          <w:shd w:val="clear" w:color="auto" w:fill="FFFFFF"/>
        </w:rPr>
        <w:t>, </w:t>
      </w:r>
      <w:r w:rsidRPr="00FA2DA6">
        <w:rPr>
          <w:rStyle w:val="author"/>
          <w:rFonts w:ascii="Arial Narrow" w:hAnsi="Arial Narrow" w:cstheme="minorHAnsi"/>
          <w:color w:val="1C1D1E"/>
          <w:sz w:val="18"/>
          <w:szCs w:val="18"/>
          <w:shd w:val="clear" w:color="auto" w:fill="FFFFFF"/>
        </w:rPr>
        <w:t>Homer C</w:t>
      </w:r>
      <w:r w:rsidRPr="00FA2DA6">
        <w:rPr>
          <w:rFonts w:ascii="Arial Narrow" w:hAnsi="Arial Narrow" w:cstheme="minorHAnsi"/>
          <w:color w:val="1C1D1E"/>
          <w:sz w:val="18"/>
          <w:szCs w:val="18"/>
          <w:shd w:val="clear" w:color="auto" w:fill="FFFFFF"/>
        </w:rPr>
        <w:t>, et al. </w:t>
      </w:r>
      <w:r w:rsidRPr="00FA2DA6">
        <w:rPr>
          <w:rStyle w:val="articletitle"/>
          <w:rFonts w:ascii="Arial Narrow" w:hAnsi="Arial Narrow" w:cstheme="minorHAnsi"/>
          <w:color w:val="1C1D1E"/>
          <w:sz w:val="18"/>
          <w:szCs w:val="18"/>
          <w:shd w:val="clear" w:color="auto" w:fill="FFFFFF"/>
        </w:rPr>
        <w:t>Factors influencing uptake of the COVID-19 vaccination among pregnant women in Australia: A cross-sectional survey</w:t>
      </w:r>
      <w:r w:rsidRPr="00FA2DA6">
        <w:rPr>
          <w:rFonts w:ascii="Arial Narrow" w:hAnsi="Arial Narrow" w:cstheme="minorHAnsi"/>
          <w:color w:val="1C1D1E"/>
          <w:sz w:val="18"/>
          <w:szCs w:val="18"/>
          <w:shd w:val="clear" w:color="auto" w:fill="FFFFFF"/>
        </w:rPr>
        <w:t>. </w:t>
      </w:r>
      <w:r w:rsidRPr="00FA2DA6">
        <w:rPr>
          <w:rFonts w:ascii="Arial Narrow" w:hAnsi="Arial Narrow" w:cstheme="minorHAnsi"/>
          <w:i/>
          <w:iCs/>
          <w:color w:val="1C1D1E"/>
          <w:sz w:val="18"/>
          <w:szCs w:val="18"/>
          <w:shd w:val="clear" w:color="auto" w:fill="FFFFFF"/>
        </w:rPr>
        <w:t>Birth</w:t>
      </w:r>
      <w:r w:rsidRPr="00FA2DA6">
        <w:rPr>
          <w:rFonts w:ascii="Arial Narrow" w:hAnsi="Arial Narrow" w:cstheme="minorHAnsi"/>
          <w:color w:val="1C1D1E"/>
          <w:sz w:val="18"/>
          <w:szCs w:val="18"/>
          <w:shd w:val="clear" w:color="auto" w:fill="FFFFFF"/>
        </w:rPr>
        <w:t>. </w:t>
      </w:r>
      <w:r w:rsidRPr="00FA2DA6">
        <w:rPr>
          <w:rStyle w:val="pubyear"/>
          <w:rFonts w:ascii="Arial Narrow" w:hAnsi="Arial Narrow" w:cstheme="minorHAnsi"/>
          <w:color w:val="1C1D1E"/>
          <w:sz w:val="18"/>
          <w:szCs w:val="18"/>
          <w:shd w:val="clear" w:color="auto" w:fill="FFFFFF"/>
        </w:rPr>
        <w:t>2023</w:t>
      </w:r>
      <w:r w:rsidRPr="00FA2DA6">
        <w:rPr>
          <w:rFonts w:ascii="Arial Narrow" w:hAnsi="Arial Narrow" w:cstheme="minorHAnsi"/>
          <w:color w:val="1C1D1E"/>
          <w:sz w:val="18"/>
          <w:szCs w:val="18"/>
          <w:shd w:val="clear" w:color="auto" w:fill="FFFFFF"/>
        </w:rPr>
        <w:t>; </w:t>
      </w:r>
      <w:r w:rsidRPr="00FA2DA6">
        <w:rPr>
          <w:rStyle w:val="vol"/>
          <w:rFonts w:ascii="Arial Narrow" w:eastAsiaTheme="majorEastAsia" w:hAnsi="Arial Narrow" w:cstheme="minorHAnsi"/>
          <w:color w:val="1C1D1E"/>
          <w:sz w:val="18"/>
          <w:szCs w:val="18"/>
          <w:shd w:val="clear" w:color="auto" w:fill="FFFFFF"/>
        </w:rPr>
        <w:t>50</w:t>
      </w:r>
      <w:r w:rsidRPr="00FA2DA6">
        <w:rPr>
          <w:rFonts w:ascii="Arial Narrow" w:hAnsi="Arial Narrow" w:cstheme="minorHAnsi"/>
          <w:color w:val="1C1D1E"/>
          <w:sz w:val="18"/>
          <w:szCs w:val="18"/>
          <w:shd w:val="clear" w:color="auto" w:fill="FFFFFF"/>
        </w:rPr>
        <w:t>: </w:t>
      </w:r>
      <w:r w:rsidRPr="00FA2DA6">
        <w:rPr>
          <w:rStyle w:val="pagefirst"/>
          <w:rFonts w:ascii="Arial Narrow" w:hAnsi="Arial Narrow" w:cstheme="minorHAnsi"/>
          <w:color w:val="1C1D1E"/>
          <w:sz w:val="18"/>
          <w:szCs w:val="18"/>
          <w:shd w:val="clear" w:color="auto" w:fill="FFFFFF"/>
        </w:rPr>
        <w:t>877</w:t>
      </w:r>
      <w:r w:rsidRPr="00FA2DA6">
        <w:rPr>
          <w:rFonts w:ascii="Arial Narrow" w:hAnsi="Arial Narrow" w:cstheme="minorHAnsi"/>
          <w:color w:val="1C1D1E"/>
          <w:sz w:val="18"/>
          <w:szCs w:val="18"/>
          <w:shd w:val="clear" w:color="auto" w:fill="FFFFFF"/>
        </w:rPr>
        <w:t>-</w:t>
      </w:r>
      <w:r w:rsidRPr="00FA2DA6">
        <w:rPr>
          <w:rStyle w:val="pagelast"/>
          <w:rFonts w:ascii="Arial Narrow" w:hAnsi="Arial Narrow" w:cstheme="minorHAnsi"/>
          <w:color w:val="1C1D1E"/>
          <w:sz w:val="18"/>
          <w:szCs w:val="18"/>
          <w:shd w:val="clear" w:color="auto" w:fill="FFFFFF"/>
        </w:rPr>
        <w:t>889</w:t>
      </w:r>
      <w:r w:rsidRPr="00FA2DA6">
        <w:rPr>
          <w:rFonts w:ascii="Arial Narrow" w:hAnsi="Arial Narrow" w:cstheme="minorHAnsi"/>
          <w:color w:val="1C1D1E"/>
          <w:sz w:val="18"/>
          <w:szCs w:val="18"/>
          <w:shd w:val="clear" w:color="auto" w:fill="FFFFFF"/>
        </w:rPr>
        <w:t>. doi:</w:t>
      </w:r>
      <w:hyperlink r:id="rId8" w:history="1">
        <w:r w:rsidRPr="00FA2DA6">
          <w:rPr>
            <w:rStyle w:val="Hyperlink"/>
            <w:rFonts w:ascii="Arial Narrow" w:hAnsi="Arial Narrow" w:cstheme="minorHAnsi"/>
            <w:sz w:val="18"/>
            <w:szCs w:val="18"/>
            <w:shd w:val="clear" w:color="auto" w:fill="FFFFFF"/>
          </w:rPr>
          <w:t>10.1111/birt.12741</w:t>
        </w:r>
      </w:hyperlink>
    </w:p>
  </w:footnote>
  <w:footnote w:id="42">
    <w:p w14:paraId="63839F2B" w14:textId="77777777" w:rsidR="00DB24CC" w:rsidRPr="00FA2DA6" w:rsidRDefault="007164AD" w:rsidP="007164AD">
      <w:pPr>
        <w:pStyle w:val="FootnoteText"/>
        <w:rPr>
          <w:rFonts w:ascii="Arial Narrow" w:hAnsi="Arial Narrow"/>
          <w:i/>
          <w:iCs/>
          <w:sz w:val="18"/>
          <w:szCs w:val="18"/>
        </w:rPr>
      </w:pPr>
      <w:r w:rsidRPr="00FA2DA6">
        <w:rPr>
          <w:rStyle w:val="FootnoteReference"/>
          <w:rFonts w:ascii="Arial Narrow" w:hAnsi="Arial Narrow"/>
          <w:i/>
          <w:iCs/>
          <w:sz w:val="18"/>
          <w:szCs w:val="18"/>
        </w:rPr>
        <w:footnoteRef/>
      </w:r>
      <w:r w:rsidRPr="00FA2DA6">
        <w:rPr>
          <w:rFonts w:ascii="Arial Narrow" w:hAnsi="Arial Narrow"/>
          <w:i/>
          <w:iCs/>
          <w:sz w:val="18"/>
          <w:szCs w:val="18"/>
        </w:rPr>
        <w:t xml:space="preserve"> </w:t>
      </w:r>
      <w:r w:rsidRPr="00FA2DA6">
        <w:rPr>
          <w:rFonts w:ascii="Arial Narrow" w:hAnsi="Arial Narrow"/>
          <w:sz w:val="18"/>
          <w:szCs w:val="18"/>
        </w:rPr>
        <w:t>Munjal, I. et al. Prevention of infant RSV illness with a bivalent RSV prefusion F vaccine administered during pregnancy: efficacy results from a phase 3 global clinical trial. 8</w:t>
      </w:r>
      <w:r w:rsidRPr="00FA2DA6">
        <w:rPr>
          <w:rFonts w:ascii="Arial Narrow" w:hAnsi="Arial Narrow"/>
          <w:sz w:val="18"/>
          <w:szCs w:val="18"/>
          <w:vertAlign w:val="superscript"/>
        </w:rPr>
        <w:t>th</w:t>
      </w:r>
      <w:r w:rsidRPr="00FA2DA6">
        <w:rPr>
          <w:rFonts w:ascii="Arial Narrow" w:hAnsi="Arial Narrow"/>
          <w:sz w:val="18"/>
          <w:szCs w:val="18"/>
        </w:rPr>
        <w:t xml:space="preserve"> ReSViNET Conference, February 13-16, 2024 (Abstract Book, p98).</w:t>
      </w:r>
    </w:p>
    <w:p w14:paraId="7604D7D3" w14:textId="3D78EF5D" w:rsidR="007164AD" w:rsidRPr="007E32D3" w:rsidRDefault="007164AD" w:rsidP="007164AD">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488" w14:textId="2C9B49A6" w:rsidR="00575AA1" w:rsidRDefault="00884EFD" w:rsidP="00D822E2">
    <w:pPr>
      <w:pStyle w:val="Header"/>
      <w:rPr>
        <w:rFonts w:asciiTheme="minorHAnsi" w:hAnsiTheme="minorHAnsi"/>
        <w:i/>
      </w:rPr>
    </w:pPr>
    <w:bookmarkStart w:id="139" w:name="_Hlk166832758"/>
    <w:r w:rsidRPr="00DD4B2C">
      <w:rPr>
        <w:rFonts w:asciiTheme="minorHAnsi" w:hAnsiTheme="minorHAnsi"/>
        <w:i/>
      </w:rPr>
      <w:t xml:space="preserve">Public Summary Document </w:t>
    </w:r>
    <w:bookmarkEnd w:id="139"/>
    <w:r w:rsidR="00C56D1A">
      <w:rPr>
        <w:rFonts w:asciiTheme="minorHAnsi" w:hAnsiTheme="minorHAnsi"/>
        <w:i/>
      </w:rPr>
      <w:t>–</w:t>
    </w:r>
    <w:r w:rsidR="006863C8" w:rsidRPr="00DD4B2C">
      <w:rPr>
        <w:rFonts w:asciiTheme="minorHAnsi" w:hAnsiTheme="minorHAnsi"/>
        <w:i/>
      </w:rPr>
      <w:t xml:space="preserve"> </w:t>
    </w:r>
    <w:r w:rsidR="00003B05" w:rsidRPr="00DD4B2C">
      <w:rPr>
        <w:rFonts w:asciiTheme="minorHAnsi" w:hAnsiTheme="minorHAnsi"/>
        <w:i/>
      </w:rPr>
      <w:t>March 2024</w:t>
    </w:r>
    <w:r w:rsidR="00575AA1" w:rsidRPr="00DD4B2C">
      <w:rPr>
        <w:rFonts w:asciiTheme="minorHAnsi" w:hAnsiTheme="minorHAnsi"/>
        <w:i/>
      </w:rPr>
      <w:t xml:space="preserve"> PBAC Meeting</w:t>
    </w:r>
    <w:r w:rsidR="002864D4">
      <w:rPr>
        <w:rFonts w:asciiTheme="minorHAnsi" w:hAnsiTheme="minorHAnsi"/>
        <w:i/>
      </w:rPr>
      <w:t xml:space="preserve"> with May 2024 Addendum</w:t>
    </w:r>
  </w:p>
  <w:p w14:paraId="167D2ECD" w14:textId="77777777" w:rsidR="00575AA1" w:rsidRPr="008C7ECB" w:rsidRDefault="0057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46D3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63817"/>
    <w:multiLevelType w:val="hybridMultilevel"/>
    <w:tmpl w:val="2C50453E"/>
    <w:lvl w:ilvl="0" w:tplc="BD527314">
      <w:start w:val="1"/>
      <w:numFmt w:val="decimal"/>
      <w:lvlText w:val="%1."/>
      <w:lvlJc w:val="left"/>
      <w:pPr>
        <w:ind w:left="1440" w:hanging="360"/>
      </w:pPr>
    </w:lvl>
    <w:lvl w:ilvl="1" w:tplc="4F000BD0">
      <w:start w:val="1"/>
      <w:numFmt w:val="decimal"/>
      <w:lvlText w:val="%2."/>
      <w:lvlJc w:val="left"/>
      <w:pPr>
        <w:ind w:left="1440" w:hanging="360"/>
      </w:pPr>
    </w:lvl>
    <w:lvl w:ilvl="2" w:tplc="7BDC225C">
      <w:start w:val="1"/>
      <w:numFmt w:val="decimal"/>
      <w:lvlText w:val="%3."/>
      <w:lvlJc w:val="left"/>
      <w:pPr>
        <w:ind w:left="1440" w:hanging="360"/>
      </w:pPr>
    </w:lvl>
    <w:lvl w:ilvl="3" w:tplc="A5589FDA">
      <w:start w:val="1"/>
      <w:numFmt w:val="decimal"/>
      <w:lvlText w:val="%4."/>
      <w:lvlJc w:val="left"/>
      <w:pPr>
        <w:ind w:left="1440" w:hanging="360"/>
      </w:pPr>
    </w:lvl>
    <w:lvl w:ilvl="4" w:tplc="F612B21C">
      <w:start w:val="1"/>
      <w:numFmt w:val="decimal"/>
      <w:lvlText w:val="%5."/>
      <w:lvlJc w:val="left"/>
      <w:pPr>
        <w:ind w:left="1440" w:hanging="360"/>
      </w:pPr>
    </w:lvl>
    <w:lvl w:ilvl="5" w:tplc="51BC2728">
      <w:start w:val="1"/>
      <w:numFmt w:val="decimal"/>
      <w:lvlText w:val="%6."/>
      <w:lvlJc w:val="left"/>
      <w:pPr>
        <w:ind w:left="1440" w:hanging="360"/>
      </w:pPr>
    </w:lvl>
    <w:lvl w:ilvl="6" w:tplc="8FDC8490">
      <w:start w:val="1"/>
      <w:numFmt w:val="decimal"/>
      <w:lvlText w:val="%7."/>
      <w:lvlJc w:val="left"/>
      <w:pPr>
        <w:ind w:left="1440" w:hanging="360"/>
      </w:pPr>
    </w:lvl>
    <w:lvl w:ilvl="7" w:tplc="FC2022CE">
      <w:start w:val="1"/>
      <w:numFmt w:val="decimal"/>
      <w:lvlText w:val="%8."/>
      <w:lvlJc w:val="left"/>
      <w:pPr>
        <w:ind w:left="1440" w:hanging="360"/>
      </w:pPr>
    </w:lvl>
    <w:lvl w:ilvl="8" w:tplc="8B7EDC22">
      <w:start w:val="1"/>
      <w:numFmt w:val="decimal"/>
      <w:lvlText w:val="%9."/>
      <w:lvlJc w:val="left"/>
      <w:pPr>
        <w:ind w:left="1440" w:hanging="360"/>
      </w:pPr>
    </w:lvl>
  </w:abstractNum>
  <w:abstractNum w:abstractNumId="2" w15:restartNumberingAfterBreak="0">
    <w:nsid w:val="1A310FE6"/>
    <w:multiLevelType w:val="hybridMultilevel"/>
    <w:tmpl w:val="4D8A1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4C00"/>
    <w:multiLevelType w:val="hybridMultilevel"/>
    <w:tmpl w:val="E3DAAA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303C488F"/>
    <w:multiLevelType w:val="hybridMultilevel"/>
    <w:tmpl w:val="FFFFFFFF"/>
    <w:lvl w:ilvl="0" w:tplc="E7589A84">
      <w:start w:val="1"/>
      <w:numFmt w:val="bullet"/>
      <w:lvlText w:val="·"/>
      <w:lvlJc w:val="left"/>
      <w:pPr>
        <w:ind w:left="720" w:hanging="360"/>
      </w:pPr>
      <w:rPr>
        <w:rFonts w:ascii="Symbol" w:hAnsi="Symbol" w:hint="default"/>
      </w:rPr>
    </w:lvl>
    <w:lvl w:ilvl="1" w:tplc="2D3EF8AA">
      <w:start w:val="1"/>
      <w:numFmt w:val="bullet"/>
      <w:lvlText w:val="o"/>
      <w:lvlJc w:val="left"/>
      <w:pPr>
        <w:ind w:left="1440" w:hanging="360"/>
      </w:pPr>
      <w:rPr>
        <w:rFonts w:ascii="Courier New" w:hAnsi="Courier New" w:hint="default"/>
      </w:rPr>
    </w:lvl>
    <w:lvl w:ilvl="2" w:tplc="47EA49F0">
      <w:start w:val="1"/>
      <w:numFmt w:val="bullet"/>
      <w:lvlText w:val=""/>
      <w:lvlJc w:val="left"/>
      <w:pPr>
        <w:ind w:left="2160" w:hanging="360"/>
      </w:pPr>
      <w:rPr>
        <w:rFonts w:ascii="Wingdings" w:hAnsi="Wingdings" w:hint="default"/>
      </w:rPr>
    </w:lvl>
    <w:lvl w:ilvl="3" w:tplc="04384C60">
      <w:start w:val="1"/>
      <w:numFmt w:val="bullet"/>
      <w:lvlText w:val=""/>
      <w:lvlJc w:val="left"/>
      <w:pPr>
        <w:ind w:left="2880" w:hanging="360"/>
      </w:pPr>
      <w:rPr>
        <w:rFonts w:ascii="Symbol" w:hAnsi="Symbol" w:hint="default"/>
      </w:rPr>
    </w:lvl>
    <w:lvl w:ilvl="4" w:tplc="4E6E4762">
      <w:start w:val="1"/>
      <w:numFmt w:val="bullet"/>
      <w:lvlText w:val="o"/>
      <w:lvlJc w:val="left"/>
      <w:pPr>
        <w:ind w:left="3600" w:hanging="360"/>
      </w:pPr>
      <w:rPr>
        <w:rFonts w:ascii="Courier New" w:hAnsi="Courier New" w:hint="default"/>
      </w:rPr>
    </w:lvl>
    <w:lvl w:ilvl="5" w:tplc="CC5C6260">
      <w:start w:val="1"/>
      <w:numFmt w:val="bullet"/>
      <w:lvlText w:val=""/>
      <w:lvlJc w:val="left"/>
      <w:pPr>
        <w:ind w:left="4320" w:hanging="360"/>
      </w:pPr>
      <w:rPr>
        <w:rFonts w:ascii="Wingdings" w:hAnsi="Wingdings" w:hint="default"/>
      </w:rPr>
    </w:lvl>
    <w:lvl w:ilvl="6" w:tplc="9286B780">
      <w:start w:val="1"/>
      <w:numFmt w:val="bullet"/>
      <w:lvlText w:val=""/>
      <w:lvlJc w:val="left"/>
      <w:pPr>
        <w:ind w:left="5040" w:hanging="360"/>
      </w:pPr>
      <w:rPr>
        <w:rFonts w:ascii="Symbol" w:hAnsi="Symbol" w:hint="default"/>
      </w:rPr>
    </w:lvl>
    <w:lvl w:ilvl="7" w:tplc="5052DE8C">
      <w:start w:val="1"/>
      <w:numFmt w:val="bullet"/>
      <w:lvlText w:val="o"/>
      <w:lvlJc w:val="left"/>
      <w:pPr>
        <w:ind w:left="5760" w:hanging="360"/>
      </w:pPr>
      <w:rPr>
        <w:rFonts w:ascii="Courier New" w:hAnsi="Courier New" w:hint="default"/>
      </w:rPr>
    </w:lvl>
    <w:lvl w:ilvl="8" w:tplc="1E88CE96">
      <w:start w:val="1"/>
      <w:numFmt w:val="bullet"/>
      <w:lvlText w:val=""/>
      <w:lvlJc w:val="left"/>
      <w:pPr>
        <w:ind w:left="6480" w:hanging="360"/>
      </w:pPr>
      <w:rPr>
        <w:rFonts w:ascii="Wingdings" w:hAnsi="Wingdings" w:hint="default"/>
      </w:rPr>
    </w:lvl>
  </w:abstractNum>
  <w:abstractNum w:abstractNumId="6" w15:restartNumberingAfterBreak="0">
    <w:nsid w:val="34945B3D"/>
    <w:multiLevelType w:val="hybridMultilevel"/>
    <w:tmpl w:val="E4F8C438"/>
    <w:lvl w:ilvl="0" w:tplc="796CAB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AF490B"/>
    <w:multiLevelType w:val="hybridMultilevel"/>
    <w:tmpl w:val="CA18B6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FBE062E4"/>
    <w:lvl w:ilvl="0" w:tplc="1A9A003E">
      <w:start w:val="1"/>
      <w:numFmt w:val="bullet"/>
      <w:pStyle w:val="ListParagraph"/>
      <w:lvlText w:val=""/>
      <w:lvlJc w:val="left"/>
      <w:pPr>
        <w:ind w:left="1211"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06141"/>
    <w:multiLevelType w:val="hybridMultilevel"/>
    <w:tmpl w:val="7EBEC228"/>
    <w:lvl w:ilvl="0" w:tplc="10140D92">
      <w:start w:val="1"/>
      <w:numFmt w:val="bullet"/>
      <w:lvlText w:val=""/>
      <w:lvlJc w:val="left"/>
      <w:pPr>
        <w:ind w:left="720" w:hanging="360"/>
      </w:pPr>
      <w:rPr>
        <w:rFonts w:ascii="Symbol" w:hAnsi="Symbol" w:hint="default"/>
      </w:rPr>
    </w:lvl>
    <w:lvl w:ilvl="1" w:tplc="06E4CF10">
      <w:start w:val="1"/>
      <w:numFmt w:val="bullet"/>
      <w:lvlText w:val="o"/>
      <w:lvlJc w:val="left"/>
      <w:pPr>
        <w:ind w:left="1440" w:hanging="360"/>
      </w:pPr>
      <w:rPr>
        <w:rFonts w:ascii="Courier New" w:hAnsi="Courier New" w:hint="default"/>
      </w:rPr>
    </w:lvl>
    <w:lvl w:ilvl="2" w:tplc="56B23C9A">
      <w:start w:val="1"/>
      <w:numFmt w:val="bullet"/>
      <w:lvlText w:val=""/>
      <w:lvlJc w:val="left"/>
      <w:pPr>
        <w:ind w:left="2160" w:hanging="360"/>
      </w:pPr>
      <w:rPr>
        <w:rFonts w:ascii="Wingdings" w:hAnsi="Wingdings" w:hint="default"/>
      </w:rPr>
    </w:lvl>
    <w:lvl w:ilvl="3" w:tplc="2E10800A">
      <w:start w:val="1"/>
      <w:numFmt w:val="bullet"/>
      <w:lvlText w:val=""/>
      <w:lvlJc w:val="left"/>
      <w:pPr>
        <w:ind w:left="2880" w:hanging="360"/>
      </w:pPr>
      <w:rPr>
        <w:rFonts w:ascii="Symbol" w:hAnsi="Symbol" w:hint="default"/>
      </w:rPr>
    </w:lvl>
    <w:lvl w:ilvl="4" w:tplc="6E8C7828">
      <w:start w:val="1"/>
      <w:numFmt w:val="bullet"/>
      <w:lvlText w:val="o"/>
      <w:lvlJc w:val="left"/>
      <w:pPr>
        <w:ind w:left="3600" w:hanging="360"/>
      </w:pPr>
      <w:rPr>
        <w:rFonts w:ascii="Courier New" w:hAnsi="Courier New" w:hint="default"/>
      </w:rPr>
    </w:lvl>
    <w:lvl w:ilvl="5" w:tplc="174E612C">
      <w:start w:val="1"/>
      <w:numFmt w:val="bullet"/>
      <w:lvlText w:val=""/>
      <w:lvlJc w:val="left"/>
      <w:pPr>
        <w:ind w:left="4320" w:hanging="360"/>
      </w:pPr>
      <w:rPr>
        <w:rFonts w:ascii="Wingdings" w:hAnsi="Wingdings" w:hint="default"/>
      </w:rPr>
    </w:lvl>
    <w:lvl w:ilvl="6" w:tplc="67F6CD86">
      <w:start w:val="1"/>
      <w:numFmt w:val="bullet"/>
      <w:lvlText w:val=""/>
      <w:lvlJc w:val="left"/>
      <w:pPr>
        <w:ind w:left="5040" w:hanging="360"/>
      </w:pPr>
      <w:rPr>
        <w:rFonts w:ascii="Symbol" w:hAnsi="Symbol" w:hint="default"/>
      </w:rPr>
    </w:lvl>
    <w:lvl w:ilvl="7" w:tplc="2998F3A4">
      <w:start w:val="1"/>
      <w:numFmt w:val="bullet"/>
      <w:lvlText w:val="o"/>
      <w:lvlJc w:val="left"/>
      <w:pPr>
        <w:ind w:left="5760" w:hanging="360"/>
      </w:pPr>
      <w:rPr>
        <w:rFonts w:ascii="Courier New" w:hAnsi="Courier New" w:hint="default"/>
      </w:rPr>
    </w:lvl>
    <w:lvl w:ilvl="8" w:tplc="A48618BC">
      <w:start w:val="1"/>
      <w:numFmt w:val="bullet"/>
      <w:lvlText w:val=""/>
      <w:lvlJc w:val="left"/>
      <w:pPr>
        <w:ind w:left="6480" w:hanging="360"/>
      </w:pPr>
      <w:rPr>
        <w:rFonts w:ascii="Wingdings" w:hAnsi="Wingdings" w:hint="default"/>
      </w:rPr>
    </w:lvl>
  </w:abstractNum>
  <w:abstractNum w:abstractNumId="11" w15:restartNumberingAfterBreak="0">
    <w:nsid w:val="4D696D60"/>
    <w:multiLevelType w:val="multilevel"/>
    <w:tmpl w:val="D2F23564"/>
    <w:lvl w:ilvl="0">
      <w:start w:val="1"/>
      <w:numFmt w:val="decimal"/>
      <w:lvlText w:val="%1"/>
      <w:lvlJc w:val="left"/>
      <w:pPr>
        <w:ind w:left="720" w:hanging="720"/>
      </w:pPr>
      <w:rPr>
        <w:rFonts w:hint="default"/>
        <w:b/>
      </w:rPr>
    </w:lvl>
    <w:lvl w:ilvl="1">
      <w:start w:val="1"/>
      <w:numFmt w:val="bullet"/>
      <w:lvlText w:val=""/>
      <w:lvlJc w:val="left"/>
      <w:pPr>
        <w:ind w:left="144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D000C4"/>
    <w:multiLevelType w:val="hybridMultilevel"/>
    <w:tmpl w:val="1DA0F8D8"/>
    <w:lvl w:ilvl="0" w:tplc="2F9E31E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B310148"/>
    <w:multiLevelType w:val="hybridMultilevel"/>
    <w:tmpl w:val="0752222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784D033C"/>
    <w:multiLevelType w:val="multilevel"/>
    <w:tmpl w:val="C3F6580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47292925">
    <w:abstractNumId w:val="15"/>
  </w:num>
  <w:num w:numId="2" w16cid:durableId="1570842551">
    <w:abstractNumId w:val="8"/>
  </w:num>
  <w:num w:numId="3" w16cid:durableId="2112508162">
    <w:abstractNumId w:val="9"/>
  </w:num>
  <w:num w:numId="4" w16cid:durableId="20711073">
    <w:abstractNumId w:val="0"/>
  </w:num>
  <w:num w:numId="5" w16cid:durableId="1803690766">
    <w:abstractNumId w:val="15"/>
  </w:num>
  <w:num w:numId="6" w16cid:durableId="1562793002">
    <w:abstractNumId w:val="13"/>
  </w:num>
  <w:num w:numId="7" w16cid:durableId="44526264">
    <w:abstractNumId w:val="14"/>
  </w:num>
  <w:num w:numId="8" w16cid:durableId="1138575271">
    <w:abstractNumId w:val="2"/>
  </w:num>
  <w:num w:numId="9" w16cid:durableId="1193305982">
    <w:abstractNumId w:val="3"/>
  </w:num>
  <w:num w:numId="10" w16cid:durableId="1734889072">
    <w:abstractNumId w:val="5"/>
  </w:num>
  <w:num w:numId="11" w16cid:durableId="1208565318">
    <w:abstractNumId w:val="10"/>
  </w:num>
  <w:num w:numId="12" w16cid:durableId="850142495">
    <w:abstractNumId w:val="7"/>
  </w:num>
  <w:num w:numId="13" w16cid:durableId="1515262679">
    <w:abstractNumId w:val="11"/>
  </w:num>
  <w:num w:numId="14" w16cid:durableId="870143425">
    <w:abstractNumId w:val="12"/>
  </w:num>
  <w:num w:numId="15" w16cid:durableId="1778519728">
    <w:abstractNumId w:val="4"/>
  </w:num>
  <w:num w:numId="16" w16cid:durableId="1287198789">
    <w:abstractNumId w:val="15"/>
  </w:num>
  <w:num w:numId="17" w16cid:durableId="1278682782">
    <w:abstractNumId w:val="6"/>
  </w:num>
  <w:num w:numId="18" w16cid:durableId="1160849888">
    <w:abstractNumId w:val="1"/>
  </w:num>
  <w:num w:numId="19" w16cid:durableId="261763678">
    <w:abstractNumId w:val="15"/>
  </w:num>
  <w:num w:numId="20" w16cid:durableId="164288417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vwsr2d6sdsawepvf6vsw9qd0tft5wz9zp5&quot;&gt;Vaccine sub&lt;record-ids&gt;&lt;item&gt;1&lt;/item&gt;&lt;item&gt;2&lt;/item&gt;&lt;item&gt;3&lt;/item&gt;&lt;item&gt;4&lt;/item&gt;&lt;item&gt;5&lt;/item&gt;&lt;item&gt;6&lt;/item&gt;&lt;item&gt;7&lt;/item&gt;&lt;item&gt;9&lt;/item&gt;&lt;item&gt;10&lt;/item&gt;&lt;item&gt;11&lt;/item&gt;&lt;item&gt;12&lt;/item&gt;&lt;item&gt;13&lt;/item&gt;&lt;item&gt;16&lt;/item&gt;&lt;item&gt;17&lt;/item&gt;&lt;item&gt;18&lt;/item&gt;&lt;item&gt;19&lt;/item&gt;&lt;item&gt;20&lt;/item&gt;&lt;item&gt;23&lt;/item&gt;&lt;item&gt;24&lt;/item&gt;&lt;item&gt;25&lt;/item&gt;&lt;item&gt;26&lt;/item&gt;&lt;item&gt;27&lt;/item&gt;&lt;item&gt;28&lt;/item&gt;&lt;item&gt;29&lt;/item&gt;&lt;item&gt;30&lt;/item&gt;&lt;item&gt;31&lt;/item&gt;&lt;item&gt;32&lt;/item&gt;&lt;item&gt;33&lt;/item&gt;&lt;item&gt;34&lt;/item&gt;&lt;item&gt;35&lt;/item&gt;&lt;item&gt;36&lt;/item&gt;&lt;item&gt;38&lt;/item&gt;&lt;item&gt;39&lt;/item&gt;&lt;item&gt;41&lt;/item&gt;&lt;/record-ids&gt;&lt;/item&gt;&lt;/Libraries&gt;"/>
  </w:docVars>
  <w:rsids>
    <w:rsidRoot w:val="00E65E79"/>
    <w:rsid w:val="000005D5"/>
    <w:rsid w:val="00000790"/>
    <w:rsid w:val="00000B5A"/>
    <w:rsid w:val="0000110B"/>
    <w:rsid w:val="0000253E"/>
    <w:rsid w:val="000028CA"/>
    <w:rsid w:val="00003499"/>
    <w:rsid w:val="000036E8"/>
    <w:rsid w:val="000039B7"/>
    <w:rsid w:val="00003B05"/>
    <w:rsid w:val="00004B25"/>
    <w:rsid w:val="000051BD"/>
    <w:rsid w:val="00005545"/>
    <w:rsid w:val="000056B9"/>
    <w:rsid w:val="00005920"/>
    <w:rsid w:val="00005ED7"/>
    <w:rsid w:val="0000639A"/>
    <w:rsid w:val="0000670D"/>
    <w:rsid w:val="00006B76"/>
    <w:rsid w:val="0001141D"/>
    <w:rsid w:val="00011696"/>
    <w:rsid w:val="00011B33"/>
    <w:rsid w:val="0001212D"/>
    <w:rsid w:val="00013247"/>
    <w:rsid w:val="00015886"/>
    <w:rsid w:val="000162EF"/>
    <w:rsid w:val="00017668"/>
    <w:rsid w:val="000206B6"/>
    <w:rsid w:val="000207C9"/>
    <w:rsid w:val="0002158B"/>
    <w:rsid w:val="000220FC"/>
    <w:rsid w:val="0002225F"/>
    <w:rsid w:val="00022745"/>
    <w:rsid w:val="00023763"/>
    <w:rsid w:val="00023E42"/>
    <w:rsid w:val="00024B7A"/>
    <w:rsid w:val="00024EB5"/>
    <w:rsid w:val="00025801"/>
    <w:rsid w:val="00026564"/>
    <w:rsid w:val="000274B8"/>
    <w:rsid w:val="000318CF"/>
    <w:rsid w:val="00032705"/>
    <w:rsid w:val="00032DED"/>
    <w:rsid w:val="00033863"/>
    <w:rsid w:val="000338F8"/>
    <w:rsid w:val="00035DC0"/>
    <w:rsid w:val="00035E8F"/>
    <w:rsid w:val="00036829"/>
    <w:rsid w:val="00040895"/>
    <w:rsid w:val="00041024"/>
    <w:rsid w:val="000410A0"/>
    <w:rsid w:val="00041DCE"/>
    <w:rsid w:val="00042688"/>
    <w:rsid w:val="000435EE"/>
    <w:rsid w:val="00043C37"/>
    <w:rsid w:val="00043EE0"/>
    <w:rsid w:val="000445C6"/>
    <w:rsid w:val="000447B4"/>
    <w:rsid w:val="00045017"/>
    <w:rsid w:val="00045A2B"/>
    <w:rsid w:val="0004698F"/>
    <w:rsid w:val="00046D64"/>
    <w:rsid w:val="00046E54"/>
    <w:rsid w:val="000508C2"/>
    <w:rsid w:val="00051135"/>
    <w:rsid w:val="00051BC7"/>
    <w:rsid w:val="000539D0"/>
    <w:rsid w:val="00054621"/>
    <w:rsid w:val="000546D7"/>
    <w:rsid w:val="00054A8D"/>
    <w:rsid w:val="00056A48"/>
    <w:rsid w:val="00056DBF"/>
    <w:rsid w:val="00056ECF"/>
    <w:rsid w:val="00057123"/>
    <w:rsid w:val="000604DF"/>
    <w:rsid w:val="00060533"/>
    <w:rsid w:val="00060D7A"/>
    <w:rsid w:val="000613A7"/>
    <w:rsid w:val="00062324"/>
    <w:rsid w:val="00062914"/>
    <w:rsid w:val="000631DA"/>
    <w:rsid w:val="000653B5"/>
    <w:rsid w:val="00065932"/>
    <w:rsid w:val="00066360"/>
    <w:rsid w:val="00066AF8"/>
    <w:rsid w:val="00067D83"/>
    <w:rsid w:val="00071248"/>
    <w:rsid w:val="00071A99"/>
    <w:rsid w:val="000720B9"/>
    <w:rsid w:val="000737F7"/>
    <w:rsid w:val="00073C72"/>
    <w:rsid w:val="0007409D"/>
    <w:rsid w:val="00074E81"/>
    <w:rsid w:val="000766CD"/>
    <w:rsid w:val="0007672F"/>
    <w:rsid w:val="00076B54"/>
    <w:rsid w:val="0007705B"/>
    <w:rsid w:val="000774F0"/>
    <w:rsid w:val="0007768B"/>
    <w:rsid w:val="00080909"/>
    <w:rsid w:val="00080A57"/>
    <w:rsid w:val="00080EC9"/>
    <w:rsid w:val="0008126F"/>
    <w:rsid w:val="000812CA"/>
    <w:rsid w:val="00081E63"/>
    <w:rsid w:val="0008258D"/>
    <w:rsid w:val="000834E8"/>
    <w:rsid w:val="00083B8B"/>
    <w:rsid w:val="00083E99"/>
    <w:rsid w:val="00084FA8"/>
    <w:rsid w:val="000854FE"/>
    <w:rsid w:val="000856C5"/>
    <w:rsid w:val="00085C31"/>
    <w:rsid w:val="000869D6"/>
    <w:rsid w:val="000902D9"/>
    <w:rsid w:val="00090C7E"/>
    <w:rsid w:val="000911AC"/>
    <w:rsid w:val="00092600"/>
    <w:rsid w:val="0009262B"/>
    <w:rsid w:val="00093310"/>
    <w:rsid w:val="00093AC7"/>
    <w:rsid w:val="00093DB0"/>
    <w:rsid w:val="0009445C"/>
    <w:rsid w:val="000947B8"/>
    <w:rsid w:val="00094807"/>
    <w:rsid w:val="00095200"/>
    <w:rsid w:val="00095FE5"/>
    <w:rsid w:val="0009601D"/>
    <w:rsid w:val="00096284"/>
    <w:rsid w:val="00096883"/>
    <w:rsid w:val="0009757F"/>
    <w:rsid w:val="00097AEC"/>
    <w:rsid w:val="00097BF0"/>
    <w:rsid w:val="000A1248"/>
    <w:rsid w:val="000A1BC0"/>
    <w:rsid w:val="000A2F9E"/>
    <w:rsid w:val="000A37C1"/>
    <w:rsid w:val="000A3E47"/>
    <w:rsid w:val="000A4B8F"/>
    <w:rsid w:val="000A522B"/>
    <w:rsid w:val="000A524B"/>
    <w:rsid w:val="000A6039"/>
    <w:rsid w:val="000A6C6A"/>
    <w:rsid w:val="000A7453"/>
    <w:rsid w:val="000A769E"/>
    <w:rsid w:val="000A7D08"/>
    <w:rsid w:val="000B0121"/>
    <w:rsid w:val="000B0670"/>
    <w:rsid w:val="000B0729"/>
    <w:rsid w:val="000B0E75"/>
    <w:rsid w:val="000B0F92"/>
    <w:rsid w:val="000B2C4C"/>
    <w:rsid w:val="000B2DCB"/>
    <w:rsid w:val="000B3C03"/>
    <w:rsid w:val="000B4056"/>
    <w:rsid w:val="000B408D"/>
    <w:rsid w:val="000B5CE0"/>
    <w:rsid w:val="000B6CAC"/>
    <w:rsid w:val="000B7612"/>
    <w:rsid w:val="000B78AE"/>
    <w:rsid w:val="000C0C5F"/>
    <w:rsid w:val="000C193B"/>
    <w:rsid w:val="000C1D7E"/>
    <w:rsid w:val="000C3DF9"/>
    <w:rsid w:val="000C4CF2"/>
    <w:rsid w:val="000C5984"/>
    <w:rsid w:val="000C6713"/>
    <w:rsid w:val="000C6C3D"/>
    <w:rsid w:val="000D0BBC"/>
    <w:rsid w:val="000D1BA5"/>
    <w:rsid w:val="000D1BFC"/>
    <w:rsid w:val="000D1D5D"/>
    <w:rsid w:val="000D2263"/>
    <w:rsid w:val="000D281A"/>
    <w:rsid w:val="000D2848"/>
    <w:rsid w:val="000D2AF9"/>
    <w:rsid w:val="000D326A"/>
    <w:rsid w:val="000D51FB"/>
    <w:rsid w:val="000D769D"/>
    <w:rsid w:val="000E0640"/>
    <w:rsid w:val="000E0C6B"/>
    <w:rsid w:val="000E135D"/>
    <w:rsid w:val="000E2CE1"/>
    <w:rsid w:val="000E50BA"/>
    <w:rsid w:val="000E5BD3"/>
    <w:rsid w:val="000F00BA"/>
    <w:rsid w:val="000F0F85"/>
    <w:rsid w:val="000F2434"/>
    <w:rsid w:val="000F268F"/>
    <w:rsid w:val="000F2E1D"/>
    <w:rsid w:val="000F316A"/>
    <w:rsid w:val="000F3C74"/>
    <w:rsid w:val="000F4BB8"/>
    <w:rsid w:val="000F4FA9"/>
    <w:rsid w:val="000F53FB"/>
    <w:rsid w:val="000F7127"/>
    <w:rsid w:val="000F7B54"/>
    <w:rsid w:val="001000B3"/>
    <w:rsid w:val="00100F8A"/>
    <w:rsid w:val="001018A2"/>
    <w:rsid w:val="0010452E"/>
    <w:rsid w:val="001048DC"/>
    <w:rsid w:val="00105AE2"/>
    <w:rsid w:val="001060C6"/>
    <w:rsid w:val="00106B80"/>
    <w:rsid w:val="0011011C"/>
    <w:rsid w:val="0011032E"/>
    <w:rsid w:val="001128FB"/>
    <w:rsid w:val="0011348B"/>
    <w:rsid w:val="00114433"/>
    <w:rsid w:val="00115982"/>
    <w:rsid w:val="00116C53"/>
    <w:rsid w:val="00121799"/>
    <w:rsid w:val="00121DDC"/>
    <w:rsid w:val="001222FC"/>
    <w:rsid w:val="00123902"/>
    <w:rsid w:val="001244DF"/>
    <w:rsid w:val="00124A51"/>
    <w:rsid w:val="00124B33"/>
    <w:rsid w:val="00124F02"/>
    <w:rsid w:val="00125EC9"/>
    <w:rsid w:val="00126621"/>
    <w:rsid w:val="00126B1D"/>
    <w:rsid w:val="001275F8"/>
    <w:rsid w:val="00127AF6"/>
    <w:rsid w:val="001301E9"/>
    <w:rsid w:val="00130B26"/>
    <w:rsid w:val="00131D82"/>
    <w:rsid w:val="00132B22"/>
    <w:rsid w:val="00133D36"/>
    <w:rsid w:val="00133D84"/>
    <w:rsid w:val="00134D9D"/>
    <w:rsid w:val="00137645"/>
    <w:rsid w:val="0014015A"/>
    <w:rsid w:val="00140E99"/>
    <w:rsid w:val="00141816"/>
    <w:rsid w:val="00141E0A"/>
    <w:rsid w:val="00141E8E"/>
    <w:rsid w:val="0014262F"/>
    <w:rsid w:val="00143F67"/>
    <w:rsid w:val="001451FB"/>
    <w:rsid w:val="00145234"/>
    <w:rsid w:val="00145540"/>
    <w:rsid w:val="001456B0"/>
    <w:rsid w:val="001505F9"/>
    <w:rsid w:val="00151708"/>
    <w:rsid w:val="001517C9"/>
    <w:rsid w:val="001547AB"/>
    <w:rsid w:val="00156669"/>
    <w:rsid w:val="00156F8F"/>
    <w:rsid w:val="00157130"/>
    <w:rsid w:val="001576B1"/>
    <w:rsid w:val="00157F88"/>
    <w:rsid w:val="0016047B"/>
    <w:rsid w:val="00160A4C"/>
    <w:rsid w:val="00160F11"/>
    <w:rsid w:val="0016164C"/>
    <w:rsid w:val="00162913"/>
    <w:rsid w:val="00163EFF"/>
    <w:rsid w:val="00163F66"/>
    <w:rsid w:val="00164170"/>
    <w:rsid w:val="0016478E"/>
    <w:rsid w:val="00165EC4"/>
    <w:rsid w:val="001661FB"/>
    <w:rsid w:val="001671A0"/>
    <w:rsid w:val="001674A3"/>
    <w:rsid w:val="0016767F"/>
    <w:rsid w:val="00167DF7"/>
    <w:rsid w:val="00171D42"/>
    <w:rsid w:val="001722F9"/>
    <w:rsid w:val="00172771"/>
    <w:rsid w:val="00173565"/>
    <w:rsid w:val="00173B07"/>
    <w:rsid w:val="00173E6F"/>
    <w:rsid w:val="001751FA"/>
    <w:rsid w:val="001755BD"/>
    <w:rsid w:val="0017661F"/>
    <w:rsid w:val="00181C10"/>
    <w:rsid w:val="00181D9C"/>
    <w:rsid w:val="0018259F"/>
    <w:rsid w:val="00183644"/>
    <w:rsid w:val="001837FF"/>
    <w:rsid w:val="00184B0E"/>
    <w:rsid w:val="00185FA9"/>
    <w:rsid w:val="0018603C"/>
    <w:rsid w:val="00186F95"/>
    <w:rsid w:val="0018752F"/>
    <w:rsid w:val="00191764"/>
    <w:rsid w:val="00192169"/>
    <w:rsid w:val="00193838"/>
    <w:rsid w:val="00194AD8"/>
    <w:rsid w:val="00194C04"/>
    <w:rsid w:val="00195222"/>
    <w:rsid w:val="00195452"/>
    <w:rsid w:val="0019652C"/>
    <w:rsid w:val="001975D8"/>
    <w:rsid w:val="001977D9"/>
    <w:rsid w:val="001A07A1"/>
    <w:rsid w:val="001A178E"/>
    <w:rsid w:val="001A43FA"/>
    <w:rsid w:val="001A47C3"/>
    <w:rsid w:val="001A47C5"/>
    <w:rsid w:val="001A59FB"/>
    <w:rsid w:val="001A5E9E"/>
    <w:rsid w:val="001A6354"/>
    <w:rsid w:val="001A6366"/>
    <w:rsid w:val="001A7AE8"/>
    <w:rsid w:val="001B0795"/>
    <w:rsid w:val="001B0E85"/>
    <w:rsid w:val="001B118F"/>
    <w:rsid w:val="001B204E"/>
    <w:rsid w:val="001B2372"/>
    <w:rsid w:val="001B2D2A"/>
    <w:rsid w:val="001B3443"/>
    <w:rsid w:val="001B344C"/>
    <w:rsid w:val="001B4D20"/>
    <w:rsid w:val="001B5AC1"/>
    <w:rsid w:val="001B6881"/>
    <w:rsid w:val="001B68F2"/>
    <w:rsid w:val="001B7F84"/>
    <w:rsid w:val="001C0EFE"/>
    <w:rsid w:val="001C1B4E"/>
    <w:rsid w:val="001C2A9B"/>
    <w:rsid w:val="001C3DD6"/>
    <w:rsid w:val="001C4299"/>
    <w:rsid w:val="001C4453"/>
    <w:rsid w:val="001C4874"/>
    <w:rsid w:val="001C5EBD"/>
    <w:rsid w:val="001C5F94"/>
    <w:rsid w:val="001C6779"/>
    <w:rsid w:val="001C6E66"/>
    <w:rsid w:val="001D1100"/>
    <w:rsid w:val="001D1391"/>
    <w:rsid w:val="001D15E8"/>
    <w:rsid w:val="001D1E91"/>
    <w:rsid w:val="001D25D7"/>
    <w:rsid w:val="001D50B2"/>
    <w:rsid w:val="001D5843"/>
    <w:rsid w:val="001D71F4"/>
    <w:rsid w:val="001D7645"/>
    <w:rsid w:val="001E05EA"/>
    <w:rsid w:val="001E1E86"/>
    <w:rsid w:val="001E238E"/>
    <w:rsid w:val="001E2483"/>
    <w:rsid w:val="001E2B1E"/>
    <w:rsid w:val="001E2B92"/>
    <w:rsid w:val="001E2CFF"/>
    <w:rsid w:val="001E2F24"/>
    <w:rsid w:val="001E30D4"/>
    <w:rsid w:val="001E34DF"/>
    <w:rsid w:val="001E5176"/>
    <w:rsid w:val="001E526C"/>
    <w:rsid w:val="001E52EB"/>
    <w:rsid w:val="001E61D2"/>
    <w:rsid w:val="001E66C9"/>
    <w:rsid w:val="001E6F0C"/>
    <w:rsid w:val="001E740C"/>
    <w:rsid w:val="001F0A14"/>
    <w:rsid w:val="001F1235"/>
    <w:rsid w:val="001F1B5C"/>
    <w:rsid w:val="001F1CB3"/>
    <w:rsid w:val="001F3193"/>
    <w:rsid w:val="001F38B5"/>
    <w:rsid w:val="001F4081"/>
    <w:rsid w:val="001F524C"/>
    <w:rsid w:val="001F5BA8"/>
    <w:rsid w:val="001F6F37"/>
    <w:rsid w:val="001F7361"/>
    <w:rsid w:val="0020095A"/>
    <w:rsid w:val="002011B0"/>
    <w:rsid w:val="00203181"/>
    <w:rsid w:val="00203783"/>
    <w:rsid w:val="0020385F"/>
    <w:rsid w:val="00204C26"/>
    <w:rsid w:val="00206894"/>
    <w:rsid w:val="002068A0"/>
    <w:rsid w:val="00207021"/>
    <w:rsid w:val="0020732F"/>
    <w:rsid w:val="00207D00"/>
    <w:rsid w:val="00210350"/>
    <w:rsid w:val="002105C1"/>
    <w:rsid w:val="002116FD"/>
    <w:rsid w:val="00211FED"/>
    <w:rsid w:val="00212BFF"/>
    <w:rsid w:val="00213381"/>
    <w:rsid w:val="00213EF5"/>
    <w:rsid w:val="00216575"/>
    <w:rsid w:val="00216BF5"/>
    <w:rsid w:val="00217CB4"/>
    <w:rsid w:val="0022012D"/>
    <w:rsid w:val="00220867"/>
    <w:rsid w:val="00222A3B"/>
    <w:rsid w:val="00223B49"/>
    <w:rsid w:val="00223D5A"/>
    <w:rsid w:val="00224DD4"/>
    <w:rsid w:val="002254C6"/>
    <w:rsid w:val="0022583D"/>
    <w:rsid w:val="002278A0"/>
    <w:rsid w:val="002309CC"/>
    <w:rsid w:val="00231BA9"/>
    <w:rsid w:val="0023209F"/>
    <w:rsid w:val="0023361C"/>
    <w:rsid w:val="00233C01"/>
    <w:rsid w:val="0023413C"/>
    <w:rsid w:val="002346F0"/>
    <w:rsid w:val="0023629D"/>
    <w:rsid w:val="00237255"/>
    <w:rsid w:val="0024036A"/>
    <w:rsid w:val="002418A4"/>
    <w:rsid w:val="00241F46"/>
    <w:rsid w:val="002424AF"/>
    <w:rsid w:val="002439DC"/>
    <w:rsid w:val="002441D2"/>
    <w:rsid w:val="00244DC8"/>
    <w:rsid w:val="00244E84"/>
    <w:rsid w:val="002458BA"/>
    <w:rsid w:val="00245CE9"/>
    <w:rsid w:val="00246217"/>
    <w:rsid w:val="0024636C"/>
    <w:rsid w:val="00246C5C"/>
    <w:rsid w:val="00247332"/>
    <w:rsid w:val="00247925"/>
    <w:rsid w:val="00251006"/>
    <w:rsid w:val="00251D28"/>
    <w:rsid w:val="00252163"/>
    <w:rsid w:val="002524D5"/>
    <w:rsid w:val="002527AE"/>
    <w:rsid w:val="00253B1D"/>
    <w:rsid w:val="00254DCF"/>
    <w:rsid w:val="0025534B"/>
    <w:rsid w:val="00255BB7"/>
    <w:rsid w:val="00257541"/>
    <w:rsid w:val="00257A39"/>
    <w:rsid w:val="00257AC4"/>
    <w:rsid w:val="00257BBE"/>
    <w:rsid w:val="00261EEF"/>
    <w:rsid w:val="00262A1A"/>
    <w:rsid w:val="00262A87"/>
    <w:rsid w:val="00263201"/>
    <w:rsid w:val="00263227"/>
    <w:rsid w:val="002638BC"/>
    <w:rsid w:val="00263BB3"/>
    <w:rsid w:val="002643CE"/>
    <w:rsid w:val="00264D26"/>
    <w:rsid w:val="002661AC"/>
    <w:rsid w:val="00267642"/>
    <w:rsid w:val="00267AEA"/>
    <w:rsid w:val="002700E6"/>
    <w:rsid w:val="0027036D"/>
    <w:rsid w:val="002705E0"/>
    <w:rsid w:val="0027184C"/>
    <w:rsid w:val="0027294B"/>
    <w:rsid w:val="00272A67"/>
    <w:rsid w:val="00272FC3"/>
    <w:rsid w:val="002737CC"/>
    <w:rsid w:val="00273C26"/>
    <w:rsid w:val="00273EB4"/>
    <w:rsid w:val="00274532"/>
    <w:rsid w:val="00274682"/>
    <w:rsid w:val="00274D50"/>
    <w:rsid w:val="00274F8D"/>
    <w:rsid w:val="00275158"/>
    <w:rsid w:val="00275C5A"/>
    <w:rsid w:val="00276534"/>
    <w:rsid w:val="00280EC1"/>
    <w:rsid w:val="00281014"/>
    <w:rsid w:val="002810F0"/>
    <w:rsid w:val="00284916"/>
    <w:rsid w:val="00285151"/>
    <w:rsid w:val="00285BC5"/>
    <w:rsid w:val="00285BCE"/>
    <w:rsid w:val="002864D4"/>
    <w:rsid w:val="0028665D"/>
    <w:rsid w:val="0028731D"/>
    <w:rsid w:val="002879A2"/>
    <w:rsid w:val="002922FD"/>
    <w:rsid w:val="00292FEF"/>
    <w:rsid w:val="00293AED"/>
    <w:rsid w:val="00293E4F"/>
    <w:rsid w:val="00294A3D"/>
    <w:rsid w:val="00295164"/>
    <w:rsid w:val="0029534E"/>
    <w:rsid w:val="00295385"/>
    <w:rsid w:val="00295C4B"/>
    <w:rsid w:val="002A02DA"/>
    <w:rsid w:val="002A09F6"/>
    <w:rsid w:val="002A14AB"/>
    <w:rsid w:val="002A2ADE"/>
    <w:rsid w:val="002A2F50"/>
    <w:rsid w:val="002A3711"/>
    <w:rsid w:val="002A5826"/>
    <w:rsid w:val="002A62DD"/>
    <w:rsid w:val="002A7943"/>
    <w:rsid w:val="002A7B78"/>
    <w:rsid w:val="002B05A1"/>
    <w:rsid w:val="002B0806"/>
    <w:rsid w:val="002B09A4"/>
    <w:rsid w:val="002B0C59"/>
    <w:rsid w:val="002B1C1F"/>
    <w:rsid w:val="002B1F70"/>
    <w:rsid w:val="002B35E4"/>
    <w:rsid w:val="002B432F"/>
    <w:rsid w:val="002B62B3"/>
    <w:rsid w:val="002B6754"/>
    <w:rsid w:val="002B6CCE"/>
    <w:rsid w:val="002C175D"/>
    <w:rsid w:val="002C19C3"/>
    <w:rsid w:val="002C2510"/>
    <w:rsid w:val="002C2775"/>
    <w:rsid w:val="002C27C1"/>
    <w:rsid w:val="002C345D"/>
    <w:rsid w:val="002C36E3"/>
    <w:rsid w:val="002C5099"/>
    <w:rsid w:val="002C5889"/>
    <w:rsid w:val="002C6FDF"/>
    <w:rsid w:val="002C71CE"/>
    <w:rsid w:val="002D08F8"/>
    <w:rsid w:val="002D0FD6"/>
    <w:rsid w:val="002D27CE"/>
    <w:rsid w:val="002D2A28"/>
    <w:rsid w:val="002D2C2F"/>
    <w:rsid w:val="002D5684"/>
    <w:rsid w:val="002D577C"/>
    <w:rsid w:val="002D7832"/>
    <w:rsid w:val="002E1071"/>
    <w:rsid w:val="002E15B9"/>
    <w:rsid w:val="002E2158"/>
    <w:rsid w:val="002E4F02"/>
    <w:rsid w:val="002E563D"/>
    <w:rsid w:val="002E7722"/>
    <w:rsid w:val="002E7C60"/>
    <w:rsid w:val="002F0780"/>
    <w:rsid w:val="002F07BA"/>
    <w:rsid w:val="002F0DA9"/>
    <w:rsid w:val="002F1014"/>
    <w:rsid w:val="002F15D5"/>
    <w:rsid w:val="002F1E3B"/>
    <w:rsid w:val="002F597F"/>
    <w:rsid w:val="002F643C"/>
    <w:rsid w:val="002F661D"/>
    <w:rsid w:val="002F71C0"/>
    <w:rsid w:val="002F74F1"/>
    <w:rsid w:val="00300C76"/>
    <w:rsid w:val="00301017"/>
    <w:rsid w:val="0030155F"/>
    <w:rsid w:val="0030587B"/>
    <w:rsid w:val="003060E9"/>
    <w:rsid w:val="00306D98"/>
    <w:rsid w:val="0030786C"/>
    <w:rsid w:val="0031031A"/>
    <w:rsid w:val="00310981"/>
    <w:rsid w:val="00311446"/>
    <w:rsid w:val="00311D9B"/>
    <w:rsid w:val="003124D9"/>
    <w:rsid w:val="00312594"/>
    <w:rsid w:val="00315498"/>
    <w:rsid w:val="00315C9C"/>
    <w:rsid w:val="00316083"/>
    <w:rsid w:val="00316474"/>
    <w:rsid w:val="00317D1E"/>
    <w:rsid w:val="00322107"/>
    <w:rsid w:val="00322355"/>
    <w:rsid w:val="00322846"/>
    <w:rsid w:val="003230DF"/>
    <w:rsid w:val="00323CBD"/>
    <w:rsid w:val="00324262"/>
    <w:rsid w:val="00326DA7"/>
    <w:rsid w:val="003270E4"/>
    <w:rsid w:val="00330CD7"/>
    <w:rsid w:val="00330DAA"/>
    <w:rsid w:val="00330F5C"/>
    <w:rsid w:val="00334143"/>
    <w:rsid w:val="0033664A"/>
    <w:rsid w:val="003366C9"/>
    <w:rsid w:val="003371B0"/>
    <w:rsid w:val="003376FE"/>
    <w:rsid w:val="00340DF1"/>
    <w:rsid w:val="003422A1"/>
    <w:rsid w:val="00342678"/>
    <w:rsid w:val="003439C2"/>
    <w:rsid w:val="00343DD3"/>
    <w:rsid w:val="003451A9"/>
    <w:rsid w:val="0034549A"/>
    <w:rsid w:val="003454A8"/>
    <w:rsid w:val="00347668"/>
    <w:rsid w:val="00350131"/>
    <w:rsid w:val="0035112F"/>
    <w:rsid w:val="003517F9"/>
    <w:rsid w:val="003519D8"/>
    <w:rsid w:val="00351BA9"/>
    <w:rsid w:val="0035358E"/>
    <w:rsid w:val="00353F03"/>
    <w:rsid w:val="00354DA1"/>
    <w:rsid w:val="00354F64"/>
    <w:rsid w:val="00355582"/>
    <w:rsid w:val="00355B39"/>
    <w:rsid w:val="0035620E"/>
    <w:rsid w:val="003566A6"/>
    <w:rsid w:val="003575BE"/>
    <w:rsid w:val="00360345"/>
    <w:rsid w:val="00361A05"/>
    <w:rsid w:val="00361D05"/>
    <w:rsid w:val="003624C4"/>
    <w:rsid w:val="003626BC"/>
    <w:rsid w:val="00363B00"/>
    <w:rsid w:val="00364A8E"/>
    <w:rsid w:val="00364F06"/>
    <w:rsid w:val="003654AC"/>
    <w:rsid w:val="003710CF"/>
    <w:rsid w:val="00371B98"/>
    <w:rsid w:val="00372EB7"/>
    <w:rsid w:val="0037358A"/>
    <w:rsid w:val="00374449"/>
    <w:rsid w:val="00374B74"/>
    <w:rsid w:val="003750F6"/>
    <w:rsid w:val="003760FC"/>
    <w:rsid w:val="0038365C"/>
    <w:rsid w:val="0038369B"/>
    <w:rsid w:val="00383B78"/>
    <w:rsid w:val="00384DA3"/>
    <w:rsid w:val="00384F43"/>
    <w:rsid w:val="0038503D"/>
    <w:rsid w:val="003858DC"/>
    <w:rsid w:val="00385A9D"/>
    <w:rsid w:val="00385CD0"/>
    <w:rsid w:val="00387121"/>
    <w:rsid w:val="003902B1"/>
    <w:rsid w:val="003902D9"/>
    <w:rsid w:val="00390383"/>
    <w:rsid w:val="0039179C"/>
    <w:rsid w:val="00392974"/>
    <w:rsid w:val="00392DFE"/>
    <w:rsid w:val="003955C4"/>
    <w:rsid w:val="003961FC"/>
    <w:rsid w:val="003962D6"/>
    <w:rsid w:val="003964B0"/>
    <w:rsid w:val="00396896"/>
    <w:rsid w:val="00396FD0"/>
    <w:rsid w:val="003A054B"/>
    <w:rsid w:val="003A166E"/>
    <w:rsid w:val="003A1A7A"/>
    <w:rsid w:val="003A216E"/>
    <w:rsid w:val="003A2392"/>
    <w:rsid w:val="003A2831"/>
    <w:rsid w:val="003A3CB6"/>
    <w:rsid w:val="003A3ED1"/>
    <w:rsid w:val="003A44DB"/>
    <w:rsid w:val="003A45A1"/>
    <w:rsid w:val="003A4C14"/>
    <w:rsid w:val="003A554B"/>
    <w:rsid w:val="003B0004"/>
    <w:rsid w:val="003B3971"/>
    <w:rsid w:val="003B3B7C"/>
    <w:rsid w:val="003B55D1"/>
    <w:rsid w:val="003B5B61"/>
    <w:rsid w:val="003C01D3"/>
    <w:rsid w:val="003C0DCB"/>
    <w:rsid w:val="003C1654"/>
    <w:rsid w:val="003C28A2"/>
    <w:rsid w:val="003C3F7B"/>
    <w:rsid w:val="003C401C"/>
    <w:rsid w:val="003C5542"/>
    <w:rsid w:val="003C7C15"/>
    <w:rsid w:val="003C7D19"/>
    <w:rsid w:val="003C7D2F"/>
    <w:rsid w:val="003D0C5A"/>
    <w:rsid w:val="003D1828"/>
    <w:rsid w:val="003D1DE4"/>
    <w:rsid w:val="003D1E9A"/>
    <w:rsid w:val="003D2422"/>
    <w:rsid w:val="003D398A"/>
    <w:rsid w:val="003D39A1"/>
    <w:rsid w:val="003D3FBF"/>
    <w:rsid w:val="003D4A30"/>
    <w:rsid w:val="003D4FAD"/>
    <w:rsid w:val="003D550E"/>
    <w:rsid w:val="003D5676"/>
    <w:rsid w:val="003D65AC"/>
    <w:rsid w:val="003D7452"/>
    <w:rsid w:val="003D7693"/>
    <w:rsid w:val="003D79BB"/>
    <w:rsid w:val="003D7C98"/>
    <w:rsid w:val="003D7D35"/>
    <w:rsid w:val="003D7D9D"/>
    <w:rsid w:val="003E0543"/>
    <w:rsid w:val="003E25F3"/>
    <w:rsid w:val="003E4E76"/>
    <w:rsid w:val="003E5603"/>
    <w:rsid w:val="003E749E"/>
    <w:rsid w:val="003F01B0"/>
    <w:rsid w:val="003F0F1A"/>
    <w:rsid w:val="003F1773"/>
    <w:rsid w:val="003F1FC0"/>
    <w:rsid w:val="003F24B3"/>
    <w:rsid w:val="003F2C6D"/>
    <w:rsid w:val="003F4156"/>
    <w:rsid w:val="003F4AF8"/>
    <w:rsid w:val="003F5ADF"/>
    <w:rsid w:val="003F6265"/>
    <w:rsid w:val="003F7579"/>
    <w:rsid w:val="003F76DC"/>
    <w:rsid w:val="003F7916"/>
    <w:rsid w:val="00400B29"/>
    <w:rsid w:val="0040242F"/>
    <w:rsid w:val="00402812"/>
    <w:rsid w:val="00403277"/>
    <w:rsid w:val="0040504B"/>
    <w:rsid w:val="004059F4"/>
    <w:rsid w:val="004066C5"/>
    <w:rsid w:val="00407752"/>
    <w:rsid w:val="00407FE5"/>
    <w:rsid w:val="004101B0"/>
    <w:rsid w:val="00410326"/>
    <w:rsid w:val="00410708"/>
    <w:rsid w:val="00410AB1"/>
    <w:rsid w:val="00410EC7"/>
    <w:rsid w:val="00411B39"/>
    <w:rsid w:val="004127A7"/>
    <w:rsid w:val="00412974"/>
    <w:rsid w:val="004132F9"/>
    <w:rsid w:val="00413A1E"/>
    <w:rsid w:val="00414476"/>
    <w:rsid w:val="00414C2E"/>
    <w:rsid w:val="00415073"/>
    <w:rsid w:val="004151CF"/>
    <w:rsid w:val="00416046"/>
    <w:rsid w:val="00416364"/>
    <w:rsid w:val="0041734A"/>
    <w:rsid w:val="00417358"/>
    <w:rsid w:val="00417429"/>
    <w:rsid w:val="0042047F"/>
    <w:rsid w:val="0042051F"/>
    <w:rsid w:val="00420AA6"/>
    <w:rsid w:val="00420B9F"/>
    <w:rsid w:val="00420D09"/>
    <w:rsid w:val="004216AD"/>
    <w:rsid w:val="0042192C"/>
    <w:rsid w:val="00421D10"/>
    <w:rsid w:val="00422260"/>
    <w:rsid w:val="00422AE4"/>
    <w:rsid w:val="004230D1"/>
    <w:rsid w:val="00424045"/>
    <w:rsid w:val="0042413F"/>
    <w:rsid w:val="00425EE2"/>
    <w:rsid w:val="00427AC5"/>
    <w:rsid w:val="0043036F"/>
    <w:rsid w:val="004319F8"/>
    <w:rsid w:val="00431E55"/>
    <w:rsid w:val="004321F6"/>
    <w:rsid w:val="00433044"/>
    <w:rsid w:val="00434088"/>
    <w:rsid w:val="004342FD"/>
    <w:rsid w:val="00436289"/>
    <w:rsid w:val="004362C4"/>
    <w:rsid w:val="00436947"/>
    <w:rsid w:val="004375B9"/>
    <w:rsid w:val="00440C73"/>
    <w:rsid w:val="0044239F"/>
    <w:rsid w:val="004428D0"/>
    <w:rsid w:val="00443F27"/>
    <w:rsid w:val="00444185"/>
    <w:rsid w:val="004443A7"/>
    <w:rsid w:val="0044442C"/>
    <w:rsid w:val="00444AD4"/>
    <w:rsid w:val="00445059"/>
    <w:rsid w:val="00445941"/>
    <w:rsid w:val="004464EB"/>
    <w:rsid w:val="00446F68"/>
    <w:rsid w:val="00447929"/>
    <w:rsid w:val="00447D26"/>
    <w:rsid w:val="00447DFC"/>
    <w:rsid w:val="00451C24"/>
    <w:rsid w:val="00451D35"/>
    <w:rsid w:val="00455D45"/>
    <w:rsid w:val="00460BB1"/>
    <w:rsid w:val="00462788"/>
    <w:rsid w:val="0046297D"/>
    <w:rsid w:val="004630E3"/>
    <w:rsid w:val="00463BA9"/>
    <w:rsid w:val="00464435"/>
    <w:rsid w:val="00464595"/>
    <w:rsid w:val="004658B5"/>
    <w:rsid w:val="0046621B"/>
    <w:rsid w:val="0047054C"/>
    <w:rsid w:val="00471EA5"/>
    <w:rsid w:val="00472932"/>
    <w:rsid w:val="00472A79"/>
    <w:rsid w:val="00473A53"/>
    <w:rsid w:val="00473F19"/>
    <w:rsid w:val="004743AD"/>
    <w:rsid w:val="00475D79"/>
    <w:rsid w:val="00475E22"/>
    <w:rsid w:val="00476062"/>
    <w:rsid w:val="0048088E"/>
    <w:rsid w:val="00480ABE"/>
    <w:rsid w:val="00480F2B"/>
    <w:rsid w:val="00481BF9"/>
    <w:rsid w:val="00481F87"/>
    <w:rsid w:val="00482720"/>
    <w:rsid w:val="00482ABE"/>
    <w:rsid w:val="00482BCD"/>
    <w:rsid w:val="00483135"/>
    <w:rsid w:val="004835E7"/>
    <w:rsid w:val="0048440D"/>
    <w:rsid w:val="004859E1"/>
    <w:rsid w:val="00485E27"/>
    <w:rsid w:val="004867E2"/>
    <w:rsid w:val="0048750D"/>
    <w:rsid w:val="00490B17"/>
    <w:rsid w:val="00491B3A"/>
    <w:rsid w:val="0049278C"/>
    <w:rsid w:val="00492CFD"/>
    <w:rsid w:val="00493E79"/>
    <w:rsid w:val="00494207"/>
    <w:rsid w:val="0049451F"/>
    <w:rsid w:val="00494DD5"/>
    <w:rsid w:val="0049509A"/>
    <w:rsid w:val="00495FCC"/>
    <w:rsid w:val="004962D2"/>
    <w:rsid w:val="004969F8"/>
    <w:rsid w:val="004A02E3"/>
    <w:rsid w:val="004A0398"/>
    <w:rsid w:val="004A0DA1"/>
    <w:rsid w:val="004A0F71"/>
    <w:rsid w:val="004A13D6"/>
    <w:rsid w:val="004A30D9"/>
    <w:rsid w:val="004A52E9"/>
    <w:rsid w:val="004A5D81"/>
    <w:rsid w:val="004A6040"/>
    <w:rsid w:val="004A646E"/>
    <w:rsid w:val="004A6597"/>
    <w:rsid w:val="004A7848"/>
    <w:rsid w:val="004A793B"/>
    <w:rsid w:val="004B1CB4"/>
    <w:rsid w:val="004B20BE"/>
    <w:rsid w:val="004B2F18"/>
    <w:rsid w:val="004B3DDB"/>
    <w:rsid w:val="004B403E"/>
    <w:rsid w:val="004B44FD"/>
    <w:rsid w:val="004B4642"/>
    <w:rsid w:val="004B4991"/>
    <w:rsid w:val="004B4C31"/>
    <w:rsid w:val="004B5887"/>
    <w:rsid w:val="004B5A59"/>
    <w:rsid w:val="004B5CFC"/>
    <w:rsid w:val="004B6910"/>
    <w:rsid w:val="004B6F79"/>
    <w:rsid w:val="004B774D"/>
    <w:rsid w:val="004B7A09"/>
    <w:rsid w:val="004B7D83"/>
    <w:rsid w:val="004B7E98"/>
    <w:rsid w:val="004C221E"/>
    <w:rsid w:val="004C2AC2"/>
    <w:rsid w:val="004C483E"/>
    <w:rsid w:val="004C4AD7"/>
    <w:rsid w:val="004C4AED"/>
    <w:rsid w:val="004C6891"/>
    <w:rsid w:val="004D1326"/>
    <w:rsid w:val="004D1E74"/>
    <w:rsid w:val="004D2C2D"/>
    <w:rsid w:val="004D4B07"/>
    <w:rsid w:val="004D69B5"/>
    <w:rsid w:val="004D7227"/>
    <w:rsid w:val="004D7AF8"/>
    <w:rsid w:val="004D7B5E"/>
    <w:rsid w:val="004E00A5"/>
    <w:rsid w:val="004E0E7F"/>
    <w:rsid w:val="004E0EB8"/>
    <w:rsid w:val="004E165D"/>
    <w:rsid w:val="004E18E9"/>
    <w:rsid w:val="004E197E"/>
    <w:rsid w:val="004E1F5F"/>
    <w:rsid w:val="004E2ADC"/>
    <w:rsid w:val="004E43B2"/>
    <w:rsid w:val="004E6957"/>
    <w:rsid w:val="004E6A6F"/>
    <w:rsid w:val="004E7C77"/>
    <w:rsid w:val="004F1800"/>
    <w:rsid w:val="004F1C46"/>
    <w:rsid w:val="004F1D02"/>
    <w:rsid w:val="004F2679"/>
    <w:rsid w:val="004F2F21"/>
    <w:rsid w:val="004F354D"/>
    <w:rsid w:val="004F3DE5"/>
    <w:rsid w:val="004F51C6"/>
    <w:rsid w:val="004F6613"/>
    <w:rsid w:val="004F6913"/>
    <w:rsid w:val="004F69BA"/>
    <w:rsid w:val="004F7865"/>
    <w:rsid w:val="004F7DBA"/>
    <w:rsid w:val="005001FB"/>
    <w:rsid w:val="0050174E"/>
    <w:rsid w:val="00501854"/>
    <w:rsid w:val="0050219B"/>
    <w:rsid w:val="00503F17"/>
    <w:rsid w:val="00503F3A"/>
    <w:rsid w:val="00506928"/>
    <w:rsid w:val="005077EF"/>
    <w:rsid w:val="00507E65"/>
    <w:rsid w:val="005105A0"/>
    <w:rsid w:val="005107EA"/>
    <w:rsid w:val="005118C4"/>
    <w:rsid w:val="00511AD5"/>
    <w:rsid w:val="00511DC7"/>
    <w:rsid w:val="005142C5"/>
    <w:rsid w:val="0051501B"/>
    <w:rsid w:val="00515235"/>
    <w:rsid w:val="005152B5"/>
    <w:rsid w:val="00515886"/>
    <w:rsid w:val="00520249"/>
    <w:rsid w:val="005209BC"/>
    <w:rsid w:val="0052123C"/>
    <w:rsid w:val="00521319"/>
    <w:rsid w:val="00521E55"/>
    <w:rsid w:val="00522548"/>
    <w:rsid w:val="00522BC8"/>
    <w:rsid w:val="00523911"/>
    <w:rsid w:val="00523BA5"/>
    <w:rsid w:val="00523C28"/>
    <w:rsid w:val="00524FFC"/>
    <w:rsid w:val="005259C3"/>
    <w:rsid w:val="00526912"/>
    <w:rsid w:val="005272D6"/>
    <w:rsid w:val="00527CC6"/>
    <w:rsid w:val="0053176B"/>
    <w:rsid w:val="005317D2"/>
    <w:rsid w:val="0053188A"/>
    <w:rsid w:val="00532848"/>
    <w:rsid w:val="00532F3D"/>
    <w:rsid w:val="0053360C"/>
    <w:rsid w:val="005341B3"/>
    <w:rsid w:val="00534B3E"/>
    <w:rsid w:val="00536F42"/>
    <w:rsid w:val="00537182"/>
    <w:rsid w:val="00537430"/>
    <w:rsid w:val="005375EA"/>
    <w:rsid w:val="00540E4F"/>
    <w:rsid w:val="00541EDD"/>
    <w:rsid w:val="00542743"/>
    <w:rsid w:val="00542C2D"/>
    <w:rsid w:val="00542C2F"/>
    <w:rsid w:val="00543A3A"/>
    <w:rsid w:val="00543BA6"/>
    <w:rsid w:val="005451B5"/>
    <w:rsid w:val="005478BD"/>
    <w:rsid w:val="005479E3"/>
    <w:rsid w:val="00551985"/>
    <w:rsid w:val="005526B0"/>
    <w:rsid w:val="00552BD3"/>
    <w:rsid w:val="00552CCF"/>
    <w:rsid w:val="005532A0"/>
    <w:rsid w:val="00553ECA"/>
    <w:rsid w:val="00555109"/>
    <w:rsid w:val="00555666"/>
    <w:rsid w:val="00555675"/>
    <w:rsid w:val="005558EF"/>
    <w:rsid w:val="00555AE2"/>
    <w:rsid w:val="005566B4"/>
    <w:rsid w:val="00556B35"/>
    <w:rsid w:val="00556DC7"/>
    <w:rsid w:val="0055741A"/>
    <w:rsid w:val="00560E31"/>
    <w:rsid w:val="005611B7"/>
    <w:rsid w:val="005618D4"/>
    <w:rsid w:val="00561E86"/>
    <w:rsid w:val="005621D8"/>
    <w:rsid w:val="005632D6"/>
    <w:rsid w:val="00563E61"/>
    <w:rsid w:val="00564867"/>
    <w:rsid w:val="00565C79"/>
    <w:rsid w:val="00565DF0"/>
    <w:rsid w:val="0056696F"/>
    <w:rsid w:val="00566FE4"/>
    <w:rsid w:val="00567441"/>
    <w:rsid w:val="00567607"/>
    <w:rsid w:val="00572269"/>
    <w:rsid w:val="00572304"/>
    <w:rsid w:val="0057244A"/>
    <w:rsid w:val="00572CC5"/>
    <w:rsid w:val="00572F26"/>
    <w:rsid w:val="0057325C"/>
    <w:rsid w:val="005742AF"/>
    <w:rsid w:val="005744B6"/>
    <w:rsid w:val="005750C5"/>
    <w:rsid w:val="005752DE"/>
    <w:rsid w:val="00575AA1"/>
    <w:rsid w:val="00575D60"/>
    <w:rsid w:val="00575D8D"/>
    <w:rsid w:val="005765DC"/>
    <w:rsid w:val="00576961"/>
    <w:rsid w:val="00576972"/>
    <w:rsid w:val="00577248"/>
    <w:rsid w:val="00582E11"/>
    <w:rsid w:val="00582F28"/>
    <w:rsid w:val="00583699"/>
    <w:rsid w:val="00584981"/>
    <w:rsid w:val="00584F7F"/>
    <w:rsid w:val="00585CDD"/>
    <w:rsid w:val="00587058"/>
    <w:rsid w:val="005874DC"/>
    <w:rsid w:val="00587EB7"/>
    <w:rsid w:val="005918EE"/>
    <w:rsid w:val="00591957"/>
    <w:rsid w:val="00592860"/>
    <w:rsid w:val="00594F3A"/>
    <w:rsid w:val="00595307"/>
    <w:rsid w:val="00596A59"/>
    <w:rsid w:val="00597BF9"/>
    <w:rsid w:val="005A0C11"/>
    <w:rsid w:val="005A1EA8"/>
    <w:rsid w:val="005A2532"/>
    <w:rsid w:val="005A2851"/>
    <w:rsid w:val="005A309A"/>
    <w:rsid w:val="005A373D"/>
    <w:rsid w:val="005A3F2F"/>
    <w:rsid w:val="005A41CC"/>
    <w:rsid w:val="005A6E3F"/>
    <w:rsid w:val="005A7A6F"/>
    <w:rsid w:val="005A7DF3"/>
    <w:rsid w:val="005A7F61"/>
    <w:rsid w:val="005B0B58"/>
    <w:rsid w:val="005B1DA3"/>
    <w:rsid w:val="005B1F4E"/>
    <w:rsid w:val="005B2770"/>
    <w:rsid w:val="005B30FB"/>
    <w:rsid w:val="005B4181"/>
    <w:rsid w:val="005B4E53"/>
    <w:rsid w:val="005B5857"/>
    <w:rsid w:val="005B5E66"/>
    <w:rsid w:val="005B688E"/>
    <w:rsid w:val="005C1254"/>
    <w:rsid w:val="005C1746"/>
    <w:rsid w:val="005C19C4"/>
    <w:rsid w:val="005C1AFD"/>
    <w:rsid w:val="005C1B83"/>
    <w:rsid w:val="005C25FF"/>
    <w:rsid w:val="005C2D55"/>
    <w:rsid w:val="005C3041"/>
    <w:rsid w:val="005C346B"/>
    <w:rsid w:val="005C3471"/>
    <w:rsid w:val="005C3ECD"/>
    <w:rsid w:val="005C5ABC"/>
    <w:rsid w:val="005C5BE7"/>
    <w:rsid w:val="005C6704"/>
    <w:rsid w:val="005C7839"/>
    <w:rsid w:val="005D023A"/>
    <w:rsid w:val="005D044D"/>
    <w:rsid w:val="005D0602"/>
    <w:rsid w:val="005D09B2"/>
    <w:rsid w:val="005D0ABD"/>
    <w:rsid w:val="005D0B24"/>
    <w:rsid w:val="005D100A"/>
    <w:rsid w:val="005D18AD"/>
    <w:rsid w:val="005D26B4"/>
    <w:rsid w:val="005D27D7"/>
    <w:rsid w:val="005D6FD2"/>
    <w:rsid w:val="005D70AE"/>
    <w:rsid w:val="005E039F"/>
    <w:rsid w:val="005E1995"/>
    <w:rsid w:val="005E30B6"/>
    <w:rsid w:val="005E3278"/>
    <w:rsid w:val="005E40AD"/>
    <w:rsid w:val="005E450B"/>
    <w:rsid w:val="005E5986"/>
    <w:rsid w:val="005E6CBC"/>
    <w:rsid w:val="005E708A"/>
    <w:rsid w:val="005E72FF"/>
    <w:rsid w:val="005E73C0"/>
    <w:rsid w:val="005F07ED"/>
    <w:rsid w:val="005F0A5D"/>
    <w:rsid w:val="005F0A77"/>
    <w:rsid w:val="005F1778"/>
    <w:rsid w:val="005F1B76"/>
    <w:rsid w:val="005F253F"/>
    <w:rsid w:val="005F2706"/>
    <w:rsid w:val="005F4349"/>
    <w:rsid w:val="005F5BE3"/>
    <w:rsid w:val="005F6A8F"/>
    <w:rsid w:val="005F6BB7"/>
    <w:rsid w:val="005F7588"/>
    <w:rsid w:val="00600AAE"/>
    <w:rsid w:val="006012AB"/>
    <w:rsid w:val="00601B35"/>
    <w:rsid w:val="00603DB9"/>
    <w:rsid w:val="0060478C"/>
    <w:rsid w:val="00605C4E"/>
    <w:rsid w:val="00606BBF"/>
    <w:rsid w:val="00606FBA"/>
    <w:rsid w:val="0060740B"/>
    <w:rsid w:val="00607669"/>
    <w:rsid w:val="006076F4"/>
    <w:rsid w:val="00607AFD"/>
    <w:rsid w:val="0061121E"/>
    <w:rsid w:val="00611B12"/>
    <w:rsid w:val="00612F97"/>
    <w:rsid w:val="0061345D"/>
    <w:rsid w:val="00614465"/>
    <w:rsid w:val="0061501F"/>
    <w:rsid w:val="0061549B"/>
    <w:rsid w:val="00616802"/>
    <w:rsid w:val="00617CFE"/>
    <w:rsid w:val="00617E12"/>
    <w:rsid w:val="00617F9E"/>
    <w:rsid w:val="00620C25"/>
    <w:rsid w:val="00621477"/>
    <w:rsid w:val="00621ADA"/>
    <w:rsid w:val="006222EE"/>
    <w:rsid w:val="00623F7B"/>
    <w:rsid w:val="00624BD4"/>
    <w:rsid w:val="00625722"/>
    <w:rsid w:val="00627DDE"/>
    <w:rsid w:val="00627E2B"/>
    <w:rsid w:val="0063158F"/>
    <w:rsid w:val="00631D6B"/>
    <w:rsid w:val="00632183"/>
    <w:rsid w:val="00632CA5"/>
    <w:rsid w:val="006330A1"/>
    <w:rsid w:val="00634107"/>
    <w:rsid w:val="0063479F"/>
    <w:rsid w:val="006353F0"/>
    <w:rsid w:val="006357B5"/>
    <w:rsid w:val="00635D10"/>
    <w:rsid w:val="006364A1"/>
    <w:rsid w:val="0063678E"/>
    <w:rsid w:val="00637BFD"/>
    <w:rsid w:val="00637C5C"/>
    <w:rsid w:val="00641526"/>
    <w:rsid w:val="00641C4E"/>
    <w:rsid w:val="00641CF0"/>
    <w:rsid w:val="00641FB3"/>
    <w:rsid w:val="00643159"/>
    <w:rsid w:val="0064327A"/>
    <w:rsid w:val="0064434C"/>
    <w:rsid w:val="006471CC"/>
    <w:rsid w:val="006472FE"/>
    <w:rsid w:val="006475B2"/>
    <w:rsid w:val="00647A29"/>
    <w:rsid w:val="0065079F"/>
    <w:rsid w:val="00652A13"/>
    <w:rsid w:val="00652A28"/>
    <w:rsid w:val="00653156"/>
    <w:rsid w:val="0065379F"/>
    <w:rsid w:val="006543D5"/>
    <w:rsid w:val="00654A82"/>
    <w:rsid w:val="00656188"/>
    <w:rsid w:val="00656CB6"/>
    <w:rsid w:val="0065715A"/>
    <w:rsid w:val="00660847"/>
    <w:rsid w:val="006610F1"/>
    <w:rsid w:val="00661C6B"/>
    <w:rsid w:val="00662D3E"/>
    <w:rsid w:val="00664159"/>
    <w:rsid w:val="00666197"/>
    <w:rsid w:val="00666C7C"/>
    <w:rsid w:val="00667620"/>
    <w:rsid w:val="00667BE3"/>
    <w:rsid w:val="00671004"/>
    <w:rsid w:val="00672646"/>
    <w:rsid w:val="006729EC"/>
    <w:rsid w:val="00672DE3"/>
    <w:rsid w:val="006739F7"/>
    <w:rsid w:val="00674E42"/>
    <w:rsid w:val="00676563"/>
    <w:rsid w:val="006775FF"/>
    <w:rsid w:val="00680A60"/>
    <w:rsid w:val="006813F8"/>
    <w:rsid w:val="00682112"/>
    <w:rsid w:val="00682BA6"/>
    <w:rsid w:val="00684A5C"/>
    <w:rsid w:val="0068550C"/>
    <w:rsid w:val="006863C8"/>
    <w:rsid w:val="00686957"/>
    <w:rsid w:val="00686F27"/>
    <w:rsid w:val="006872BA"/>
    <w:rsid w:val="00687440"/>
    <w:rsid w:val="00690795"/>
    <w:rsid w:val="00690CC4"/>
    <w:rsid w:val="00690E67"/>
    <w:rsid w:val="00691648"/>
    <w:rsid w:val="006917D7"/>
    <w:rsid w:val="00692E2A"/>
    <w:rsid w:val="006934A9"/>
    <w:rsid w:val="0069434C"/>
    <w:rsid w:val="00694F44"/>
    <w:rsid w:val="00696EF9"/>
    <w:rsid w:val="00696F51"/>
    <w:rsid w:val="006979A5"/>
    <w:rsid w:val="006979AD"/>
    <w:rsid w:val="00697BD5"/>
    <w:rsid w:val="006A016F"/>
    <w:rsid w:val="006A0DF7"/>
    <w:rsid w:val="006A21D0"/>
    <w:rsid w:val="006A39AD"/>
    <w:rsid w:val="006A41DA"/>
    <w:rsid w:val="006A4321"/>
    <w:rsid w:val="006A43D9"/>
    <w:rsid w:val="006A4C19"/>
    <w:rsid w:val="006A6A00"/>
    <w:rsid w:val="006A6B99"/>
    <w:rsid w:val="006A7A9D"/>
    <w:rsid w:val="006A7E5F"/>
    <w:rsid w:val="006B06BB"/>
    <w:rsid w:val="006B261B"/>
    <w:rsid w:val="006B2C90"/>
    <w:rsid w:val="006B2E32"/>
    <w:rsid w:val="006B31E3"/>
    <w:rsid w:val="006B35E6"/>
    <w:rsid w:val="006B41A7"/>
    <w:rsid w:val="006B465A"/>
    <w:rsid w:val="006B6DD0"/>
    <w:rsid w:val="006B7246"/>
    <w:rsid w:val="006C0399"/>
    <w:rsid w:val="006C089F"/>
    <w:rsid w:val="006C1EFC"/>
    <w:rsid w:val="006C1EFE"/>
    <w:rsid w:val="006C2A8E"/>
    <w:rsid w:val="006C3255"/>
    <w:rsid w:val="006C3F26"/>
    <w:rsid w:val="006C41EF"/>
    <w:rsid w:val="006C489B"/>
    <w:rsid w:val="006C52D9"/>
    <w:rsid w:val="006C6123"/>
    <w:rsid w:val="006C6FBC"/>
    <w:rsid w:val="006D0D17"/>
    <w:rsid w:val="006D0EEE"/>
    <w:rsid w:val="006D0FBB"/>
    <w:rsid w:val="006D1E8A"/>
    <w:rsid w:val="006D2F68"/>
    <w:rsid w:val="006D3C7D"/>
    <w:rsid w:val="006D4659"/>
    <w:rsid w:val="006D4A10"/>
    <w:rsid w:val="006D5D5F"/>
    <w:rsid w:val="006D6667"/>
    <w:rsid w:val="006D68FB"/>
    <w:rsid w:val="006D69B4"/>
    <w:rsid w:val="006D7A13"/>
    <w:rsid w:val="006E0874"/>
    <w:rsid w:val="006E17B0"/>
    <w:rsid w:val="006E2868"/>
    <w:rsid w:val="006E420F"/>
    <w:rsid w:val="006E54AB"/>
    <w:rsid w:val="006E5CAC"/>
    <w:rsid w:val="006F1A30"/>
    <w:rsid w:val="006F232B"/>
    <w:rsid w:val="006F2A00"/>
    <w:rsid w:val="006F2ED6"/>
    <w:rsid w:val="006F306C"/>
    <w:rsid w:val="006F3E56"/>
    <w:rsid w:val="006F6061"/>
    <w:rsid w:val="006F63A5"/>
    <w:rsid w:val="006F6785"/>
    <w:rsid w:val="006F7A85"/>
    <w:rsid w:val="0070142B"/>
    <w:rsid w:val="0070276E"/>
    <w:rsid w:val="00702F8F"/>
    <w:rsid w:val="00703923"/>
    <w:rsid w:val="007079FC"/>
    <w:rsid w:val="00711A36"/>
    <w:rsid w:val="007125D3"/>
    <w:rsid w:val="00714113"/>
    <w:rsid w:val="00714C26"/>
    <w:rsid w:val="0071529C"/>
    <w:rsid w:val="007164AD"/>
    <w:rsid w:val="0071655A"/>
    <w:rsid w:val="007170DA"/>
    <w:rsid w:val="007172AD"/>
    <w:rsid w:val="00717546"/>
    <w:rsid w:val="00717D87"/>
    <w:rsid w:val="00720801"/>
    <w:rsid w:val="007208C1"/>
    <w:rsid w:val="00722B1B"/>
    <w:rsid w:val="0072416F"/>
    <w:rsid w:val="007246E4"/>
    <w:rsid w:val="00727C94"/>
    <w:rsid w:val="00730642"/>
    <w:rsid w:val="00731B0A"/>
    <w:rsid w:val="00731EAE"/>
    <w:rsid w:val="00732A6A"/>
    <w:rsid w:val="00733073"/>
    <w:rsid w:val="00734FBF"/>
    <w:rsid w:val="00735033"/>
    <w:rsid w:val="00735328"/>
    <w:rsid w:val="0073609A"/>
    <w:rsid w:val="0073685B"/>
    <w:rsid w:val="007371E2"/>
    <w:rsid w:val="007372AC"/>
    <w:rsid w:val="00737FCA"/>
    <w:rsid w:val="0074187F"/>
    <w:rsid w:val="007431F0"/>
    <w:rsid w:val="00743384"/>
    <w:rsid w:val="007449BF"/>
    <w:rsid w:val="007450A1"/>
    <w:rsid w:val="00745849"/>
    <w:rsid w:val="00745D47"/>
    <w:rsid w:val="007463FE"/>
    <w:rsid w:val="00746BC0"/>
    <w:rsid w:val="007510B4"/>
    <w:rsid w:val="00752142"/>
    <w:rsid w:val="007523F9"/>
    <w:rsid w:val="0075357E"/>
    <w:rsid w:val="00753B29"/>
    <w:rsid w:val="00753E04"/>
    <w:rsid w:val="00754804"/>
    <w:rsid w:val="00755D20"/>
    <w:rsid w:val="007561FB"/>
    <w:rsid w:val="00756A9B"/>
    <w:rsid w:val="007573E8"/>
    <w:rsid w:val="0075788C"/>
    <w:rsid w:val="00757B08"/>
    <w:rsid w:val="00757F49"/>
    <w:rsid w:val="00760C4E"/>
    <w:rsid w:val="00760F9E"/>
    <w:rsid w:val="007616E6"/>
    <w:rsid w:val="00762161"/>
    <w:rsid w:val="007627BE"/>
    <w:rsid w:val="00764F03"/>
    <w:rsid w:val="00765B1A"/>
    <w:rsid w:val="00765DC1"/>
    <w:rsid w:val="00770028"/>
    <w:rsid w:val="00771044"/>
    <w:rsid w:val="0077346B"/>
    <w:rsid w:val="00777335"/>
    <w:rsid w:val="00777476"/>
    <w:rsid w:val="0078075D"/>
    <w:rsid w:val="0078274A"/>
    <w:rsid w:val="0078294C"/>
    <w:rsid w:val="007843F2"/>
    <w:rsid w:val="007846FA"/>
    <w:rsid w:val="00785A9F"/>
    <w:rsid w:val="007861DB"/>
    <w:rsid w:val="00787853"/>
    <w:rsid w:val="00791729"/>
    <w:rsid w:val="007925DF"/>
    <w:rsid w:val="00794D26"/>
    <w:rsid w:val="0079762C"/>
    <w:rsid w:val="007A08AA"/>
    <w:rsid w:val="007A0A12"/>
    <w:rsid w:val="007A132D"/>
    <w:rsid w:val="007A1345"/>
    <w:rsid w:val="007A1A57"/>
    <w:rsid w:val="007A2DDB"/>
    <w:rsid w:val="007A5A6A"/>
    <w:rsid w:val="007A5FD9"/>
    <w:rsid w:val="007A6D82"/>
    <w:rsid w:val="007A70BA"/>
    <w:rsid w:val="007B0D68"/>
    <w:rsid w:val="007B0FDA"/>
    <w:rsid w:val="007B251D"/>
    <w:rsid w:val="007B3533"/>
    <w:rsid w:val="007B4AE0"/>
    <w:rsid w:val="007B4EDA"/>
    <w:rsid w:val="007B4F58"/>
    <w:rsid w:val="007B528D"/>
    <w:rsid w:val="007B63CA"/>
    <w:rsid w:val="007B77D1"/>
    <w:rsid w:val="007C07C7"/>
    <w:rsid w:val="007C0AEE"/>
    <w:rsid w:val="007C1CD9"/>
    <w:rsid w:val="007C20AE"/>
    <w:rsid w:val="007C32EF"/>
    <w:rsid w:val="007C361D"/>
    <w:rsid w:val="007C4AC0"/>
    <w:rsid w:val="007C4B84"/>
    <w:rsid w:val="007C5DDC"/>
    <w:rsid w:val="007C70FF"/>
    <w:rsid w:val="007C7C25"/>
    <w:rsid w:val="007C7ECB"/>
    <w:rsid w:val="007D004F"/>
    <w:rsid w:val="007D035F"/>
    <w:rsid w:val="007D0661"/>
    <w:rsid w:val="007D06B2"/>
    <w:rsid w:val="007D0A9D"/>
    <w:rsid w:val="007D0B38"/>
    <w:rsid w:val="007D1304"/>
    <w:rsid w:val="007D1E11"/>
    <w:rsid w:val="007D21BB"/>
    <w:rsid w:val="007D2828"/>
    <w:rsid w:val="007D5440"/>
    <w:rsid w:val="007D587A"/>
    <w:rsid w:val="007D60EA"/>
    <w:rsid w:val="007D69EB"/>
    <w:rsid w:val="007D6E72"/>
    <w:rsid w:val="007E07F8"/>
    <w:rsid w:val="007E128F"/>
    <w:rsid w:val="007E12B5"/>
    <w:rsid w:val="007E17C7"/>
    <w:rsid w:val="007E28E2"/>
    <w:rsid w:val="007E52ED"/>
    <w:rsid w:val="007E55A2"/>
    <w:rsid w:val="007E661A"/>
    <w:rsid w:val="007E7B95"/>
    <w:rsid w:val="007F1017"/>
    <w:rsid w:val="007F30C3"/>
    <w:rsid w:val="007F4A3F"/>
    <w:rsid w:val="007F4A61"/>
    <w:rsid w:val="007F4B3B"/>
    <w:rsid w:val="007F5255"/>
    <w:rsid w:val="007F56CC"/>
    <w:rsid w:val="007F61C2"/>
    <w:rsid w:val="007F70CD"/>
    <w:rsid w:val="007F71F5"/>
    <w:rsid w:val="007F7381"/>
    <w:rsid w:val="0080283B"/>
    <w:rsid w:val="00804637"/>
    <w:rsid w:val="00805142"/>
    <w:rsid w:val="00805FCE"/>
    <w:rsid w:val="00807A8B"/>
    <w:rsid w:val="00810687"/>
    <w:rsid w:val="00810870"/>
    <w:rsid w:val="00811217"/>
    <w:rsid w:val="00811383"/>
    <w:rsid w:val="00811542"/>
    <w:rsid w:val="00812149"/>
    <w:rsid w:val="00812380"/>
    <w:rsid w:val="00812CAC"/>
    <w:rsid w:val="008157A9"/>
    <w:rsid w:val="00816361"/>
    <w:rsid w:val="008166EF"/>
    <w:rsid w:val="00816FEF"/>
    <w:rsid w:val="00820A8C"/>
    <w:rsid w:val="008211AA"/>
    <w:rsid w:val="008215FB"/>
    <w:rsid w:val="008220CC"/>
    <w:rsid w:val="008220D3"/>
    <w:rsid w:val="00822F4E"/>
    <w:rsid w:val="00823174"/>
    <w:rsid w:val="0082429E"/>
    <w:rsid w:val="00824B59"/>
    <w:rsid w:val="00825751"/>
    <w:rsid w:val="008264EB"/>
    <w:rsid w:val="008268CE"/>
    <w:rsid w:val="00827C23"/>
    <w:rsid w:val="00831434"/>
    <w:rsid w:val="0083235F"/>
    <w:rsid w:val="00833B05"/>
    <w:rsid w:val="00833BAB"/>
    <w:rsid w:val="008351D7"/>
    <w:rsid w:val="008362B4"/>
    <w:rsid w:val="00840CA2"/>
    <w:rsid w:val="00842BF6"/>
    <w:rsid w:val="008433E5"/>
    <w:rsid w:val="0084344F"/>
    <w:rsid w:val="0084374F"/>
    <w:rsid w:val="00844817"/>
    <w:rsid w:val="00844A22"/>
    <w:rsid w:val="00844A40"/>
    <w:rsid w:val="00845002"/>
    <w:rsid w:val="008462BA"/>
    <w:rsid w:val="008466CB"/>
    <w:rsid w:val="008474C9"/>
    <w:rsid w:val="00847703"/>
    <w:rsid w:val="00847AA5"/>
    <w:rsid w:val="00847DF5"/>
    <w:rsid w:val="00850275"/>
    <w:rsid w:val="00852253"/>
    <w:rsid w:val="0085309D"/>
    <w:rsid w:val="008535B8"/>
    <w:rsid w:val="00856897"/>
    <w:rsid w:val="00856E9A"/>
    <w:rsid w:val="008601A5"/>
    <w:rsid w:val="0086075D"/>
    <w:rsid w:val="00860C14"/>
    <w:rsid w:val="008613FE"/>
    <w:rsid w:val="008624E5"/>
    <w:rsid w:val="00862502"/>
    <w:rsid w:val="00862CC1"/>
    <w:rsid w:val="00862D18"/>
    <w:rsid w:val="008642A7"/>
    <w:rsid w:val="008646ED"/>
    <w:rsid w:val="008660D4"/>
    <w:rsid w:val="0086704F"/>
    <w:rsid w:val="00871FA9"/>
    <w:rsid w:val="008728E9"/>
    <w:rsid w:val="008735A5"/>
    <w:rsid w:val="00875AED"/>
    <w:rsid w:val="00876BC6"/>
    <w:rsid w:val="0087721E"/>
    <w:rsid w:val="0088064F"/>
    <w:rsid w:val="00880FFB"/>
    <w:rsid w:val="0088147C"/>
    <w:rsid w:val="008819B7"/>
    <w:rsid w:val="00882874"/>
    <w:rsid w:val="00882E3C"/>
    <w:rsid w:val="0088308A"/>
    <w:rsid w:val="00883160"/>
    <w:rsid w:val="00883787"/>
    <w:rsid w:val="00884EFD"/>
    <w:rsid w:val="008855E4"/>
    <w:rsid w:val="00886BE3"/>
    <w:rsid w:val="00886CD2"/>
    <w:rsid w:val="008877C2"/>
    <w:rsid w:val="00887899"/>
    <w:rsid w:val="0089068C"/>
    <w:rsid w:val="00890D7C"/>
    <w:rsid w:val="00891E6F"/>
    <w:rsid w:val="008921F6"/>
    <w:rsid w:val="0089275D"/>
    <w:rsid w:val="00892773"/>
    <w:rsid w:val="00892A36"/>
    <w:rsid w:val="00892AB3"/>
    <w:rsid w:val="00893239"/>
    <w:rsid w:val="00893A8D"/>
    <w:rsid w:val="00893A98"/>
    <w:rsid w:val="00894489"/>
    <w:rsid w:val="00894CD6"/>
    <w:rsid w:val="008963A5"/>
    <w:rsid w:val="008968EA"/>
    <w:rsid w:val="00896D5D"/>
    <w:rsid w:val="00897667"/>
    <w:rsid w:val="008A3095"/>
    <w:rsid w:val="008A3158"/>
    <w:rsid w:val="008A3363"/>
    <w:rsid w:val="008A3371"/>
    <w:rsid w:val="008A3C3E"/>
    <w:rsid w:val="008A4BA7"/>
    <w:rsid w:val="008A5110"/>
    <w:rsid w:val="008A5415"/>
    <w:rsid w:val="008A6EDD"/>
    <w:rsid w:val="008A779F"/>
    <w:rsid w:val="008A79DE"/>
    <w:rsid w:val="008B1757"/>
    <w:rsid w:val="008B1C33"/>
    <w:rsid w:val="008B3442"/>
    <w:rsid w:val="008B35CF"/>
    <w:rsid w:val="008B4360"/>
    <w:rsid w:val="008B4B6F"/>
    <w:rsid w:val="008B71CB"/>
    <w:rsid w:val="008B7992"/>
    <w:rsid w:val="008B7D7E"/>
    <w:rsid w:val="008C2873"/>
    <w:rsid w:val="008C34CE"/>
    <w:rsid w:val="008C4085"/>
    <w:rsid w:val="008C44FF"/>
    <w:rsid w:val="008C4B5D"/>
    <w:rsid w:val="008C511B"/>
    <w:rsid w:val="008C5610"/>
    <w:rsid w:val="008C5739"/>
    <w:rsid w:val="008C5775"/>
    <w:rsid w:val="008C6064"/>
    <w:rsid w:val="008C7282"/>
    <w:rsid w:val="008C73FB"/>
    <w:rsid w:val="008C7ECB"/>
    <w:rsid w:val="008D0119"/>
    <w:rsid w:val="008D0146"/>
    <w:rsid w:val="008D2821"/>
    <w:rsid w:val="008D3040"/>
    <w:rsid w:val="008D3255"/>
    <w:rsid w:val="008D35C1"/>
    <w:rsid w:val="008D3B86"/>
    <w:rsid w:val="008D43FD"/>
    <w:rsid w:val="008D4755"/>
    <w:rsid w:val="008D4C3D"/>
    <w:rsid w:val="008D743C"/>
    <w:rsid w:val="008E0D3C"/>
    <w:rsid w:val="008E13FF"/>
    <w:rsid w:val="008E1B9E"/>
    <w:rsid w:val="008E4A05"/>
    <w:rsid w:val="008E55AB"/>
    <w:rsid w:val="008E6B3E"/>
    <w:rsid w:val="008E6FA6"/>
    <w:rsid w:val="008F07AE"/>
    <w:rsid w:val="008F120A"/>
    <w:rsid w:val="008F16F9"/>
    <w:rsid w:val="008F27E0"/>
    <w:rsid w:val="008F4150"/>
    <w:rsid w:val="008F48EB"/>
    <w:rsid w:val="008F4F0B"/>
    <w:rsid w:val="008F62D7"/>
    <w:rsid w:val="008F630D"/>
    <w:rsid w:val="008F6506"/>
    <w:rsid w:val="00900875"/>
    <w:rsid w:val="00903670"/>
    <w:rsid w:val="009046C4"/>
    <w:rsid w:val="009062A5"/>
    <w:rsid w:val="00907699"/>
    <w:rsid w:val="009101D7"/>
    <w:rsid w:val="00910FA7"/>
    <w:rsid w:val="00911272"/>
    <w:rsid w:val="00911339"/>
    <w:rsid w:val="009135D6"/>
    <w:rsid w:val="0091418D"/>
    <w:rsid w:val="00914A93"/>
    <w:rsid w:val="00914C77"/>
    <w:rsid w:val="00916AC9"/>
    <w:rsid w:val="00916E43"/>
    <w:rsid w:val="00920CA6"/>
    <w:rsid w:val="00920E7E"/>
    <w:rsid w:val="00921ACB"/>
    <w:rsid w:val="009222CE"/>
    <w:rsid w:val="009227A6"/>
    <w:rsid w:val="0092369B"/>
    <w:rsid w:val="00923E2B"/>
    <w:rsid w:val="0092407E"/>
    <w:rsid w:val="00925B75"/>
    <w:rsid w:val="00926E90"/>
    <w:rsid w:val="009304CB"/>
    <w:rsid w:val="00930998"/>
    <w:rsid w:val="00933208"/>
    <w:rsid w:val="00934988"/>
    <w:rsid w:val="009365EC"/>
    <w:rsid w:val="00936657"/>
    <w:rsid w:val="009368A4"/>
    <w:rsid w:val="00937089"/>
    <w:rsid w:val="00937613"/>
    <w:rsid w:val="00937628"/>
    <w:rsid w:val="0094094E"/>
    <w:rsid w:val="00940C4D"/>
    <w:rsid w:val="00941BF4"/>
    <w:rsid w:val="00943378"/>
    <w:rsid w:val="00944DCD"/>
    <w:rsid w:val="00944F8A"/>
    <w:rsid w:val="00945584"/>
    <w:rsid w:val="00945C84"/>
    <w:rsid w:val="00945FD3"/>
    <w:rsid w:val="00947734"/>
    <w:rsid w:val="00947A1C"/>
    <w:rsid w:val="00950C78"/>
    <w:rsid w:val="009510A2"/>
    <w:rsid w:val="00952556"/>
    <w:rsid w:val="00953257"/>
    <w:rsid w:val="00954278"/>
    <w:rsid w:val="0095474C"/>
    <w:rsid w:val="0095567E"/>
    <w:rsid w:val="00955CF9"/>
    <w:rsid w:val="009563F2"/>
    <w:rsid w:val="0095674C"/>
    <w:rsid w:val="009578C5"/>
    <w:rsid w:val="00957D92"/>
    <w:rsid w:val="00960BFE"/>
    <w:rsid w:val="00962BB9"/>
    <w:rsid w:val="00962CB9"/>
    <w:rsid w:val="00964312"/>
    <w:rsid w:val="00964846"/>
    <w:rsid w:val="00964976"/>
    <w:rsid w:val="00965B8A"/>
    <w:rsid w:val="0096656E"/>
    <w:rsid w:val="00966D9D"/>
    <w:rsid w:val="00967558"/>
    <w:rsid w:val="0097071F"/>
    <w:rsid w:val="009717AC"/>
    <w:rsid w:val="00973E6F"/>
    <w:rsid w:val="00974318"/>
    <w:rsid w:val="009751C1"/>
    <w:rsid w:val="00976567"/>
    <w:rsid w:val="00977381"/>
    <w:rsid w:val="009808C7"/>
    <w:rsid w:val="009811F1"/>
    <w:rsid w:val="00983E57"/>
    <w:rsid w:val="009843C8"/>
    <w:rsid w:val="00985B1B"/>
    <w:rsid w:val="00985DE2"/>
    <w:rsid w:val="0098675D"/>
    <w:rsid w:val="00986BAF"/>
    <w:rsid w:val="00987BA4"/>
    <w:rsid w:val="00990393"/>
    <w:rsid w:val="009920CA"/>
    <w:rsid w:val="009926E0"/>
    <w:rsid w:val="0099451E"/>
    <w:rsid w:val="0099665C"/>
    <w:rsid w:val="00996B1A"/>
    <w:rsid w:val="00996FDC"/>
    <w:rsid w:val="00997821"/>
    <w:rsid w:val="009A18F6"/>
    <w:rsid w:val="009A2DCC"/>
    <w:rsid w:val="009A3F07"/>
    <w:rsid w:val="009A531E"/>
    <w:rsid w:val="009A53B2"/>
    <w:rsid w:val="009A5ABC"/>
    <w:rsid w:val="009A7F10"/>
    <w:rsid w:val="009B1D5D"/>
    <w:rsid w:val="009B3035"/>
    <w:rsid w:val="009B3122"/>
    <w:rsid w:val="009B3530"/>
    <w:rsid w:val="009B3E26"/>
    <w:rsid w:val="009B7B07"/>
    <w:rsid w:val="009C1271"/>
    <w:rsid w:val="009C16E4"/>
    <w:rsid w:val="009C2014"/>
    <w:rsid w:val="009C3706"/>
    <w:rsid w:val="009C3754"/>
    <w:rsid w:val="009C3A3A"/>
    <w:rsid w:val="009C4A8B"/>
    <w:rsid w:val="009C6874"/>
    <w:rsid w:val="009C689F"/>
    <w:rsid w:val="009C6CEA"/>
    <w:rsid w:val="009C6F95"/>
    <w:rsid w:val="009C7B85"/>
    <w:rsid w:val="009D0254"/>
    <w:rsid w:val="009D1A64"/>
    <w:rsid w:val="009D2998"/>
    <w:rsid w:val="009D4450"/>
    <w:rsid w:val="009D5B91"/>
    <w:rsid w:val="009D792E"/>
    <w:rsid w:val="009E01B0"/>
    <w:rsid w:val="009E0DFE"/>
    <w:rsid w:val="009E21B8"/>
    <w:rsid w:val="009E31F6"/>
    <w:rsid w:val="009E3239"/>
    <w:rsid w:val="009E4C07"/>
    <w:rsid w:val="009E63AD"/>
    <w:rsid w:val="009E777F"/>
    <w:rsid w:val="009F0502"/>
    <w:rsid w:val="009F2314"/>
    <w:rsid w:val="009F381C"/>
    <w:rsid w:val="009F6120"/>
    <w:rsid w:val="00A0079E"/>
    <w:rsid w:val="00A00935"/>
    <w:rsid w:val="00A00D76"/>
    <w:rsid w:val="00A01184"/>
    <w:rsid w:val="00A01449"/>
    <w:rsid w:val="00A0232D"/>
    <w:rsid w:val="00A027FB"/>
    <w:rsid w:val="00A02AB3"/>
    <w:rsid w:val="00A037C2"/>
    <w:rsid w:val="00A03D43"/>
    <w:rsid w:val="00A03FEE"/>
    <w:rsid w:val="00A04380"/>
    <w:rsid w:val="00A04786"/>
    <w:rsid w:val="00A04E97"/>
    <w:rsid w:val="00A04ECD"/>
    <w:rsid w:val="00A05472"/>
    <w:rsid w:val="00A05AB4"/>
    <w:rsid w:val="00A05C32"/>
    <w:rsid w:val="00A0653F"/>
    <w:rsid w:val="00A07662"/>
    <w:rsid w:val="00A10922"/>
    <w:rsid w:val="00A11CD0"/>
    <w:rsid w:val="00A11EC4"/>
    <w:rsid w:val="00A12388"/>
    <w:rsid w:val="00A13187"/>
    <w:rsid w:val="00A131A3"/>
    <w:rsid w:val="00A13948"/>
    <w:rsid w:val="00A13F25"/>
    <w:rsid w:val="00A14975"/>
    <w:rsid w:val="00A14C6D"/>
    <w:rsid w:val="00A15475"/>
    <w:rsid w:val="00A1555B"/>
    <w:rsid w:val="00A155C5"/>
    <w:rsid w:val="00A15D63"/>
    <w:rsid w:val="00A16AD8"/>
    <w:rsid w:val="00A17680"/>
    <w:rsid w:val="00A17B82"/>
    <w:rsid w:val="00A2021E"/>
    <w:rsid w:val="00A21C95"/>
    <w:rsid w:val="00A21CF3"/>
    <w:rsid w:val="00A222E0"/>
    <w:rsid w:val="00A24813"/>
    <w:rsid w:val="00A249BD"/>
    <w:rsid w:val="00A2533F"/>
    <w:rsid w:val="00A27AEC"/>
    <w:rsid w:val="00A27D79"/>
    <w:rsid w:val="00A27EB7"/>
    <w:rsid w:val="00A304F9"/>
    <w:rsid w:val="00A30616"/>
    <w:rsid w:val="00A3175D"/>
    <w:rsid w:val="00A320DB"/>
    <w:rsid w:val="00A331FB"/>
    <w:rsid w:val="00A33709"/>
    <w:rsid w:val="00A33DE5"/>
    <w:rsid w:val="00A351E6"/>
    <w:rsid w:val="00A35D16"/>
    <w:rsid w:val="00A36867"/>
    <w:rsid w:val="00A37BCD"/>
    <w:rsid w:val="00A40BDA"/>
    <w:rsid w:val="00A41689"/>
    <w:rsid w:val="00A4250B"/>
    <w:rsid w:val="00A42592"/>
    <w:rsid w:val="00A43C59"/>
    <w:rsid w:val="00A44F93"/>
    <w:rsid w:val="00A464F6"/>
    <w:rsid w:val="00A46CAC"/>
    <w:rsid w:val="00A46DB0"/>
    <w:rsid w:val="00A4701F"/>
    <w:rsid w:val="00A47EA5"/>
    <w:rsid w:val="00A50ECD"/>
    <w:rsid w:val="00A518F3"/>
    <w:rsid w:val="00A52729"/>
    <w:rsid w:val="00A53675"/>
    <w:rsid w:val="00A5372C"/>
    <w:rsid w:val="00A54155"/>
    <w:rsid w:val="00A54CFF"/>
    <w:rsid w:val="00A55177"/>
    <w:rsid w:val="00A55580"/>
    <w:rsid w:val="00A564D7"/>
    <w:rsid w:val="00A56B6A"/>
    <w:rsid w:val="00A578DC"/>
    <w:rsid w:val="00A57955"/>
    <w:rsid w:val="00A60C16"/>
    <w:rsid w:val="00A6357C"/>
    <w:rsid w:val="00A640E2"/>
    <w:rsid w:val="00A643A1"/>
    <w:rsid w:val="00A64D65"/>
    <w:rsid w:val="00A65369"/>
    <w:rsid w:val="00A65814"/>
    <w:rsid w:val="00A6725B"/>
    <w:rsid w:val="00A70605"/>
    <w:rsid w:val="00A712A3"/>
    <w:rsid w:val="00A71A63"/>
    <w:rsid w:val="00A73134"/>
    <w:rsid w:val="00A73211"/>
    <w:rsid w:val="00A7365A"/>
    <w:rsid w:val="00A738B7"/>
    <w:rsid w:val="00A75628"/>
    <w:rsid w:val="00A76001"/>
    <w:rsid w:val="00A7637D"/>
    <w:rsid w:val="00A777B2"/>
    <w:rsid w:val="00A77C45"/>
    <w:rsid w:val="00A804B2"/>
    <w:rsid w:val="00A80AC7"/>
    <w:rsid w:val="00A81912"/>
    <w:rsid w:val="00A825D4"/>
    <w:rsid w:val="00A828F6"/>
    <w:rsid w:val="00A82B73"/>
    <w:rsid w:val="00A84164"/>
    <w:rsid w:val="00A84D78"/>
    <w:rsid w:val="00A84F36"/>
    <w:rsid w:val="00A86E8B"/>
    <w:rsid w:val="00A87164"/>
    <w:rsid w:val="00A871A9"/>
    <w:rsid w:val="00A93072"/>
    <w:rsid w:val="00A938BD"/>
    <w:rsid w:val="00A93953"/>
    <w:rsid w:val="00A945D7"/>
    <w:rsid w:val="00A959D8"/>
    <w:rsid w:val="00A96905"/>
    <w:rsid w:val="00AA113D"/>
    <w:rsid w:val="00AA3F40"/>
    <w:rsid w:val="00AA525B"/>
    <w:rsid w:val="00AA57B3"/>
    <w:rsid w:val="00AA6AE9"/>
    <w:rsid w:val="00AA6BD5"/>
    <w:rsid w:val="00AA6BD8"/>
    <w:rsid w:val="00AA6C7D"/>
    <w:rsid w:val="00AA783D"/>
    <w:rsid w:val="00AA7FD6"/>
    <w:rsid w:val="00AB042A"/>
    <w:rsid w:val="00AB11AD"/>
    <w:rsid w:val="00AB19EF"/>
    <w:rsid w:val="00AB2495"/>
    <w:rsid w:val="00AB2814"/>
    <w:rsid w:val="00AB2C67"/>
    <w:rsid w:val="00AB2D34"/>
    <w:rsid w:val="00AB31EA"/>
    <w:rsid w:val="00AB3430"/>
    <w:rsid w:val="00AB3534"/>
    <w:rsid w:val="00AB37B9"/>
    <w:rsid w:val="00AB3D30"/>
    <w:rsid w:val="00AB4AD1"/>
    <w:rsid w:val="00AB570A"/>
    <w:rsid w:val="00AB5E07"/>
    <w:rsid w:val="00AB7CFA"/>
    <w:rsid w:val="00AC0CDB"/>
    <w:rsid w:val="00AC3471"/>
    <w:rsid w:val="00AC4FF3"/>
    <w:rsid w:val="00AC520D"/>
    <w:rsid w:val="00AC5372"/>
    <w:rsid w:val="00AC554A"/>
    <w:rsid w:val="00AC5B42"/>
    <w:rsid w:val="00AC5B48"/>
    <w:rsid w:val="00AC6CE4"/>
    <w:rsid w:val="00AC6E7B"/>
    <w:rsid w:val="00AD06AF"/>
    <w:rsid w:val="00AD1450"/>
    <w:rsid w:val="00AD15E8"/>
    <w:rsid w:val="00AD25DC"/>
    <w:rsid w:val="00AD29C2"/>
    <w:rsid w:val="00AD32D9"/>
    <w:rsid w:val="00AD356D"/>
    <w:rsid w:val="00AD383E"/>
    <w:rsid w:val="00AD504A"/>
    <w:rsid w:val="00AD6502"/>
    <w:rsid w:val="00AE0695"/>
    <w:rsid w:val="00AE0C2A"/>
    <w:rsid w:val="00AE16D2"/>
    <w:rsid w:val="00AE2CB5"/>
    <w:rsid w:val="00AE30A1"/>
    <w:rsid w:val="00AE3711"/>
    <w:rsid w:val="00AE3E7E"/>
    <w:rsid w:val="00AE444D"/>
    <w:rsid w:val="00AE6858"/>
    <w:rsid w:val="00AE7E53"/>
    <w:rsid w:val="00AF0F6B"/>
    <w:rsid w:val="00AF1315"/>
    <w:rsid w:val="00AF19BF"/>
    <w:rsid w:val="00AF2564"/>
    <w:rsid w:val="00AF2DC3"/>
    <w:rsid w:val="00AF303C"/>
    <w:rsid w:val="00AF3645"/>
    <w:rsid w:val="00AF48B2"/>
    <w:rsid w:val="00B007D3"/>
    <w:rsid w:val="00B02AED"/>
    <w:rsid w:val="00B033E5"/>
    <w:rsid w:val="00B035B1"/>
    <w:rsid w:val="00B03A63"/>
    <w:rsid w:val="00B03D13"/>
    <w:rsid w:val="00B04535"/>
    <w:rsid w:val="00B05552"/>
    <w:rsid w:val="00B05C49"/>
    <w:rsid w:val="00B1124A"/>
    <w:rsid w:val="00B11BC9"/>
    <w:rsid w:val="00B11CCB"/>
    <w:rsid w:val="00B129A4"/>
    <w:rsid w:val="00B15705"/>
    <w:rsid w:val="00B201A4"/>
    <w:rsid w:val="00B201D1"/>
    <w:rsid w:val="00B213A6"/>
    <w:rsid w:val="00B220B8"/>
    <w:rsid w:val="00B235B0"/>
    <w:rsid w:val="00B23C03"/>
    <w:rsid w:val="00B24DF6"/>
    <w:rsid w:val="00B258C1"/>
    <w:rsid w:val="00B25AA4"/>
    <w:rsid w:val="00B27A61"/>
    <w:rsid w:val="00B30226"/>
    <w:rsid w:val="00B30C7D"/>
    <w:rsid w:val="00B3195B"/>
    <w:rsid w:val="00B326D2"/>
    <w:rsid w:val="00B32ED7"/>
    <w:rsid w:val="00B3497E"/>
    <w:rsid w:val="00B34FE2"/>
    <w:rsid w:val="00B35166"/>
    <w:rsid w:val="00B3542F"/>
    <w:rsid w:val="00B357D8"/>
    <w:rsid w:val="00B35D99"/>
    <w:rsid w:val="00B360F4"/>
    <w:rsid w:val="00B36A00"/>
    <w:rsid w:val="00B376AF"/>
    <w:rsid w:val="00B3784E"/>
    <w:rsid w:val="00B3792B"/>
    <w:rsid w:val="00B379E5"/>
    <w:rsid w:val="00B379F2"/>
    <w:rsid w:val="00B37B92"/>
    <w:rsid w:val="00B37BFC"/>
    <w:rsid w:val="00B40245"/>
    <w:rsid w:val="00B40358"/>
    <w:rsid w:val="00B41101"/>
    <w:rsid w:val="00B41614"/>
    <w:rsid w:val="00B42851"/>
    <w:rsid w:val="00B42D20"/>
    <w:rsid w:val="00B42F80"/>
    <w:rsid w:val="00B435CB"/>
    <w:rsid w:val="00B43763"/>
    <w:rsid w:val="00B4449D"/>
    <w:rsid w:val="00B455F2"/>
    <w:rsid w:val="00B465EC"/>
    <w:rsid w:val="00B505C8"/>
    <w:rsid w:val="00B50DB8"/>
    <w:rsid w:val="00B51FD7"/>
    <w:rsid w:val="00B53654"/>
    <w:rsid w:val="00B53905"/>
    <w:rsid w:val="00B5396C"/>
    <w:rsid w:val="00B546DB"/>
    <w:rsid w:val="00B54B5B"/>
    <w:rsid w:val="00B555CF"/>
    <w:rsid w:val="00B5562E"/>
    <w:rsid w:val="00B55862"/>
    <w:rsid w:val="00B55D65"/>
    <w:rsid w:val="00B56305"/>
    <w:rsid w:val="00B57000"/>
    <w:rsid w:val="00B57077"/>
    <w:rsid w:val="00B57283"/>
    <w:rsid w:val="00B605AE"/>
    <w:rsid w:val="00B60859"/>
    <w:rsid w:val="00B60939"/>
    <w:rsid w:val="00B60AFD"/>
    <w:rsid w:val="00B62715"/>
    <w:rsid w:val="00B65611"/>
    <w:rsid w:val="00B6655B"/>
    <w:rsid w:val="00B67637"/>
    <w:rsid w:val="00B709AF"/>
    <w:rsid w:val="00B70B3E"/>
    <w:rsid w:val="00B70E8E"/>
    <w:rsid w:val="00B73F70"/>
    <w:rsid w:val="00B75C34"/>
    <w:rsid w:val="00B76C92"/>
    <w:rsid w:val="00B80EFD"/>
    <w:rsid w:val="00B81258"/>
    <w:rsid w:val="00B812FC"/>
    <w:rsid w:val="00B818A4"/>
    <w:rsid w:val="00B83739"/>
    <w:rsid w:val="00B84117"/>
    <w:rsid w:val="00B858F0"/>
    <w:rsid w:val="00B85AA2"/>
    <w:rsid w:val="00B8649C"/>
    <w:rsid w:val="00B8695D"/>
    <w:rsid w:val="00B873DB"/>
    <w:rsid w:val="00B87F0A"/>
    <w:rsid w:val="00B904E3"/>
    <w:rsid w:val="00B90B63"/>
    <w:rsid w:val="00B92D0B"/>
    <w:rsid w:val="00B930B8"/>
    <w:rsid w:val="00B94126"/>
    <w:rsid w:val="00B94945"/>
    <w:rsid w:val="00B94DD6"/>
    <w:rsid w:val="00B9535D"/>
    <w:rsid w:val="00B96A54"/>
    <w:rsid w:val="00B97EFA"/>
    <w:rsid w:val="00BA10F4"/>
    <w:rsid w:val="00BA322D"/>
    <w:rsid w:val="00BA32CF"/>
    <w:rsid w:val="00BA63FA"/>
    <w:rsid w:val="00BA6E03"/>
    <w:rsid w:val="00BA6FCF"/>
    <w:rsid w:val="00BB00B3"/>
    <w:rsid w:val="00BB018F"/>
    <w:rsid w:val="00BB03CC"/>
    <w:rsid w:val="00BB0BDD"/>
    <w:rsid w:val="00BB176C"/>
    <w:rsid w:val="00BB2A73"/>
    <w:rsid w:val="00BB32D3"/>
    <w:rsid w:val="00BB39DA"/>
    <w:rsid w:val="00BB3A45"/>
    <w:rsid w:val="00BB4332"/>
    <w:rsid w:val="00BB4A2A"/>
    <w:rsid w:val="00BB4ACC"/>
    <w:rsid w:val="00BB4C9B"/>
    <w:rsid w:val="00BB6F74"/>
    <w:rsid w:val="00BB703E"/>
    <w:rsid w:val="00BB732D"/>
    <w:rsid w:val="00BB7405"/>
    <w:rsid w:val="00BC1A76"/>
    <w:rsid w:val="00BC35C3"/>
    <w:rsid w:val="00BC35F1"/>
    <w:rsid w:val="00BC3631"/>
    <w:rsid w:val="00BC3819"/>
    <w:rsid w:val="00BC3E9B"/>
    <w:rsid w:val="00BC591F"/>
    <w:rsid w:val="00BC7C41"/>
    <w:rsid w:val="00BC7D6D"/>
    <w:rsid w:val="00BD1B2F"/>
    <w:rsid w:val="00BD2108"/>
    <w:rsid w:val="00BD4936"/>
    <w:rsid w:val="00BD68A3"/>
    <w:rsid w:val="00BD6938"/>
    <w:rsid w:val="00BD6CF3"/>
    <w:rsid w:val="00BD7304"/>
    <w:rsid w:val="00BD7F72"/>
    <w:rsid w:val="00BE08B4"/>
    <w:rsid w:val="00BE0ECA"/>
    <w:rsid w:val="00BE2180"/>
    <w:rsid w:val="00BE21F2"/>
    <w:rsid w:val="00BE298B"/>
    <w:rsid w:val="00BE4275"/>
    <w:rsid w:val="00BE480A"/>
    <w:rsid w:val="00BE4E44"/>
    <w:rsid w:val="00BE5BDC"/>
    <w:rsid w:val="00BE6F84"/>
    <w:rsid w:val="00BF06AE"/>
    <w:rsid w:val="00BF0F95"/>
    <w:rsid w:val="00BF2327"/>
    <w:rsid w:val="00BF2433"/>
    <w:rsid w:val="00BF2E6E"/>
    <w:rsid w:val="00BF4AA7"/>
    <w:rsid w:val="00BF546D"/>
    <w:rsid w:val="00BF61C9"/>
    <w:rsid w:val="00BF6B0E"/>
    <w:rsid w:val="00BF6C94"/>
    <w:rsid w:val="00C00424"/>
    <w:rsid w:val="00C00BB0"/>
    <w:rsid w:val="00C0248F"/>
    <w:rsid w:val="00C02E77"/>
    <w:rsid w:val="00C071AA"/>
    <w:rsid w:val="00C108EB"/>
    <w:rsid w:val="00C11294"/>
    <w:rsid w:val="00C1179F"/>
    <w:rsid w:val="00C127B9"/>
    <w:rsid w:val="00C1284D"/>
    <w:rsid w:val="00C128FA"/>
    <w:rsid w:val="00C12C14"/>
    <w:rsid w:val="00C13918"/>
    <w:rsid w:val="00C1400C"/>
    <w:rsid w:val="00C14239"/>
    <w:rsid w:val="00C14F73"/>
    <w:rsid w:val="00C15F04"/>
    <w:rsid w:val="00C179B3"/>
    <w:rsid w:val="00C17E3F"/>
    <w:rsid w:val="00C200AA"/>
    <w:rsid w:val="00C20DC7"/>
    <w:rsid w:val="00C237ED"/>
    <w:rsid w:val="00C24632"/>
    <w:rsid w:val="00C25418"/>
    <w:rsid w:val="00C25D9C"/>
    <w:rsid w:val="00C2778B"/>
    <w:rsid w:val="00C27C45"/>
    <w:rsid w:val="00C31649"/>
    <w:rsid w:val="00C326F2"/>
    <w:rsid w:val="00C32E29"/>
    <w:rsid w:val="00C332AF"/>
    <w:rsid w:val="00C33A60"/>
    <w:rsid w:val="00C3434C"/>
    <w:rsid w:val="00C35C2F"/>
    <w:rsid w:val="00C36E03"/>
    <w:rsid w:val="00C37955"/>
    <w:rsid w:val="00C40385"/>
    <w:rsid w:val="00C408E3"/>
    <w:rsid w:val="00C41768"/>
    <w:rsid w:val="00C44115"/>
    <w:rsid w:val="00C475AA"/>
    <w:rsid w:val="00C47ACB"/>
    <w:rsid w:val="00C5202B"/>
    <w:rsid w:val="00C527C7"/>
    <w:rsid w:val="00C536ED"/>
    <w:rsid w:val="00C53C98"/>
    <w:rsid w:val="00C54229"/>
    <w:rsid w:val="00C5439B"/>
    <w:rsid w:val="00C56D1A"/>
    <w:rsid w:val="00C56FCF"/>
    <w:rsid w:val="00C57B6C"/>
    <w:rsid w:val="00C60E6F"/>
    <w:rsid w:val="00C61A59"/>
    <w:rsid w:val="00C62305"/>
    <w:rsid w:val="00C628A6"/>
    <w:rsid w:val="00C63035"/>
    <w:rsid w:val="00C63E95"/>
    <w:rsid w:val="00C64344"/>
    <w:rsid w:val="00C65108"/>
    <w:rsid w:val="00C65576"/>
    <w:rsid w:val="00C66165"/>
    <w:rsid w:val="00C676BE"/>
    <w:rsid w:val="00C7060A"/>
    <w:rsid w:val="00C70677"/>
    <w:rsid w:val="00C70E3C"/>
    <w:rsid w:val="00C7151A"/>
    <w:rsid w:val="00C717E3"/>
    <w:rsid w:val="00C71F60"/>
    <w:rsid w:val="00C72241"/>
    <w:rsid w:val="00C72D3E"/>
    <w:rsid w:val="00C733CC"/>
    <w:rsid w:val="00C74B23"/>
    <w:rsid w:val="00C750C8"/>
    <w:rsid w:val="00C754F3"/>
    <w:rsid w:val="00C7560F"/>
    <w:rsid w:val="00C76425"/>
    <w:rsid w:val="00C77102"/>
    <w:rsid w:val="00C80A0E"/>
    <w:rsid w:val="00C818C2"/>
    <w:rsid w:val="00C8213F"/>
    <w:rsid w:val="00C82E4A"/>
    <w:rsid w:val="00C8303F"/>
    <w:rsid w:val="00C84D79"/>
    <w:rsid w:val="00C85154"/>
    <w:rsid w:val="00C85A70"/>
    <w:rsid w:val="00C85C3A"/>
    <w:rsid w:val="00C85FB3"/>
    <w:rsid w:val="00C87433"/>
    <w:rsid w:val="00C8797A"/>
    <w:rsid w:val="00C900B8"/>
    <w:rsid w:val="00C90197"/>
    <w:rsid w:val="00C908C0"/>
    <w:rsid w:val="00C90968"/>
    <w:rsid w:val="00C90C71"/>
    <w:rsid w:val="00C91916"/>
    <w:rsid w:val="00C91FD1"/>
    <w:rsid w:val="00C931CF"/>
    <w:rsid w:val="00C938CF"/>
    <w:rsid w:val="00C93F78"/>
    <w:rsid w:val="00C94053"/>
    <w:rsid w:val="00C9624D"/>
    <w:rsid w:val="00C969DA"/>
    <w:rsid w:val="00C9792B"/>
    <w:rsid w:val="00CA04E6"/>
    <w:rsid w:val="00CA2C77"/>
    <w:rsid w:val="00CA2F23"/>
    <w:rsid w:val="00CA37A1"/>
    <w:rsid w:val="00CA444F"/>
    <w:rsid w:val="00CA5245"/>
    <w:rsid w:val="00CA5BD0"/>
    <w:rsid w:val="00CA5EE9"/>
    <w:rsid w:val="00CA653C"/>
    <w:rsid w:val="00CA71F4"/>
    <w:rsid w:val="00CA7B09"/>
    <w:rsid w:val="00CB00D0"/>
    <w:rsid w:val="00CB019C"/>
    <w:rsid w:val="00CB0285"/>
    <w:rsid w:val="00CB12A5"/>
    <w:rsid w:val="00CB1CAC"/>
    <w:rsid w:val="00CB2F2A"/>
    <w:rsid w:val="00CB3D3A"/>
    <w:rsid w:val="00CB594B"/>
    <w:rsid w:val="00CB5B1A"/>
    <w:rsid w:val="00CB5ECD"/>
    <w:rsid w:val="00CB6B22"/>
    <w:rsid w:val="00CB7A90"/>
    <w:rsid w:val="00CB7F5F"/>
    <w:rsid w:val="00CC0747"/>
    <w:rsid w:val="00CC10BA"/>
    <w:rsid w:val="00CC1439"/>
    <w:rsid w:val="00CC1B39"/>
    <w:rsid w:val="00CC1BFA"/>
    <w:rsid w:val="00CC2E9F"/>
    <w:rsid w:val="00CC33E7"/>
    <w:rsid w:val="00CC35EA"/>
    <w:rsid w:val="00CC3848"/>
    <w:rsid w:val="00CC6D5E"/>
    <w:rsid w:val="00CD0200"/>
    <w:rsid w:val="00CD0874"/>
    <w:rsid w:val="00CD13B8"/>
    <w:rsid w:val="00CD308E"/>
    <w:rsid w:val="00CD3613"/>
    <w:rsid w:val="00CD3F77"/>
    <w:rsid w:val="00CD430D"/>
    <w:rsid w:val="00CD6ADC"/>
    <w:rsid w:val="00CD7193"/>
    <w:rsid w:val="00CE067E"/>
    <w:rsid w:val="00CE0DFA"/>
    <w:rsid w:val="00CE172C"/>
    <w:rsid w:val="00CE30DD"/>
    <w:rsid w:val="00CE3173"/>
    <w:rsid w:val="00CE38C8"/>
    <w:rsid w:val="00CE3E8F"/>
    <w:rsid w:val="00CE524F"/>
    <w:rsid w:val="00CE56F9"/>
    <w:rsid w:val="00CE58CC"/>
    <w:rsid w:val="00CE5AE9"/>
    <w:rsid w:val="00CE6274"/>
    <w:rsid w:val="00CE7666"/>
    <w:rsid w:val="00CE77B6"/>
    <w:rsid w:val="00CF1218"/>
    <w:rsid w:val="00CF1C6D"/>
    <w:rsid w:val="00CF23CF"/>
    <w:rsid w:val="00CF2676"/>
    <w:rsid w:val="00CF2B8D"/>
    <w:rsid w:val="00CF2CBE"/>
    <w:rsid w:val="00CF3A1B"/>
    <w:rsid w:val="00CF456B"/>
    <w:rsid w:val="00CF5A22"/>
    <w:rsid w:val="00CF6040"/>
    <w:rsid w:val="00CF6725"/>
    <w:rsid w:val="00CF793E"/>
    <w:rsid w:val="00D02543"/>
    <w:rsid w:val="00D0262E"/>
    <w:rsid w:val="00D02A72"/>
    <w:rsid w:val="00D03679"/>
    <w:rsid w:val="00D03F20"/>
    <w:rsid w:val="00D05E3D"/>
    <w:rsid w:val="00D06139"/>
    <w:rsid w:val="00D063C8"/>
    <w:rsid w:val="00D103A2"/>
    <w:rsid w:val="00D109CA"/>
    <w:rsid w:val="00D110BD"/>
    <w:rsid w:val="00D11499"/>
    <w:rsid w:val="00D129B7"/>
    <w:rsid w:val="00D13675"/>
    <w:rsid w:val="00D141E1"/>
    <w:rsid w:val="00D147F1"/>
    <w:rsid w:val="00D15190"/>
    <w:rsid w:val="00D15243"/>
    <w:rsid w:val="00D15314"/>
    <w:rsid w:val="00D15B48"/>
    <w:rsid w:val="00D176C8"/>
    <w:rsid w:val="00D17D6C"/>
    <w:rsid w:val="00D2155B"/>
    <w:rsid w:val="00D21E4E"/>
    <w:rsid w:val="00D22567"/>
    <w:rsid w:val="00D23BE5"/>
    <w:rsid w:val="00D23D11"/>
    <w:rsid w:val="00D244B6"/>
    <w:rsid w:val="00D25044"/>
    <w:rsid w:val="00D2644E"/>
    <w:rsid w:val="00D271FA"/>
    <w:rsid w:val="00D27246"/>
    <w:rsid w:val="00D2754D"/>
    <w:rsid w:val="00D278F6"/>
    <w:rsid w:val="00D27B27"/>
    <w:rsid w:val="00D30768"/>
    <w:rsid w:val="00D30B5E"/>
    <w:rsid w:val="00D30D5B"/>
    <w:rsid w:val="00D33BE9"/>
    <w:rsid w:val="00D33F93"/>
    <w:rsid w:val="00D3424D"/>
    <w:rsid w:val="00D3466E"/>
    <w:rsid w:val="00D357FF"/>
    <w:rsid w:val="00D35DEC"/>
    <w:rsid w:val="00D37302"/>
    <w:rsid w:val="00D424C7"/>
    <w:rsid w:val="00D42B38"/>
    <w:rsid w:val="00D43B2A"/>
    <w:rsid w:val="00D43CF1"/>
    <w:rsid w:val="00D43D83"/>
    <w:rsid w:val="00D43D8C"/>
    <w:rsid w:val="00D44C26"/>
    <w:rsid w:val="00D46235"/>
    <w:rsid w:val="00D46903"/>
    <w:rsid w:val="00D46AFD"/>
    <w:rsid w:val="00D46DBF"/>
    <w:rsid w:val="00D47575"/>
    <w:rsid w:val="00D47642"/>
    <w:rsid w:val="00D5243B"/>
    <w:rsid w:val="00D533EC"/>
    <w:rsid w:val="00D53A45"/>
    <w:rsid w:val="00D541AE"/>
    <w:rsid w:val="00D5433E"/>
    <w:rsid w:val="00D5490A"/>
    <w:rsid w:val="00D56A95"/>
    <w:rsid w:val="00D56F24"/>
    <w:rsid w:val="00D579A8"/>
    <w:rsid w:val="00D6064C"/>
    <w:rsid w:val="00D6076E"/>
    <w:rsid w:val="00D60826"/>
    <w:rsid w:val="00D609BC"/>
    <w:rsid w:val="00D60C35"/>
    <w:rsid w:val="00D61831"/>
    <w:rsid w:val="00D65A28"/>
    <w:rsid w:val="00D65EF5"/>
    <w:rsid w:val="00D6669C"/>
    <w:rsid w:val="00D70B23"/>
    <w:rsid w:val="00D70F16"/>
    <w:rsid w:val="00D717E3"/>
    <w:rsid w:val="00D72617"/>
    <w:rsid w:val="00D72F57"/>
    <w:rsid w:val="00D73D24"/>
    <w:rsid w:val="00D76A44"/>
    <w:rsid w:val="00D77B87"/>
    <w:rsid w:val="00D77D65"/>
    <w:rsid w:val="00D815EF"/>
    <w:rsid w:val="00D81949"/>
    <w:rsid w:val="00D81F26"/>
    <w:rsid w:val="00D822E2"/>
    <w:rsid w:val="00D8431B"/>
    <w:rsid w:val="00D843F2"/>
    <w:rsid w:val="00D8450C"/>
    <w:rsid w:val="00D84F4E"/>
    <w:rsid w:val="00D86231"/>
    <w:rsid w:val="00D868EA"/>
    <w:rsid w:val="00D86D37"/>
    <w:rsid w:val="00D870A3"/>
    <w:rsid w:val="00D90422"/>
    <w:rsid w:val="00D912AB"/>
    <w:rsid w:val="00D91315"/>
    <w:rsid w:val="00D917E5"/>
    <w:rsid w:val="00D91923"/>
    <w:rsid w:val="00D919E5"/>
    <w:rsid w:val="00D933A7"/>
    <w:rsid w:val="00D93753"/>
    <w:rsid w:val="00D93EBE"/>
    <w:rsid w:val="00D95969"/>
    <w:rsid w:val="00D95D43"/>
    <w:rsid w:val="00D96CBB"/>
    <w:rsid w:val="00DA058A"/>
    <w:rsid w:val="00DA2451"/>
    <w:rsid w:val="00DA3167"/>
    <w:rsid w:val="00DA3465"/>
    <w:rsid w:val="00DA3964"/>
    <w:rsid w:val="00DA4DC3"/>
    <w:rsid w:val="00DA6510"/>
    <w:rsid w:val="00DA77A5"/>
    <w:rsid w:val="00DB0E36"/>
    <w:rsid w:val="00DB1DC7"/>
    <w:rsid w:val="00DB24CC"/>
    <w:rsid w:val="00DB25AD"/>
    <w:rsid w:val="00DB288D"/>
    <w:rsid w:val="00DB29DD"/>
    <w:rsid w:val="00DB3DBF"/>
    <w:rsid w:val="00DB484F"/>
    <w:rsid w:val="00DB6374"/>
    <w:rsid w:val="00DB725F"/>
    <w:rsid w:val="00DB76BF"/>
    <w:rsid w:val="00DC04F6"/>
    <w:rsid w:val="00DC0690"/>
    <w:rsid w:val="00DC1033"/>
    <w:rsid w:val="00DC172B"/>
    <w:rsid w:val="00DC1D65"/>
    <w:rsid w:val="00DC210E"/>
    <w:rsid w:val="00DC217B"/>
    <w:rsid w:val="00DC25D4"/>
    <w:rsid w:val="00DC3C57"/>
    <w:rsid w:val="00DC40F5"/>
    <w:rsid w:val="00DC4BF3"/>
    <w:rsid w:val="00DC4F4E"/>
    <w:rsid w:val="00DC5501"/>
    <w:rsid w:val="00DC5DE4"/>
    <w:rsid w:val="00DC7154"/>
    <w:rsid w:val="00DC7E8A"/>
    <w:rsid w:val="00DD0F78"/>
    <w:rsid w:val="00DD1A4C"/>
    <w:rsid w:val="00DD273C"/>
    <w:rsid w:val="00DD32B4"/>
    <w:rsid w:val="00DD3F28"/>
    <w:rsid w:val="00DD4446"/>
    <w:rsid w:val="00DD4537"/>
    <w:rsid w:val="00DD4B2C"/>
    <w:rsid w:val="00DD4E15"/>
    <w:rsid w:val="00DD5459"/>
    <w:rsid w:val="00DD63D4"/>
    <w:rsid w:val="00DD6B8D"/>
    <w:rsid w:val="00DD6F9A"/>
    <w:rsid w:val="00DD7906"/>
    <w:rsid w:val="00DE07F8"/>
    <w:rsid w:val="00DE1DA1"/>
    <w:rsid w:val="00DE1EF4"/>
    <w:rsid w:val="00DE2304"/>
    <w:rsid w:val="00DE3138"/>
    <w:rsid w:val="00DE37F8"/>
    <w:rsid w:val="00DE3E19"/>
    <w:rsid w:val="00DE4273"/>
    <w:rsid w:val="00DE4FCB"/>
    <w:rsid w:val="00DE5039"/>
    <w:rsid w:val="00DE5D07"/>
    <w:rsid w:val="00DE60A4"/>
    <w:rsid w:val="00DE72A7"/>
    <w:rsid w:val="00DE7832"/>
    <w:rsid w:val="00DF18FC"/>
    <w:rsid w:val="00DF5D2B"/>
    <w:rsid w:val="00DF6341"/>
    <w:rsid w:val="00DF7365"/>
    <w:rsid w:val="00E00E8E"/>
    <w:rsid w:val="00E01335"/>
    <w:rsid w:val="00E01440"/>
    <w:rsid w:val="00E01638"/>
    <w:rsid w:val="00E026CC"/>
    <w:rsid w:val="00E04F19"/>
    <w:rsid w:val="00E05630"/>
    <w:rsid w:val="00E06D61"/>
    <w:rsid w:val="00E06DBB"/>
    <w:rsid w:val="00E071E6"/>
    <w:rsid w:val="00E10149"/>
    <w:rsid w:val="00E11340"/>
    <w:rsid w:val="00E122A1"/>
    <w:rsid w:val="00E122E4"/>
    <w:rsid w:val="00E12430"/>
    <w:rsid w:val="00E13DBC"/>
    <w:rsid w:val="00E147B3"/>
    <w:rsid w:val="00E16372"/>
    <w:rsid w:val="00E16474"/>
    <w:rsid w:val="00E167FD"/>
    <w:rsid w:val="00E16AD8"/>
    <w:rsid w:val="00E17FFA"/>
    <w:rsid w:val="00E20C9F"/>
    <w:rsid w:val="00E20E4D"/>
    <w:rsid w:val="00E20ED6"/>
    <w:rsid w:val="00E21358"/>
    <w:rsid w:val="00E2249B"/>
    <w:rsid w:val="00E228F6"/>
    <w:rsid w:val="00E22A0D"/>
    <w:rsid w:val="00E244F6"/>
    <w:rsid w:val="00E258DB"/>
    <w:rsid w:val="00E2771E"/>
    <w:rsid w:val="00E30439"/>
    <w:rsid w:val="00E311EF"/>
    <w:rsid w:val="00E31691"/>
    <w:rsid w:val="00E31A3C"/>
    <w:rsid w:val="00E32180"/>
    <w:rsid w:val="00E32C53"/>
    <w:rsid w:val="00E32ED1"/>
    <w:rsid w:val="00E3412D"/>
    <w:rsid w:val="00E34948"/>
    <w:rsid w:val="00E356BB"/>
    <w:rsid w:val="00E35895"/>
    <w:rsid w:val="00E372B0"/>
    <w:rsid w:val="00E37569"/>
    <w:rsid w:val="00E37B32"/>
    <w:rsid w:val="00E37B5C"/>
    <w:rsid w:val="00E37E82"/>
    <w:rsid w:val="00E401B2"/>
    <w:rsid w:val="00E40B94"/>
    <w:rsid w:val="00E4193F"/>
    <w:rsid w:val="00E41C4D"/>
    <w:rsid w:val="00E41E30"/>
    <w:rsid w:val="00E424F0"/>
    <w:rsid w:val="00E42F73"/>
    <w:rsid w:val="00E43D70"/>
    <w:rsid w:val="00E45EBC"/>
    <w:rsid w:val="00E466F3"/>
    <w:rsid w:val="00E46A66"/>
    <w:rsid w:val="00E47B2C"/>
    <w:rsid w:val="00E50284"/>
    <w:rsid w:val="00E51560"/>
    <w:rsid w:val="00E51821"/>
    <w:rsid w:val="00E5312C"/>
    <w:rsid w:val="00E5330B"/>
    <w:rsid w:val="00E53FC8"/>
    <w:rsid w:val="00E54347"/>
    <w:rsid w:val="00E54D80"/>
    <w:rsid w:val="00E55424"/>
    <w:rsid w:val="00E55915"/>
    <w:rsid w:val="00E55BB5"/>
    <w:rsid w:val="00E567A4"/>
    <w:rsid w:val="00E56DBA"/>
    <w:rsid w:val="00E577C6"/>
    <w:rsid w:val="00E57E8F"/>
    <w:rsid w:val="00E60D73"/>
    <w:rsid w:val="00E611DF"/>
    <w:rsid w:val="00E63BA1"/>
    <w:rsid w:val="00E64C91"/>
    <w:rsid w:val="00E65E79"/>
    <w:rsid w:val="00E66BA2"/>
    <w:rsid w:val="00E67416"/>
    <w:rsid w:val="00E67E23"/>
    <w:rsid w:val="00E71048"/>
    <w:rsid w:val="00E718B6"/>
    <w:rsid w:val="00E723BA"/>
    <w:rsid w:val="00E734DE"/>
    <w:rsid w:val="00E73581"/>
    <w:rsid w:val="00E817C9"/>
    <w:rsid w:val="00E82F35"/>
    <w:rsid w:val="00E82F4A"/>
    <w:rsid w:val="00E833F7"/>
    <w:rsid w:val="00E83A47"/>
    <w:rsid w:val="00E83BDF"/>
    <w:rsid w:val="00E83ED5"/>
    <w:rsid w:val="00E86FCC"/>
    <w:rsid w:val="00E87A1D"/>
    <w:rsid w:val="00E87FAC"/>
    <w:rsid w:val="00E9094A"/>
    <w:rsid w:val="00E91317"/>
    <w:rsid w:val="00E91D35"/>
    <w:rsid w:val="00E9219C"/>
    <w:rsid w:val="00E9236D"/>
    <w:rsid w:val="00E926A5"/>
    <w:rsid w:val="00E952C7"/>
    <w:rsid w:val="00E962CC"/>
    <w:rsid w:val="00E96E79"/>
    <w:rsid w:val="00E971ED"/>
    <w:rsid w:val="00E97210"/>
    <w:rsid w:val="00E97C3A"/>
    <w:rsid w:val="00EA01A3"/>
    <w:rsid w:val="00EA0246"/>
    <w:rsid w:val="00EA0B48"/>
    <w:rsid w:val="00EA1105"/>
    <w:rsid w:val="00EA17C3"/>
    <w:rsid w:val="00EA2B26"/>
    <w:rsid w:val="00EA2CAA"/>
    <w:rsid w:val="00EA3864"/>
    <w:rsid w:val="00EA41E6"/>
    <w:rsid w:val="00EA522C"/>
    <w:rsid w:val="00EA7E39"/>
    <w:rsid w:val="00EA7F1C"/>
    <w:rsid w:val="00EB15B6"/>
    <w:rsid w:val="00EB1F93"/>
    <w:rsid w:val="00EB2F88"/>
    <w:rsid w:val="00EB3D06"/>
    <w:rsid w:val="00EB4916"/>
    <w:rsid w:val="00EC00C9"/>
    <w:rsid w:val="00EC0600"/>
    <w:rsid w:val="00EC0717"/>
    <w:rsid w:val="00EC0DD9"/>
    <w:rsid w:val="00EC2649"/>
    <w:rsid w:val="00EC31ED"/>
    <w:rsid w:val="00EC332B"/>
    <w:rsid w:val="00EC3422"/>
    <w:rsid w:val="00EC4DEF"/>
    <w:rsid w:val="00EC513D"/>
    <w:rsid w:val="00EC5836"/>
    <w:rsid w:val="00EC688C"/>
    <w:rsid w:val="00EC690E"/>
    <w:rsid w:val="00EC7428"/>
    <w:rsid w:val="00ED017D"/>
    <w:rsid w:val="00ED12E3"/>
    <w:rsid w:val="00ED1761"/>
    <w:rsid w:val="00ED32A9"/>
    <w:rsid w:val="00ED3A24"/>
    <w:rsid w:val="00ED4B04"/>
    <w:rsid w:val="00ED4EA9"/>
    <w:rsid w:val="00ED57EA"/>
    <w:rsid w:val="00ED5BD4"/>
    <w:rsid w:val="00ED64AE"/>
    <w:rsid w:val="00ED6915"/>
    <w:rsid w:val="00ED6B1B"/>
    <w:rsid w:val="00EE02A8"/>
    <w:rsid w:val="00EE07D3"/>
    <w:rsid w:val="00EE093C"/>
    <w:rsid w:val="00EE1996"/>
    <w:rsid w:val="00EE1C01"/>
    <w:rsid w:val="00EE22AF"/>
    <w:rsid w:val="00EE3E10"/>
    <w:rsid w:val="00EE56B4"/>
    <w:rsid w:val="00EE5844"/>
    <w:rsid w:val="00EE5E39"/>
    <w:rsid w:val="00EE6ED1"/>
    <w:rsid w:val="00EE78B1"/>
    <w:rsid w:val="00EE7B0C"/>
    <w:rsid w:val="00EE7FF7"/>
    <w:rsid w:val="00EF0171"/>
    <w:rsid w:val="00EF07B9"/>
    <w:rsid w:val="00EF1B25"/>
    <w:rsid w:val="00EF1DA0"/>
    <w:rsid w:val="00EF43D1"/>
    <w:rsid w:val="00EF4747"/>
    <w:rsid w:val="00EF4BF8"/>
    <w:rsid w:val="00EF5558"/>
    <w:rsid w:val="00EF6764"/>
    <w:rsid w:val="00F02253"/>
    <w:rsid w:val="00F03C2E"/>
    <w:rsid w:val="00F04A66"/>
    <w:rsid w:val="00F04B4B"/>
    <w:rsid w:val="00F0516C"/>
    <w:rsid w:val="00F0666C"/>
    <w:rsid w:val="00F0672B"/>
    <w:rsid w:val="00F067A2"/>
    <w:rsid w:val="00F07B9E"/>
    <w:rsid w:val="00F10F1F"/>
    <w:rsid w:val="00F1116F"/>
    <w:rsid w:val="00F1263A"/>
    <w:rsid w:val="00F139C5"/>
    <w:rsid w:val="00F1459A"/>
    <w:rsid w:val="00F15B77"/>
    <w:rsid w:val="00F16809"/>
    <w:rsid w:val="00F17C51"/>
    <w:rsid w:val="00F2067A"/>
    <w:rsid w:val="00F21236"/>
    <w:rsid w:val="00F21DCB"/>
    <w:rsid w:val="00F23320"/>
    <w:rsid w:val="00F2371A"/>
    <w:rsid w:val="00F239DE"/>
    <w:rsid w:val="00F239DF"/>
    <w:rsid w:val="00F24837"/>
    <w:rsid w:val="00F24AB4"/>
    <w:rsid w:val="00F2575F"/>
    <w:rsid w:val="00F27565"/>
    <w:rsid w:val="00F310D4"/>
    <w:rsid w:val="00F31D5A"/>
    <w:rsid w:val="00F3230E"/>
    <w:rsid w:val="00F33975"/>
    <w:rsid w:val="00F33DE9"/>
    <w:rsid w:val="00F34345"/>
    <w:rsid w:val="00F34681"/>
    <w:rsid w:val="00F35B67"/>
    <w:rsid w:val="00F35E6D"/>
    <w:rsid w:val="00F35F3B"/>
    <w:rsid w:val="00F3619A"/>
    <w:rsid w:val="00F37A05"/>
    <w:rsid w:val="00F400E3"/>
    <w:rsid w:val="00F402F5"/>
    <w:rsid w:val="00F407FE"/>
    <w:rsid w:val="00F40AAA"/>
    <w:rsid w:val="00F40BA7"/>
    <w:rsid w:val="00F40F9D"/>
    <w:rsid w:val="00F41216"/>
    <w:rsid w:val="00F41ACD"/>
    <w:rsid w:val="00F42024"/>
    <w:rsid w:val="00F42F4E"/>
    <w:rsid w:val="00F43500"/>
    <w:rsid w:val="00F43DBC"/>
    <w:rsid w:val="00F455DA"/>
    <w:rsid w:val="00F4646F"/>
    <w:rsid w:val="00F46CB6"/>
    <w:rsid w:val="00F46E39"/>
    <w:rsid w:val="00F4756D"/>
    <w:rsid w:val="00F47DE8"/>
    <w:rsid w:val="00F52592"/>
    <w:rsid w:val="00F5347A"/>
    <w:rsid w:val="00F542C1"/>
    <w:rsid w:val="00F5447B"/>
    <w:rsid w:val="00F550E3"/>
    <w:rsid w:val="00F55C1D"/>
    <w:rsid w:val="00F55E73"/>
    <w:rsid w:val="00F55EDA"/>
    <w:rsid w:val="00F56270"/>
    <w:rsid w:val="00F5655E"/>
    <w:rsid w:val="00F56904"/>
    <w:rsid w:val="00F56C80"/>
    <w:rsid w:val="00F57659"/>
    <w:rsid w:val="00F60092"/>
    <w:rsid w:val="00F60580"/>
    <w:rsid w:val="00F61C18"/>
    <w:rsid w:val="00F65D54"/>
    <w:rsid w:val="00F65F4B"/>
    <w:rsid w:val="00F67A69"/>
    <w:rsid w:val="00F70BFF"/>
    <w:rsid w:val="00F70C9D"/>
    <w:rsid w:val="00F70E04"/>
    <w:rsid w:val="00F71B80"/>
    <w:rsid w:val="00F72A44"/>
    <w:rsid w:val="00F73E08"/>
    <w:rsid w:val="00F74700"/>
    <w:rsid w:val="00F74720"/>
    <w:rsid w:val="00F74CD9"/>
    <w:rsid w:val="00F76C64"/>
    <w:rsid w:val="00F770C6"/>
    <w:rsid w:val="00F80A7B"/>
    <w:rsid w:val="00F80E5D"/>
    <w:rsid w:val="00F81E78"/>
    <w:rsid w:val="00F83916"/>
    <w:rsid w:val="00F851CE"/>
    <w:rsid w:val="00F85A4C"/>
    <w:rsid w:val="00F8686B"/>
    <w:rsid w:val="00F91219"/>
    <w:rsid w:val="00F91235"/>
    <w:rsid w:val="00F91351"/>
    <w:rsid w:val="00F9225F"/>
    <w:rsid w:val="00F922BD"/>
    <w:rsid w:val="00F92444"/>
    <w:rsid w:val="00F9393E"/>
    <w:rsid w:val="00F93BC7"/>
    <w:rsid w:val="00F9552F"/>
    <w:rsid w:val="00F96FD0"/>
    <w:rsid w:val="00F97A78"/>
    <w:rsid w:val="00FA0195"/>
    <w:rsid w:val="00FA0B20"/>
    <w:rsid w:val="00FA0E9F"/>
    <w:rsid w:val="00FA223E"/>
    <w:rsid w:val="00FA24E7"/>
    <w:rsid w:val="00FA2DA6"/>
    <w:rsid w:val="00FA2EFF"/>
    <w:rsid w:val="00FA5EE6"/>
    <w:rsid w:val="00FA6CAC"/>
    <w:rsid w:val="00FA71DF"/>
    <w:rsid w:val="00FA7956"/>
    <w:rsid w:val="00FB025E"/>
    <w:rsid w:val="00FB0824"/>
    <w:rsid w:val="00FB14B4"/>
    <w:rsid w:val="00FB15AB"/>
    <w:rsid w:val="00FB2237"/>
    <w:rsid w:val="00FB2931"/>
    <w:rsid w:val="00FB2FCB"/>
    <w:rsid w:val="00FB370E"/>
    <w:rsid w:val="00FB4C9C"/>
    <w:rsid w:val="00FB75E6"/>
    <w:rsid w:val="00FB7AD0"/>
    <w:rsid w:val="00FB7C55"/>
    <w:rsid w:val="00FC06EC"/>
    <w:rsid w:val="00FC08E3"/>
    <w:rsid w:val="00FC1074"/>
    <w:rsid w:val="00FC1884"/>
    <w:rsid w:val="00FC24C1"/>
    <w:rsid w:val="00FC371D"/>
    <w:rsid w:val="00FC52B8"/>
    <w:rsid w:val="00FC548D"/>
    <w:rsid w:val="00FC5F0B"/>
    <w:rsid w:val="00FC7B34"/>
    <w:rsid w:val="00FD16D5"/>
    <w:rsid w:val="00FD2100"/>
    <w:rsid w:val="00FD2220"/>
    <w:rsid w:val="00FD22B1"/>
    <w:rsid w:val="00FD265F"/>
    <w:rsid w:val="00FD436C"/>
    <w:rsid w:val="00FD446D"/>
    <w:rsid w:val="00FD4E39"/>
    <w:rsid w:val="00FD4F2C"/>
    <w:rsid w:val="00FD5C7A"/>
    <w:rsid w:val="00FD6394"/>
    <w:rsid w:val="00FD68DE"/>
    <w:rsid w:val="00FD79ED"/>
    <w:rsid w:val="00FE0E6C"/>
    <w:rsid w:val="00FE0E78"/>
    <w:rsid w:val="00FE1CDC"/>
    <w:rsid w:val="00FE2169"/>
    <w:rsid w:val="00FE2365"/>
    <w:rsid w:val="00FE2BD6"/>
    <w:rsid w:val="00FE2BFB"/>
    <w:rsid w:val="00FE30A4"/>
    <w:rsid w:val="00FE36D8"/>
    <w:rsid w:val="00FE4935"/>
    <w:rsid w:val="00FE4DF4"/>
    <w:rsid w:val="00FE70C3"/>
    <w:rsid w:val="00FE7304"/>
    <w:rsid w:val="00FE7E2D"/>
    <w:rsid w:val="00FF0206"/>
    <w:rsid w:val="00FF1A8B"/>
    <w:rsid w:val="00FF221C"/>
    <w:rsid w:val="00FF2AD9"/>
    <w:rsid w:val="00FF346B"/>
    <w:rsid w:val="00FF359F"/>
    <w:rsid w:val="00FF3BFF"/>
    <w:rsid w:val="00FF3DCF"/>
    <w:rsid w:val="00FF4143"/>
    <w:rsid w:val="00FF490D"/>
    <w:rsid w:val="00FF492C"/>
    <w:rsid w:val="00FF4A21"/>
    <w:rsid w:val="00FF5AA3"/>
    <w:rsid w:val="00FF5AD8"/>
    <w:rsid w:val="00FF623D"/>
    <w:rsid w:val="00FF70A7"/>
    <w:rsid w:val="00FF719A"/>
    <w:rsid w:val="00FF78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B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Bullet List,FooterText,Colorful List Accent 1,Colorful List - Accent 11,numbered,ES Paragraph"/>
    <w:next w:val="ListBullet"/>
    <w:link w:val="ListParagraphChar"/>
    <w:uiPriority w:val="34"/>
    <w:qFormat/>
    <w:rsid w:val="00DD4B2C"/>
    <w:pPr>
      <w:numPr>
        <w:numId w:val="3"/>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Char,Bullet List Char,FooterText Char"/>
    <w:basedOn w:val="DefaultParagraphFont"/>
    <w:link w:val="ListParagraph"/>
    <w:uiPriority w:val="34"/>
    <w:qFormat/>
    <w:locked/>
    <w:rsid w:val="00DD4B2C"/>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HTAtableplain,Lash Style Table,Tabellengitternetz 9pt,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9F050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C125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AE0C2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AE0C2A"/>
    <w:rPr>
      <w:rFonts w:ascii="Arial Narrow" w:eastAsiaTheme="majorEastAsia" w:hAnsi="Arial Narrow" w:cstheme="majorBidi"/>
      <w:b/>
      <w:bCs/>
      <w:szCs w:val="24"/>
    </w:rPr>
  </w:style>
  <w:style w:type="paragraph" w:customStyle="1" w:styleId="3-BodyText">
    <w:name w:val="3-Body Text"/>
    <w:basedOn w:val="ListParagraph"/>
    <w:link w:val="3-BodyTextChar"/>
    <w:qFormat/>
    <w:rsid w:val="00892AB3"/>
    <w:pPr>
      <w:numPr>
        <w:ilvl w:val="1"/>
        <w:numId w:val="1"/>
      </w:numPr>
      <w:spacing w:before="120"/>
      <w:ind w:hanging="720"/>
    </w:pPr>
    <w:rPr>
      <w:snapToGrid/>
    </w:rPr>
  </w:style>
  <w:style w:type="character" w:customStyle="1" w:styleId="3-BodyTextChar">
    <w:name w:val="3-Body Text Char"/>
    <w:basedOn w:val="ListParagraphChar"/>
    <w:link w:val="3-BodyText"/>
    <w:rsid w:val="00892AB3"/>
    <w:rPr>
      <w:rFonts w:asciiTheme="minorHAnsi" w:hAnsiTheme="minorHAnsi" w:cs="Arial"/>
      <w:snapToGrid/>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customStyle="1" w:styleId="EndNoteBibliographyTitle">
    <w:name w:val="EndNote Bibliography Title"/>
    <w:basedOn w:val="Normal"/>
    <w:link w:val="EndNoteBibliographyTitleChar"/>
    <w:rsid w:val="00F93BC7"/>
    <w:pPr>
      <w:jc w:val="center"/>
    </w:pPr>
    <w:rPr>
      <w:rFonts w:cs="Calibri"/>
      <w:noProof/>
    </w:rPr>
  </w:style>
  <w:style w:type="character" w:customStyle="1" w:styleId="ListBulletChar">
    <w:name w:val="List Bullet Char"/>
    <w:basedOn w:val="DefaultParagraphFont"/>
    <w:link w:val="ListBullet"/>
    <w:rsid w:val="00F93BC7"/>
    <w:rPr>
      <w:rFonts w:ascii="Calibri" w:hAnsi="Calibri" w:cs="Arial"/>
      <w:sz w:val="24"/>
      <w:szCs w:val="24"/>
    </w:rPr>
  </w:style>
  <w:style w:type="character" w:customStyle="1" w:styleId="EndNoteBibliographyTitleChar">
    <w:name w:val="EndNote Bibliography Title Char"/>
    <w:basedOn w:val="ListBulletChar"/>
    <w:link w:val="EndNoteBibliographyTitle"/>
    <w:rsid w:val="00F93BC7"/>
    <w:rPr>
      <w:rFonts w:ascii="Calibri" w:hAnsi="Calibri" w:cs="Calibri"/>
      <w:noProof/>
      <w:sz w:val="24"/>
      <w:szCs w:val="24"/>
    </w:rPr>
  </w:style>
  <w:style w:type="paragraph" w:customStyle="1" w:styleId="EndNoteBibliography">
    <w:name w:val="EndNote Bibliography"/>
    <w:basedOn w:val="Normal"/>
    <w:link w:val="EndNoteBibliographyChar"/>
    <w:rsid w:val="00F93BC7"/>
    <w:rPr>
      <w:rFonts w:cs="Calibri"/>
      <w:noProof/>
    </w:rPr>
  </w:style>
  <w:style w:type="character" w:customStyle="1" w:styleId="EndNoteBibliographyChar">
    <w:name w:val="EndNote Bibliography Char"/>
    <w:basedOn w:val="ListBulletChar"/>
    <w:link w:val="EndNoteBibliography"/>
    <w:rsid w:val="00F93BC7"/>
    <w:rPr>
      <w:rFonts w:ascii="Calibri" w:hAnsi="Calibri" w:cs="Calibri"/>
      <w:noProof/>
      <w:sz w:val="24"/>
      <w:szCs w:val="24"/>
    </w:rPr>
  </w:style>
  <w:style w:type="character" w:customStyle="1" w:styleId="ui-provider">
    <w:name w:val="ui-provider"/>
    <w:basedOn w:val="DefaultParagraphFont"/>
    <w:rsid w:val="00FC7B34"/>
  </w:style>
  <w:style w:type="character" w:customStyle="1" w:styleId="normaltextrun">
    <w:name w:val="normaltextrun"/>
    <w:basedOn w:val="DefaultParagraphFont"/>
    <w:rsid w:val="008D35C1"/>
  </w:style>
  <w:style w:type="character" w:styleId="UnresolvedMention">
    <w:name w:val="Unresolved Mention"/>
    <w:basedOn w:val="DefaultParagraphFont"/>
    <w:uiPriority w:val="99"/>
    <w:semiHidden/>
    <w:unhideWhenUsed/>
    <w:rsid w:val="00DC172B"/>
    <w:rPr>
      <w:color w:val="605E5C"/>
      <w:shd w:val="clear" w:color="auto" w:fill="E1DFDD"/>
    </w:rPr>
  </w:style>
  <w:style w:type="paragraph" w:styleId="FootnoteText">
    <w:name w:val="footnote text"/>
    <w:basedOn w:val="Normal"/>
    <w:link w:val="FootnoteTextChar"/>
    <w:semiHidden/>
    <w:unhideWhenUsed/>
    <w:rsid w:val="001A07A1"/>
    <w:rPr>
      <w:sz w:val="20"/>
      <w:szCs w:val="20"/>
    </w:rPr>
  </w:style>
  <w:style w:type="character" w:customStyle="1" w:styleId="FootnoteTextChar">
    <w:name w:val="Footnote Text Char"/>
    <w:basedOn w:val="DefaultParagraphFont"/>
    <w:link w:val="FootnoteText"/>
    <w:semiHidden/>
    <w:rsid w:val="001A07A1"/>
    <w:rPr>
      <w:rFonts w:ascii="Calibri" w:hAnsi="Calibri" w:cs="Arial"/>
    </w:rPr>
  </w:style>
  <w:style w:type="character" w:styleId="FootnoteReference">
    <w:name w:val="footnote reference"/>
    <w:basedOn w:val="DefaultParagraphFont"/>
    <w:unhideWhenUsed/>
    <w:rsid w:val="001A07A1"/>
    <w:rPr>
      <w:vertAlign w:val="superscript"/>
    </w:rPr>
  </w:style>
  <w:style w:type="paragraph" w:customStyle="1" w:styleId="ListBulletlvl3">
    <w:name w:val="List Bullet lvl 3"/>
    <w:basedOn w:val="ListBullet"/>
    <w:qFormat/>
    <w:rsid w:val="00617F9E"/>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617F9E"/>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617F9E"/>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617F9E"/>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617F9E"/>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617F9E"/>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617F9E"/>
    <w:pPr>
      <w:numPr>
        <w:numId w:val="0"/>
      </w:numPr>
      <w:spacing w:after="120" w:line="276" w:lineRule="auto"/>
      <w:ind w:left="6480" w:hanging="360"/>
      <w:contextualSpacing w:val="0"/>
      <w:jc w:val="left"/>
    </w:pPr>
    <w:rPr>
      <w:rFonts w:eastAsiaTheme="minorHAnsi" w:cstheme="minorBidi"/>
      <w:szCs w:val="22"/>
      <w:lang w:eastAsia="en-US"/>
    </w:rPr>
  </w:style>
  <w:style w:type="paragraph" w:customStyle="1" w:styleId="TableBullet">
    <w:name w:val="Table Bullet"/>
    <w:basedOn w:val="TableText0"/>
    <w:qFormat/>
    <w:rsid w:val="00617F9E"/>
    <w:pPr>
      <w:keepNext w:val="0"/>
      <w:numPr>
        <w:numId w:val="9"/>
      </w:numPr>
      <w:spacing w:before="60" w:after="60"/>
      <w:ind w:left="357" w:hanging="357"/>
    </w:pPr>
    <w:rPr>
      <w:rFonts w:ascii="Arial" w:eastAsiaTheme="minorHAnsi" w:hAnsi="Arial" w:cstheme="minorBidi"/>
      <w:bCs w:val="0"/>
      <w:sz w:val="18"/>
      <w:szCs w:val="22"/>
      <w:lang w:eastAsia="en-US"/>
    </w:rPr>
  </w:style>
  <w:style w:type="character" w:customStyle="1" w:styleId="TableHeadingChar">
    <w:name w:val="TableHeading Char"/>
    <w:link w:val="TableHeading"/>
    <w:rsid w:val="00617F9E"/>
    <w:rPr>
      <w:rFonts w:ascii="Arial Narrow" w:hAnsi="Arial Narrow" w:cs="Arial Narrow"/>
      <w:b/>
      <w:bCs/>
      <w:snapToGrid w:val="0"/>
      <w:szCs w:val="24"/>
    </w:rPr>
  </w:style>
  <w:style w:type="paragraph" w:customStyle="1" w:styleId="TableParagraph">
    <w:name w:val="Table Paragraph"/>
    <w:basedOn w:val="Normal"/>
    <w:uiPriority w:val="1"/>
    <w:qFormat/>
    <w:rsid w:val="00617F9E"/>
    <w:pPr>
      <w:widowControl w:val="0"/>
      <w:jc w:val="left"/>
    </w:pPr>
    <w:rPr>
      <w:rFonts w:asciiTheme="minorHAnsi" w:eastAsiaTheme="minorHAnsi" w:hAnsiTheme="minorHAnsi" w:cstheme="minorBidi"/>
      <w:sz w:val="22"/>
      <w:szCs w:val="22"/>
      <w:lang w:val="en-US" w:eastAsia="en-US"/>
    </w:rPr>
  </w:style>
  <w:style w:type="paragraph" w:customStyle="1" w:styleId="MainBodyText">
    <w:name w:val="Main Body Text"/>
    <w:basedOn w:val="Normal"/>
    <w:link w:val="MainBodyTextChar"/>
    <w:rsid w:val="00617F9E"/>
    <w:pPr>
      <w:spacing w:after="240" w:line="276" w:lineRule="auto"/>
    </w:pPr>
    <w:rPr>
      <w:rFonts w:ascii="Arial" w:hAnsi="Arial" w:cs="Times New Roman"/>
      <w:sz w:val="22"/>
      <w:szCs w:val="22"/>
    </w:rPr>
  </w:style>
  <w:style w:type="character" w:customStyle="1" w:styleId="MainBodyTextChar">
    <w:name w:val="Main Body Text Char"/>
    <w:link w:val="MainBodyText"/>
    <w:rsid w:val="00617F9E"/>
    <w:rPr>
      <w:rFonts w:ascii="Arial" w:hAnsi="Arial"/>
      <w:sz w:val="22"/>
      <w:szCs w:val="22"/>
    </w:rPr>
  </w:style>
  <w:style w:type="paragraph" w:customStyle="1" w:styleId="NormalBeforeBullet">
    <w:name w:val="Normal Before Bullet"/>
    <w:basedOn w:val="Normal"/>
    <w:qFormat/>
    <w:rsid w:val="00617F9E"/>
    <w:pPr>
      <w:keepNext/>
      <w:spacing w:after="120"/>
      <w:jc w:val="left"/>
    </w:pPr>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617F9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IntenseQuoteChar">
    <w:name w:val="Intense Quote Char"/>
    <w:basedOn w:val="DefaultParagraphFont"/>
    <w:link w:val="IntenseQuote"/>
    <w:uiPriority w:val="30"/>
    <w:rsid w:val="00617F9E"/>
    <w:rPr>
      <w:rFonts w:asciiTheme="majorHAnsi" w:eastAsiaTheme="minorEastAsia" w:hAnsiTheme="majorHAnsi" w:cstheme="minorBidi"/>
      <w:bCs/>
      <w:iCs/>
      <w:color w:val="FFFFFF" w:themeColor="background1"/>
      <w:sz w:val="28"/>
      <w:szCs w:val="22"/>
      <w:shd w:val="clear" w:color="auto" w:fill="4F81BD" w:themeFill="accent1"/>
      <w:lang w:eastAsia="en-US" w:bidi="hi-IN"/>
    </w:rPr>
  </w:style>
  <w:style w:type="character" w:styleId="Strong">
    <w:name w:val="Strong"/>
    <w:basedOn w:val="DefaultParagraphFont"/>
    <w:uiPriority w:val="22"/>
    <w:qFormat/>
    <w:rsid w:val="006C6FBC"/>
    <w:rPr>
      <w:b/>
      <w:bCs/>
    </w:rPr>
  </w:style>
  <w:style w:type="paragraph" w:customStyle="1" w:styleId="BodyText1">
    <w:name w:val="Body Text1"/>
    <w:qFormat/>
    <w:rsid w:val="00F1459A"/>
    <w:pPr>
      <w:tabs>
        <w:tab w:val="left" w:pos="357"/>
        <w:tab w:val="left" w:pos="720"/>
        <w:tab w:val="left" w:pos="2268"/>
      </w:tabs>
      <w:spacing w:after="120"/>
      <w:jc w:val="both"/>
    </w:pPr>
    <w:rPr>
      <w:rFonts w:ascii="Arial" w:eastAsia="MS Mincho" w:hAnsi="Arial"/>
      <w:sz w:val="22"/>
      <w:szCs w:val="24"/>
      <w:lang w:eastAsia="ja-JP"/>
    </w:rPr>
  </w:style>
  <w:style w:type="character" w:customStyle="1" w:styleId="cf01">
    <w:name w:val="cf01"/>
    <w:basedOn w:val="DefaultParagraphFont"/>
    <w:rsid w:val="00B60859"/>
    <w:rPr>
      <w:rFonts w:ascii="Segoe UI" w:hAnsi="Segoe UI" w:cs="Segoe UI" w:hint="default"/>
      <w:sz w:val="18"/>
      <w:szCs w:val="18"/>
    </w:rPr>
  </w:style>
  <w:style w:type="character" w:customStyle="1" w:styleId="charamschtext">
    <w:name w:val="charamschtext"/>
    <w:basedOn w:val="DefaultParagraphFont"/>
    <w:rsid w:val="00334143"/>
  </w:style>
  <w:style w:type="paragraph" w:customStyle="1" w:styleId="3-SubsectionHeading">
    <w:name w:val="3-Subsection Heading"/>
    <w:basedOn w:val="Heading2"/>
    <w:next w:val="Normal"/>
    <w:link w:val="3-SubsectionHeadingChar"/>
    <w:qFormat/>
    <w:rsid w:val="00F43500"/>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F43500"/>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author">
    <w:name w:val="author"/>
    <w:basedOn w:val="DefaultParagraphFont"/>
    <w:rsid w:val="00A6357C"/>
  </w:style>
  <w:style w:type="character" w:customStyle="1" w:styleId="articletitle">
    <w:name w:val="articletitle"/>
    <w:basedOn w:val="DefaultParagraphFont"/>
    <w:rsid w:val="00A6357C"/>
  </w:style>
  <w:style w:type="character" w:customStyle="1" w:styleId="pubyear">
    <w:name w:val="pubyear"/>
    <w:basedOn w:val="DefaultParagraphFont"/>
    <w:rsid w:val="00A6357C"/>
  </w:style>
  <w:style w:type="character" w:customStyle="1" w:styleId="vol">
    <w:name w:val="vol"/>
    <w:basedOn w:val="DefaultParagraphFont"/>
    <w:rsid w:val="00A6357C"/>
  </w:style>
  <w:style w:type="character" w:customStyle="1" w:styleId="pagefirst">
    <w:name w:val="pagefirst"/>
    <w:basedOn w:val="DefaultParagraphFont"/>
    <w:rsid w:val="00A6357C"/>
  </w:style>
  <w:style w:type="character" w:customStyle="1" w:styleId="pagelast">
    <w:name w:val="pagelast"/>
    <w:basedOn w:val="DefaultParagraphFont"/>
    <w:rsid w:val="00A6357C"/>
  </w:style>
  <w:style w:type="paragraph" w:customStyle="1" w:styleId="1-MainHeading0">
    <w:name w:val="1- Main Heading"/>
    <w:link w:val="1-MainHeadingChar0"/>
    <w:qFormat/>
    <w:rsid w:val="007164A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7164AD"/>
    <w:rPr>
      <w:rFonts w:asciiTheme="minorHAnsi" w:eastAsiaTheme="majorEastAsia" w:hAnsiTheme="minorHAnsi" w:cstheme="majorBidi"/>
      <w:b/>
      <w:spacing w:val="5"/>
      <w:kern w:val="28"/>
      <w:sz w:val="36"/>
      <w:szCs w:val="36"/>
    </w:rPr>
  </w:style>
  <w:style w:type="character" w:customStyle="1" w:styleId="3BodytextChar">
    <w:name w:val="3. Body text Char"/>
    <w:basedOn w:val="DefaultParagraphFont"/>
    <w:link w:val="3Bodytext"/>
    <w:locked/>
    <w:rsid w:val="007164AD"/>
    <w:rPr>
      <w:rFonts w:asciiTheme="minorHAnsi" w:eastAsiaTheme="minorHAnsi" w:hAnsiTheme="minorHAnsi" w:cstheme="minorBidi"/>
      <w:sz w:val="24"/>
      <w:szCs w:val="22"/>
    </w:rPr>
  </w:style>
  <w:style w:type="paragraph" w:customStyle="1" w:styleId="3Bodytext">
    <w:name w:val="3. Body text"/>
    <w:basedOn w:val="ListParagraph"/>
    <w:link w:val="3BodytextChar"/>
    <w:qFormat/>
    <w:rsid w:val="007164AD"/>
    <w:pPr>
      <w:numPr>
        <w:numId w:val="0"/>
      </w:numPr>
      <w:ind w:left="720" w:hanging="720"/>
      <w:jc w:val="left"/>
    </w:pPr>
    <w:rPr>
      <w:rFonts w:eastAsiaTheme="minorHAnsi" w:cstheme="minorBidi"/>
      <w:snapToGrid/>
      <w:szCs w:val="22"/>
    </w:rPr>
  </w:style>
  <w:style w:type="paragraph" w:customStyle="1" w:styleId="COMH1numbered">
    <w:name w:val="COM H1 numbered"/>
    <w:next w:val="Normal"/>
    <w:link w:val="COMH1numberedChar"/>
    <w:qFormat/>
    <w:rsid w:val="007164AD"/>
    <w:pPr>
      <w:keepNext/>
      <w:spacing w:before="240" w:after="120"/>
      <w:ind w:left="1680" w:hanging="7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7164AD"/>
    <w:rPr>
      <w:rFonts w:asciiTheme="minorHAnsi" w:hAnsiTheme="minorHAnsi" w:cs="Arial"/>
      <w:b/>
      <w:snapToGrid w:val="0"/>
      <w:sz w:val="32"/>
      <w:szCs w:val="32"/>
    </w:rPr>
  </w:style>
  <w:style w:type="paragraph" w:customStyle="1" w:styleId="COMTabletext">
    <w:name w:val="COM Table text"/>
    <w:link w:val="COMTabletextChar"/>
    <w:qFormat/>
    <w:rsid w:val="007164AD"/>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164AD"/>
    <w:rPr>
      <w:rFonts w:ascii="Arial Narrow" w:eastAsiaTheme="majorEastAsia" w:hAnsi="Arial Narrow" w:cstheme="majorBidi"/>
      <w:bCs/>
      <w:szCs w:val="24"/>
    </w:rPr>
  </w:style>
  <w:style w:type="paragraph" w:customStyle="1" w:styleId="COMtablefigcaption">
    <w:name w:val="COM table/fig caption"/>
    <w:next w:val="Normal"/>
    <w:link w:val="COMtablefigcaptionChar"/>
    <w:qFormat/>
    <w:rsid w:val="007164A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164AD"/>
    <w:rPr>
      <w:rFonts w:ascii="Arial Narrow" w:eastAsiaTheme="majorEastAsia" w:hAnsi="Arial Narrow" w:cstheme="majorBidi"/>
      <w:b/>
      <w:bCs/>
      <w:szCs w:val="24"/>
    </w:rPr>
  </w:style>
  <w:style w:type="paragraph" w:customStyle="1" w:styleId="TableHeading0">
    <w:name w:val="Table Heading"/>
    <w:basedOn w:val="Normal"/>
    <w:qFormat/>
    <w:rsid w:val="007164AD"/>
    <w:pPr>
      <w:spacing w:after="60"/>
      <w:jc w:val="left"/>
    </w:pPr>
    <w:rPr>
      <w:rFonts w:ascii="Arial Narrow" w:eastAsiaTheme="minorHAnsi" w:hAnsi="Arial Narrow" w:cstheme="minorBidi"/>
      <w:b/>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783">
      <w:bodyDiv w:val="1"/>
      <w:marLeft w:val="0"/>
      <w:marRight w:val="0"/>
      <w:marTop w:val="0"/>
      <w:marBottom w:val="0"/>
      <w:divBdr>
        <w:top w:val="none" w:sz="0" w:space="0" w:color="auto"/>
        <w:left w:val="none" w:sz="0" w:space="0" w:color="auto"/>
        <w:bottom w:val="none" w:sz="0" w:space="0" w:color="auto"/>
        <w:right w:val="none" w:sz="0" w:space="0" w:color="auto"/>
      </w:divBdr>
      <w:divsChild>
        <w:div w:id="39482146">
          <w:marLeft w:val="360"/>
          <w:marRight w:val="0"/>
          <w:marTop w:val="200"/>
          <w:marBottom w:val="0"/>
          <w:divBdr>
            <w:top w:val="none" w:sz="0" w:space="0" w:color="auto"/>
            <w:left w:val="none" w:sz="0" w:space="0" w:color="auto"/>
            <w:bottom w:val="none" w:sz="0" w:space="0" w:color="auto"/>
            <w:right w:val="none" w:sz="0" w:space="0" w:color="auto"/>
          </w:divBdr>
        </w:div>
      </w:divsChild>
    </w:div>
    <w:div w:id="15624045">
      <w:bodyDiv w:val="1"/>
      <w:marLeft w:val="0"/>
      <w:marRight w:val="0"/>
      <w:marTop w:val="0"/>
      <w:marBottom w:val="0"/>
      <w:divBdr>
        <w:top w:val="none" w:sz="0" w:space="0" w:color="auto"/>
        <w:left w:val="none" w:sz="0" w:space="0" w:color="auto"/>
        <w:bottom w:val="none" w:sz="0" w:space="0" w:color="auto"/>
        <w:right w:val="none" w:sz="0" w:space="0" w:color="auto"/>
      </w:divBdr>
    </w:div>
    <w:div w:id="22441066">
      <w:bodyDiv w:val="1"/>
      <w:marLeft w:val="0"/>
      <w:marRight w:val="0"/>
      <w:marTop w:val="0"/>
      <w:marBottom w:val="0"/>
      <w:divBdr>
        <w:top w:val="none" w:sz="0" w:space="0" w:color="auto"/>
        <w:left w:val="none" w:sz="0" w:space="0" w:color="auto"/>
        <w:bottom w:val="none" w:sz="0" w:space="0" w:color="auto"/>
        <w:right w:val="none" w:sz="0" w:space="0" w:color="auto"/>
      </w:divBdr>
    </w:div>
    <w:div w:id="55669753">
      <w:bodyDiv w:val="1"/>
      <w:marLeft w:val="0"/>
      <w:marRight w:val="0"/>
      <w:marTop w:val="0"/>
      <w:marBottom w:val="0"/>
      <w:divBdr>
        <w:top w:val="none" w:sz="0" w:space="0" w:color="auto"/>
        <w:left w:val="none" w:sz="0" w:space="0" w:color="auto"/>
        <w:bottom w:val="none" w:sz="0" w:space="0" w:color="auto"/>
        <w:right w:val="none" w:sz="0" w:space="0" w:color="auto"/>
      </w:divBdr>
      <w:divsChild>
        <w:div w:id="1056129127">
          <w:marLeft w:val="547"/>
          <w:marRight w:val="0"/>
          <w:marTop w:val="200"/>
          <w:marBottom w:val="0"/>
          <w:divBdr>
            <w:top w:val="none" w:sz="0" w:space="0" w:color="auto"/>
            <w:left w:val="none" w:sz="0" w:space="0" w:color="auto"/>
            <w:bottom w:val="none" w:sz="0" w:space="0" w:color="auto"/>
            <w:right w:val="none" w:sz="0" w:space="0" w:color="auto"/>
          </w:divBdr>
        </w:div>
        <w:div w:id="1341152861">
          <w:marLeft w:val="547"/>
          <w:marRight w:val="0"/>
          <w:marTop w:val="200"/>
          <w:marBottom w:val="0"/>
          <w:divBdr>
            <w:top w:val="none" w:sz="0" w:space="0" w:color="auto"/>
            <w:left w:val="none" w:sz="0" w:space="0" w:color="auto"/>
            <w:bottom w:val="none" w:sz="0" w:space="0" w:color="auto"/>
            <w:right w:val="none" w:sz="0" w:space="0" w:color="auto"/>
          </w:divBdr>
        </w:div>
        <w:div w:id="880478525">
          <w:marLeft w:val="547"/>
          <w:marRight w:val="0"/>
          <w:marTop w:val="200"/>
          <w:marBottom w:val="0"/>
          <w:divBdr>
            <w:top w:val="none" w:sz="0" w:space="0" w:color="auto"/>
            <w:left w:val="none" w:sz="0" w:space="0" w:color="auto"/>
            <w:bottom w:val="none" w:sz="0" w:space="0" w:color="auto"/>
            <w:right w:val="none" w:sz="0" w:space="0" w:color="auto"/>
          </w:divBdr>
        </w:div>
      </w:divsChild>
    </w:div>
    <w:div w:id="71853937">
      <w:bodyDiv w:val="1"/>
      <w:marLeft w:val="0"/>
      <w:marRight w:val="0"/>
      <w:marTop w:val="0"/>
      <w:marBottom w:val="0"/>
      <w:divBdr>
        <w:top w:val="none" w:sz="0" w:space="0" w:color="auto"/>
        <w:left w:val="none" w:sz="0" w:space="0" w:color="auto"/>
        <w:bottom w:val="none" w:sz="0" w:space="0" w:color="auto"/>
        <w:right w:val="none" w:sz="0" w:space="0" w:color="auto"/>
      </w:divBdr>
    </w:div>
    <w:div w:id="72239275">
      <w:bodyDiv w:val="1"/>
      <w:marLeft w:val="0"/>
      <w:marRight w:val="0"/>
      <w:marTop w:val="0"/>
      <w:marBottom w:val="0"/>
      <w:divBdr>
        <w:top w:val="none" w:sz="0" w:space="0" w:color="auto"/>
        <w:left w:val="none" w:sz="0" w:space="0" w:color="auto"/>
        <w:bottom w:val="none" w:sz="0" w:space="0" w:color="auto"/>
        <w:right w:val="none" w:sz="0" w:space="0" w:color="auto"/>
      </w:divBdr>
    </w:div>
    <w:div w:id="77676074">
      <w:bodyDiv w:val="1"/>
      <w:marLeft w:val="0"/>
      <w:marRight w:val="0"/>
      <w:marTop w:val="0"/>
      <w:marBottom w:val="0"/>
      <w:divBdr>
        <w:top w:val="none" w:sz="0" w:space="0" w:color="auto"/>
        <w:left w:val="none" w:sz="0" w:space="0" w:color="auto"/>
        <w:bottom w:val="none" w:sz="0" w:space="0" w:color="auto"/>
        <w:right w:val="none" w:sz="0" w:space="0" w:color="auto"/>
      </w:divBdr>
    </w:div>
    <w:div w:id="79103639">
      <w:bodyDiv w:val="1"/>
      <w:marLeft w:val="0"/>
      <w:marRight w:val="0"/>
      <w:marTop w:val="0"/>
      <w:marBottom w:val="0"/>
      <w:divBdr>
        <w:top w:val="none" w:sz="0" w:space="0" w:color="auto"/>
        <w:left w:val="none" w:sz="0" w:space="0" w:color="auto"/>
        <w:bottom w:val="none" w:sz="0" w:space="0" w:color="auto"/>
        <w:right w:val="none" w:sz="0" w:space="0" w:color="auto"/>
      </w:divBdr>
    </w:div>
    <w:div w:id="88431128">
      <w:bodyDiv w:val="1"/>
      <w:marLeft w:val="0"/>
      <w:marRight w:val="0"/>
      <w:marTop w:val="0"/>
      <w:marBottom w:val="0"/>
      <w:divBdr>
        <w:top w:val="none" w:sz="0" w:space="0" w:color="auto"/>
        <w:left w:val="none" w:sz="0" w:space="0" w:color="auto"/>
        <w:bottom w:val="none" w:sz="0" w:space="0" w:color="auto"/>
        <w:right w:val="none" w:sz="0" w:space="0" w:color="auto"/>
      </w:divBdr>
    </w:div>
    <w:div w:id="89855065">
      <w:bodyDiv w:val="1"/>
      <w:marLeft w:val="0"/>
      <w:marRight w:val="0"/>
      <w:marTop w:val="0"/>
      <w:marBottom w:val="0"/>
      <w:divBdr>
        <w:top w:val="none" w:sz="0" w:space="0" w:color="auto"/>
        <w:left w:val="none" w:sz="0" w:space="0" w:color="auto"/>
        <w:bottom w:val="none" w:sz="0" w:space="0" w:color="auto"/>
        <w:right w:val="none" w:sz="0" w:space="0" w:color="auto"/>
      </w:divBdr>
      <w:divsChild>
        <w:div w:id="669482283">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9592379">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3544356">
      <w:bodyDiv w:val="1"/>
      <w:marLeft w:val="0"/>
      <w:marRight w:val="0"/>
      <w:marTop w:val="0"/>
      <w:marBottom w:val="0"/>
      <w:divBdr>
        <w:top w:val="none" w:sz="0" w:space="0" w:color="auto"/>
        <w:left w:val="none" w:sz="0" w:space="0" w:color="auto"/>
        <w:bottom w:val="none" w:sz="0" w:space="0" w:color="auto"/>
        <w:right w:val="none" w:sz="0" w:space="0" w:color="auto"/>
      </w:divBdr>
    </w:div>
    <w:div w:id="159278945">
      <w:bodyDiv w:val="1"/>
      <w:marLeft w:val="0"/>
      <w:marRight w:val="0"/>
      <w:marTop w:val="0"/>
      <w:marBottom w:val="0"/>
      <w:divBdr>
        <w:top w:val="none" w:sz="0" w:space="0" w:color="auto"/>
        <w:left w:val="none" w:sz="0" w:space="0" w:color="auto"/>
        <w:bottom w:val="none" w:sz="0" w:space="0" w:color="auto"/>
        <w:right w:val="none" w:sz="0" w:space="0" w:color="auto"/>
      </w:divBdr>
      <w:divsChild>
        <w:div w:id="749615265">
          <w:marLeft w:val="547"/>
          <w:marRight w:val="0"/>
          <w:marTop w:val="200"/>
          <w:marBottom w:val="160"/>
          <w:divBdr>
            <w:top w:val="none" w:sz="0" w:space="0" w:color="auto"/>
            <w:left w:val="none" w:sz="0" w:space="0" w:color="auto"/>
            <w:bottom w:val="none" w:sz="0" w:space="0" w:color="auto"/>
            <w:right w:val="none" w:sz="0" w:space="0" w:color="auto"/>
          </w:divBdr>
        </w:div>
      </w:divsChild>
    </w:div>
    <w:div w:id="167211420">
      <w:bodyDiv w:val="1"/>
      <w:marLeft w:val="0"/>
      <w:marRight w:val="0"/>
      <w:marTop w:val="0"/>
      <w:marBottom w:val="0"/>
      <w:divBdr>
        <w:top w:val="none" w:sz="0" w:space="0" w:color="auto"/>
        <w:left w:val="none" w:sz="0" w:space="0" w:color="auto"/>
        <w:bottom w:val="none" w:sz="0" w:space="0" w:color="auto"/>
        <w:right w:val="none" w:sz="0" w:space="0" w:color="auto"/>
      </w:divBdr>
      <w:divsChild>
        <w:div w:id="1811434642">
          <w:marLeft w:val="547"/>
          <w:marRight w:val="0"/>
          <w:marTop w:val="200"/>
          <w:marBottom w:val="160"/>
          <w:divBdr>
            <w:top w:val="none" w:sz="0" w:space="0" w:color="auto"/>
            <w:left w:val="none" w:sz="0" w:space="0" w:color="auto"/>
            <w:bottom w:val="none" w:sz="0" w:space="0" w:color="auto"/>
            <w:right w:val="none" w:sz="0" w:space="0" w:color="auto"/>
          </w:divBdr>
        </w:div>
      </w:divsChild>
    </w:div>
    <w:div w:id="167330365">
      <w:bodyDiv w:val="1"/>
      <w:marLeft w:val="0"/>
      <w:marRight w:val="0"/>
      <w:marTop w:val="0"/>
      <w:marBottom w:val="0"/>
      <w:divBdr>
        <w:top w:val="none" w:sz="0" w:space="0" w:color="auto"/>
        <w:left w:val="none" w:sz="0" w:space="0" w:color="auto"/>
        <w:bottom w:val="none" w:sz="0" w:space="0" w:color="auto"/>
        <w:right w:val="none" w:sz="0" w:space="0" w:color="auto"/>
      </w:divBdr>
    </w:div>
    <w:div w:id="209221976">
      <w:bodyDiv w:val="1"/>
      <w:marLeft w:val="0"/>
      <w:marRight w:val="0"/>
      <w:marTop w:val="0"/>
      <w:marBottom w:val="0"/>
      <w:divBdr>
        <w:top w:val="none" w:sz="0" w:space="0" w:color="auto"/>
        <w:left w:val="none" w:sz="0" w:space="0" w:color="auto"/>
        <w:bottom w:val="none" w:sz="0" w:space="0" w:color="auto"/>
        <w:right w:val="none" w:sz="0" w:space="0" w:color="auto"/>
      </w:divBdr>
    </w:div>
    <w:div w:id="251091620">
      <w:bodyDiv w:val="1"/>
      <w:marLeft w:val="0"/>
      <w:marRight w:val="0"/>
      <w:marTop w:val="0"/>
      <w:marBottom w:val="0"/>
      <w:divBdr>
        <w:top w:val="none" w:sz="0" w:space="0" w:color="auto"/>
        <w:left w:val="none" w:sz="0" w:space="0" w:color="auto"/>
        <w:bottom w:val="none" w:sz="0" w:space="0" w:color="auto"/>
        <w:right w:val="none" w:sz="0" w:space="0" w:color="auto"/>
      </w:divBdr>
    </w:div>
    <w:div w:id="275138728">
      <w:bodyDiv w:val="1"/>
      <w:marLeft w:val="0"/>
      <w:marRight w:val="0"/>
      <w:marTop w:val="0"/>
      <w:marBottom w:val="0"/>
      <w:divBdr>
        <w:top w:val="none" w:sz="0" w:space="0" w:color="auto"/>
        <w:left w:val="none" w:sz="0" w:space="0" w:color="auto"/>
        <w:bottom w:val="none" w:sz="0" w:space="0" w:color="auto"/>
        <w:right w:val="none" w:sz="0" w:space="0" w:color="auto"/>
      </w:divBdr>
    </w:div>
    <w:div w:id="29722850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6982361">
      <w:bodyDiv w:val="1"/>
      <w:marLeft w:val="0"/>
      <w:marRight w:val="0"/>
      <w:marTop w:val="0"/>
      <w:marBottom w:val="0"/>
      <w:divBdr>
        <w:top w:val="none" w:sz="0" w:space="0" w:color="auto"/>
        <w:left w:val="none" w:sz="0" w:space="0" w:color="auto"/>
        <w:bottom w:val="none" w:sz="0" w:space="0" w:color="auto"/>
        <w:right w:val="none" w:sz="0" w:space="0" w:color="auto"/>
      </w:divBdr>
    </w:div>
    <w:div w:id="336462226">
      <w:bodyDiv w:val="1"/>
      <w:marLeft w:val="0"/>
      <w:marRight w:val="0"/>
      <w:marTop w:val="0"/>
      <w:marBottom w:val="0"/>
      <w:divBdr>
        <w:top w:val="none" w:sz="0" w:space="0" w:color="auto"/>
        <w:left w:val="none" w:sz="0" w:space="0" w:color="auto"/>
        <w:bottom w:val="none" w:sz="0" w:space="0" w:color="auto"/>
        <w:right w:val="none" w:sz="0" w:space="0" w:color="auto"/>
      </w:divBdr>
      <w:divsChild>
        <w:div w:id="1441410906">
          <w:marLeft w:val="533"/>
          <w:marRight w:val="0"/>
          <w:marTop w:val="240"/>
          <w:marBottom w:val="0"/>
          <w:divBdr>
            <w:top w:val="none" w:sz="0" w:space="0" w:color="auto"/>
            <w:left w:val="none" w:sz="0" w:space="0" w:color="auto"/>
            <w:bottom w:val="none" w:sz="0" w:space="0" w:color="auto"/>
            <w:right w:val="none" w:sz="0" w:space="0" w:color="auto"/>
          </w:divBdr>
        </w:div>
      </w:divsChild>
    </w:div>
    <w:div w:id="560868317">
      <w:bodyDiv w:val="1"/>
      <w:marLeft w:val="0"/>
      <w:marRight w:val="0"/>
      <w:marTop w:val="0"/>
      <w:marBottom w:val="0"/>
      <w:divBdr>
        <w:top w:val="none" w:sz="0" w:space="0" w:color="auto"/>
        <w:left w:val="none" w:sz="0" w:space="0" w:color="auto"/>
        <w:bottom w:val="none" w:sz="0" w:space="0" w:color="auto"/>
        <w:right w:val="none" w:sz="0" w:space="0" w:color="auto"/>
      </w:divBdr>
    </w:div>
    <w:div w:id="600262201">
      <w:bodyDiv w:val="1"/>
      <w:marLeft w:val="0"/>
      <w:marRight w:val="0"/>
      <w:marTop w:val="0"/>
      <w:marBottom w:val="0"/>
      <w:divBdr>
        <w:top w:val="none" w:sz="0" w:space="0" w:color="auto"/>
        <w:left w:val="none" w:sz="0" w:space="0" w:color="auto"/>
        <w:bottom w:val="none" w:sz="0" w:space="0" w:color="auto"/>
        <w:right w:val="none" w:sz="0" w:space="0" w:color="auto"/>
      </w:divBdr>
      <w:divsChild>
        <w:div w:id="125121404">
          <w:marLeft w:val="360"/>
          <w:marRight w:val="0"/>
          <w:marTop w:val="200"/>
          <w:marBottom w:val="0"/>
          <w:divBdr>
            <w:top w:val="none" w:sz="0" w:space="0" w:color="auto"/>
            <w:left w:val="none" w:sz="0" w:space="0" w:color="auto"/>
            <w:bottom w:val="none" w:sz="0" w:space="0" w:color="auto"/>
            <w:right w:val="none" w:sz="0" w:space="0" w:color="auto"/>
          </w:divBdr>
        </w:div>
        <w:div w:id="1010330778">
          <w:marLeft w:val="360"/>
          <w:marRight w:val="0"/>
          <w:marTop w:val="200"/>
          <w:marBottom w:val="0"/>
          <w:divBdr>
            <w:top w:val="none" w:sz="0" w:space="0" w:color="auto"/>
            <w:left w:val="none" w:sz="0" w:space="0" w:color="auto"/>
            <w:bottom w:val="none" w:sz="0" w:space="0" w:color="auto"/>
            <w:right w:val="none" w:sz="0" w:space="0" w:color="auto"/>
          </w:divBdr>
        </w:div>
        <w:div w:id="196894551">
          <w:marLeft w:val="1080"/>
          <w:marRight w:val="0"/>
          <w:marTop w:val="100"/>
          <w:marBottom w:val="0"/>
          <w:divBdr>
            <w:top w:val="none" w:sz="0" w:space="0" w:color="auto"/>
            <w:left w:val="none" w:sz="0" w:space="0" w:color="auto"/>
            <w:bottom w:val="none" w:sz="0" w:space="0" w:color="auto"/>
            <w:right w:val="none" w:sz="0" w:space="0" w:color="auto"/>
          </w:divBdr>
        </w:div>
        <w:div w:id="320736778">
          <w:marLeft w:val="1080"/>
          <w:marRight w:val="0"/>
          <w:marTop w:val="100"/>
          <w:marBottom w:val="0"/>
          <w:divBdr>
            <w:top w:val="none" w:sz="0" w:space="0" w:color="auto"/>
            <w:left w:val="none" w:sz="0" w:space="0" w:color="auto"/>
            <w:bottom w:val="none" w:sz="0" w:space="0" w:color="auto"/>
            <w:right w:val="none" w:sz="0" w:space="0" w:color="auto"/>
          </w:divBdr>
        </w:div>
      </w:divsChild>
    </w:div>
    <w:div w:id="620190776">
      <w:bodyDiv w:val="1"/>
      <w:marLeft w:val="0"/>
      <w:marRight w:val="0"/>
      <w:marTop w:val="0"/>
      <w:marBottom w:val="0"/>
      <w:divBdr>
        <w:top w:val="none" w:sz="0" w:space="0" w:color="auto"/>
        <w:left w:val="none" w:sz="0" w:space="0" w:color="auto"/>
        <w:bottom w:val="none" w:sz="0" w:space="0" w:color="auto"/>
        <w:right w:val="none" w:sz="0" w:space="0" w:color="auto"/>
      </w:divBdr>
    </w:div>
    <w:div w:id="662120263">
      <w:bodyDiv w:val="1"/>
      <w:marLeft w:val="0"/>
      <w:marRight w:val="0"/>
      <w:marTop w:val="0"/>
      <w:marBottom w:val="0"/>
      <w:divBdr>
        <w:top w:val="none" w:sz="0" w:space="0" w:color="auto"/>
        <w:left w:val="none" w:sz="0" w:space="0" w:color="auto"/>
        <w:bottom w:val="none" w:sz="0" w:space="0" w:color="auto"/>
        <w:right w:val="none" w:sz="0" w:space="0" w:color="auto"/>
      </w:divBdr>
      <w:divsChild>
        <w:div w:id="828979682">
          <w:marLeft w:val="547"/>
          <w:marRight w:val="0"/>
          <w:marTop w:val="200"/>
          <w:marBottom w:val="0"/>
          <w:divBdr>
            <w:top w:val="none" w:sz="0" w:space="0" w:color="auto"/>
            <w:left w:val="none" w:sz="0" w:space="0" w:color="auto"/>
            <w:bottom w:val="none" w:sz="0" w:space="0" w:color="auto"/>
            <w:right w:val="none" w:sz="0" w:space="0" w:color="auto"/>
          </w:divBdr>
        </w:div>
      </w:divsChild>
    </w:div>
    <w:div w:id="772482252">
      <w:bodyDiv w:val="1"/>
      <w:marLeft w:val="0"/>
      <w:marRight w:val="0"/>
      <w:marTop w:val="0"/>
      <w:marBottom w:val="0"/>
      <w:divBdr>
        <w:top w:val="none" w:sz="0" w:space="0" w:color="auto"/>
        <w:left w:val="none" w:sz="0" w:space="0" w:color="auto"/>
        <w:bottom w:val="none" w:sz="0" w:space="0" w:color="auto"/>
        <w:right w:val="none" w:sz="0" w:space="0" w:color="auto"/>
      </w:divBdr>
    </w:div>
    <w:div w:id="793447354">
      <w:bodyDiv w:val="1"/>
      <w:marLeft w:val="0"/>
      <w:marRight w:val="0"/>
      <w:marTop w:val="0"/>
      <w:marBottom w:val="0"/>
      <w:divBdr>
        <w:top w:val="none" w:sz="0" w:space="0" w:color="auto"/>
        <w:left w:val="none" w:sz="0" w:space="0" w:color="auto"/>
        <w:bottom w:val="none" w:sz="0" w:space="0" w:color="auto"/>
        <w:right w:val="none" w:sz="0" w:space="0" w:color="auto"/>
      </w:divBdr>
    </w:div>
    <w:div w:id="79784191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8132603">
      <w:bodyDiv w:val="1"/>
      <w:marLeft w:val="0"/>
      <w:marRight w:val="0"/>
      <w:marTop w:val="0"/>
      <w:marBottom w:val="0"/>
      <w:divBdr>
        <w:top w:val="none" w:sz="0" w:space="0" w:color="auto"/>
        <w:left w:val="none" w:sz="0" w:space="0" w:color="auto"/>
        <w:bottom w:val="none" w:sz="0" w:space="0" w:color="auto"/>
        <w:right w:val="none" w:sz="0" w:space="0" w:color="auto"/>
      </w:divBdr>
      <w:divsChild>
        <w:div w:id="1401563904">
          <w:marLeft w:val="360"/>
          <w:marRight w:val="0"/>
          <w:marTop w:val="200"/>
          <w:marBottom w:val="0"/>
          <w:divBdr>
            <w:top w:val="none" w:sz="0" w:space="0" w:color="auto"/>
            <w:left w:val="none" w:sz="0" w:space="0" w:color="auto"/>
            <w:bottom w:val="none" w:sz="0" w:space="0" w:color="auto"/>
            <w:right w:val="none" w:sz="0" w:space="0" w:color="auto"/>
          </w:divBdr>
        </w:div>
      </w:divsChild>
    </w:div>
    <w:div w:id="953363374">
      <w:bodyDiv w:val="1"/>
      <w:marLeft w:val="0"/>
      <w:marRight w:val="0"/>
      <w:marTop w:val="0"/>
      <w:marBottom w:val="0"/>
      <w:divBdr>
        <w:top w:val="none" w:sz="0" w:space="0" w:color="auto"/>
        <w:left w:val="none" w:sz="0" w:space="0" w:color="auto"/>
        <w:bottom w:val="none" w:sz="0" w:space="0" w:color="auto"/>
        <w:right w:val="none" w:sz="0" w:space="0" w:color="auto"/>
      </w:divBdr>
    </w:div>
    <w:div w:id="985011142">
      <w:bodyDiv w:val="1"/>
      <w:marLeft w:val="0"/>
      <w:marRight w:val="0"/>
      <w:marTop w:val="0"/>
      <w:marBottom w:val="0"/>
      <w:divBdr>
        <w:top w:val="none" w:sz="0" w:space="0" w:color="auto"/>
        <w:left w:val="none" w:sz="0" w:space="0" w:color="auto"/>
        <w:bottom w:val="none" w:sz="0" w:space="0" w:color="auto"/>
        <w:right w:val="none" w:sz="0" w:space="0" w:color="auto"/>
      </w:divBdr>
    </w:div>
    <w:div w:id="1009285651">
      <w:bodyDiv w:val="1"/>
      <w:marLeft w:val="0"/>
      <w:marRight w:val="0"/>
      <w:marTop w:val="0"/>
      <w:marBottom w:val="0"/>
      <w:divBdr>
        <w:top w:val="none" w:sz="0" w:space="0" w:color="auto"/>
        <w:left w:val="none" w:sz="0" w:space="0" w:color="auto"/>
        <w:bottom w:val="none" w:sz="0" w:space="0" w:color="auto"/>
        <w:right w:val="none" w:sz="0" w:space="0" w:color="auto"/>
      </w:divBdr>
    </w:div>
    <w:div w:id="1131169249">
      <w:bodyDiv w:val="1"/>
      <w:marLeft w:val="0"/>
      <w:marRight w:val="0"/>
      <w:marTop w:val="0"/>
      <w:marBottom w:val="0"/>
      <w:divBdr>
        <w:top w:val="none" w:sz="0" w:space="0" w:color="auto"/>
        <w:left w:val="none" w:sz="0" w:space="0" w:color="auto"/>
        <w:bottom w:val="none" w:sz="0" w:space="0" w:color="auto"/>
        <w:right w:val="none" w:sz="0" w:space="0" w:color="auto"/>
      </w:divBdr>
    </w:div>
    <w:div w:id="1138961506">
      <w:bodyDiv w:val="1"/>
      <w:marLeft w:val="0"/>
      <w:marRight w:val="0"/>
      <w:marTop w:val="0"/>
      <w:marBottom w:val="0"/>
      <w:divBdr>
        <w:top w:val="none" w:sz="0" w:space="0" w:color="auto"/>
        <w:left w:val="none" w:sz="0" w:space="0" w:color="auto"/>
        <w:bottom w:val="none" w:sz="0" w:space="0" w:color="auto"/>
        <w:right w:val="none" w:sz="0" w:space="0" w:color="auto"/>
      </w:divBdr>
      <w:divsChild>
        <w:div w:id="390815799">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4995748">
      <w:bodyDiv w:val="1"/>
      <w:marLeft w:val="0"/>
      <w:marRight w:val="0"/>
      <w:marTop w:val="0"/>
      <w:marBottom w:val="0"/>
      <w:divBdr>
        <w:top w:val="none" w:sz="0" w:space="0" w:color="auto"/>
        <w:left w:val="none" w:sz="0" w:space="0" w:color="auto"/>
        <w:bottom w:val="none" w:sz="0" w:space="0" w:color="auto"/>
        <w:right w:val="none" w:sz="0" w:space="0" w:color="auto"/>
      </w:divBdr>
    </w:div>
    <w:div w:id="120379137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5701160">
      <w:bodyDiv w:val="1"/>
      <w:marLeft w:val="0"/>
      <w:marRight w:val="0"/>
      <w:marTop w:val="0"/>
      <w:marBottom w:val="0"/>
      <w:divBdr>
        <w:top w:val="none" w:sz="0" w:space="0" w:color="auto"/>
        <w:left w:val="none" w:sz="0" w:space="0" w:color="auto"/>
        <w:bottom w:val="none" w:sz="0" w:space="0" w:color="auto"/>
        <w:right w:val="none" w:sz="0" w:space="0" w:color="auto"/>
      </w:divBdr>
      <w:divsChild>
        <w:div w:id="866409870">
          <w:marLeft w:val="547"/>
          <w:marRight w:val="0"/>
          <w:marTop w:val="200"/>
          <w:marBottom w:val="0"/>
          <w:divBdr>
            <w:top w:val="none" w:sz="0" w:space="0" w:color="auto"/>
            <w:left w:val="none" w:sz="0" w:space="0" w:color="auto"/>
            <w:bottom w:val="none" w:sz="0" w:space="0" w:color="auto"/>
            <w:right w:val="none" w:sz="0" w:space="0" w:color="auto"/>
          </w:divBdr>
        </w:div>
        <w:div w:id="574317327">
          <w:marLeft w:val="547"/>
          <w:marRight w:val="0"/>
          <w:marTop w:val="200"/>
          <w:marBottom w:val="0"/>
          <w:divBdr>
            <w:top w:val="none" w:sz="0" w:space="0" w:color="auto"/>
            <w:left w:val="none" w:sz="0" w:space="0" w:color="auto"/>
            <w:bottom w:val="none" w:sz="0" w:space="0" w:color="auto"/>
            <w:right w:val="none" w:sz="0" w:space="0" w:color="auto"/>
          </w:divBdr>
        </w:div>
        <w:div w:id="189268043">
          <w:marLeft w:val="547"/>
          <w:marRight w:val="0"/>
          <w:marTop w:val="200"/>
          <w:marBottom w:val="0"/>
          <w:divBdr>
            <w:top w:val="none" w:sz="0" w:space="0" w:color="auto"/>
            <w:left w:val="none" w:sz="0" w:space="0" w:color="auto"/>
            <w:bottom w:val="none" w:sz="0" w:space="0" w:color="auto"/>
            <w:right w:val="none" w:sz="0" w:space="0" w:color="auto"/>
          </w:divBdr>
        </w:div>
      </w:divsChild>
    </w:div>
    <w:div w:id="1287812770">
      <w:bodyDiv w:val="1"/>
      <w:marLeft w:val="0"/>
      <w:marRight w:val="0"/>
      <w:marTop w:val="0"/>
      <w:marBottom w:val="0"/>
      <w:divBdr>
        <w:top w:val="none" w:sz="0" w:space="0" w:color="auto"/>
        <w:left w:val="none" w:sz="0" w:space="0" w:color="auto"/>
        <w:bottom w:val="none" w:sz="0" w:space="0" w:color="auto"/>
        <w:right w:val="none" w:sz="0" w:space="0" w:color="auto"/>
      </w:divBdr>
    </w:div>
    <w:div w:id="1299917266">
      <w:bodyDiv w:val="1"/>
      <w:marLeft w:val="0"/>
      <w:marRight w:val="0"/>
      <w:marTop w:val="0"/>
      <w:marBottom w:val="0"/>
      <w:divBdr>
        <w:top w:val="none" w:sz="0" w:space="0" w:color="auto"/>
        <w:left w:val="none" w:sz="0" w:space="0" w:color="auto"/>
        <w:bottom w:val="none" w:sz="0" w:space="0" w:color="auto"/>
        <w:right w:val="none" w:sz="0" w:space="0" w:color="auto"/>
      </w:divBdr>
      <w:divsChild>
        <w:div w:id="1183133981">
          <w:marLeft w:val="360"/>
          <w:marRight w:val="0"/>
          <w:marTop w:val="200"/>
          <w:marBottom w:val="0"/>
          <w:divBdr>
            <w:top w:val="none" w:sz="0" w:space="0" w:color="auto"/>
            <w:left w:val="none" w:sz="0" w:space="0" w:color="auto"/>
            <w:bottom w:val="none" w:sz="0" w:space="0" w:color="auto"/>
            <w:right w:val="none" w:sz="0" w:space="0" w:color="auto"/>
          </w:divBdr>
        </w:div>
      </w:divsChild>
    </w:div>
    <w:div w:id="1362899978">
      <w:bodyDiv w:val="1"/>
      <w:marLeft w:val="0"/>
      <w:marRight w:val="0"/>
      <w:marTop w:val="0"/>
      <w:marBottom w:val="0"/>
      <w:divBdr>
        <w:top w:val="none" w:sz="0" w:space="0" w:color="auto"/>
        <w:left w:val="none" w:sz="0" w:space="0" w:color="auto"/>
        <w:bottom w:val="none" w:sz="0" w:space="0" w:color="auto"/>
        <w:right w:val="none" w:sz="0" w:space="0" w:color="auto"/>
      </w:divBdr>
    </w:div>
    <w:div w:id="1364554186">
      <w:bodyDiv w:val="1"/>
      <w:marLeft w:val="0"/>
      <w:marRight w:val="0"/>
      <w:marTop w:val="0"/>
      <w:marBottom w:val="0"/>
      <w:divBdr>
        <w:top w:val="none" w:sz="0" w:space="0" w:color="auto"/>
        <w:left w:val="none" w:sz="0" w:space="0" w:color="auto"/>
        <w:bottom w:val="none" w:sz="0" w:space="0" w:color="auto"/>
        <w:right w:val="none" w:sz="0" w:space="0" w:color="auto"/>
      </w:divBdr>
    </w:div>
    <w:div w:id="1444616783">
      <w:bodyDiv w:val="1"/>
      <w:marLeft w:val="0"/>
      <w:marRight w:val="0"/>
      <w:marTop w:val="0"/>
      <w:marBottom w:val="0"/>
      <w:divBdr>
        <w:top w:val="none" w:sz="0" w:space="0" w:color="auto"/>
        <w:left w:val="none" w:sz="0" w:space="0" w:color="auto"/>
        <w:bottom w:val="none" w:sz="0" w:space="0" w:color="auto"/>
        <w:right w:val="none" w:sz="0" w:space="0" w:color="auto"/>
      </w:divBdr>
    </w:div>
    <w:div w:id="1450516279">
      <w:bodyDiv w:val="1"/>
      <w:marLeft w:val="0"/>
      <w:marRight w:val="0"/>
      <w:marTop w:val="0"/>
      <w:marBottom w:val="0"/>
      <w:divBdr>
        <w:top w:val="none" w:sz="0" w:space="0" w:color="auto"/>
        <w:left w:val="none" w:sz="0" w:space="0" w:color="auto"/>
        <w:bottom w:val="none" w:sz="0" w:space="0" w:color="auto"/>
        <w:right w:val="none" w:sz="0" w:space="0" w:color="auto"/>
      </w:divBdr>
      <w:divsChild>
        <w:div w:id="127286156">
          <w:marLeft w:val="0"/>
          <w:marRight w:val="0"/>
          <w:marTop w:val="0"/>
          <w:marBottom w:val="0"/>
          <w:divBdr>
            <w:top w:val="none" w:sz="0" w:space="0" w:color="auto"/>
            <w:left w:val="none" w:sz="0" w:space="0" w:color="auto"/>
            <w:bottom w:val="none" w:sz="0" w:space="0" w:color="auto"/>
            <w:right w:val="none" w:sz="0" w:space="0" w:color="auto"/>
          </w:divBdr>
        </w:div>
        <w:div w:id="213279345">
          <w:marLeft w:val="0"/>
          <w:marRight w:val="0"/>
          <w:marTop w:val="0"/>
          <w:marBottom w:val="0"/>
          <w:divBdr>
            <w:top w:val="none" w:sz="0" w:space="0" w:color="auto"/>
            <w:left w:val="none" w:sz="0" w:space="0" w:color="auto"/>
            <w:bottom w:val="none" w:sz="0" w:space="0" w:color="auto"/>
            <w:right w:val="none" w:sz="0" w:space="0" w:color="auto"/>
          </w:divBdr>
        </w:div>
        <w:div w:id="463038372">
          <w:marLeft w:val="0"/>
          <w:marRight w:val="0"/>
          <w:marTop w:val="0"/>
          <w:marBottom w:val="0"/>
          <w:divBdr>
            <w:top w:val="none" w:sz="0" w:space="0" w:color="auto"/>
            <w:left w:val="none" w:sz="0" w:space="0" w:color="auto"/>
            <w:bottom w:val="none" w:sz="0" w:space="0" w:color="auto"/>
            <w:right w:val="none" w:sz="0" w:space="0" w:color="auto"/>
          </w:divBdr>
        </w:div>
        <w:div w:id="806431086">
          <w:marLeft w:val="0"/>
          <w:marRight w:val="0"/>
          <w:marTop w:val="0"/>
          <w:marBottom w:val="0"/>
          <w:divBdr>
            <w:top w:val="none" w:sz="0" w:space="0" w:color="auto"/>
            <w:left w:val="none" w:sz="0" w:space="0" w:color="auto"/>
            <w:bottom w:val="none" w:sz="0" w:space="0" w:color="auto"/>
            <w:right w:val="none" w:sz="0" w:space="0" w:color="auto"/>
          </w:divBdr>
        </w:div>
        <w:div w:id="868838063">
          <w:marLeft w:val="0"/>
          <w:marRight w:val="0"/>
          <w:marTop w:val="0"/>
          <w:marBottom w:val="0"/>
          <w:divBdr>
            <w:top w:val="none" w:sz="0" w:space="0" w:color="auto"/>
            <w:left w:val="none" w:sz="0" w:space="0" w:color="auto"/>
            <w:bottom w:val="none" w:sz="0" w:space="0" w:color="auto"/>
            <w:right w:val="none" w:sz="0" w:space="0" w:color="auto"/>
          </w:divBdr>
        </w:div>
        <w:div w:id="1754234682">
          <w:marLeft w:val="0"/>
          <w:marRight w:val="0"/>
          <w:marTop w:val="0"/>
          <w:marBottom w:val="0"/>
          <w:divBdr>
            <w:top w:val="none" w:sz="0" w:space="0" w:color="auto"/>
            <w:left w:val="none" w:sz="0" w:space="0" w:color="auto"/>
            <w:bottom w:val="none" w:sz="0" w:space="0" w:color="auto"/>
            <w:right w:val="none" w:sz="0" w:space="0" w:color="auto"/>
          </w:divBdr>
        </w:div>
        <w:div w:id="1840000927">
          <w:marLeft w:val="0"/>
          <w:marRight w:val="0"/>
          <w:marTop w:val="0"/>
          <w:marBottom w:val="0"/>
          <w:divBdr>
            <w:top w:val="none" w:sz="0" w:space="0" w:color="auto"/>
            <w:left w:val="none" w:sz="0" w:space="0" w:color="auto"/>
            <w:bottom w:val="none" w:sz="0" w:space="0" w:color="auto"/>
            <w:right w:val="none" w:sz="0" w:space="0" w:color="auto"/>
          </w:divBdr>
        </w:div>
        <w:div w:id="1851941587">
          <w:marLeft w:val="0"/>
          <w:marRight w:val="0"/>
          <w:marTop w:val="0"/>
          <w:marBottom w:val="0"/>
          <w:divBdr>
            <w:top w:val="none" w:sz="0" w:space="0" w:color="auto"/>
            <w:left w:val="none" w:sz="0" w:space="0" w:color="auto"/>
            <w:bottom w:val="none" w:sz="0" w:space="0" w:color="auto"/>
            <w:right w:val="none" w:sz="0" w:space="0" w:color="auto"/>
          </w:divBdr>
        </w:div>
        <w:div w:id="2003780038">
          <w:marLeft w:val="0"/>
          <w:marRight w:val="0"/>
          <w:marTop w:val="0"/>
          <w:marBottom w:val="0"/>
          <w:divBdr>
            <w:top w:val="none" w:sz="0" w:space="0" w:color="auto"/>
            <w:left w:val="none" w:sz="0" w:space="0" w:color="auto"/>
            <w:bottom w:val="none" w:sz="0" w:space="0" w:color="auto"/>
            <w:right w:val="none" w:sz="0" w:space="0" w:color="auto"/>
          </w:divBdr>
        </w:div>
        <w:div w:id="2012901972">
          <w:marLeft w:val="0"/>
          <w:marRight w:val="0"/>
          <w:marTop w:val="0"/>
          <w:marBottom w:val="0"/>
          <w:divBdr>
            <w:top w:val="none" w:sz="0" w:space="0" w:color="auto"/>
            <w:left w:val="none" w:sz="0" w:space="0" w:color="auto"/>
            <w:bottom w:val="none" w:sz="0" w:space="0" w:color="auto"/>
            <w:right w:val="none" w:sz="0" w:space="0" w:color="auto"/>
          </w:divBdr>
        </w:div>
        <w:div w:id="2132286816">
          <w:marLeft w:val="0"/>
          <w:marRight w:val="0"/>
          <w:marTop w:val="0"/>
          <w:marBottom w:val="0"/>
          <w:divBdr>
            <w:top w:val="none" w:sz="0" w:space="0" w:color="auto"/>
            <w:left w:val="none" w:sz="0" w:space="0" w:color="auto"/>
            <w:bottom w:val="none" w:sz="0" w:space="0" w:color="auto"/>
            <w:right w:val="none" w:sz="0" w:space="0" w:color="auto"/>
          </w:divBdr>
        </w:div>
      </w:divsChild>
    </w:div>
    <w:div w:id="1484544869">
      <w:bodyDiv w:val="1"/>
      <w:marLeft w:val="0"/>
      <w:marRight w:val="0"/>
      <w:marTop w:val="0"/>
      <w:marBottom w:val="0"/>
      <w:divBdr>
        <w:top w:val="none" w:sz="0" w:space="0" w:color="auto"/>
        <w:left w:val="none" w:sz="0" w:space="0" w:color="auto"/>
        <w:bottom w:val="none" w:sz="0" w:space="0" w:color="auto"/>
        <w:right w:val="none" w:sz="0" w:space="0" w:color="auto"/>
      </w:divBdr>
    </w:div>
    <w:div w:id="1531262151">
      <w:bodyDiv w:val="1"/>
      <w:marLeft w:val="0"/>
      <w:marRight w:val="0"/>
      <w:marTop w:val="0"/>
      <w:marBottom w:val="0"/>
      <w:divBdr>
        <w:top w:val="none" w:sz="0" w:space="0" w:color="auto"/>
        <w:left w:val="none" w:sz="0" w:space="0" w:color="auto"/>
        <w:bottom w:val="none" w:sz="0" w:space="0" w:color="auto"/>
        <w:right w:val="none" w:sz="0" w:space="0" w:color="auto"/>
      </w:divBdr>
    </w:div>
    <w:div w:id="1669989444">
      <w:bodyDiv w:val="1"/>
      <w:marLeft w:val="0"/>
      <w:marRight w:val="0"/>
      <w:marTop w:val="0"/>
      <w:marBottom w:val="0"/>
      <w:divBdr>
        <w:top w:val="none" w:sz="0" w:space="0" w:color="auto"/>
        <w:left w:val="none" w:sz="0" w:space="0" w:color="auto"/>
        <w:bottom w:val="none" w:sz="0" w:space="0" w:color="auto"/>
        <w:right w:val="none" w:sz="0" w:space="0" w:color="auto"/>
      </w:divBdr>
    </w:div>
    <w:div w:id="1681002662">
      <w:bodyDiv w:val="1"/>
      <w:marLeft w:val="0"/>
      <w:marRight w:val="0"/>
      <w:marTop w:val="0"/>
      <w:marBottom w:val="0"/>
      <w:divBdr>
        <w:top w:val="none" w:sz="0" w:space="0" w:color="auto"/>
        <w:left w:val="none" w:sz="0" w:space="0" w:color="auto"/>
        <w:bottom w:val="none" w:sz="0" w:space="0" w:color="auto"/>
        <w:right w:val="none" w:sz="0" w:space="0" w:color="auto"/>
      </w:divBdr>
      <w:divsChild>
        <w:div w:id="1900238436">
          <w:marLeft w:val="446"/>
          <w:marRight w:val="0"/>
          <w:marTop w:val="0"/>
          <w:marBottom w:val="0"/>
          <w:divBdr>
            <w:top w:val="none" w:sz="0" w:space="0" w:color="auto"/>
            <w:left w:val="none" w:sz="0" w:space="0" w:color="auto"/>
            <w:bottom w:val="none" w:sz="0" w:space="0" w:color="auto"/>
            <w:right w:val="none" w:sz="0" w:space="0" w:color="auto"/>
          </w:divBdr>
        </w:div>
      </w:divsChild>
    </w:div>
    <w:div w:id="1722248186">
      <w:bodyDiv w:val="1"/>
      <w:marLeft w:val="0"/>
      <w:marRight w:val="0"/>
      <w:marTop w:val="0"/>
      <w:marBottom w:val="0"/>
      <w:divBdr>
        <w:top w:val="none" w:sz="0" w:space="0" w:color="auto"/>
        <w:left w:val="none" w:sz="0" w:space="0" w:color="auto"/>
        <w:bottom w:val="none" w:sz="0" w:space="0" w:color="auto"/>
        <w:right w:val="none" w:sz="0" w:space="0" w:color="auto"/>
      </w:divBdr>
    </w:div>
    <w:div w:id="1723675964">
      <w:bodyDiv w:val="1"/>
      <w:marLeft w:val="0"/>
      <w:marRight w:val="0"/>
      <w:marTop w:val="0"/>
      <w:marBottom w:val="0"/>
      <w:divBdr>
        <w:top w:val="none" w:sz="0" w:space="0" w:color="auto"/>
        <w:left w:val="none" w:sz="0" w:space="0" w:color="auto"/>
        <w:bottom w:val="none" w:sz="0" w:space="0" w:color="auto"/>
        <w:right w:val="none" w:sz="0" w:space="0" w:color="auto"/>
      </w:divBdr>
    </w:div>
    <w:div w:id="1724601588">
      <w:bodyDiv w:val="1"/>
      <w:marLeft w:val="0"/>
      <w:marRight w:val="0"/>
      <w:marTop w:val="0"/>
      <w:marBottom w:val="0"/>
      <w:divBdr>
        <w:top w:val="none" w:sz="0" w:space="0" w:color="auto"/>
        <w:left w:val="none" w:sz="0" w:space="0" w:color="auto"/>
        <w:bottom w:val="none" w:sz="0" w:space="0" w:color="auto"/>
        <w:right w:val="none" w:sz="0" w:space="0" w:color="auto"/>
      </w:divBdr>
    </w:div>
    <w:div w:id="1795101308">
      <w:bodyDiv w:val="1"/>
      <w:marLeft w:val="0"/>
      <w:marRight w:val="0"/>
      <w:marTop w:val="0"/>
      <w:marBottom w:val="0"/>
      <w:divBdr>
        <w:top w:val="none" w:sz="0" w:space="0" w:color="auto"/>
        <w:left w:val="none" w:sz="0" w:space="0" w:color="auto"/>
        <w:bottom w:val="none" w:sz="0" w:space="0" w:color="auto"/>
        <w:right w:val="none" w:sz="0" w:space="0" w:color="auto"/>
      </w:divBdr>
    </w:div>
    <w:div w:id="185403043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3802412">
      <w:bodyDiv w:val="1"/>
      <w:marLeft w:val="0"/>
      <w:marRight w:val="0"/>
      <w:marTop w:val="0"/>
      <w:marBottom w:val="0"/>
      <w:divBdr>
        <w:top w:val="none" w:sz="0" w:space="0" w:color="auto"/>
        <w:left w:val="none" w:sz="0" w:space="0" w:color="auto"/>
        <w:bottom w:val="none" w:sz="0" w:space="0" w:color="auto"/>
        <w:right w:val="none" w:sz="0" w:space="0" w:color="auto"/>
      </w:divBdr>
      <w:divsChild>
        <w:div w:id="1871719677">
          <w:marLeft w:val="1080"/>
          <w:marRight w:val="0"/>
          <w:marTop w:val="100"/>
          <w:marBottom w:val="0"/>
          <w:divBdr>
            <w:top w:val="none" w:sz="0" w:space="0" w:color="auto"/>
            <w:left w:val="none" w:sz="0" w:space="0" w:color="auto"/>
            <w:bottom w:val="none" w:sz="0" w:space="0" w:color="auto"/>
            <w:right w:val="none" w:sz="0" w:space="0" w:color="auto"/>
          </w:divBdr>
        </w:div>
        <w:div w:id="1823812958">
          <w:marLeft w:val="1080"/>
          <w:marRight w:val="0"/>
          <w:marTop w:val="100"/>
          <w:marBottom w:val="0"/>
          <w:divBdr>
            <w:top w:val="none" w:sz="0" w:space="0" w:color="auto"/>
            <w:left w:val="none" w:sz="0" w:space="0" w:color="auto"/>
            <w:bottom w:val="none" w:sz="0" w:space="0" w:color="auto"/>
            <w:right w:val="none" w:sz="0" w:space="0" w:color="auto"/>
          </w:divBdr>
        </w:div>
      </w:divsChild>
    </w:div>
    <w:div w:id="20238947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694">
          <w:marLeft w:val="547"/>
          <w:marRight w:val="173"/>
          <w:marTop w:val="0"/>
          <w:marBottom w:val="120"/>
          <w:divBdr>
            <w:top w:val="none" w:sz="0" w:space="0" w:color="auto"/>
            <w:left w:val="none" w:sz="0" w:space="0" w:color="auto"/>
            <w:bottom w:val="none" w:sz="0" w:space="0" w:color="auto"/>
            <w:right w:val="none" w:sz="0" w:space="0" w:color="auto"/>
          </w:divBdr>
        </w:div>
        <w:div w:id="1831822452">
          <w:marLeft w:val="547"/>
          <w:marRight w:val="173"/>
          <w:marTop w:val="0"/>
          <w:marBottom w:val="120"/>
          <w:divBdr>
            <w:top w:val="none" w:sz="0" w:space="0" w:color="auto"/>
            <w:left w:val="none" w:sz="0" w:space="0" w:color="auto"/>
            <w:bottom w:val="none" w:sz="0" w:space="0" w:color="auto"/>
            <w:right w:val="none" w:sz="0" w:space="0" w:color="auto"/>
          </w:divBdr>
        </w:div>
        <w:div w:id="1584337309">
          <w:marLeft w:val="547"/>
          <w:marRight w:val="173"/>
          <w:marTop w:val="0"/>
          <w:marBottom w:val="120"/>
          <w:divBdr>
            <w:top w:val="none" w:sz="0" w:space="0" w:color="auto"/>
            <w:left w:val="none" w:sz="0" w:space="0" w:color="auto"/>
            <w:bottom w:val="none" w:sz="0" w:space="0" w:color="auto"/>
            <w:right w:val="none" w:sz="0" w:space="0" w:color="auto"/>
          </w:divBdr>
        </w:div>
        <w:div w:id="1152527918">
          <w:marLeft w:val="547"/>
          <w:marRight w:val="173"/>
          <w:marTop w:val="0"/>
          <w:marBottom w:val="120"/>
          <w:divBdr>
            <w:top w:val="none" w:sz="0" w:space="0" w:color="auto"/>
            <w:left w:val="none" w:sz="0" w:space="0" w:color="auto"/>
            <w:bottom w:val="none" w:sz="0" w:space="0" w:color="auto"/>
            <w:right w:val="none" w:sz="0" w:space="0" w:color="auto"/>
          </w:divBdr>
        </w:div>
        <w:div w:id="1448236338">
          <w:marLeft w:val="547"/>
          <w:marRight w:val="173"/>
          <w:marTop w:val="0"/>
          <w:marBottom w:val="120"/>
          <w:divBdr>
            <w:top w:val="none" w:sz="0" w:space="0" w:color="auto"/>
            <w:left w:val="none" w:sz="0" w:space="0" w:color="auto"/>
            <w:bottom w:val="none" w:sz="0" w:space="0" w:color="auto"/>
            <w:right w:val="none" w:sz="0" w:space="0" w:color="auto"/>
          </w:divBdr>
        </w:div>
      </w:divsChild>
    </w:div>
    <w:div w:id="2119327658">
      <w:bodyDiv w:val="1"/>
      <w:marLeft w:val="0"/>
      <w:marRight w:val="0"/>
      <w:marTop w:val="0"/>
      <w:marBottom w:val="0"/>
      <w:divBdr>
        <w:top w:val="none" w:sz="0" w:space="0" w:color="auto"/>
        <w:left w:val="none" w:sz="0" w:space="0" w:color="auto"/>
        <w:bottom w:val="none" w:sz="0" w:space="0" w:color="auto"/>
        <w:right w:val="none" w:sz="0" w:space="0" w:color="auto"/>
      </w:divBdr>
    </w:div>
    <w:div w:id="213177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birt.12741" TargetMode="External"/><Relationship Id="rId3" Type="http://schemas.openxmlformats.org/officeDocument/2006/relationships/hyperlink" Target="https://www.abs.gov.au/statistics/people/population/life-expectancy/2020-2022" TargetMode="External"/><Relationship Id="rId7" Type="http://schemas.openxmlformats.org/officeDocument/2006/relationships/hyperlink" Target="https://doi.org/10.5694/mja2.51989" TargetMode="External"/><Relationship Id="rId2" Type="http://schemas.openxmlformats.org/officeDocument/2006/relationships/hyperlink" Target="https://www.gov.uk/government/publications/rsv-immunisation-programme-jcvi-advice-7-june-2023/respiratory-syncytial-virus-rsv-immunisation-programme-for-infants-and-older-adults-jcvi-full-statement-11-september-2023" TargetMode="External"/><Relationship Id="rId1" Type="http://schemas.openxmlformats.org/officeDocument/2006/relationships/hyperlink" Target="https://www.tga.gov.au/resources/auspmd/beyfortus" TargetMode="External"/><Relationship Id="rId6" Type="http://schemas.openxmlformats.org/officeDocument/2006/relationships/hyperlink" Target="https://doi.org/10.5694/mja2.51989" TargetMode="External"/><Relationship Id="rId5" Type="http://schemas.openxmlformats.org/officeDocument/2006/relationships/hyperlink" Target="https://www.aihw.gov.au/about-our-data/our-data-collections/national-perinatal-data-collection" TargetMode="External"/><Relationship Id="rId4" Type="http://schemas.openxmlformats.org/officeDocument/2006/relationships/hyperlink" Target="https://euroqol.org/publications/user-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LiY22</b:Tag>
    <b:SourceType>JournalArticle</b:SourceType>
    <b:Guid>{3E7D1E6B-8C4C-4EB6-AC6B-C3053AFD4F93}</b:Guid>
    <b:Author>
      <b:Author>
        <b:NameList>
          <b:Person>
            <b:Last>Li</b:Last>
            <b:First>Y.</b:First>
          </b:Person>
          <b:Person>
            <b:Last>Wang</b:Last>
            <b:First>X.</b:First>
          </b:Person>
          <b:Person>
            <b:Last>Blau</b:Last>
            <b:First>D.M.</b:First>
          </b:Person>
          <b:Person>
            <b:Last>Caballero</b:Last>
            <b:First>M.T.</b:First>
          </b:Person>
          <b:Person>
            <b:Last>Feikin</b:Last>
            <b:First>D.R.</b:First>
          </b:Person>
          <b:Person>
            <b:Last>Gill</b:Last>
            <b:First>C.J.</b:First>
          </b:Person>
          <b:Person>
            <b:Last>Madhi</b:Last>
            <b:First>S.A.</b:First>
          </b:Person>
          <b:Person>
            <b:Last>et</b:Last>
            <b:First>al.</b:First>
          </b:Person>
        </b:NameList>
      </b:Author>
    </b:Author>
    <b:Title>Global, regional, and national disease burden estimates of acute lower respiratory infections due to respiratory syncytial virus in children younger than 5 years in 2019: a systematic analysis</b:Title>
    <b:JournalName>Lancet</b:JournalName>
    <b:Year>2022</b:Year>
    <b:Pages>2047-64</b:Pages>
    <b:Volume>399</b:Volume>
    <b:RefOrder>54</b:RefOrder>
  </b:Source>
</b:Sources>
</file>

<file path=customXml/itemProps1.xml><?xml version="1.0" encoding="utf-8"?>
<ds:datastoreItem xmlns:ds="http://schemas.openxmlformats.org/officeDocument/2006/customXml" ds:itemID="{B0F54BEF-A3B7-4CC2-9A5D-60CC380C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20024</Words>
  <Characters>114143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133900</CharactersWithSpaces>
  <SharedDoc>false</SharedDoc>
  <HLinks>
    <vt:vector size="48" baseType="variant">
      <vt:variant>
        <vt:i4>3670114</vt:i4>
      </vt:variant>
      <vt:variant>
        <vt:i4>21</vt:i4>
      </vt:variant>
      <vt:variant>
        <vt:i4>0</vt:i4>
      </vt:variant>
      <vt:variant>
        <vt:i4>5</vt:i4>
      </vt:variant>
      <vt:variant>
        <vt:lpwstr>https://doi.org/10.1111/birt.12741</vt:lpwstr>
      </vt:variant>
      <vt:variant>
        <vt:lpwstr/>
      </vt:variant>
      <vt:variant>
        <vt:i4>7536755</vt:i4>
      </vt:variant>
      <vt:variant>
        <vt:i4>18</vt:i4>
      </vt:variant>
      <vt:variant>
        <vt:i4>0</vt:i4>
      </vt:variant>
      <vt:variant>
        <vt:i4>5</vt:i4>
      </vt:variant>
      <vt:variant>
        <vt:lpwstr>https://doi.org/10.5694/mja2.51989</vt:lpwstr>
      </vt:variant>
      <vt:variant>
        <vt:lpwstr/>
      </vt:variant>
      <vt:variant>
        <vt:i4>7536755</vt:i4>
      </vt:variant>
      <vt:variant>
        <vt:i4>15</vt:i4>
      </vt:variant>
      <vt:variant>
        <vt:i4>0</vt:i4>
      </vt:variant>
      <vt:variant>
        <vt:i4>5</vt:i4>
      </vt:variant>
      <vt:variant>
        <vt:lpwstr>https://doi.org/10.5694/mja2.51989</vt:lpwstr>
      </vt:variant>
      <vt:variant>
        <vt:lpwstr/>
      </vt:variant>
      <vt:variant>
        <vt:i4>2555960</vt:i4>
      </vt:variant>
      <vt:variant>
        <vt:i4>12</vt:i4>
      </vt:variant>
      <vt:variant>
        <vt:i4>0</vt:i4>
      </vt:variant>
      <vt:variant>
        <vt:i4>5</vt:i4>
      </vt:variant>
      <vt:variant>
        <vt:lpwstr>https://www.aihw.gov.au/about-our-data/our-data-collections/national-perinatal-data-collection</vt:lpwstr>
      </vt:variant>
      <vt:variant>
        <vt:lpwstr/>
      </vt:variant>
      <vt:variant>
        <vt:i4>5898266</vt:i4>
      </vt:variant>
      <vt:variant>
        <vt:i4>9</vt:i4>
      </vt:variant>
      <vt:variant>
        <vt:i4>0</vt:i4>
      </vt:variant>
      <vt:variant>
        <vt:i4>5</vt:i4>
      </vt:variant>
      <vt:variant>
        <vt:lpwstr>https://euroqol.org/publications/user-guides/</vt:lpwstr>
      </vt:variant>
      <vt:variant>
        <vt:lpwstr/>
      </vt:variant>
      <vt:variant>
        <vt:i4>4653120</vt:i4>
      </vt:variant>
      <vt:variant>
        <vt:i4>6</vt:i4>
      </vt:variant>
      <vt:variant>
        <vt:i4>0</vt:i4>
      </vt:variant>
      <vt:variant>
        <vt:i4>5</vt:i4>
      </vt:variant>
      <vt:variant>
        <vt:lpwstr>https://www.abs.gov.au/statistics/people/population/life-expectancy/2020-2022</vt:lpwstr>
      </vt:variant>
      <vt:variant>
        <vt:lpwstr>cite-window1</vt:lpwstr>
      </vt:variant>
      <vt:variant>
        <vt:i4>1638419</vt:i4>
      </vt:variant>
      <vt:variant>
        <vt:i4>3</vt:i4>
      </vt:variant>
      <vt:variant>
        <vt:i4>0</vt:i4>
      </vt:variant>
      <vt:variant>
        <vt:i4>5</vt:i4>
      </vt:variant>
      <vt:variant>
        <vt:lpwstr>https://www.gov.uk/government/publications/rsv-immunisation-programme-jcvi-advice-7-june-2023/respiratory-syncytial-virus-rsv-immunisation-programme-for-infants-and-older-adults-jcvi-full-statement-11-september-2023</vt:lpwstr>
      </vt:variant>
      <vt:variant>
        <vt:lpwstr>conclusions-and-advice</vt:lpwstr>
      </vt:variant>
      <vt:variant>
        <vt:i4>327769</vt:i4>
      </vt:variant>
      <vt:variant>
        <vt:i4>0</vt:i4>
      </vt:variant>
      <vt:variant>
        <vt:i4>0</vt:i4>
      </vt:variant>
      <vt:variant>
        <vt:i4>5</vt:i4>
      </vt:variant>
      <vt:variant>
        <vt:lpwstr>https://www.tga.gov.au/resources/auspmd/beyfortus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2024-07-03T06:39:00Z</dcterms:created>
  <dcterms:modified xsi:type="dcterms:W3CDTF">2024-08-23T03:03:00Z</dcterms:modified>
</cp:coreProperties>
</file>