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4F28" w14:textId="43C8ABFE" w:rsidR="008600A3" w:rsidRPr="004F43A8" w:rsidRDefault="00522C8B" w:rsidP="008600A3">
      <w:pPr>
        <w:pStyle w:val="1-MainHeading"/>
      </w:pPr>
      <w:bookmarkStart w:id="0" w:name="_Toc156817830"/>
      <w:bookmarkStart w:id="1" w:name="_Toc380679747"/>
      <w:bookmarkStart w:id="2" w:name="_Toc380742604"/>
      <w:bookmarkStart w:id="3" w:name="_Toc380746171"/>
      <w:bookmarkStart w:id="4" w:name="_Toc380746294"/>
      <w:bookmarkStart w:id="5" w:name="_Toc380746578"/>
      <w:r>
        <w:t>6.08</w:t>
      </w:r>
      <w:r w:rsidR="008600A3" w:rsidRPr="004F43A8">
        <w:tab/>
        <w:t>OFATUMUMAB,</w:t>
      </w:r>
      <w:r w:rsidR="008600A3" w:rsidRPr="004F43A8">
        <w:br/>
      </w:r>
      <w:r w:rsidR="00105905">
        <w:t>Solution for injection 20 mg in 0.4 mL pre-filled pen,</w:t>
      </w:r>
      <w:r w:rsidR="008600A3" w:rsidRPr="004F43A8">
        <w:br/>
        <w:t>Kesimpta</w:t>
      </w:r>
      <w:r w:rsidR="008600A3" w:rsidRPr="004F43A8">
        <w:rPr>
          <w:vertAlign w:val="superscript"/>
        </w:rPr>
        <w:t>®</w:t>
      </w:r>
      <w:r w:rsidR="008600A3" w:rsidRPr="004F43A8">
        <w:t>,</w:t>
      </w:r>
      <w:r w:rsidR="008600A3" w:rsidRPr="004F43A8">
        <w:br/>
        <w:t>Novartis Pharmaceuticals Australia Pty Limited.</w:t>
      </w:r>
      <w:bookmarkEnd w:id="0"/>
    </w:p>
    <w:p w14:paraId="38A96307" w14:textId="77777777" w:rsidR="008600A3" w:rsidRPr="004F43A8" w:rsidRDefault="008600A3" w:rsidP="008600A3">
      <w:pPr>
        <w:pStyle w:val="2-SectionHeading"/>
      </w:pPr>
      <w:bookmarkStart w:id="6" w:name="_Toc156817832"/>
      <w:r w:rsidRPr="004F43A8">
        <w:t>Purpose of submission</w:t>
      </w:r>
      <w:bookmarkEnd w:id="6"/>
    </w:p>
    <w:p w14:paraId="3371961D" w14:textId="3AF8FA02" w:rsidR="006F0636" w:rsidRDefault="006F0636" w:rsidP="008600A3">
      <w:pPr>
        <w:pStyle w:val="3-BodyText"/>
      </w:pPr>
      <w:r w:rsidRPr="004F43A8">
        <w:t>The purpose of the Category 2 submission was to request separating the current higher efficacy disease modifying therapies (DMT) tier into two distinct efficacy tiers.</w:t>
      </w:r>
    </w:p>
    <w:p w14:paraId="5548C628" w14:textId="3F4F1E8E" w:rsidR="008600A3" w:rsidRPr="004F43A8" w:rsidRDefault="008600A3" w:rsidP="008600A3">
      <w:pPr>
        <w:pStyle w:val="3-BodyText"/>
      </w:pPr>
      <w:r w:rsidRPr="004F43A8">
        <w:t xml:space="preserve">Ofatumumab received a positive Pharmaceutical Benefits Advisory Committee (PBAC) recommendation for the treatment of relapsing remitting (RR) multiple sclerosis (MS) in March 2021 on a cost-minimisation basis to fingolimod, and was listed on the Pharmaceutical Benefits Scheme (PBS) in October 2021. </w:t>
      </w:r>
    </w:p>
    <w:p w14:paraId="63E6BDD4" w14:textId="68D592CA" w:rsidR="008600A3" w:rsidRPr="004F43A8" w:rsidRDefault="008600A3" w:rsidP="008600A3">
      <w:pPr>
        <w:pStyle w:val="3-BodyText"/>
      </w:pPr>
      <w:r w:rsidRPr="004F43A8">
        <w:t>Currently, PBS-listed DMTs used for the treatment of RRMS are categorised into two efficacy tiers (‘high’ and ‘low’). The high-efficacy tier includes fingolimod, cladribine, ozanimod, natalizumab, alemtuzumab, ocrelizumab and ofatumumab and the low-efficacy tier includes the interferons, dimethyl fumarate, glatiramer acetate and teriflunomide. The submission proposed that the current PBS-listed DMTs should be divided into a low-efficacy tier (with the DMTs remaining unchanged from the current low-efficacy tier), a new mid-efficacy tier compris</w:t>
      </w:r>
      <w:r w:rsidR="00802D77">
        <w:t>ing</w:t>
      </w:r>
      <w:r w:rsidRPr="004F43A8">
        <w:t xml:space="preserve"> fingolimod, cladribine and ozanimod and a modified high-efficacy tier compris</w:t>
      </w:r>
      <w:r w:rsidR="00802D77">
        <w:t>ing</w:t>
      </w:r>
      <w:r w:rsidR="005A4D8A">
        <w:t xml:space="preserve"> </w:t>
      </w:r>
      <w:r w:rsidRPr="004F43A8">
        <w:t xml:space="preserve">ofatumumab, ocrelizumab, alemtuzumab and natalizumab as shown in </w:t>
      </w:r>
      <w:r w:rsidRPr="004F43A8">
        <w:fldChar w:fldCharType="begin" w:fldLock="1"/>
      </w:r>
      <w:r w:rsidRPr="004F43A8">
        <w:instrText xml:space="preserve"> REF _Ref152965795 \h </w:instrText>
      </w:r>
      <w:r w:rsidRPr="004F43A8">
        <w:fldChar w:fldCharType="separate"/>
      </w:r>
      <w:r w:rsidR="00416916" w:rsidRPr="00AE74F3">
        <w:t xml:space="preserve">Figure </w:t>
      </w:r>
      <w:r w:rsidR="00416916">
        <w:rPr>
          <w:noProof/>
        </w:rPr>
        <w:t>1</w:t>
      </w:r>
      <w:r w:rsidRPr="004F43A8">
        <w:fldChar w:fldCharType="end"/>
      </w:r>
      <w:r w:rsidRPr="004F43A8">
        <w:t>.</w:t>
      </w:r>
    </w:p>
    <w:p w14:paraId="260D4AEE" w14:textId="5DE9A984" w:rsidR="008600A3" w:rsidRPr="004F43A8" w:rsidRDefault="008600A3" w:rsidP="008600A3">
      <w:pPr>
        <w:pStyle w:val="TableFigureHeading"/>
      </w:pPr>
      <w:r w:rsidRPr="004F43A8">
        <w:t xml:space="preserve">Figure </w:t>
      </w:r>
      <w:r w:rsidR="002943DF">
        <w:fldChar w:fldCharType="begin" w:fldLock="1"/>
      </w:r>
      <w:r w:rsidR="002943DF">
        <w:instrText xml:space="preserve"> SEQ Figure_ES \* ARABIC </w:instrText>
      </w:r>
      <w:r w:rsidR="002943DF">
        <w:fldChar w:fldCharType="separate"/>
      </w:r>
      <w:r w:rsidR="00416916">
        <w:rPr>
          <w:noProof/>
        </w:rPr>
        <w:t>1</w:t>
      </w:r>
      <w:r w:rsidR="002943DF">
        <w:rPr>
          <w:noProof/>
        </w:rPr>
        <w:fldChar w:fldCharType="end"/>
      </w:r>
      <w:r w:rsidR="00F9193A">
        <w:t xml:space="preserve">: </w:t>
      </w:r>
      <w:r w:rsidRPr="004F43A8">
        <w:t>Proposed tiers of equi-effective treatments for RRMS on the PBS</w:t>
      </w:r>
    </w:p>
    <w:p w14:paraId="670048ED" w14:textId="77777777" w:rsidR="008600A3" w:rsidRPr="004F43A8" w:rsidRDefault="008600A3" w:rsidP="00F9193A">
      <w:pPr>
        <w:pStyle w:val="3-BodyText"/>
        <w:numPr>
          <w:ilvl w:val="0"/>
          <w:numId w:val="0"/>
        </w:numPr>
        <w:spacing w:after="0"/>
      </w:pPr>
      <w:r w:rsidRPr="004F43A8">
        <w:rPr>
          <w:bCs/>
          <w:noProof/>
        </w:rPr>
        <w:drawing>
          <wp:inline distT="0" distB="0" distL="0" distR="0" wp14:anchorId="1039B924" wp14:editId="2A75B380">
            <wp:extent cx="5434330" cy="2028825"/>
            <wp:effectExtent l="0" t="0" r="7620" b="9525"/>
            <wp:docPr id="1531856876" name="Picture 1531856876" descr="Figure 1: Proposed tiers of equi-effective treatments for RRMS on the P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856876" name="Picture 1531856876" descr="Figure 1: Proposed tiers of equi-effective treatments for RRMS on the PB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4330" cy="2028825"/>
                    </a:xfrm>
                    <a:prstGeom prst="rect">
                      <a:avLst/>
                    </a:prstGeom>
                    <a:noFill/>
                  </pic:spPr>
                </pic:pic>
              </a:graphicData>
            </a:graphic>
          </wp:inline>
        </w:drawing>
      </w:r>
    </w:p>
    <w:p w14:paraId="10FA9C58" w14:textId="77777777" w:rsidR="008600A3" w:rsidRPr="004F43A8" w:rsidRDefault="008600A3" w:rsidP="008600A3">
      <w:pPr>
        <w:pStyle w:val="FooterTableFigure"/>
      </w:pPr>
      <w:r w:rsidRPr="004F43A8">
        <w:t>DMTs = disease modifying therapies; RRMS = relapsing remitting multiple sclerosis</w:t>
      </w:r>
    </w:p>
    <w:p w14:paraId="794C9330" w14:textId="37175C1F" w:rsidR="008600A3" w:rsidRPr="004F43A8" w:rsidRDefault="008600A3" w:rsidP="008600A3">
      <w:pPr>
        <w:pStyle w:val="FooterTableFigure"/>
      </w:pPr>
      <w:r w:rsidRPr="004F43A8">
        <w:t>Source: Figure ES ,1 of the submission</w:t>
      </w:r>
    </w:p>
    <w:p w14:paraId="09B793A0" w14:textId="5F0EBCE2" w:rsidR="008600A3" w:rsidRPr="004F43A8" w:rsidRDefault="008600A3" w:rsidP="008600A3">
      <w:pPr>
        <w:pStyle w:val="3-BodyText"/>
      </w:pPr>
      <w:r w:rsidRPr="004F43A8">
        <w:t xml:space="preserve">The submission stated that it </w:t>
      </w:r>
      <w:r w:rsidR="00802D77">
        <w:t>did</w:t>
      </w:r>
      <w:r w:rsidRPr="004F43A8">
        <w:t xml:space="preserve"> not expect the </w:t>
      </w:r>
      <w:r w:rsidR="00802D77">
        <w:t>proposed new</w:t>
      </w:r>
      <w:r w:rsidRPr="004F43A8">
        <w:t xml:space="preserve"> </w:t>
      </w:r>
      <w:r w:rsidR="00802D77">
        <w:t xml:space="preserve">tier structure to </w:t>
      </w:r>
      <w:r w:rsidRPr="004F43A8">
        <w:t xml:space="preserve">impact the current price of any DMTs, including ofatumumab, but that it would delink the proposed high-tier group from the proposed mid-tier group from a pricing </w:t>
      </w:r>
      <w:r w:rsidRPr="004F43A8">
        <w:lastRenderedPageBreak/>
        <w:t xml:space="preserve">perspective. i.e. reference pricing between the high-tier and mid-tier groups would not be possible. </w:t>
      </w:r>
    </w:p>
    <w:p w14:paraId="42062193" w14:textId="3737A659" w:rsidR="002A0993" w:rsidRPr="00AE74F3" w:rsidRDefault="008406F4" w:rsidP="002A0993">
      <w:pPr>
        <w:pStyle w:val="3-BodyText"/>
      </w:pPr>
      <w:bookmarkStart w:id="7" w:name="_Ref153196561"/>
      <w:bookmarkStart w:id="8" w:name="_Ref153889508"/>
      <w:r w:rsidRPr="00AE74F3">
        <w:t xml:space="preserve">The submission </w:t>
      </w:r>
      <w:r w:rsidR="00B71268" w:rsidRPr="00AE74F3">
        <w:t xml:space="preserve">stated that </w:t>
      </w:r>
      <w:r w:rsidR="00F63203">
        <w:t xml:space="preserve">it expected that, </w:t>
      </w:r>
      <w:r w:rsidR="00B71268" w:rsidRPr="00AE74F3">
        <w:t xml:space="preserve">with generic entry and the associated subsequent price disclosure price cuts associated with fingolimod, </w:t>
      </w:r>
      <w:r w:rsidR="002A0993" w:rsidRPr="00AE74F3">
        <w:t xml:space="preserve">the prices of other high-efficacy DMTs </w:t>
      </w:r>
      <w:r w:rsidR="008668C8">
        <w:t>c</w:t>
      </w:r>
      <w:r w:rsidR="00F63203">
        <w:t>ould</w:t>
      </w:r>
      <w:r w:rsidR="002A0993" w:rsidRPr="00AE74F3">
        <w:t xml:space="preserve"> be affected in the near future. In December 2022 the price of fingolimod on the PBS was reduced by 25% and </w:t>
      </w:r>
      <w:r w:rsidR="008C0393" w:rsidRPr="00AE74F3">
        <w:t xml:space="preserve">the submission estimated that the price was </w:t>
      </w:r>
      <w:r w:rsidR="002A0993" w:rsidRPr="00AE74F3">
        <w:t xml:space="preserve">likely to be reduced </w:t>
      </w:r>
      <w:r w:rsidR="00334103" w:rsidRPr="00AE74F3">
        <w:t xml:space="preserve">further </w:t>
      </w:r>
      <w:r w:rsidR="002A0993" w:rsidRPr="00AE74F3">
        <w:t>due to</w:t>
      </w:r>
      <w:r w:rsidR="00845F33" w:rsidRPr="00AE74F3">
        <w:t xml:space="preserve"> upcoming</w:t>
      </w:r>
      <w:r w:rsidR="002A0993" w:rsidRPr="00AE74F3">
        <w:t xml:space="preserve"> price disclosure</w:t>
      </w:r>
      <w:r w:rsidR="00845F33" w:rsidRPr="00AE74F3">
        <w:t xml:space="preserve"> reductions</w:t>
      </w:r>
      <w:r w:rsidR="00334103" w:rsidRPr="00AE74F3">
        <w:t xml:space="preserve">, with the submission </w:t>
      </w:r>
      <w:r w:rsidR="00B45074" w:rsidRPr="00AE74F3">
        <w:t xml:space="preserve">having </w:t>
      </w:r>
      <w:r w:rsidR="00334103" w:rsidRPr="00AE74F3">
        <w:t>estimat</w:t>
      </w:r>
      <w:r w:rsidR="00B45074" w:rsidRPr="00AE74F3">
        <w:t>ed</w:t>
      </w:r>
      <w:r w:rsidR="00334103" w:rsidRPr="00AE74F3">
        <w:t xml:space="preserve"> a total price reduction of around 52%</w:t>
      </w:r>
      <w:r w:rsidR="001D2793" w:rsidRPr="00AE74F3">
        <w:t xml:space="preserve"> </w:t>
      </w:r>
      <w:r w:rsidR="00845F33" w:rsidRPr="00AE74F3">
        <w:t>by 1</w:t>
      </w:r>
      <w:r w:rsidR="008668C8">
        <w:t> </w:t>
      </w:r>
      <w:r w:rsidR="00845F33" w:rsidRPr="00AE74F3">
        <w:t>October 2024</w:t>
      </w:r>
      <w:r w:rsidR="00334103" w:rsidRPr="00AE74F3">
        <w:t>.</w:t>
      </w:r>
      <w:r w:rsidR="002A0993" w:rsidRPr="00AE74F3">
        <w:t xml:space="preserve"> </w:t>
      </w:r>
      <w:bookmarkEnd w:id="7"/>
      <w:r w:rsidR="00376D17" w:rsidRPr="00AE74F3">
        <w:t xml:space="preserve">While the magnitude of price reductions for future price disclosure cycles </w:t>
      </w:r>
      <w:r w:rsidR="00CC63C8" w:rsidRPr="00AE74F3">
        <w:t>are</w:t>
      </w:r>
      <w:r w:rsidR="00376D17" w:rsidRPr="00AE74F3">
        <w:t xml:space="preserve"> unknown, Novartis Pharmaceuticals Australia Pty Limited are also the sponsor of a brand of fingolimod.</w:t>
      </w:r>
      <w:bookmarkEnd w:id="8"/>
      <w:r w:rsidR="00376D17" w:rsidRPr="00AE74F3">
        <w:t xml:space="preserve"> </w:t>
      </w:r>
    </w:p>
    <w:p w14:paraId="62A705EA" w14:textId="3A9856E9" w:rsidR="008600A3" w:rsidRPr="005F098D" w:rsidRDefault="00FC61BC" w:rsidP="008600A3">
      <w:pPr>
        <w:pStyle w:val="3-BodyText"/>
      </w:pPr>
      <w:r>
        <w:t>The</w:t>
      </w:r>
      <w:r w:rsidR="008600A3" w:rsidRPr="005F098D">
        <w:t xml:space="preserve"> request</w:t>
      </w:r>
      <w:r>
        <w:t xml:space="preserve"> was made </w:t>
      </w:r>
      <w:proofErr w:type="gramStart"/>
      <w:r w:rsidR="008600A3" w:rsidRPr="005F098D">
        <w:t>on the basis of</w:t>
      </w:r>
      <w:proofErr w:type="gramEnd"/>
      <w:r w:rsidR="008600A3" w:rsidRPr="005F098D">
        <w:t xml:space="preserve"> a cost-effectiveness analysis versus fingolimod as described in </w:t>
      </w:r>
      <w:r w:rsidR="008600A3" w:rsidRPr="005F098D">
        <w:fldChar w:fldCharType="begin" w:fldLock="1"/>
      </w:r>
      <w:r w:rsidR="008600A3" w:rsidRPr="005F098D">
        <w:instrText xml:space="preserve"> REF _Ref153040307 \h </w:instrText>
      </w:r>
      <w:r w:rsidR="005F098D" w:rsidRPr="005F098D">
        <w:instrText xml:space="preserve"> \* MERGEFORMAT </w:instrText>
      </w:r>
      <w:r w:rsidR="008600A3" w:rsidRPr="005F098D">
        <w:fldChar w:fldCharType="separate"/>
      </w:r>
      <w:r w:rsidR="00416916" w:rsidRPr="004F43A8">
        <w:t xml:space="preserve">Table </w:t>
      </w:r>
      <w:r w:rsidR="00416916">
        <w:rPr>
          <w:noProof/>
        </w:rPr>
        <w:t>1</w:t>
      </w:r>
      <w:r w:rsidR="008600A3" w:rsidRPr="005F098D">
        <w:fldChar w:fldCharType="end"/>
      </w:r>
      <w:r w:rsidR="008600A3" w:rsidRPr="005F098D">
        <w:t>.</w:t>
      </w:r>
    </w:p>
    <w:p w14:paraId="3C9AC2F7" w14:textId="00B640FE" w:rsidR="008600A3" w:rsidRPr="004F43A8" w:rsidRDefault="008600A3" w:rsidP="008600A3">
      <w:pPr>
        <w:pStyle w:val="Caption"/>
        <w:jc w:val="left"/>
      </w:pPr>
      <w:bookmarkStart w:id="9" w:name="_Ref153040307"/>
      <w:r w:rsidRPr="004F43A8">
        <w:t xml:space="preserve">Table </w:t>
      </w:r>
      <w:r w:rsidR="002943DF">
        <w:fldChar w:fldCharType="begin" w:fldLock="1"/>
      </w:r>
      <w:r w:rsidR="002943DF">
        <w:instrText xml:space="preserve"> SEQ Table \* ARABIC </w:instrText>
      </w:r>
      <w:r w:rsidR="002943DF">
        <w:fldChar w:fldCharType="separate"/>
      </w:r>
      <w:r w:rsidR="00416916">
        <w:rPr>
          <w:noProof/>
        </w:rPr>
        <w:t>1</w:t>
      </w:r>
      <w:r w:rsidR="002943DF">
        <w:rPr>
          <w:noProof/>
        </w:rPr>
        <w:fldChar w:fldCharType="end"/>
      </w:r>
      <w:bookmarkEnd w:id="9"/>
      <w:r w:rsidRPr="004F43A8">
        <w:t xml:space="preserve">: </w:t>
      </w:r>
      <w:r w:rsidRPr="004F43A8">
        <w:rPr>
          <w:rStyle w:val="CommentReference"/>
          <w:b/>
          <w:szCs w:val="24"/>
        </w:rPr>
        <w:t>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8600A3" w:rsidRPr="004F43A8" w14:paraId="2121321A" w14:textId="77777777" w:rsidTr="00CE58B5">
        <w:tc>
          <w:tcPr>
            <w:tcW w:w="1668" w:type="dxa"/>
            <w:vAlign w:val="center"/>
          </w:tcPr>
          <w:p w14:paraId="18365938" w14:textId="77777777" w:rsidR="008600A3" w:rsidRPr="004F43A8" w:rsidRDefault="008600A3" w:rsidP="00CE58B5">
            <w:pPr>
              <w:pStyle w:val="In-tableHeading"/>
              <w:rPr>
                <w:lang w:val="en-AU"/>
              </w:rPr>
            </w:pPr>
            <w:r w:rsidRPr="004F43A8">
              <w:rPr>
                <w:lang w:val="en-AU"/>
              </w:rPr>
              <w:t>Component</w:t>
            </w:r>
          </w:p>
        </w:tc>
        <w:tc>
          <w:tcPr>
            <w:tcW w:w="7488" w:type="dxa"/>
            <w:vAlign w:val="center"/>
          </w:tcPr>
          <w:p w14:paraId="78098ADD" w14:textId="77777777" w:rsidR="008600A3" w:rsidRPr="004F43A8" w:rsidRDefault="008600A3" w:rsidP="00CE58B5">
            <w:pPr>
              <w:pStyle w:val="In-tableHeading"/>
              <w:rPr>
                <w:lang w:val="en-AU"/>
              </w:rPr>
            </w:pPr>
            <w:r w:rsidRPr="004F43A8">
              <w:rPr>
                <w:lang w:val="en-AU"/>
              </w:rPr>
              <w:t>Description</w:t>
            </w:r>
          </w:p>
        </w:tc>
      </w:tr>
      <w:tr w:rsidR="008600A3" w:rsidRPr="004F43A8" w14:paraId="6E466900" w14:textId="77777777" w:rsidTr="00CE58B5">
        <w:tc>
          <w:tcPr>
            <w:tcW w:w="1668" w:type="dxa"/>
            <w:vAlign w:val="center"/>
          </w:tcPr>
          <w:p w14:paraId="118BE5FE" w14:textId="77777777" w:rsidR="008600A3" w:rsidRPr="004F43A8" w:rsidRDefault="008600A3" w:rsidP="00CE58B5">
            <w:pPr>
              <w:pStyle w:val="TableText0"/>
            </w:pPr>
            <w:r w:rsidRPr="004F43A8">
              <w:t>Population</w:t>
            </w:r>
          </w:p>
        </w:tc>
        <w:tc>
          <w:tcPr>
            <w:tcW w:w="7488" w:type="dxa"/>
          </w:tcPr>
          <w:p w14:paraId="3F02ECE2" w14:textId="714DA350" w:rsidR="008600A3" w:rsidRPr="00AE74F3" w:rsidRDefault="008600A3" w:rsidP="00CE58B5">
            <w:pPr>
              <w:pStyle w:val="TableText0"/>
            </w:pPr>
            <w:r w:rsidRPr="00AE74F3">
              <w:t xml:space="preserve">Patients with </w:t>
            </w:r>
            <w:r w:rsidR="00845F33" w:rsidRPr="00AE74F3">
              <w:t>relapsing remitting multiple sclerosis</w:t>
            </w:r>
          </w:p>
        </w:tc>
      </w:tr>
      <w:tr w:rsidR="008600A3" w:rsidRPr="004F43A8" w14:paraId="023F09B5" w14:textId="77777777" w:rsidTr="00CE58B5">
        <w:tc>
          <w:tcPr>
            <w:tcW w:w="1668" w:type="dxa"/>
            <w:vAlign w:val="center"/>
          </w:tcPr>
          <w:p w14:paraId="1E37091B" w14:textId="77777777" w:rsidR="008600A3" w:rsidRPr="004F43A8" w:rsidRDefault="008600A3" w:rsidP="00CE58B5">
            <w:pPr>
              <w:pStyle w:val="TableText0"/>
            </w:pPr>
            <w:r w:rsidRPr="004F43A8">
              <w:t>Intervention</w:t>
            </w:r>
          </w:p>
        </w:tc>
        <w:tc>
          <w:tcPr>
            <w:tcW w:w="7488" w:type="dxa"/>
          </w:tcPr>
          <w:p w14:paraId="40651E0F" w14:textId="77777777" w:rsidR="008600A3" w:rsidRPr="005F098D" w:rsidRDefault="008600A3" w:rsidP="00CE58B5">
            <w:pPr>
              <w:pStyle w:val="PBACTabletext"/>
              <w:keepNext w:val="0"/>
              <w:keepLines w:val="0"/>
              <w:widowControl w:val="0"/>
              <w:suppressLineNumbers w:val="0"/>
            </w:pPr>
            <w:r w:rsidRPr="005F098D">
              <w:t>Ofatumumab (20 mg SC monthly, following initial doses at week 0, 1,2 and week 4), as a proxy for other proposed high-efficacy DMTs including ocrelizumab, natalizumab and alemtuzumab.</w:t>
            </w:r>
          </w:p>
        </w:tc>
      </w:tr>
      <w:tr w:rsidR="008600A3" w:rsidRPr="004F43A8" w14:paraId="4547AB3C" w14:textId="77777777" w:rsidTr="00CE58B5">
        <w:tc>
          <w:tcPr>
            <w:tcW w:w="1668" w:type="dxa"/>
            <w:vAlign w:val="center"/>
          </w:tcPr>
          <w:p w14:paraId="47641994" w14:textId="77777777" w:rsidR="008600A3" w:rsidRPr="004F43A8" w:rsidRDefault="008600A3" w:rsidP="00CE58B5">
            <w:pPr>
              <w:pStyle w:val="TableText0"/>
            </w:pPr>
            <w:r w:rsidRPr="004F43A8">
              <w:t>Comparator</w:t>
            </w:r>
          </w:p>
        </w:tc>
        <w:tc>
          <w:tcPr>
            <w:tcW w:w="7488" w:type="dxa"/>
          </w:tcPr>
          <w:p w14:paraId="66361EC7" w14:textId="77777777" w:rsidR="008600A3" w:rsidRPr="005F098D" w:rsidRDefault="008600A3" w:rsidP="00CE58B5">
            <w:pPr>
              <w:pStyle w:val="TableText0"/>
            </w:pPr>
            <w:r w:rsidRPr="005F098D">
              <w:t>Fingolimod as a proxy for the proposed medium efficacy DMTs including cladribine and ozanimod.</w:t>
            </w:r>
          </w:p>
        </w:tc>
      </w:tr>
      <w:tr w:rsidR="008600A3" w:rsidRPr="004F43A8" w14:paraId="75A09A30" w14:textId="77777777" w:rsidTr="00CE58B5">
        <w:tc>
          <w:tcPr>
            <w:tcW w:w="1668" w:type="dxa"/>
            <w:vAlign w:val="center"/>
          </w:tcPr>
          <w:p w14:paraId="6980E8B2" w14:textId="77777777" w:rsidR="008600A3" w:rsidRPr="004F43A8" w:rsidRDefault="008600A3" w:rsidP="00CE58B5">
            <w:pPr>
              <w:pStyle w:val="TableText0"/>
            </w:pPr>
            <w:r w:rsidRPr="004F43A8">
              <w:t>Outcomes</w:t>
            </w:r>
          </w:p>
        </w:tc>
        <w:tc>
          <w:tcPr>
            <w:tcW w:w="7488" w:type="dxa"/>
          </w:tcPr>
          <w:p w14:paraId="116BF4F2" w14:textId="77777777" w:rsidR="008600A3" w:rsidRPr="005F098D" w:rsidRDefault="008600A3" w:rsidP="00CE58B5">
            <w:pPr>
              <w:pStyle w:val="TableText0"/>
            </w:pPr>
            <w:r w:rsidRPr="005F098D">
              <w:t>ARR; proportion (%) free from relapse; 3- and 6-month confirmed disability progression/worsening; and safety (any adverse event)</w:t>
            </w:r>
          </w:p>
        </w:tc>
      </w:tr>
      <w:tr w:rsidR="008600A3" w:rsidRPr="004F43A8" w14:paraId="2A63210D" w14:textId="77777777" w:rsidTr="00CE58B5">
        <w:tc>
          <w:tcPr>
            <w:tcW w:w="1668" w:type="dxa"/>
            <w:vAlign w:val="center"/>
          </w:tcPr>
          <w:p w14:paraId="2D481F12" w14:textId="77777777" w:rsidR="008600A3" w:rsidRPr="004F43A8" w:rsidRDefault="008600A3" w:rsidP="00CE58B5">
            <w:pPr>
              <w:pStyle w:val="TableText0"/>
            </w:pPr>
            <w:r w:rsidRPr="004F43A8">
              <w:t>Clinical claim</w:t>
            </w:r>
          </w:p>
        </w:tc>
        <w:tc>
          <w:tcPr>
            <w:tcW w:w="7488" w:type="dxa"/>
          </w:tcPr>
          <w:p w14:paraId="42DCC44A" w14:textId="7267FFEF" w:rsidR="008600A3" w:rsidRPr="00BD531E" w:rsidRDefault="00BD531E" w:rsidP="005B5A3D">
            <w:pPr>
              <w:pStyle w:val="TableText0"/>
              <w:rPr>
                <w:vertAlign w:val="superscript"/>
              </w:rPr>
            </w:pPr>
            <w:r>
              <w:t>O</w:t>
            </w:r>
            <w:r w:rsidR="005B5A3D" w:rsidRPr="005F098D">
              <w:t>fatumumab, as a high-efficacy tier treatment, is considered superior to fingolimod, as proxy for the mid-efficacy tier, in terms of clinical effectiveness with a different but non-inferior safety profil</w:t>
            </w:r>
            <w:r>
              <w:t>e.</w:t>
            </w:r>
            <w:r>
              <w:rPr>
                <w:vertAlign w:val="superscript"/>
              </w:rPr>
              <w:t>a</w:t>
            </w:r>
          </w:p>
        </w:tc>
      </w:tr>
    </w:tbl>
    <w:p w14:paraId="37F7C537" w14:textId="77777777" w:rsidR="008600A3" w:rsidRPr="00BD531E" w:rsidRDefault="008600A3" w:rsidP="008600A3">
      <w:pPr>
        <w:pStyle w:val="FooterTableFigure"/>
      </w:pPr>
      <w:r w:rsidRPr="004F43A8">
        <w:t xml:space="preserve">ARR = </w:t>
      </w:r>
      <w:r w:rsidRPr="00BD531E">
        <w:t>annualised relapse rate; DMT = disease modifying therapy; mg = milligram; SC = subcutaneous</w:t>
      </w:r>
    </w:p>
    <w:p w14:paraId="53C03342" w14:textId="77777777" w:rsidR="00BD531E" w:rsidRPr="00BD531E" w:rsidRDefault="00BD531E" w:rsidP="008600A3">
      <w:pPr>
        <w:pStyle w:val="FooterTableFigure"/>
      </w:pPr>
      <w:r w:rsidRPr="00BD531E">
        <w:rPr>
          <w:vertAlign w:val="superscript"/>
        </w:rPr>
        <w:t xml:space="preserve">a </w:t>
      </w:r>
      <w:r w:rsidRPr="00BD531E">
        <w:t>Page 149 of the submission</w:t>
      </w:r>
    </w:p>
    <w:p w14:paraId="25E27FA7" w14:textId="7F93589F" w:rsidR="008600A3" w:rsidRPr="004F43A8" w:rsidRDefault="008600A3" w:rsidP="008600A3">
      <w:pPr>
        <w:pStyle w:val="FooterTableFigure"/>
      </w:pPr>
      <w:r w:rsidRPr="00BD531E">
        <w:t xml:space="preserve">Source: Table 2, p 24 </w:t>
      </w:r>
      <w:r w:rsidR="005B5A3D" w:rsidRPr="00BD531E">
        <w:t>and p</w:t>
      </w:r>
      <w:r w:rsidR="005B5A3D">
        <w:t xml:space="preserve"> 149 </w:t>
      </w:r>
      <w:r w:rsidRPr="004F43A8">
        <w:t>of the submission.</w:t>
      </w:r>
    </w:p>
    <w:p w14:paraId="7D480201" w14:textId="77777777" w:rsidR="008600A3" w:rsidRPr="004F43A8" w:rsidRDefault="008600A3" w:rsidP="008600A3">
      <w:pPr>
        <w:pStyle w:val="2-SectionHeading"/>
      </w:pPr>
      <w:bookmarkStart w:id="10" w:name="_Toc156817833"/>
      <w:r w:rsidRPr="004F43A8">
        <w:t>Background</w:t>
      </w:r>
      <w:bookmarkEnd w:id="10"/>
    </w:p>
    <w:p w14:paraId="4E81E67C" w14:textId="77777777" w:rsidR="008600A3" w:rsidRPr="004F43A8" w:rsidRDefault="008600A3" w:rsidP="008600A3">
      <w:pPr>
        <w:pStyle w:val="4-SubsectionHeading"/>
      </w:pPr>
      <w:bookmarkStart w:id="11" w:name="_Toc156817834"/>
      <w:r w:rsidRPr="004F43A8">
        <w:t>Registration status</w:t>
      </w:r>
      <w:bookmarkEnd w:id="11"/>
    </w:p>
    <w:p w14:paraId="68740247" w14:textId="45AC7BA0" w:rsidR="008600A3" w:rsidRPr="004F43A8" w:rsidRDefault="008600A3" w:rsidP="008600A3">
      <w:pPr>
        <w:pStyle w:val="3-BodyText"/>
      </w:pPr>
      <w:r w:rsidRPr="004F43A8">
        <w:t>Ofatumu</w:t>
      </w:r>
      <w:r w:rsidR="003728CD">
        <w:t>m</w:t>
      </w:r>
      <w:r w:rsidRPr="004F43A8">
        <w:t>ab was TGA registered on 4 March 2020 for the treatment of adult patients with relapsing forms of multiple sclerosis (RMS) to delay the progression of physical disability and reduce the frequency of relapse.</w:t>
      </w:r>
    </w:p>
    <w:p w14:paraId="458858D3" w14:textId="77777777" w:rsidR="008600A3" w:rsidRPr="004F43A8" w:rsidRDefault="008600A3" w:rsidP="008600A3">
      <w:pPr>
        <w:pStyle w:val="4-SubsectionHeading"/>
      </w:pPr>
      <w:bookmarkStart w:id="12" w:name="_Toc156817835"/>
      <w:r w:rsidRPr="004F43A8">
        <w:t>Previous PBAC consideration</w:t>
      </w:r>
      <w:bookmarkEnd w:id="12"/>
    </w:p>
    <w:p w14:paraId="1AC47A3C" w14:textId="77777777" w:rsidR="008600A3" w:rsidRPr="004F43A8" w:rsidRDefault="008600A3" w:rsidP="008600A3">
      <w:pPr>
        <w:pStyle w:val="3-BodyText"/>
      </w:pPr>
      <w:r w:rsidRPr="004F43A8">
        <w:t>Ofatumumab was recommended on a cost-minimisation basis versus fingolimod at the March 2021 PBAC meeting. “The PBAC’s recommendation for listing was based on, among other matters, its assessment that the cost-effectiveness of ofatumumab would be acceptable if it were cost minimised to the least costly therapy of either fingolimod, natalizumab, alemtuzumab, ocrelizumab, cladribine or ozanimod (the higher tier agents)” (paragraph 7.1, ofatumumab public summary document [PSD], March 2021 PBAC meeting).</w:t>
      </w:r>
    </w:p>
    <w:p w14:paraId="7E9212A1" w14:textId="77777777" w:rsidR="008600A3" w:rsidRPr="004F43A8" w:rsidRDefault="008600A3" w:rsidP="008600A3">
      <w:pPr>
        <w:pStyle w:val="2-SectionHeading"/>
      </w:pPr>
      <w:bookmarkStart w:id="13" w:name="_Toc156817836"/>
      <w:r w:rsidRPr="004F43A8">
        <w:lastRenderedPageBreak/>
        <w:t>Requested listing</w:t>
      </w:r>
      <w:bookmarkEnd w:id="13"/>
    </w:p>
    <w:tbl>
      <w:tblPr>
        <w:tblW w:w="51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030"/>
        <w:gridCol w:w="947"/>
        <w:gridCol w:w="992"/>
        <w:gridCol w:w="851"/>
        <w:gridCol w:w="1580"/>
      </w:tblGrid>
      <w:tr w:rsidR="008600A3" w:rsidRPr="004F43A8" w14:paraId="51EA9597" w14:textId="77777777" w:rsidTr="00CE58B5">
        <w:trPr>
          <w:cantSplit/>
          <w:trHeight w:val="20"/>
        </w:trPr>
        <w:tc>
          <w:tcPr>
            <w:tcW w:w="2835" w:type="dxa"/>
            <w:vAlign w:val="center"/>
          </w:tcPr>
          <w:p w14:paraId="44E1AB97" w14:textId="77777777" w:rsidR="008600A3" w:rsidRPr="004F43A8" w:rsidRDefault="008600A3" w:rsidP="00CE58B5">
            <w:pPr>
              <w:keepNext/>
              <w:keepLines/>
              <w:rPr>
                <w:rFonts w:ascii="Arial Narrow" w:hAnsi="Arial Narrow"/>
                <w:b/>
                <w:bCs/>
                <w:sz w:val="20"/>
                <w:szCs w:val="20"/>
              </w:rPr>
            </w:pPr>
            <w:r w:rsidRPr="004F43A8">
              <w:rPr>
                <w:rFonts w:ascii="Arial Narrow" w:hAnsi="Arial Narrow"/>
                <w:b/>
                <w:bCs/>
                <w:sz w:val="20"/>
                <w:szCs w:val="20"/>
              </w:rPr>
              <w:t>MEDICINAL PRODUCT</w:t>
            </w:r>
          </w:p>
          <w:p w14:paraId="2080987F" w14:textId="77777777" w:rsidR="008600A3" w:rsidRPr="004F43A8" w:rsidRDefault="008600A3" w:rsidP="00CE58B5">
            <w:pPr>
              <w:keepNext/>
              <w:keepLines/>
              <w:rPr>
                <w:rFonts w:ascii="Arial Narrow" w:hAnsi="Arial Narrow"/>
                <w:b/>
                <w:sz w:val="20"/>
                <w:szCs w:val="20"/>
              </w:rPr>
            </w:pPr>
            <w:r w:rsidRPr="004F43A8">
              <w:rPr>
                <w:rFonts w:ascii="Arial Narrow" w:hAnsi="Arial Narrow"/>
                <w:b/>
                <w:bCs/>
                <w:sz w:val="20"/>
                <w:szCs w:val="20"/>
              </w:rPr>
              <w:t>medicinal product pack</w:t>
            </w:r>
          </w:p>
        </w:tc>
        <w:tc>
          <w:tcPr>
            <w:tcW w:w="2030" w:type="dxa"/>
            <w:vAlign w:val="center"/>
          </w:tcPr>
          <w:p w14:paraId="00671569" w14:textId="77777777" w:rsidR="008600A3" w:rsidRPr="004F43A8" w:rsidRDefault="008600A3" w:rsidP="00CE58B5">
            <w:pPr>
              <w:pStyle w:val="TableText0"/>
              <w:keepLines/>
              <w:jc w:val="center"/>
              <w:rPr>
                <w:b/>
                <w:bCs w:val="0"/>
                <w:szCs w:val="20"/>
              </w:rPr>
            </w:pPr>
            <w:r w:rsidRPr="004F43A8">
              <w:rPr>
                <w:b/>
                <w:bCs w:val="0"/>
                <w:snapToGrid w:val="0"/>
              </w:rPr>
              <w:t>Dispensed Price for Max. Qty</w:t>
            </w:r>
          </w:p>
        </w:tc>
        <w:tc>
          <w:tcPr>
            <w:tcW w:w="947" w:type="dxa"/>
            <w:vAlign w:val="center"/>
          </w:tcPr>
          <w:p w14:paraId="0DAD0562" w14:textId="77777777" w:rsidR="008600A3" w:rsidRPr="004F43A8" w:rsidRDefault="008600A3" w:rsidP="00CE58B5">
            <w:pPr>
              <w:keepNext/>
              <w:keepLines/>
              <w:jc w:val="center"/>
              <w:rPr>
                <w:rFonts w:ascii="Arial Narrow" w:hAnsi="Arial Narrow"/>
                <w:b/>
                <w:sz w:val="20"/>
                <w:szCs w:val="20"/>
              </w:rPr>
            </w:pPr>
            <w:r w:rsidRPr="004F43A8">
              <w:rPr>
                <w:rFonts w:ascii="Arial Narrow" w:hAnsi="Arial Narrow"/>
                <w:b/>
                <w:sz w:val="20"/>
                <w:szCs w:val="20"/>
              </w:rPr>
              <w:t>Max. qty packs</w:t>
            </w:r>
          </w:p>
        </w:tc>
        <w:tc>
          <w:tcPr>
            <w:tcW w:w="992" w:type="dxa"/>
            <w:vAlign w:val="center"/>
          </w:tcPr>
          <w:p w14:paraId="41B448D6" w14:textId="77777777" w:rsidR="008600A3" w:rsidRPr="004F43A8" w:rsidRDefault="008600A3" w:rsidP="00CE58B5">
            <w:pPr>
              <w:keepNext/>
              <w:keepLines/>
              <w:jc w:val="center"/>
              <w:rPr>
                <w:rFonts w:ascii="Arial Narrow" w:hAnsi="Arial Narrow"/>
                <w:b/>
                <w:sz w:val="20"/>
                <w:szCs w:val="20"/>
              </w:rPr>
            </w:pPr>
            <w:r w:rsidRPr="004F43A8">
              <w:rPr>
                <w:rFonts w:ascii="Arial Narrow" w:hAnsi="Arial Narrow"/>
                <w:b/>
                <w:sz w:val="20"/>
                <w:szCs w:val="20"/>
              </w:rPr>
              <w:t>Max. qty units</w:t>
            </w:r>
          </w:p>
        </w:tc>
        <w:tc>
          <w:tcPr>
            <w:tcW w:w="851" w:type="dxa"/>
            <w:vAlign w:val="center"/>
          </w:tcPr>
          <w:p w14:paraId="3C5AFF7B" w14:textId="77777777" w:rsidR="008600A3" w:rsidRPr="004F43A8" w:rsidRDefault="008600A3" w:rsidP="00CE58B5">
            <w:pPr>
              <w:keepNext/>
              <w:keepLines/>
              <w:jc w:val="center"/>
              <w:rPr>
                <w:rFonts w:ascii="Arial Narrow" w:hAnsi="Arial Narrow"/>
                <w:b/>
                <w:sz w:val="20"/>
                <w:szCs w:val="20"/>
              </w:rPr>
            </w:pPr>
            <w:r w:rsidRPr="004F43A8">
              <w:rPr>
                <w:rFonts w:ascii="Arial Narrow" w:hAnsi="Arial Narrow"/>
                <w:b/>
                <w:sz w:val="20"/>
                <w:szCs w:val="20"/>
              </w:rPr>
              <w:t>№.of</w:t>
            </w:r>
          </w:p>
          <w:p w14:paraId="0A07F784" w14:textId="77777777" w:rsidR="008600A3" w:rsidRPr="004F43A8" w:rsidRDefault="008600A3" w:rsidP="00CE58B5">
            <w:pPr>
              <w:keepNext/>
              <w:keepLines/>
              <w:jc w:val="center"/>
              <w:rPr>
                <w:rFonts w:ascii="Arial Narrow" w:hAnsi="Arial Narrow"/>
                <w:b/>
                <w:sz w:val="20"/>
                <w:szCs w:val="20"/>
              </w:rPr>
            </w:pPr>
            <w:r w:rsidRPr="004F43A8">
              <w:rPr>
                <w:rFonts w:ascii="Arial Narrow" w:hAnsi="Arial Narrow"/>
                <w:b/>
                <w:sz w:val="20"/>
                <w:szCs w:val="20"/>
              </w:rPr>
              <w:t>Rpts</w:t>
            </w:r>
          </w:p>
        </w:tc>
        <w:tc>
          <w:tcPr>
            <w:tcW w:w="1580" w:type="dxa"/>
            <w:vAlign w:val="center"/>
          </w:tcPr>
          <w:p w14:paraId="6EAF30A8" w14:textId="77777777" w:rsidR="008600A3" w:rsidRPr="004F43A8" w:rsidRDefault="008600A3" w:rsidP="00CE58B5">
            <w:pPr>
              <w:keepNext/>
              <w:keepLines/>
              <w:jc w:val="center"/>
              <w:rPr>
                <w:rFonts w:ascii="Arial Narrow" w:hAnsi="Arial Narrow"/>
                <w:b/>
                <w:sz w:val="20"/>
                <w:szCs w:val="20"/>
              </w:rPr>
            </w:pPr>
            <w:r w:rsidRPr="004F43A8">
              <w:rPr>
                <w:rFonts w:ascii="Arial Narrow" w:hAnsi="Arial Narrow"/>
                <w:b/>
                <w:sz w:val="20"/>
                <w:szCs w:val="20"/>
              </w:rPr>
              <w:t>Available brands</w:t>
            </w:r>
          </w:p>
        </w:tc>
      </w:tr>
      <w:tr w:rsidR="008600A3" w:rsidRPr="004F43A8" w14:paraId="68D7FC01" w14:textId="77777777" w:rsidTr="00CE58B5">
        <w:trPr>
          <w:cantSplit/>
          <w:trHeight w:val="20"/>
        </w:trPr>
        <w:tc>
          <w:tcPr>
            <w:tcW w:w="9235" w:type="dxa"/>
            <w:gridSpan w:val="6"/>
            <w:vAlign w:val="center"/>
          </w:tcPr>
          <w:p w14:paraId="2F79A5BC" w14:textId="77777777" w:rsidR="008600A3" w:rsidRPr="004F43A8" w:rsidRDefault="008600A3" w:rsidP="00CE58B5">
            <w:pPr>
              <w:pStyle w:val="TableText0"/>
              <w:keepLines/>
              <w:rPr>
                <w:rFonts w:cs="Arial"/>
                <w:szCs w:val="20"/>
              </w:rPr>
            </w:pPr>
            <w:r w:rsidRPr="004F43A8">
              <w:t>OFATUMUMAB</w:t>
            </w:r>
          </w:p>
        </w:tc>
      </w:tr>
      <w:tr w:rsidR="008600A3" w:rsidRPr="004F43A8" w14:paraId="6E24125E" w14:textId="77777777" w:rsidTr="00CE58B5">
        <w:trPr>
          <w:cantSplit/>
          <w:trHeight w:val="20"/>
        </w:trPr>
        <w:tc>
          <w:tcPr>
            <w:tcW w:w="2835" w:type="dxa"/>
          </w:tcPr>
          <w:p w14:paraId="40EBA2FB" w14:textId="77777777" w:rsidR="008600A3" w:rsidRPr="004F43A8" w:rsidRDefault="008600A3" w:rsidP="00CE58B5">
            <w:pPr>
              <w:pStyle w:val="Tabletext"/>
              <w:rPr>
                <w:szCs w:val="20"/>
              </w:rPr>
            </w:pPr>
            <w:r w:rsidRPr="004F43A8">
              <w:t>20mg/0.4ml injection (pen device), initial treatment</w:t>
            </w:r>
          </w:p>
        </w:tc>
        <w:tc>
          <w:tcPr>
            <w:tcW w:w="2030" w:type="dxa"/>
          </w:tcPr>
          <w:p w14:paraId="2AD85140" w14:textId="77777777" w:rsidR="008600A3" w:rsidRPr="004F43A8" w:rsidRDefault="008600A3" w:rsidP="00CE58B5">
            <w:pPr>
              <w:pStyle w:val="Tabletext"/>
              <w:jc w:val="center"/>
              <w:rPr>
                <w:szCs w:val="22"/>
              </w:rPr>
            </w:pPr>
            <w:r w:rsidRPr="004F43A8">
              <w:t>Published:</w:t>
            </w:r>
            <w:r w:rsidRPr="004F43A8">
              <w:rPr>
                <w:vertAlign w:val="superscript"/>
              </w:rPr>
              <w:t xml:space="preserve"> </w:t>
            </w:r>
            <w:r w:rsidRPr="004F43A8">
              <w:t>$6,337.02</w:t>
            </w:r>
          </w:p>
          <w:p w14:paraId="47B1C477" w14:textId="35223F12" w:rsidR="008600A3" w:rsidRPr="004F43A8" w:rsidRDefault="008600A3" w:rsidP="00CE58B5">
            <w:pPr>
              <w:pStyle w:val="Tabletext"/>
              <w:jc w:val="center"/>
              <w:rPr>
                <w:szCs w:val="20"/>
              </w:rPr>
            </w:pPr>
            <w:r w:rsidRPr="004F43A8">
              <w:t>Effective:</w:t>
            </w:r>
            <w:r w:rsidRPr="004F43A8">
              <w:rPr>
                <w:vertAlign w:val="superscript"/>
              </w:rPr>
              <w:t xml:space="preserve"> </w:t>
            </w:r>
            <w:r w:rsidRPr="004F43A8">
              <w:t>$</w:t>
            </w:r>
            <w:r w:rsidR="00A121F0" w:rsidRPr="00A121F0">
              <w:rPr>
                <w:rFonts w:hint="eastAsia"/>
                <w:color w:val="000000"/>
                <w:w w:val="15"/>
                <w:shd w:val="solid" w:color="000000" w:fill="000000"/>
                <w:fitText w:val="36" w:id="-962405888"/>
                <w14:textFill>
                  <w14:solidFill>
                    <w14:srgbClr w14:val="000000">
                      <w14:alpha w14:val="100000"/>
                    </w14:srgbClr>
                  </w14:solidFill>
                </w14:textFill>
              </w:rPr>
              <w:t xml:space="preserve">　</w:t>
            </w:r>
            <w:r w:rsidR="00A121F0" w:rsidRPr="00A121F0">
              <w:rPr>
                <w:color w:val="000000"/>
                <w:w w:val="15"/>
                <w:shd w:val="solid" w:color="000000" w:fill="000000"/>
                <w:fitText w:val="36" w:id="-962405888"/>
                <w14:textFill>
                  <w14:solidFill>
                    <w14:srgbClr w14:val="000000">
                      <w14:alpha w14:val="100000"/>
                    </w14:srgbClr>
                  </w14:solidFill>
                </w14:textFill>
              </w:rPr>
              <w:t>|</w:t>
            </w:r>
            <w:r w:rsidR="00A121F0" w:rsidRPr="00A121F0">
              <w:rPr>
                <w:rFonts w:hint="eastAsia"/>
                <w:color w:val="000000"/>
                <w:spacing w:val="-29"/>
                <w:w w:val="15"/>
                <w:shd w:val="solid" w:color="000000" w:fill="000000"/>
                <w:fitText w:val="36" w:id="-962405888"/>
                <w14:textFill>
                  <w14:solidFill>
                    <w14:srgbClr w14:val="000000">
                      <w14:alpha w14:val="100000"/>
                    </w14:srgbClr>
                  </w14:solidFill>
                </w14:textFill>
              </w:rPr>
              <w:t xml:space="preserve">　</w:t>
            </w:r>
          </w:p>
        </w:tc>
        <w:tc>
          <w:tcPr>
            <w:tcW w:w="947" w:type="dxa"/>
            <w:vAlign w:val="center"/>
          </w:tcPr>
          <w:p w14:paraId="09CAD643"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rPr>
              <w:t>3</w:t>
            </w:r>
          </w:p>
        </w:tc>
        <w:tc>
          <w:tcPr>
            <w:tcW w:w="992" w:type="dxa"/>
            <w:vAlign w:val="center"/>
          </w:tcPr>
          <w:p w14:paraId="458A7153"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rPr>
              <w:t>3</w:t>
            </w:r>
          </w:p>
        </w:tc>
        <w:tc>
          <w:tcPr>
            <w:tcW w:w="851" w:type="dxa"/>
            <w:vAlign w:val="center"/>
          </w:tcPr>
          <w:p w14:paraId="6B2A64B3"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rPr>
              <w:t>0</w:t>
            </w:r>
          </w:p>
        </w:tc>
        <w:tc>
          <w:tcPr>
            <w:tcW w:w="1580" w:type="dxa"/>
            <w:vAlign w:val="center"/>
          </w:tcPr>
          <w:p w14:paraId="54662847"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szCs w:val="20"/>
              </w:rPr>
              <w:t>Kesimpta</w:t>
            </w:r>
          </w:p>
        </w:tc>
      </w:tr>
      <w:tr w:rsidR="008600A3" w:rsidRPr="004F43A8" w14:paraId="5B1C8308" w14:textId="77777777" w:rsidTr="00CE58B5">
        <w:trPr>
          <w:cantSplit/>
          <w:trHeight w:val="20"/>
        </w:trPr>
        <w:tc>
          <w:tcPr>
            <w:tcW w:w="2835" w:type="dxa"/>
          </w:tcPr>
          <w:p w14:paraId="78E19389" w14:textId="77777777" w:rsidR="008600A3" w:rsidRPr="004F43A8" w:rsidRDefault="008600A3" w:rsidP="00CE58B5">
            <w:pPr>
              <w:pStyle w:val="Tabletext"/>
              <w:rPr>
                <w:szCs w:val="20"/>
              </w:rPr>
            </w:pPr>
            <w:r w:rsidRPr="004F43A8">
              <w:t>20mg/0.4ml injection (pen device), continuing treatment</w:t>
            </w:r>
          </w:p>
        </w:tc>
        <w:tc>
          <w:tcPr>
            <w:tcW w:w="2030" w:type="dxa"/>
          </w:tcPr>
          <w:p w14:paraId="00E5E47C" w14:textId="5067CAC9" w:rsidR="008600A3" w:rsidRPr="004F43A8" w:rsidRDefault="008600A3" w:rsidP="00CE58B5">
            <w:pPr>
              <w:pStyle w:val="Tabletext"/>
              <w:jc w:val="center"/>
            </w:pPr>
            <w:r w:rsidRPr="004F43A8">
              <w:t>Published:</w:t>
            </w:r>
            <w:r w:rsidRPr="00C650B4">
              <w:t xml:space="preserve"> </w:t>
            </w:r>
            <w:r w:rsidR="00C650B4" w:rsidRPr="00C650B4">
              <w:t>$</w:t>
            </w:r>
            <w:r w:rsidRPr="004F43A8">
              <w:t>2,184.33</w:t>
            </w:r>
          </w:p>
          <w:p w14:paraId="0E7B2A50" w14:textId="0C96F73C" w:rsidR="008600A3" w:rsidRPr="004F43A8" w:rsidRDefault="008600A3" w:rsidP="00CE58B5">
            <w:pPr>
              <w:pStyle w:val="Tabletext"/>
              <w:jc w:val="center"/>
              <w:rPr>
                <w:szCs w:val="20"/>
              </w:rPr>
            </w:pPr>
            <w:r w:rsidRPr="004F43A8">
              <w:t xml:space="preserve">Effective: </w:t>
            </w:r>
            <w:r w:rsidRPr="004F43A8">
              <w:rPr>
                <w:vertAlign w:val="superscript"/>
              </w:rPr>
              <w:t xml:space="preserve"> </w:t>
            </w:r>
            <w:r w:rsidRPr="004F43A8">
              <w:t>$</w:t>
            </w:r>
            <w:r w:rsidR="00A121F0" w:rsidRPr="00A121F0">
              <w:rPr>
                <w:rFonts w:hint="eastAsia"/>
                <w:color w:val="000000"/>
                <w:w w:val="15"/>
                <w:shd w:val="solid" w:color="000000" w:fill="000000"/>
                <w:fitText w:val="60" w:id="-962405887"/>
                <w14:textFill>
                  <w14:solidFill>
                    <w14:srgbClr w14:val="000000">
                      <w14:alpha w14:val="100000"/>
                    </w14:srgbClr>
                  </w14:solidFill>
                </w14:textFill>
              </w:rPr>
              <w:t xml:space="preserve">　</w:t>
            </w:r>
            <w:r w:rsidR="00A121F0" w:rsidRPr="00A121F0">
              <w:rPr>
                <w:color w:val="000000"/>
                <w:w w:val="15"/>
                <w:shd w:val="solid" w:color="000000" w:fill="000000"/>
                <w:fitText w:val="60" w:id="-962405887"/>
                <w14:textFill>
                  <w14:solidFill>
                    <w14:srgbClr w14:val="000000">
                      <w14:alpha w14:val="100000"/>
                    </w14:srgbClr>
                  </w14:solidFill>
                </w14:textFill>
              </w:rPr>
              <w:t>|</w:t>
            </w:r>
            <w:r w:rsidR="00A121F0" w:rsidRPr="00A121F0">
              <w:rPr>
                <w:rFonts w:hint="eastAsia"/>
                <w:color w:val="000000"/>
                <w:w w:val="15"/>
                <w:shd w:val="solid" w:color="000000" w:fill="000000"/>
                <w:fitText w:val="60" w:id="-962405887"/>
                <w14:textFill>
                  <w14:solidFill>
                    <w14:srgbClr w14:val="000000">
                      <w14:alpha w14:val="100000"/>
                    </w14:srgbClr>
                  </w14:solidFill>
                </w14:textFill>
              </w:rPr>
              <w:t xml:space="preserve">　</w:t>
            </w:r>
          </w:p>
        </w:tc>
        <w:tc>
          <w:tcPr>
            <w:tcW w:w="947" w:type="dxa"/>
            <w:vAlign w:val="center"/>
          </w:tcPr>
          <w:p w14:paraId="2612FA8F"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szCs w:val="20"/>
              </w:rPr>
              <w:t>1</w:t>
            </w:r>
          </w:p>
        </w:tc>
        <w:tc>
          <w:tcPr>
            <w:tcW w:w="992" w:type="dxa"/>
            <w:vAlign w:val="center"/>
          </w:tcPr>
          <w:p w14:paraId="41230778"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szCs w:val="20"/>
              </w:rPr>
              <w:t>1</w:t>
            </w:r>
          </w:p>
        </w:tc>
        <w:tc>
          <w:tcPr>
            <w:tcW w:w="851" w:type="dxa"/>
            <w:vAlign w:val="center"/>
          </w:tcPr>
          <w:p w14:paraId="77E25BAC"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szCs w:val="20"/>
              </w:rPr>
              <w:t>5</w:t>
            </w:r>
          </w:p>
        </w:tc>
        <w:tc>
          <w:tcPr>
            <w:tcW w:w="1580" w:type="dxa"/>
            <w:vAlign w:val="center"/>
          </w:tcPr>
          <w:p w14:paraId="41E3CC2C" w14:textId="77777777" w:rsidR="008600A3" w:rsidRPr="004F43A8" w:rsidRDefault="008600A3" w:rsidP="00CE58B5">
            <w:pPr>
              <w:keepNext/>
              <w:keepLines/>
              <w:jc w:val="center"/>
              <w:rPr>
                <w:rFonts w:ascii="Arial Narrow" w:hAnsi="Arial Narrow"/>
                <w:sz w:val="20"/>
                <w:szCs w:val="20"/>
              </w:rPr>
            </w:pPr>
            <w:r w:rsidRPr="004F43A8">
              <w:rPr>
                <w:rFonts w:ascii="Arial Narrow" w:hAnsi="Arial Narrow"/>
                <w:sz w:val="20"/>
                <w:szCs w:val="20"/>
              </w:rPr>
              <w:t>Kesimpta</w:t>
            </w:r>
          </w:p>
        </w:tc>
      </w:tr>
    </w:tbl>
    <w:p w14:paraId="6FDBBBF2" w14:textId="77777777" w:rsidR="008600A3" w:rsidRPr="004F43A8" w:rsidRDefault="008600A3" w:rsidP="008600A3"/>
    <w:p w14:paraId="311DB7B2" w14:textId="537118EB" w:rsidR="008600A3" w:rsidRPr="005F098D" w:rsidRDefault="008600A3" w:rsidP="00845F33">
      <w:pPr>
        <w:pStyle w:val="3-BodyText"/>
      </w:pPr>
      <w:r w:rsidRPr="004F43A8">
        <w:t>The submission proposed no change</w:t>
      </w:r>
      <w:r w:rsidR="00845F33">
        <w:t>s</w:t>
      </w:r>
      <w:r w:rsidRPr="004F43A8">
        <w:t xml:space="preserve"> to the current price or </w:t>
      </w:r>
      <w:r w:rsidRPr="005F098D">
        <w:t>PBS restriction for ofatumumab</w:t>
      </w:r>
      <w:r w:rsidR="00845F33">
        <w:t xml:space="preserve">. </w:t>
      </w:r>
    </w:p>
    <w:p w14:paraId="5C1CFCB5" w14:textId="77777777" w:rsidR="008600A3" w:rsidRPr="004F43A8" w:rsidDel="00195452" w:rsidRDefault="008600A3" w:rsidP="008600A3">
      <w:pPr>
        <w:pStyle w:val="2-SectionHeading"/>
      </w:pPr>
      <w:bookmarkStart w:id="14" w:name="_Toc156817837"/>
      <w:r w:rsidRPr="004F43A8" w:rsidDel="00195452">
        <w:t>Population and disease</w:t>
      </w:r>
      <w:bookmarkEnd w:id="14"/>
    </w:p>
    <w:p w14:paraId="5F178BCF" w14:textId="77777777" w:rsidR="008600A3" w:rsidRPr="005F098D" w:rsidRDefault="008600A3" w:rsidP="008600A3">
      <w:pPr>
        <w:pStyle w:val="3-BodyText"/>
      </w:pPr>
      <w:r w:rsidRPr="004F43A8">
        <w:t xml:space="preserve">MS is a chronic, immune-mediated disease of the central nervous system (CNS) </w:t>
      </w:r>
      <w:r w:rsidRPr="005F098D">
        <w:t>characterised by inflammation, demyelination and axonal/neuronal destruction, ultimately leading to severe disability. The symptoms of MS vary significantly across patients depending on where in the brain or spinal cord lesions develop. Symptoms can manifest in any combination of the following five major health problems: motor control, fatigue, other neurological symptoms, continence problems and neuropsychological symptoms.</w:t>
      </w:r>
    </w:p>
    <w:p w14:paraId="4229FE25" w14:textId="4F7D33BD" w:rsidR="008600A3" w:rsidRPr="005F098D" w:rsidRDefault="008600A3" w:rsidP="008600A3">
      <w:pPr>
        <w:pStyle w:val="3-BodyText"/>
      </w:pPr>
      <w:r w:rsidRPr="005F098D">
        <w:t>There are three main forms of MS</w:t>
      </w:r>
      <w:r w:rsidR="008668C8">
        <w:t>:</w:t>
      </w:r>
      <w:r w:rsidRPr="005F098D">
        <w:t xml:space="preserve"> RR</w:t>
      </w:r>
      <w:r w:rsidR="0079309E" w:rsidRPr="005F098D">
        <w:t>MS</w:t>
      </w:r>
      <w:r w:rsidR="008668C8">
        <w:t>;</w:t>
      </w:r>
      <w:r w:rsidRPr="005F098D">
        <w:t xml:space="preserve"> secondary progressive (SP)</w:t>
      </w:r>
      <w:r w:rsidR="0079309E" w:rsidRPr="005F098D">
        <w:t xml:space="preserve"> MS</w:t>
      </w:r>
      <w:r w:rsidR="008668C8">
        <w:t>;</w:t>
      </w:r>
      <w:r w:rsidRPr="005F098D">
        <w:t xml:space="preserve"> and primary progressive (PP)</w:t>
      </w:r>
      <w:r w:rsidR="0079309E" w:rsidRPr="005F098D">
        <w:t xml:space="preserve"> MS</w:t>
      </w:r>
      <w:r w:rsidRPr="005F098D">
        <w:t xml:space="preserve">. RRMS is the most common </w:t>
      </w:r>
      <w:r w:rsidRPr="004165E8">
        <w:t xml:space="preserve">type of MS and is estimated to affect 85% of newly diagnosed MS patients. </w:t>
      </w:r>
      <w:r w:rsidRPr="00CF70C8">
        <w:t>RMS is a term used to describe patients with RRMS and those with SPMS who still experience relapse events</w:t>
      </w:r>
      <w:r w:rsidRPr="005F098D">
        <w:t xml:space="preserve">. Patients with RRMS experience exacerbations (‘flare-ups’ or relapses) of symptoms, followed by remission of symptoms. Patients with RRMS typically develop irreversible disability over time. </w:t>
      </w:r>
    </w:p>
    <w:p w14:paraId="60079866" w14:textId="77777777" w:rsidR="008600A3" w:rsidRDefault="008600A3" w:rsidP="008600A3">
      <w:pPr>
        <w:pStyle w:val="3-BodyText"/>
      </w:pPr>
      <w:r w:rsidRPr="005F098D">
        <w:t>The submission did not seek to change the current clinical treatment algorithm for RRMS in Australia.</w:t>
      </w:r>
    </w:p>
    <w:p w14:paraId="26275AC9" w14:textId="1635E8EE" w:rsidR="00AE74F3" w:rsidRPr="005F098D" w:rsidRDefault="00AE74F3" w:rsidP="00F9193A">
      <w:pPr>
        <w:ind w:firstLine="709"/>
      </w:pPr>
      <w:bookmarkStart w:id="15" w:name="_Hlk76375324"/>
      <w:r w:rsidRPr="00C33D30">
        <w:rPr>
          <w:rFonts w:asciiTheme="minorHAnsi" w:hAnsiTheme="minorHAnsi"/>
          <w:i/>
        </w:rPr>
        <w:t>For more detail on PBAC’s view, see section 7 PBAC outcome.</w:t>
      </w:r>
      <w:bookmarkEnd w:id="15"/>
    </w:p>
    <w:p w14:paraId="1E6E5B6C" w14:textId="77777777" w:rsidR="008600A3" w:rsidRPr="005F098D" w:rsidRDefault="008600A3" w:rsidP="008600A3">
      <w:pPr>
        <w:pStyle w:val="2-SectionHeading"/>
      </w:pPr>
      <w:bookmarkStart w:id="16" w:name="_Toc156817838"/>
      <w:r w:rsidRPr="005F098D">
        <w:t>Comparator</w:t>
      </w:r>
      <w:bookmarkEnd w:id="16"/>
    </w:p>
    <w:p w14:paraId="0AB5F3F6" w14:textId="1113B4E0" w:rsidR="008600A3" w:rsidRPr="005F098D" w:rsidRDefault="008600A3" w:rsidP="008600A3">
      <w:pPr>
        <w:pStyle w:val="3-BodyText"/>
        <w:rPr>
          <w:snapToGrid/>
        </w:rPr>
      </w:pPr>
      <w:r w:rsidRPr="005F098D">
        <w:rPr>
          <w:snapToGrid/>
        </w:rPr>
        <w:t xml:space="preserve">The submission nominated fingolimod as the main comparator. The submission </w:t>
      </w:r>
      <w:r w:rsidR="00885D25">
        <w:rPr>
          <w:snapToGrid/>
        </w:rPr>
        <w:t>stated</w:t>
      </w:r>
      <w:r w:rsidR="008668C8" w:rsidRPr="005F098D">
        <w:rPr>
          <w:snapToGrid/>
        </w:rPr>
        <w:t xml:space="preserve"> that fingolimod </w:t>
      </w:r>
      <w:r w:rsidR="008668C8">
        <w:rPr>
          <w:snapToGrid/>
        </w:rPr>
        <w:t xml:space="preserve">would </w:t>
      </w:r>
      <w:r w:rsidR="008668C8" w:rsidRPr="005F098D">
        <w:rPr>
          <w:snapToGrid/>
        </w:rPr>
        <w:t>act as a proxy for the other DMTs proposed to make up the mid-efficacy tier (i.e. cladribine and ozanimod)</w:t>
      </w:r>
      <w:r w:rsidR="008668C8">
        <w:rPr>
          <w:snapToGrid/>
        </w:rPr>
        <w:t>, and that</w:t>
      </w:r>
      <w:r w:rsidRPr="005F098D">
        <w:rPr>
          <w:snapToGrid/>
        </w:rPr>
        <w:t xml:space="preserve"> ofatumumab </w:t>
      </w:r>
      <w:r w:rsidR="008668C8">
        <w:rPr>
          <w:snapToGrid/>
        </w:rPr>
        <w:t xml:space="preserve">would act as </w:t>
      </w:r>
      <w:r w:rsidRPr="005F098D">
        <w:rPr>
          <w:snapToGrid/>
        </w:rPr>
        <w:t>a proxy for the DMTs proposed to make up the high-efficacy tier</w:t>
      </w:r>
      <w:r w:rsidR="008668C8">
        <w:rPr>
          <w:snapToGrid/>
        </w:rPr>
        <w:t>.</w:t>
      </w:r>
      <w:r w:rsidRPr="005F098D">
        <w:rPr>
          <w:snapToGrid/>
        </w:rPr>
        <w:t xml:space="preserve"> </w:t>
      </w:r>
      <w:r w:rsidR="00885D25">
        <w:rPr>
          <w:snapToGrid/>
        </w:rPr>
        <w:t>The evaluation and ESC considered that f</w:t>
      </w:r>
      <w:r w:rsidRPr="005F098D">
        <w:rPr>
          <w:snapToGrid/>
        </w:rPr>
        <w:t xml:space="preserve">ingolimod </w:t>
      </w:r>
      <w:r w:rsidR="00E27E50" w:rsidRPr="005F098D">
        <w:rPr>
          <w:snapToGrid/>
        </w:rPr>
        <w:t xml:space="preserve">likely </w:t>
      </w:r>
      <w:r w:rsidRPr="005F098D">
        <w:rPr>
          <w:snapToGrid/>
        </w:rPr>
        <w:t>remain</w:t>
      </w:r>
      <w:r w:rsidR="00217BB1" w:rsidRPr="005F098D">
        <w:rPr>
          <w:snapToGrid/>
        </w:rPr>
        <w:t>ed</w:t>
      </w:r>
      <w:r w:rsidRPr="005F098D">
        <w:rPr>
          <w:snapToGrid/>
        </w:rPr>
        <w:t xml:space="preserve"> an appropriate comparator for ofatumumab</w:t>
      </w:r>
      <w:r w:rsidR="00217BB1" w:rsidRPr="005F098D">
        <w:rPr>
          <w:snapToGrid/>
        </w:rPr>
        <w:t>.</w:t>
      </w:r>
      <w:r w:rsidRPr="005F098D">
        <w:rPr>
          <w:snapToGrid/>
        </w:rPr>
        <w:t xml:space="preserve"> </w:t>
      </w:r>
      <w:r w:rsidR="00217BB1" w:rsidRPr="005F098D">
        <w:rPr>
          <w:snapToGrid/>
        </w:rPr>
        <w:t>H</w:t>
      </w:r>
      <w:r w:rsidRPr="005F098D">
        <w:rPr>
          <w:snapToGrid/>
        </w:rPr>
        <w:t>owever, as acknowledged by the submission, the other proposed mid-tier DMTs cladribine and ozanimod may also be considered appropriate comparators.</w:t>
      </w:r>
    </w:p>
    <w:p w14:paraId="71015C72" w14:textId="7E8EDBBF" w:rsidR="007012EF" w:rsidRDefault="008600A3" w:rsidP="00D64ECA">
      <w:pPr>
        <w:pStyle w:val="3-BodyText"/>
        <w:rPr>
          <w:snapToGrid/>
        </w:rPr>
      </w:pPr>
      <w:r w:rsidRPr="005F098D">
        <w:rPr>
          <w:snapToGrid/>
        </w:rPr>
        <w:t xml:space="preserve">The submission claimed that fingolimod </w:t>
      </w:r>
      <w:r w:rsidR="003F76AC" w:rsidRPr="005F098D">
        <w:rPr>
          <w:snapToGrid/>
        </w:rPr>
        <w:t xml:space="preserve">was nominated as the main comparator as it was </w:t>
      </w:r>
      <w:r w:rsidRPr="005F098D">
        <w:rPr>
          <w:snapToGrid/>
        </w:rPr>
        <w:t>the most commonly used treatment for RRMS in Australia. However, the October</w:t>
      </w:r>
      <w:r w:rsidR="00F9193A">
        <w:rPr>
          <w:snapToGrid/>
        </w:rPr>
        <w:t> </w:t>
      </w:r>
      <w:r w:rsidRPr="005F098D">
        <w:rPr>
          <w:snapToGrid/>
        </w:rPr>
        <w:t xml:space="preserve">2020 DUSC report of ocrelizumab for the treatment of RRMS reported that </w:t>
      </w:r>
      <w:r w:rsidRPr="005F098D">
        <w:rPr>
          <w:snapToGrid/>
        </w:rPr>
        <w:lastRenderedPageBreak/>
        <w:t>while fingolimod was the DMT used to treat the most patients with RRMS from 2012 to 2020, the number of patients receiving fingolimod was decreasing and may be overtaken by other DMTs such as ocrelizumab in subsequent years</w:t>
      </w:r>
      <w:r w:rsidR="00F67385">
        <w:t>.</w:t>
      </w:r>
    </w:p>
    <w:p w14:paraId="1C92F802" w14:textId="4BCADBCA" w:rsidR="00AE74F3" w:rsidRPr="00AE74F3" w:rsidRDefault="00AE74F3" w:rsidP="00AE74F3">
      <w:pPr>
        <w:pStyle w:val="3-BodyText"/>
        <w:numPr>
          <w:ilvl w:val="0"/>
          <w:numId w:val="0"/>
        </w:numPr>
        <w:ind w:left="720"/>
        <w:rPr>
          <w:i/>
          <w:iCs/>
          <w:snapToGrid/>
        </w:rPr>
      </w:pPr>
      <w:r w:rsidRPr="00AE74F3">
        <w:rPr>
          <w:i/>
          <w:iCs/>
          <w:snapToGrid/>
        </w:rPr>
        <w:t>For more detail on PBAC’s view, see section 7 PBAC outcome.</w:t>
      </w:r>
    </w:p>
    <w:p w14:paraId="632D1B7E" w14:textId="77777777" w:rsidR="008600A3" w:rsidRPr="005F098D" w:rsidRDefault="008600A3" w:rsidP="008600A3">
      <w:pPr>
        <w:pStyle w:val="2-SectionHeading"/>
        <w:numPr>
          <w:ilvl w:val="0"/>
          <w:numId w:val="1"/>
        </w:numPr>
      </w:pPr>
      <w:bookmarkStart w:id="17" w:name="_Toc156817839"/>
      <w:r w:rsidRPr="005F098D">
        <w:t>Consideration of the evidence</w:t>
      </w:r>
      <w:bookmarkEnd w:id="17"/>
    </w:p>
    <w:p w14:paraId="592533A1" w14:textId="77777777" w:rsidR="00AE74F3" w:rsidRPr="006E1229" w:rsidRDefault="00AE74F3" w:rsidP="00AE74F3">
      <w:pPr>
        <w:pStyle w:val="4-SubsectionHeading"/>
      </w:pPr>
      <w:bookmarkStart w:id="18" w:name="_Hlk76375935"/>
      <w:bookmarkStart w:id="19" w:name="_Toc156817840"/>
      <w:r w:rsidRPr="006E1229">
        <w:t>Sponsor hearing</w:t>
      </w:r>
    </w:p>
    <w:p w14:paraId="033A9557" w14:textId="097186DA" w:rsidR="00AE74F3" w:rsidRPr="00836F75" w:rsidRDefault="00AE74F3" w:rsidP="00AE74F3">
      <w:pPr>
        <w:widowControl w:val="0"/>
        <w:numPr>
          <w:ilvl w:val="1"/>
          <w:numId w:val="1"/>
        </w:numPr>
        <w:spacing w:after="120"/>
        <w:rPr>
          <w:rFonts w:asciiTheme="minorHAnsi" w:hAnsiTheme="minorHAnsi"/>
          <w:bCs/>
          <w:snapToGrid w:val="0"/>
        </w:rPr>
      </w:pPr>
      <w:bookmarkStart w:id="20" w:name="_Hlk76382586"/>
      <w:r w:rsidRPr="00836F75">
        <w:rPr>
          <w:rFonts w:asciiTheme="minorHAnsi" w:hAnsiTheme="minorHAnsi"/>
          <w:bCs/>
          <w:snapToGrid w:val="0"/>
        </w:rPr>
        <w:t xml:space="preserve">The sponsor requested a hearing for this item. </w:t>
      </w:r>
      <w:r w:rsidR="00885D25">
        <w:rPr>
          <w:rFonts w:asciiTheme="minorHAnsi" w:hAnsiTheme="minorHAnsi"/>
          <w:bCs/>
          <w:snapToGrid w:val="0"/>
        </w:rPr>
        <w:t>The clinician stated that the submission’s proposed high</w:t>
      </w:r>
      <w:r w:rsidR="005B331C">
        <w:rPr>
          <w:rFonts w:asciiTheme="minorHAnsi" w:hAnsiTheme="minorHAnsi"/>
          <w:bCs/>
          <w:snapToGrid w:val="0"/>
        </w:rPr>
        <w:t>-</w:t>
      </w:r>
      <w:r w:rsidR="00885D25">
        <w:rPr>
          <w:rFonts w:asciiTheme="minorHAnsi" w:hAnsiTheme="minorHAnsi"/>
          <w:bCs/>
          <w:snapToGrid w:val="0"/>
        </w:rPr>
        <w:t xml:space="preserve">efficacy tier comprised </w:t>
      </w:r>
      <w:r w:rsidR="00581D83">
        <w:rPr>
          <w:rFonts w:asciiTheme="minorHAnsi" w:hAnsiTheme="minorHAnsi"/>
          <w:bCs/>
          <w:snapToGrid w:val="0"/>
        </w:rPr>
        <w:t>monoclonal antibodies</w:t>
      </w:r>
      <w:r w:rsidR="00885D25">
        <w:rPr>
          <w:rFonts w:asciiTheme="minorHAnsi" w:hAnsiTheme="minorHAnsi"/>
          <w:bCs/>
          <w:snapToGrid w:val="0"/>
        </w:rPr>
        <w:t xml:space="preserve"> which</w:t>
      </w:r>
      <w:r w:rsidR="00885BF6">
        <w:rPr>
          <w:rFonts w:asciiTheme="minorHAnsi" w:hAnsiTheme="minorHAnsi"/>
          <w:bCs/>
          <w:snapToGrid w:val="0"/>
        </w:rPr>
        <w:t xml:space="preserve"> </w:t>
      </w:r>
      <w:r w:rsidR="00885D25">
        <w:rPr>
          <w:rFonts w:asciiTheme="minorHAnsi" w:hAnsiTheme="minorHAnsi"/>
          <w:bCs/>
          <w:snapToGrid w:val="0"/>
        </w:rPr>
        <w:t xml:space="preserve">in his clinical experience </w:t>
      </w:r>
      <w:r w:rsidR="007344F1">
        <w:rPr>
          <w:rFonts w:asciiTheme="minorHAnsi" w:hAnsiTheme="minorHAnsi"/>
          <w:bCs/>
          <w:snapToGrid w:val="0"/>
        </w:rPr>
        <w:t>eliminat</w:t>
      </w:r>
      <w:r w:rsidR="00885D25">
        <w:rPr>
          <w:rFonts w:asciiTheme="minorHAnsi" w:hAnsiTheme="minorHAnsi"/>
          <w:bCs/>
          <w:snapToGrid w:val="0"/>
        </w:rPr>
        <w:t xml:space="preserve">e relapses in </w:t>
      </w:r>
      <w:r w:rsidR="00885BF6">
        <w:rPr>
          <w:rFonts w:asciiTheme="minorHAnsi" w:hAnsiTheme="minorHAnsi"/>
          <w:bCs/>
          <w:snapToGrid w:val="0"/>
        </w:rPr>
        <w:t>most</w:t>
      </w:r>
      <w:r w:rsidR="00885D25">
        <w:rPr>
          <w:rFonts w:asciiTheme="minorHAnsi" w:hAnsiTheme="minorHAnsi"/>
          <w:bCs/>
          <w:snapToGrid w:val="0"/>
        </w:rPr>
        <w:t xml:space="preserve"> patients. Further, the clinician stated that the </w:t>
      </w:r>
      <w:r w:rsidR="005B331C">
        <w:rPr>
          <w:rFonts w:asciiTheme="minorHAnsi" w:hAnsiTheme="minorHAnsi"/>
          <w:bCs/>
          <w:snapToGrid w:val="0"/>
        </w:rPr>
        <w:t xml:space="preserve">therapies </w:t>
      </w:r>
      <w:r w:rsidR="00885BF6">
        <w:rPr>
          <w:rFonts w:asciiTheme="minorHAnsi" w:hAnsiTheme="minorHAnsi"/>
          <w:bCs/>
          <w:snapToGrid w:val="0"/>
        </w:rPr>
        <w:t xml:space="preserve">that </w:t>
      </w:r>
      <w:r w:rsidR="005B331C">
        <w:rPr>
          <w:rFonts w:asciiTheme="minorHAnsi" w:hAnsiTheme="minorHAnsi"/>
          <w:bCs/>
          <w:snapToGrid w:val="0"/>
        </w:rPr>
        <w:t xml:space="preserve">the </w:t>
      </w:r>
      <w:r w:rsidR="00885D25">
        <w:rPr>
          <w:rFonts w:asciiTheme="minorHAnsi" w:hAnsiTheme="minorHAnsi"/>
          <w:bCs/>
          <w:snapToGrid w:val="0"/>
        </w:rPr>
        <w:t>submission</w:t>
      </w:r>
      <w:r w:rsidR="005B331C">
        <w:rPr>
          <w:rFonts w:asciiTheme="minorHAnsi" w:hAnsiTheme="minorHAnsi"/>
          <w:bCs/>
          <w:snapToGrid w:val="0"/>
        </w:rPr>
        <w:t xml:space="preserve"> </w:t>
      </w:r>
      <w:r w:rsidR="00885D25">
        <w:rPr>
          <w:rFonts w:asciiTheme="minorHAnsi" w:hAnsiTheme="minorHAnsi"/>
          <w:bCs/>
          <w:snapToGrid w:val="0"/>
        </w:rPr>
        <w:t xml:space="preserve">proposed </w:t>
      </w:r>
      <w:r w:rsidR="005B331C">
        <w:rPr>
          <w:rFonts w:asciiTheme="minorHAnsi" w:hAnsiTheme="minorHAnsi"/>
          <w:bCs/>
          <w:snapToGrid w:val="0"/>
        </w:rPr>
        <w:t xml:space="preserve">for inclusion in the </w:t>
      </w:r>
      <w:r w:rsidR="00885D25">
        <w:rPr>
          <w:rFonts w:asciiTheme="minorHAnsi" w:hAnsiTheme="minorHAnsi"/>
          <w:bCs/>
          <w:snapToGrid w:val="0"/>
        </w:rPr>
        <w:t>mid</w:t>
      </w:r>
      <w:r w:rsidR="005B331C">
        <w:rPr>
          <w:rFonts w:asciiTheme="minorHAnsi" w:hAnsiTheme="minorHAnsi"/>
          <w:bCs/>
          <w:snapToGrid w:val="0"/>
        </w:rPr>
        <w:t xml:space="preserve">-efficacy </w:t>
      </w:r>
      <w:r w:rsidR="00885D25">
        <w:rPr>
          <w:rFonts w:asciiTheme="minorHAnsi" w:hAnsiTheme="minorHAnsi"/>
          <w:bCs/>
          <w:snapToGrid w:val="0"/>
        </w:rPr>
        <w:t xml:space="preserve">tier comprised oral therapies, which in his clinical experience </w:t>
      </w:r>
      <w:r w:rsidR="00885BF6">
        <w:rPr>
          <w:rFonts w:asciiTheme="minorHAnsi" w:hAnsiTheme="minorHAnsi"/>
          <w:bCs/>
          <w:snapToGrid w:val="0"/>
        </w:rPr>
        <w:t xml:space="preserve">generally </w:t>
      </w:r>
      <w:r w:rsidR="00885D25">
        <w:rPr>
          <w:rFonts w:asciiTheme="minorHAnsi" w:hAnsiTheme="minorHAnsi"/>
          <w:bCs/>
          <w:snapToGrid w:val="0"/>
        </w:rPr>
        <w:t xml:space="preserve">do not control MS to the same degree. </w:t>
      </w:r>
    </w:p>
    <w:bookmarkEnd w:id="20"/>
    <w:p w14:paraId="7C4468A7" w14:textId="77777777" w:rsidR="00AE74F3" w:rsidRPr="006E1229" w:rsidRDefault="00AE74F3" w:rsidP="00AE74F3">
      <w:pPr>
        <w:pStyle w:val="4-SubsectionHeading"/>
      </w:pPr>
      <w:r w:rsidRPr="006E1229">
        <w:t>Consumer comments</w:t>
      </w:r>
    </w:p>
    <w:p w14:paraId="7C240CC1" w14:textId="18ABD060" w:rsidR="00DD640C" w:rsidRPr="00885D25" w:rsidRDefault="00AE74F3" w:rsidP="00E17F22">
      <w:pPr>
        <w:pStyle w:val="3-BodyText"/>
      </w:pPr>
      <w:bookmarkStart w:id="21" w:name="_Hlk76382618"/>
      <w:r w:rsidRPr="00885D25">
        <w:t xml:space="preserve">The PBAC noted and welcomed the input from an organisation, MS Australia, via the Consumer Comments facility on the PBS website. </w:t>
      </w:r>
      <w:r w:rsidR="00581D83" w:rsidRPr="00D25876">
        <w:rPr>
          <w:bCs/>
        </w:rPr>
        <w:t>MS Australia</w:t>
      </w:r>
      <w:r w:rsidR="00DD640C" w:rsidRPr="00D25876">
        <w:rPr>
          <w:bCs/>
        </w:rPr>
        <w:t xml:space="preserve"> outlined the importance of </w:t>
      </w:r>
      <w:r w:rsidR="00885D25" w:rsidRPr="00D25876">
        <w:rPr>
          <w:bCs/>
        </w:rPr>
        <w:t xml:space="preserve">enabling </w:t>
      </w:r>
      <w:r w:rsidR="00DD640C" w:rsidRPr="00D25876">
        <w:rPr>
          <w:bCs/>
        </w:rPr>
        <w:t xml:space="preserve">access to a range of treatment options for </w:t>
      </w:r>
      <w:r w:rsidR="005B331C" w:rsidRPr="00D25876">
        <w:rPr>
          <w:bCs/>
        </w:rPr>
        <w:t xml:space="preserve">patients with </w:t>
      </w:r>
      <w:r w:rsidR="00DD640C" w:rsidRPr="00D25876">
        <w:rPr>
          <w:bCs/>
        </w:rPr>
        <w:t>MS given individual variability in treatment response, concomitant conditions and circumstances (including access to health services for treatment, administration and monitoring).</w:t>
      </w:r>
    </w:p>
    <w:bookmarkEnd w:id="18"/>
    <w:bookmarkEnd w:id="21"/>
    <w:p w14:paraId="54848A3D" w14:textId="6E070616" w:rsidR="008600A3" w:rsidRPr="004F43A8" w:rsidRDefault="008600A3" w:rsidP="008600A3">
      <w:pPr>
        <w:pStyle w:val="4-SubsectionHeading"/>
      </w:pPr>
      <w:r w:rsidRPr="004F43A8">
        <w:t>Clinical trials</w:t>
      </w:r>
      <w:bookmarkEnd w:id="19"/>
    </w:p>
    <w:p w14:paraId="62B605E7" w14:textId="521812CB" w:rsidR="008600A3" w:rsidRPr="00AE74F3" w:rsidRDefault="008B27B2" w:rsidP="008600A3">
      <w:pPr>
        <w:pStyle w:val="3-BodyText"/>
      </w:pPr>
      <w:r w:rsidRPr="00AE74F3">
        <w:t>N</w:t>
      </w:r>
      <w:r w:rsidR="008600A3" w:rsidRPr="00AE74F3">
        <w:t xml:space="preserve">o head-to-head randomised controlled trials (RCTs) comparing ofatumumab </w:t>
      </w:r>
      <w:r w:rsidR="00885BF6">
        <w:t>with</w:t>
      </w:r>
      <w:r w:rsidR="008600A3" w:rsidRPr="00AE74F3">
        <w:t xml:space="preserve"> fingolimod for the treatment of RRMS were available</w:t>
      </w:r>
      <w:r w:rsidRPr="00AE74F3">
        <w:t>. Instead,</w:t>
      </w:r>
      <w:r w:rsidR="008600A3" w:rsidRPr="00AE74F3">
        <w:t xml:space="preserve"> the submission </w:t>
      </w:r>
      <w:r w:rsidR="00642656" w:rsidRPr="00AE74F3">
        <w:t xml:space="preserve">was based on </w:t>
      </w:r>
      <w:r w:rsidR="008600A3" w:rsidRPr="00AE74F3">
        <w:t xml:space="preserve">indirect </w:t>
      </w:r>
      <w:r w:rsidR="00D81DCB" w:rsidRPr="00AE74F3">
        <w:t xml:space="preserve">treatment </w:t>
      </w:r>
      <w:r w:rsidR="008600A3" w:rsidRPr="00AE74F3">
        <w:t>comparison</w:t>
      </w:r>
      <w:r w:rsidR="0083664E" w:rsidRPr="00AE74F3">
        <w:t>s (ITCs)</w:t>
      </w:r>
      <w:r w:rsidR="008600A3" w:rsidRPr="00AE74F3">
        <w:t xml:space="preserve"> </w:t>
      </w:r>
      <w:r w:rsidR="00642656" w:rsidRPr="00AE74F3">
        <w:t>using</w:t>
      </w:r>
      <w:r w:rsidR="008600A3" w:rsidRPr="00AE74F3">
        <w:t>:</w:t>
      </w:r>
    </w:p>
    <w:p w14:paraId="7C0D50FF" w14:textId="77777777" w:rsidR="008600A3" w:rsidRPr="00AE74F3" w:rsidRDefault="008600A3" w:rsidP="008600A3">
      <w:pPr>
        <w:pStyle w:val="ListParagraph"/>
        <w:ind w:left="993" w:hanging="284"/>
      </w:pPr>
      <w:r w:rsidRPr="00AE74F3">
        <w:t>Two RCTs comparing ofatumumab with teriflunomide (ASCLEPIOS I and ASCLEPIOS II) and a pooled analysis of ASCLEPIOS I and II (Hauser 2020);</w:t>
      </w:r>
    </w:p>
    <w:p w14:paraId="25E93DED" w14:textId="55AA154E" w:rsidR="008600A3" w:rsidRPr="00AE74F3" w:rsidRDefault="008600A3" w:rsidP="008600A3">
      <w:pPr>
        <w:pStyle w:val="ListParagraph"/>
        <w:ind w:left="993" w:hanging="284"/>
      </w:pPr>
      <w:r w:rsidRPr="00AE74F3">
        <w:t xml:space="preserve">Two </w:t>
      </w:r>
      <w:r w:rsidR="007012EF" w:rsidRPr="00AE74F3">
        <w:t xml:space="preserve">RCTs comparing fingolimod versus </w:t>
      </w:r>
      <w:r w:rsidRPr="00AE74F3">
        <w:t xml:space="preserve">placebo (FREEDOMS I and FREEDOMS II) and one </w:t>
      </w:r>
      <w:r w:rsidR="007012EF" w:rsidRPr="00AE74F3">
        <w:t xml:space="preserve">versus </w:t>
      </w:r>
      <w:r w:rsidRPr="00AE74F3">
        <w:t>interferon beta-1a (TRANSFORMS); and</w:t>
      </w:r>
    </w:p>
    <w:p w14:paraId="7FF9672A" w14:textId="790036DC" w:rsidR="008600A3" w:rsidRPr="00AE74F3" w:rsidRDefault="008600A3" w:rsidP="008600A3">
      <w:pPr>
        <w:pStyle w:val="ListParagraph"/>
        <w:ind w:left="993" w:hanging="284"/>
      </w:pPr>
      <w:r w:rsidRPr="00AE74F3">
        <w:t xml:space="preserve">Two </w:t>
      </w:r>
      <w:r w:rsidR="007012EF" w:rsidRPr="00AE74F3">
        <w:t xml:space="preserve">RCTs comparing </w:t>
      </w:r>
      <w:r w:rsidRPr="00AE74F3">
        <w:t xml:space="preserve">teriflunomide </w:t>
      </w:r>
      <w:r w:rsidR="007012EF" w:rsidRPr="00AE74F3">
        <w:t xml:space="preserve">and </w:t>
      </w:r>
      <w:r w:rsidRPr="00AE74F3">
        <w:t>placebo (TEMSO and TOWER).</w:t>
      </w:r>
    </w:p>
    <w:p w14:paraId="19C197C6" w14:textId="29F5FFDC" w:rsidR="00636DB1" w:rsidRPr="00AE74F3" w:rsidRDefault="008600A3" w:rsidP="00636DB1">
      <w:pPr>
        <w:pStyle w:val="3-BodyText"/>
      </w:pPr>
      <w:r w:rsidRPr="00AE74F3">
        <w:t xml:space="preserve">These trials allowed a two-step </w:t>
      </w:r>
      <w:r w:rsidR="0083664E" w:rsidRPr="00AE74F3">
        <w:t xml:space="preserve">ITC </w:t>
      </w:r>
      <w:r w:rsidR="007012EF" w:rsidRPr="00AE74F3">
        <w:t xml:space="preserve">to be conducted </w:t>
      </w:r>
      <w:r w:rsidRPr="00AE74F3">
        <w:t xml:space="preserve">between ofatumumab and fingolimod </w:t>
      </w:r>
      <w:r w:rsidR="00D964DF" w:rsidRPr="00AE74F3">
        <w:t xml:space="preserve">using the Bucher method </w:t>
      </w:r>
      <w:r w:rsidR="00172151">
        <w:t>with</w:t>
      </w:r>
      <w:r w:rsidRPr="00AE74F3">
        <w:t xml:space="preserve"> </w:t>
      </w:r>
      <w:r w:rsidR="00636DB1" w:rsidRPr="00AE74F3">
        <w:t>teriflunomide and placebo as the common comparators</w:t>
      </w:r>
      <w:r w:rsidR="008B27B2" w:rsidRPr="00AE74F3">
        <w:t xml:space="preserve"> and</w:t>
      </w:r>
      <w:r w:rsidR="00636DB1" w:rsidRPr="00AE74F3">
        <w:t xml:space="preserve"> </w:t>
      </w:r>
      <w:r w:rsidRPr="00AE74F3">
        <w:t>TEMSO and TOWER as bridging trials.</w:t>
      </w:r>
      <w:r w:rsidR="00C33FA4" w:rsidRPr="00AE74F3">
        <w:t xml:space="preserve"> </w:t>
      </w:r>
      <w:r w:rsidR="00636DB1" w:rsidRPr="00AE74F3">
        <w:t>The PBAC</w:t>
      </w:r>
      <w:r w:rsidR="00E711BD" w:rsidRPr="00AE74F3">
        <w:t xml:space="preserve"> ha</w:t>
      </w:r>
      <w:r w:rsidR="00172151">
        <w:t>d</w:t>
      </w:r>
      <w:r w:rsidR="00636DB1" w:rsidRPr="00AE74F3">
        <w:t xml:space="preserve"> previously considered all the included trials in the March 2021 ofatumumab submission</w:t>
      </w:r>
      <w:r w:rsidR="00373896" w:rsidRPr="00AE74F3">
        <w:t xml:space="preserve">, </w:t>
      </w:r>
      <w:r w:rsidR="00E711BD" w:rsidRPr="00AE74F3">
        <w:t xml:space="preserve">as well as </w:t>
      </w:r>
      <w:r w:rsidR="00373896" w:rsidRPr="00AE74F3">
        <w:t xml:space="preserve">the results from this specific two-step </w:t>
      </w:r>
      <w:r w:rsidR="0083664E" w:rsidRPr="00AE74F3">
        <w:t>ITC</w:t>
      </w:r>
      <w:r w:rsidR="00373896" w:rsidRPr="00AE74F3">
        <w:t xml:space="preserve">. </w:t>
      </w:r>
    </w:p>
    <w:p w14:paraId="17DCCA26" w14:textId="0095DA87" w:rsidR="004D5C53" w:rsidRPr="00AE74F3" w:rsidRDefault="004D5C53" w:rsidP="008600A3">
      <w:pPr>
        <w:pStyle w:val="3-BodyText"/>
      </w:pPr>
      <w:r w:rsidRPr="00AE74F3">
        <w:t xml:space="preserve">Additionally, </w:t>
      </w:r>
      <w:r w:rsidR="00E66FF5" w:rsidRPr="00AE74F3">
        <w:t xml:space="preserve">an </w:t>
      </w:r>
      <w:r w:rsidR="009D60EE" w:rsidRPr="00AE74F3">
        <w:t xml:space="preserve">inverse propensity treatment weighted (IPTW) comparison and a simulated treatment comparison (STC) </w:t>
      </w:r>
      <w:r w:rsidR="00C33FA4" w:rsidRPr="00AE74F3">
        <w:t xml:space="preserve">were presented. </w:t>
      </w:r>
      <w:r w:rsidR="00373896" w:rsidRPr="00AE74F3">
        <w:t>These ha</w:t>
      </w:r>
      <w:r w:rsidR="008E00E5">
        <w:t>d</w:t>
      </w:r>
      <w:r w:rsidR="00373896" w:rsidRPr="00AE74F3">
        <w:t xml:space="preserve"> not </w:t>
      </w:r>
      <w:r w:rsidR="008E00E5" w:rsidRPr="00AE74F3">
        <w:t xml:space="preserve">previously </w:t>
      </w:r>
      <w:r w:rsidR="00373896" w:rsidRPr="00AE74F3">
        <w:t xml:space="preserve">been considered by the PBAC. </w:t>
      </w:r>
    </w:p>
    <w:p w14:paraId="48E9480E" w14:textId="61136524" w:rsidR="008600A3" w:rsidRPr="00AE74F3" w:rsidRDefault="008600A3" w:rsidP="008600A3">
      <w:pPr>
        <w:pStyle w:val="3-BodyText"/>
      </w:pPr>
      <w:r w:rsidRPr="00AE74F3">
        <w:rPr>
          <w:snapToGrid/>
        </w:rPr>
        <w:lastRenderedPageBreak/>
        <w:t>Details of the trials presented in the submission are provided in</w:t>
      </w:r>
      <w:r w:rsidR="00D6277C" w:rsidRPr="00AE74F3">
        <w:rPr>
          <w:snapToGrid/>
        </w:rPr>
        <w:t xml:space="preserve"> </w:t>
      </w:r>
      <w:r w:rsidR="00D6277C" w:rsidRPr="00AE74F3">
        <w:rPr>
          <w:snapToGrid/>
        </w:rPr>
        <w:fldChar w:fldCharType="begin" w:fldLock="1"/>
      </w:r>
      <w:r w:rsidR="00D6277C" w:rsidRPr="00AE74F3">
        <w:rPr>
          <w:snapToGrid/>
        </w:rPr>
        <w:instrText xml:space="preserve"> REF _Ref159924575 \h </w:instrText>
      </w:r>
      <w:r w:rsidR="00AE74F3" w:rsidRPr="00AE74F3">
        <w:rPr>
          <w:snapToGrid/>
        </w:rPr>
        <w:instrText xml:space="preserve"> \* MERGEFORMAT </w:instrText>
      </w:r>
      <w:r w:rsidR="00D6277C" w:rsidRPr="00AE74F3">
        <w:rPr>
          <w:snapToGrid/>
        </w:rPr>
      </w:r>
      <w:r w:rsidR="00D6277C" w:rsidRPr="00AE74F3">
        <w:rPr>
          <w:snapToGrid/>
        </w:rPr>
        <w:fldChar w:fldCharType="separate"/>
      </w:r>
      <w:r w:rsidR="00416916" w:rsidRPr="00AE74F3">
        <w:t xml:space="preserve">Table </w:t>
      </w:r>
      <w:r w:rsidR="00416916">
        <w:rPr>
          <w:noProof/>
        </w:rPr>
        <w:t>2</w:t>
      </w:r>
      <w:r w:rsidR="00D6277C" w:rsidRPr="00AE74F3">
        <w:rPr>
          <w:snapToGrid/>
        </w:rPr>
        <w:fldChar w:fldCharType="end"/>
      </w:r>
      <w:r w:rsidRPr="00AE74F3">
        <w:rPr>
          <w:snapToGrid/>
        </w:rPr>
        <w:t>.</w:t>
      </w:r>
    </w:p>
    <w:p w14:paraId="387E27F7" w14:textId="6191557A" w:rsidR="008600A3" w:rsidRPr="00AE74F3" w:rsidRDefault="008600A3" w:rsidP="00373896">
      <w:pPr>
        <w:pStyle w:val="PbacTableHeading"/>
        <w:keepNext/>
        <w:keepLines/>
        <w:spacing w:after="0"/>
        <w:rPr>
          <w:rStyle w:val="CommentReference"/>
          <w:b/>
          <w:szCs w:val="20"/>
        </w:rPr>
      </w:pPr>
      <w:bookmarkStart w:id="22" w:name="_Ref159924575"/>
      <w:r w:rsidRPr="00AE74F3">
        <w:t xml:space="preserve">Table </w:t>
      </w:r>
      <w:r w:rsidR="002943DF">
        <w:fldChar w:fldCharType="begin" w:fldLock="1"/>
      </w:r>
      <w:r w:rsidR="002943DF">
        <w:instrText xml:space="preserve"> SEQ Table \* ARABIC </w:instrText>
      </w:r>
      <w:r w:rsidR="002943DF">
        <w:fldChar w:fldCharType="separate"/>
      </w:r>
      <w:r w:rsidR="00416916">
        <w:rPr>
          <w:noProof/>
        </w:rPr>
        <w:t>2</w:t>
      </w:r>
      <w:r w:rsidR="002943DF">
        <w:rPr>
          <w:noProof/>
        </w:rPr>
        <w:fldChar w:fldCharType="end"/>
      </w:r>
      <w:bookmarkEnd w:id="22"/>
      <w:r w:rsidRPr="00AE74F3">
        <w:t>:</w:t>
      </w:r>
      <w:r w:rsidRPr="00AE74F3">
        <w:rPr>
          <w:rStyle w:val="CommentReference"/>
          <w:b/>
          <w:szCs w:val="20"/>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71"/>
        <w:gridCol w:w="6105"/>
        <w:gridCol w:w="1641"/>
      </w:tblGrid>
      <w:tr w:rsidR="008600A3" w:rsidRPr="00AE74F3" w14:paraId="0990078B" w14:textId="77777777" w:rsidTr="00C35617">
        <w:trPr>
          <w:tblHeader/>
        </w:trPr>
        <w:tc>
          <w:tcPr>
            <w:tcW w:w="705" w:type="pct"/>
            <w:tcBorders>
              <w:top w:val="single" w:sz="4" w:space="0" w:color="auto"/>
              <w:left w:val="single" w:sz="4" w:space="0" w:color="auto"/>
              <w:bottom w:val="single" w:sz="4" w:space="0" w:color="auto"/>
              <w:right w:val="single" w:sz="4" w:space="0" w:color="auto"/>
            </w:tcBorders>
            <w:vAlign w:val="center"/>
            <w:hideMark/>
          </w:tcPr>
          <w:p w14:paraId="5ACFF144" w14:textId="77777777" w:rsidR="008600A3" w:rsidRPr="00AE74F3" w:rsidRDefault="008600A3" w:rsidP="00373896">
            <w:pPr>
              <w:pStyle w:val="Tabletext"/>
              <w:keepNext/>
              <w:keepLines/>
              <w:rPr>
                <w:b/>
                <w:szCs w:val="22"/>
              </w:rPr>
            </w:pPr>
            <w:r w:rsidRPr="00AE74F3">
              <w:rPr>
                <w:b/>
              </w:rPr>
              <w:t>Trial ID</w:t>
            </w:r>
          </w:p>
        </w:tc>
        <w:tc>
          <w:tcPr>
            <w:tcW w:w="3385" w:type="pct"/>
            <w:tcBorders>
              <w:top w:val="single" w:sz="4" w:space="0" w:color="auto"/>
              <w:left w:val="single" w:sz="4" w:space="0" w:color="auto"/>
              <w:bottom w:val="single" w:sz="4" w:space="0" w:color="auto"/>
              <w:right w:val="single" w:sz="4" w:space="0" w:color="auto"/>
            </w:tcBorders>
            <w:vAlign w:val="center"/>
            <w:hideMark/>
          </w:tcPr>
          <w:p w14:paraId="7667A2EE" w14:textId="77777777" w:rsidR="008600A3" w:rsidRPr="00AE74F3" w:rsidRDefault="008600A3" w:rsidP="00373896">
            <w:pPr>
              <w:pStyle w:val="Tabletext"/>
              <w:keepNext/>
              <w:keepLines/>
              <w:rPr>
                <w:b/>
              </w:rPr>
            </w:pPr>
            <w:r w:rsidRPr="00AE74F3">
              <w:rPr>
                <w:b/>
              </w:rPr>
              <w:t>Protocol title/ Publication title</w:t>
            </w:r>
          </w:p>
        </w:tc>
        <w:tc>
          <w:tcPr>
            <w:tcW w:w="910" w:type="pct"/>
            <w:tcBorders>
              <w:top w:val="single" w:sz="4" w:space="0" w:color="auto"/>
              <w:left w:val="single" w:sz="4" w:space="0" w:color="auto"/>
              <w:bottom w:val="single" w:sz="4" w:space="0" w:color="auto"/>
              <w:right w:val="single" w:sz="4" w:space="0" w:color="auto"/>
            </w:tcBorders>
            <w:vAlign w:val="center"/>
            <w:hideMark/>
          </w:tcPr>
          <w:p w14:paraId="00E26D84" w14:textId="77777777" w:rsidR="008600A3" w:rsidRPr="00AE74F3" w:rsidRDefault="008600A3" w:rsidP="00373896">
            <w:pPr>
              <w:pStyle w:val="Tabletext"/>
              <w:keepNext/>
              <w:keepLines/>
              <w:rPr>
                <w:b/>
              </w:rPr>
            </w:pPr>
            <w:r w:rsidRPr="00AE74F3">
              <w:rPr>
                <w:b/>
              </w:rPr>
              <w:t>Publication citation</w:t>
            </w:r>
          </w:p>
        </w:tc>
      </w:tr>
      <w:tr w:rsidR="008600A3" w:rsidRPr="00AE74F3" w14:paraId="03CCB38D" w14:textId="77777777" w:rsidTr="00373896">
        <w:tc>
          <w:tcPr>
            <w:tcW w:w="500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7E27E0" w14:textId="77777777" w:rsidR="008600A3" w:rsidRPr="00AE74F3" w:rsidRDefault="008600A3" w:rsidP="00373896">
            <w:pPr>
              <w:pStyle w:val="Tabletext"/>
              <w:keepNext/>
              <w:keepLines/>
              <w:rPr>
                <w:b/>
              </w:rPr>
            </w:pPr>
            <w:r w:rsidRPr="00AE74F3">
              <w:rPr>
                <w:b/>
              </w:rPr>
              <w:t>Ofatumumab</w:t>
            </w:r>
          </w:p>
        </w:tc>
      </w:tr>
      <w:tr w:rsidR="008600A3" w:rsidRPr="00AE74F3" w14:paraId="7D16E7DD" w14:textId="77777777" w:rsidTr="00C35617">
        <w:tc>
          <w:tcPr>
            <w:tcW w:w="705" w:type="pct"/>
            <w:tcBorders>
              <w:top w:val="single" w:sz="4" w:space="0" w:color="auto"/>
              <w:left w:val="single" w:sz="4" w:space="0" w:color="auto"/>
              <w:bottom w:val="nil"/>
              <w:right w:val="single" w:sz="4" w:space="0" w:color="auto"/>
            </w:tcBorders>
            <w:shd w:val="clear" w:color="auto" w:fill="DBE5F1" w:themeFill="accent1" w:themeFillTint="33"/>
            <w:vAlign w:val="center"/>
          </w:tcPr>
          <w:p w14:paraId="5F10EB22" w14:textId="77777777" w:rsidR="008600A3" w:rsidRPr="00AE74F3" w:rsidRDefault="008600A3" w:rsidP="00373896">
            <w:pPr>
              <w:pStyle w:val="Tabletext"/>
              <w:keepNext/>
              <w:keepLines/>
              <w:rPr>
                <w:rFonts w:ascii="Times" w:hAnsi="Times"/>
              </w:rPr>
            </w:pPr>
          </w:p>
        </w:tc>
        <w:tc>
          <w:tcPr>
            <w:tcW w:w="3385"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2719590F" w14:textId="77777777" w:rsidR="008600A3" w:rsidRPr="00AE74F3" w:rsidRDefault="008600A3" w:rsidP="00373896">
            <w:pPr>
              <w:pStyle w:val="Tabletext"/>
              <w:keepNext/>
              <w:keepLines/>
              <w:rPr>
                <w:szCs w:val="18"/>
              </w:rPr>
            </w:pPr>
            <w:r w:rsidRPr="00AE74F3">
              <w:rPr>
                <w:szCs w:val="18"/>
              </w:rPr>
              <w:t>COMB157G2301. A randomized, double-blind, double-dummy, parallel-group study comparing the efficacy and safety of ofatumumab versus teriflunomide in patients with relapsing multiple sclerosis (ASCLEPIOS I).</w:t>
            </w:r>
          </w:p>
        </w:tc>
        <w:tc>
          <w:tcPr>
            <w:tcW w:w="910"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127A68E6" w14:textId="77777777" w:rsidR="008600A3" w:rsidRPr="00AE74F3" w:rsidRDefault="008600A3" w:rsidP="00373896">
            <w:pPr>
              <w:pStyle w:val="Tabletext"/>
              <w:keepNext/>
              <w:keepLines/>
              <w:rPr>
                <w:rFonts w:ascii="Times" w:hAnsi="Times"/>
                <w:szCs w:val="22"/>
              </w:rPr>
            </w:pPr>
            <w:r w:rsidRPr="00AE74F3">
              <w:rPr>
                <w:szCs w:val="18"/>
              </w:rPr>
              <w:t>December 2019</w:t>
            </w:r>
          </w:p>
        </w:tc>
      </w:tr>
      <w:tr w:rsidR="008600A3" w:rsidRPr="00AE74F3" w14:paraId="3384E003" w14:textId="77777777" w:rsidTr="00C35617">
        <w:tc>
          <w:tcPr>
            <w:tcW w:w="705" w:type="pct"/>
            <w:tcBorders>
              <w:top w:val="nil"/>
              <w:left w:val="single" w:sz="4" w:space="0" w:color="auto"/>
              <w:bottom w:val="nil"/>
              <w:right w:val="single" w:sz="4" w:space="0" w:color="auto"/>
            </w:tcBorders>
            <w:shd w:val="clear" w:color="auto" w:fill="DBE5F1" w:themeFill="accent1" w:themeFillTint="33"/>
            <w:vAlign w:val="center"/>
            <w:hideMark/>
          </w:tcPr>
          <w:p w14:paraId="72C9FED8" w14:textId="77777777" w:rsidR="008600A3" w:rsidRPr="00AE74F3" w:rsidRDefault="008600A3" w:rsidP="00373896">
            <w:pPr>
              <w:pStyle w:val="Tabletext"/>
              <w:keepNext/>
              <w:keepLines/>
            </w:pPr>
            <w:r w:rsidRPr="00AE74F3">
              <w:t>ASCLEPIOSI/II</w:t>
            </w:r>
          </w:p>
        </w:tc>
        <w:tc>
          <w:tcPr>
            <w:tcW w:w="3385" w:type="pct"/>
            <w:tcBorders>
              <w:top w:val="nil"/>
              <w:left w:val="single" w:sz="4" w:space="0" w:color="auto"/>
              <w:bottom w:val="nil"/>
              <w:right w:val="single" w:sz="4" w:space="0" w:color="auto"/>
            </w:tcBorders>
            <w:shd w:val="clear" w:color="auto" w:fill="DBE5F1" w:themeFill="accent1" w:themeFillTint="33"/>
            <w:vAlign w:val="center"/>
            <w:hideMark/>
          </w:tcPr>
          <w:p w14:paraId="4A42A485" w14:textId="77777777" w:rsidR="008600A3" w:rsidRPr="00AE74F3" w:rsidRDefault="008600A3" w:rsidP="00373896">
            <w:pPr>
              <w:pStyle w:val="Tabletext"/>
              <w:keepNext/>
              <w:keepLines/>
              <w:rPr>
                <w:szCs w:val="18"/>
              </w:rPr>
            </w:pPr>
            <w:r w:rsidRPr="00AE74F3">
              <w:rPr>
                <w:szCs w:val="18"/>
              </w:rPr>
              <w:t>COMB157G2302. A randomized, double-blind, double-dummy, parallel-group study comparing the efficacy and safety of ofatumumab versus teriflunomide in patients with relapsing multiple sclerosis (ASCLEPIOS II)</w:t>
            </w:r>
          </w:p>
        </w:tc>
        <w:tc>
          <w:tcPr>
            <w:tcW w:w="910" w:type="pct"/>
            <w:tcBorders>
              <w:top w:val="nil"/>
              <w:left w:val="single" w:sz="4" w:space="0" w:color="auto"/>
              <w:bottom w:val="nil"/>
              <w:right w:val="single" w:sz="4" w:space="0" w:color="auto"/>
            </w:tcBorders>
            <w:shd w:val="clear" w:color="auto" w:fill="DBE5F1" w:themeFill="accent1" w:themeFillTint="33"/>
            <w:vAlign w:val="center"/>
            <w:hideMark/>
          </w:tcPr>
          <w:p w14:paraId="79AE6C7D" w14:textId="77777777" w:rsidR="008600A3" w:rsidRPr="00AE74F3" w:rsidRDefault="008600A3" w:rsidP="00373896">
            <w:pPr>
              <w:pStyle w:val="Tabletext"/>
              <w:keepNext/>
              <w:keepLines/>
              <w:rPr>
                <w:szCs w:val="18"/>
              </w:rPr>
            </w:pPr>
            <w:r w:rsidRPr="00AE74F3">
              <w:rPr>
                <w:szCs w:val="18"/>
              </w:rPr>
              <w:t>December 2019</w:t>
            </w:r>
          </w:p>
        </w:tc>
      </w:tr>
      <w:tr w:rsidR="008600A3" w:rsidRPr="00AE74F3" w14:paraId="01B99FA5" w14:textId="77777777" w:rsidTr="00C35617">
        <w:tc>
          <w:tcPr>
            <w:tcW w:w="705" w:type="pct"/>
            <w:tcBorders>
              <w:top w:val="nil"/>
              <w:left w:val="single" w:sz="4" w:space="0" w:color="auto"/>
              <w:bottom w:val="nil"/>
              <w:right w:val="single" w:sz="4" w:space="0" w:color="auto"/>
            </w:tcBorders>
            <w:shd w:val="clear" w:color="auto" w:fill="DBE5F1" w:themeFill="accent1" w:themeFillTint="33"/>
            <w:vAlign w:val="center"/>
          </w:tcPr>
          <w:p w14:paraId="0B929C73" w14:textId="77777777" w:rsidR="008600A3" w:rsidRPr="00AE74F3" w:rsidRDefault="008600A3" w:rsidP="00373896">
            <w:pPr>
              <w:pStyle w:val="Tabletext"/>
              <w:keepNext/>
              <w:keepLines/>
              <w:rPr>
                <w:szCs w:val="22"/>
                <w:lang w:eastAsia="en-US"/>
              </w:rPr>
            </w:pPr>
          </w:p>
        </w:tc>
        <w:tc>
          <w:tcPr>
            <w:tcW w:w="3385" w:type="pct"/>
            <w:tcBorders>
              <w:top w:val="nil"/>
              <w:left w:val="single" w:sz="4" w:space="0" w:color="auto"/>
              <w:bottom w:val="nil"/>
              <w:right w:val="single" w:sz="4" w:space="0" w:color="auto"/>
            </w:tcBorders>
            <w:shd w:val="clear" w:color="auto" w:fill="DBE5F1" w:themeFill="accent1" w:themeFillTint="33"/>
            <w:vAlign w:val="center"/>
          </w:tcPr>
          <w:p w14:paraId="12889496" w14:textId="77777777" w:rsidR="008600A3" w:rsidRPr="00AE74F3" w:rsidRDefault="008600A3" w:rsidP="00373896">
            <w:pPr>
              <w:pStyle w:val="Tabletext"/>
              <w:keepNext/>
              <w:keepLines/>
              <w:rPr>
                <w:rFonts w:cs="Segoe UI"/>
              </w:rPr>
            </w:pPr>
            <w:r w:rsidRPr="00AE74F3">
              <w:rPr>
                <w:rFonts w:cs="Segoe UI"/>
              </w:rPr>
              <w:t>COMB157G2301: A randomized, double-blind, double-dummy, parallel-group study comparing the efficacy and safety of ofatumumab versus teriflunomide in patients with relapsing multiple sclerosis (ASCLEPIOS I/II)</w:t>
            </w:r>
          </w:p>
        </w:tc>
        <w:tc>
          <w:tcPr>
            <w:tcW w:w="910" w:type="pct"/>
            <w:tcBorders>
              <w:top w:val="nil"/>
              <w:left w:val="single" w:sz="4" w:space="0" w:color="auto"/>
              <w:bottom w:val="nil"/>
              <w:right w:val="single" w:sz="4" w:space="0" w:color="auto"/>
            </w:tcBorders>
            <w:shd w:val="clear" w:color="auto" w:fill="DBE5F1" w:themeFill="accent1" w:themeFillTint="33"/>
            <w:vAlign w:val="center"/>
          </w:tcPr>
          <w:p w14:paraId="1CB909CC" w14:textId="77777777" w:rsidR="008600A3" w:rsidRPr="00AE74F3" w:rsidRDefault="008600A3" w:rsidP="00373896">
            <w:pPr>
              <w:pStyle w:val="Tabletext"/>
              <w:keepNext/>
              <w:keepLines/>
              <w:rPr>
                <w:szCs w:val="18"/>
              </w:rPr>
            </w:pPr>
            <w:r w:rsidRPr="00AE74F3">
              <w:rPr>
                <w:szCs w:val="18"/>
              </w:rPr>
              <w:t>NR</w:t>
            </w:r>
          </w:p>
        </w:tc>
      </w:tr>
      <w:tr w:rsidR="008600A3" w:rsidRPr="00AE74F3" w14:paraId="274FAC25" w14:textId="77777777" w:rsidTr="00C35617">
        <w:tc>
          <w:tcPr>
            <w:tcW w:w="705"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492E29D3" w14:textId="77777777" w:rsidR="008600A3" w:rsidRPr="00AE74F3" w:rsidRDefault="008600A3" w:rsidP="00373896">
            <w:pPr>
              <w:pStyle w:val="Tabletext"/>
              <w:keepNext/>
              <w:keepLines/>
              <w:rPr>
                <w:szCs w:val="22"/>
                <w:lang w:eastAsia="en-US"/>
              </w:rPr>
            </w:pPr>
          </w:p>
        </w:tc>
        <w:tc>
          <w:tcPr>
            <w:tcW w:w="3385"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B0755EE" w14:textId="77777777" w:rsidR="008600A3" w:rsidRPr="00AE74F3" w:rsidRDefault="008600A3" w:rsidP="00373896">
            <w:pPr>
              <w:pStyle w:val="Tabletext"/>
              <w:keepNext/>
              <w:keepLines/>
              <w:rPr>
                <w:szCs w:val="18"/>
              </w:rPr>
            </w:pPr>
            <w:r w:rsidRPr="00AE74F3">
              <w:rPr>
                <w:rFonts w:cs="Segoe UI"/>
              </w:rPr>
              <w:t xml:space="preserve">Hauser, S. L., et al. Ofatumumab versus Teriflunomide in Multiple Sclerosis. </w:t>
            </w:r>
          </w:p>
        </w:tc>
        <w:tc>
          <w:tcPr>
            <w:tcW w:w="91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3784083" w14:textId="77777777" w:rsidR="008600A3" w:rsidRPr="00AE74F3" w:rsidRDefault="008600A3" w:rsidP="00373896">
            <w:pPr>
              <w:pStyle w:val="Tabletext"/>
              <w:keepNext/>
              <w:keepLines/>
              <w:rPr>
                <w:szCs w:val="18"/>
              </w:rPr>
            </w:pPr>
            <w:r w:rsidRPr="00AE74F3">
              <w:rPr>
                <w:szCs w:val="18"/>
              </w:rPr>
              <w:t>NEJM. 2020; 383(6): 546-557</w:t>
            </w:r>
          </w:p>
        </w:tc>
      </w:tr>
      <w:tr w:rsidR="008600A3" w:rsidRPr="00AE74F3" w14:paraId="7969F639" w14:textId="77777777" w:rsidTr="00C35617">
        <w:tc>
          <w:tcPr>
            <w:tcW w:w="705" w:type="pct"/>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368BD704" w14:textId="77777777" w:rsidR="008600A3" w:rsidRPr="00AE74F3" w:rsidRDefault="008600A3" w:rsidP="00373896">
            <w:pPr>
              <w:pStyle w:val="Tabletext"/>
              <w:keepNext/>
              <w:keepLines/>
              <w:rPr>
                <w:b/>
                <w:bCs/>
              </w:rPr>
            </w:pPr>
            <w:r w:rsidRPr="00AE74F3">
              <w:rPr>
                <w:b/>
                <w:bCs/>
              </w:rPr>
              <w:t>Fingolimod</w:t>
            </w:r>
          </w:p>
        </w:tc>
        <w:tc>
          <w:tcPr>
            <w:tcW w:w="3385" w:type="pct"/>
            <w:tcBorders>
              <w:top w:val="single" w:sz="4" w:space="0" w:color="auto"/>
              <w:left w:val="nil"/>
              <w:bottom w:val="single" w:sz="4" w:space="0" w:color="auto"/>
              <w:right w:val="nil"/>
            </w:tcBorders>
            <w:shd w:val="clear" w:color="auto" w:fill="DBE5F1" w:themeFill="accent1" w:themeFillTint="33"/>
            <w:vAlign w:val="center"/>
          </w:tcPr>
          <w:p w14:paraId="2DC48A8C" w14:textId="77777777" w:rsidR="008600A3" w:rsidRPr="00AE74F3" w:rsidRDefault="008600A3" w:rsidP="00373896">
            <w:pPr>
              <w:pStyle w:val="Tabletext"/>
              <w:keepNext/>
              <w:keepLines/>
              <w:rPr>
                <w:b/>
                <w:bCs/>
                <w:szCs w:val="18"/>
              </w:rPr>
            </w:pPr>
          </w:p>
        </w:tc>
        <w:tc>
          <w:tcPr>
            <w:tcW w:w="91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6803EB62" w14:textId="77777777" w:rsidR="008600A3" w:rsidRPr="00AE74F3" w:rsidRDefault="008600A3" w:rsidP="00373896">
            <w:pPr>
              <w:pStyle w:val="Tabletext"/>
              <w:keepNext/>
              <w:keepLines/>
              <w:rPr>
                <w:b/>
                <w:bCs/>
                <w:szCs w:val="22"/>
              </w:rPr>
            </w:pPr>
          </w:p>
        </w:tc>
      </w:tr>
      <w:tr w:rsidR="008600A3" w:rsidRPr="00AE74F3" w14:paraId="5B1B097F" w14:textId="77777777" w:rsidTr="00C35617">
        <w:tc>
          <w:tcPr>
            <w:tcW w:w="705"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7117F0ED" w14:textId="77777777" w:rsidR="008600A3" w:rsidRPr="00AE74F3" w:rsidRDefault="008600A3" w:rsidP="00373896">
            <w:pPr>
              <w:pStyle w:val="Tabletext"/>
              <w:keepNext/>
              <w:keepLines/>
            </w:pPr>
            <w:r w:rsidRPr="00AE74F3">
              <w:t>FREEDOMS I</w:t>
            </w:r>
          </w:p>
        </w:tc>
        <w:tc>
          <w:tcPr>
            <w:tcW w:w="3385"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3E8296A1" w14:textId="77777777" w:rsidR="008600A3" w:rsidRPr="00AE74F3" w:rsidRDefault="008600A3" w:rsidP="00373896">
            <w:pPr>
              <w:pStyle w:val="Tabletext"/>
              <w:keepNext/>
              <w:keepLines/>
              <w:rPr>
                <w:szCs w:val="18"/>
              </w:rPr>
            </w:pPr>
            <w:r w:rsidRPr="00AE74F3">
              <w:rPr>
                <w:szCs w:val="18"/>
              </w:rPr>
              <w:t xml:space="preserve">FTY720D2301. A 24-month double-blind, randomized, multicenter, placebo controlled, parallel-group study comparing the efficacy and safety of FTY720 1.25 mg and 0.5 mg administered orally once daily versus placebo in patients with relapsing-remitting multiple sclerosis. </w:t>
            </w:r>
          </w:p>
        </w:tc>
        <w:tc>
          <w:tcPr>
            <w:tcW w:w="910"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32D972EF" w14:textId="77777777" w:rsidR="008600A3" w:rsidRPr="00AE74F3" w:rsidRDefault="008600A3" w:rsidP="00373896">
            <w:pPr>
              <w:pStyle w:val="Tabletext"/>
              <w:keepNext/>
              <w:keepLines/>
              <w:rPr>
                <w:szCs w:val="22"/>
              </w:rPr>
            </w:pPr>
            <w:r w:rsidRPr="00AE74F3">
              <w:t>NR</w:t>
            </w:r>
          </w:p>
        </w:tc>
      </w:tr>
      <w:tr w:rsidR="008600A3" w:rsidRPr="00AE74F3" w14:paraId="65633981" w14:textId="77777777" w:rsidTr="00C35617">
        <w:tc>
          <w:tcPr>
            <w:tcW w:w="705"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374842B3" w14:textId="77777777" w:rsidR="008600A3" w:rsidRPr="00AE74F3" w:rsidRDefault="008600A3" w:rsidP="00373896">
            <w:pPr>
              <w:pStyle w:val="Tabletext"/>
              <w:keepNext/>
              <w:keepLines/>
            </w:pPr>
          </w:p>
        </w:tc>
        <w:tc>
          <w:tcPr>
            <w:tcW w:w="3385"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A33A6A4" w14:textId="77777777" w:rsidR="008600A3" w:rsidRPr="00AE74F3" w:rsidRDefault="008600A3" w:rsidP="00373896">
            <w:pPr>
              <w:pStyle w:val="Tabletext"/>
              <w:keepNext/>
              <w:keepLines/>
              <w:rPr>
                <w:szCs w:val="18"/>
              </w:rPr>
            </w:pPr>
            <w:r w:rsidRPr="00AE74F3">
              <w:rPr>
                <w:szCs w:val="18"/>
              </w:rPr>
              <w:t xml:space="preserve">Kappos, L., et al. A placebo-controlled trial of oral fingolimod in relapsing multiple sclerosis. </w:t>
            </w:r>
          </w:p>
        </w:tc>
        <w:tc>
          <w:tcPr>
            <w:tcW w:w="91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A8CC4B5" w14:textId="77777777" w:rsidR="008600A3" w:rsidRPr="00AE74F3" w:rsidRDefault="008600A3" w:rsidP="00373896">
            <w:pPr>
              <w:pStyle w:val="Tabletext"/>
              <w:keepNext/>
              <w:keepLines/>
              <w:rPr>
                <w:szCs w:val="18"/>
              </w:rPr>
            </w:pPr>
            <w:r w:rsidRPr="00AE74F3">
              <w:rPr>
                <w:szCs w:val="18"/>
              </w:rPr>
              <w:t>NEJM. 2010; 362(5): 387-401</w:t>
            </w:r>
          </w:p>
        </w:tc>
      </w:tr>
      <w:tr w:rsidR="008600A3" w:rsidRPr="00AE74F3" w14:paraId="2A8A7377" w14:textId="77777777" w:rsidTr="00C35617">
        <w:tc>
          <w:tcPr>
            <w:tcW w:w="705"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2AA1FD54" w14:textId="77777777" w:rsidR="008600A3" w:rsidRPr="00AE74F3" w:rsidRDefault="008600A3" w:rsidP="00373896">
            <w:pPr>
              <w:pStyle w:val="Tabletext"/>
              <w:keepNext/>
              <w:keepLines/>
              <w:rPr>
                <w:szCs w:val="22"/>
              </w:rPr>
            </w:pPr>
            <w:r w:rsidRPr="00AE74F3">
              <w:t>FREEDOMS II</w:t>
            </w:r>
          </w:p>
        </w:tc>
        <w:tc>
          <w:tcPr>
            <w:tcW w:w="3385"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238055D6" w14:textId="77777777" w:rsidR="008600A3" w:rsidRPr="00AE74F3" w:rsidRDefault="008600A3" w:rsidP="00373896">
            <w:pPr>
              <w:pStyle w:val="Tabletext"/>
              <w:keepNext/>
              <w:keepLines/>
            </w:pPr>
            <w:r w:rsidRPr="00AE74F3">
              <w:t xml:space="preserve">FTY720D2309. A 24-month double-blind, randomized, multicenter, placebo controlled, parallel-group study comparing the efficacy and safety of 0.5 mg and 1.25 mg fingolimod (FTY720) administered orally once daily versus placebo in patients with relapsing-remitting multiple sclerosis. </w:t>
            </w:r>
          </w:p>
        </w:tc>
        <w:tc>
          <w:tcPr>
            <w:tcW w:w="910" w:type="pct"/>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0D69AFD0" w14:textId="77777777" w:rsidR="008600A3" w:rsidRPr="00AE74F3" w:rsidRDefault="008600A3" w:rsidP="00373896">
            <w:pPr>
              <w:pStyle w:val="Tabletext"/>
              <w:keepNext/>
              <w:keepLines/>
              <w:rPr>
                <w:rFonts w:ascii="Times" w:hAnsi="Times"/>
              </w:rPr>
            </w:pPr>
            <w:r w:rsidRPr="00AE74F3">
              <w:t>13 January 2012</w:t>
            </w:r>
          </w:p>
        </w:tc>
      </w:tr>
      <w:tr w:rsidR="008600A3" w:rsidRPr="00AE74F3" w14:paraId="436D6ADF" w14:textId="77777777" w:rsidTr="00C35617">
        <w:tc>
          <w:tcPr>
            <w:tcW w:w="705"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1C7C58DA" w14:textId="77777777" w:rsidR="008600A3" w:rsidRPr="00AE74F3" w:rsidRDefault="008600A3" w:rsidP="00373896">
            <w:pPr>
              <w:pStyle w:val="Tabletext"/>
              <w:keepNext/>
              <w:keepLines/>
            </w:pPr>
          </w:p>
        </w:tc>
        <w:tc>
          <w:tcPr>
            <w:tcW w:w="3385"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96954A5" w14:textId="77777777" w:rsidR="008600A3" w:rsidRPr="00AE74F3" w:rsidRDefault="008600A3" w:rsidP="00373896">
            <w:pPr>
              <w:pStyle w:val="Tabletext"/>
              <w:keepNext/>
              <w:keepLines/>
              <w:rPr>
                <w:szCs w:val="18"/>
              </w:rPr>
            </w:pPr>
            <w:r w:rsidRPr="00AE74F3">
              <w:rPr>
                <w:szCs w:val="18"/>
              </w:rPr>
              <w:t xml:space="preserve">Calabresi, P. A., et al. Safety and efficacy of fingolimod in patients with relapsing-remitting multiple sclerosis (FREEDOMS II): a double-blind, randomised, placebo-controlled, phase 3 trial. </w:t>
            </w:r>
          </w:p>
        </w:tc>
        <w:tc>
          <w:tcPr>
            <w:tcW w:w="910" w:type="pct"/>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8E139A7" w14:textId="77777777" w:rsidR="008600A3" w:rsidRPr="00AE74F3" w:rsidRDefault="008600A3" w:rsidP="00373896">
            <w:pPr>
              <w:pStyle w:val="Tabletext"/>
              <w:keepNext/>
              <w:keepLines/>
              <w:rPr>
                <w:szCs w:val="22"/>
              </w:rPr>
            </w:pPr>
            <w:r w:rsidRPr="00AE74F3">
              <w:rPr>
                <w:szCs w:val="18"/>
              </w:rPr>
              <w:t>Lancet. Neurology. 2014; 13(6): 545</w:t>
            </w:r>
            <w:r w:rsidRPr="00AE74F3">
              <w:rPr>
                <w:rFonts w:ascii="Cambria Math" w:hAnsi="Cambria Math" w:cs="Cambria Math"/>
                <w:szCs w:val="18"/>
              </w:rPr>
              <w:t>‐</w:t>
            </w:r>
            <w:r w:rsidRPr="00AE74F3">
              <w:rPr>
                <w:szCs w:val="18"/>
              </w:rPr>
              <w:t>556.</w:t>
            </w:r>
          </w:p>
        </w:tc>
      </w:tr>
      <w:tr w:rsidR="008600A3" w:rsidRPr="00AE74F3" w14:paraId="29B3FAE0" w14:textId="77777777" w:rsidTr="00C35617">
        <w:tc>
          <w:tcPr>
            <w:tcW w:w="705" w:type="pct"/>
            <w:tcBorders>
              <w:top w:val="single" w:sz="4" w:space="0" w:color="auto"/>
              <w:bottom w:val="single" w:sz="4" w:space="0" w:color="auto"/>
            </w:tcBorders>
            <w:shd w:val="clear" w:color="auto" w:fill="DBE5F1" w:themeFill="accent1" w:themeFillTint="33"/>
            <w:vAlign w:val="center"/>
          </w:tcPr>
          <w:p w14:paraId="57A9D77C" w14:textId="77777777" w:rsidR="008600A3" w:rsidRPr="00AE74F3" w:rsidRDefault="008600A3" w:rsidP="00373896">
            <w:pPr>
              <w:pStyle w:val="Tabletext"/>
              <w:keepNext/>
              <w:keepLines/>
            </w:pPr>
            <w:r w:rsidRPr="00AE74F3">
              <w:t>TRANSFORMS</w:t>
            </w:r>
          </w:p>
        </w:tc>
        <w:tc>
          <w:tcPr>
            <w:tcW w:w="3385" w:type="pct"/>
            <w:tcBorders>
              <w:top w:val="single" w:sz="4" w:space="0" w:color="auto"/>
              <w:bottom w:val="single" w:sz="4" w:space="0" w:color="auto"/>
            </w:tcBorders>
            <w:shd w:val="clear" w:color="auto" w:fill="DBE5F1" w:themeFill="accent1" w:themeFillTint="33"/>
            <w:vAlign w:val="center"/>
          </w:tcPr>
          <w:p w14:paraId="29BC8E29" w14:textId="77777777" w:rsidR="008600A3" w:rsidRPr="00AE74F3" w:rsidRDefault="008600A3" w:rsidP="00373896">
            <w:pPr>
              <w:pStyle w:val="Tabletext"/>
              <w:keepNext/>
              <w:keepLines/>
              <w:rPr>
                <w:szCs w:val="18"/>
              </w:rPr>
            </w:pPr>
            <w:r w:rsidRPr="00AE74F3">
              <w:rPr>
                <w:szCs w:val="18"/>
              </w:rPr>
              <w:t>Cohen, J. A., et al. Oral fingolimod or intramuscular interferon for relapsing multiple sclerosis.</w:t>
            </w:r>
          </w:p>
        </w:tc>
        <w:tc>
          <w:tcPr>
            <w:tcW w:w="910" w:type="pct"/>
            <w:tcBorders>
              <w:top w:val="single" w:sz="4" w:space="0" w:color="auto"/>
              <w:bottom w:val="single" w:sz="4" w:space="0" w:color="auto"/>
            </w:tcBorders>
            <w:shd w:val="clear" w:color="auto" w:fill="DBE5F1" w:themeFill="accent1" w:themeFillTint="33"/>
            <w:vAlign w:val="center"/>
          </w:tcPr>
          <w:p w14:paraId="41A673C4" w14:textId="77777777" w:rsidR="008600A3" w:rsidRPr="00AE74F3" w:rsidRDefault="008600A3" w:rsidP="00373896">
            <w:pPr>
              <w:pStyle w:val="Tabletext"/>
              <w:keepNext/>
              <w:keepLines/>
            </w:pPr>
            <w:r w:rsidRPr="00AE74F3">
              <w:rPr>
                <w:szCs w:val="18"/>
              </w:rPr>
              <w:t>NEJM. 2010; 362(5): 402-415.</w:t>
            </w:r>
          </w:p>
        </w:tc>
      </w:tr>
      <w:tr w:rsidR="008600A3" w:rsidRPr="00AE74F3" w14:paraId="5DD2B84B" w14:textId="77777777" w:rsidTr="00C35617">
        <w:tc>
          <w:tcPr>
            <w:tcW w:w="705" w:type="pct"/>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78AC2097" w14:textId="77777777" w:rsidR="008600A3" w:rsidRPr="00AE74F3" w:rsidRDefault="008600A3" w:rsidP="00373896">
            <w:pPr>
              <w:pStyle w:val="Tabletext"/>
              <w:keepNext/>
              <w:keepLines/>
              <w:rPr>
                <w:b/>
                <w:bCs/>
                <w:szCs w:val="22"/>
              </w:rPr>
            </w:pPr>
            <w:r w:rsidRPr="00AE74F3">
              <w:rPr>
                <w:b/>
                <w:bCs/>
              </w:rPr>
              <w:t>Teriflunomide</w:t>
            </w:r>
          </w:p>
        </w:tc>
        <w:tc>
          <w:tcPr>
            <w:tcW w:w="3385" w:type="pct"/>
            <w:tcBorders>
              <w:top w:val="single" w:sz="4" w:space="0" w:color="auto"/>
              <w:left w:val="nil"/>
              <w:bottom w:val="single" w:sz="4" w:space="0" w:color="auto"/>
              <w:right w:val="nil"/>
            </w:tcBorders>
            <w:shd w:val="clear" w:color="auto" w:fill="DBE5F1" w:themeFill="accent1" w:themeFillTint="33"/>
            <w:vAlign w:val="center"/>
          </w:tcPr>
          <w:p w14:paraId="7E6B2A0D" w14:textId="77777777" w:rsidR="008600A3" w:rsidRPr="00AE74F3" w:rsidRDefault="008600A3" w:rsidP="00373896">
            <w:pPr>
              <w:pStyle w:val="Tabletext"/>
              <w:keepNext/>
              <w:keepLines/>
              <w:rPr>
                <w:szCs w:val="18"/>
              </w:rPr>
            </w:pPr>
          </w:p>
        </w:tc>
        <w:tc>
          <w:tcPr>
            <w:tcW w:w="91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703935D2" w14:textId="77777777" w:rsidR="008600A3" w:rsidRPr="00AE74F3" w:rsidRDefault="008600A3" w:rsidP="00373896">
            <w:pPr>
              <w:pStyle w:val="Tabletext"/>
              <w:keepNext/>
              <w:keepLines/>
              <w:rPr>
                <w:szCs w:val="18"/>
              </w:rPr>
            </w:pPr>
          </w:p>
        </w:tc>
      </w:tr>
      <w:tr w:rsidR="008600A3" w:rsidRPr="00AE74F3" w14:paraId="5A040A9B" w14:textId="77777777" w:rsidTr="00C35617">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F4EA96" w14:textId="77777777" w:rsidR="008600A3" w:rsidRPr="00AE74F3" w:rsidRDefault="008600A3" w:rsidP="00373896">
            <w:pPr>
              <w:pStyle w:val="Tabletext"/>
              <w:keepNext/>
              <w:keepLines/>
              <w:rPr>
                <w:szCs w:val="22"/>
              </w:rPr>
            </w:pPr>
            <w:r w:rsidRPr="00AE74F3">
              <w:t>TEMSO</w:t>
            </w:r>
          </w:p>
        </w:tc>
        <w:tc>
          <w:tcPr>
            <w:tcW w:w="33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D8786D" w14:textId="77777777" w:rsidR="008600A3" w:rsidRPr="00AE74F3" w:rsidRDefault="008600A3" w:rsidP="00373896">
            <w:pPr>
              <w:pStyle w:val="Tabletext"/>
              <w:keepNext/>
              <w:keepLines/>
              <w:rPr>
                <w:szCs w:val="18"/>
              </w:rPr>
            </w:pPr>
            <w:r w:rsidRPr="00AE74F3">
              <w:rPr>
                <w:szCs w:val="18"/>
              </w:rPr>
              <w:t xml:space="preserve">O'Connor, P., et al. Randomized trial of oral teriflunomide for relapsing multiple sclerosis. </w:t>
            </w:r>
          </w:p>
        </w:tc>
        <w:tc>
          <w:tcPr>
            <w:tcW w:w="9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90B1DB" w14:textId="77777777" w:rsidR="008600A3" w:rsidRPr="00AE74F3" w:rsidRDefault="008600A3" w:rsidP="00373896">
            <w:pPr>
              <w:pStyle w:val="Tabletext"/>
              <w:keepNext/>
              <w:keepLines/>
              <w:rPr>
                <w:szCs w:val="18"/>
              </w:rPr>
            </w:pPr>
            <w:r w:rsidRPr="00AE74F3">
              <w:rPr>
                <w:szCs w:val="18"/>
              </w:rPr>
              <w:t>NEJM. 2011; 365(14): 1293-1303.</w:t>
            </w:r>
          </w:p>
        </w:tc>
      </w:tr>
      <w:tr w:rsidR="008600A3" w:rsidRPr="00AE74F3" w14:paraId="50EF92B6" w14:textId="77777777" w:rsidTr="00C35617">
        <w:trPr>
          <w:trHeight w:val="58"/>
        </w:trPr>
        <w:tc>
          <w:tcPr>
            <w:tcW w:w="7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17B34C" w14:textId="77777777" w:rsidR="008600A3" w:rsidRPr="00AE74F3" w:rsidRDefault="008600A3" w:rsidP="00373896">
            <w:pPr>
              <w:pStyle w:val="Tabletext"/>
              <w:keepNext/>
              <w:keepLines/>
              <w:rPr>
                <w:szCs w:val="22"/>
              </w:rPr>
            </w:pPr>
            <w:r w:rsidRPr="00AE74F3">
              <w:t>TOWER</w:t>
            </w:r>
          </w:p>
        </w:tc>
        <w:tc>
          <w:tcPr>
            <w:tcW w:w="33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466663" w14:textId="77777777" w:rsidR="008600A3" w:rsidRPr="00AE74F3" w:rsidRDefault="008600A3" w:rsidP="00373896">
            <w:pPr>
              <w:pStyle w:val="Tabletext"/>
              <w:keepNext/>
              <w:keepLines/>
              <w:rPr>
                <w:szCs w:val="18"/>
              </w:rPr>
            </w:pPr>
            <w:r w:rsidRPr="00AE74F3">
              <w:rPr>
                <w:szCs w:val="18"/>
              </w:rPr>
              <w:t>Confavreux, C., et al. Oral teriflunomide for patients with relapsing multiple sclerosis (TOWER): a randomised, double-blind, placebo-controlled, phase 3 trial.</w:t>
            </w:r>
          </w:p>
        </w:tc>
        <w:tc>
          <w:tcPr>
            <w:tcW w:w="9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7D2E6DD" w14:textId="77777777" w:rsidR="008600A3" w:rsidRPr="00AE74F3" w:rsidRDefault="008600A3" w:rsidP="00373896">
            <w:pPr>
              <w:pStyle w:val="Tabletext"/>
              <w:keepNext/>
              <w:keepLines/>
              <w:rPr>
                <w:szCs w:val="18"/>
              </w:rPr>
            </w:pPr>
            <w:r w:rsidRPr="00AE74F3">
              <w:rPr>
                <w:szCs w:val="18"/>
              </w:rPr>
              <w:t>The Lancet. 2014; Neurology 13(3): 247</w:t>
            </w:r>
            <w:r w:rsidRPr="00AE74F3">
              <w:rPr>
                <w:rFonts w:ascii="Cambria Math" w:hAnsi="Cambria Math" w:cs="Cambria Math"/>
                <w:szCs w:val="18"/>
              </w:rPr>
              <w:t>‐</w:t>
            </w:r>
            <w:r w:rsidRPr="00AE74F3">
              <w:rPr>
                <w:szCs w:val="18"/>
              </w:rPr>
              <w:t>256</w:t>
            </w:r>
          </w:p>
        </w:tc>
      </w:tr>
    </w:tbl>
    <w:p w14:paraId="11DC3593" w14:textId="77777777" w:rsidR="008600A3" w:rsidRPr="00AE74F3" w:rsidRDefault="008600A3" w:rsidP="00373896">
      <w:pPr>
        <w:pStyle w:val="TableFooter"/>
        <w:keepNext/>
        <w:keepLines/>
      </w:pPr>
      <w:r w:rsidRPr="00AE74F3">
        <w:t>NR = not reported</w:t>
      </w:r>
    </w:p>
    <w:p w14:paraId="5150A7FD" w14:textId="2C0F0E20" w:rsidR="00373896" w:rsidRPr="00AE74F3" w:rsidRDefault="00373896" w:rsidP="00373896">
      <w:pPr>
        <w:pStyle w:val="TableFooter"/>
        <w:keepNext/>
        <w:keepLines/>
        <w:rPr>
          <w:sz w:val="20"/>
          <w:szCs w:val="22"/>
        </w:rPr>
      </w:pPr>
      <w:r w:rsidRPr="00AE74F3">
        <w:t>Blue shaded cells indicate trials previously considered by the PBAC</w:t>
      </w:r>
    </w:p>
    <w:p w14:paraId="42187C4A" w14:textId="67F16F64" w:rsidR="008600A3" w:rsidRPr="00AE74F3" w:rsidRDefault="008600A3" w:rsidP="00F9193A">
      <w:pPr>
        <w:pStyle w:val="TableFooter"/>
        <w:spacing w:after="120"/>
      </w:pPr>
      <w:r w:rsidRPr="00AE74F3">
        <w:t>Source: Table 10</w:t>
      </w:r>
      <w:r w:rsidR="00F67385">
        <w:t xml:space="preserve"> </w:t>
      </w:r>
      <w:r w:rsidRPr="00AE74F3">
        <w:t>of the submission</w:t>
      </w:r>
    </w:p>
    <w:p w14:paraId="246F3B52" w14:textId="6FFAC8BC" w:rsidR="008600A3" w:rsidRPr="00AE74F3" w:rsidRDefault="008600A3" w:rsidP="00E711BD">
      <w:pPr>
        <w:pStyle w:val="3-BodyText"/>
        <w:rPr>
          <w:snapToGrid/>
        </w:rPr>
      </w:pPr>
      <w:r w:rsidRPr="00AE74F3">
        <w:t xml:space="preserve">The submission </w:t>
      </w:r>
      <w:r w:rsidR="004366E3" w:rsidRPr="00AE74F3">
        <w:t xml:space="preserve">also </w:t>
      </w:r>
      <w:r w:rsidRPr="00AE74F3">
        <w:t>pr</w:t>
      </w:r>
      <w:r w:rsidR="00E711BD" w:rsidRPr="00AE74F3">
        <w:t>esented results from</w:t>
      </w:r>
      <w:r w:rsidRPr="00AE74F3">
        <w:t xml:space="preserve"> a network meta-analysis (NMA) by Samjoo 2023 to inform the relative effectiveness of the </w:t>
      </w:r>
      <w:r w:rsidR="00885BF6">
        <w:t xml:space="preserve">PBS-listed RRMS </w:t>
      </w:r>
      <w:r w:rsidRPr="00AE74F3">
        <w:t xml:space="preserve">DMTs </w:t>
      </w:r>
      <w:r w:rsidR="00E711BD" w:rsidRPr="00AE74F3">
        <w:t xml:space="preserve">to support the </w:t>
      </w:r>
      <w:r w:rsidR="004366E3" w:rsidRPr="00AE74F3">
        <w:t xml:space="preserve">proposed </w:t>
      </w:r>
      <w:r w:rsidR="004366E3" w:rsidRPr="00AE74F3">
        <w:rPr>
          <w:snapToGrid/>
        </w:rPr>
        <w:t>division of the current high-efficacy DMT tier into the proposed mid- and high-efficacy tiers</w:t>
      </w:r>
      <w:r w:rsidRPr="00AE74F3">
        <w:t>. Additionally, a review of published NMAs including ofatumumab in RRMS was provided to support the results from Samjoo 2023.</w:t>
      </w:r>
    </w:p>
    <w:p w14:paraId="6BF2CC74" w14:textId="509233EB" w:rsidR="008600A3" w:rsidRPr="00AE74F3" w:rsidRDefault="008600A3" w:rsidP="008600A3">
      <w:pPr>
        <w:pStyle w:val="3-BodyText"/>
      </w:pPr>
      <w:r w:rsidRPr="00AE74F3">
        <w:t xml:space="preserve">The key features of the included trials are summarised in </w:t>
      </w:r>
      <w:r w:rsidRPr="00AE74F3">
        <w:fldChar w:fldCharType="begin" w:fldLock="1"/>
      </w:r>
      <w:r w:rsidRPr="00AE74F3">
        <w:instrText xml:space="preserve"> REF _Ref152948754 \h  \* MERGEFORMAT </w:instrText>
      </w:r>
      <w:r w:rsidRPr="00AE74F3">
        <w:fldChar w:fldCharType="separate"/>
      </w:r>
      <w:r w:rsidR="00416916" w:rsidRPr="00416916">
        <w:t>Table 3</w:t>
      </w:r>
      <w:r w:rsidRPr="00AE74F3">
        <w:fldChar w:fldCharType="end"/>
      </w:r>
      <w:r w:rsidRPr="00AE74F3">
        <w:t>.</w:t>
      </w:r>
    </w:p>
    <w:p w14:paraId="5C9A6C0F" w14:textId="619E866F" w:rsidR="008600A3" w:rsidRPr="00AE74F3" w:rsidRDefault="008600A3" w:rsidP="00F9193A">
      <w:pPr>
        <w:pStyle w:val="Caption"/>
        <w:rPr>
          <w:rStyle w:val="CommentReference"/>
          <w:rFonts w:eastAsiaTheme="majorEastAsia" w:cstheme="majorBidi"/>
          <w:b/>
          <w:szCs w:val="24"/>
        </w:rPr>
      </w:pPr>
      <w:bookmarkStart w:id="23" w:name="_Ref152948754"/>
      <w:r w:rsidRPr="00AE74F3">
        <w:rPr>
          <w:rStyle w:val="CommentReference"/>
          <w:rFonts w:eastAsiaTheme="majorEastAsia" w:cstheme="majorBidi"/>
          <w:b/>
          <w:szCs w:val="24"/>
        </w:rPr>
        <w:lastRenderedPageBreak/>
        <w:t xml:space="preserve">Table </w:t>
      </w:r>
      <w:r w:rsidRPr="00AE74F3">
        <w:rPr>
          <w:rStyle w:val="CommentReference"/>
          <w:rFonts w:eastAsiaTheme="majorEastAsia" w:cstheme="majorBidi"/>
          <w:b/>
          <w:szCs w:val="24"/>
        </w:rPr>
        <w:fldChar w:fldCharType="begin" w:fldLock="1"/>
      </w:r>
      <w:r w:rsidRPr="00AE74F3">
        <w:rPr>
          <w:rStyle w:val="CommentReference"/>
          <w:rFonts w:eastAsiaTheme="majorEastAsia" w:cstheme="majorBidi"/>
          <w:b/>
          <w:szCs w:val="24"/>
        </w:rPr>
        <w:instrText xml:space="preserve"> SEQ Table \* ARABIC </w:instrText>
      </w:r>
      <w:r w:rsidRPr="00AE74F3">
        <w:rPr>
          <w:rStyle w:val="CommentReference"/>
          <w:rFonts w:eastAsiaTheme="majorEastAsia" w:cstheme="majorBidi"/>
          <w:b/>
          <w:szCs w:val="24"/>
        </w:rPr>
        <w:fldChar w:fldCharType="separate"/>
      </w:r>
      <w:r w:rsidR="00416916">
        <w:rPr>
          <w:rStyle w:val="CommentReference"/>
          <w:rFonts w:eastAsiaTheme="majorEastAsia" w:cstheme="majorBidi"/>
          <w:b/>
          <w:noProof/>
          <w:szCs w:val="24"/>
        </w:rPr>
        <w:t>3</w:t>
      </w:r>
      <w:r w:rsidRPr="00AE74F3">
        <w:rPr>
          <w:rStyle w:val="CommentReference"/>
          <w:rFonts w:eastAsiaTheme="majorEastAsia" w:cstheme="majorBidi"/>
          <w:b/>
          <w:szCs w:val="24"/>
        </w:rPr>
        <w:fldChar w:fldCharType="end"/>
      </w:r>
      <w:bookmarkEnd w:id="23"/>
      <w:r w:rsidRPr="00AE74F3">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458"/>
        <w:gridCol w:w="88"/>
        <w:gridCol w:w="577"/>
        <w:gridCol w:w="36"/>
        <w:gridCol w:w="1347"/>
        <w:gridCol w:w="34"/>
        <w:gridCol w:w="940"/>
        <w:gridCol w:w="52"/>
        <w:gridCol w:w="2840"/>
        <w:gridCol w:w="1645"/>
      </w:tblGrid>
      <w:tr w:rsidR="008600A3" w:rsidRPr="00AE74F3" w14:paraId="5709F1BE" w14:textId="77777777" w:rsidTr="0067481D">
        <w:trPr>
          <w:tblHeader/>
        </w:trPr>
        <w:tc>
          <w:tcPr>
            <w:tcW w:w="808" w:type="pct"/>
            <w:shd w:val="clear" w:color="auto" w:fill="auto"/>
            <w:vAlign w:val="center"/>
          </w:tcPr>
          <w:p w14:paraId="2B306746" w14:textId="77777777" w:rsidR="008600A3" w:rsidRPr="00AE74F3" w:rsidRDefault="008600A3" w:rsidP="00F9193A">
            <w:pPr>
              <w:pStyle w:val="Tabletext"/>
              <w:keepNext/>
              <w:keepLines/>
              <w:rPr>
                <w:b/>
              </w:rPr>
            </w:pPr>
            <w:r w:rsidRPr="00AE74F3">
              <w:rPr>
                <w:b/>
              </w:rPr>
              <w:t>Trial</w:t>
            </w:r>
          </w:p>
        </w:tc>
        <w:tc>
          <w:tcPr>
            <w:tcW w:w="389" w:type="pct"/>
            <w:gridSpan w:val="3"/>
            <w:shd w:val="clear" w:color="auto" w:fill="auto"/>
            <w:vAlign w:val="center"/>
          </w:tcPr>
          <w:p w14:paraId="7AF6AA83" w14:textId="77777777" w:rsidR="008600A3" w:rsidRPr="00AE74F3" w:rsidRDefault="008600A3" w:rsidP="00F9193A">
            <w:pPr>
              <w:pStyle w:val="Tabletext"/>
              <w:keepNext/>
              <w:keepLines/>
              <w:jc w:val="center"/>
              <w:rPr>
                <w:b/>
              </w:rPr>
            </w:pPr>
            <w:r w:rsidRPr="00AE74F3">
              <w:rPr>
                <w:b/>
              </w:rPr>
              <w:t>N</w:t>
            </w:r>
          </w:p>
        </w:tc>
        <w:tc>
          <w:tcPr>
            <w:tcW w:w="747" w:type="pct"/>
            <w:shd w:val="clear" w:color="auto" w:fill="auto"/>
            <w:vAlign w:val="center"/>
          </w:tcPr>
          <w:p w14:paraId="63F86BBC" w14:textId="77777777" w:rsidR="008600A3" w:rsidRPr="00AE74F3" w:rsidRDefault="008600A3" w:rsidP="00F9193A">
            <w:pPr>
              <w:pStyle w:val="Tabletext"/>
              <w:keepNext/>
              <w:keepLines/>
              <w:jc w:val="center"/>
              <w:rPr>
                <w:b/>
              </w:rPr>
            </w:pPr>
            <w:r w:rsidRPr="00AE74F3">
              <w:rPr>
                <w:b/>
              </w:rPr>
              <w:t>Design/ duration</w:t>
            </w:r>
          </w:p>
        </w:tc>
        <w:tc>
          <w:tcPr>
            <w:tcW w:w="540" w:type="pct"/>
            <w:gridSpan w:val="2"/>
            <w:shd w:val="clear" w:color="auto" w:fill="auto"/>
            <w:vAlign w:val="center"/>
          </w:tcPr>
          <w:p w14:paraId="4C49E6C9" w14:textId="77777777" w:rsidR="008600A3" w:rsidRPr="00AE74F3" w:rsidRDefault="008600A3" w:rsidP="00F9193A">
            <w:pPr>
              <w:pStyle w:val="Tabletext"/>
              <w:keepNext/>
              <w:keepLines/>
              <w:jc w:val="center"/>
              <w:rPr>
                <w:b/>
              </w:rPr>
            </w:pPr>
            <w:r w:rsidRPr="00AE74F3">
              <w:rPr>
                <w:b/>
              </w:rPr>
              <w:t>Risk of bias</w:t>
            </w:r>
          </w:p>
        </w:tc>
        <w:tc>
          <w:tcPr>
            <w:tcW w:w="1604" w:type="pct"/>
            <w:gridSpan w:val="2"/>
            <w:shd w:val="clear" w:color="auto" w:fill="auto"/>
            <w:vAlign w:val="center"/>
          </w:tcPr>
          <w:p w14:paraId="4A277E8B" w14:textId="77777777" w:rsidR="008600A3" w:rsidRPr="00AE74F3" w:rsidRDefault="008600A3" w:rsidP="00F9193A">
            <w:pPr>
              <w:pStyle w:val="Tabletext"/>
              <w:keepNext/>
              <w:keepLines/>
              <w:jc w:val="center"/>
              <w:rPr>
                <w:b/>
              </w:rPr>
            </w:pPr>
            <w:r w:rsidRPr="00AE74F3">
              <w:rPr>
                <w:b/>
              </w:rPr>
              <w:t>Patient population</w:t>
            </w:r>
          </w:p>
        </w:tc>
        <w:tc>
          <w:tcPr>
            <w:tcW w:w="912" w:type="pct"/>
            <w:shd w:val="clear" w:color="auto" w:fill="auto"/>
            <w:vAlign w:val="center"/>
          </w:tcPr>
          <w:p w14:paraId="682E65F2" w14:textId="77777777" w:rsidR="008600A3" w:rsidRPr="00AE74F3" w:rsidRDefault="008600A3" w:rsidP="00F9193A">
            <w:pPr>
              <w:pStyle w:val="Tabletext"/>
              <w:keepNext/>
              <w:keepLines/>
              <w:jc w:val="center"/>
              <w:rPr>
                <w:b/>
              </w:rPr>
            </w:pPr>
            <w:r w:rsidRPr="00AE74F3">
              <w:rPr>
                <w:b/>
              </w:rPr>
              <w:t>Outcome(s)</w:t>
            </w:r>
          </w:p>
        </w:tc>
      </w:tr>
      <w:tr w:rsidR="008600A3" w:rsidRPr="00AE74F3" w14:paraId="1B9E8A5A" w14:textId="77777777" w:rsidTr="0067481D">
        <w:tc>
          <w:tcPr>
            <w:tcW w:w="5000" w:type="pct"/>
            <w:gridSpan w:val="10"/>
            <w:shd w:val="clear" w:color="auto" w:fill="DBE5F1" w:themeFill="accent1" w:themeFillTint="33"/>
            <w:vAlign w:val="center"/>
          </w:tcPr>
          <w:p w14:paraId="338BF764" w14:textId="77777777" w:rsidR="008600A3" w:rsidRPr="00AE74F3" w:rsidRDefault="008600A3" w:rsidP="00F9193A">
            <w:pPr>
              <w:pStyle w:val="Tabletext"/>
              <w:keepNext/>
              <w:keepLines/>
              <w:rPr>
                <w:b/>
              </w:rPr>
            </w:pPr>
            <w:r w:rsidRPr="00AE74F3">
              <w:rPr>
                <w:b/>
              </w:rPr>
              <w:t xml:space="preserve">Ofatumumab vs. teriflunomide </w:t>
            </w:r>
          </w:p>
        </w:tc>
      </w:tr>
      <w:tr w:rsidR="008600A3" w:rsidRPr="00AE74F3" w14:paraId="56ABE2EE" w14:textId="77777777" w:rsidTr="0067481D">
        <w:trPr>
          <w:trHeight w:val="339"/>
        </w:trPr>
        <w:tc>
          <w:tcPr>
            <w:tcW w:w="808" w:type="pct"/>
            <w:shd w:val="clear" w:color="auto" w:fill="DBE5F1" w:themeFill="accent1" w:themeFillTint="33"/>
            <w:vAlign w:val="center"/>
          </w:tcPr>
          <w:p w14:paraId="2C2E5C10" w14:textId="77777777" w:rsidR="008600A3" w:rsidRPr="00AE74F3" w:rsidRDefault="008600A3" w:rsidP="00F9193A">
            <w:pPr>
              <w:pStyle w:val="Tabletext"/>
              <w:keepNext/>
              <w:keepLines/>
            </w:pPr>
            <w:r w:rsidRPr="00AE74F3">
              <w:t>ASCLEPIOS I</w:t>
            </w:r>
          </w:p>
        </w:tc>
        <w:tc>
          <w:tcPr>
            <w:tcW w:w="389" w:type="pct"/>
            <w:gridSpan w:val="3"/>
            <w:shd w:val="clear" w:color="auto" w:fill="DBE5F1" w:themeFill="accent1" w:themeFillTint="33"/>
            <w:vAlign w:val="center"/>
          </w:tcPr>
          <w:p w14:paraId="098EA297" w14:textId="77777777" w:rsidR="008600A3" w:rsidRPr="00AE74F3" w:rsidRDefault="008600A3" w:rsidP="00F9193A">
            <w:pPr>
              <w:pStyle w:val="Tabletext"/>
              <w:keepNext/>
              <w:keepLines/>
              <w:jc w:val="center"/>
            </w:pPr>
            <w:r w:rsidRPr="00AE74F3">
              <w:t>927</w:t>
            </w:r>
          </w:p>
        </w:tc>
        <w:tc>
          <w:tcPr>
            <w:tcW w:w="747" w:type="pct"/>
            <w:shd w:val="clear" w:color="auto" w:fill="DBE5F1" w:themeFill="accent1" w:themeFillTint="33"/>
            <w:vAlign w:val="center"/>
          </w:tcPr>
          <w:p w14:paraId="400026FD" w14:textId="77777777" w:rsidR="008600A3" w:rsidRPr="00AE74F3" w:rsidRDefault="008600A3" w:rsidP="00F9193A">
            <w:pPr>
              <w:pStyle w:val="Tabletext"/>
              <w:keepNext/>
              <w:keepLines/>
              <w:jc w:val="center"/>
            </w:pPr>
            <w:r w:rsidRPr="00AE74F3">
              <w:t>R, DB, 30 months</w:t>
            </w:r>
          </w:p>
        </w:tc>
        <w:tc>
          <w:tcPr>
            <w:tcW w:w="540" w:type="pct"/>
            <w:gridSpan w:val="2"/>
            <w:shd w:val="clear" w:color="auto" w:fill="DBE5F1" w:themeFill="accent1" w:themeFillTint="33"/>
            <w:vAlign w:val="center"/>
          </w:tcPr>
          <w:p w14:paraId="60E49139" w14:textId="77777777" w:rsidR="008600A3" w:rsidRPr="00AE74F3" w:rsidRDefault="008600A3" w:rsidP="00F9193A">
            <w:pPr>
              <w:pStyle w:val="Tabletext"/>
              <w:keepNext/>
              <w:keepLines/>
              <w:jc w:val="center"/>
            </w:pPr>
            <w:r w:rsidRPr="00AE74F3">
              <w:t>Low</w:t>
            </w:r>
          </w:p>
        </w:tc>
        <w:tc>
          <w:tcPr>
            <w:tcW w:w="1604" w:type="pct"/>
            <w:gridSpan w:val="2"/>
            <w:shd w:val="clear" w:color="auto" w:fill="DBE5F1" w:themeFill="accent1" w:themeFillTint="33"/>
            <w:vAlign w:val="center"/>
          </w:tcPr>
          <w:p w14:paraId="3BA42554" w14:textId="77777777" w:rsidR="008600A3" w:rsidRPr="00AE74F3" w:rsidRDefault="008600A3" w:rsidP="00F9193A">
            <w:pPr>
              <w:pStyle w:val="Tabletext"/>
              <w:keepNext/>
              <w:keepLines/>
              <w:jc w:val="center"/>
            </w:pPr>
            <w:r w:rsidRPr="00AE74F3">
              <w:t xml:space="preserve">RMS (RRMS or SPMS) </w:t>
            </w:r>
            <w:r w:rsidRPr="00AE74F3">
              <w:br/>
              <w:t>(94% RRMS)</w:t>
            </w:r>
          </w:p>
        </w:tc>
        <w:tc>
          <w:tcPr>
            <w:tcW w:w="912" w:type="pct"/>
            <w:vMerge w:val="restart"/>
            <w:shd w:val="clear" w:color="auto" w:fill="DBE5F1" w:themeFill="accent1" w:themeFillTint="33"/>
            <w:vAlign w:val="center"/>
          </w:tcPr>
          <w:p w14:paraId="2338D764" w14:textId="77777777" w:rsidR="008600A3" w:rsidRPr="00AE74F3" w:rsidRDefault="008600A3" w:rsidP="00F9193A">
            <w:pPr>
              <w:pStyle w:val="Tabletext"/>
              <w:keepNext/>
              <w:keepLines/>
              <w:jc w:val="center"/>
            </w:pPr>
            <w:r w:rsidRPr="00AE74F3">
              <w:t>ARR, 3/6 month CDP</w:t>
            </w:r>
            <w:r w:rsidRPr="00AE74F3">
              <w:rPr>
                <w:vertAlign w:val="superscript"/>
              </w:rPr>
              <w:t>a</w:t>
            </w:r>
            <w:r w:rsidRPr="00AE74F3">
              <w:t>, proportion relapse free</w:t>
            </w:r>
          </w:p>
        </w:tc>
      </w:tr>
      <w:tr w:rsidR="008600A3" w:rsidRPr="00AE74F3" w14:paraId="4854E39E" w14:textId="77777777" w:rsidTr="0067481D">
        <w:trPr>
          <w:trHeight w:val="339"/>
        </w:trPr>
        <w:tc>
          <w:tcPr>
            <w:tcW w:w="808" w:type="pct"/>
            <w:shd w:val="clear" w:color="auto" w:fill="DBE5F1" w:themeFill="accent1" w:themeFillTint="33"/>
            <w:vAlign w:val="center"/>
          </w:tcPr>
          <w:p w14:paraId="1B2DA8DE" w14:textId="77777777" w:rsidR="008600A3" w:rsidRPr="00AE74F3" w:rsidRDefault="008600A3" w:rsidP="00F9193A">
            <w:pPr>
              <w:pStyle w:val="Tabletext"/>
              <w:keepNext/>
              <w:keepLines/>
            </w:pPr>
            <w:r w:rsidRPr="00AE74F3">
              <w:t>ASCLEPIOS II</w:t>
            </w:r>
          </w:p>
        </w:tc>
        <w:tc>
          <w:tcPr>
            <w:tcW w:w="389" w:type="pct"/>
            <w:gridSpan w:val="3"/>
            <w:shd w:val="clear" w:color="auto" w:fill="DBE5F1" w:themeFill="accent1" w:themeFillTint="33"/>
            <w:vAlign w:val="center"/>
          </w:tcPr>
          <w:p w14:paraId="41B40F69" w14:textId="77777777" w:rsidR="008600A3" w:rsidRPr="00AE74F3" w:rsidRDefault="008600A3" w:rsidP="00F9193A">
            <w:pPr>
              <w:pStyle w:val="Tabletext"/>
              <w:keepNext/>
              <w:keepLines/>
              <w:jc w:val="center"/>
            </w:pPr>
            <w:r w:rsidRPr="00AE74F3">
              <w:t>955</w:t>
            </w:r>
          </w:p>
        </w:tc>
        <w:tc>
          <w:tcPr>
            <w:tcW w:w="747" w:type="pct"/>
            <w:shd w:val="clear" w:color="auto" w:fill="DBE5F1" w:themeFill="accent1" w:themeFillTint="33"/>
            <w:vAlign w:val="center"/>
          </w:tcPr>
          <w:p w14:paraId="33C002EA" w14:textId="77777777" w:rsidR="008600A3" w:rsidRPr="00AE74F3" w:rsidRDefault="008600A3" w:rsidP="00F9193A">
            <w:pPr>
              <w:pStyle w:val="Tabletext"/>
              <w:keepNext/>
              <w:keepLines/>
              <w:jc w:val="center"/>
            </w:pPr>
            <w:r w:rsidRPr="00AE74F3">
              <w:t>R, DB, 30 months</w:t>
            </w:r>
          </w:p>
        </w:tc>
        <w:tc>
          <w:tcPr>
            <w:tcW w:w="540" w:type="pct"/>
            <w:gridSpan w:val="2"/>
            <w:shd w:val="clear" w:color="auto" w:fill="DBE5F1" w:themeFill="accent1" w:themeFillTint="33"/>
            <w:vAlign w:val="center"/>
          </w:tcPr>
          <w:p w14:paraId="683CA7B1" w14:textId="77777777" w:rsidR="008600A3" w:rsidRPr="00AE74F3" w:rsidRDefault="008600A3" w:rsidP="00F9193A">
            <w:pPr>
              <w:pStyle w:val="Tabletext"/>
              <w:keepNext/>
              <w:keepLines/>
              <w:jc w:val="center"/>
            </w:pPr>
            <w:r w:rsidRPr="00AE74F3">
              <w:t>Low</w:t>
            </w:r>
          </w:p>
        </w:tc>
        <w:tc>
          <w:tcPr>
            <w:tcW w:w="1604" w:type="pct"/>
            <w:gridSpan w:val="2"/>
            <w:shd w:val="clear" w:color="auto" w:fill="DBE5F1" w:themeFill="accent1" w:themeFillTint="33"/>
            <w:vAlign w:val="center"/>
          </w:tcPr>
          <w:p w14:paraId="79FA2596" w14:textId="77777777" w:rsidR="008600A3" w:rsidRPr="00AE74F3" w:rsidRDefault="008600A3" w:rsidP="00F9193A">
            <w:pPr>
              <w:pStyle w:val="Tabletext"/>
              <w:keepNext/>
              <w:keepLines/>
              <w:jc w:val="center"/>
            </w:pPr>
            <w:r w:rsidRPr="00AE74F3">
              <w:t>RMS (RRMS or SPMS)</w:t>
            </w:r>
            <w:r w:rsidRPr="00AE74F3">
              <w:br/>
              <w:t xml:space="preserve"> (94% RRMS)</w:t>
            </w:r>
          </w:p>
        </w:tc>
        <w:tc>
          <w:tcPr>
            <w:tcW w:w="912" w:type="pct"/>
            <w:vMerge/>
            <w:shd w:val="clear" w:color="auto" w:fill="DBE5F1" w:themeFill="accent1" w:themeFillTint="33"/>
            <w:vAlign w:val="center"/>
          </w:tcPr>
          <w:p w14:paraId="0C80E81A" w14:textId="77777777" w:rsidR="008600A3" w:rsidRPr="00AE74F3" w:rsidRDefault="008600A3" w:rsidP="00F9193A">
            <w:pPr>
              <w:pStyle w:val="Tabletext"/>
              <w:keepNext/>
              <w:keepLines/>
              <w:jc w:val="center"/>
            </w:pPr>
          </w:p>
        </w:tc>
      </w:tr>
      <w:tr w:rsidR="008600A3" w:rsidRPr="00AE74F3" w14:paraId="3882463C" w14:textId="77777777" w:rsidTr="0067481D">
        <w:tc>
          <w:tcPr>
            <w:tcW w:w="5000" w:type="pct"/>
            <w:gridSpan w:val="10"/>
            <w:shd w:val="clear" w:color="auto" w:fill="DBE5F1" w:themeFill="accent1" w:themeFillTint="33"/>
            <w:vAlign w:val="center"/>
          </w:tcPr>
          <w:p w14:paraId="7BAD0ABF" w14:textId="77777777" w:rsidR="008600A3" w:rsidRPr="00AE74F3" w:rsidRDefault="008600A3" w:rsidP="00F9193A">
            <w:pPr>
              <w:pStyle w:val="Tabletext"/>
              <w:keepNext/>
              <w:keepLines/>
              <w:rPr>
                <w:b/>
              </w:rPr>
            </w:pPr>
            <w:r w:rsidRPr="00AE74F3">
              <w:rPr>
                <w:b/>
              </w:rPr>
              <w:t>Teriflunomide versus placebo (bridging comparison)</w:t>
            </w:r>
          </w:p>
        </w:tc>
      </w:tr>
      <w:tr w:rsidR="008600A3" w:rsidRPr="00AE74F3" w14:paraId="558FD91F" w14:textId="77777777" w:rsidTr="0067481D">
        <w:tc>
          <w:tcPr>
            <w:tcW w:w="808" w:type="pct"/>
            <w:shd w:val="clear" w:color="auto" w:fill="DBE5F1" w:themeFill="accent1" w:themeFillTint="33"/>
            <w:vAlign w:val="center"/>
          </w:tcPr>
          <w:p w14:paraId="78CD4795" w14:textId="77777777" w:rsidR="008600A3" w:rsidRPr="00AE74F3" w:rsidRDefault="008600A3" w:rsidP="00F9193A">
            <w:pPr>
              <w:pStyle w:val="Tabletext"/>
              <w:keepNext/>
              <w:keepLines/>
            </w:pPr>
            <w:r w:rsidRPr="00AE74F3">
              <w:t>TEMSO</w:t>
            </w:r>
          </w:p>
        </w:tc>
        <w:tc>
          <w:tcPr>
            <w:tcW w:w="389" w:type="pct"/>
            <w:gridSpan w:val="3"/>
            <w:shd w:val="clear" w:color="auto" w:fill="DBE5F1" w:themeFill="accent1" w:themeFillTint="33"/>
            <w:vAlign w:val="center"/>
          </w:tcPr>
          <w:p w14:paraId="76400C85" w14:textId="77777777" w:rsidR="008600A3" w:rsidRPr="00AE74F3" w:rsidRDefault="008600A3" w:rsidP="00F9193A">
            <w:pPr>
              <w:pStyle w:val="Tabletext"/>
              <w:keepNext/>
              <w:keepLines/>
              <w:jc w:val="center"/>
            </w:pPr>
            <w:r w:rsidRPr="00AE74F3">
              <w:t>1088</w:t>
            </w:r>
          </w:p>
        </w:tc>
        <w:tc>
          <w:tcPr>
            <w:tcW w:w="747" w:type="pct"/>
            <w:shd w:val="clear" w:color="auto" w:fill="DBE5F1" w:themeFill="accent1" w:themeFillTint="33"/>
            <w:vAlign w:val="center"/>
          </w:tcPr>
          <w:p w14:paraId="122D5204" w14:textId="77777777" w:rsidR="008600A3" w:rsidRPr="00AE74F3" w:rsidRDefault="008600A3" w:rsidP="00F9193A">
            <w:pPr>
              <w:pStyle w:val="Tabletext"/>
              <w:keepNext/>
              <w:keepLines/>
              <w:jc w:val="center"/>
            </w:pPr>
            <w:r w:rsidRPr="00AE74F3">
              <w:t>R, DB, 96 weeks</w:t>
            </w:r>
          </w:p>
        </w:tc>
        <w:tc>
          <w:tcPr>
            <w:tcW w:w="540" w:type="pct"/>
            <w:gridSpan w:val="2"/>
            <w:shd w:val="clear" w:color="auto" w:fill="DBE5F1" w:themeFill="accent1" w:themeFillTint="33"/>
            <w:vAlign w:val="center"/>
          </w:tcPr>
          <w:p w14:paraId="6FB01521" w14:textId="77777777" w:rsidR="008600A3" w:rsidRPr="00AE74F3" w:rsidRDefault="008600A3" w:rsidP="00F9193A">
            <w:pPr>
              <w:pStyle w:val="Tabletext"/>
              <w:keepNext/>
              <w:keepLines/>
              <w:jc w:val="center"/>
            </w:pPr>
            <w:r w:rsidRPr="00AE74F3">
              <w:t>High</w:t>
            </w:r>
          </w:p>
        </w:tc>
        <w:tc>
          <w:tcPr>
            <w:tcW w:w="1604" w:type="pct"/>
            <w:gridSpan w:val="2"/>
            <w:shd w:val="clear" w:color="auto" w:fill="DBE5F1" w:themeFill="accent1" w:themeFillTint="33"/>
            <w:vAlign w:val="center"/>
          </w:tcPr>
          <w:p w14:paraId="51277D3C" w14:textId="77777777" w:rsidR="008600A3" w:rsidRPr="00AE74F3" w:rsidRDefault="008600A3" w:rsidP="00F9193A">
            <w:pPr>
              <w:pStyle w:val="Tabletext"/>
              <w:keepNext/>
              <w:keepLines/>
              <w:jc w:val="center"/>
            </w:pPr>
            <w:r w:rsidRPr="00AE74F3">
              <w:t>RMS (RRMS, SPMS, or PRMS)</w:t>
            </w:r>
            <w:r w:rsidRPr="00AE74F3">
              <w:br/>
              <w:t xml:space="preserve"> (91% RRMS)</w:t>
            </w:r>
          </w:p>
        </w:tc>
        <w:tc>
          <w:tcPr>
            <w:tcW w:w="912" w:type="pct"/>
            <w:vMerge w:val="restart"/>
            <w:shd w:val="clear" w:color="auto" w:fill="DBE5F1" w:themeFill="accent1" w:themeFillTint="33"/>
            <w:vAlign w:val="center"/>
          </w:tcPr>
          <w:p w14:paraId="72FC5683" w14:textId="77777777" w:rsidR="008600A3" w:rsidRPr="00AE74F3" w:rsidRDefault="008600A3" w:rsidP="00F9193A">
            <w:pPr>
              <w:pStyle w:val="Tabletext"/>
              <w:keepNext/>
              <w:keepLines/>
              <w:jc w:val="center"/>
            </w:pPr>
            <w:r w:rsidRPr="00AE74F3">
              <w:t>ARR, proportion relapse free</w:t>
            </w:r>
          </w:p>
        </w:tc>
      </w:tr>
      <w:tr w:rsidR="008600A3" w:rsidRPr="00AE74F3" w14:paraId="0B067016" w14:textId="77777777" w:rsidTr="0067481D">
        <w:tc>
          <w:tcPr>
            <w:tcW w:w="808" w:type="pct"/>
            <w:shd w:val="clear" w:color="auto" w:fill="DBE5F1" w:themeFill="accent1" w:themeFillTint="33"/>
            <w:vAlign w:val="center"/>
          </w:tcPr>
          <w:p w14:paraId="0A896C15" w14:textId="77777777" w:rsidR="008600A3" w:rsidRPr="00AE74F3" w:rsidRDefault="008600A3" w:rsidP="00F9193A">
            <w:pPr>
              <w:pStyle w:val="Tabletext"/>
              <w:keepNext/>
              <w:keepLines/>
            </w:pPr>
            <w:r w:rsidRPr="00AE74F3">
              <w:t>TOWER</w:t>
            </w:r>
          </w:p>
        </w:tc>
        <w:tc>
          <w:tcPr>
            <w:tcW w:w="389" w:type="pct"/>
            <w:gridSpan w:val="3"/>
            <w:shd w:val="clear" w:color="auto" w:fill="DBE5F1" w:themeFill="accent1" w:themeFillTint="33"/>
            <w:vAlign w:val="center"/>
          </w:tcPr>
          <w:p w14:paraId="550411BB" w14:textId="77777777" w:rsidR="008600A3" w:rsidRPr="00AE74F3" w:rsidRDefault="008600A3" w:rsidP="00F9193A">
            <w:pPr>
              <w:pStyle w:val="Tabletext"/>
              <w:keepNext/>
              <w:keepLines/>
              <w:jc w:val="center"/>
            </w:pPr>
            <w:r w:rsidRPr="00AE74F3">
              <w:t>1169</w:t>
            </w:r>
          </w:p>
        </w:tc>
        <w:tc>
          <w:tcPr>
            <w:tcW w:w="747" w:type="pct"/>
            <w:shd w:val="clear" w:color="auto" w:fill="DBE5F1" w:themeFill="accent1" w:themeFillTint="33"/>
            <w:vAlign w:val="center"/>
          </w:tcPr>
          <w:p w14:paraId="1829244E" w14:textId="77777777" w:rsidR="008600A3" w:rsidRPr="00AE74F3" w:rsidRDefault="008600A3" w:rsidP="00F9193A">
            <w:pPr>
              <w:pStyle w:val="Tabletext"/>
              <w:keepNext/>
              <w:keepLines/>
              <w:jc w:val="center"/>
            </w:pPr>
            <w:r w:rsidRPr="00AE74F3">
              <w:t>R, DB, 48+ weeks</w:t>
            </w:r>
          </w:p>
        </w:tc>
        <w:tc>
          <w:tcPr>
            <w:tcW w:w="540" w:type="pct"/>
            <w:gridSpan w:val="2"/>
            <w:shd w:val="clear" w:color="auto" w:fill="DBE5F1" w:themeFill="accent1" w:themeFillTint="33"/>
            <w:vAlign w:val="center"/>
          </w:tcPr>
          <w:p w14:paraId="7D6270FD" w14:textId="77777777" w:rsidR="008600A3" w:rsidRPr="00AE74F3" w:rsidRDefault="008600A3" w:rsidP="00F9193A">
            <w:pPr>
              <w:pStyle w:val="Tabletext"/>
              <w:keepNext/>
              <w:keepLines/>
              <w:jc w:val="center"/>
            </w:pPr>
            <w:r w:rsidRPr="00AE74F3">
              <w:t>High</w:t>
            </w:r>
          </w:p>
        </w:tc>
        <w:tc>
          <w:tcPr>
            <w:tcW w:w="1604" w:type="pct"/>
            <w:gridSpan w:val="2"/>
            <w:shd w:val="clear" w:color="auto" w:fill="DBE5F1" w:themeFill="accent1" w:themeFillTint="33"/>
            <w:vAlign w:val="center"/>
          </w:tcPr>
          <w:p w14:paraId="4495A401" w14:textId="77777777" w:rsidR="008600A3" w:rsidRPr="00AE74F3" w:rsidRDefault="008600A3" w:rsidP="00F9193A">
            <w:pPr>
              <w:pStyle w:val="Tabletext"/>
              <w:keepNext/>
              <w:keepLines/>
              <w:jc w:val="center"/>
            </w:pPr>
            <w:r w:rsidRPr="00AE74F3">
              <w:t xml:space="preserve">RMS (RRMS, SPMS, or PRMS) </w:t>
            </w:r>
            <w:r w:rsidRPr="00AE74F3">
              <w:br/>
              <w:t>(97% RRMS)</w:t>
            </w:r>
          </w:p>
        </w:tc>
        <w:tc>
          <w:tcPr>
            <w:tcW w:w="912" w:type="pct"/>
            <w:vMerge/>
            <w:shd w:val="clear" w:color="auto" w:fill="DBE5F1" w:themeFill="accent1" w:themeFillTint="33"/>
            <w:vAlign w:val="center"/>
          </w:tcPr>
          <w:p w14:paraId="3BC18B36" w14:textId="77777777" w:rsidR="008600A3" w:rsidRPr="00AE74F3" w:rsidRDefault="008600A3" w:rsidP="00F9193A">
            <w:pPr>
              <w:pStyle w:val="Tabletext"/>
              <w:keepNext/>
              <w:keepLines/>
              <w:jc w:val="center"/>
            </w:pPr>
          </w:p>
        </w:tc>
      </w:tr>
      <w:tr w:rsidR="008600A3" w:rsidRPr="00AE74F3" w14:paraId="47D42849" w14:textId="77777777" w:rsidTr="0067481D">
        <w:tc>
          <w:tcPr>
            <w:tcW w:w="5000" w:type="pct"/>
            <w:gridSpan w:val="10"/>
            <w:shd w:val="clear" w:color="auto" w:fill="DBE5F1" w:themeFill="accent1" w:themeFillTint="33"/>
            <w:vAlign w:val="center"/>
          </w:tcPr>
          <w:p w14:paraId="1106AAD3" w14:textId="77777777" w:rsidR="008600A3" w:rsidRPr="00AE74F3" w:rsidRDefault="008600A3" w:rsidP="00F9193A">
            <w:pPr>
              <w:pStyle w:val="Tabletext"/>
              <w:keepNext/>
              <w:keepLines/>
            </w:pPr>
            <w:r w:rsidRPr="00AE74F3">
              <w:rPr>
                <w:b/>
                <w:bCs/>
              </w:rPr>
              <w:t>Fingolimod versus placebo</w:t>
            </w:r>
          </w:p>
        </w:tc>
      </w:tr>
      <w:tr w:rsidR="008600A3" w:rsidRPr="00AE74F3" w14:paraId="6984B76D" w14:textId="77777777" w:rsidTr="0067481D">
        <w:trPr>
          <w:trHeight w:val="339"/>
        </w:trPr>
        <w:tc>
          <w:tcPr>
            <w:tcW w:w="808" w:type="pct"/>
            <w:shd w:val="clear" w:color="auto" w:fill="DBE5F1" w:themeFill="accent1" w:themeFillTint="33"/>
            <w:vAlign w:val="center"/>
          </w:tcPr>
          <w:p w14:paraId="311A44DF" w14:textId="77777777" w:rsidR="008600A3" w:rsidRPr="00AE74F3" w:rsidRDefault="008600A3" w:rsidP="00F9193A">
            <w:pPr>
              <w:pStyle w:val="Tabletext"/>
              <w:keepNext/>
              <w:keepLines/>
            </w:pPr>
            <w:r w:rsidRPr="00AE74F3">
              <w:t>FREEDOMS I</w:t>
            </w:r>
          </w:p>
        </w:tc>
        <w:tc>
          <w:tcPr>
            <w:tcW w:w="389" w:type="pct"/>
            <w:gridSpan w:val="3"/>
            <w:shd w:val="clear" w:color="auto" w:fill="DBE5F1" w:themeFill="accent1" w:themeFillTint="33"/>
            <w:vAlign w:val="center"/>
          </w:tcPr>
          <w:p w14:paraId="57D0FC5F" w14:textId="77777777" w:rsidR="008600A3" w:rsidRPr="00AE74F3" w:rsidRDefault="008600A3" w:rsidP="00F9193A">
            <w:pPr>
              <w:pStyle w:val="Tabletext"/>
              <w:keepNext/>
              <w:keepLines/>
              <w:jc w:val="center"/>
            </w:pPr>
            <w:r w:rsidRPr="00AE74F3">
              <w:t>1272</w:t>
            </w:r>
          </w:p>
        </w:tc>
        <w:tc>
          <w:tcPr>
            <w:tcW w:w="747" w:type="pct"/>
            <w:shd w:val="clear" w:color="auto" w:fill="DBE5F1" w:themeFill="accent1" w:themeFillTint="33"/>
            <w:vAlign w:val="center"/>
          </w:tcPr>
          <w:p w14:paraId="076EAECB" w14:textId="77777777" w:rsidR="008600A3" w:rsidRPr="00AE74F3" w:rsidRDefault="008600A3" w:rsidP="00F9193A">
            <w:pPr>
              <w:pStyle w:val="Tabletext"/>
              <w:keepNext/>
              <w:keepLines/>
              <w:jc w:val="center"/>
            </w:pPr>
            <w:r w:rsidRPr="00AE74F3">
              <w:t>R, DB, 24 months</w:t>
            </w:r>
          </w:p>
        </w:tc>
        <w:tc>
          <w:tcPr>
            <w:tcW w:w="540" w:type="pct"/>
            <w:gridSpan w:val="2"/>
            <w:shd w:val="clear" w:color="auto" w:fill="DBE5F1" w:themeFill="accent1" w:themeFillTint="33"/>
            <w:vAlign w:val="center"/>
          </w:tcPr>
          <w:p w14:paraId="3C3452E6" w14:textId="77777777" w:rsidR="008600A3" w:rsidRPr="00AE74F3" w:rsidRDefault="008600A3" w:rsidP="00F9193A">
            <w:pPr>
              <w:pStyle w:val="Tabletext"/>
              <w:keepNext/>
              <w:keepLines/>
              <w:jc w:val="center"/>
            </w:pPr>
            <w:r w:rsidRPr="00AE74F3">
              <w:t>Low</w:t>
            </w:r>
          </w:p>
        </w:tc>
        <w:tc>
          <w:tcPr>
            <w:tcW w:w="1604" w:type="pct"/>
            <w:gridSpan w:val="2"/>
            <w:shd w:val="clear" w:color="auto" w:fill="DBE5F1" w:themeFill="accent1" w:themeFillTint="33"/>
            <w:vAlign w:val="center"/>
          </w:tcPr>
          <w:p w14:paraId="3E5D2163" w14:textId="77777777" w:rsidR="008600A3" w:rsidRPr="00AE74F3" w:rsidRDefault="008600A3" w:rsidP="00F9193A">
            <w:pPr>
              <w:pStyle w:val="Tabletext"/>
              <w:keepNext/>
              <w:keepLines/>
              <w:jc w:val="center"/>
            </w:pPr>
            <w:r w:rsidRPr="00AE74F3">
              <w:t>RRMS</w:t>
            </w:r>
          </w:p>
        </w:tc>
        <w:tc>
          <w:tcPr>
            <w:tcW w:w="912" w:type="pct"/>
            <w:vMerge w:val="restart"/>
            <w:shd w:val="clear" w:color="auto" w:fill="DBE5F1" w:themeFill="accent1" w:themeFillTint="33"/>
            <w:vAlign w:val="center"/>
          </w:tcPr>
          <w:p w14:paraId="15D6B905" w14:textId="77777777" w:rsidR="008600A3" w:rsidRPr="00AE74F3" w:rsidRDefault="008600A3" w:rsidP="00F9193A">
            <w:pPr>
              <w:pStyle w:val="Tabletext"/>
              <w:keepNext/>
              <w:keepLines/>
              <w:jc w:val="center"/>
            </w:pPr>
            <w:r w:rsidRPr="00AE74F3">
              <w:t>ARR, 3/6 month CDP, proportion relapse free</w:t>
            </w:r>
          </w:p>
        </w:tc>
      </w:tr>
      <w:tr w:rsidR="008600A3" w:rsidRPr="00AE74F3" w14:paraId="549F9306" w14:textId="77777777" w:rsidTr="0067481D">
        <w:trPr>
          <w:trHeight w:val="339"/>
        </w:trPr>
        <w:tc>
          <w:tcPr>
            <w:tcW w:w="808" w:type="pct"/>
            <w:shd w:val="clear" w:color="auto" w:fill="DBE5F1" w:themeFill="accent1" w:themeFillTint="33"/>
            <w:vAlign w:val="center"/>
          </w:tcPr>
          <w:p w14:paraId="237DBCCC" w14:textId="77777777" w:rsidR="008600A3" w:rsidRPr="00AE74F3" w:rsidRDefault="008600A3" w:rsidP="00F9193A">
            <w:pPr>
              <w:pStyle w:val="Tabletext"/>
              <w:keepNext/>
              <w:keepLines/>
            </w:pPr>
            <w:r w:rsidRPr="00AE74F3">
              <w:t>FREEDOMS II</w:t>
            </w:r>
          </w:p>
        </w:tc>
        <w:tc>
          <w:tcPr>
            <w:tcW w:w="389" w:type="pct"/>
            <w:gridSpan w:val="3"/>
            <w:shd w:val="clear" w:color="auto" w:fill="DBE5F1" w:themeFill="accent1" w:themeFillTint="33"/>
            <w:vAlign w:val="center"/>
          </w:tcPr>
          <w:p w14:paraId="29C09CAD" w14:textId="77777777" w:rsidR="008600A3" w:rsidRPr="00AE74F3" w:rsidRDefault="008600A3" w:rsidP="00F9193A">
            <w:pPr>
              <w:pStyle w:val="Tabletext"/>
              <w:keepNext/>
              <w:keepLines/>
              <w:jc w:val="center"/>
            </w:pPr>
            <w:r w:rsidRPr="00AE74F3">
              <w:t>1083</w:t>
            </w:r>
          </w:p>
        </w:tc>
        <w:tc>
          <w:tcPr>
            <w:tcW w:w="747" w:type="pct"/>
            <w:shd w:val="clear" w:color="auto" w:fill="DBE5F1" w:themeFill="accent1" w:themeFillTint="33"/>
            <w:vAlign w:val="center"/>
          </w:tcPr>
          <w:p w14:paraId="5D476606" w14:textId="77777777" w:rsidR="008600A3" w:rsidRPr="00AE74F3" w:rsidRDefault="008600A3" w:rsidP="00F9193A">
            <w:pPr>
              <w:pStyle w:val="Tabletext"/>
              <w:keepNext/>
              <w:keepLines/>
              <w:jc w:val="center"/>
            </w:pPr>
            <w:r w:rsidRPr="00AE74F3">
              <w:t>R, DB, 24 months</w:t>
            </w:r>
          </w:p>
        </w:tc>
        <w:tc>
          <w:tcPr>
            <w:tcW w:w="540" w:type="pct"/>
            <w:gridSpan w:val="2"/>
            <w:shd w:val="clear" w:color="auto" w:fill="DBE5F1" w:themeFill="accent1" w:themeFillTint="33"/>
            <w:vAlign w:val="center"/>
          </w:tcPr>
          <w:p w14:paraId="1721D178" w14:textId="77777777" w:rsidR="008600A3" w:rsidRPr="00AE74F3" w:rsidRDefault="008600A3" w:rsidP="00F9193A">
            <w:pPr>
              <w:pStyle w:val="Tabletext"/>
              <w:keepNext/>
              <w:keepLines/>
              <w:jc w:val="center"/>
            </w:pPr>
            <w:r w:rsidRPr="00AE74F3">
              <w:t>Low</w:t>
            </w:r>
          </w:p>
        </w:tc>
        <w:tc>
          <w:tcPr>
            <w:tcW w:w="1604" w:type="pct"/>
            <w:gridSpan w:val="2"/>
            <w:shd w:val="clear" w:color="auto" w:fill="DBE5F1" w:themeFill="accent1" w:themeFillTint="33"/>
            <w:vAlign w:val="center"/>
          </w:tcPr>
          <w:p w14:paraId="076DA18B" w14:textId="77777777" w:rsidR="008600A3" w:rsidRPr="00AE74F3" w:rsidRDefault="008600A3" w:rsidP="00F9193A">
            <w:pPr>
              <w:pStyle w:val="Tabletext"/>
              <w:keepNext/>
              <w:keepLines/>
              <w:jc w:val="center"/>
            </w:pPr>
            <w:r w:rsidRPr="00AE74F3">
              <w:t>RRMS</w:t>
            </w:r>
          </w:p>
        </w:tc>
        <w:tc>
          <w:tcPr>
            <w:tcW w:w="912" w:type="pct"/>
            <w:vMerge/>
            <w:shd w:val="clear" w:color="auto" w:fill="DBE5F1" w:themeFill="accent1" w:themeFillTint="33"/>
            <w:vAlign w:val="center"/>
          </w:tcPr>
          <w:p w14:paraId="13DB06C6" w14:textId="77777777" w:rsidR="008600A3" w:rsidRPr="00AE74F3" w:rsidRDefault="008600A3" w:rsidP="00F9193A">
            <w:pPr>
              <w:pStyle w:val="Tabletext"/>
              <w:keepNext/>
              <w:keepLines/>
              <w:jc w:val="center"/>
            </w:pPr>
          </w:p>
        </w:tc>
      </w:tr>
      <w:tr w:rsidR="008600A3" w:rsidRPr="00AE74F3" w14:paraId="69B96154" w14:textId="77777777" w:rsidTr="0067481D">
        <w:tc>
          <w:tcPr>
            <w:tcW w:w="5000" w:type="pct"/>
            <w:gridSpan w:val="10"/>
            <w:shd w:val="clear" w:color="auto" w:fill="DBE5F1" w:themeFill="accent1" w:themeFillTint="33"/>
            <w:vAlign w:val="center"/>
          </w:tcPr>
          <w:p w14:paraId="08D836C2" w14:textId="77777777" w:rsidR="008600A3" w:rsidRPr="00AE74F3" w:rsidRDefault="008600A3" w:rsidP="00F9193A">
            <w:pPr>
              <w:pStyle w:val="In-tableHeading"/>
              <w:keepLines/>
              <w:rPr>
                <w:lang w:val="en-AU"/>
              </w:rPr>
            </w:pPr>
            <w:r w:rsidRPr="00AE74F3">
              <w:rPr>
                <w:lang w:val="en-AU"/>
              </w:rPr>
              <w:t>Fingolimod versus interferon</w:t>
            </w:r>
            <w:r w:rsidRPr="00AE74F3">
              <w:rPr>
                <w:lang w:val="en-AU"/>
              </w:rPr>
              <w:noBreakHyphen/>
              <w:t>beta-1a</w:t>
            </w:r>
          </w:p>
        </w:tc>
      </w:tr>
      <w:tr w:rsidR="008600A3" w:rsidRPr="00AE74F3" w14:paraId="55B9ED52" w14:textId="77777777" w:rsidTr="0067481D">
        <w:tc>
          <w:tcPr>
            <w:tcW w:w="857" w:type="pct"/>
            <w:gridSpan w:val="2"/>
            <w:shd w:val="clear" w:color="auto" w:fill="DBE5F1" w:themeFill="accent1" w:themeFillTint="33"/>
            <w:vAlign w:val="center"/>
          </w:tcPr>
          <w:p w14:paraId="07D7BDD8" w14:textId="77777777" w:rsidR="008600A3" w:rsidRPr="00AE74F3" w:rsidRDefault="008600A3" w:rsidP="00F9193A">
            <w:pPr>
              <w:pStyle w:val="TableText0"/>
              <w:keepLines/>
            </w:pPr>
            <w:r w:rsidRPr="00AE74F3">
              <w:t>TRANSFORMS</w:t>
            </w:r>
          </w:p>
        </w:tc>
        <w:tc>
          <w:tcPr>
            <w:tcW w:w="320" w:type="pct"/>
            <w:shd w:val="clear" w:color="auto" w:fill="DBE5F1" w:themeFill="accent1" w:themeFillTint="33"/>
            <w:vAlign w:val="center"/>
          </w:tcPr>
          <w:p w14:paraId="7A9AB147" w14:textId="77777777" w:rsidR="008600A3" w:rsidRPr="00AE74F3" w:rsidRDefault="008600A3" w:rsidP="00F9193A">
            <w:pPr>
              <w:pStyle w:val="TableText0"/>
              <w:keepLines/>
              <w:jc w:val="center"/>
            </w:pPr>
            <w:r w:rsidRPr="00AE74F3">
              <w:t>1,292</w:t>
            </w:r>
          </w:p>
        </w:tc>
        <w:tc>
          <w:tcPr>
            <w:tcW w:w="786" w:type="pct"/>
            <w:gridSpan w:val="3"/>
            <w:shd w:val="clear" w:color="auto" w:fill="DBE5F1" w:themeFill="accent1" w:themeFillTint="33"/>
            <w:vAlign w:val="center"/>
          </w:tcPr>
          <w:p w14:paraId="1B8FD846" w14:textId="77777777" w:rsidR="008600A3" w:rsidRPr="00AE74F3" w:rsidRDefault="008600A3" w:rsidP="00F9193A">
            <w:pPr>
              <w:pStyle w:val="TableText0"/>
              <w:keepLines/>
              <w:jc w:val="center"/>
            </w:pPr>
            <w:r w:rsidRPr="00AE74F3">
              <w:t>DB, DD, MC, R</w:t>
            </w:r>
          </w:p>
          <w:p w14:paraId="7868A30F" w14:textId="77777777" w:rsidR="008600A3" w:rsidRPr="00AE74F3" w:rsidRDefault="008600A3" w:rsidP="00F9193A">
            <w:pPr>
              <w:pStyle w:val="TableText0"/>
              <w:keepLines/>
              <w:jc w:val="center"/>
            </w:pPr>
            <w:r w:rsidRPr="00AE74F3">
              <w:t>≥ 12 months</w:t>
            </w:r>
          </w:p>
        </w:tc>
        <w:tc>
          <w:tcPr>
            <w:tcW w:w="550" w:type="pct"/>
            <w:gridSpan w:val="2"/>
            <w:shd w:val="clear" w:color="auto" w:fill="DBE5F1" w:themeFill="accent1" w:themeFillTint="33"/>
            <w:vAlign w:val="center"/>
          </w:tcPr>
          <w:p w14:paraId="6144680A" w14:textId="77777777" w:rsidR="008600A3" w:rsidRPr="00AE74F3" w:rsidRDefault="008600A3" w:rsidP="00F9193A">
            <w:pPr>
              <w:pStyle w:val="TableText0"/>
              <w:keepLines/>
              <w:jc w:val="center"/>
            </w:pPr>
            <w:r w:rsidRPr="00AE74F3">
              <w:t>Low</w:t>
            </w:r>
          </w:p>
        </w:tc>
        <w:tc>
          <w:tcPr>
            <w:tcW w:w="1575" w:type="pct"/>
            <w:shd w:val="clear" w:color="auto" w:fill="DBE5F1" w:themeFill="accent1" w:themeFillTint="33"/>
            <w:vAlign w:val="center"/>
          </w:tcPr>
          <w:p w14:paraId="18582F90" w14:textId="77777777" w:rsidR="008600A3" w:rsidRPr="00AE74F3" w:rsidRDefault="008600A3" w:rsidP="00F9193A">
            <w:pPr>
              <w:pStyle w:val="TableText0"/>
              <w:keepLines/>
              <w:jc w:val="center"/>
            </w:pPr>
            <w:r w:rsidRPr="00AE74F3">
              <w:t>RMS</w:t>
            </w:r>
          </w:p>
        </w:tc>
        <w:tc>
          <w:tcPr>
            <w:tcW w:w="912" w:type="pct"/>
            <w:shd w:val="clear" w:color="auto" w:fill="DBE5F1" w:themeFill="accent1" w:themeFillTint="33"/>
            <w:vAlign w:val="center"/>
          </w:tcPr>
          <w:p w14:paraId="0A255852" w14:textId="77777777" w:rsidR="008600A3" w:rsidRPr="00AE74F3" w:rsidRDefault="008600A3" w:rsidP="00F9193A">
            <w:pPr>
              <w:pStyle w:val="TableText0"/>
              <w:keepLines/>
              <w:jc w:val="center"/>
            </w:pPr>
            <w:r w:rsidRPr="00AE74F3">
              <w:t>ARR, disability progression, MS related lesions</w:t>
            </w:r>
          </w:p>
        </w:tc>
      </w:tr>
    </w:tbl>
    <w:p w14:paraId="58D25115" w14:textId="77777777" w:rsidR="008600A3" w:rsidRPr="00AE74F3" w:rsidRDefault="008600A3" w:rsidP="00F9193A">
      <w:pPr>
        <w:pStyle w:val="TableFooter"/>
        <w:keepNext/>
        <w:keepLines/>
      </w:pPr>
      <w:r w:rsidRPr="00AE74F3">
        <w:t xml:space="preserve">ARR = annualised relapse rate; CDP = confirmed disability progression DB = double blind; PRMS = progressive-relapsing multiple sclerosis; R = randomised; RMS = relapsing multiple sclerosis; RRMS = relapsing-remitting multiple sclerosis; SPMS = secondary progressive multiple sclerosis </w:t>
      </w:r>
    </w:p>
    <w:p w14:paraId="177D7ADB" w14:textId="77777777" w:rsidR="008600A3" w:rsidRPr="00AE74F3" w:rsidRDefault="008600A3" w:rsidP="00F9193A">
      <w:pPr>
        <w:pStyle w:val="TableFooter"/>
        <w:keepNext/>
        <w:keepLines/>
      </w:pPr>
      <w:r w:rsidRPr="00885BF6">
        <w:rPr>
          <w:vertAlign w:val="superscript"/>
        </w:rPr>
        <w:t>a</w:t>
      </w:r>
      <w:r w:rsidRPr="00AE74F3">
        <w:t xml:space="preserve"> The ASCLEPIOS I/II trials and the submission referred to this as confirmed disability worsening (CDW).</w:t>
      </w:r>
    </w:p>
    <w:p w14:paraId="43DEF06F" w14:textId="77777777" w:rsidR="008600A3" w:rsidRPr="00AE74F3" w:rsidRDefault="008600A3" w:rsidP="00F9193A">
      <w:pPr>
        <w:pStyle w:val="TableFooter"/>
        <w:keepNext/>
        <w:keepLines/>
        <w:rPr>
          <w:sz w:val="20"/>
        </w:rPr>
      </w:pPr>
      <w:r w:rsidRPr="00AE74F3">
        <w:t>Blue shading indicates that the PBAC have previously reviewed these trials.</w:t>
      </w:r>
    </w:p>
    <w:p w14:paraId="488240E0" w14:textId="344B34C8" w:rsidR="008600A3" w:rsidRPr="00AE74F3" w:rsidRDefault="008600A3" w:rsidP="00F9193A">
      <w:pPr>
        <w:pStyle w:val="TableFooter"/>
        <w:spacing w:after="120"/>
      </w:pPr>
      <w:r w:rsidRPr="00AE74F3">
        <w:t>Source: Table 3, ofatumumab PSD, March 2021 PBAC meeting and Table 3, ozanimod PSD, March 2020 PBAC meeting.</w:t>
      </w:r>
    </w:p>
    <w:p w14:paraId="0306C13A" w14:textId="16308598" w:rsidR="00B91E84" w:rsidRPr="00AE74F3" w:rsidRDefault="008600A3" w:rsidP="00776608">
      <w:pPr>
        <w:pStyle w:val="3-BodyText"/>
      </w:pPr>
      <w:r w:rsidRPr="00AE74F3">
        <w:t xml:space="preserve">In </w:t>
      </w:r>
      <w:r w:rsidR="002C581D" w:rsidRPr="00AE74F3">
        <w:t>its</w:t>
      </w:r>
      <w:r w:rsidRPr="00AE74F3">
        <w:t xml:space="preserve"> March 2021 </w:t>
      </w:r>
      <w:r w:rsidR="002C581D" w:rsidRPr="00AE74F3">
        <w:t xml:space="preserve">consideration of </w:t>
      </w:r>
      <w:r w:rsidRPr="00AE74F3">
        <w:t xml:space="preserve">ofatumumab, the PBAC </w:t>
      </w:r>
      <w:r w:rsidR="00776608" w:rsidRPr="00AE74F3">
        <w:t>considered that the TEMSO and TOWER trials (</w:t>
      </w:r>
      <w:r w:rsidR="008B4B04" w:rsidRPr="00AE74F3">
        <w:t>comparing teriflunomide to placebo</w:t>
      </w:r>
      <w:r w:rsidR="00776608" w:rsidRPr="00AE74F3">
        <w:t>)</w:t>
      </w:r>
      <w:r w:rsidR="008B4B04" w:rsidRPr="00AE74F3">
        <w:t xml:space="preserve"> had </w:t>
      </w:r>
      <w:r w:rsidR="00AC3CB4" w:rsidRPr="00AE74F3">
        <w:t>a</w:t>
      </w:r>
      <w:r w:rsidR="008B4B04" w:rsidRPr="00AE74F3">
        <w:t xml:space="preserve"> high </w:t>
      </w:r>
      <w:r w:rsidR="00776608" w:rsidRPr="00AE74F3">
        <w:t xml:space="preserve">overall </w:t>
      </w:r>
      <w:r w:rsidR="008B4B04" w:rsidRPr="00AE74F3">
        <w:t xml:space="preserve">risk of </w:t>
      </w:r>
      <w:r w:rsidR="00776608" w:rsidRPr="00AE74F3">
        <w:t xml:space="preserve">bias. The PBAC considered that the TEMSO trial had a high risk of </w:t>
      </w:r>
      <w:r w:rsidR="008B4B04" w:rsidRPr="00AE74F3">
        <w:t xml:space="preserve">detection bias (as relapse outcomes identified by a blinded assessor had to be confirmed by </w:t>
      </w:r>
      <w:r w:rsidR="00AC3CB4" w:rsidRPr="00AE74F3">
        <w:t xml:space="preserve">an </w:t>
      </w:r>
      <w:r w:rsidR="008B4B04" w:rsidRPr="00AE74F3">
        <w:t xml:space="preserve">unblinded treating neurologist, meaning that the assessment was effectively unblinded), </w:t>
      </w:r>
      <w:r w:rsidR="00AC3CB4" w:rsidRPr="00AE74F3">
        <w:t xml:space="preserve">an </w:t>
      </w:r>
      <w:r w:rsidR="008B4B04" w:rsidRPr="00AE74F3">
        <w:t>unknown risk of attrition bias</w:t>
      </w:r>
      <w:r w:rsidR="00AC3CB4" w:rsidRPr="00AE74F3">
        <w:t xml:space="preserve"> and</w:t>
      </w:r>
      <w:r w:rsidR="008B4B04" w:rsidRPr="00AE74F3">
        <w:t xml:space="preserve"> </w:t>
      </w:r>
      <w:r w:rsidR="00AC3CB4" w:rsidRPr="00AE74F3">
        <w:t xml:space="preserve">a </w:t>
      </w:r>
      <w:r w:rsidR="008B4B04" w:rsidRPr="00AE74F3">
        <w:t>high risk of reporting bias. The TOWER trial had a similar assessment of risk of bias except it had an unknown risk of detection bias, a high risk of attrition bias and a low risk of reporting bias (paragraph 6.15, ofatumumab PSD, March 2021)</w:t>
      </w:r>
      <w:r w:rsidR="00AC3CB4" w:rsidRPr="00AE74F3">
        <w:t xml:space="preserve">. </w:t>
      </w:r>
      <w:r w:rsidR="00885BF6">
        <w:t>The evaluation and the ESC considered that the high risk of bias with these trials</w:t>
      </w:r>
      <w:r w:rsidR="00C35617" w:rsidRPr="00AE74F3">
        <w:t xml:space="preserve"> </w:t>
      </w:r>
      <w:r w:rsidRPr="00AE74F3">
        <w:t xml:space="preserve">may limit the interpretability of the </w:t>
      </w:r>
      <w:r w:rsidR="00885BF6">
        <w:t>ITC</w:t>
      </w:r>
      <w:r w:rsidRPr="00AE74F3">
        <w:t xml:space="preserve"> (paragraph 6.16, ofatumumab PSD, March 2021)</w:t>
      </w:r>
      <w:r w:rsidR="00776608" w:rsidRPr="00AE74F3">
        <w:t>.</w:t>
      </w:r>
    </w:p>
    <w:p w14:paraId="202EE01E" w14:textId="06AE80F6" w:rsidR="00A43464" w:rsidRPr="00AE74F3" w:rsidRDefault="00A43464" w:rsidP="008600A3">
      <w:pPr>
        <w:pStyle w:val="3-BodyText"/>
      </w:pPr>
      <w:r w:rsidRPr="00AE74F3">
        <w:t xml:space="preserve">While ASCLEIPOS I and II and FREEDOMS I and II had low risk of within trial bias, </w:t>
      </w:r>
      <w:r w:rsidR="00ED6EA9" w:rsidRPr="00AE74F3">
        <w:t xml:space="preserve">their use in the ITC was possibly confounded by several </w:t>
      </w:r>
      <w:r w:rsidR="0094469E" w:rsidRPr="00AE74F3">
        <w:t xml:space="preserve">potential </w:t>
      </w:r>
      <w:r w:rsidR="00ED6EA9" w:rsidRPr="00AE74F3">
        <w:t>sources of intransitivity.</w:t>
      </w:r>
    </w:p>
    <w:p w14:paraId="3663AE23" w14:textId="28A97586" w:rsidR="008600A3" w:rsidRPr="00AE74F3" w:rsidRDefault="001A7122" w:rsidP="008600A3">
      <w:pPr>
        <w:pStyle w:val="3-BodyText"/>
      </w:pPr>
      <w:bookmarkStart w:id="24" w:name="_Ref153208141"/>
      <w:r w:rsidRPr="00AE74F3">
        <w:t>With regards to baseline characteristics</w:t>
      </w:r>
      <w:r w:rsidR="00657734" w:rsidRPr="00AE74F3">
        <w:t xml:space="preserve">, </w:t>
      </w:r>
      <w:r w:rsidRPr="00AE74F3">
        <w:t>p</w:t>
      </w:r>
      <w:r w:rsidR="008600A3" w:rsidRPr="00AE74F3">
        <w:t xml:space="preserve">atients in FREEDOMS II had a higher mean age, included a higher proportion of females, had a longer time since onset of MS symptoms, a longer time since MS diagnosis, a lower mean EDSS and a higher proportion of prior DMT use compared to patients in the other trials. </w:t>
      </w:r>
      <w:r w:rsidR="00F566CA" w:rsidRPr="00AE74F3">
        <w:t>P</w:t>
      </w:r>
      <w:r w:rsidR="008600A3" w:rsidRPr="00AE74F3">
        <w:t xml:space="preserve">atients in FREEDOMS I and II </w:t>
      </w:r>
      <w:r w:rsidR="00F566CA" w:rsidRPr="00AE74F3">
        <w:t xml:space="preserve">also </w:t>
      </w:r>
      <w:r w:rsidR="008600A3" w:rsidRPr="00AE74F3">
        <w:t xml:space="preserve">had a lower mean EDSS compared to patients in the other trials but </w:t>
      </w:r>
      <w:r w:rsidR="007E473E">
        <w:t xml:space="preserve">a </w:t>
      </w:r>
      <w:r w:rsidR="008600A3" w:rsidRPr="00AE74F3">
        <w:t xml:space="preserve">similar mean EDSS to patients in FREEDOMS II. Moreover, the mean </w:t>
      </w:r>
      <w:r w:rsidR="008600A3" w:rsidRPr="00AE74F3">
        <w:lastRenderedPageBreak/>
        <w:t>number of relapses in the one year prior to enrolment was higher in FREEDOMS I and II (1.5) than in ASCLEPIOS I and II (1.2-1.3).</w:t>
      </w:r>
      <w:bookmarkEnd w:id="24"/>
    </w:p>
    <w:p w14:paraId="527BBE98" w14:textId="54362975" w:rsidR="00657734" w:rsidRPr="00AE74F3" w:rsidRDefault="00657734" w:rsidP="008600A3">
      <w:pPr>
        <w:pStyle w:val="3-BodyText"/>
      </w:pPr>
      <w:r w:rsidRPr="00AE74F3">
        <w:t>With regards to prior DMT treatment, the majority of patients in ASCLEPIOS I and II had previously been treated with a DMT (58.9-61.8%), with interferon beta (37.6-38.3%) and glatiramer acetate (22.9-31.4%) most commonly used. Prior use of DMTs was lower in FREEDOMS I (40.4-42.6%), TEMSO (24.8-28.4%) and TOWER (34.0-35.0%) but was higher in FREEDOMS II (73.0-73.7%).</w:t>
      </w:r>
    </w:p>
    <w:p w14:paraId="4F04F6B2" w14:textId="76885685" w:rsidR="00564B5C" w:rsidRPr="00AE74F3" w:rsidRDefault="00564B5C" w:rsidP="00F05419">
      <w:pPr>
        <w:pStyle w:val="3-BodyText"/>
      </w:pPr>
      <w:bookmarkStart w:id="25" w:name="_Ref154579321"/>
      <w:r w:rsidRPr="00AE74F3">
        <w:t>The submission noted that the ofatumumab trials were conducted between 2016 and 2019, the fingolimod trials were conducted between 2006 and 2011 and the teriflunomide trials were published in 2011 and 2014. Consequently, the trials were conducted over a l</w:t>
      </w:r>
      <w:r w:rsidR="007E473E">
        <w:t>ong ti</w:t>
      </w:r>
      <w:r w:rsidRPr="00AE74F3">
        <w:t>me span which likely reduced their comparability due to the evolution of the</w:t>
      </w:r>
      <w:r w:rsidR="007E473E">
        <w:t xml:space="preserve"> diagnosis and</w:t>
      </w:r>
      <w:r w:rsidRPr="00AE74F3">
        <w:t xml:space="preserve"> treatment of MS during this period.</w:t>
      </w:r>
      <w:bookmarkEnd w:id="25"/>
      <w:r w:rsidR="00FD4615" w:rsidRPr="00AE74F3">
        <w:t xml:space="preserve"> </w:t>
      </w:r>
      <w:bookmarkStart w:id="26" w:name="_Ref154579522"/>
      <w:r w:rsidRPr="00AE74F3">
        <w:t xml:space="preserve">This </w:t>
      </w:r>
      <w:r w:rsidR="00A914A9" w:rsidRPr="00AE74F3">
        <w:t xml:space="preserve">could be observed in the types of prior </w:t>
      </w:r>
      <w:r w:rsidR="00657734" w:rsidRPr="00AE74F3">
        <w:t>DMTs used. For example, only patients from the more recent ASCLEPIOS I and II reported any prior use of fingolimod, and the prior use of any high-efficacy tier DMT (based on the current definition) was higher in ASCLEPIOS I and II (13-17%) than FREEDOMS I and II (0.5-6.5%) or TEMSO (0%) and TOWER (0%).</w:t>
      </w:r>
      <w:bookmarkEnd w:id="26"/>
    </w:p>
    <w:p w14:paraId="0862AEE8" w14:textId="705A926A" w:rsidR="00FE21EB" w:rsidRPr="00AE74F3" w:rsidRDefault="004F3D17" w:rsidP="00F06505">
      <w:pPr>
        <w:pStyle w:val="3-BodyText"/>
      </w:pPr>
      <w:r w:rsidRPr="00AE74F3">
        <w:t xml:space="preserve">There were also differences in the diagnostic criteria used in </w:t>
      </w:r>
      <w:r w:rsidR="007E473E">
        <w:t>the</w:t>
      </w:r>
      <w:r w:rsidRPr="00AE74F3">
        <w:t xml:space="preserve"> trial</w:t>
      </w:r>
      <w:r w:rsidR="007E473E">
        <w:t>s</w:t>
      </w:r>
      <w:r w:rsidRPr="00AE74F3">
        <w:t xml:space="preserve">. </w:t>
      </w:r>
      <w:r w:rsidR="00CF4BA9" w:rsidRPr="00AE74F3">
        <w:t>ASCLEPIOS I and II required a diagnosis of MS using the 2010 McDonald criteria, whereas FREEDOMS I and II and TRANSFORMS required a diagnosis of MS using the 2005 McDonald criteria. In the TEMSO and TOWER teriflunomide trials, the MS diagnosis was made according to the 2001 and 2005 McDonald criteria, respectively. Gelfand 2014</w:t>
      </w:r>
      <w:r w:rsidR="00CF4BA9" w:rsidRPr="00AE74F3">
        <w:rPr>
          <w:rStyle w:val="FootnoteReference"/>
        </w:rPr>
        <w:footnoteReference w:id="1"/>
      </w:r>
      <w:r w:rsidR="00FE21EB" w:rsidRPr="00AE74F3">
        <w:t xml:space="preserve">, in a review of the diagnosis of MS, noted that the result of revised versions of the McDonald criteria has been to successively encourage earlier diagnosis. </w:t>
      </w:r>
      <w:r w:rsidR="0087438B" w:rsidRPr="00AE74F3">
        <w:t xml:space="preserve"> </w:t>
      </w:r>
    </w:p>
    <w:p w14:paraId="2B998198" w14:textId="769E316B" w:rsidR="00657734" w:rsidRPr="00AE74F3" w:rsidRDefault="00657734" w:rsidP="008600A3">
      <w:pPr>
        <w:pStyle w:val="3-BodyText"/>
      </w:pPr>
      <w:bookmarkStart w:id="27" w:name="_Ref153208144"/>
      <w:r w:rsidRPr="00AE74F3">
        <w:t xml:space="preserve">Overall, </w:t>
      </w:r>
      <w:r w:rsidR="0081681D" w:rsidRPr="00AE74F3">
        <w:t xml:space="preserve">given the </w:t>
      </w:r>
      <w:r w:rsidRPr="00AE74F3">
        <w:t xml:space="preserve">differences </w:t>
      </w:r>
      <w:r w:rsidR="0081681D" w:rsidRPr="00AE74F3">
        <w:t xml:space="preserve">between </w:t>
      </w:r>
      <w:r w:rsidRPr="00AE74F3">
        <w:t xml:space="preserve">the baseline characteristics of the patients enrolled in each trial, and </w:t>
      </w:r>
      <w:r w:rsidR="00263073" w:rsidRPr="00AE74F3">
        <w:t xml:space="preserve">the </w:t>
      </w:r>
      <w:r w:rsidR="00984958" w:rsidRPr="00AE74F3">
        <w:t xml:space="preserve">differences </w:t>
      </w:r>
      <w:r w:rsidR="00057F3E" w:rsidRPr="00AE74F3">
        <w:t>in the time period at which each trial was conducted (which affected the diagnostic criteria and also</w:t>
      </w:r>
      <w:r w:rsidR="007E473E">
        <w:t xml:space="preserve"> the</w:t>
      </w:r>
      <w:r w:rsidR="00057F3E" w:rsidRPr="00AE74F3">
        <w:t xml:space="preserve"> types of prior DMT use</w:t>
      </w:r>
      <w:r w:rsidR="007E473E">
        <w:t>d</w:t>
      </w:r>
      <w:r w:rsidR="00057F3E" w:rsidRPr="00AE74F3">
        <w:t xml:space="preserve">), there were a large number of transitivity issues with the </w:t>
      </w:r>
      <w:r w:rsidR="0083664E" w:rsidRPr="00AE74F3">
        <w:t xml:space="preserve">ITC </w:t>
      </w:r>
      <w:r w:rsidR="00057F3E" w:rsidRPr="00AE74F3">
        <w:t>presented.</w:t>
      </w:r>
      <w:bookmarkEnd w:id="27"/>
      <w:r w:rsidR="00057F3E" w:rsidRPr="00AE74F3">
        <w:t xml:space="preserve"> </w:t>
      </w:r>
    </w:p>
    <w:p w14:paraId="291C3D9F" w14:textId="77777777" w:rsidR="008600A3" w:rsidRPr="004F43A8" w:rsidRDefault="008600A3" w:rsidP="008600A3">
      <w:pPr>
        <w:pStyle w:val="4-SubsectionHeading"/>
      </w:pPr>
      <w:bookmarkStart w:id="28" w:name="_Toc156817841"/>
      <w:r w:rsidRPr="004F43A8">
        <w:t>Comparative effectiveness</w:t>
      </w:r>
      <w:bookmarkEnd w:id="28"/>
    </w:p>
    <w:p w14:paraId="21C12AAF" w14:textId="2D9B99B6" w:rsidR="00F9502B" w:rsidRPr="00AE74F3" w:rsidRDefault="00F9502B" w:rsidP="00F9502B">
      <w:pPr>
        <w:pStyle w:val="3-BodyText"/>
        <w:numPr>
          <w:ilvl w:val="0"/>
          <w:numId w:val="0"/>
        </w:numPr>
        <w:ind w:left="720" w:hanging="720"/>
        <w:outlineLvl w:val="3"/>
        <w:rPr>
          <w:u w:val="single"/>
        </w:rPr>
      </w:pPr>
      <w:r w:rsidRPr="00AE74F3">
        <w:rPr>
          <w:u w:val="single"/>
        </w:rPr>
        <w:t>Two-step indirect treatment comparison</w:t>
      </w:r>
    </w:p>
    <w:p w14:paraId="3B74CC7C" w14:textId="727D922B" w:rsidR="008600A3" w:rsidRPr="00AE74F3" w:rsidRDefault="008600A3" w:rsidP="008600A3">
      <w:pPr>
        <w:pStyle w:val="3-BodyText"/>
      </w:pPr>
      <w:r w:rsidRPr="00AE74F3">
        <w:t xml:space="preserve">The annualised response rate (ARR) results for the included RCTs and the two-step ITC are presented in </w:t>
      </w:r>
      <w:r w:rsidRPr="00AE74F3">
        <w:fldChar w:fldCharType="begin" w:fldLock="1"/>
      </w:r>
      <w:r w:rsidRPr="00AE74F3">
        <w:instrText xml:space="preserve"> REF _Ref152948958 \h </w:instrText>
      </w:r>
      <w:r w:rsidR="00AE74F3" w:rsidRPr="00AE74F3">
        <w:instrText xml:space="preserve"> \* MERGEFORMAT </w:instrText>
      </w:r>
      <w:r w:rsidRPr="00AE74F3">
        <w:fldChar w:fldCharType="separate"/>
      </w:r>
      <w:r w:rsidR="00416916" w:rsidRPr="00AE74F3">
        <w:t xml:space="preserve">Table </w:t>
      </w:r>
      <w:r w:rsidR="00416916">
        <w:rPr>
          <w:noProof/>
        </w:rPr>
        <w:t>4</w:t>
      </w:r>
      <w:r w:rsidRPr="00AE74F3">
        <w:fldChar w:fldCharType="end"/>
      </w:r>
      <w:r w:rsidRPr="00AE74F3">
        <w:t>.</w:t>
      </w:r>
    </w:p>
    <w:p w14:paraId="0AD59514" w14:textId="0EF5B347" w:rsidR="008600A3" w:rsidRPr="00AE74F3" w:rsidRDefault="008600A3" w:rsidP="008600A3">
      <w:pPr>
        <w:pStyle w:val="Caption"/>
        <w:rPr>
          <w:rStyle w:val="CommentReference"/>
          <w:rFonts w:eastAsiaTheme="majorEastAsia" w:cstheme="majorBidi"/>
          <w:b/>
          <w:bCs w:val="0"/>
          <w:szCs w:val="24"/>
        </w:rPr>
      </w:pPr>
      <w:bookmarkStart w:id="29" w:name="_Ref152948958"/>
      <w:r w:rsidRPr="00AE74F3">
        <w:lastRenderedPageBreak/>
        <w:t xml:space="preserve">Table </w:t>
      </w:r>
      <w:r w:rsidR="002943DF">
        <w:fldChar w:fldCharType="begin" w:fldLock="1"/>
      </w:r>
      <w:r w:rsidR="002943DF">
        <w:instrText xml:space="preserve"> SEQ Table \* ARABIC </w:instrText>
      </w:r>
      <w:r w:rsidR="002943DF">
        <w:fldChar w:fldCharType="separate"/>
      </w:r>
      <w:r w:rsidR="00416916">
        <w:rPr>
          <w:noProof/>
        </w:rPr>
        <w:t>4</w:t>
      </w:r>
      <w:r w:rsidR="002943DF">
        <w:rPr>
          <w:noProof/>
        </w:rPr>
        <w:fldChar w:fldCharType="end"/>
      </w:r>
      <w:bookmarkEnd w:id="29"/>
      <w:r w:rsidR="00923C7E" w:rsidRPr="00AE74F3">
        <w:t>:</w:t>
      </w:r>
      <w:r w:rsidRPr="00AE74F3">
        <w:rPr>
          <w:rStyle w:val="CommentReference"/>
          <w:rFonts w:eastAsiaTheme="majorEastAsia" w:cstheme="majorBidi"/>
          <w:b/>
          <w:bCs w:val="0"/>
          <w:szCs w:val="24"/>
        </w:rPr>
        <w:tab/>
        <w:t xml:space="preserve">Ofatumumab </w:t>
      </w:r>
      <w:r w:rsidR="007E473E">
        <w:rPr>
          <w:rStyle w:val="CommentReference"/>
          <w:rFonts w:eastAsiaTheme="majorEastAsia" w:cstheme="majorBidi"/>
          <w:b/>
          <w:bCs w:val="0"/>
          <w:szCs w:val="24"/>
        </w:rPr>
        <w:t>v</w:t>
      </w:r>
      <w:r w:rsidR="004B6E9C" w:rsidRPr="00AE74F3">
        <w:rPr>
          <w:rStyle w:val="CommentReference"/>
          <w:rFonts w:eastAsiaTheme="majorEastAsia" w:cstheme="majorBidi"/>
          <w:b/>
          <w:bCs w:val="0"/>
          <w:szCs w:val="24"/>
        </w:rPr>
        <w:t xml:space="preserve">s teriflunomide vs </w:t>
      </w:r>
      <w:r w:rsidRPr="00AE74F3">
        <w:rPr>
          <w:rStyle w:val="CommentReference"/>
          <w:rFonts w:eastAsiaTheme="majorEastAsia" w:cstheme="majorBidi"/>
          <w:b/>
          <w:bCs w:val="0"/>
          <w:szCs w:val="24"/>
        </w:rPr>
        <w:t>placebo</w:t>
      </w:r>
      <w:r w:rsidR="004B6E9C" w:rsidRPr="00AE74F3">
        <w:rPr>
          <w:rStyle w:val="CommentReference"/>
          <w:rFonts w:eastAsiaTheme="majorEastAsia" w:cstheme="majorBidi"/>
          <w:b/>
          <w:bCs w:val="0"/>
          <w:szCs w:val="24"/>
        </w:rPr>
        <w:t xml:space="preserve"> vs fingolimod</w:t>
      </w:r>
      <w:r w:rsidRPr="00AE74F3">
        <w:rPr>
          <w:rStyle w:val="CommentReference"/>
          <w:rFonts w:eastAsiaTheme="majorEastAsia" w:cstheme="majorBidi"/>
          <w:b/>
          <w:bCs w:val="0"/>
          <w:szCs w:val="24"/>
        </w:rPr>
        <w:t xml:space="preserve">: ARR of the included trials and ITC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4: Ofatumumab vs teriflunomide vs placebo vs fingolimod: ARR of the included trials and ITC "/>
      </w:tblPr>
      <w:tblGrid>
        <w:gridCol w:w="1555"/>
        <w:gridCol w:w="1417"/>
        <w:gridCol w:w="1559"/>
        <w:gridCol w:w="1560"/>
        <w:gridCol w:w="992"/>
        <w:gridCol w:w="2410"/>
      </w:tblGrid>
      <w:tr w:rsidR="00776608" w:rsidRPr="00AE74F3" w14:paraId="7EDE7134" w14:textId="77777777" w:rsidTr="007E473E">
        <w:trPr>
          <w:trHeight w:val="427"/>
        </w:trPr>
        <w:tc>
          <w:tcPr>
            <w:tcW w:w="1555" w:type="dxa"/>
            <w:tcMar>
              <w:top w:w="0" w:type="dxa"/>
              <w:left w:w="108" w:type="dxa"/>
              <w:bottom w:w="0" w:type="dxa"/>
              <w:right w:w="108" w:type="dxa"/>
            </w:tcMar>
          </w:tcPr>
          <w:p w14:paraId="3EC4E68C" w14:textId="77777777" w:rsidR="00776608" w:rsidRPr="00AE74F3" w:rsidRDefault="00776608" w:rsidP="00CE58B5">
            <w:pPr>
              <w:pStyle w:val="In-tableHeading"/>
              <w:rPr>
                <w:lang w:val="en-AU"/>
              </w:rPr>
            </w:pPr>
          </w:p>
        </w:tc>
        <w:tc>
          <w:tcPr>
            <w:tcW w:w="4536" w:type="dxa"/>
            <w:gridSpan w:val="3"/>
            <w:tcMar>
              <w:top w:w="0" w:type="dxa"/>
              <w:left w:w="108" w:type="dxa"/>
              <w:bottom w:w="0" w:type="dxa"/>
              <w:right w:w="108" w:type="dxa"/>
            </w:tcMar>
            <w:vAlign w:val="center"/>
          </w:tcPr>
          <w:p w14:paraId="22CD713D" w14:textId="77777777" w:rsidR="00776608" w:rsidRPr="00AE74F3" w:rsidRDefault="00776608" w:rsidP="007E473E">
            <w:pPr>
              <w:pStyle w:val="In-tableHeading"/>
              <w:jc w:val="center"/>
              <w:rPr>
                <w:lang w:val="en-AU"/>
              </w:rPr>
            </w:pPr>
            <w:r w:rsidRPr="00AE74F3">
              <w:rPr>
                <w:lang w:val="en-AU"/>
              </w:rPr>
              <w:t>Adjusted ARR (95%CI)</w:t>
            </w:r>
          </w:p>
        </w:tc>
        <w:tc>
          <w:tcPr>
            <w:tcW w:w="992" w:type="dxa"/>
          </w:tcPr>
          <w:p w14:paraId="091362D2" w14:textId="77777777" w:rsidR="00776608" w:rsidRPr="00AE74F3" w:rsidRDefault="00776608" w:rsidP="00CE58B5">
            <w:pPr>
              <w:pStyle w:val="In-tableHeading"/>
              <w:jc w:val="center"/>
              <w:rPr>
                <w:lang w:val="en-AU"/>
              </w:rPr>
            </w:pPr>
          </w:p>
        </w:tc>
        <w:tc>
          <w:tcPr>
            <w:tcW w:w="2410" w:type="dxa"/>
            <w:vMerge w:val="restart"/>
            <w:tcMar>
              <w:top w:w="0" w:type="dxa"/>
              <w:left w:w="108" w:type="dxa"/>
              <w:bottom w:w="0" w:type="dxa"/>
              <w:right w:w="108" w:type="dxa"/>
            </w:tcMar>
            <w:vAlign w:val="center"/>
          </w:tcPr>
          <w:p w14:paraId="3E7DE59C" w14:textId="2E40DAB7" w:rsidR="00776608" w:rsidRPr="00AE74F3" w:rsidRDefault="00776608" w:rsidP="007E473E">
            <w:pPr>
              <w:pStyle w:val="In-tableHeading"/>
              <w:jc w:val="center"/>
              <w:rPr>
                <w:lang w:val="en-AU"/>
              </w:rPr>
            </w:pPr>
            <w:r w:rsidRPr="00AE74F3">
              <w:rPr>
                <w:lang w:val="en-AU"/>
              </w:rPr>
              <w:t>RR (95% CI); p-value</w:t>
            </w:r>
          </w:p>
        </w:tc>
      </w:tr>
      <w:tr w:rsidR="00776608" w:rsidRPr="00AE74F3" w14:paraId="1D5FB285" w14:textId="77777777" w:rsidTr="00776608">
        <w:tc>
          <w:tcPr>
            <w:tcW w:w="1555" w:type="dxa"/>
            <w:tcMar>
              <w:top w:w="0" w:type="dxa"/>
              <w:left w:w="108" w:type="dxa"/>
              <w:bottom w:w="0" w:type="dxa"/>
              <w:right w:w="108" w:type="dxa"/>
            </w:tcMar>
            <w:hideMark/>
          </w:tcPr>
          <w:p w14:paraId="36A9C86F" w14:textId="77777777" w:rsidR="00776608" w:rsidRPr="00AE74F3" w:rsidRDefault="00776608" w:rsidP="00CE58B5">
            <w:pPr>
              <w:pStyle w:val="In-tableHeading"/>
              <w:rPr>
                <w:lang w:val="en-AU"/>
              </w:rPr>
            </w:pPr>
            <w:r w:rsidRPr="00AE74F3">
              <w:rPr>
                <w:lang w:val="en-AU"/>
              </w:rPr>
              <w:t>Trial</w:t>
            </w:r>
          </w:p>
        </w:tc>
        <w:tc>
          <w:tcPr>
            <w:tcW w:w="1417" w:type="dxa"/>
            <w:tcMar>
              <w:top w:w="0" w:type="dxa"/>
              <w:left w:w="108" w:type="dxa"/>
              <w:bottom w:w="0" w:type="dxa"/>
              <w:right w:w="108" w:type="dxa"/>
            </w:tcMar>
            <w:vAlign w:val="center"/>
            <w:hideMark/>
          </w:tcPr>
          <w:p w14:paraId="2A7B1D92" w14:textId="77777777" w:rsidR="00776608" w:rsidRPr="00AE74F3" w:rsidRDefault="00776608" w:rsidP="00CE58B5">
            <w:pPr>
              <w:pStyle w:val="In-tableHeading"/>
              <w:jc w:val="center"/>
              <w:rPr>
                <w:lang w:val="en-AU"/>
              </w:rPr>
            </w:pPr>
            <w:r w:rsidRPr="00AE74F3">
              <w:rPr>
                <w:lang w:val="en-AU"/>
              </w:rPr>
              <w:t>Ofatumumab</w:t>
            </w:r>
          </w:p>
        </w:tc>
        <w:tc>
          <w:tcPr>
            <w:tcW w:w="1559" w:type="dxa"/>
            <w:tcMar>
              <w:top w:w="0" w:type="dxa"/>
              <w:left w:w="108" w:type="dxa"/>
              <w:bottom w:w="0" w:type="dxa"/>
              <w:right w:w="108" w:type="dxa"/>
            </w:tcMar>
            <w:vAlign w:val="center"/>
            <w:hideMark/>
          </w:tcPr>
          <w:p w14:paraId="502A3C4F" w14:textId="77777777" w:rsidR="00776608" w:rsidRPr="00AE74F3" w:rsidRDefault="00776608" w:rsidP="00CE58B5">
            <w:pPr>
              <w:pStyle w:val="In-tableHeading"/>
              <w:jc w:val="center"/>
              <w:rPr>
                <w:lang w:val="en-AU"/>
              </w:rPr>
            </w:pPr>
            <w:r w:rsidRPr="00AE74F3">
              <w:rPr>
                <w:lang w:val="en-AU"/>
              </w:rPr>
              <w:t>Teriflunomide</w:t>
            </w:r>
          </w:p>
        </w:tc>
        <w:tc>
          <w:tcPr>
            <w:tcW w:w="1560" w:type="dxa"/>
            <w:tcMar>
              <w:top w:w="0" w:type="dxa"/>
              <w:left w:w="108" w:type="dxa"/>
              <w:bottom w:w="0" w:type="dxa"/>
              <w:right w:w="108" w:type="dxa"/>
            </w:tcMar>
            <w:vAlign w:val="center"/>
            <w:hideMark/>
          </w:tcPr>
          <w:p w14:paraId="7F588D78" w14:textId="77777777" w:rsidR="00776608" w:rsidRPr="00AE74F3" w:rsidRDefault="00776608" w:rsidP="00CE58B5">
            <w:pPr>
              <w:pStyle w:val="In-tableHeading"/>
              <w:jc w:val="center"/>
              <w:rPr>
                <w:lang w:val="en-AU"/>
              </w:rPr>
            </w:pPr>
            <w:r w:rsidRPr="00AE74F3">
              <w:rPr>
                <w:lang w:val="en-AU"/>
              </w:rPr>
              <w:t>Placebo</w:t>
            </w:r>
          </w:p>
        </w:tc>
        <w:tc>
          <w:tcPr>
            <w:tcW w:w="992" w:type="dxa"/>
          </w:tcPr>
          <w:p w14:paraId="142FD8A4" w14:textId="09713A3F" w:rsidR="00776608" w:rsidRPr="00AE74F3" w:rsidRDefault="00776608" w:rsidP="00CE58B5">
            <w:pPr>
              <w:pStyle w:val="TableText0"/>
              <w:jc w:val="center"/>
              <w:rPr>
                <w:b/>
                <w:bCs w:val="0"/>
              </w:rPr>
            </w:pPr>
            <w:r w:rsidRPr="00AE74F3">
              <w:rPr>
                <w:b/>
                <w:bCs w:val="0"/>
              </w:rPr>
              <w:t>Fingolimod</w:t>
            </w:r>
          </w:p>
        </w:tc>
        <w:tc>
          <w:tcPr>
            <w:tcW w:w="2410" w:type="dxa"/>
            <w:vMerge/>
            <w:tcMar>
              <w:top w:w="0" w:type="dxa"/>
              <w:left w:w="108" w:type="dxa"/>
              <w:bottom w:w="0" w:type="dxa"/>
              <w:right w:w="108" w:type="dxa"/>
            </w:tcMar>
            <w:hideMark/>
          </w:tcPr>
          <w:p w14:paraId="03382E95" w14:textId="47C2B894" w:rsidR="00776608" w:rsidRPr="00AE74F3" w:rsidRDefault="00776608" w:rsidP="00CE58B5">
            <w:pPr>
              <w:pStyle w:val="TableText0"/>
              <w:jc w:val="center"/>
              <w:rPr>
                <w:b/>
                <w:bCs w:val="0"/>
              </w:rPr>
            </w:pPr>
          </w:p>
        </w:tc>
      </w:tr>
      <w:tr w:rsidR="004B6E9C" w:rsidRPr="00AE74F3" w14:paraId="767C0F47" w14:textId="77777777" w:rsidTr="00084D2A">
        <w:tc>
          <w:tcPr>
            <w:tcW w:w="9493" w:type="dxa"/>
            <w:gridSpan w:val="6"/>
            <w:shd w:val="clear" w:color="auto" w:fill="DBE5F1" w:themeFill="accent1" w:themeFillTint="33"/>
            <w:tcMar>
              <w:top w:w="0" w:type="dxa"/>
              <w:left w:w="108" w:type="dxa"/>
              <w:bottom w:w="0" w:type="dxa"/>
              <w:right w:w="108" w:type="dxa"/>
            </w:tcMar>
          </w:tcPr>
          <w:p w14:paraId="5FC728FB" w14:textId="15E1F977" w:rsidR="004B6E9C" w:rsidRPr="00AE74F3" w:rsidRDefault="004B6E9C" w:rsidP="004B6E9C">
            <w:pPr>
              <w:pStyle w:val="TableText0"/>
            </w:pPr>
            <w:r w:rsidRPr="00AE74F3">
              <w:rPr>
                <w:b/>
                <w:bCs w:val="0"/>
              </w:rPr>
              <w:t>Step 1</w:t>
            </w:r>
          </w:p>
        </w:tc>
      </w:tr>
      <w:tr w:rsidR="00776608" w:rsidRPr="00AE74F3" w14:paraId="24A4ABCE" w14:textId="77777777" w:rsidTr="00776608">
        <w:tc>
          <w:tcPr>
            <w:tcW w:w="1555" w:type="dxa"/>
            <w:shd w:val="clear" w:color="auto" w:fill="DBE5F1" w:themeFill="accent1" w:themeFillTint="33"/>
            <w:tcMar>
              <w:top w:w="0" w:type="dxa"/>
              <w:left w:w="108" w:type="dxa"/>
              <w:bottom w:w="0" w:type="dxa"/>
              <w:right w:w="108" w:type="dxa"/>
            </w:tcMar>
            <w:hideMark/>
          </w:tcPr>
          <w:p w14:paraId="7B50481F" w14:textId="77777777" w:rsidR="00776608" w:rsidRPr="00AE74F3" w:rsidRDefault="00776608" w:rsidP="00CE58B5">
            <w:pPr>
              <w:pStyle w:val="TableText0"/>
            </w:pPr>
            <w:r w:rsidRPr="00AE74F3">
              <w:t>ASCLEPIOS I</w:t>
            </w:r>
          </w:p>
        </w:tc>
        <w:tc>
          <w:tcPr>
            <w:tcW w:w="1417" w:type="dxa"/>
            <w:shd w:val="clear" w:color="auto" w:fill="DBE5F1" w:themeFill="accent1" w:themeFillTint="33"/>
            <w:tcMar>
              <w:top w:w="0" w:type="dxa"/>
              <w:left w:w="108" w:type="dxa"/>
              <w:bottom w:w="0" w:type="dxa"/>
              <w:right w:w="108" w:type="dxa"/>
            </w:tcMar>
            <w:vAlign w:val="center"/>
            <w:hideMark/>
          </w:tcPr>
          <w:p w14:paraId="51EBB9C2" w14:textId="77777777" w:rsidR="00776608" w:rsidRPr="00AE74F3" w:rsidRDefault="00776608" w:rsidP="00CE58B5">
            <w:pPr>
              <w:pStyle w:val="TableText0"/>
              <w:jc w:val="center"/>
            </w:pPr>
            <w:r w:rsidRPr="00AE74F3">
              <w:t>0.11 (0.09,0.14)</w:t>
            </w:r>
          </w:p>
        </w:tc>
        <w:tc>
          <w:tcPr>
            <w:tcW w:w="1559" w:type="dxa"/>
            <w:shd w:val="clear" w:color="auto" w:fill="DBE5F1" w:themeFill="accent1" w:themeFillTint="33"/>
            <w:tcMar>
              <w:top w:w="0" w:type="dxa"/>
              <w:left w:w="108" w:type="dxa"/>
              <w:bottom w:w="0" w:type="dxa"/>
              <w:right w:w="108" w:type="dxa"/>
            </w:tcMar>
            <w:vAlign w:val="center"/>
            <w:hideMark/>
          </w:tcPr>
          <w:p w14:paraId="5B4221EA" w14:textId="77777777" w:rsidR="00776608" w:rsidRPr="00AE74F3" w:rsidRDefault="00776608" w:rsidP="00CE58B5">
            <w:pPr>
              <w:pStyle w:val="TableText0"/>
              <w:jc w:val="center"/>
            </w:pPr>
            <w:r w:rsidRPr="00AE74F3">
              <w:t>0.22 (0.18,0.26)</w:t>
            </w:r>
          </w:p>
        </w:tc>
        <w:tc>
          <w:tcPr>
            <w:tcW w:w="1560" w:type="dxa"/>
            <w:shd w:val="clear" w:color="auto" w:fill="DBE5F1" w:themeFill="accent1" w:themeFillTint="33"/>
            <w:tcMar>
              <w:top w:w="0" w:type="dxa"/>
              <w:left w:w="108" w:type="dxa"/>
              <w:bottom w:w="0" w:type="dxa"/>
              <w:right w:w="108" w:type="dxa"/>
            </w:tcMar>
            <w:vAlign w:val="center"/>
            <w:hideMark/>
          </w:tcPr>
          <w:p w14:paraId="131BF111" w14:textId="77777777" w:rsidR="00776608" w:rsidRPr="00AE74F3" w:rsidRDefault="00776608" w:rsidP="00CE58B5">
            <w:pPr>
              <w:pStyle w:val="TableText0"/>
              <w:jc w:val="center"/>
            </w:pPr>
            <w:r w:rsidRPr="00AE74F3">
              <w:t>-</w:t>
            </w:r>
          </w:p>
        </w:tc>
        <w:tc>
          <w:tcPr>
            <w:tcW w:w="992" w:type="dxa"/>
            <w:shd w:val="clear" w:color="auto" w:fill="DBE5F1" w:themeFill="accent1" w:themeFillTint="33"/>
          </w:tcPr>
          <w:p w14:paraId="539114BE" w14:textId="77777777" w:rsidR="00776608" w:rsidRPr="00AE74F3" w:rsidRDefault="00776608" w:rsidP="00CE58B5">
            <w:pPr>
              <w:pStyle w:val="TableText0"/>
              <w:jc w:val="center"/>
            </w:pPr>
          </w:p>
        </w:tc>
        <w:tc>
          <w:tcPr>
            <w:tcW w:w="2410" w:type="dxa"/>
            <w:shd w:val="clear" w:color="auto" w:fill="DBE5F1" w:themeFill="accent1" w:themeFillTint="33"/>
            <w:tcMar>
              <w:top w:w="0" w:type="dxa"/>
              <w:left w:w="108" w:type="dxa"/>
              <w:bottom w:w="0" w:type="dxa"/>
              <w:right w:w="108" w:type="dxa"/>
            </w:tcMar>
            <w:vAlign w:val="center"/>
            <w:hideMark/>
          </w:tcPr>
          <w:p w14:paraId="31FBD199" w14:textId="0A96BB03" w:rsidR="00776608" w:rsidRPr="00B321C3" w:rsidRDefault="00776608" w:rsidP="00CE58B5">
            <w:pPr>
              <w:pStyle w:val="TableText0"/>
              <w:jc w:val="center"/>
              <w:rPr>
                <w:b/>
                <w:bCs w:val="0"/>
              </w:rPr>
            </w:pPr>
            <w:r w:rsidRPr="00B321C3">
              <w:rPr>
                <w:b/>
                <w:bCs w:val="0"/>
              </w:rPr>
              <w:t>0.495 (0.374, 0.654); &lt;0.001</w:t>
            </w:r>
          </w:p>
        </w:tc>
      </w:tr>
      <w:tr w:rsidR="00776608" w:rsidRPr="00AE74F3" w14:paraId="144A1508" w14:textId="77777777" w:rsidTr="00776608">
        <w:tc>
          <w:tcPr>
            <w:tcW w:w="1555" w:type="dxa"/>
            <w:shd w:val="clear" w:color="auto" w:fill="DBE5F1" w:themeFill="accent1" w:themeFillTint="33"/>
            <w:tcMar>
              <w:top w:w="0" w:type="dxa"/>
              <w:left w:w="108" w:type="dxa"/>
              <w:bottom w:w="0" w:type="dxa"/>
              <w:right w:w="108" w:type="dxa"/>
            </w:tcMar>
            <w:hideMark/>
          </w:tcPr>
          <w:p w14:paraId="5C5FD3C7" w14:textId="77777777" w:rsidR="00776608" w:rsidRPr="00AE74F3" w:rsidRDefault="00776608" w:rsidP="00CE58B5">
            <w:pPr>
              <w:pStyle w:val="TableText0"/>
            </w:pPr>
            <w:r w:rsidRPr="00AE74F3">
              <w:t>ASCLEPIOS II</w:t>
            </w:r>
          </w:p>
        </w:tc>
        <w:tc>
          <w:tcPr>
            <w:tcW w:w="1417" w:type="dxa"/>
            <w:shd w:val="clear" w:color="auto" w:fill="DBE5F1" w:themeFill="accent1" w:themeFillTint="33"/>
            <w:tcMar>
              <w:top w:w="0" w:type="dxa"/>
              <w:left w:w="108" w:type="dxa"/>
              <w:bottom w:w="0" w:type="dxa"/>
              <w:right w:w="108" w:type="dxa"/>
            </w:tcMar>
            <w:vAlign w:val="center"/>
            <w:hideMark/>
          </w:tcPr>
          <w:p w14:paraId="634C603E" w14:textId="77777777" w:rsidR="00776608" w:rsidRPr="00AE74F3" w:rsidRDefault="00776608" w:rsidP="00CE58B5">
            <w:pPr>
              <w:pStyle w:val="TableText0"/>
              <w:jc w:val="center"/>
            </w:pPr>
            <w:r w:rsidRPr="00AE74F3">
              <w:t>0.11 (0.08,0.13)</w:t>
            </w:r>
          </w:p>
        </w:tc>
        <w:tc>
          <w:tcPr>
            <w:tcW w:w="1559" w:type="dxa"/>
            <w:shd w:val="clear" w:color="auto" w:fill="DBE5F1" w:themeFill="accent1" w:themeFillTint="33"/>
            <w:tcMar>
              <w:top w:w="0" w:type="dxa"/>
              <w:left w:w="108" w:type="dxa"/>
              <w:bottom w:w="0" w:type="dxa"/>
              <w:right w:w="108" w:type="dxa"/>
            </w:tcMar>
            <w:vAlign w:val="center"/>
            <w:hideMark/>
          </w:tcPr>
          <w:p w14:paraId="04151A65" w14:textId="77777777" w:rsidR="00776608" w:rsidRPr="00AE74F3" w:rsidRDefault="00776608" w:rsidP="00CE58B5">
            <w:pPr>
              <w:pStyle w:val="TableText0"/>
              <w:jc w:val="center"/>
            </w:pPr>
            <w:r w:rsidRPr="00AE74F3">
              <w:t>0.25 (0.21,0.30)</w:t>
            </w:r>
          </w:p>
        </w:tc>
        <w:tc>
          <w:tcPr>
            <w:tcW w:w="1560" w:type="dxa"/>
            <w:shd w:val="clear" w:color="auto" w:fill="DBE5F1" w:themeFill="accent1" w:themeFillTint="33"/>
            <w:tcMar>
              <w:top w:w="0" w:type="dxa"/>
              <w:left w:w="108" w:type="dxa"/>
              <w:bottom w:w="0" w:type="dxa"/>
              <w:right w:w="108" w:type="dxa"/>
            </w:tcMar>
            <w:vAlign w:val="center"/>
            <w:hideMark/>
          </w:tcPr>
          <w:p w14:paraId="38A24F70" w14:textId="77777777" w:rsidR="00776608" w:rsidRPr="00AE74F3" w:rsidRDefault="00776608" w:rsidP="00CE58B5">
            <w:pPr>
              <w:pStyle w:val="TableText0"/>
              <w:jc w:val="center"/>
            </w:pPr>
            <w:r w:rsidRPr="00AE74F3">
              <w:t>-</w:t>
            </w:r>
          </w:p>
        </w:tc>
        <w:tc>
          <w:tcPr>
            <w:tcW w:w="992" w:type="dxa"/>
            <w:shd w:val="clear" w:color="auto" w:fill="DBE5F1" w:themeFill="accent1" w:themeFillTint="33"/>
          </w:tcPr>
          <w:p w14:paraId="3ED2FBED" w14:textId="77777777" w:rsidR="00776608" w:rsidRPr="00AE74F3" w:rsidRDefault="00776608" w:rsidP="00CE58B5">
            <w:pPr>
              <w:pStyle w:val="TableText0"/>
              <w:jc w:val="center"/>
            </w:pPr>
          </w:p>
        </w:tc>
        <w:tc>
          <w:tcPr>
            <w:tcW w:w="2410" w:type="dxa"/>
            <w:shd w:val="clear" w:color="auto" w:fill="DBE5F1" w:themeFill="accent1" w:themeFillTint="33"/>
            <w:tcMar>
              <w:top w:w="0" w:type="dxa"/>
              <w:left w:w="108" w:type="dxa"/>
              <w:bottom w:w="0" w:type="dxa"/>
              <w:right w:w="108" w:type="dxa"/>
            </w:tcMar>
            <w:vAlign w:val="center"/>
            <w:hideMark/>
          </w:tcPr>
          <w:p w14:paraId="45CE3EC0" w14:textId="7FD58EC4" w:rsidR="00776608" w:rsidRPr="00B321C3" w:rsidRDefault="00776608" w:rsidP="00CE58B5">
            <w:pPr>
              <w:pStyle w:val="TableText0"/>
              <w:jc w:val="center"/>
              <w:rPr>
                <w:b/>
                <w:bCs w:val="0"/>
              </w:rPr>
            </w:pPr>
            <w:r w:rsidRPr="00B321C3">
              <w:rPr>
                <w:b/>
                <w:bCs w:val="0"/>
              </w:rPr>
              <w:t>0.415 (0.308, 0.559); &lt;0.001</w:t>
            </w:r>
          </w:p>
        </w:tc>
      </w:tr>
      <w:tr w:rsidR="00776608" w:rsidRPr="00AE74F3" w14:paraId="002481F0" w14:textId="77777777" w:rsidTr="00776608">
        <w:tc>
          <w:tcPr>
            <w:tcW w:w="1555" w:type="dxa"/>
            <w:shd w:val="clear" w:color="auto" w:fill="DBE5F1" w:themeFill="accent1" w:themeFillTint="33"/>
            <w:tcMar>
              <w:top w:w="0" w:type="dxa"/>
              <w:left w:w="108" w:type="dxa"/>
              <w:bottom w:w="0" w:type="dxa"/>
              <w:right w:w="108" w:type="dxa"/>
            </w:tcMar>
            <w:hideMark/>
          </w:tcPr>
          <w:p w14:paraId="59E109B2" w14:textId="77777777" w:rsidR="00776608" w:rsidRPr="00AE74F3" w:rsidRDefault="00776608" w:rsidP="00CE58B5">
            <w:pPr>
              <w:pStyle w:val="TableText0"/>
            </w:pPr>
            <w:r w:rsidRPr="00AE74F3">
              <w:t xml:space="preserve">ASCLEPIOS I/II </w:t>
            </w:r>
          </w:p>
          <w:p w14:paraId="7915A01B" w14:textId="0E973536" w:rsidR="00776608" w:rsidRPr="00AE74F3" w:rsidRDefault="00776608" w:rsidP="00CE58B5">
            <w:pPr>
              <w:pStyle w:val="TableText0"/>
            </w:pPr>
            <w:r w:rsidRPr="00AE74F3">
              <w:t>pooled</w:t>
            </w:r>
          </w:p>
        </w:tc>
        <w:tc>
          <w:tcPr>
            <w:tcW w:w="1417" w:type="dxa"/>
            <w:shd w:val="clear" w:color="auto" w:fill="DBE5F1" w:themeFill="accent1" w:themeFillTint="33"/>
            <w:tcMar>
              <w:top w:w="0" w:type="dxa"/>
              <w:left w:w="108" w:type="dxa"/>
              <w:bottom w:w="0" w:type="dxa"/>
              <w:right w:w="108" w:type="dxa"/>
            </w:tcMar>
            <w:vAlign w:val="center"/>
            <w:hideMark/>
          </w:tcPr>
          <w:p w14:paraId="4DAC2198" w14:textId="77777777" w:rsidR="00776608" w:rsidRPr="00AE74F3" w:rsidRDefault="00776608" w:rsidP="00CE58B5">
            <w:pPr>
              <w:pStyle w:val="TableText0"/>
              <w:jc w:val="center"/>
            </w:pPr>
            <w:r w:rsidRPr="00AE74F3">
              <w:t>0.11 (0.09,0.13)</w:t>
            </w:r>
          </w:p>
        </w:tc>
        <w:tc>
          <w:tcPr>
            <w:tcW w:w="1559" w:type="dxa"/>
            <w:shd w:val="clear" w:color="auto" w:fill="DBE5F1" w:themeFill="accent1" w:themeFillTint="33"/>
            <w:tcMar>
              <w:top w:w="0" w:type="dxa"/>
              <w:left w:w="108" w:type="dxa"/>
              <w:bottom w:w="0" w:type="dxa"/>
              <w:right w:w="108" w:type="dxa"/>
            </w:tcMar>
            <w:vAlign w:val="center"/>
            <w:hideMark/>
          </w:tcPr>
          <w:p w14:paraId="5F91B2BD" w14:textId="77777777" w:rsidR="00776608" w:rsidRPr="00AE74F3" w:rsidRDefault="00776608" w:rsidP="00CE58B5">
            <w:pPr>
              <w:pStyle w:val="TableText0"/>
              <w:jc w:val="center"/>
            </w:pPr>
            <w:r w:rsidRPr="00AE74F3">
              <w:t>0.24 (0.21,0.27)</w:t>
            </w:r>
          </w:p>
        </w:tc>
        <w:tc>
          <w:tcPr>
            <w:tcW w:w="1560" w:type="dxa"/>
            <w:shd w:val="clear" w:color="auto" w:fill="DBE5F1" w:themeFill="accent1" w:themeFillTint="33"/>
            <w:tcMar>
              <w:top w:w="0" w:type="dxa"/>
              <w:left w:w="108" w:type="dxa"/>
              <w:bottom w:w="0" w:type="dxa"/>
              <w:right w:w="108" w:type="dxa"/>
            </w:tcMar>
            <w:vAlign w:val="center"/>
            <w:hideMark/>
          </w:tcPr>
          <w:p w14:paraId="7382D36D" w14:textId="77777777" w:rsidR="00776608" w:rsidRPr="00AE74F3" w:rsidRDefault="00776608" w:rsidP="00CE58B5">
            <w:pPr>
              <w:pStyle w:val="TableText0"/>
              <w:jc w:val="center"/>
            </w:pPr>
            <w:r w:rsidRPr="00AE74F3">
              <w:t>-</w:t>
            </w:r>
          </w:p>
        </w:tc>
        <w:tc>
          <w:tcPr>
            <w:tcW w:w="992" w:type="dxa"/>
            <w:shd w:val="clear" w:color="auto" w:fill="DBE5F1" w:themeFill="accent1" w:themeFillTint="33"/>
          </w:tcPr>
          <w:p w14:paraId="0330BFC3" w14:textId="77777777" w:rsidR="00776608" w:rsidRPr="00AE74F3" w:rsidRDefault="00776608" w:rsidP="00CE58B5">
            <w:pPr>
              <w:pStyle w:val="TableText0"/>
              <w:jc w:val="center"/>
            </w:pPr>
          </w:p>
        </w:tc>
        <w:tc>
          <w:tcPr>
            <w:tcW w:w="2410" w:type="dxa"/>
            <w:shd w:val="clear" w:color="auto" w:fill="DBE5F1" w:themeFill="accent1" w:themeFillTint="33"/>
            <w:tcMar>
              <w:top w:w="0" w:type="dxa"/>
              <w:left w:w="108" w:type="dxa"/>
              <w:bottom w:w="0" w:type="dxa"/>
              <w:right w:w="108" w:type="dxa"/>
            </w:tcMar>
            <w:vAlign w:val="center"/>
            <w:hideMark/>
          </w:tcPr>
          <w:p w14:paraId="7CF5E379" w14:textId="3F177D5A" w:rsidR="00776608" w:rsidRPr="00B321C3" w:rsidRDefault="00776608" w:rsidP="00CE58B5">
            <w:pPr>
              <w:pStyle w:val="TableText0"/>
              <w:jc w:val="center"/>
              <w:rPr>
                <w:b/>
                <w:bCs w:val="0"/>
              </w:rPr>
            </w:pPr>
            <w:r w:rsidRPr="00B321C3">
              <w:rPr>
                <w:b/>
                <w:bCs w:val="0"/>
              </w:rPr>
              <w:t>0.460 (0.380, 0.570); &lt;0.001</w:t>
            </w:r>
          </w:p>
        </w:tc>
      </w:tr>
      <w:tr w:rsidR="00776608" w:rsidRPr="00AE74F3" w14:paraId="418C2F4E" w14:textId="77777777" w:rsidTr="00776608">
        <w:tc>
          <w:tcPr>
            <w:tcW w:w="1555" w:type="dxa"/>
            <w:shd w:val="clear" w:color="auto" w:fill="DBE5F1" w:themeFill="accent1" w:themeFillTint="33"/>
            <w:tcMar>
              <w:top w:w="0" w:type="dxa"/>
              <w:left w:w="108" w:type="dxa"/>
              <w:bottom w:w="0" w:type="dxa"/>
              <w:right w:w="108" w:type="dxa"/>
            </w:tcMar>
            <w:hideMark/>
          </w:tcPr>
          <w:p w14:paraId="139973BC" w14:textId="77777777" w:rsidR="00776608" w:rsidRPr="00AE74F3" w:rsidRDefault="00776608" w:rsidP="00CE58B5">
            <w:pPr>
              <w:pStyle w:val="TableText0"/>
            </w:pPr>
            <w:r w:rsidRPr="00AE74F3">
              <w:t>TEMSO</w:t>
            </w:r>
          </w:p>
        </w:tc>
        <w:tc>
          <w:tcPr>
            <w:tcW w:w="1417" w:type="dxa"/>
            <w:shd w:val="clear" w:color="auto" w:fill="DBE5F1" w:themeFill="accent1" w:themeFillTint="33"/>
            <w:tcMar>
              <w:top w:w="0" w:type="dxa"/>
              <w:left w:w="108" w:type="dxa"/>
              <w:bottom w:w="0" w:type="dxa"/>
              <w:right w:w="108" w:type="dxa"/>
            </w:tcMar>
            <w:vAlign w:val="center"/>
            <w:hideMark/>
          </w:tcPr>
          <w:p w14:paraId="00F9B8D6" w14:textId="77777777" w:rsidR="00776608" w:rsidRPr="00AE74F3" w:rsidRDefault="00776608" w:rsidP="00CE58B5">
            <w:pPr>
              <w:pStyle w:val="TableText0"/>
              <w:jc w:val="center"/>
            </w:pPr>
            <w:r w:rsidRPr="00AE74F3">
              <w:t>-</w:t>
            </w:r>
          </w:p>
        </w:tc>
        <w:tc>
          <w:tcPr>
            <w:tcW w:w="1559" w:type="dxa"/>
            <w:shd w:val="clear" w:color="auto" w:fill="DBE5F1" w:themeFill="accent1" w:themeFillTint="33"/>
            <w:tcMar>
              <w:top w:w="0" w:type="dxa"/>
              <w:left w:w="108" w:type="dxa"/>
              <w:bottom w:w="0" w:type="dxa"/>
              <w:right w:w="108" w:type="dxa"/>
            </w:tcMar>
            <w:vAlign w:val="center"/>
            <w:hideMark/>
          </w:tcPr>
          <w:p w14:paraId="07349ACE" w14:textId="13D7E4E5" w:rsidR="00776608" w:rsidRPr="00AE74F3" w:rsidRDefault="00776608" w:rsidP="00CE58B5">
            <w:pPr>
              <w:pStyle w:val="TableText0"/>
              <w:jc w:val="center"/>
            </w:pPr>
            <w:r w:rsidRPr="00AE74F3">
              <w:t>0.37 (0.31, 0.44)</w:t>
            </w:r>
          </w:p>
        </w:tc>
        <w:tc>
          <w:tcPr>
            <w:tcW w:w="1560" w:type="dxa"/>
            <w:shd w:val="clear" w:color="auto" w:fill="DBE5F1" w:themeFill="accent1" w:themeFillTint="33"/>
            <w:tcMar>
              <w:top w:w="0" w:type="dxa"/>
              <w:left w:w="108" w:type="dxa"/>
              <w:bottom w:w="0" w:type="dxa"/>
              <w:right w:w="108" w:type="dxa"/>
            </w:tcMar>
            <w:vAlign w:val="center"/>
            <w:hideMark/>
          </w:tcPr>
          <w:p w14:paraId="08238B31" w14:textId="301DEA23" w:rsidR="00776608" w:rsidRPr="00AE74F3" w:rsidRDefault="00776608" w:rsidP="00CE58B5">
            <w:pPr>
              <w:pStyle w:val="TableText0"/>
              <w:jc w:val="center"/>
            </w:pPr>
            <w:r w:rsidRPr="00AE74F3">
              <w:t>0.54 (0.47, 0.62)</w:t>
            </w:r>
          </w:p>
        </w:tc>
        <w:tc>
          <w:tcPr>
            <w:tcW w:w="992" w:type="dxa"/>
            <w:shd w:val="clear" w:color="auto" w:fill="DBE5F1" w:themeFill="accent1" w:themeFillTint="33"/>
          </w:tcPr>
          <w:p w14:paraId="338D521E" w14:textId="77777777" w:rsidR="00776608" w:rsidRPr="00AE74F3" w:rsidRDefault="00776608" w:rsidP="00CE58B5">
            <w:pPr>
              <w:pStyle w:val="TableText0"/>
              <w:jc w:val="center"/>
            </w:pPr>
          </w:p>
        </w:tc>
        <w:tc>
          <w:tcPr>
            <w:tcW w:w="2410" w:type="dxa"/>
            <w:shd w:val="clear" w:color="auto" w:fill="DBE5F1" w:themeFill="accent1" w:themeFillTint="33"/>
            <w:tcMar>
              <w:top w:w="0" w:type="dxa"/>
              <w:left w:w="108" w:type="dxa"/>
              <w:bottom w:w="0" w:type="dxa"/>
              <w:right w:w="108" w:type="dxa"/>
            </w:tcMar>
            <w:vAlign w:val="center"/>
            <w:hideMark/>
          </w:tcPr>
          <w:p w14:paraId="569F8A5E" w14:textId="00395C0F" w:rsidR="00776608" w:rsidRPr="00B321C3" w:rsidRDefault="00776608" w:rsidP="00CE58B5">
            <w:pPr>
              <w:pStyle w:val="TableText0"/>
              <w:jc w:val="center"/>
              <w:rPr>
                <w:b/>
                <w:bCs w:val="0"/>
              </w:rPr>
            </w:pPr>
            <w:r w:rsidRPr="00B321C3">
              <w:rPr>
                <w:b/>
                <w:bCs w:val="0"/>
              </w:rPr>
              <w:t>0.68 (0.550, 0.850); 0.0005</w:t>
            </w:r>
          </w:p>
        </w:tc>
      </w:tr>
      <w:tr w:rsidR="00776608" w:rsidRPr="00AE74F3" w14:paraId="1EEC75A9" w14:textId="77777777" w:rsidTr="00776608">
        <w:tc>
          <w:tcPr>
            <w:tcW w:w="1555" w:type="dxa"/>
            <w:shd w:val="clear" w:color="auto" w:fill="DBE5F1" w:themeFill="accent1" w:themeFillTint="33"/>
            <w:tcMar>
              <w:top w:w="0" w:type="dxa"/>
              <w:left w:w="108" w:type="dxa"/>
              <w:bottom w:w="0" w:type="dxa"/>
              <w:right w:w="108" w:type="dxa"/>
            </w:tcMar>
            <w:hideMark/>
          </w:tcPr>
          <w:p w14:paraId="39FF8DF7" w14:textId="77777777" w:rsidR="00776608" w:rsidRPr="00AE74F3" w:rsidRDefault="00776608" w:rsidP="00CE58B5">
            <w:pPr>
              <w:pStyle w:val="TableText0"/>
            </w:pPr>
            <w:r w:rsidRPr="00AE74F3">
              <w:t>TOWER</w:t>
            </w:r>
          </w:p>
        </w:tc>
        <w:tc>
          <w:tcPr>
            <w:tcW w:w="1417" w:type="dxa"/>
            <w:shd w:val="clear" w:color="auto" w:fill="DBE5F1" w:themeFill="accent1" w:themeFillTint="33"/>
            <w:tcMar>
              <w:top w:w="0" w:type="dxa"/>
              <w:left w:w="108" w:type="dxa"/>
              <w:bottom w:w="0" w:type="dxa"/>
              <w:right w:w="108" w:type="dxa"/>
            </w:tcMar>
            <w:vAlign w:val="center"/>
            <w:hideMark/>
          </w:tcPr>
          <w:p w14:paraId="1BF61346" w14:textId="77777777" w:rsidR="00776608" w:rsidRPr="00AE74F3" w:rsidRDefault="00776608" w:rsidP="00CE58B5">
            <w:pPr>
              <w:pStyle w:val="TableText0"/>
              <w:jc w:val="center"/>
            </w:pPr>
            <w:r w:rsidRPr="00AE74F3">
              <w:t>-</w:t>
            </w:r>
          </w:p>
        </w:tc>
        <w:tc>
          <w:tcPr>
            <w:tcW w:w="1559" w:type="dxa"/>
            <w:shd w:val="clear" w:color="auto" w:fill="DBE5F1" w:themeFill="accent1" w:themeFillTint="33"/>
            <w:tcMar>
              <w:top w:w="0" w:type="dxa"/>
              <w:left w:w="108" w:type="dxa"/>
              <w:bottom w:w="0" w:type="dxa"/>
              <w:right w:w="108" w:type="dxa"/>
            </w:tcMar>
            <w:vAlign w:val="center"/>
            <w:hideMark/>
          </w:tcPr>
          <w:p w14:paraId="4A4E3667" w14:textId="73E01F4F" w:rsidR="00776608" w:rsidRPr="00AE74F3" w:rsidRDefault="00776608" w:rsidP="00CE58B5">
            <w:pPr>
              <w:pStyle w:val="TableText0"/>
              <w:jc w:val="center"/>
            </w:pPr>
            <w:r w:rsidRPr="00AE74F3">
              <w:t>0.32 (0.27, 0.38)</w:t>
            </w:r>
          </w:p>
        </w:tc>
        <w:tc>
          <w:tcPr>
            <w:tcW w:w="1560" w:type="dxa"/>
            <w:shd w:val="clear" w:color="auto" w:fill="DBE5F1" w:themeFill="accent1" w:themeFillTint="33"/>
            <w:tcMar>
              <w:top w:w="0" w:type="dxa"/>
              <w:left w:w="108" w:type="dxa"/>
              <w:bottom w:w="0" w:type="dxa"/>
              <w:right w:w="108" w:type="dxa"/>
            </w:tcMar>
            <w:vAlign w:val="center"/>
            <w:hideMark/>
          </w:tcPr>
          <w:p w14:paraId="3589DC52" w14:textId="32CD2FEA" w:rsidR="00776608" w:rsidRPr="00AE74F3" w:rsidRDefault="00776608" w:rsidP="00CE58B5">
            <w:pPr>
              <w:pStyle w:val="TableText0"/>
              <w:jc w:val="center"/>
            </w:pPr>
            <w:r w:rsidRPr="00AE74F3">
              <w:t>0.50 (0.43, 0.58)</w:t>
            </w:r>
          </w:p>
        </w:tc>
        <w:tc>
          <w:tcPr>
            <w:tcW w:w="992" w:type="dxa"/>
            <w:shd w:val="clear" w:color="auto" w:fill="DBE5F1" w:themeFill="accent1" w:themeFillTint="33"/>
          </w:tcPr>
          <w:p w14:paraId="7D259453" w14:textId="77777777" w:rsidR="00776608" w:rsidRPr="00AE74F3" w:rsidRDefault="00776608" w:rsidP="00CE58B5">
            <w:pPr>
              <w:pStyle w:val="TableText0"/>
              <w:jc w:val="center"/>
            </w:pPr>
          </w:p>
        </w:tc>
        <w:tc>
          <w:tcPr>
            <w:tcW w:w="2410" w:type="dxa"/>
            <w:shd w:val="clear" w:color="auto" w:fill="DBE5F1" w:themeFill="accent1" w:themeFillTint="33"/>
            <w:tcMar>
              <w:top w:w="0" w:type="dxa"/>
              <w:left w:w="108" w:type="dxa"/>
              <w:bottom w:w="0" w:type="dxa"/>
              <w:right w:w="108" w:type="dxa"/>
            </w:tcMar>
            <w:vAlign w:val="center"/>
            <w:hideMark/>
          </w:tcPr>
          <w:p w14:paraId="04D5F389" w14:textId="4F9408E2" w:rsidR="00776608" w:rsidRPr="00B321C3" w:rsidRDefault="00776608" w:rsidP="00CE58B5">
            <w:pPr>
              <w:pStyle w:val="TableText0"/>
              <w:jc w:val="center"/>
              <w:rPr>
                <w:b/>
                <w:bCs w:val="0"/>
              </w:rPr>
            </w:pPr>
            <w:r w:rsidRPr="00B321C3">
              <w:rPr>
                <w:b/>
                <w:bCs w:val="0"/>
              </w:rPr>
              <w:t>0.640 (0.510, 0.790); 0.0001</w:t>
            </w:r>
          </w:p>
        </w:tc>
      </w:tr>
      <w:tr w:rsidR="00776608" w:rsidRPr="00AE74F3" w14:paraId="772826B9" w14:textId="77777777" w:rsidTr="00776608">
        <w:tc>
          <w:tcPr>
            <w:tcW w:w="1555" w:type="dxa"/>
            <w:tcMar>
              <w:top w:w="0" w:type="dxa"/>
              <w:left w:w="108" w:type="dxa"/>
              <w:bottom w:w="0" w:type="dxa"/>
              <w:right w:w="108" w:type="dxa"/>
            </w:tcMar>
            <w:hideMark/>
          </w:tcPr>
          <w:p w14:paraId="2E2BF5D6" w14:textId="04B3F1F0" w:rsidR="00776608" w:rsidRPr="00AE74F3" w:rsidRDefault="00776608" w:rsidP="00CE58B5">
            <w:pPr>
              <w:pStyle w:val="TableText0"/>
            </w:pPr>
            <w:r w:rsidRPr="00AE74F3">
              <w:t>TEMSO/TOWER</w:t>
            </w:r>
          </w:p>
          <w:p w14:paraId="706A9248" w14:textId="5280B1A5" w:rsidR="00776608" w:rsidRPr="00AE74F3" w:rsidRDefault="00776608" w:rsidP="00CE58B5">
            <w:pPr>
              <w:pStyle w:val="TableText0"/>
            </w:pPr>
            <w:r w:rsidRPr="00AE74F3">
              <w:t>meta-analysis</w:t>
            </w:r>
          </w:p>
        </w:tc>
        <w:tc>
          <w:tcPr>
            <w:tcW w:w="1417" w:type="dxa"/>
            <w:tcMar>
              <w:top w:w="0" w:type="dxa"/>
              <w:left w:w="108" w:type="dxa"/>
              <w:bottom w:w="0" w:type="dxa"/>
              <w:right w:w="108" w:type="dxa"/>
            </w:tcMar>
            <w:vAlign w:val="center"/>
            <w:hideMark/>
          </w:tcPr>
          <w:p w14:paraId="437AD5B5" w14:textId="77777777" w:rsidR="00776608" w:rsidRPr="00AE74F3" w:rsidRDefault="00776608" w:rsidP="00CE58B5">
            <w:pPr>
              <w:pStyle w:val="TableText0"/>
              <w:jc w:val="center"/>
            </w:pPr>
            <w:r w:rsidRPr="00AE74F3">
              <w:t>-</w:t>
            </w:r>
          </w:p>
        </w:tc>
        <w:tc>
          <w:tcPr>
            <w:tcW w:w="1559" w:type="dxa"/>
            <w:tcMar>
              <w:top w:w="0" w:type="dxa"/>
              <w:left w:w="108" w:type="dxa"/>
              <w:bottom w:w="0" w:type="dxa"/>
              <w:right w:w="108" w:type="dxa"/>
            </w:tcMar>
            <w:vAlign w:val="center"/>
            <w:hideMark/>
          </w:tcPr>
          <w:p w14:paraId="5A655CD7" w14:textId="77777777" w:rsidR="00776608" w:rsidRPr="00AE74F3" w:rsidRDefault="00776608" w:rsidP="00CE58B5">
            <w:pPr>
              <w:pStyle w:val="TableText0"/>
              <w:jc w:val="center"/>
            </w:pPr>
            <w:r w:rsidRPr="00AE74F3">
              <w:t>-</w:t>
            </w:r>
          </w:p>
        </w:tc>
        <w:tc>
          <w:tcPr>
            <w:tcW w:w="1560" w:type="dxa"/>
            <w:tcMar>
              <w:top w:w="0" w:type="dxa"/>
              <w:left w:w="108" w:type="dxa"/>
              <w:bottom w:w="0" w:type="dxa"/>
              <w:right w:w="108" w:type="dxa"/>
            </w:tcMar>
            <w:vAlign w:val="center"/>
            <w:hideMark/>
          </w:tcPr>
          <w:p w14:paraId="7DA78702" w14:textId="77777777" w:rsidR="00776608" w:rsidRPr="00AE74F3" w:rsidRDefault="00776608" w:rsidP="00CE58B5">
            <w:pPr>
              <w:pStyle w:val="TableText0"/>
              <w:jc w:val="center"/>
            </w:pPr>
            <w:r w:rsidRPr="00AE74F3">
              <w:t>-</w:t>
            </w:r>
          </w:p>
        </w:tc>
        <w:tc>
          <w:tcPr>
            <w:tcW w:w="992" w:type="dxa"/>
          </w:tcPr>
          <w:p w14:paraId="24A0F11F" w14:textId="77777777" w:rsidR="00776608" w:rsidRPr="00AE74F3" w:rsidRDefault="00776608" w:rsidP="00CE58B5">
            <w:pPr>
              <w:pStyle w:val="TableText0"/>
              <w:jc w:val="center"/>
            </w:pPr>
          </w:p>
        </w:tc>
        <w:tc>
          <w:tcPr>
            <w:tcW w:w="2410" w:type="dxa"/>
            <w:tcMar>
              <w:top w:w="0" w:type="dxa"/>
              <w:left w:w="108" w:type="dxa"/>
              <w:bottom w:w="0" w:type="dxa"/>
              <w:right w:w="108" w:type="dxa"/>
            </w:tcMar>
            <w:vAlign w:val="center"/>
            <w:hideMark/>
          </w:tcPr>
          <w:p w14:paraId="1EF34EF1" w14:textId="25B82645" w:rsidR="00776608" w:rsidRPr="00B321C3" w:rsidRDefault="00776608" w:rsidP="00CE58B5">
            <w:pPr>
              <w:pStyle w:val="TableText0"/>
              <w:jc w:val="center"/>
              <w:rPr>
                <w:b/>
                <w:bCs w:val="0"/>
              </w:rPr>
            </w:pPr>
            <w:r w:rsidRPr="00B321C3">
              <w:rPr>
                <w:b/>
                <w:bCs w:val="0"/>
              </w:rPr>
              <w:t>0.66 (0.56, 0.77); &lt;0.00001</w:t>
            </w:r>
            <w:r w:rsidRPr="00B321C3">
              <w:rPr>
                <w:b/>
                <w:bCs w:val="0"/>
                <w:vertAlign w:val="superscript"/>
              </w:rPr>
              <w:t xml:space="preserve"> a</w:t>
            </w:r>
          </w:p>
        </w:tc>
      </w:tr>
      <w:tr w:rsidR="00776608" w:rsidRPr="00AE74F3" w14:paraId="4ECE14D5" w14:textId="77777777" w:rsidTr="007D0E46">
        <w:tc>
          <w:tcPr>
            <w:tcW w:w="7083" w:type="dxa"/>
            <w:gridSpan w:val="5"/>
            <w:tcMar>
              <w:top w:w="0" w:type="dxa"/>
              <w:left w:w="108" w:type="dxa"/>
              <w:bottom w:w="0" w:type="dxa"/>
              <w:right w:w="108" w:type="dxa"/>
            </w:tcMar>
          </w:tcPr>
          <w:p w14:paraId="38B65E4B" w14:textId="0801A6F6" w:rsidR="00776608" w:rsidRPr="00AE74F3" w:rsidRDefault="00776608" w:rsidP="00776608">
            <w:pPr>
              <w:pStyle w:val="TableText0"/>
              <w:rPr>
                <w:b/>
                <w:bCs w:val="0"/>
              </w:rPr>
            </w:pPr>
            <w:r w:rsidRPr="00AE74F3">
              <w:rPr>
                <w:b/>
                <w:bCs w:val="0"/>
              </w:rPr>
              <w:t>Indirect comparison (ofatumumab vs placebo)</w:t>
            </w:r>
          </w:p>
        </w:tc>
        <w:tc>
          <w:tcPr>
            <w:tcW w:w="2410" w:type="dxa"/>
            <w:tcMar>
              <w:top w:w="0" w:type="dxa"/>
              <w:left w:w="108" w:type="dxa"/>
              <w:bottom w:w="0" w:type="dxa"/>
              <w:right w:w="108" w:type="dxa"/>
            </w:tcMar>
            <w:vAlign w:val="center"/>
          </w:tcPr>
          <w:p w14:paraId="474C2256" w14:textId="1E678A85" w:rsidR="00776608" w:rsidRPr="00B321C3" w:rsidRDefault="00776608" w:rsidP="00CE58B5">
            <w:pPr>
              <w:pStyle w:val="TableText0"/>
              <w:jc w:val="center"/>
              <w:rPr>
                <w:b/>
                <w:bCs w:val="0"/>
              </w:rPr>
            </w:pPr>
            <w:r w:rsidRPr="00B321C3">
              <w:rPr>
                <w:b/>
                <w:bCs w:val="0"/>
              </w:rPr>
              <w:t>0.303 (0.0.235, 0.390); &lt;00001</w:t>
            </w:r>
          </w:p>
        </w:tc>
      </w:tr>
      <w:tr w:rsidR="004B6E9C" w:rsidRPr="00AE74F3" w14:paraId="0BE1D794" w14:textId="77777777" w:rsidTr="00D42482">
        <w:tc>
          <w:tcPr>
            <w:tcW w:w="9493" w:type="dxa"/>
            <w:gridSpan w:val="6"/>
            <w:tcMar>
              <w:top w:w="0" w:type="dxa"/>
              <w:left w:w="108" w:type="dxa"/>
              <w:bottom w:w="0" w:type="dxa"/>
              <w:right w:w="108" w:type="dxa"/>
            </w:tcMar>
          </w:tcPr>
          <w:p w14:paraId="035FC3A9" w14:textId="3C150632" w:rsidR="004B6E9C" w:rsidRPr="00AE74F3" w:rsidRDefault="004B6E9C" w:rsidP="004B6E9C">
            <w:pPr>
              <w:pStyle w:val="TableText0"/>
              <w:rPr>
                <w:b/>
                <w:bCs w:val="0"/>
              </w:rPr>
            </w:pPr>
            <w:r w:rsidRPr="00AE74F3">
              <w:rPr>
                <w:b/>
                <w:bCs w:val="0"/>
              </w:rPr>
              <w:t>Step 2</w:t>
            </w:r>
          </w:p>
        </w:tc>
      </w:tr>
      <w:tr w:rsidR="004B6E9C" w:rsidRPr="00AE74F3" w14:paraId="7314B23A" w14:textId="77777777" w:rsidTr="005A5D4B">
        <w:tc>
          <w:tcPr>
            <w:tcW w:w="1555" w:type="dxa"/>
            <w:shd w:val="clear" w:color="auto" w:fill="DBE5F1" w:themeFill="accent1" w:themeFillTint="33"/>
            <w:tcMar>
              <w:top w:w="0" w:type="dxa"/>
              <w:left w:w="108" w:type="dxa"/>
              <w:bottom w:w="0" w:type="dxa"/>
              <w:right w:w="108" w:type="dxa"/>
            </w:tcMar>
            <w:vAlign w:val="center"/>
          </w:tcPr>
          <w:p w14:paraId="4AC64D27" w14:textId="4A59837A" w:rsidR="004B6E9C" w:rsidRPr="00AE74F3" w:rsidRDefault="004B6E9C" w:rsidP="004B6E9C">
            <w:pPr>
              <w:pStyle w:val="TableText0"/>
            </w:pPr>
            <w:r w:rsidRPr="00AE74F3">
              <w:t>FREEDOMS I</w:t>
            </w:r>
          </w:p>
        </w:tc>
        <w:tc>
          <w:tcPr>
            <w:tcW w:w="1417" w:type="dxa"/>
            <w:shd w:val="clear" w:color="auto" w:fill="DBE5F1" w:themeFill="accent1" w:themeFillTint="33"/>
            <w:tcMar>
              <w:top w:w="0" w:type="dxa"/>
              <w:left w:w="108" w:type="dxa"/>
              <w:bottom w:w="0" w:type="dxa"/>
              <w:right w:w="108" w:type="dxa"/>
            </w:tcMar>
            <w:vAlign w:val="center"/>
          </w:tcPr>
          <w:p w14:paraId="348AAAB5" w14:textId="77777777" w:rsidR="004B6E9C" w:rsidRPr="00AE74F3" w:rsidRDefault="004B6E9C" w:rsidP="004B6E9C">
            <w:pPr>
              <w:pStyle w:val="TableText0"/>
              <w:jc w:val="center"/>
            </w:pPr>
          </w:p>
        </w:tc>
        <w:tc>
          <w:tcPr>
            <w:tcW w:w="1559" w:type="dxa"/>
            <w:shd w:val="clear" w:color="auto" w:fill="DBE5F1" w:themeFill="accent1" w:themeFillTint="33"/>
            <w:tcMar>
              <w:top w:w="0" w:type="dxa"/>
              <w:left w:w="108" w:type="dxa"/>
              <w:bottom w:w="0" w:type="dxa"/>
              <w:right w:w="108" w:type="dxa"/>
            </w:tcMar>
            <w:vAlign w:val="center"/>
          </w:tcPr>
          <w:p w14:paraId="46C3BDEA" w14:textId="77777777" w:rsidR="004B6E9C" w:rsidRPr="00AE74F3" w:rsidRDefault="004B6E9C" w:rsidP="004B6E9C">
            <w:pPr>
              <w:pStyle w:val="TableText0"/>
              <w:jc w:val="center"/>
            </w:pPr>
          </w:p>
        </w:tc>
        <w:tc>
          <w:tcPr>
            <w:tcW w:w="1560" w:type="dxa"/>
            <w:shd w:val="clear" w:color="auto" w:fill="DBE5F1" w:themeFill="accent1" w:themeFillTint="33"/>
            <w:tcMar>
              <w:top w:w="0" w:type="dxa"/>
              <w:left w:w="108" w:type="dxa"/>
              <w:bottom w:w="0" w:type="dxa"/>
              <w:right w:w="108" w:type="dxa"/>
            </w:tcMar>
            <w:vAlign w:val="center"/>
          </w:tcPr>
          <w:p w14:paraId="5E59A3E1" w14:textId="4D388884" w:rsidR="004B6E9C" w:rsidRPr="00AE74F3" w:rsidRDefault="004B6E9C" w:rsidP="004B6E9C">
            <w:pPr>
              <w:pStyle w:val="TableText0"/>
              <w:jc w:val="center"/>
            </w:pPr>
            <w:r w:rsidRPr="00AE74F3">
              <w:t>0.469 (0.412, 0.533)</w:t>
            </w:r>
          </w:p>
        </w:tc>
        <w:tc>
          <w:tcPr>
            <w:tcW w:w="992" w:type="dxa"/>
            <w:shd w:val="clear" w:color="auto" w:fill="DBE5F1" w:themeFill="accent1" w:themeFillTint="33"/>
            <w:vAlign w:val="center"/>
          </w:tcPr>
          <w:p w14:paraId="2FF0E1D4" w14:textId="5238EC71" w:rsidR="004B6E9C" w:rsidRPr="00AE74F3" w:rsidRDefault="004B6E9C" w:rsidP="004B6E9C">
            <w:pPr>
              <w:pStyle w:val="TableText0"/>
              <w:jc w:val="center"/>
            </w:pPr>
            <w:r w:rsidRPr="00AE74F3">
              <w:t>0.211 (0.178, 0.250)</w:t>
            </w:r>
          </w:p>
        </w:tc>
        <w:tc>
          <w:tcPr>
            <w:tcW w:w="2410" w:type="dxa"/>
            <w:shd w:val="clear" w:color="auto" w:fill="DBE5F1" w:themeFill="accent1" w:themeFillTint="33"/>
            <w:tcMar>
              <w:top w:w="0" w:type="dxa"/>
              <w:left w:w="108" w:type="dxa"/>
              <w:bottom w:w="0" w:type="dxa"/>
              <w:right w:w="108" w:type="dxa"/>
            </w:tcMar>
            <w:vAlign w:val="center"/>
          </w:tcPr>
          <w:p w14:paraId="47145BDB" w14:textId="247439E2" w:rsidR="004B6E9C" w:rsidRPr="00B321C3" w:rsidRDefault="004B6E9C" w:rsidP="004B6E9C">
            <w:pPr>
              <w:pStyle w:val="TableText0"/>
              <w:jc w:val="center"/>
              <w:rPr>
                <w:b/>
                <w:bCs w:val="0"/>
              </w:rPr>
            </w:pPr>
            <w:r w:rsidRPr="00B321C3">
              <w:rPr>
                <w:b/>
                <w:bCs w:val="0"/>
              </w:rPr>
              <w:t>0.450 (0.365, 0.556); &lt;0.0001</w:t>
            </w:r>
          </w:p>
        </w:tc>
      </w:tr>
      <w:tr w:rsidR="004B6E9C" w:rsidRPr="00AE74F3" w14:paraId="5E9B0F19" w14:textId="77777777" w:rsidTr="005A5D4B">
        <w:tc>
          <w:tcPr>
            <w:tcW w:w="1555" w:type="dxa"/>
            <w:shd w:val="clear" w:color="auto" w:fill="DBE5F1" w:themeFill="accent1" w:themeFillTint="33"/>
            <w:tcMar>
              <w:top w:w="0" w:type="dxa"/>
              <w:left w:w="108" w:type="dxa"/>
              <w:bottom w:w="0" w:type="dxa"/>
              <w:right w:w="108" w:type="dxa"/>
            </w:tcMar>
            <w:vAlign w:val="center"/>
          </w:tcPr>
          <w:p w14:paraId="29FE5921" w14:textId="6715C05A" w:rsidR="004B6E9C" w:rsidRPr="00AE74F3" w:rsidRDefault="004B6E9C" w:rsidP="004B6E9C">
            <w:pPr>
              <w:pStyle w:val="TableText0"/>
            </w:pPr>
            <w:r w:rsidRPr="00AE74F3">
              <w:t>FREEDOMS II</w:t>
            </w:r>
          </w:p>
        </w:tc>
        <w:tc>
          <w:tcPr>
            <w:tcW w:w="1417" w:type="dxa"/>
            <w:shd w:val="clear" w:color="auto" w:fill="DBE5F1" w:themeFill="accent1" w:themeFillTint="33"/>
            <w:tcMar>
              <w:top w:w="0" w:type="dxa"/>
              <w:left w:w="108" w:type="dxa"/>
              <w:bottom w:w="0" w:type="dxa"/>
              <w:right w:w="108" w:type="dxa"/>
            </w:tcMar>
            <w:vAlign w:val="center"/>
          </w:tcPr>
          <w:p w14:paraId="1DAE1CDC" w14:textId="77777777" w:rsidR="004B6E9C" w:rsidRPr="00AE74F3" w:rsidRDefault="004B6E9C" w:rsidP="004B6E9C">
            <w:pPr>
              <w:pStyle w:val="TableText0"/>
              <w:jc w:val="center"/>
            </w:pPr>
          </w:p>
        </w:tc>
        <w:tc>
          <w:tcPr>
            <w:tcW w:w="1559" w:type="dxa"/>
            <w:shd w:val="clear" w:color="auto" w:fill="DBE5F1" w:themeFill="accent1" w:themeFillTint="33"/>
            <w:tcMar>
              <w:top w:w="0" w:type="dxa"/>
              <w:left w:w="108" w:type="dxa"/>
              <w:bottom w:w="0" w:type="dxa"/>
              <w:right w:w="108" w:type="dxa"/>
            </w:tcMar>
            <w:vAlign w:val="center"/>
          </w:tcPr>
          <w:p w14:paraId="3B95DD8B" w14:textId="77777777" w:rsidR="004B6E9C" w:rsidRPr="00AE74F3" w:rsidRDefault="004B6E9C" w:rsidP="004B6E9C">
            <w:pPr>
              <w:pStyle w:val="TableText0"/>
              <w:jc w:val="center"/>
            </w:pPr>
          </w:p>
        </w:tc>
        <w:tc>
          <w:tcPr>
            <w:tcW w:w="1560" w:type="dxa"/>
            <w:shd w:val="clear" w:color="auto" w:fill="DBE5F1" w:themeFill="accent1" w:themeFillTint="33"/>
            <w:tcMar>
              <w:top w:w="0" w:type="dxa"/>
              <w:left w:w="108" w:type="dxa"/>
              <w:bottom w:w="0" w:type="dxa"/>
              <w:right w:w="108" w:type="dxa"/>
            </w:tcMar>
            <w:vAlign w:val="center"/>
          </w:tcPr>
          <w:p w14:paraId="7F60EB1E" w14:textId="19DD690C" w:rsidR="004B6E9C" w:rsidRPr="00AE74F3" w:rsidRDefault="004B6E9C" w:rsidP="004B6E9C">
            <w:pPr>
              <w:pStyle w:val="TableText0"/>
              <w:jc w:val="center"/>
            </w:pPr>
            <w:r w:rsidRPr="00AE74F3">
              <w:t>0.394 (0.336, 0.462)</w:t>
            </w:r>
          </w:p>
        </w:tc>
        <w:tc>
          <w:tcPr>
            <w:tcW w:w="992" w:type="dxa"/>
            <w:shd w:val="clear" w:color="auto" w:fill="DBE5F1" w:themeFill="accent1" w:themeFillTint="33"/>
            <w:vAlign w:val="center"/>
          </w:tcPr>
          <w:p w14:paraId="4428E4FF" w14:textId="5E13B1F2" w:rsidR="004B6E9C" w:rsidRPr="00AE74F3" w:rsidRDefault="004B6E9C" w:rsidP="004B6E9C">
            <w:pPr>
              <w:pStyle w:val="TableText0"/>
              <w:jc w:val="center"/>
            </w:pPr>
            <w:r w:rsidRPr="00AE74F3">
              <w:t>0.204 (0.168, 0.249)</w:t>
            </w:r>
          </w:p>
        </w:tc>
        <w:tc>
          <w:tcPr>
            <w:tcW w:w="2410" w:type="dxa"/>
            <w:shd w:val="clear" w:color="auto" w:fill="DBE5F1" w:themeFill="accent1" w:themeFillTint="33"/>
            <w:tcMar>
              <w:top w:w="0" w:type="dxa"/>
              <w:left w:w="108" w:type="dxa"/>
              <w:bottom w:w="0" w:type="dxa"/>
              <w:right w:w="108" w:type="dxa"/>
            </w:tcMar>
            <w:vAlign w:val="center"/>
          </w:tcPr>
          <w:p w14:paraId="6FE5D14B" w14:textId="349E80C8" w:rsidR="004B6E9C" w:rsidRPr="00B321C3" w:rsidRDefault="004B6E9C" w:rsidP="004B6E9C">
            <w:pPr>
              <w:pStyle w:val="TableText0"/>
              <w:jc w:val="center"/>
              <w:rPr>
                <w:b/>
                <w:bCs w:val="0"/>
              </w:rPr>
            </w:pPr>
            <w:r w:rsidRPr="00B321C3">
              <w:rPr>
                <w:b/>
                <w:bCs w:val="0"/>
              </w:rPr>
              <w:t>0.519 (0.404, 0.667); &lt;0.0001</w:t>
            </w:r>
          </w:p>
        </w:tc>
      </w:tr>
      <w:tr w:rsidR="004B6E9C" w:rsidRPr="00AE74F3" w14:paraId="1DE9D857" w14:textId="77777777" w:rsidTr="005A5D4B">
        <w:tc>
          <w:tcPr>
            <w:tcW w:w="1555" w:type="dxa"/>
            <w:shd w:val="clear" w:color="auto" w:fill="DBE5F1" w:themeFill="accent1" w:themeFillTint="33"/>
            <w:tcMar>
              <w:top w:w="0" w:type="dxa"/>
              <w:left w:w="108" w:type="dxa"/>
              <w:bottom w:w="0" w:type="dxa"/>
              <w:right w:w="108" w:type="dxa"/>
            </w:tcMar>
            <w:vAlign w:val="center"/>
          </w:tcPr>
          <w:p w14:paraId="6A4DE657" w14:textId="48811F27" w:rsidR="004B6E9C" w:rsidRPr="00AE74F3" w:rsidRDefault="004B6E9C" w:rsidP="004B6E9C">
            <w:pPr>
              <w:pStyle w:val="TableText0"/>
            </w:pPr>
            <w:r w:rsidRPr="00AE74F3">
              <w:t>FREEDOMS I/II pooled</w:t>
            </w:r>
          </w:p>
        </w:tc>
        <w:tc>
          <w:tcPr>
            <w:tcW w:w="1417" w:type="dxa"/>
            <w:shd w:val="clear" w:color="auto" w:fill="DBE5F1" w:themeFill="accent1" w:themeFillTint="33"/>
            <w:tcMar>
              <w:top w:w="0" w:type="dxa"/>
              <w:left w:w="108" w:type="dxa"/>
              <w:bottom w:w="0" w:type="dxa"/>
              <w:right w:w="108" w:type="dxa"/>
            </w:tcMar>
            <w:vAlign w:val="center"/>
          </w:tcPr>
          <w:p w14:paraId="498A8E71" w14:textId="77777777" w:rsidR="004B6E9C" w:rsidRPr="00AE74F3" w:rsidRDefault="004B6E9C" w:rsidP="004B6E9C">
            <w:pPr>
              <w:pStyle w:val="TableText0"/>
              <w:jc w:val="center"/>
            </w:pPr>
          </w:p>
        </w:tc>
        <w:tc>
          <w:tcPr>
            <w:tcW w:w="1559" w:type="dxa"/>
            <w:shd w:val="clear" w:color="auto" w:fill="DBE5F1" w:themeFill="accent1" w:themeFillTint="33"/>
            <w:tcMar>
              <w:top w:w="0" w:type="dxa"/>
              <w:left w:w="108" w:type="dxa"/>
              <w:bottom w:w="0" w:type="dxa"/>
              <w:right w:w="108" w:type="dxa"/>
            </w:tcMar>
            <w:vAlign w:val="center"/>
          </w:tcPr>
          <w:p w14:paraId="63876209" w14:textId="77777777" w:rsidR="004B6E9C" w:rsidRPr="00AE74F3" w:rsidRDefault="004B6E9C" w:rsidP="004B6E9C">
            <w:pPr>
              <w:pStyle w:val="TableText0"/>
              <w:jc w:val="center"/>
            </w:pPr>
          </w:p>
        </w:tc>
        <w:tc>
          <w:tcPr>
            <w:tcW w:w="1560" w:type="dxa"/>
            <w:shd w:val="clear" w:color="auto" w:fill="DBE5F1" w:themeFill="accent1" w:themeFillTint="33"/>
            <w:tcMar>
              <w:top w:w="0" w:type="dxa"/>
              <w:left w:w="108" w:type="dxa"/>
              <w:bottom w:w="0" w:type="dxa"/>
              <w:right w:w="108" w:type="dxa"/>
            </w:tcMar>
            <w:vAlign w:val="center"/>
          </w:tcPr>
          <w:p w14:paraId="5BC8DD11" w14:textId="3FBF59C3" w:rsidR="004B6E9C" w:rsidRPr="00AE74F3" w:rsidRDefault="004B6E9C" w:rsidP="004B6E9C">
            <w:pPr>
              <w:pStyle w:val="TableText0"/>
              <w:jc w:val="center"/>
            </w:pPr>
            <w:r w:rsidRPr="00AE74F3">
              <w:t>0.438 (0.396, 0.485)</w:t>
            </w:r>
          </w:p>
        </w:tc>
        <w:tc>
          <w:tcPr>
            <w:tcW w:w="992" w:type="dxa"/>
            <w:shd w:val="clear" w:color="auto" w:fill="DBE5F1" w:themeFill="accent1" w:themeFillTint="33"/>
            <w:vAlign w:val="center"/>
          </w:tcPr>
          <w:p w14:paraId="43D5C14C" w14:textId="2AE37744" w:rsidR="004B6E9C" w:rsidRPr="00AE74F3" w:rsidRDefault="004B6E9C" w:rsidP="004B6E9C">
            <w:pPr>
              <w:pStyle w:val="TableText0"/>
              <w:jc w:val="center"/>
            </w:pPr>
            <w:r w:rsidRPr="00AE74F3">
              <w:t>0.209 (0.184, 0.238)</w:t>
            </w:r>
          </w:p>
        </w:tc>
        <w:tc>
          <w:tcPr>
            <w:tcW w:w="2410" w:type="dxa"/>
            <w:shd w:val="clear" w:color="auto" w:fill="DBE5F1" w:themeFill="accent1" w:themeFillTint="33"/>
            <w:tcMar>
              <w:top w:w="0" w:type="dxa"/>
              <w:left w:w="108" w:type="dxa"/>
              <w:bottom w:w="0" w:type="dxa"/>
              <w:right w:w="108" w:type="dxa"/>
            </w:tcMar>
            <w:vAlign w:val="center"/>
          </w:tcPr>
          <w:p w14:paraId="7A655E91" w14:textId="736334FB" w:rsidR="004B6E9C" w:rsidRPr="00B321C3" w:rsidRDefault="004B6E9C" w:rsidP="004B6E9C">
            <w:pPr>
              <w:pStyle w:val="TableText0"/>
              <w:jc w:val="center"/>
              <w:rPr>
                <w:b/>
                <w:bCs w:val="0"/>
              </w:rPr>
            </w:pPr>
            <w:r w:rsidRPr="00B321C3">
              <w:rPr>
                <w:b/>
                <w:bCs w:val="0"/>
              </w:rPr>
              <w:t>0.477 (0.406, 0.561); &lt;0.0001</w:t>
            </w:r>
          </w:p>
        </w:tc>
      </w:tr>
      <w:tr w:rsidR="004B6E9C" w:rsidRPr="00AE74F3" w14:paraId="7A0CF5AA" w14:textId="77777777" w:rsidTr="005A5D4B">
        <w:tc>
          <w:tcPr>
            <w:tcW w:w="7083" w:type="dxa"/>
            <w:gridSpan w:val="5"/>
            <w:shd w:val="clear" w:color="auto" w:fill="DBE5F1" w:themeFill="accent1" w:themeFillTint="33"/>
            <w:tcMar>
              <w:top w:w="0" w:type="dxa"/>
              <w:left w:w="108" w:type="dxa"/>
              <w:bottom w:w="0" w:type="dxa"/>
              <w:right w:w="108" w:type="dxa"/>
            </w:tcMar>
            <w:hideMark/>
          </w:tcPr>
          <w:p w14:paraId="68E9DD25" w14:textId="0DBB4CA4" w:rsidR="004B6E9C" w:rsidRPr="00AE74F3" w:rsidRDefault="004B6E9C" w:rsidP="004B6E9C">
            <w:pPr>
              <w:pStyle w:val="TableText0"/>
              <w:rPr>
                <w:b/>
                <w:bCs w:val="0"/>
              </w:rPr>
            </w:pPr>
            <w:r w:rsidRPr="00AE74F3">
              <w:rPr>
                <w:b/>
                <w:bCs w:val="0"/>
              </w:rPr>
              <w:t>Indirect comparison (ofatumumab vs fingolimod)</w:t>
            </w:r>
          </w:p>
        </w:tc>
        <w:tc>
          <w:tcPr>
            <w:tcW w:w="2410" w:type="dxa"/>
            <w:shd w:val="clear" w:color="auto" w:fill="DBE5F1" w:themeFill="accent1" w:themeFillTint="33"/>
            <w:tcMar>
              <w:top w:w="0" w:type="dxa"/>
              <w:left w:w="108" w:type="dxa"/>
              <w:bottom w:w="0" w:type="dxa"/>
              <w:right w:w="108" w:type="dxa"/>
            </w:tcMar>
            <w:vAlign w:val="center"/>
          </w:tcPr>
          <w:p w14:paraId="114AB4F6" w14:textId="6577E899" w:rsidR="004B6E9C" w:rsidRPr="00B321C3" w:rsidRDefault="004B6E9C" w:rsidP="004B6E9C">
            <w:pPr>
              <w:pStyle w:val="TableText0"/>
              <w:jc w:val="center"/>
              <w:rPr>
                <w:b/>
                <w:bCs w:val="0"/>
              </w:rPr>
            </w:pPr>
            <w:r w:rsidRPr="00B321C3">
              <w:rPr>
                <w:b/>
                <w:bCs w:val="0"/>
              </w:rPr>
              <w:t>0.635 (0.470, 0.858); 0.0031</w:t>
            </w:r>
          </w:p>
        </w:tc>
      </w:tr>
    </w:tbl>
    <w:p w14:paraId="5E3972B7" w14:textId="77777777" w:rsidR="008600A3" w:rsidRPr="00AE74F3" w:rsidRDefault="008600A3" w:rsidP="008600A3">
      <w:pPr>
        <w:pStyle w:val="FooterTableFigure"/>
      </w:pPr>
      <w:r w:rsidRPr="00AE74F3">
        <w:t>ARR = annualised relapse rate; CI = confidence interval; ITC = indirect treatment comparison; RR = relative risk</w:t>
      </w:r>
    </w:p>
    <w:p w14:paraId="081A7219" w14:textId="35F0F5C4" w:rsidR="004B6E9C" w:rsidRPr="00AE74F3" w:rsidRDefault="004B6E9C" w:rsidP="004B6E9C">
      <w:pPr>
        <w:pStyle w:val="FooterTableFigure"/>
      </w:pPr>
      <w:bookmarkStart w:id="30" w:name="_Hlk159486885"/>
      <w:r w:rsidRPr="00AE74F3">
        <w:t>Source: Tables 38, 41, 44, 51, 52 pp 94, 99, 109 of the submission.</w:t>
      </w:r>
    </w:p>
    <w:p w14:paraId="5CF2CF57" w14:textId="77777777" w:rsidR="008600A3" w:rsidRPr="00AE74F3" w:rsidRDefault="008600A3" w:rsidP="008600A3">
      <w:pPr>
        <w:pStyle w:val="FooterTableFigure"/>
      </w:pPr>
      <w:r w:rsidRPr="00AE74F3">
        <w:t>For ARR, RR&lt; 1 favours ofatumumab</w:t>
      </w:r>
    </w:p>
    <w:p w14:paraId="6A0915EB" w14:textId="77777777" w:rsidR="008600A3" w:rsidRPr="00AE74F3" w:rsidRDefault="008600A3" w:rsidP="008600A3">
      <w:pPr>
        <w:pStyle w:val="FooterTableFigure"/>
      </w:pPr>
      <w:r w:rsidRPr="00AE74F3">
        <w:rPr>
          <w:vertAlign w:val="superscript"/>
        </w:rPr>
        <w:t>a</w:t>
      </w:r>
      <w:r w:rsidRPr="00AE74F3">
        <w:t xml:space="preserve"> As these figures show the RR for teriflunomide vs placebo, their inverse was used in order to include results for placebo vs teriflunomide in the ITC (RR (95% CI) = 1.520 (1.310, 1.770)).</w:t>
      </w:r>
    </w:p>
    <w:p w14:paraId="799AC5FD" w14:textId="77777777" w:rsidR="008600A3" w:rsidRPr="00AE74F3" w:rsidRDefault="008600A3" w:rsidP="00326830">
      <w:pPr>
        <w:pStyle w:val="FooterTableFigure"/>
      </w:pPr>
      <w:r w:rsidRPr="00AE74F3">
        <w:t>Blue shading indicates values previously considered by the PBAC.</w:t>
      </w:r>
    </w:p>
    <w:bookmarkEnd w:id="30"/>
    <w:p w14:paraId="29936B95" w14:textId="6A8EF965" w:rsidR="008600A3" w:rsidRPr="00AE74F3" w:rsidRDefault="008600A3" w:rsidP="008600A3">
      <w:pPr>
        <w:pStyle w:val="3-BodyText"/>
      </w:pPr>
      <w:r w:rsidRPr="00AE74F3">
        <w:t>The ITC calculations and results were identical to those presented in the March 2021 ofatumumab submission. Previously,</w:t>
      </w:r>
      <w:r w:rsidR="00EE522D" w:rsidRPr="00AE74F3">
        <w:t xml:space="preserve"> the PBAC</w:t>
      </w:r>
      <w:r w:rsidRPr="00AE74F3">
        <w:t xml:space="preserve"> considered that “(given the multiple steps in the indirect comparison and the differences in trial design, particularly in reference to the bridging comparator teriflunomide trials, these results must be interpreted with caution. All point estimates of the multi-step indirect comparisons favoured treatment with ofatumumab compared to treatment with fingolimod, cladribine, natalizumab or ocrelizumab (albeit with wide confidence margins), and overall there does not appear to be any evidence to suggest that treatment with ofatumumab would be inferior to fingolimod, cladribine, natalizumab or ocrelizumab” (paragraph 6.31, ofatumumab PSD, March 2021 PBAC meeting).</w:t>
      </w:r>
    </w:p>
    <w:p w14:paraId="2DCB2D4F" w14:textId="5AEB12E0" w:rsidR="008600A3" w:rsidRPr="00AE74F3" w:rsidRDefault="008600A3" w:rsidP="009D5AE4">
      <w:pPr>
        <w:pStyle w:val="3-BodyText"/>
      </w:pPr>
      <w:r w:rsidRPr="00AE74F3">
        <w:t xml:space="preserve">The ARR results of the </w:t>
      </w:r>
      <w:r w:rsidR="00613C9E" w:rsidRPr="00AE74F3">
        <w:t xml:space="preserve">common reference </w:t>
      </w:r>
      <w:r w:rsidRPr="00AE74F3">
        <w:t>teriflunomide arm in ASCLEPIOS I and II differed substantially with TEMSO and TOWER, with the upper 95% confidence interval (CI) of the ARR in ASCLEPIOS I and II (upper bound 95%</w:t>
      </w:r>
      <w:r w:rsidR="00C33323" w:rsidRPr="00AE74F3">
        <w:t xml:space="preserve"> </w:t>
      </w:r>
      <w:r w:rsidRPr="00AE74F3">
        <w:t>CI 0.26</w:t>
      </w:r>
      <w:r w:rsidR="008E32A2" w:rsidRPr="00AE74F3">
        <w:t xml:space="preserve"> and </w:t>
      </w:r>
      <w:r w:rsidRPr="00AE74F3">
        <w:t>0.30) not overlapping with lower 95% confidence interval of TEMSO (lower bound 95%</w:t>
      </w:r>
      <w:r w:rsidR="00C33323" w:rsidRPr="00AE74F3">
        <w:t xml:space="preserve"> </w:t>
      </w:r>
      <w:r w:rsidRPr="00AE74F3">
        <w:t>CI 0.31)</w:t>
      </w:r>
      <w:r w:rsidR="00283742" w:rsidRPr="00AE74F3">
        <w:t xml:space="preserve">. </w:t>
      </w:r>
      <w:r w:rsidRPr="00AE74F3">
        <w:t xml:space="preserve">Similarly, </w:t>
      </w:r>
      <w:r w:rsidR="00D442E5">
        <w:t xml:space="preserve">in the placebo arms, </w:t>
      </w:r>
      <w:r w:rsidRPr="00AE74F3">
        <w:t xml:space="preserve">the ARR results in TEMSO and TOWER differed </w:t>
      </w:r>
      <w:r w:rsidR="00D442E5">
        <w:t xml:space="preserve">compared with </w:t>
      </w:r>
      <w:r w:rsidRPr="00AE74F3">
        <w:t>FREEDOMS I and II, with the upper 95% confidence interval of the ARR in FREEDOMS II (0.394, 95%</w:t>
      </w:r>
      <w:r w:rsidR="008E32A2" w:rsidRPr="00AE74F3">
        <w:t xml:space="preserve"> </w:t>
      </w:r>
      <w:r w:rsidRPr="00AE74F3">
        <w:t xml:space="preserve">CI 0.336, 0.462) not overlapping with </w:t>
      </w:r>
      <w:r w:rsidR="007E473E">
        <w:t xml:space="preserve">the </w:t>
      </w:r>
      <w:r w:rsidRPr="00AE74F3">
        <w:t>lower 95% confidence interval of TEMSO (0.54, 95% CI 0.47, 0.62)</w:t>
      </w:r>
      <w:r w:rsidR="00D442E5">
        <w:t xml:space="preserve">. </w:t>
      </w:r>
      <w:r w:rsidR="00D442E5" w:rsidRPr="00AE74F3">
        <w:t xml:space="preserve">The evaluation and the ESC considered that this suggested </w:t>
      </w:r>
      <w:r w:rsidR="00D442E5">
        <w:t>potential</w:t>
      </w:r>
      <w:r w:rsidR="00D442E5" w:rsidRPr="00AE74F3">
        <w:t xml:space="preserve"> transitivity issues between the trials</w:t>
      </w:r>
      <w:r w:rsidR="00D442E5">
        <w:t>,</w:t>
      </w:r>
      <w:r w:rsidR="00D442E5" w:rsidRPr="00AE74F3">
        <w:t xml:space="preserve"> and </w:t>
      </w:r>
      <w:r w:rsidR="00D442E5">
        <w:t xml:space="preserve">thus </w:t>
      </w:r>
      <w:r w:rsidR="00D442E5" w:rsidRPr="00AE74F3">
        <w:t>the results of the ITC may not be reliable.</w:t>
      </w:r>
    </w:p>
    <w:p w14:paraId="31A377DA" w14:textId="6D87C946" w:rsidR="008600A3" w:rsidRPr="00AE74F3" w:rsidRDefault="008600A3" w:rsidP="008600A3">
      <w:pPr>
        <w:pStyle w:val="3-BodyText"/>
      </w:pPr>
      <w:r w:rsidRPr="00AE74F3">
        <w:lastRenderedPageBreak/>
        <w:t xml:space="preserve">As for ARR, a two-step ITC was conducted to compare ofatumumab </w:t>
      </w:r>
      <w:r w:rsidR="00283742" w:rsidRPr="00AE74F3">
        <w:t xml:space="preserve">and </w:t>
      </w:r>
      <w:r w:rsidRPr="00AE74F3">
        <w:t xml:space="preserve">fingolimod for </w:t>
      </w:r>
      <w:r w:rsidR="002E7127" w:rsidRPr="00AE74F3">
        <w:t xml:space="preserve">the outcome of </w:t>
      </w:r>
      <w:r w:rsidR="00E515F9" w:rsidRPr="00AE74F3">
        <w:t xml:space="preserve">time to </w:t>
      </w:r>
      <w:r w:rsidR="002E7127" w:rsidRPr="00AE74F3">
        <w:t>confirmed disability progression at three months (</w:t>
      </w:r>
      <w:r w:rsidRPr="00AE74F3">
        <w:t>3mCDP</w:t>
      </w:r>
      <w:r w:rsidR="002E7127" w:rsidRPr="00AE74F3">
        <w:t>)</w:t>
      </w:r>
      <w:r w:rsidRPr="00AE74F3">
        <w:t xml:space="preserve">. The results for the individual RCTs and </w:t>
      </w:r>
      <w:r w:rsidR="007E473E">
        <w:t xml:space="preserve">the two-step </w:t>
      </w:r>
      <w:r w:rsidRPr="00AE74F3">
        <w:t xml:space="preserve">ITC are presented in </w:t>
      </w:r>
      <w:r w:rsidRPr="00AE74F3">
        <w:fldChar w:fldCharType="begin" w:fldLock="1"/>
      </w:r>
      <w:r w:rsidRPr="00AE74F3">
        <w:instrText xml:space="preserve"> REF _Ref152949675 \h </w:instrText>
      </w:r>
      <w:r w:rsidR="005F098D" w:rsidRPr="00AE74F3">
        <w:instrText xml:space="preserve"> \* MERGEFORMAT </w:instrText>
      </w:r>
      <w:r w:rsidRPr="00AE74F3">
        <w:fldChar w:fldCharType="separate"/>
      </w:r>
      <w:r w:rsidR="00416916" w:rsidRPr="00AE74F3">
        <w:t xml:space="preserve">Table </w:t>
      </w:r>
      <w:r w:rsidR="00416916">
        <w:rPr>
          <w:noProof/>
        </w:rPr>
        <w:t>5</w:t>
      </w:r>
      <w:r w:rsidRPr="00AE74F3">
        <w:fldChar w:fldCharType="end"/>
      </w:r>
      <w:r w:rsidRPr="00AE74F3">
        <w:t>.</w:t>
      </w:r>
    </w:p>
    <w:p w14:paraId="6739C367" w14:textId="53051CA3" w:rsidR="008600A3" w:rsidRPr="00AE74F3" w:rsidRDefault="008600A3" w:rsidP="008600A3">
      <w:pPr>
        <w:pStyle w:val="Caption"/>
      </w:pPr>
      <w:bookmarkStart w:id="31" w:name="_Ref152949675"/>
      <w:r w:rsidRPr="00AE74F3">
        <w:t xml:space="preserve">Table </w:t>
      </w:r>
      <w:r w:rsidR="002943DF">
        <w:fldChar w:fldCharType="begin" w:fldLock="1"/>
      </w:r>
      <w:r w:rsidR="002943DF">
        <w:instrText xml:space="preserve"> SEQ Table \* ARABIC </w:instrText>
      </w:r>
      <w:r w:rsidR="002943DF">
        <w:fldChar w:fldCharType="separate"/>
      </w:r>
      <w:r w:rsidR="00416916">
        <w:rPr>
          <w:noProof/>
        </w:rPr>
        <w:t>5</w:t>
      </w:r>
      <w:r w:rsidR="002943DF">
        <w:rPr>
          <w:noProof/>
        </w:rPr>
        <w:fldChar w:fldCharType="end"/>
      </w:r>
      <w:bookmarkEnd w:id="31"/>
      <w:r w:rsidRPr="00AE74F3">
        <w:t>:</w:t>
      </w:r>
      <w:r w:rsidRPr="00AE74F3">
        <w:tab/>
        <w:t xml:space="preserve">Ofatumumab vs </w:t>
      </w:r>
      <w:r w:rsidR="008E32A2" w:rsidRPr="00AE74F3">
        <w:t xml:space="preserve">teriflunomide vs </w:t>
      </w:r>
      <w:r w:rsidRPr="00AE74F3">
        <w:t>placebo</w:t>
      </w:r>
      <w:r w:rsidR="008E32A2" w:rsidRPr="00AE74F3">
        <w:t xml:space="preserve"> vs fingolimod</w:t>
      </w:r>
      <w:r w:rsidRPr="00AE74F3">
        <w:t xml:space="preserve">: </w:t>
      </w:r>
      <w:r w:rsidR="007A00BE" w:rsidRPr="00AE74F3">
        <w:t xml:space="preserve">Time to </w:t>
      </w:r>
      <w:r w:rsidRPr="00AE74F3">
        <w:t xml:space="preserve">3mCDP of the included trials and ITC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5: Ofatumumab vs teriflunomide vs placebo vs fingolimod: Time to 3mCDP of the included trials and ITC "/>
      </w:tblPr>
      <w:tblGrid>
        <w:gridCol w:w="1456"/>
        <w:gridCol w:w="40"/>
        <w:gridCol w:w="1504"/>
        <w:gridCol w:w="63"/>
        <w:gridCol w:w="1441"/>
        <w:gridCol w:w="47"/>
        <w:gridCol w:w="1257"/>
        <w:gridCol w:w="1206"/>
        <w:gridCol w:w="14"/>
        <w:gridCol w:w="1989"/>
      </w:tblGrid>
      <w:tr w:rsidR="008E32A2" w:rsidRPr="00AE74F3" w14:paraId="2AA390A7" w14:textId="77777777" w:rsidTr="00283742">
        <w:tc>
          <w:tcPr>
            <w:tcW w:w="807" w:type="pct"/>
            <w:tcMar>
              <w:top w:w="0" w:type="dxa"/>
              <w:left w:w="108" w:type="dxa"/>
              <w:bottom w:w="0" w:type="dxa"/>
              <w:right w:w="108" w:type="dxa"/>
            </w:tcMar>
          </w:tcPr>
          <w:p w14:paraId="2E0A4520" w14:textId="77777777" w:rsidR="008E32A2" w:rsidRPr="00AE74F3" w:rsidRDefault="008E32A2" w:rsidP="00CE58B5">
            <w:pPr>
              <w:pStyle w:val="In-tableHeading"/>
              <w:rPr>
                <w:lang w:val="en-AU"/>
              </w:rPr>
            </w:pPr>
          </w:p>
        </w:tc>
        <w:tc>
          <w:tcPr>
            <w:tcW w:w="2413" w:type="pct"/>
            <w:gridSpan w:val="6"/>
            <w:tcMar>
              <w:top w:w="0" w:type="dxa"/>
              <w:left w:w="108" w:type="dxa"/>
              <w:bottom w:w="0" w:type="dxa"/>
              <w:right w:w="108" w:type="dxa"/>
            </w:tcMar>
          </w:tcPr>
          <w:p w14:paraId="5B0A9605" w14:textId="268785F5" w:rsidR="008E32A2" w:rsidRPr="00AE74F3" w:rsidRDefault="008E32A2" w:rsidP="00CE58B5">
            <w:pPr>
              <w:pStyle w:val="In-tableHeading"/>
              <w:jc w:val="center"/>
              <w:rPr>
                <w:lang w:val="en-AU"/>
              </w:rPr>
            </w:pPr>
            <w:r w:rsidRPr="00AE74F3">
              <w:rPr>
                <w:lang w:val="en-AU"/>
              </w:rPr>
              <w:t>Time to 3mCDP</w:t>
            </w:r>
          </w:p>
        </w:tc>
        <w:tc>
          <w:tcPr>
            <w:tcW w:w="677" w:type="pct"/>
            <w:gridSpan w:val="2"/>
          </w:tcPr>
          <w:p w14:paraId="43EF1AE9" w14:textId="77777777" w:rsidR="008E32A2" w:rsidRPr="00AE74F3" w:rsidRDefault="008E32A2" w:rsidP="00CE58B5">
            <w:pPr>
              <w:pStyle w:val="In-tableHeading"/>
              <w:jc w:val="center"/>
              <w:rPr>
                <w:lang w:val="en-AU"/>
              </w:rPr>
            </w:pPr>
          </w:p>
        </w:tc>
        <w:tc>
          <w:tcPr>
            <w:tcW w:w="1103" w:type="pct"/>
            <w:vMerge w:val="restart"/>
            <w:tcMar>
              <w:top w:w="0" w:type="dxa"/>
              <w:left w:w="108" w:type="dxa"/>
              <w:bottom w:w="0" w:type="dxa"/>
              <w:right w:w="108" w:type="dxa"/>
            </w:tcMar>
          </w:tcPr>
          <w:p w14:paraId="402A1CE7" w14:textId="49866575" w:rsidR="008E32A2" w:rsidRPr="00AE74F3" w:rsidRDefault="008E32A2" w:rsidP="00CE58B5">
            <w:pPr>
              <w:pStyle w:val="In-tableHeading"/>
              <w:jc w:val="center"/>
              <w:rPr>
                <w:lang w:val="en-AU"/>
              </w:rPr>
            </w:pPr>
            <w:r w:rsidRPr="00AE74F3">
              <w:rPr>
                <w:lang w:val="en-AU"/>
              </w:rPr>
              <w:t>HR (95% CI); p-value</w:t>
            </w:r>
          </w:p>
        </w:tc>
      </w:tr>
      <w:tr w:rsidR="008E32A2" w:rsidRPr="00AE74F3" w14:paraId="5AB2A0F4" w14:textId="77777777" w:rsidTr="00283742">
        <w:tc>
          <w:tcPr>
            <w:tcW w:w="807" w:type="pct"/>
            <w:tcMar>
              <w:top w:w="0" w:type="dxa"/>
              <w:left w:w="108" w:type="dxa"/>
              <w:bottom w:w="0" w:type="dxa"/>
              <w:right w:w="108" w:type="dxa"/>
            </w:tcMar>
            <w:hideMark/>
          </w:tcPr>
          <w:p w14:paraId="5FF11C20" w14:textId="77777777" w:rsidR="008E32A2" w:rsidRPr="00AE74F3" w:rsidRDefault="008E32A2" w:rsidP="00CE58B5">
            <w:pPr>
              <w:pStyle w:val="In-tableHeading"/>
              <w:rPr>
                <w:lang w:val="en-AU"/>
              </w:rPr>
            </w:pPr>
            <w:r w:rsidRPr="00AE74F3">
              <w:rPr>
                <w:lang w:val="en-AU"/>
              </w:rPr>
              <w:t>Trial</w:t>
            </w:r>
          </w:p>
        </w:tc>
        <w:tc>
          <w:tcPr>
            <w:tcW w:w="891" w:type="pct"/>
            <w:gridSpan w:val="3"/>
            <w:tcMar>
              <w:top w:w="0" w:type="dxa"/>
              <w:left w:w="108" w:type="dxa"/>
              <w:bottom w:w="0" w:type="dxa"/>
              <w:right w:w="108" w:type="dxa"/>
            </w:tcMar>
            <w:hideMark/>
          </w:tcPr>
          <w:p w14:paraId="3FD0E013" w14:textId="77777777" w:rsidR="008E32A2" w:rsidRPr="00AE74F3" w:rsidRDefault="008E32A2" w:rsidP="00CE58B5">
            <w:pPr>
              <w:pStyle w:val="In-tableHeading"/>
              <w:jc w:val="center"/>
              <w:rPr>
                <w:lang w:val="en-AU"/>
              </w:rPr>
            </w:pPr>
            <w:r w:rsidRPr="00AE74F3">
              <w:rPr>
                <w:lang w:val="en-AU"/>
              </w:rPr>
              <w:t>Ofatumumab</w:t>
            </w:r>
          </w:p>
          <w:p w14:paraId="4B311AAF" w14:textId="77777777" w:rsidR="008E32A2" w:rsidRPr="00AE74F3" w:rsidRDefault="008E32A2" w:rsidP="00CE58B5">
            <w:pPr>
              <w:pStyle w:val="In-tableHeading"/>
              <w:jc w:val="center"/>
              <w:rPr>
                <w:lang w:val="en-AU"/>
              </w:rPr>
            </w:pPr>
            <w:r w:rsidRPr="00AE74F3">
              <w:rPr>
                <w:lang w:val="en-AU"/>
              </w:rPr>
              <w:t>n/N (%)</w:t>
            </w:r>
          </w:p>
        </w:tc>
        <w:tc>
          <w:tcPr>
            <w:tcW w:w="825" w:type="pct"/>
            <w:gridSpan w:val="2"/>
            <w:tcMar>
              <w:top w:w="0" w:type="dxa"/>
              <w:left w:w="108" w:type="dxa"/>
              <w:bottom w:w="0" w:type="dxa"/>
              <w:right w:w="108" w:type="dxa"/>
            </w:tcMar>
            <w:hideMark/>
          </w:tcPr>
          <w:p w14:paraId="35D986FD" w14:textId="77777777" w:rsidR="008E32A2" w:rsidRPr="00AE74F3" w:rsidRDefault="008E32A2" w:rsidP="00CE58B5">
            <w:pPr>
              <w:pStyle w:val="In-tableHeading"/>
              <w:jc w:val="center"/>
              <w:rPr>
                <w:lang w:val="en-AU"/>
              </w:rPr>
            </w:pPr>
            <w:r w:rsidRPr="00AE74F3">
              <w:rPr>
                <w:lang w:val="en-AU"/>
              </w:rPr>
              <w:t>Teriflunomide</w:t>
            </w:r>
          </w:p>
          <w:p w14:paraId="751C6276" w14:textId="77777777" w:rsidR="008E32A2" w:rsidRPr="00AE74F3" w:rsidRDefault="008E32A2" w:rsidP="00CE58B5">
            <w:pPr>
              <w:pStyle w:val="In-tableHeading"/>
              <w:jc w:val="center"/>
              <w:rPr>
                <w:lang w:val="en-AU"/>
              </w:rPr>
            </w:pPr>
            <w:r w:rsidRPr="00AE74F3">
              <w:rPr>
                <w:lang w:val="en-AU"/>
              </w:rPr>
              <w:t>n/N (%)</w:t>
            </w:r>
          </w:p>
        </w:tc>
        <w:tc>
          <w:tcPr>
            <w:tcW w:w="697" w:type="pct"/>
            <w:tcMar>
              <w:top w:w="0" w:type="dxa"/>
              <w:left w:w="108" w:type="dxa"/>
              <w:bottom w:w="0" w:type="dxa"/>
              <w:right w:w="108" w:type="dxa"/>
            </w:tcMar>
            <w:hideMark/>
          </w:tcPr>
          <w:p w14:paraId="5CFA3ECE" w14:textId="77777777" w:rsidR="008E32A2" w:rsidRPr="00AE74F3" w:rsidRDefault="008E32A2" w:rsidP="00CE58B5">
            <w:pPr>
              <w:pStyle w:val="In-tableHeading"/>
              <w:jc w:val="center"/>
              <w:rPr>
                <w:lang w:val="en-AU"/>
              </w:rPr>
            </w:pPr>
            <w:r w:rsidRPr="00AE74F3">
              <w:rPr>
                <w:lang w:val="en-AU"/>
              </w:rPr>
              <w:t>Placebo</w:t>
            </w:r>
          </w:p>
          <w:p w14:paraId="07483B15" w14:textId="77777777" w:rsidR="008E32A2" w:rsidRPr="00AE74F3" w:rsidRDefault="008E32A2" w:rsidP="00CE58B5">
            <w:pPr>
              <w:pStyle w:val="In-tableHeading"/>
              <w:jc w:val="center"/>
              <w:rPr>
                <w:lang w:val="en-AU"/>
              </w:rPr>
            </w:pPr>
            <w:r w:rsidRPr="00AE74F3">
              <w:rPr>
                <w:lang w:val="en-AU"/>
              </w:rPr>
              <w:t>n/N (%)</w:t>
            </w:r>
          </w:p>
        </w:tc>
        <w:tc>
          <w:tcPr>
            <w:tcW w:w="677" w:type="pct"/>
            <w:gridSpan w:val="2"/>
          </w:tcPr>
          <w:p w14:paraId="3242CABE" w14:textId="77777777" w:rsidR="008E32A2" w:rsidRPr="00AE74F3" w:rsidRDefault="008E32A2" w:rsidP="008E32A2">
            <w:pPr>
              <w:pStyle w:val="In-tableHeading"/>
              <w:jc w:val="center"/>
              <w:rPr>
                <w:lang w:val="en-AU"/>
              </w:rPr>
            </w:pPr>
            <w:r w:rsidRPr="00AE74F3">
              <w:rPr>
                <w:lang w:val="en-AU"/>
              </w:rPr>
              <w:t>Fingolimod</w:t>
            </w:r>
          </w:p>
          <w:p w14:paraId="56427BEC" w14:textId="4768971E" w:rsidR="008E32A2" w:rsidRPr="00AE74F3" w:rsidRDefault="008E32A2" w:rsidP="008E32A2">
            <w:pPr>
              <w:pStyle w:val="TableText0"/>
              <w:jc w:val="center"/>
            </w:pPr>
            <w:r w:rsidRPr="00AE74F3">
              <w:rPr>
                <w:b/>
                <w:bCs w:val="0"/>
              </w:rPr>
              <w:t>n/N (%)</w:t>
            </w:r>
          </w:p>
        </w:tc>
        <w:tc>
          <w:tcPr>
            <w:tcW w:w="1103" w:type="pct"/>
            <w:vMerge/>
            <w:tcMar>
              <w:top w:w="0" w:type="dxa"/>
              <w:left w:w="108" w:type="dxa"/>
              <w:bottom w:w="0" w:type="dxa"/>
              <w:right w:w="108" w:type="dxa"/>
            </w:tcMar>
            <w:hideMark/>
          </w:tcPr>
          <w:p w14:paraId="790F4AB9" w14:textId="46E83B94" w:rsidR="008E32A2" w:rsidRPr="00AE74F3" w:rsidRDefault="008E32A2" w:rsidP="00CE58B5">
            <w:pPr>
              <w:pStyle w:val="TableText0"/>
              <w:jc w:val="center"/>
            </w:pPr>
          </w:p>
        </w:tc>
      </w:tr>
      <w:tr w:rsidR="00283742" w:rsidRPr="00AE74F3" w14:paraId="0D2C130F" w14:textId="77777777" w:rsidTr="00283742">
        <w:tc>
          <w:tcPr>
            <w:tcW w:w="5000" w:type="pct"/>
            <w:gridSpan w:val="10"/>
            <w:shd w:val="clear" w:color="auto" w:fill="FFFFFF" w:themeFill="background1"/>
            <w:tcMar>
              <w:top w:w="0" w:type="dxa"/>
              <w:left w:w="108" w:type="dxa"/>
              <w:bottom w:w="0" w:type="dxa"/>
              <w:right w:w="108" w:type="dxa"/>
            </w:tcMar>
          </w:tcPr>
          <w:p w14:paraId="531CA67E" w14:textId="21C0743C" w:rsidR="00283742" w:rsidRPr="00AE74F3" w:rsidRDefault="00283742" w:rsidP="00283742">
            <w:pPr>
              <w:pStyle w:val="TableText0"/>
            </w:pPr>
            <w:r w:rsidRPr="00AE74F3">
              <w:rPr>
                <w:b/>
                <w:bCs w:val="0"/>
              </w:rPr>
              <w:t>Step 1</w:t>
            </w:r>
          </w:p>
        </w:tc>
      </w:tr>
      <w:tr w:rsidR="008E32A2" w:rsidRPr="00AE74F3" w14:paraId="6B7C53E9" w14:textId="77777777" w:rsidTr="00283742">
        <w:tc>
          <w:tcPr>
            <w:tcW w:w="807" w:type="pct"/>
            <w:shd w:val="clear" w:color="auto" w:fill="DBE5F1" w:themeFill="accent1" w:themeFillTint="33"/>
            <w:tcMar>
              <w:top w:w="0" w:type="dxa"/>
              <w:left w:w="108" w:type="dxa"/>
              <w:bottom w:w="0" w:type="dxa"/>
              <w:right w:w="108" w:type="dxa"/>
            </w:tcMar>
          </w:tcPr>
          <w:p w14:paraId="11D59353" w14:textId="77777777" w:rsidR="008E32A2" w:rsidRPr="00AE74F3" w:rsidRDefault="008E32A2" w:rsidP="00CE58B5">
            <w:pPr>
              <w:pStyle w:val="TableText0"/>
            </w:pPr>
            <w:r w:rsidRPr="00AE74F3">
              <w:t>ASCLEPIOS I</w:t>
            </w:r>
          </w:p>
        </w:tc>
        <w:tc>
          <w:tcPr>
            <w:tcW w:w="891" w:type="pct"/>
            <w:gridSpan w:val="3"/>
            <w:shd w:val="clear" w:color="auto" w:fill="DBE5F1" w:themeFill="accent1" w:themeFillTint="33"/>
            <w:tcMar>
              <w:top w:w="0" w:type="dxa"/>
              <w:left w:w="108" w:type="dxa"/>
              <w:bottom w:w="0" w:type="dxa"/>
              <w:right w:w="108" w:type="dxa"/>
            </w:tcMar>
            <w:vAlign w:val="center"/>
          </w:tcPr>
          <w:p w14:paraId="49819318" w14:textId="77777777" w:rsidR="008E32A2" w:rsidRPr="00AE74F3" w:rsidRDefault="008E32A2" w:rsidP="00CE58B5">
            <w:pPr>
              <w:pStyle w:val="TableText0"/>
              <w:jc w:val="center"/>
            </w:pPr>
            <w:r w:rsidRPr="00AE74F3">
              <w:t>45/465 (9.7)</w:t>
            </w:r>
          </w:p>
        </w:tc>
        <w:tc>
          <w:tcPr>
            <w:tcW w:w="825" w:type="pct"/>
            <w:gridSpan w:val="2"/>
            <w:shd w:val="clear" w:color="auto" w:fill="DBE5F1" w:themeFill="accent1" w:themeFillTint="33"/>
            <w:tcMar>
              <w:top w:w="0" w:type="dxa"/>
              <w:left w:w="108" w:type="dxa"/>
              <w:bottom w:w="0" w:type="dxa"/>
              <w:right w:w="108" w:type="dxa"/>
            </w:tcMar>
            <w:vAlign w:val="center"/>
          </w:tcPr>
          <w:p w14:paraId="0AF4E58D" w14:textId="77777777" w:rsidR="008E32A2" w:rsidRPr="00AE74F3" w:rsidRDefault="008E32A2" w:rsidP="00CE58B5">
            <w:pPr>
              <w:pStyle w:val="TableText0"/>
              <w:jc w:val="center"/>
            </w:pPr>
            <w:r w:rsidRPr="00AE74F3">
              <w:t>63/459 (13.7)</w:t>
            </w:r>
          </w:p>
        </w:tc>
        <w:tc>
          <w:tcPr>
            <w:tcW w:w="697" w:type="pct"/>
            <w:shd w:val="clear" w:color="auto" w:fill="DBE5F1" w:themeFill="accent1" w:themeFillTint="33"/>
            <w:tcMar>
              <w:top w:w="0" w:type="dxa"/>
              <w:left w:w="108" w:type="dxa"/>
              <w:bottom w:w="0" w:type="dxa"/>
              <w:right w:w="108" w:type="dxa"/>
            </w:tcMar>
            <w:vAlign w:val="center"/>
          </w:tcPr>
          <w:p w14:paraId="7016FFED" w14:textId="77777777" w:rsidR="008E32A2" w:rsidRPr="00AE74F3" w:rsidRDefault="008E32A2" w:rsidP="00CE58B5">
            <w:pPr>
              <w:pStyle w:val="TableText0"/>
              <w:jc w:val="center"/>
            </w:pPr>
            <w:r w:rsidRPr="00AE74F3">
              <w:t>-</w:t>
            </w:r>
          </w:p>
        </w:tc>
        <w:tc>
          <w:tcPr>
            <w:tcW w:w="677" w:type="pct"/>
            <w:gridSpan w:val="2"/>
            <w:shd w:val="clear" w:color="auto" w:fill="DBE5F1" w:themeFill="accent1" w:themeFillTint="33"/>
          </w:tcPr>
          <w:p w14:paraId="3BC079D0" w14:textId="77777777" w:rsidR="008E32A2" w:rsidRPr="00AE74F3" w:rsidRDefault="008E32A2" w:rsidP="00CE58B5">
            <w:pPr>
              <w:pStyle w:val="TableText0"/>
              <w:jc w:val="center"/>
            </w:pPr>
          </w:p>
        </w:tc>
        <w:tc>
          <w:tcPr>
            <w:tcW w:w="1103" w:type="pct"/>
            <w:shd w:val="clear" w:color="auto" w:fill="DBE5F1" w:themeFill="accent1" w:themeFillTint="33"/>
            <w:tcMar>
              <w:top w:w="0" w:type="dxa"/>
              <w:left w:w="108" w:type="dxa"/>
              <w:bottom w:w="0" w:type="dxa"/>
              <w:right w:w="108" w:type="dxa"/>
            </w:tcMar>
            <w:vAlign w:val="center"/>
          </w:tcPr>
          <w:p w14:paraId="3D651FA8" w14:textId="7DE1B0D0" w:rsidR="008E32A2" w:rsidRPr="00B321C3" w:rsidRDefault="008E32A2" w:rsidP="00CE58B5">
            <w:pPr>
              <w:pStyle w:val="TableText0"/>
              <w:jc w:val="center"/>
              <w:rPr>
                <w:b/>
                <w:bCs w:val="0"/>
              </w:rPr>
            </w:pPr>
            <w:r w:rsidRPr="00B321C3">
              <w:rPr>
                <w:b/>
                <w:bCs w:val="0"/>
              </w:rPr>
              <w:t xml:space="preserve">0.652 (0.445, 0.957); </w:t>
            </w:r>
            <w:r w:rsidR="00283742" w:rsidRPr="00B321C3">
              <w:rPr>
                <w:b/>
                <w:bCs w:val="0"/>
              </w:rPr>
              <w:t>p=</w:t>
            </w:r>
            <w:r w:rsidRPr="00B321C3">
              <w:rPr>
                <w:b/>
                <w:bCs w:val="0"/>
              </w:rPr>
              <w:t>0.029</w:t>
            </w:r>
          </w:p>
        </w:tc>
      </w:tr>
      <w:tr w:rsidR="008E32A2" w:rsidRPr="00AE74F3" w14:paraId="28B303B9" w14:textId="77777777" w:rsidTr="00283742">
        <w:tc>
          <w:tcPr>
            <w:tcW w:w="807" w:type="pct"/>
            <w:shd w:val="clear" w:color="auto" w:fill="DBE5F1" w:themeFill="accent1" w:themeFillTint="33"/>
            <w:tcMar>
              <w:top w:w="0" w:type="dxa"/>
              <w:left w:w="108" w:type="dxa"/>
              <w:bottom w:w="0" w:type="dxa"/>
              <w:right w:w="108" w:type="dxa"/>
            </w:tcMar>
          </w:tcPr>
          <w:p w14:paraId="1BABF05B" w14:textId="77777777" w:rsidR="008E32A2" w:rsidRPr="00AE74F3" w:rsidRDefault="008E32A2" w:rsidP="00CE58B5">
            <w:pPr>
              <w:pStyle w:val="TableText0"/>
            </w:pPr>
            <w:r w:rsidRPr="00AE74F3">
              <w:t>ASCLEPIOS II</w:t>
            </w:r>
          </w:p>
        </w:tc>
        <w:tc>
          <w:tcPr>
            <w:tcW w:w="891" w:type="pct"/>
            <w:gridSpan w:val="3"/>
            <w:shd w:val="clear" w:color="auto" w:fill="DBE5F1" w:themeFill="accent1" w:themeFillTint="33"/>
            <w:tcMar>
              <w:top w:w="0" w:type="dxa"/>
              <w:left w:w="108" w:type="dxa"/>
              <w:bottom w:w="0" w:type="dxa"/>
              <w:right w:w="108" w:type="dxa"/>
            </w:tcMar>
            <w:vAlign w:val="center"/>
          </w:tcPr>
          <w:p w14:paraId="2E309D50" w14:textId="77777777" w:rsidR="008E32A2" w:rsidRPr="00AE74F3" w:rsidRDefault="008E32A2" w:rsidP="00CE58B5">
            <w:pPr>
              <w:pStyle w:val="TableText0"/>
              <w:jc w:val="center"/>
            </w:pPr>
            <w:r w:rsidRPr="00AE74F3">
              <w:t>43/479 (9.0)</w:t>
            </w:r>
          </w:p>
        </w:tc>
        <w:tc>
          <w:tcPr>
            <w:tcW w:w="825" w:type="pct"/>
            <w:gridSpan w:val="2"/>
            <w:shd w:val="clear" w:color="auto" w:fill="DBE5F1" w:themeFill="accent1" w:themeFillTint="33"/>
            <w:tcMar>
              <w:top w:w="0" w:type="dxa"/>
              <w:left w:w="108" w:type="dxa"/>
              <w:bottom w:w="0" w:type="dxa"/>
              <w:right w:w="108" w:type="dxa"/>
            </w:tcMar>
            <w:vAlign w:val="center"/>
          </w:tcPr>
          <w:p w14:paraId="1A0FE021" w14:textId="77777777" w:rsidR="008E32A2" w:rsidRPr="00AE74F3" w:rsidRDefault="008E32A2" w:rsidP="00CE58B5">
            <w:pPr>
              <w:pStyle w:val="TableText0"/>
              <w:jc w:val="center"/>
            </w:pPr>
            <w:r w:rsidRPr="00AE74F3">
              <w:t>62/472 (13.1)</w:t>
            </w:r>
          </w:p>
        </w:tc>
        <w:tc>
          <w:tcPr>
            <w:tcW w:w="697" w:type="pct"/>
            <w:shd w:val="clear" w:color="auto" w:fill="DBE5F1" w:themeFill="accent1" w:themeFillTint="33"/>
            <w:tcMar>
              <w:top w:w="0" w:type="dxa"/>
              <w:left w:w="108" w:type="dxa"/>
              <w:bottom w:w="0" w:type="dxa"/>
              <w:right w:w="108" w:type="dxa"/>
            </w:tcMar>
            <w:vAlign w:val="center"/>
          </w:tcPr>
          <w:p w14:paraId="6E161233" w14:textId="77777777" w:rsidR="008E32A2" w:rsidRPr="00AE74F3" w:rsidRDefault="008E32A2" w:rsidP="00CE58B5">
            <w:pPr>
              <w:pStyle w:val="TableText0"/>
              <w:jc w:val="center"/>
            </w:pPr>
            <w:r w:rsidRPr="00AE74F3">
              <w:t>-</w:t>
            </w:r>
          </w:p>
        </w:tc>
        <w:tc>
          <w:tcPr>
            <w:tcW w:w="677" w:type="pct"/>
            <w:gridSpan w:val="2"/>
            <w:shd w:val="clear" w:color="auto" w:fill="DBE5F1" w:themeFill="accent1" w:themeFillTint="33"/>
          </w:tcPr>
          <w:p w14:paraId="49CB3B70" w14:textId="77777777" w:rsidR="008E32A2" w:rsidRPr="00AE74F3" w:rsidRDefault="008E32A2" w:rsidP="00CE58B5">
            <w:pPr>
              <w:pStyle w:val="TableText0"/>
              <w:jc w:val="center"/>
            </w:pPr>
          </w:p>
        </w:tc>
        <w:tc>
          <w:tcPr>
            <w:tcW w:w="1103" w:type="pct"/>
            <w:shd w:val="clear" w:color="auto" w:fill="DBE5F1" w:themeFill="accent1" w:themeFillTint="33"/>
            <w:tcMar>
              <w:top w:w="0" w:type="dxa"/>
              <w:left w:w="108" w:type="dxa"/>
              <w:bottom w:w="0" w:type="dxa"/>
              <w:right w:w="108" w:type="dxa"/>
            </w:tcMar>
            <w:vAlign w:val="center"/>
          </w:tcPr>
          <w:p w14:paraId="5FC521EA" w14:textId="0A1F19A1" w:rsidR="008E32A2" w:rsidRPr="00B321C3" w:rsidRDefault="008E32A2" w:rsidP="00CE58B5">
            <w:pPr>
              <w:pStyle w:val="TableText0"/>
              <w:jc w:val="center"/>
              <w:rPr>
                <w:b/>
                <w:bCs w:val="0"/>
              </w:rPr>
            </w:pPr>
            <w:r w:rsidRPr="00B321C3">
              <w:rPr>
                <w:b/>
                <w:bCs w:val="0"/>
              </w:rPr>
              <w:t xml:space="preserve">0.660 (0.447, 0.974); </w:t>
            </w:r>
            <w:r w:rsidR="00283742" w:rsidRPr="00B321C3">
              <w:rPr>
                <w:b/>
                <w:bCs w:val="0"/>
              </w:rPr>
              <w:t>p=</w:t>
            </w:r>
            <w:r w:rsidRPr="00B321C3">
              <w:rPr>
                <w:b/>
                <w:bCs w:val="0"/>
              </w:rPr>
              <w:t>0.036</w:t>
            </w:r>
          </w:p>
        </w:tc>
      </w:tr>
      <w:tr w:rsidR="008E32A2" w:rsidRPr="00AE74F3" w14:paraId="3EDC8619" w14:textId="77777777" w:rsidTr="00283742">
        <w:tc>
          <w:tcPr>
            <w:tcW w:w="807" w:type="pct"/>
            <w:shd w:val="clear" w:color="auto" w:fill="DBE5F1" w:themeFill="accent1" w:themeFillTint="33"/>
            <w:tcMar>
              <w:top w:w="0" w:type="dxa"/>
              <w:left w:w="108" w:type="dxa"/>
              <w:bottom w:w="0" w:type="dxa"/>
              <w:right w:w="108" w:type="dxa"/>
            </w:tcMar>
          </w:tcPr>
          <w:p w14:paraId="76A29164" w14:textId="77777777" w:rsidR="008E32A2" w:rsidRPr="00AE74F3" w:rsidRDefault="008E32A2" w:rsidP="00CE58B5">
            <w:pPr>
              <w:pStyle w:val="TableText0"/>
            </w:pPr>
            <w:r w:rsidRPr="00AE74F3">
              <w:t>ASCLEPIOS I/II pooled</w:t>
            </w:r>
          </w:p>
        </w:tc>
        <w:tc>
          <w:tcPr>
            <w:tcW w:w="891" w:type="pct"/>
            <w:gridSpan w:val="3"/>
            <w:shd w:val="clear" w:color="auto" w:fill="DBE5F1" w:themeFill="accent1" w:themeFillTint="33"/>
            <w:tcMar>
              <w:top w:w="0" w:type="dxa"/>
              <w:left w:w="108" w:type="dxa"/>
              <w:bottom w:w="0" w:type="dxa"/>
              <w:right w:w="108" w:type="dxa"/>
            </w:tcMar>
            <w:vAlign w:val="center"/>
          </w:tcPr>
          <w:p w14:paraId="55B0AA94" w14:textId="77777777" w:rsidR="008E32A2" w:rsidRPr="00AE74F3" w:rsidRDefault="008E32A2" w:rsidP="00CE58B5">
            <w:pPr>
              <w:pStyle w:val="TableText0"/>
              <w:jc w:val="center"/>
            </w:pPr>
            <w:r w:rsidRPr="00AE74F3">
              <w:t>88/944 (9.3)</w:t>
            </w:r>
          </w:p>
        </w:tc>
        <w:tc>
          <w:tcPr>
            <w:tcW w:w="825" w:type="pct"/>
            <w:gridSpan w:val="2"/>
            <w:shd w:val="clear" w:color="auto" w:fill="DBE5F1" w:themeFill="accent1" w:themeFillTint="33"/>
            <w:tcMar>
              <w:top w:w="0" w:type="dxa"/>
              <w:left w:w="108" w:type="dxa"/>
              <w:bottom w:w="0" w:type="dxa"/>
              <w:right w:w="108" w:type="dxa"/>
            </w:tcMar>
            <w:vAlign w:val="center"/>
          </w:tcPr>
          <w:p w14:paraId="758CD657" w14:textId="77777777" w:rsidR="008E32A2" w:rsidRPr="00AE74F3" w:rsidRDefault="008E32A2" w:rsidP="00CE58B5">
            <w:pPr>
              <w:pStyle w:val="TableText0"/>
              <w:jc w:val="center"/>
            </w:pPr>
            <w:r w:rsidRPr="00AE74F3">
              <w:t>125/931 (13.4)</w:t>
            </w:r>
          </w:p>
        </w:tc>
        <w:tc>
          <w:tcPr>
            <w:tcW w:w="697" w:type="pct"/>
            <w:shd w:val="clear" w:color="auto" w:fill="DBE5F1" w:themeFill="accent1" w:themeFillTint="33"/>
            <w:tcMar>
              <w:top w:w="0" w:type="dxa"/>
              <w:left w:w="108" w:type="dxa"/>
              <w:bottom w:w="0" w:type="dxa"/>
              <w:right w:w="108" w:type="dxa"/>
            </w:tcMar>
            <w:vAlign w:val="center"/>
          </w:tcPr>
          <w:p w14:paraId="3707BAFF" w14:textId="77777777" w:rsidR="008E32A2" w:rsidRPr="00AE74F3" w:rsidRDefault="008E32A2" w:rsidP="00CE58B5">
            <w:pPr>
              <w:pStyle w:val="TableText0"/>
              <w:jc w:val="center"/>
            </w:pPr>
            <w:r w:rsidRPr="00AE74F3">
              <w:t>-</w:t>
            </w:r>
          </w:p>
        </w:tc>
        <w:tc>
          <w:tcPr>
            <w:tcW w:w="677" w:type="pct"/>
            <w:gridSpan w:val="2"/>
            <w:shd w:val="clear" w:color="auto" w:fill="DBE5F1" w:themeFill="accent1" w:themeFillTint="33"/>
          </w:tcPr>
          <w:p w14:paraId="5DF6D859" w14:textId="77777777" w:rsidR="008E32A2" w:rsidRPr="00AE74F3" w:rsidRDefault="008E32A2" w:rsidP="00CE58B5">
            <w:pPr>
              <w:pStyle w:val="TableText0"/>
              <w:jc w:val="center"/>
            </w:pPr>
          </w:p>
        </w:tc>
        <w:tc>
          <w:tcPr>
            <w:tcW w:w="1103" w:type="pct"/>
            <w:shd w:val="clear" w:color="auto" w:fill="DBE5F1" w:themeFill="accent1" w:themeFillTint="33"/>
            <w:tcMar>
              <w:top w:w="0" w:type="dxa"/>
              <w:left w:w="108" w:type="dxa"/>
              <w:bottom w:w="0" w:type="dxa"/>
              <w:right w:w="108" w:type="dxa"/>
            </w:tcMar>
            <w:vAlign w:val="center"/>
          </w:tcPr>
          <w:p w14:paraId="3E9D97FC" w14:textId="6B1C9D5F" w:rsidR="008E32A2" w:rsidRPr="00B321C3" w:rsidRDefault="008E32A2" w:rsidP="00CE58B5">
            <w:pPr>
              <w:pStyle w:val="TableText0"/>
              <w:jc w:val="center"/>
              <w:rPr>
                <w:b/>
                <w:bCs w:val="0"/>
              </w:rPr>
            </w:pPr>
            <w:r w:rsidRPr="00B321C3">
              <w:rPr>
                <w:b/>
                <w:bCs w:val="0"/>
              </w:rPr>
              <w:t>0.656 (0.499, 0.862);</w:t>
            </w:r>
            <w:r w:rsidR="00283742" w:rsidRPr="00B321C3">
              <w:rPr>
                <w:b/>
                <w:bCs w:val="0"/>
              </w:rPr>
              <w:t xml:space="preserve"> p=</w:t>
            </w:r>
            <w:r w:rsidRPr="00B321C3">
              <w:rPr>
                <w:b/>
                <w:bCs w:val="0"/>
              </w:rPr>
              <w:t>0.002</w:t>
            </w:r>
          </w:p>
        </w:tc>
      </w:tr>
      <w:tr w:rsidR="008E32A2" w:rsidRPr="00AE74F3" w14:paraId="5C6F962E" w14:textId="77777777" w:rsidTr="00283742">
        <w:tc>
          <w:tcPr>
            <w:tcW w:w="807" w:type="pct"/>
            <w:shd w:val="clear" w:color="auto" w:fill="DBE5F1" w:themeFill="accent1" w:themeFillTint="33"/>
            <w:tcMar>
              <w:top w:w="0" w:type="dxa"/>
              <w:left w:w="108" w:type="dxa"/>
              <w:bottom w:w="0" w:type="dxa"/>
              <w:right w:w="108" w:type="dxa"/>
            </w:tcMar>
          </w:tcPr>
          <w:p w14:paraId="2D1147F9" w14:textId="77777777" w:rsidR="008E32A2" w:rsidRPr="00AE74F3" w:rsidRDefault="008E32A2" w:rsidP="00CE58B5">
            <w:pPr>
              <w:pStyle w:val="TableText0"/>
            </w:pPr>
            <w:r w:rsidRPr="00AE74F3">
              <w:t>TEMSO</w:t>
            </w:r>
          </w:p>
        </w:tc>
        <w:tc>
          <w:tcPr>
            <w:tcW w:w="891" w:type="pct"/>
            <w:gridSpan w:val="3"/>
            <w:shd w:val="clear" w:color="auto" w:fill="DBE5F1" w:themeFill="accent1" w:themeFillTint="33"/>
            <w:tcMar>
              <w:top w:w="0" w:type="dxa"/>
              <w:left w:w="108" w:type="dxa"/>
              <w:bottom w:w="0" w:type="dxa"/>
              <w:right w:w="108" w:type="dxa"/>
            </w:tcMar>
            <w:vAlign w:val="center"/>
          </w:tcPr>
          <w:p w14:paraId="0B02DB99" w14:textId="77777777" w:rsidR="008E32A2" w:rsidRPr="00AE74F3" w:rsidRDefault="008E32A2" w:rsidP="00CE58B5">
            <w:pPr>
              <w:pStyle w:val="TableText0"/>
              <w:jc w:val="center"/>
            </w:pPr>
            <w:r w:rsidRPr="00AE74F3">
              <w:t>-</w:t>
            </w:r>
          </w:p>
        </w:tc>
        <w:tc>
          <w:tcPr>
            <w:tcW w:w="825" w:type="pct"/>
            <w:gridSpan w:val="2"/>
            <w:shd w:val="clear" w:color="auto" w:fill="DBE5F1" w:themeFill="accent1" w:themeFillTint="33"/>
            <w:tcMar>
              <w:top w:w="0" w:type="dxa"/>
              <w:left w:w="108" w:type="dxa"/>
              <w:bottom w:w="0" w:type="dxa"/>
              <w:right w:w="108" w:type="dxa"/>
            </w:tcMar>
            <w:vAlign w:val="center"/>
          </w:tcPr>
          <w:p w14:paraId="07AF42A5" w14:textId="77777777" w:rsidR="008E32A2" w:rsidRPr="00AE74F3" w:rsidRDefault="008E32A2" w:rsidP="00CE58B5">
            <w:pPr>
              <w:pStyle w:val="TableText0"/>
              <w:jc w:val="center"/>
            </w:pPr>
            <w:r w:rsidRPr="00AE74F3">
              <w:t>73/359 (20.0)</w:t>
            </w:r>
          </w:p>
        </w:tc>
        <w:tc>
          <w:tcPr>
            <w:tcW w:w="697" w:type="pct"/>
            <w:shd w:val="clear" w:color="auto" w:fill="DBE5F1" w:themeFill="accent1" w:themeFillTint="33"/>
            <w:tcMar>
              <w:top w:w="0" w:type="dxa"/>
              <w:left w:w="108" w:type="dxa"/>
              <w:bottom w:w="0" w:type="dxa"/>
              <w:right w:w="108" w:type="dxa"/>
            </w:tcMar>
            <w:vAlign w:val="center"/>
          </w:tcPr>
          <w:p w14:paraId="699C610C" w14:textId="77777777" w:rsidR="008E32A2" w:rsidRPr="00AE74F3" w:rsidRDefault="008E32A2" w:rsidP="00CE58B5">
            <w:pPr>
              <w:pStyle w:val="TableText0"/>
              <w:jc w:val="center"/>
            </w:pPr>
            <w:r w:rsidRPr="00AE74F3">
              <w:t>99/363 (28.0)</w:t>
            </w:r>
          </w:p>
        </w:tc>
        <w:tc>
          <w:tcPr>
            <w:tcW w:w="677" w:type="pct"/>
            <w:gridSpan w:val="2"/>
            <w:shd w:val="clear" w:color="auto" w:fill="DBE5F1" w:themeFill="accent1" w:themeFillTint="33"/>
          </w:tcPr>
          <w:p w14:paraId="0490DF8E" w14:textId="77777777" w:rsidR="008E32A2" w:rsidRPr="00AE74F3" w:rsidRDefault="008E32A2" w:rsidP="00CE58B5">
            <w:pPr>
              <w:pStyle w:val="TableText0"/>
              <w:jc w:val="center"/>
            </w:pPr>
          </w:p>
        </w:tc>
        <w:tc>
          <w:tcPr>
            <w:tcW w:w="1103" w:type="pct"/>
            <w:shd w:val="clear" w:color="auto" w:fill="DBE5F1" w:themeFill="accent1" w:themeFillTint="33"/>
            <w:tcMar>
              <w:top w:w="0" w:type="dxa"/>
              <w:left w:w="108" w:type="dxa"/>
              <w:bottom w:w="0" w:type="dxa"/>
              <w:right w:w="108" w:type="dxa"/>
            </w:tcMar>
            <w:vAlign w:val="center"/>
          </w:tcPr>
          <w:p w14:paraId="2F43F089" w14:textId="61D6B2A9" w:rsidR="008E32A2" w:rsidRPr="00B321C3" w:rsidRDefault="008E32A2" w:rsidP="00CE58B5">
            <w:pPr>
              <w:pStyle w:val="TableText0"/>
              <w:jc w:val="center"/>
              <w:rPr>
                <w:b/>
                <w:bCs w:val="0"/>
              </w:rPr>
            </w:pPr>
            <w:r w:rsidRPr="00B321C3">
              <w:rPr>
                <w:b/>
                <w:bCs w:val="0"/>
              </w:rPr>
              <w:t>0.70 (0.51, 0.97); p=0.0279</w:t>
            </w:r>
          </w:p>
        </w:tc>
      </w:tr>
      <w:tr w:rsidR="008E32A2" w:rsidRPr="00AE74F3" w14:paraId="2304C9E7" w14:textId="77777777" w:rsidTr="00283742">
        <w:tc>
          <w:tcPr>
            <w:tcW w:w="807" w:type="pct"/>
            <w:shd w:val="clear" w:color="auto" w:fill="DBE5F1" w:themeFill="accent1" w:themeFillTint="33"/>
            <w:tcMar>
              <w:top w:w="0" w:type="dxa"/>
              <w:left w:w="108" w:type="dxa"/>
              <w:bottom w:w="0" w:type="dxa"/>
              <w:right w:w="108" w:type="dxa"/>
            </w:tcMar>
          </w:tcPr>
          <w:p w14:paraId="3FE13775" w14:textId="77777777" w:rsidR="008E32A2" w:rsidRPr="00AE74F3" w:rsidRDefault="008E32A2" w:rsidP="00CE58B5">
            <w:pPr>
              <w:pStyle w:val="TableText0"/>
            </w:pPr>
            <w:r w:rsidRPr="00AE74F3">
              <w:t>TOWER</w:t>
            </w:r>
          </w:p>
        </w:tc>
        <w:tc>
          <w:tcPr>
            <w:tcW w:w="891" w:type="pct"/>
            <w:gridSpan w:val="3"/>
            <w:shd w:val="clear" w:color="auto" w:fill="DBE5F1" w:themeFill="accent1" w:themeFillTint="33"/>
            <w:tcMar>
              <w:top w:w="0" w:type="dxa"/>
              <w:left w:w="108" w:type="dxa"/>
              <w:bottom w:w="0" w:type="dxa"/>
              <w:right w:w="108" w:type="dxa"/>
            </w:tcMar>
            <w:vAlign w:val="center"/>
          </w:tcPr>
          <w:p w14:paraId="3E1947B0" w14:textId="77777777" w:rsidR="008E32A2" w:rsidRPr="00AE74F3" w:rsidRDefault="008E32A2" w:rsidP="00CE58B5">
            <w:pPr>
              <w:pStyle w:val="TableText0"/>
              <w:jc w:val="center"/>
            </w:pPr>
            <w:r w:rsidRPr="00AE74F3">
              <w:t>-</w:t>
            </w:r>
          </w:p>
        </w:tc>
        <w:tc>
          <w:tcPr>
            <w:tcW w:w="825" w:type="pct"/>
            <w:gridSpan w:val="2"/>
            <w:shd w:val="clear" w:color="auto" w:fill="DBE5F1" w:themeFill="accent1" w:themeFillTint="33"/>
            <w:tcMar>
              <w:top w:w="0" w:type="dxa"/>
              <w:left w:w="108" w:type="dxa"/>
              <w:bottom w:w="0" w:type="dxa"/>
              <w:right w:w="108" w:type="dxa"/>
            </w:tcMar>
            <w:vAlign w:val="center"/>
          </w:tcPr>
          <w:p w14:paraId="6AE01003" w14:textId="77777777" w:rsidR="008E32A2" w:rsidRPr="00AE74F3" w:rsidRDefault="008E32A2" w:rsidP="00CE58B5">
            <w:pPr>
              <w:pStyle w:val="TableText0"/>
              <w:jc w:val="center"/>
            </w:pPr>
            <w:r w:rsidRPr="00AE74F3">
              <w:t>59/372 (27.0)</w:t>
            </w:r>
          </w:p>
        </w:tc>
        <w:tc>
          <w:tcPr>
            <w:tcW w:w="697" w:type="pct"/>
            <w:shd w:val="clear" w:color="auto" w:fill="DBE5F1" w:themeFill="accent1" w:themeFillTint="33"/>
            <w:tcMar>
              <w:top w:w="0" w:type="dxa"/>
              <w:left w:w="108" w:type="dxa"/>
              <w:bottom w:w="0" w:type="dxa"/>
              <w:right w:w="108" w:type="dxa"/>
            </w:tcMar>
            <w:vAlign w:val="center"/>
          </w:tcPr>
          <w:p w14:paraId="30D34491" w14:textId="77777777" w:rsidR="008E32A2" w:rsidRPr="00AE74F3" w:rsidRDefault="008E32A2" w:rsidP="00CE58B5">
            <w:pPr>
              <w:pStyle w:val="TableText0"/>
              <w:jc w:val="center"/>
            </w:pPr>
            <w:r w:rsidRPr="00AE74F3">
              <w:t>77/389 (39.0)</w:t>
            </w:r>
          </w:p>
        </w:tc>
        <w:tc>
          <w:tcPr>
            <w:tcW w:w="677" w:type="pct"/>
            <w:gridSpan w:val="2"/>
            <w:shd w:val="clear" w:color="auto" w:fill="DBE5F1" w:themeFill="accent1" w:themeFillTint="33"/>
          </w:tcPr>
          <w:p w14:paraId="6CC0C0D8" w14:textId="77777777" w:rsidR="008E32A2" w:rsidRPr="00AE74F3" w:rsidRDefault="008E32A2" w:rsidP="00CE58B5">
            <w:pPr>
              <w:pStyle w:val="TableText0"/>
              <w:jc w:val="center"/>
            </w:pPr>
          </w:p>
        </w:tc>
        <w:tc>
          <w:tcPr>
            <w:tcW w:w="1103" w:type="pct"/>
            <w:shd w:val="clear" w:color="auto" w:fill="DBE5F1" w:themeFill="accent1" w:themeFillTint="33"/>
            <w:tcMar>
              <w:top w:w="0" w:type="dxa"/>
              <w:left w:w="108" w:type="dxa"/>
              <w:bottom w:w="0" w:type="dxa"/>
              <w:right w:w="108" w:type="dxa"/>
            </w:tcMar>
            <w:vAlign w:val="center"/>
          </w:tcPr>
          <w:p w14:paraId="33FA43B8" w14:textId="44DCFC1D" w:rsidR="008E32A2" w:rsidRPr="00B321C3" w:rsidRDefault="008E32A2" w:rsidP="00CE58B5">
            <w:pPr>
              <w:pStyle w:val="TableText0"/>
              <w:jc w:val="center"/>
              <w:rPr>
                <w:b/>
                <w:bCs w:val="0"/>
              </w:rPr>
            </w:pPr>
            <w:r w:rsidRPr="00B321C3">
              <w:rPr>
                <w:b/>
                <w:bCs w:val="0"/>
              </w:rPr>
              <w:t>0.68 (0.47, 1.00); p=0.0442</w:t>
            </w:r>
          </w:p>
        </w:tc>
      </w:tr>
      <w:tr w:rsidR="008E32A2" w:rsidRPr="00AE74F3" w14:paraId="7BEDA13A" w14:textId="77777777" w:rsidTr="00283742">
        <w:tc>
          <w:tcPr>
            <w:tcW w:w="807" w:type="pct"/>
            <w:shd w:val="clear" w:color="auto" w:fill="DBE5F1" w:themeFill="accent1" w:themeFillTint="33"/>
            <w:tcMar>
              <w:top w:w="0" w:type="dxa"/>
              <w:left w:w="108" w:type="dxa"/>
              <w:bottom w:w="0" w:type="dxa"/>
              <w:right w:w="108" w:type="dxa"/>
            </w:tcMar>
          </w:tcPr>
          <w:p w14:paraId="09C27784" w14:textId="77777777" w:rsidR="008E32A2" w:rsidRPr="00AE74F3" w:rsidRDefault="008E32A2" w:rsidP="00CE58B5">
            <w:pPr>
              <w:pStyle w:val="TableText0"/>
            </w:pPr>
            <w:r w:rsidRPr="00AE74F3">
              <w:t xml:space="preserve">TEMSO/TOWER pooled </w:t>
            </w:r>
            <w:r w:rsidRPr="00AE74F3">
              <w:rPr>
                <w:vertAlign w:val="superscript"/>
              </w:rPr>
              <w:t>a</w:t>
            </w:r>
          </w:p>
        </w:tc>
        <w:tc>
          <w:tcPr>
            <w:tcW w:w="891" w:type="pct"/>
            <w:gridSpan w:val="3"/>
            <w:shd w:val="clear" w:color="auto" w:fill="DBE5F1" w:themeFill="accent1" w:themeFillTint="33"/>
            <w:tcMar>
              <w:top w:w="0" w:type="dxa"/>
              <w:left w:w="108" w:type="dxa"/>
              <w:bottom w:w="0" w:type="dxa"/>
              <w:right w:w="108" w:type="dxa"/>
            </w:tcMar>
            <w:vAlign w:val="center"/>
          </w:tcPr>
          <w:p w14:paraId="046FB935" w14:textId="77777777" w:rsidR="008E32A2" w:rsidRPr="00AE74F3" w:rsidRDefault="008E32A2" w:rsidP="00CE58B5">
            <w:pPr>
              <w:pStyle w:val="TableText0"/>
              <w:jc w:val="center"/>
            </w:pPr>
            <w:r w:rsidRPr="00AE74F3">
              <w:t>-</w:t>
            </w:r>
          </w:p>
        </w:tc>
        <w:tc>
          <w:tcPr>
            <w:tcW w:w="825" w:type="pct"/>
            <w:gridSpan w:val="2"/>
            <w:shd w:val="clear" w:color="auto" w:fill="DBE5F1" w:themeFill="accent1" w:themeFillTint="33"/>
            <w:tcMar>
              <w:top w:w="0" w:type="dxa"/>
              <w:left w:w="108" w:type="dxa"/>
              <w:bottom w:w="0" w:type="dxa"/>
              <w:right w:w="108" w:type="dxa"/>
            </w:tcMar>
            <w:vAlign w:val="center"/>
          </w:tcPr>
          <w:p w14:paraId="4D20C6D9" w14:textId="77777777" w:rsidR="008E32A2" w:rsidRPr="00AE74F3" w:rsidRDefault="008E32A2" w:rsidP="00CE58B5">
            <w:pPr>
              <w:pStyle w:val="TableText0"/>
              <w:jc w:val="center"/>
            </w:pPr>
            <w:r w:rsidRPr="00AE74F3">
              <w:t>132/731 (23.6)</w:t>
            </w:r>
          </w:p>
        </w:tc>
        <w:tc>
          <w:tcPr>
            <w:tcW w:w="697" w:type="pct"/>
            <w:shd w:val="clear" w:color="auto" w:fill="DBE5F1" w:themeFill="accent1" w:themeFillTint="33"/>
            <w:tcMar>
              <w:top w:w="0" w:type="dxa"/>
              <w:left w:w="108" w:type="dxa"/>
              <w:bottom w:w="0" w:type="dxa"/>
              <w:right w:w="108" w:type="dxa"/>
            </w:tcMar>
            <w:vAlign w:val="center"/>
          </w:tcPr>
          <w:p w14:paraId="7D794D31" w14:textId="77777777" w:rsidR="008E32A2" w:rsidRPr="00AE74F3" w:rsidRDefault="008E32A2" w:rsidP="00CE58B5">
            <w:pPr>
              <w:pStyle w:val="TableText0"/>
              <w:jc w:val="center"/>
            </w:pPr>
            <w:r w:rsidRPr="00AE74F3">
              <w:t>176/752 (31.7)</w:t>
            </w:r>
          </w:p>
        </w:tc>
        <w:tc>
          <w:tcPr>
            <w:tcW w:w="677" w:type="pct"/>
            <w:gridSpan w:val="2"/>
            <w:shd w:val="clear" w:color="auto" w:fill="DBE5F1" w:themeFill="accent1" w:themeFillTint="33"/>
          </w:tcPr>
          <w:p w14:paraId="266A8CB8" w14:textId="77777777" w:rsidR="008E32A2" w:rsidRPr="00AE74F3" w:rsidRDefault="008E32A2" w:rsidP="00CE58B5">
            <w:pPr>
              <w:pStyle w:val="TableText0"/>
              <w:jc w:val="center"/>
            </w:pPr>
          </w:p>
        </w:tc>
        <w:tc>
          <w:tcPr>
            <w:tcW w:w="1103" w:type="pct"/>
            <w:shd w:val="clear" w:color="auto" w:fill="DBE5F1" w:themeFill="accent1" w:themeFillTint="33"/>
            <w:tcMar>
              <w:top w:w="0" w:type="dxa"/>
              <w:left w:w="108" w:type="dxa"/>
              <w:bottom w:w="0" w:type="dxa"/>
              <w:right w:w="108" w:type="dxa"/>
            </w:tcMar>
            <w:vAlign w:val="center"/>
          </w:tcPr>
          <w:p w14:paraId="31935341" w14:textId="39B31648" w:rsidR="008E32A2" w:rsidRPr="00B321C3" w:rsidRDefault="008E32A2" w:rsidP="00CE58B5">
            <w:pPr>
              <w:pStyle w:val="TableText0"/>
              <w:jc w:val="center"/>
              <w:rPr>
                <w:b/>
                <w:bCs w:val="0"/>
              </w:rPr>
            </w:pPr>
            <w:r w:rsidRPr="00B321C3">
              <w:rPr>
                <w:b/>
                <w:bCs w:val="0"/>
              </w:rPr>
              <w:t xml:space="preserve">0.70 (0.54, 0.89); p=0.0029 </w:t>
            </w:r>
            <w:r w:rsidRPr="00B321C3">
              <w:rPr>
                <w:b/>
                <w:bCs w:val="0"/>
                <w:vertAlign w:val="superscript"/>
              </w:rPr>
              <w:t>b</w:t>
            </w:r>
          </w:p>
        </w:tc>
      </w:tr>
      <w:tr w:rsidR="008E32A2" w:rsidRPr="00AE74F3" w14:paraId="61F664C9" w14:textId="77777777" w:rsidTr="00283742">
        <w:tc>
          <w:tcPr>
            <w:tcW w:w="3220" w:type="pct"/>
            <w:gridSpan w:val="7"/>
            <w:tcMar>
              <w:top w:w="0" w:type="dxa"/>
              <w:left w:w="108" w:type="dxa"/>
              <w:bottom w:w="0" w:type="dxa"/>
              <w:right w:w="108" w:type="dxa"/>
            </w:tcMar>
            <w:hideMark/>
          </w:tcPr>
          <w:p w14:paraId="664F2C3F" w14:textId="77777777" w:rsidR="008E32A2" w:rsidRPr="00AE74F3" w:rsidRDefault="008E32A2" w:rsidP="00CE58B5">
            <w:pPr>
              <w:pStyle w:val="TableText0"/>
            </w:pPr>
            <w:r w:rsidRPr="00AE74F3">
              <w:t>Indirect comparison (ofatumumab vs placebo)</w:t>
            </w:r>
          </w:p>
        </w:tc>
        <w:tc>
          <w:tcPr>
            <w:tcW w:w="677" w:type="pct"/>
            <w:gridSpan w:val="2"/>
          </w:tcPr>
          <w:p w14:paraId="3B4A8824" w14:textId="77777777" w:rsidR="008E32A2" w:rsidRPr="00AE74F3" w:rsidRDefault="008E32A2" w:rsidP="00CE58B5">
            <w:pPr>
              <w:pStyle w:val="TableText0"/>
              <w:jc w:val="center"/>
            </w:pPr>
          </w:p>
        </w:tc>
        <w:tc>
          <w:tcPr>
            <w:tcW w:w="1103" w:type="pct"/>
            <w:tcMar>
              <w:top w:w="0" w:type="dxa"/>
              <w:left w:w="108" w:type="dxa"/>
              <w:bottom w:w="0" w:type="dxa"/>
              <w:right w:w="108" w:type="dxa"/>
            </w:tcMar>
          </w:tcPr>
          <w:p w14:paraId="06616899" w14:textId="60A52A09" w:rsidR="008E32A2" w:rsidRPr="00B321C3" w:rsidRDefault="008E32A2" w:rsidP="00CE58B5">
            <w:pPr>
              <w:pStyle w:val="TableText0"/>
              <w:jc w:val="center"/>
              <w:rPr>
                <w:b/>
                <w:bCs w:val="0"/>
              </w:rPr>
            </w:pPr>
            <w:r w:rsidRPr="00B321C3">
              <w:rPr>
                <w:b/>
                <w:bCs w:val="0"/>
              </w:rPr>
              <w:t>0.459 (0.317, 0.665); p&lt;0.00001</w:t>
            </w:r>
          </w:p>
        </w:tc>
      </w:tr>
      <w:tr w:rsidR="008E32A2" w:rsidRPr="00AE74F3" w14:paraId="6AD27702" w14:textId="77777777" w:rsidTr="00283742">
        <w:tc>
          <w:tcPr>
            <w:tcW w:w="5000" w:type="pct"/>
            <w:gridSpan w:val="10"/>
            <w:shd w:val="clear" w:color="auto" w:fill="FFFFFF" w:themeFill="background1"/>
            <w:tcMar>
              <w:top w:w="0" w:type="dxa"/>
              <w:left w:w="108" w:type="dxa"/>
              <w:bottom w:w="0" w:type="dxa"/>
              <w:right w:w="108" w:type="dxa"/>
            </w:tcMar>
          </w:tcPr>
          <w:p w14:paraId="340CD19E" w14:textId="343BC943" w:rsidR="008E32A2" w:rsidRPr="00AE74F3" w:rsidRDefault="00283742" w:rsidP="008E32A2">
            <w:pPr>
              <w:pStyle w:val="PBACTabletext"/>
              <w:rPr>
                <w:b/>
                <w:bCs/>
              </w:rPr>
            </w:pPr>
            <w:bookmarkStart w:id="32" w:name="_Ref152949688"/>
            <w:r w:rsidRPr="00AE74F3">
              <w:rPr>
                <w:b/>
                <w:bCs/>
              </w:rPr>
              <w:t>S</w:t>
            </w:r>
            <w:bookmarkEnd w:id="32"/>
            <w:r w:rsidRPr="00AE74F3">
              <w:rPr>
                <w:b/>
                <w:bCs/>
              </w:rPr>
              <w:t>tep</w:t>
            </w:r>
            <w:r w:rsidR="008E32A2" w:rsidRPr="00AE74F3">
              <w:rPr>
                <w:b/>
                <w:bCs/>
              </w:rPr>
              <w:t xml:space="preserve"> 2</w:t>
            </w:r>
          </w:p>
        </w:tc>
      </w:tr>
      <w:tr w:rsidR="008E32A2" w:rsidRPr="00AE74F3" w14:paraId="0C6CFCDA" w14:textId="77777777" w:rsidTr="00283742">
        <w:tc>
          <w:tcPr>
            <w:tcW w:w="829" w:type="pct"/>
            <w:gridSpan w:val="2"/>
            <w:shd w:val="clear" w:color="auto" w:fill="DBE5F1" w:themeFill="accent1" w:themeFillTint="33"/>
            <w:tcMar>
              <w:top w:w="0" w:type="dxa"/>
              <w:left w:w="108" w:type="dxa"/>
              <w:bottom w:w="0" w:type="dxa"/>
              <w:right w:w="108" w:type="dxa"/>
            </w:tcMar>
            <w:hideMark/>
          </w:tcPr>
          <w:p w14:paraId="1A6B3A8D" w14:textId="77777777" w:rsidR="008E32A2" w:rsidRPr="00AE74F3" w:rsidRDefault="008E32A2" w:rsidP="00CE58B5">
            <w:pPr>
              <w:pStyle w:val="TableText0"/>
            </w:pPr>
            <w:r w:rsidRPr="00AE74F3">
              <w:t>FREEDOMS I</w:t>
            </w:r>
          </w:p>
        </w:tc>
        <w:tc>
          <w:tcPr>
            <w:tcW w:w="834" w:type="pct"/>
            <w:shd w:val="clear" w:color="auto" w:fill="DBE5F1" w:themeFill="accent1" w:themeFillTint="33"/>
            <w:tcMar>
              <w:top w:w="0" w:type="dxa"/>
              <w:left w:w="108" w:type="dxa"/>
              <w:bottom w:w="0" w:type="dxa"/>
              <w:right w:w="108" w:type="dxa"/>
            </w:tcMar>
            <w:vAlign w:val="center"/>
          </w:tcPr>
          <w:p w14:paraId="1EB1E1D5" w14:textId="77777777" w:rsidR="008E32A2" w:rsidRPr="00AE74F3" w:rsidRDefault="008E32A2" w:rsidP="00CE58B5">
            <w:pPr>
              <w:pStyle w:val="TableText0"/>
              <w:jc w:val="center"/>
            </w:pPr>
            <w:r w:rsidRPr="00AE74F3">
              <w:t>-</w:t>
            </w:r>
          </w:p>
        </w:tc>
        <w:tc>
          <w:tcPr>
            <w:tcW w:w="834" w:type="pct"/>
            <w:gridSpan w:val="2"/>
            <w:shd w:val="clear" w:color="auto" w:fill="DBE5F1" w:themeFill="accent1" w:themeFillTint="33"/>
          </w:tcPr>
          <w:p w14:paraId="72FAF9D5" w14:textId="77777777" w:rsidR="008E32A2" w:rsidRPr="00AE74F3" w:rsidRDefault="008E32A2" w:rsidP="00CE58B5">
            <w:pPr>
              <w:pStyle w:val="TableText0"/>
              <w:jc w:val="center"/>
            </w:pPr>
          </w:p>
        </w:tc>
        <w:tc>
          <w:tcPr>
            <w:tcW w:w="723" w:type="pct"/>
            <w:gridSpan w:val="2"/>
            <w:shd w:val="clear" w:color="auto" w:fill="DBE5F1" w:themeFill="accent1" w:themeFillTint="33"/>
            <w:tcMar>
              <w:top w:w="0" w:type="dxa"/>
              <w:left w:w="108" w:type="dxa"/>
              <w:bottom w:w="0" w:type="dxa"/>
              <w:right w:w="108" w:type="dxa"/>
            </w:tcMar>
            <w:vAlign w:val="center"/>
          </w:tcPr>
          <w:p w14:paraId="29315B1B" w14:textId="6B81F0AC" w:rsidR="008E32A2" w:rsidRPr="00AE74F3" w:rsidRDefault="008E32A2" w:rsidP="00CE58B5">
            <w:pPr>
              <w:pStyle w:val="TableText0"/>
              <w:jc w:val="center"/>
            </w:pPr>
            <w:r w:rsidRPr="00AE74F3">
              <w:t>89/415 (21.4)</w:t>
            </w:r>
          </w:p>
        </w:tc>
        <w:tc>
          <w:tcPr>
            <w:tcW w:w="669" w:type="pct"/>
            <w:shd w:val="clear" w:color="auto" w:fill="DBE5F1" w:themeFill="accent1" w:themeFillTint="33"/>
            <w:tcMar>
              <w:top w:w="0" w:type="dxa"/>
              <w:left w:w="108" w:type="dxa"/>
              <w:bottom w:w="0" w:type="dxa"/>
              <w:right w:w="108" w:type="dxa"/>
            </w:tcMar>
            <w:vAlign w:val="center"/>
          </w:tcPr>
          <w:p w14:paraId="6580F386" w14:textId="77777777" w:rsidR="008E32A2" w:rsidRPr="00AE74F3" w:rsidRDefault="008E32A2" w:rsidP="00CE58B5">
            <w:pPr>
              <w:pStyle w:val="TableText0"/>
              <w:jc w:val="center"/>
            </w:pPr>
            <w:r w:rsidRPr="00AE74F3">
              <w:t>62/421 (14.7)</w:t>
            </w:r>
          </w:p>
        </w:tc>
        <w:tc>
          <w:tcPr>
            <w:tcW w:w="1111" w:type="pct"/>
            <w:gridSpan w:val="2"/>
            <w:shd w:val="clear" w:color="auto" w:fill="DBE5F1" w:themeFill="accent1" w:themeFillTint="33"/>
            <w:tcMar>
              <w:top w:w="0" w:type="dxa"/>
              <w:left w:w="108" w:type="dxa"/>
              <w:bottom w:w="0" w:type="dxa"/>
              <w:right w:w="108" w:type="dxa"/>
            </w:tcMar>
            <w:vAlign w:val="center"/>
          </w:tcPr>
          <w:p w14:paraId="1F0B37EB" w14:textId="7F0FB237" w:rsidR="008E32A2" w:rsidRPr="00B321C3" w:rsidRDefault="008E32A2" w:rsidP="00CE58B5">
            <w:pPr>
              <w:pStyle w:val="PBACTabletext"/>
              <w:jc w:val="center"/>
              <w:rPr>
                <w:b/>
                <w:bCs/>
              </w:rPr>
            </w:pPr>
            <w:r w:rsidRPr="00B321C3">
              <w:rPr>
                <w:b/>
                <w:bCs/>
              </w:rPr>
              <w:t xml:space="preserve">0.64 (0.46, 0.89); </w:t>
            </w:r>
            <w:r w:rsidR="00283742" w:rsidRPr="00B321C3">
              <w:rPr>
                <w:b/>
                <w:bCs/>
              </w:rPr>
              <w:t>p=</w:t>
            </w:r>
            <w:r w:rsidRPr="00B321C3">
              <w:rPr>
                <w:b/>
                <w:bCs/>
              </w:rPr>
              <w:t>0.0071</w:t>
            </w:r>
          </w:p>
        </w:tc>
      </w:tr>
      <w:tr w:rsidR="008E32A2" w:rsidRPr="00AE74F3" w14:paraId="3B1BA3BF" w14:textId="77777777" w:rsidTr="00283742">
        <w:tc>
          <w:tcPr>
            <w:tcW w:w="829" w:type="pct"/>
            <w:gridSpan w:val="2"/>
            <w:shd w:val="clear" w:color="auto" w:fill="DBE5F1" w:themeFill="accent1" w:themeFillTint="33"/>
            <w:tcMar>
              <w:top w:w="0" w:type="dxa"/>
              <w:left w:w="108" w:type="dxa"/>
              <w:bottom w:w="0" w:type="dxa"/>
              <w:right w:w="108" w:type="dxa"/>
            </w:tcMar>
            <w:hideMark/>
          </w:tcPr>
          <w:p w14:paraId="4C2CFFCD" w14:textId="77777777" w:rsidR="008E32A2" w:rsidRPr="00AE74F3" w:rsidRDefault="008E32A2" w:rsidP="00CE58B5">
            <w:pPr>
              <w:pStyle w:val="TableText0"/>
            </w:pPr>
            <w:r w:rsidRPr="00AE74F3">
              <w:t>FREEDOMS II</w:t>
            </w:r>
          </w:p>
        </w:tc>
        <w:tc>
          <w:tcPr>
            <w:tcW w:w="834" w:type="pct"/>
            <w:shd w:val="clear" w:color="auto" w:fill="DBE5F1" w:themeFill="accent1" w:themeFillTint="33"/>
            <w:tcMar>
              <w:top w:w="0" w:type="dxa"/>
              <w:left w:w="108" w:type="dxa"/>
              <w:bottom w:w="0" w:type="dxa"/>
              <w:right w:w="108" w:type="dxa"/>
            </w:tcMar>
            <w:vAlign w:val="center"/>
          </w:tcPr>
          <w:p w14:paraId="755E35AF" w14:textId="77777777" w:rsidR="008E32A2" w:rsidRPr="00AE74F3" w:rsidRDefault="008E32A2" w:rsidP="00CE58B5">
            <w:pPr>
              <w:pStyle w:val="TableText0"/>
              <w:jc w:val="center"/>
            </w:pPr>
            <w:r w:rsidRPr="00AE74F3">
              <w:t>-</w:t>
            </w:r>
          </w:p>
        </w:tc>
        <w:tc>
          <w:tcPr>
            <w:tcW w:w="834" w:type="pct"/>
            <w:gridSpan w:val="2"/>
            <w:shd w:val="clear" w:color="auto" w:fill="DBE5F1" w:themeFill="accent1" w:themeFillTint="33"/>
          </w:tcPr>
          <w:p w14:paraId="79E06C69" w14:textId="77777777" w:rsidR="008E32A2" w:rsidRPr="00AE74F3" w:rsidRDefault="008E32A2" w:rsidP="00CE58B5">
            <w:pPr>
              <w:pStyle w:val="TableText0"/>
              <w:jc w:val="center"/>
            </w:pPr>
          </w:p>
        </w:tc>
        <w:tc>
          <w:tcPr>
            <w:tcW w:w="723" w:type="pct"/>
            <w:gridSpan w:val="2"/>
            <w:shd w:val="clear" w:color="auto" w:fill="DBE5F1" w:themeFill="accent1" w:themeFillTint="33"/>
            <w:tcMar>
              <w:top w:w="0" w:type="dxa"/>
              <w:left w:w="108" w:type="dxa"/>
              <w:bottom w:w="0" w:type="dxa"/>
              <w:right w:w="108" w:type="dxa"/>
            </w:tcMar>
            <w:vAlign w:val="center"/>
          </w:tcPr>
          <w:p w14:paraId="3A3E6F17" w14:textId="214F4A41" w:rsidR="008E32A2" w:rsidRPr="00AE74F3" w:rsidRDefault="008E32A2" w:rsidP="00CE58B5">
            <w:pPr>
              <w:pStyle w:val="TableText0"/>
              <w:jc w:val="center"/>
            </w:pPr>
            <w:r w:rsidRPr="00AE74F3">
              <w:t>84/353 (23.8)</w:t>
            </w:r>
          </w:p>
        </w:tc>
        <w:tc>
          <w:tcPr>
            <w:tcW w:w="669" w:type="pct"/>
            <w:shd w:val="clear" w:color="auto" w:fill="DBE5F1" w:themeFill="accent1" w:themeFillTint="33"/>
            <w:tcMar>
              <w:top w:w="0" w:type="dxa"/>
              <w:left w:w="108" w:type="dxa"/>
              <w:bottom w:w="0" w:type="dxa"/>
              <w:right w:w="108" w:type="dxa"/>
            </w:tcMar>
            <w:vAlign w:val="center"/>
          </w:tcPr>
          <w:p w14:paraId="08388A38" w14:textId="77777777" w:rsidR="008E32A2" w:rsidRPr="00AE74F3" w:rsidRDefault="008E32A2" w:rsidP="00CE58B5">
            <w:pPr>
              <w:pStyle w:val="TableText0"/>
              <w:jc w:val="center"/>
            </w:pPr>
            <w:r w:rsidRPr="00AE74F3">
              <w:t>71/357 (19.9)</w:t>
            </w:r>
          </w:p>
        </w:tc>
        <w:tc>
          <w:tcPr>
            <w:tcW w:w="1111" w:type="pct"/>
            <w:gridSpan w:val="2"/>
            <w:shd w:val="clear" w:color="auto" w:fill="DBE5F1" w:themeFill="accent1" w:themeFillTint="33"/>
            <w:tcMar>
              <w:top w:w="0" w:type="dxa"/>
              <w:left w:w="108" w:type="dxa"/>
              <w:bottom w:w="0" w:type="dxa"/>
              <w:right w:w="108" w:type="dxa"/>
            </w:tcMar>
            <w:vAlign w:val="center"/>
          </w:tcPr>
          <w:p w14:paraId="7C1B370B" w14:textId="67548468" w:rsidR="008E32A2" w:rsidRPr="00AE74F3" w:rsidRDefault="008E32A2" w:rsidP="00CE58B5">
            <w:pPr>
              <w:pStyle w:val="PBACTabletext"/>
              <w:jc w:val="center"/>
            </w:pPr>
            <w:r w:rsidRPr="00AE74F3">
              <w:t xml:space="preserve">0.80 (0.58, 1.09); </w:t>
            </w:r>
            <w:r w:rsidR="00283742" w:rsidRPr="00AE74F3">
              <w:t>p=</w:t>
            </w:r>
            <w:r w:rsidRPr="00AE74F3">
              <w:t>0.1559</w:t>
            </w:r>
          </w:p>
        </w:tc>
      </w:tr>
      <w:tr w:rsidR="008E32A2" w:rsidRPr="00AE74F3" w14:paraId="6925FE75" w14:textId="77777777" w:rsidTr="00283742">
        <w:tc>
          <w:tcPr>
            <w:tcW w:w="829" w:type="pct"/>
            <w:gridSpan w:val="2"/>
            <w:tcMar>
              <w:top w:w="0" w:type="dxa"/>
              <w:left w:w="108" w:type="dxa"/>
              <w:bottom w:w="0" w:type="dxa"/>
              <w:right w:w="108" w:type="dxa"/>
            </w:tcMar>
            <w:hideMark/>
          </w:tcPr>
          <w:p w14:paraId="2E65AEE1" w14:textId="77777777" w:rsidR="008E32A2" w:rsidRPr="00AE74F3" w:rsidRDefault="008E32A2" w:rsidP="00CE58B5">
            <w:pPr>
              <w:pStyle w:val="TableText0"/>
            </w:pPr>
            <w:r w:rsidRPr="00AE74F3">
              <w:t>FREEDOMS I/II meta-analysis</w:t>
            </w:r>
            <w:r w:rsidRPr="00AE74F3">
              <w:rPr>
                <w:vertAlign w:val="superscript"/>
              </w:rPr>
              <w:t xml:space="preserve"> </w:t>
            </w:r>
          </w:p>
        </w:tc>
        <w:tc>
          <w:tcPr>
            <w:tcW w:w="834" w:type="pct"/>
            <w:tcMar>
              <w:top w:w="0" w:type="dxa"/>
              <w:left w:w="108" w:type="dxa"/>
              <w:bottom w:w="0" w:type="dxa"/>
              <w:right w:w="108" w:type="dxa"/>
            </w:tcMar>
            <w:vAlign w:val="center"/>
          </w:tcPr>
          <w:p w14:paraId="0DF2B513" w14:textId="77777777" w:rsidR="008E32A2" w:rsidRPr="00AE74F3" w:rsidRDefault="008E32A2" w:rsidP="00CE58B5">
            <w:pPr>
              <w:pStyle w:val="TableText0"/>
              <w:jc w:val="center"/>
            </w:pPr>
            <w:r w:rsidRPr="00AE74F3">
              <w:t>-</w:t>
            </w:r>
          </w:p>
        </w:tc>
        <w:tc>
          <w:tcPr>
            <w:tcW w:w="834" w:type="pct"/>
            <w:gridSpan w:val="2"/>
          </w:tcPr>
          <w:p w14:paraId="2E6E93FA" w14:textId="77777777" w:rsidR="008E32A2" w:rsidRPr="00AE74F3" w:rsidRDefault="008E32A2" w:rsidP="00CE58B5">
            <w:pPr>
              <w:pStyle w:val="TableText0"/>
              <w:jc w:val="center"/>
            </w:pPr>
          </w:p>
        </w:tc>
        <w:tc>
          <w:tcPr>
            <w:tcW w:w="723" w:type="pct"/>
            <w:gridSpan w:val="2"/>
            <w:tcMar>
              <w:top w:w="0" w:type="dxa"/>
              <w:left w:w="108" w:type="dxa"/>
              <w:bottom w:w="0" w:type="dxa"/>
              <w:right w:w="108" w:type="dxa"/>
            </w:tcMar>
            <w:vAlign w:val="center"/>
          </w:tcPr>
          <w:p w14:paraId="33194A62" w14:textId="31ABFF51" w:rsidR="008E32A2" w:rsidRPr="00AE74F3" w:rsidRDefault="008E32A2" w:rsidP="00CE58B5">
            <w:pPr>
              <w:pStyle w:val="TableText0"/>
              <w:jc w:val="center"/>
            </w:pPr>
            <w:r w:rsidRPr="00AE74F3">
              <w:t>-</w:t>
            </w:r>
          </w:p>
        </w:tc>
        <w:tc>
          <w:tcPr>
            <w:tcW w:w="669" w:type="pct"/>
            <w:tcMar>
              <w:top w:w="0" w:type="dxa"/>
              <w:left w:w="108" w:type="dxa"/>
              <w:bottom w:w="0" w:type="dxa"/>
              <w:right w:w="108" w:type="dxa"/>
            </w:tcMar>
            <w:vAlign w:val="center"/>
          </w:tcPr>
          <w:p w14:paraId="6C475915" w14:textId="77777777" w:rsidR="008E32A2" w:rsidRPr="00AE74F3" w:rsidRDefault="008E32A2" w:rsidP="00CE58B5">
            <w:pPr>
              <w:pStyle w:val="TableText0"/>
              <w:jc w:val="center"/>
            </w:pPr>
            <w:r w:rsidRPr="00AE74F3">
              <w:t>-</w:t>
            </w:r>
          </w:p>
        </w:tc>
        <w:tc>
          <w:tcPr>
            <w:tcW w:w="1111" w:type="pct"/>
            <w:gridSpan w:val="2"/>
            <w:tcMar>
              <w:top w:w="0" w:type="dxa"/>
              <w:left w:w="108" w:type="dxa"/>
              <w:bottom w:w="0" w:type="dxa"/>
              <w:right w:w="108" w:type="dxa"/>
            </w:tcMar>
            <w:vAlign w:val="center"/>
          </w:tcPr>
          <w:p w14:paraId="08315F69" w14:textId="74A4D52C" w:rsidR="008E32A2" w:rsidRPr="00B321C3" w:rsidRDefault="008E32A2" w:rsidP="00CE58B5">
            <w:pPr>
              <w:pStyle w:val="PBACTabletext"/>
              <w:jc w:val="center"/>
              <w:rPr>
                <w:b/>
                <w:bCs/>
              </w:rPr>
            </w:pPr>
            <w:r w:rsidRPr="00B321C3">
              <w:rPr>
                <w:b/>
                <w:bCs/>
              </w:rPr>
              <w:t>0.72 (0.57, 0.90); 0.005</w:t>
            </w:r>
            <w:r w:rsidRPr="00B321C3">
              <w:rPr>
                <w:b/>
                <w:bCs/>
                <w:vertAlign w:val="superscript"/>
              </w:rPr>
              <w:t>c</w:t>
            </w:r>
          </w:p>
        </w:tc>
      </w:tr>
      <w:tr w:rsidR="00283742" w:rsidRPr="00AE74F3" w14:paraId="7F9DB0D0" w14:textId="77777777" w:rsidTr="00283742">
        <w:tc>
          <w:tcPr>
            <w:tcW w:w="3889" w:type="pct"/>
            <w:gridSpan w:val="8"/>
          </w:tcPr>
          <w:p w14:paraId="719FBAFF" w14:textId="632FB795" w:rsidR="00283742" w:rsidRPr="00AE74F3" w:rsidRDefault="00283742" w:rsidP="00CE58B5">
            <w:pPr>
              <w:pStyle w:val="TableText0"/>
            </w:pPr>
            <w:r w:rsidRPr="00AE74F3">
              <w:t>Indirect comparison (ofatumumab vs fingolimod)</w:t>
            </w:r>
          </w:p>
        </w:tc>
        <w:tc>
          <w:tcPr>
            <w:tcW w:w="1111" w:type="pct"/>
            <w:gridSpan w:val="2"/>
            <w:tcMar>
              <w:top w:w="0" w:type="dxa"/>
              <w:left w:w="108" w:type="dxa"/>
              <w:bottom w:w="0" w:type="dxa"/>
              <w:right w:w="108" w:type="dxa"/>
            </w:tcMar>
          </w:tcPr>
          <w:p w14:paraId="17D5C971" w14:textId="1C5BE355" w:rsidR="00283742" w:rsidRPr="00B321C3" w:rsidRDefault="00283742" w:rsidP="00CE58B5">
            <w:pPr>
              <w:pStyle w:val="TableText0"/>
              <w:jc w:val="center"/>
              <w:rPr>
                <w:b/>
              </w:rPr>
            </w:pPr>
            <w:r w:rsidRPr="00B321C3">
              <w:rPr>
                <w:b/>
              </w:rPr>
              <w:t>0.638 (0.413, 0.985); p=0.0426</w:t>
            </w:r>
          </w:p>
        </w:tc>
      </w:tr>
      <w:tr w:rsidR="00283742" w:rsidRPr="00AE74F3" w14:paraId="00649220" w14:textId="77777777" w:rsidTr="00283742">
        <w:tc>
          <w:tcPr>
            <w:tcW w:w="3889" w:type="pct"/>
            <w:gridSpan w:val="8"/>
            <w:shd w:val="clear" w:color="auto" w:fill="DBE5F1" w:themeFill="accent1" w:themeFillTint="33"/>
          </w:tcPr>
          <w:p w14:paraId="5F9527AD" w14:textId="7292DDE9" w:rsidR="00283742" w:rsidRPr="00AE74F3" w:rsidRDefault="00283742" w:rsidP="00CE58B5">
            <w:pPr>
              <w:pStyle w:val="TableText0"/>
              <w:rPr>
                <w:vertAlign w:val="superscript"/>
              </w:rPr>
            </w:pPr>
            <w:r w:rsidRPr="00AE74F3">
              <w:t xml:space="preserve">Indirect comparison (ofatumumab vs fingolimod, March 2021) </w:t>
            </w:r>
            <w:r w:rsidRPr="00AE74F3">
              <w:rPr>
                <w:vertAlign w:val="superscript"/>
              </w:rPr>
              <w:t>d</w:t>
            </w:r>
          </w:p>
        </w:tc>
        <w:tc>
          <w:tcPr>
            <w:tcW w:w="1111" w:type="pct"/>
            <w:gridSpan w:val="2"/>
            <w:shd w:val="clear" w:color="auto" w:fill="DBE5F1" w:themeFill="accent1" w:themeFillTint="33"/>
            <w:tcMar>
              <w:top w:w="0" w:type="dxa"/>
              <w:left w:w="108" w:type="dxa"/>
              <w:bottom w:w="0" w:type="dxa"/>
              <w:right w:w="108" w:type="dxa"/>
            </w:tcMar>
          </w:tcPr>
          <w:p w14:paraId="78200B75" w14:textId="13E77A49" w:rsidR="00283742" w:rsidRPr="00AE74F3" w:rsidRDefault="00283742" w:rsidP="00CE58B5">
            <w:pPr>
              <w:pStyle w:val="TableText0"/>
              <w:jc w:val="center"/>
            </w:pPr>
            <w:r w:rsidRPr="00AE74F3">
              <w:t>OR: 0.669 (0.422, 1.06), p=0.0870</w:t>
            </w:r>
          </w:p>
        </w:tc>
      </w:tr>
    </w:tbl>
    <w:p w14:paraId="2D468A9A" w14:textId="4E2D4C98" w:rsidR="008600A3" w:rsidRPr="00AE74F3" w:rsidRDefault="008600A3" w:rsidP="008600A3">
      <w:pPr>
        <w:pStyle w:val="FooterTableFigure"/>
      </w:pPr>
      <w:r w:rsidRPr="00AE74F3">
        <w:t xml:space="preserve">3mCDP = confirmed disability progression at 3 months; CI = confidence interval; HR = hazard ratio; ITC = indirect treatment comparison; n = number of </w:t>
      </w:r>
      <w:r w:rsidR="007E473E">
        <w:t>patients</w:t>
      </w:r>
      <w:r w:rsidRPr="00AE74F3">
        <w:t xml:space="preserve"> with event; N = number of </w:t>
      </w:r>
      <w:r w:rsidR="007E473E">
        <w:t>patient</w:t>
      </w:r>
      <w:r w:rsidRPr="00AE74F3">
        <w:t>s in the analysis.</w:t>
      </w:r>
    </w:p>
    <w:p w14:paraId="3F9BA420" w14:textId="2D7C90EF" w:rsidR="008E32A2" w:rsidRPr="00AE74F3" w:rsidRDefault="008E32A2" w:rsidP="008E32A2">
      <w:pPr>
        <w:pStyle w:val="FooterTableFigure"/>
      </w:pPr>
      <w:r w:rsidRPr="00AE74F3">
        <w:t>Source: Tables 39, 42, 45, 51, 52 pp 95, 98, 99 and 109 of the submission.</w:t>
      </w:r>
    </w:p>
    <w:p w14:paraId="6A2224C1" w14:textId="5C518D03" w:rsidR="008E32A2" w:rsidRPr="00AE74F3" w:rsidRDefault="008E32A2" w:rsidP="008E32A2">
      <w:pPr>
        <w:pStyle w:val="FooterTableFigure"/>
      </w:pPr>
      <w:r w:rsidRPr="00AE74F3">
        <w:rPr>
          <w:vertAlign w:val="superscript"/>
        </w:rPr>
        <w:t>a</w:t>
      </w:r>
      <w:r w:rsidRPr="00AE74F3">
        <w:t xml:space="preserve"> These figures could not be independently verified as the data source was not listed in the submission.</w:t>
      </w:r>
    </w:p>
    <w:p w14:paraId="3AE90017" w14:textId="77777777" w:rsidR="008E32A2" w:rsidRPr="00AE74F3" w:rsidRDefault="008E32A2" w:rsidP="008E32A2">
      <w:pPr>
        <w:pStyle w:val="FooterTableFigure"/>
      </w:pPr>
      <w:r w:rsidRPr="00AE74F3">
        <w:rPr>
          <w:vertAlign w:val="superscript"/>
        </w:rPr>
        <w:t xml:space="preserve">b </w:t>
      </w:r>
      <w:r w:rsidRPr="00AE74F3">
        <w:t>As these figures show the HR for teriflunomide vs placebo, their inverse was used in order to include results for placebo vs teriflunomide in the ITC (RR (95% CI) = 1.43 (1.85, 1.12)).</w:t>
      </w:r>
    </w:p>
    <w:p w14:paraId="063FF989" w14:textId="0563A25E" w:rsidR="008600A3" w:rsidRPr="00AE74F3" w:rsidRDefault="008E32A2" w:rsidP="008600A3">
      <w:pPr>
        <w:pStyle w:val="FooterTableFigure"/>
      </w:pPr>
      <w:r w:rsidRPr="00AE74F3">
        <w:rPr>
          <w:vertAlign w:val="superscript"/>
        </w:rPr>
        <w:t>c</w:t>
      </w:r>
      <w:r w:rsidR="008600A3" w:rsidRPr="00AE74F3">
        <w:t xml:space="preserve"> The results for the meta-analysis varied slightly from the FREEDOMS I and II 3mCDP pooled analysis (HR = 0.71 (95% CI 0.57, 0.89); p-value 0.0028.)</w:t>
      </w:r>
    </w:p>
    <w:p w14:paraId="1C0E7B31" w14:textId="5A58A02D" w:rsidR="00AE5F0F" w:rsidRPr="00AE74F3" w:rsidRDefault="008E32A2" w:rsidP="008600A3">
      <w:pPr>
        <w:pStyle w:val="FooterTableFigure"/>
      </w:pPr>
      <w:r w:rsidRPr="00AE74F3">
        <w:rPr>
          <w:vertAlign w:val="superscript"/>
        </w:rPr>
        <w:t>d</w:t>
      </w:r>
      <w:r w:rsidR="00AE5F0F" w:rsidRPr="00AE74F3">
        <w:rPr>
          <w:vertAlign w:val="superscript"/>
        </w:rPr>
        <w:t xml:space="preserve"> </w:t>
      </w:r>
      <w:r w:rsidR="00AE5F0F" w:rsidRPr="00AE74F3">
        <w:t>In March 2021, the odds ratio rather than hazard ratio was used</w:t>
      </w:r>
    </w:p>
    <w:p w14:paraId="5F54B87C" w14:textId="1505C8C0" w:rsidR="008600A3" w:rsidRPr="00AE74F3" w:rsidRDefault="008600A3" w:rsidP="00326830">
      <w:pPr>
        <w:pStyle w:val="FooterTableFigure"/>
      </w:pPr>
      <w:r w:rsidRPr="00AE74F3">
        <w:t>Blue shading indicates values previously considered by the PBAC.</w:t>
      </w:r>
    </w:p>
    <w:p w14:paraId="68795708" w14:textId="3F44E212" w:rsidR="008745EB" w:rsidRPr="00AE74F3" w:rsidRDefault="008600A3" w:rsidP="001124BB">
      <w:pPr>
        <w:pStyle w:val="3-BodyText"/>
      </w:pPr>
      <w:r w:rsidRPr="00AE74F3">
        <w:t xml:space="preserve">As for ARR, there were substantial differences between the </w:t>
      </w:r>
      <w:r w:rsidR="007E473E">
        <w:t>results in the common reference arm</w:t>
      </w:r>
      <w:r w:rsidR="00D442E5">
        <w:t>s, with differences in the</w:t>
      </w:r>
      <w:r w:rsidR="007E473E">
        <w:t xml:space="preserve"> </w:t>
      </w:r>
      <w:r w:rsidR="007A00BE" w:rsidRPr="00AE74F3">
        <w:t>proportion of patients</w:t>
      </w:r>
      <w:r w:rsidR="00283742" w:rsidRPr="00AE74F3">
        <w:t xml:space="preserve"> treated with teriflunomide </w:t>
      </w:r>
      <w:r w:rsidR="00D442E5">
        <w:t>who experienced</w:t>
      </w:r>
      <w:r w:rsidR="008D7637" w:rsidRPr="00AE74F3">
        <w:t xml:space="preserve"> </w:t>
      </w:r>
      <w:r w:rsidRPr="00AE74F3">
        <w:t xml:space="preserve">3mCDP </w:t>
      </w:r>
      <w:r w:rsidR="00D442E5">
        <w:t>i</w:t>
      </w:r>
      <w:r w:rsidRPr="00AE74F3">
        <w:t>n ASCLEPIOS I and II (13.1</w:t>
      </w:r>
      <w:r w:rsidR="00283742" w:rsidRPr="00AE74F3">
        <w:t xml:space="preserve">% to </w:t>
      </w:r>
      <w:r w:rsidRPr="00AE74F3">
        <w:t xml:space="preserve">13.7%) and TEMSO (20.0%) </w:t>
      </w:r>
      <w:r w:rsidR="00283742" w:rsidRPr="00AE74F3">
        <w:t>and</w:t>
      </w:r>
      <w:r w:rsidRPr="00AE74F3">
        <w:t xml:space="preserve"> TOWER (27.0%). Similarly, the </w:t>
      </w:r>
      <w:r w:rsidR="008D7637" w:rsidRPr="00AE74F3">
        <w:t xml:space="preserve">proportion of patients </w:t>
      </w:r>
      <w:r w:rsidR="00283742" w:rsidRPr="00AE74F3">
        <w:t xml:space="preserve">treated with placebo </w:t>
      </w:r>
      <w:r w:rsidR="008D7637" w:rsidRPr="00AE74F3">
        <w:t xml:space="preserve">who </w:t>
      </w:r>
      <w:r w:rsidR="00D442E5">
        <w:t>experienced</w:t>
      </w:r>
      <w:r w:rsidR="008D7637" w:rsidRPr="00AE74F3">
        <w:t xml:space="preserve"> </w:t>
      </w:r>
      <w:r w:rsidRPr="00AE74F3">
        <w:t>3mCDP also differed substantially between TEMSO (28.0%), TOWER (39.0%) and FREEDOMS I and II (21.4</w:t>
      </w:r>
      <w:r w:rsidR="00283742" w:rsidRPr="00AE74F3">
        <w:t xml:space="preserve"> to </w:t>
      </w:r>
      <w:r w:rsidRPr="00AE74F3">
        <w:t xml:space="preserve">23.8%). </w:t>
      </w:r>
      <w:r w:rsidR="008745EB" w:rsidRPr="00AE74F3">
        <w:t xml:space="preserve">Notably, the </w:t>
      </w:r>
      <w:r w:rsidR="00370B30" w:rsidRPr="00AE74F3">
        <w:t xml:space="preserve">upper bound of the </w:t>
      </w:r>
      <w:r w:rsidR="008745EB" w:rsidRPr="00AE74F3">
        <w:t>95%</w:t>
      </w:r>
      <w:r w:rsidR="00996892" w:rsidRPr="00AE74F3">
        <w:t xml:space="preserve"> confidence interval (95% </w:t>
      </w:r>
      <w:r w:rsidR="008745EB" w:rsidRPr="00AE74F3">
        <w:t>CI</w:t>
      </w:r>
      <w:r w:rsidR="00996892" w:rsidRPr="00AE74F3">
        <w:t>)</w:t>
      </w:r>
      <w:r w:rsidR="008745EB" w:rsidRPr="00AE74F3">
        <w:t xml:space="preserve"> f</w:t>
      </w:r>
      <w:r w:rsidR="00370B30" w:rsidRPr="00AE74F3">
        <w:t>or</w:t>
      </w:r>
      <w:r w:rsidR="008745EB" w:rsidRPr="00AE74F3">
        <w:t xml:space="preserve"> the time to 3mCDP HR for ofatumumab compared to placebo (</w:t>
      </w:r>
      <w:r w:rsidR="00370B30" w:rsidRPr="00AE74F3">
        <w:t xml:space="preserve">HR: </w:t>
      </w:r>
      <w:r w:rsidR="00996892" w:rsidRPr="00AE74F3">
        <w:t xml:space="preserve">0.459, 95% CI: </w:t>
      </w:r>
      <w:r w:rsidR="008745EB" w:rsidRPr="00AE74F3">
        <w:t xml:space="preserve">0.317, 0.665) overlaps with </w:t>
      </w:r>
      <w:r w:rsidR="00370B30" w:rsidRPr="00AE74F3">
        <w:t xml:space="preserve">the lower bound </w:t>
      </w:r>
      <w:r w:rsidR="00370B30" w:rsidRPr="00AE74F3">
        <w:lastRenderedPageBreak/>
        <w:t xml:space="preserve">of the 95% CI for </w:t>
      </w:r>
      <w:r w:rsidR="008745EB" w:rsidRPr="00AE74F3">
        <w:t>fingolimod compared to placebo (</w:t>
      </w:r>
      <w:r w:rsidR="00370B30" w:rsidRPr="00AE74F3">
        <w:t xml:space="preserve">HR: </w:t>
      </w:r>
      <w:r w:rsidR="00996892" w:rsidRPr="00AE74F3">
        <w:t xml:space="preserve">0.72, 95% CI: </w:t>
      </w:r>
      <w:r w:rsidR="008745EB" w:rsidRPr="00AE74F3">
        <w:t xml:space="preserve">0.57, 0.90). </w:t>
      </w:r>
      <w:r w:rsidR="00D442E5" w:rsidRPr="00AE74F3">
        <w:t>The evaluation and the ESC considered that this suggested that there may be transitivity issues between the trials</w:t>
      </w:r>
      <w:r w:rsidR="00727AFD">
        <w:t>,</w:t>
      </w:r>
      <w:r w:rsidR="00D442E5" w:rsidRPr="00AE74F3">
        <w:t xml:space="preserve"> and </w:t>
      </w:r>
      <w:r w:rsidR="00727AFD">
        <w:t xml:space="preserve">thus </w:t>
      </w:r>
      <w:r w:rsidR="00D442E5" w:rsidRPr="00AE74F3">
        <w:t>the results of the ITC may not be reliable.</w:t>
      </w:r>
    </w:p>
    <w:p w14:paraId="1F81FD40" w14:textId="61D0A1F0" w:rsidR="00151F7B" w:rsidRPr="00AE74F3" w:rsidRDefault="00996892" w:rsidP="005E1874">
      <w:pPr>
        <w:pStyle w:val="3-BodyText"/>
      </w:pPr>
      <w:r w:rsidRPr="00AE74F3">
        <w:t>I</w:t>
      </w:r>
      <w:r w:rsidR="008600A3" w:rsidRPr="00AE74F3">
        <w:t xml:space="preserve">n the March 2021 ofatumumab submission results </w:t>
      </w:r>
      <w:r w:rsidRPr="00AE74F3">
        <w:t xml:space="preserve">for time to 3mCDP </w:t>
      </w:r>
      <w:r w:rsidR="008600A3" w:rsidRPr="00AE74F3">
        <w:t xml:space="preserve">were presented as an odds ratio (OR), while the current submission presented results as a hazard ratio (HR). </w:t>
      </w:r>
      <w:r w:rsidR="00C25002" w:rsidRPr="00AE74F3">
        <w:t>T</w:t>
      </w:r>
      <w:r w:rsidR="008600A3" w:rsidRPr="00AE74F3">
        <w:t>he change from OR to HR changed the conclusion, as the</w:t>
      </w:r>
      <w:r w:rsidR="00AE5F0F" w:rsidRPr="00AE74F3">
        <w:t xml:space="preserve"> </w:t>
      </w:r>
      <w:r w:rsidR="008600A3" w:rsidRPr="00AE74F3">
        <w:t>3mCDP result with OR (OR = 0.669, 95% CI 0.422, 1.06; p-value = 0.0870) was not statistically significantly different at the 5% level unlike the results with HR as presented in the current submission.</w:t>
      </w:r>
      <w:r w:rsidR="006849DD" w:rsidRPr="00AE74F3">
        <w:t xml:space="preserve"> </w:t>
      </w:r>
    </w:p>
    <w:p w14:paraId="6FDE15B8" w14:textId="794B6C8B" w:rsidR="008600A3" w:rsidRPr="00AE74F3" w:rsidRDefault="008600A3" w:rsidP="008600A3">
      <w:pPr>
        <w:pStyle w:val="3-BodyText"/>
      </w:pPr>
      <w:r w:rsidRPr="00AE74F3">
        <w:t xml:space="preserve">For </w:t>
      </w:r>
      <w:r w:rsidR="003B6409" w:rsidRPr="00AE74F3">
        <w:t xml:space="preserve">time to </w:t>
      </w:r>
      <w:r w:rsidR="004A0B97" w:rsidRPr="00AE74F3">
        <w:t>confirmed disability progression at six months (</w:t>
      </w:r>
      <w:r w:rsidRPr="00AE74F3">
        <w:t>6mCDP</w:t>
      </w:r>
      <w:r w:rsidR="004A0B97" w:rsidRPr="00AE74F3">
        <w:t>)</w:t>
      </w:r>
      <w:r w:rsidRPr="00AE74F3">
        <w:t xml:space="preserve">, a two-step ITC could not be conducted to compare ofatumumab vs fingolimod as results were not available for teriflunomide vs placebo. The available results for </w:t>
      </w:r>
      <w:r w:rsidR="008D7637" w:rsidRPr="00AE74F3">
        <w:t xml:space="preserve">time to </w:t>
      </w:r>
      <w:r w:rsidRPr="00AE74F3">
        <w:t xml:space="preserve">6mCDP from the included trials are presented in </w:t>
      </w:r>
      <w:r w:rsidRPr="00AE74F3">
        <w:fldChar w:fldCharType="begin" w:fldLock="1"/>
      </w:r>
      <w:r w:rsidRPr="00AE74F3">
        <w:instrText xml:space="preserve"> REF _Ref152950146 \h </w:instrText>
      </w:r>
      <w:r w:rsidR="005F098D" w:rsidRPr="00AE74F3">
        <w:instrText xml:space="preserve"> \* MERGEFORMAT </w:instrText>
      </w:r>
      <w:r w:rsidRPr="00AE74F3">
        <w:fldChar w:fldCharType="separate"/>
      </w:r>
      <w:r w:rsidR="00416916" w:rsidRPr="00AE74F3">
        <w:t xml:space="preserve">Table </w:t>
      </w:r>
      <w:r w:rsidR="00416916">
        <w:rPr>
          <w:noProof/>
        </w:rPr>
        <w:t>6</w:t>
      </w:r>
      <w:r w:rsidRPr="00AE74F3">
        <w:fldChar w:fldCharType="end"/>
      </w:r>
      <w:r w:rsidRPr="00AE74F3">
        <w:t>.</w:t>
      </w:r>
    </w:p>
    <w:p w14:paraId="35F4231D" w14:textId="68A20CEE" w:rsidR="008600A3" w:rsidRPr="00AE74F3" w:rsidRDefault="008600A3" w:rsidP="008600A3">
      <w:pPr>
        <w:pStyle w:val="Caption"/>
      </w:pPr>
      <w:bookmarkStart w:id="33" w:name="_Ref152950146"/>
      <w:r w:rsidRPr="00AE74F3">
        <w:t xml:space="preserve">Table </w:t>
      </w:r>
      <w:r w:rsidR="002943DF">
        <w:fldChar w:fldCharType="begin" w:fldLock="1"/>
      </w:r>
      <w:r w:rsidR="002943DF">
        <w:instrText xml:space="preserve"> SEQ Table \* ARABIC </w:instrText>
      </w:r>
      <w:r w:rsidR="002943DF">
        <w:fldChar w:fldCharType="separate"/>
      </w:r>
      <w:r w:rsidR="00416916">
        <w:rPr>
          <w:noProof/>
        </w:rPr>
        <w:t>6</w:t>
      </w:r>
      <w:r w:rsidR="002943DF">
        <w:rPr>
          <w:noProof/>
        </w:rPr>
        <w:fldChar w:fldCharType="end"/>
      </w:r>
      <w:bookmarkEnd w:id="33"/>
      <w:r w:rsidRPr="00AE74F3">
        <w:t>:</w:t>
      </w:r>
      <w:r w:rsidRPr="00AE74F3">
        <w:tab/>
        <w:t xml:space="preserve">Ofatumumab vs placebo: </w:t>
      </w:r>
      <w:r w:rsidR="008D7637" w:rsidRPr="00AE74F3">
        <w:t xml:space="preserve">Time to </w:t>
      </w:r>
      <w:r w:rsidRPr="00AE74F3">
        <w:t>6mCDP of the included trials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6: Ofatumumab vs placebo: Time to 6mCDP of the included trials"/>
      </w:tblPr>
      <w:tblGrid>
        <w:gridCol w:w="1555"/>
        <w:gridCol w:w="1275"/>
        <w:gridCol w:w="1418"/>
        <w:gridCol w:w="1134"/>
        <w:gridCol w:w="1276"/>
        <w:gridCol w:w="2551"/>
      </w:tblGrid>
      <w:tr w:rsidR="00FE3330" w:rsidRPr="00AE74F3" w14:paraId="3E71CF4E" w14:textId="77777777" w:rsidTr="00283742">
        <w:tc>
          <w:tcPr>
            <w:tcW w:w="1555" w:type="dxa"/>
            <w:tcMar>
              <w:top w:w="0" w:type="dxa"/>
              <w:left w:w="108" w:type="dxa"/>
              <w:bottom w:w="0" w:type="dxa"/>
              <w:right w:w="108" w:type="dxa"/>
            </w:tcMar>
            <w:vAlign w:val="center"/>
          </w:tcPr>
          <w:p w14:paraId="71F3DF55" w14:textId="77777777" w:rsidR="00FE3330" w:rsidRPr="00AE74F3" w:rsidRDefault="00FE3330" w:rsidP="00CE58B5">
            <w:pPr>
              <w:pStyle w:val="In-tableHeading"/>
              <w:rPr>
                <w:lang w:val="en-AU"/>
              </w:rPr>
            </w:pPr>
          </w:p>
        </w:tc>
        <w:tc>
          <w:tcPr>
            <w:tcW w:w="3827" w:type="dxa"/>
            <w:gridSpan w:val="3"/>
            <w:tcMar>
              <w:top w:w="0" w:type="dxa"/>
              <w:left w:w="108" w:type="dxa"/>
              <w:bottom w:w="0" w:type="dxa"/>
              <w:right w:w="108" w:type="dxa"/>
            </w:tcMar>
          </w:tcPr>
          <w:p w14:paraId="33CBAAE1" w14:textId="67E3A6EB" w:rsidR="00FE3330" w:rsidRPr="00AE74F3" w:rsidRDefault="008D7637" w:rsidP="00CE58B5">
            <w:pPr>
              <w:pStyle w:val="In-tableHeading"/>
              <w:jc w:val="center"/>
              <w:rPr>
                <w:lang w:val="en-AU"/>
              </w:rPr>
            </w:pPr>
            <w:r w:rsidRPr="00AE74F3">
              <w:rPr>
                <w:lang w:val="en-AU"/>
              </w:rPr>
              <w:t>Time to 6</w:t>
            </w:r>
            <w:r w:rsidR="00FE3330" w:rsidRPr="00AE74F3">
              <w:rPr>
                <w:lang w:val="en-AU"/>
              </w:rPr>
              <w:t>mCDP</w:t>
            </w:r>
          </w:p>
        </w:tc>
        <w:tc>
          <w:tcPr>
            <w:tcW w:w="1276" w:type="dxa"/>
          </w:tcPr>
          <w:p w14:paraId="4F11CDE7" w14:textId="77777777" w:rsidR="00FE3330" w:rsidRPr="00AE74F3" w:rsidRDefault="00FE3330" w:rsidP="00CE58B5">
            <w:pPr>
              <w:pStyle w:val="In-tableHeading"/>
              <w:jc w:val="center"/>
              <w:rPr>
                <w:lang w:val="en-AU"/>
              </w:rPr>
            </w:pPr>
          </w:p>
        </w:tc>
        <w:tc>
          <w:tcPr>
            <w:tcW w:w="2551" w:type="dxa"/>
            <w:vMerge w:val="restart"/>
            <w:tcMar>
              <w:top w:w="0" w:type="dxa"/>
              <w:left w:w="108" w:type="dxa"/>
              <w:bottom w:w="0" w:type="dxa"/>
              <w:right w:w="108" w:type="dxa"/>
            </w:tcMar>
            <w:vAlign w:val="center"/>
          </w:tcPr>
          <w:p w14:paraId="27673BE7" w14:textId="0068C9C9" w:rsidR="00FE3330" w:rsidRPr="00AE74F3" w:rsidRDefault="00FE3330" w:rsidP="00CE58B5">
            <w:pPr>
              <w:pStyle w:val="In-tableHeading"/>
              <w:jc w:val="center"/>
              <w:rPr>
                <w:lang w:val="en-AU"/>
              </w:rPr>
            </w:pPr>
            <w:r w:rsidRPr="00AE74F3">
              <w:rPr>
                <w:lang w:val="en-AU"/>
              </w:rPr>
              <w:t>HR (95% CI); p-value</w:t>
            </w:r>
          </w:p>
        </w:tc>
      </w:tr>
      <w:tr w:rsidR="00FE3330" w:rsidRPr="00AE74F3" w14:paraId="22D8309A" w14:textId="77777777" w:rsidTr="00283742">
        <w:tc>
          <w:tcPr>
            <w:tcW w:w="1555" w:type="dxa"/>
            <w:tcMar>
              <w:top w:w="0" w:type="dxa"/>
              <w:left w:w="108" w:type="dxa"/>
              <w:bottom w:w="0" w:type="dxa"/>
              <w:right w:w="108" w:type="dxa"/>
            </w:tcMar>
            <w:vAlign w:val="center"/>
            <w:hideMark/>
          </w:tcPr>
          <w:p w14:paraId="2F2ABAA1" w14:textId="77777777" w:rsidR="00FE3330" w:rsidRPr="00AE74F3" w:rsidRDefault="00FE3330" w:rsidP="00CE58B5">
            <w:pPr>
              <w:pStyle w:val="In-tableHeading"/>
              <w:rPr>
                <w:lang w:val="en-AU"/>
              </w:rPr>
            </w:pPr>
            <w:r w:rsidRPr="00AE74F3">
              <w:rPr>
                <w:lang w:val="en-AU"/>
              </w:rPr>
              <w:t>Trial</w:t>
            </w:r>
          </w:p>
        </w:tc>
        <w:tc>
          <w:tcPr>
            <w:tcW w:w="1275" w:type="dxa"/>
            <w:tcMar>
              <w:top w:w="0" w:type="dxa"/>
              <w:left w:w="108" w:type="dxa"/>
              <w:bottom w:w="0" w:type="dxa"/>
              <w:right w:w="108" w:type="dxa"/>
            </w:tcMar>
            <w:vAlign w:val="center"/>
            <w:hideMark/>
          </w:tcPr>
          <w:p w14:paraId="15467D6B" w14:textId="77777777" w:rsidR="00FE3330" w:rsidRPr="00AE74F3" w:rsidRDefault="00FE3330" w:rsidP="003D2D43">
            <w:pPr>
              <w:pStyle w:val="In-tableHeading"/>
              <w:jc w:val="center"/>
              <w:rPr>
                <w:lang w:val="en-AU"/>
              </w:rPr>
            </w:pPr>
            <w:r w:rsidRPr="00AE74F3">
              <w:rPr>
                <w:lang w:val="en-AU"/>
              </w:rPr>
              <w:t>Ofatumumab</w:t>
            </w:r>
          </w:p>
          <w:p w14:paraId="4C463DEC" w14:textId="77777777" w:rsidR="00FE3330" w:rsidRPr="00AE74F3" w:rsidRDefault="00FE3330" w:rsidP="003D2D43">
            <w:pPr>
              <w:pStyle w:val="In-tableHeading"/>
              <w:jc w:val="center"/>
              <w:rPr>
                <w:lang w:val="en-AU"/>
              </w:rPr>
            </w:pPr>
            <w:r w:rsidRPr="00AE74F3">
              <w:rPr>
                <w:lang w:val="en-AU"/>
              </w:rPr>
              <w:t>n/N (%)</w:t>
            </w:r>
          </w:p>
        </w:tc>
        <w:tc>
          <w:tcPr>
            <w:tcW w:w="1418" w:type="dxa"/>
            <w:tcMar>
              <w:top w:w="0" w:type="dxa"/>
              <w:left w:w="108" w:type="dxa"/>
              <w:bottom w:w="0" w:type="dxa"/>
              <w:right w:w="108" w:type="dxa"/>
            </w:tcMar>
            <w:vAlign w:val="center"/>
            <w:hideMark/>
          </w:tcPr>
          <w:p w14:paraId="3DC26E96" w14:textId="77777777" w:rsidR="00FE3330" w:rsidRPr="00AE74F3" w:rsidRDefault="00FE3330" w:rsidP="003D2D43">
            <w:pPr>
              <w:pStyle w:val="In-tableHeading"/>
              <w:jc w:val="center"/>
              <w:rPr>
                <w:lang w:val="en-AU"/>
              </w:rPr>
            </w:pPr>
            <w:r w:rsidRPr="00AE74F3">
              <w:rPr>
                <w:lang w:val="en-AU"/>
              </w:rPr>
              <w:t>Teriflunomide</w:t>
            </w:r>
          </w:p>
          <w:p w14:paraId="671940E3" w14:textId="77777777" w:rsidR="00FE3330" w:rsidRPr="00AE74F3" w:rsidRDefault="00FE3330" w:rsidP="003D2D43">
            <w:pPr>
              <w:pStyle w:val="In-tableHeading"/>
              <w:jc w:val="center"/>
              <w:rPr>
                <w:lang w:val="en-AU"/>
              </w:rPr>
            </w:pPr>
            <w:r w:rsidRPr="00AE74F3">
              <w:rPr>
                <w:lang w:val="en-AU"/>
              </w:rPr>
              <w:t>n/N (%)</w:t>
            </w:r>
          </w:p>
        </w:tc>
        <w:tc>
          <w:tcPr>
            <w:tcW w:w="1134" w:type="dxa"/>
            <w:tcMar>
              <w:top w:w="0" w:type="dxa"/>
              <w:left w:w="108" w:type="dxa"/>
              <w:bottom w:w="0" w:type="dxa"/>
              <w:right w:w="108" w:type="dxa"/>
            </w:tcMar>
            <w:vAlign w:val="center"/>
            <w:hideMark/>
          </w:tcPr>
          <w:p w14:paraId="4EDB40D8" w14:textId="77777777" w:rsidR="00FE3330" w:rsidRPr="00AE74F3" w:rsidRDefault="00FE3330" w:rsidP="003D2D43">
            <w:pPr>
              <w:pStyle w:val="In-tableHeading"/>
              <w:jc w:val="center"/>
              <w:rPr>
                <w:lang w:val="en-AU"/>
              </w:rPr>
            </w:pPr>
            <w:r w:rsidRPr="00AE74F3">
              <w:rPr>
                <w:lang w:val="en-AU"/>
              </w:rPr>
              <w:t>Placebo</w:t>
            </w:r>
          </w:p>
          <w:p w14:paraId="4C538C63" w14:textId="77777777" w:rsidR="00FE3330" w:rsidRPr="00AE74F3" w:rsidRDefault="00FE3330" w:rsidP="003D2D43">
            <w:pPr>
              <w:pStyle w:val="In-tableHeading"/>
              <w:jc w:val="center"/>
              <w:rPr>
                <w:lang w:val="en-AU"/>
              </w:rPr>
            </w:pPr>
            <w:r w:rsidRPr="00AE74F3">
              <w:rPr>
                <w:lang w:val="en-AU"/>
              </w:rPr>
              <w:t>n/N (%)</w:t>
            </w:r>
          </w:p>
        </w:tc>
        <w:tc>
          <w:tcPr>
            <w:tcW w:w="1276" w:type="dxa"/>
            <w:vAlign w:val="center"/>
          </w:tcPr>
          <w:p w14:paraId="67E88E92" w14:textId="77777777" w:rsidR="00FE3330" w:rsidRPr="00AE74F3" w:rsidRDefault="00FE3330" w:rsidP="003D2D43">
            <w:pPr>
              <w:pStyle w:val="In-tableHeading"/>
              <w:jc w:val="center"/>
              <w:rPr>
                <w:lang w:val="en-AU"/>
              </w:rPr>
            </w:pPr>
            <w:r w:rsidRPr="00AE74F3">
              <w:rPr>
                <w:lang w:val="en-AU"/>
              </w:rPr>
              <w:t>Fingolimod</w:t>
            </w:r>
          </w:p>
          <w:p w14:paraId="575FF207" w14:textId="5FB26D6D" w:rsidR="00FE3330" w:rsidRPr="00AE74F3" w:rsidRDefault="00FE3330" w:rsidP="003D2D43">
            <w:pPr>
              <w:pStyle w:val="TableText0"/>
              <w:jc w:val="center"/>
              <w:rPr>
                <w:b/>
                <w:bCs w:val="0"/>
              </w:rPr>
            </w:pPr>
            <w:r w:rsidRPr="00AE74F3">
              <w:rPr>
                <w:b/>
                <w:bCs w:val="0"/>
              </w:rPr>
              <w:t>n/N (%)</w:t>
            </w:r>
          </w:p>
        </w:tc>
        <w:tc>
          <w:tcPr>
            <w:tcW w:w="2551" w:type="dxa"/>
            <w:vMerge/>
            <w:tcMar>
              <w:top w:w="0" w:type="dxa"/>
              <w:left w:w="108" w:type="dxa"/>
              <w:bottom w:w="0" w:type="dxa"/>
              <w:right w:w="108" w:type="dxa"/>
            </w:tcMar>
            <w:vAlign w:val="center"/>
            <w:hideMark/>
          </w:tcPr>
          <w:p w14:paraId="3C3D9DB6" w14:textId="3F8E765F" w:rsidR="00FE3330" w:rsidRPr="00AE74F3" w:rsidRDefault="00FE3330" w:rsidP="003D2D43">
            <w:pPr>
              <w:pStyle w:val="TableText0"/>
              <w:jc w:val="center"/>
            </w:pPr>
          </w:p>
        </w:tc>
      </w:tr>
      <w:tr w:rsidR="00FE3330" w:rsidRPr="00AE74F3" w14:paraId="41C687CC" w14:textId="77777777" w:rsidTr="00283742">
        <w:tc>
          <w:tcPr>
            <w:tcW w:w="1555" w:type="dxa"/>
            <w:shd w:val="clear" w:color="auto" w:fill="DBE5F1" w:themeFill="accent1" w:themeFillTint="33"/>
            <w:tcMar>
              <w:top w:w="0" w:type="dxa"/>
              <w:left w:w="108" w:type="dxa"/>
              <w:bottom w:w="0" w:type="dxa"/>
              <w:right w:w="108" w:type="dxa"/>
            </w:tcMar>
            <w:vAlign w:val="center"/>
          </w:tcPr>
          <w:p w14:paraId="5ACD437C" w14:textId="77777777" w:rsidR="00FE3330" w:rsidRPr="00AE74F3" w:rsidRDefault="00FE3330" w:rsidP="00CE58B5">
            <w:pPr>
              <w:pStyle w:val="TableText0"/>
            </w:pPr>
            <w:r w:rsidRPr="00AE74F3">
              <w:t>ASCLEPIOS I</w:t>
            </w:r>
          </w:p>
        </w:tc>
        <w:tc>
          <w:tcPr>
            <w:tcW w:w="1275" w:type="dxa"/>
            <w:shd w:val="clear" w:color="auto" w:fill="DBE5F1" w:themeFill="accent1" w:themeFillTint="33"/>
            <w:tcMar>
              <w:top w:w="0" w:type="dxa"/>
              <w:left w:w="108" w:type="dxa"/>
              <w:bottom w:w="0" w:type="dxa"/>
              <w:right w:w="108" w:type="dxa"/>
            </w:tcMar>
            <w:vAlign w:val="center"/>
          </w:tcPr>
          <w:p w14:paraId="0FA2C717" w14:textId="77777777" w:rsidR="00FE3330" w:rsidRPr="00AE74F3" w:rsidRDefault="00FE3330" w:rsidP="003D2D43">
            <w:pPr>
              <w:pStyle w:val="TableText0"/>
              <w:jc w:val="center"/>
            </w:pPr>
            <w:r w:rsidRPr="00AE74F3">
              <w:t>35/465 (7.5)</w:t>
            </w:r>
          </w:p>
        </w:tc>
        <w:tc>
          <w:tcPr>
            <w:tcW w:w="1418" w:type="dxa"/>
            <w:shd w:val="clear" w:color="auto" w:fill="DBE5F1" w:themeFill="accent1" w:themeFillTint="33"/>
            <w:tcMar>
              <w:top w:w="0" w:type="dxa"/>
              <w:left w:w="108" w:type="dxa"/>
              <w:bottom w:w="0" w:type="dxa"/>
              <w:right w:w="108" w:type="dxa"/>
            </w:tcMar>
            <w:vAlign w:val="center"/>
          </w:tcPr>
          <w:p w14:paraId="72BC6511" w14:textId="77777777" w:rsidR="00FE3330" w:rsidRPr="00AE74F3" w:rsidRDefault="00FE3330" w:rsidP="003D2D43">
            <w:pPr>
              <w:pStyle w:val="TableText0"/>
              <w:jc w:val="center"/>
            </w:pPr>
            <w:r w:rsidRPr="00AE74F3">
              <w:t>53/459 (11.5)</w:t>
            </w:r>
          </w:p>
        </w:tc>
        <w:tc>
          <w:tcPr>
            <w:tcW w:w="1134" w:type="dxa"/>
            <w:shd w:val="clear" w:color="auto" w:fill="DBE5F1" w:themeFill="accent1" w:themeFillTint="33"/>
            <w:tcMar>
              <w:top w:w="0" w:type="dxa"/>
              <w:left w:w="108" w:type="dxa"/>
              <w:bottom w:w="0" w:type="dxa"/>
              <w:right w:w="108" w:type="dxa"/>
            </w:tcMar>
            <w:vAlign w:val="center"/>
          </w:tcPr>
          <w:p w14:paraId="407E215B" w14:textId="77777777" w:rsidR="00FE3330" w:rsidRPr="00AE74F3" w:rsidRDefault="00FE3330" w:rsidP="003D2D43">
            <w:pPr>
              <w:pStyle w:val="TableText0"/>
              <w:jc w:val="center"/>
            </w:pPr>
            <w:r w:rsidRPr="00AE74F3">
              <w:t>-</w:t>
            </w:r>
          </w:p>
        </w:tc>
        <w:tc>
          <w:tcPr>
            <w:tcW w:w="1276" w:type="dxa"/>
            <w:shd w:val="clear" w:color="auto" w:fill="DBE5F1" w:themeFill="accent1" w:themeFillTint="33"/>
            <w:vAlign w:val="center"/>
          </w:tcPr>
          <w:p w14:paraId="6BC0EDCF" w14:textId="1ECEFCDF" w:rsidR="00FE3330" w:rsidRPr="00AE74F3" w:rsidRDefault="00FE3330" w:rsidP="003D2D43">
            <w:pPr>
              <w:pStyle w:val="TableText0"/>
              <w:jc w:val="center"/>
            </w:pPr>
            <w:r w:rsidRPr="00AE74F3">
              <w:t>-</w:t>
            </w:r>
          </w:p>
        </w:tc>
        <w:tc>
          <w:tcPr>
            <w:tcW w:w="2551" w:type="dxa"/>
            <w:shd w:val="clear" w:color="auto" w:fill="DBE5F1" w:themeFill="accent1" w:themeFillTint="33"/>
            <w:tcMar>
              <w:top w:w="0" w:type="dxa"/>
              <w:left w:w="108" w:type="dxa"/>
              <w:bottom w:w="0" w:type="dxa"/>
              <w:right w:w="108" w:type="dxa"/>
            </w:tcMar>
            <w:vAlign w:val="center"/>
          </w:tcPr>
          <w:p w14:paraId="41D2745A" w14:textId="39E39B13" w:rsidR="00FE3330" w:rsidRPr="00AE74F3" w:rsidRDefault="00FE3330" w:rsidP="003D2D43">
            <w:pPr>
              <w:pStyle w:val="TableText0"/>
              <w:jc w:val="center"/>
            </w:pPr>
            <w:r w:rsidRPr="00AE74F3">
              <w:t>0.607 (0.396, 0.930); 0.022</w:t>
            </w:r>
          </w:p>
        </w:tc>
      </w:tr>
      <w:tr w:rsidR="00FE3330" w:rsidRPr="00AE74F3" w14:paraId="50E2CB5E" w14:textId="77777777" w:rsidTr="00283742">
        <w:tc>
          <w:tcPr>
            <w:tcW w:w="1555" w:type="dxa"/>
            <w:shd w:val="clear" w:color="auto" w:fill="DBE5F1" w:themeFill="accent1" w:themeFillTint="33"/>
            <w:tcMar>
              <w:top w:w="0" w:type="dxa"/>
              <w:left w:w="108" w:type="dxa"/>
              <w:bottom w:w="0" w:type="dxa"/>
              <w:right w:w="108" w:type="dxa"/>
            </w:tcMar>
            <w:vAlign w:val="center"/>
          </w:tcPr>
          <w:p w14:paraId="7854748C" w14:textId="77777777" w:rsidR="00FE3330" w:rsidRPr="00AE74F3" w:rsidRDefault="00FE3330" w:rsidP="00CE58B5">
            <w:pPr>
              <w:pStyle w:val="TableText0"/>
            </w:pPr>
            <w:r w:rsidRPr="00AE74F3">
              <w:t>ASCLEPIOS II</w:t>
            </w:r>
          </w:p>
        </w:tc>
        <w:tc>
          <w:tcPr>
            <w:tcW w:w="1275" w:type="dxa"/>
            <w:shd w:val="clear" w:color="auto" w:fill="DBE5F1" w:themeFill="accent1" w:themeFillTint="33"/>
            <w:tcMar>
              <w:top w:w="0" w:type="dxa"/>
              <w:left w:w="108" w:type="dxa"/>
              <w:bottom w:w="0" w:type="dxa"/>
              <w:right w:w="108" w:type="dxa"/>
            </w:tcMar>
            <w:vAlign w:val="center"/>
          </w:tcPr>
          <w:p w14:paraId="5B081E16" w14:textId="77777777" w:rsidR="00FE3330" w:rsidRPr="00AE74F3" w:rsidRDefault="00FE3330" w:rsidP="003D2D43">
            <w:pPr>
              <w:pStyle w:val="TableText0"/>
              <w:jc w:val="center"/>
            </w:pPr>
            <w:r w:rsidRPr="00AE74F3">
              <w:t>36/479 (7.5)</w:t>
            </w:r>
          </w:p>
        </w:tc>
        <w:tc>
          <w:tcPr>
            <w:tcW w:w="1418" w:type="dxa"/>
            <w:shd w:val="clear" w:color="auto" w:fill="DBE5F1" w:themeFill="accent1" w:themeFillTint="33"/>
            <w:tcMar>
              <w:top w:w="0" w:type="dxa"/>
              <w:left w:w="108" w:type="dxa"/>
              <w:bottom w:w="0" w:type="dxa"/>
              <w:right w:w="108" w:type="dxa"/>
            </w:tcMar>
            <w:vAlign w:val="center"/>
          </w:tcPr>
          <w:p w14:paraId="61771C50" w14:textId="77777777" w:rsidR="00FE3330" w:rsidRPr="00AE74F3" w:rsidRDefault="00FE3330" w:rsidP="003D2D43">
            <w:pPr>
              <w:pStyle w:val="TableText0"/>
              <w:jc w:val="center"/>
            </w:pPr>
            <w:r w:rsidRPr="00AE74F3">
              <w:t>46/472 (9.7)</w:t>
            </w:r>
          </w:p>
        </w:tc>
        <w:tc>
          <w:tcPr>
            <w:tcW w:w="1134" w:type="dxa"/>
            <w:shd w:val="clear" w:color="auto" w:fill="DBE5F1" w:themeFill="accent1" w:themeFillTint="33"/>
            <w:tcMar>
              <w:top w:w="0" w:type="dxa"/>
              <w:left w:w="108" w:type="dxa"/>
              <w:bottom w:w="0" w:type="dxa"/>
              <w:right w:w="108" w:type="dxa"/>
            </w:tcMar>
            <w:vAlign w:val="center"/>
          </w:tcPr>
          <w:p w14:paraId="31861F9A" w14:textId="77777777" w:rsidR="00FE3330" w:rsidRPr="00AE74F3" w:rsidRDefault="00FE3330" w:rsidP="003D2D43">
            <w:pPr>
              <w:pStyle w:val="TableText0"/>
              <w:jc w:val="center"/>
            </w:pPr>
            <w:r w:rsidRPr="00AE74F3">
              <w:t>-</w:t>
            </w:r>
          </w:p>
        </w:tc>
        <w:tc>
          <w:tcPr>
            <w:tcW w:w="1276" w:type="dxa"/>
            <w:shd w:val="clear" w:color="auto" w:fill="DBE5F1" w:themeFill="accent1" w:themeFillTint="33"/>
            <w:vAlign w:val="center"/>
          </w:tcPr>
          <w:p w14:paraId="443A64AA" w14:textId="28389C40" w:rsidR="00FE3330" w:rsidRPr="00AE74F3" w:rsidRDefault="00FE3330" w:rsidP="003D2D43">
            <w:pPr>
              <w:pStyle w:val="TableText0"/>
              <w:jc w:val="center"/>
            </w:pPr>
            <w:r w:rsidRPr="00AE74F3">
              <w:t>-</w:t>
            </w:r>
          </w:p>
        </w:tc>
        <w:tc>
          <w:tcPr>
            <w:tcW w:w="2551" w:type="dxa"/>
            <w:shd w:val="clear" w:color="auto" w:fill="DBE5F1" w:themeFill="accent1" w:themeFillTint="33"/>
            <w:tcMar>
              <w:top w:w="0" w:type="dxa"/>
              <w:left w:w="108" w:type="dxa"/>
              <w:bottom w:w="0" w:type="dxa"/>
              <w:right w:w="108" w:type="dxa"/>
            </w:tcMar>
            <w:vAlign w:val="center"/>
          </w:tcPr>
          <w:p w14:paraId="01771810" w14:textId="249D5E61" w:rsidR="00FE3330" w:rsidRPr="00AE74F3" w:rsidRDefault="00FE3330" w:rsidP="003D2D43">
            <w:pPr>
              <w:pStyle w:val="TableText0"/>
              <w:jc w:val="center"/>
            </w:pPr>
            <w:r w:rsidRPr="00AE74F3">
              <w:t>0.756 (0.489, 1.170); 0.209</w:t>
            </w:r>
          </w:p>
        </w:tc>
      </w:tr>
      <w:tr w:rsidR="00FE3330" w:rsidRPr="00AE74F3" w14:paraId="0A3103BB" w14:textId="77777777" w:rsidTr="00283742">
        <w:tc>
          <w:tcPr>
            <w:tcW w:w="1555" w:type="dxa"/>
            <w:shd w:val="clear" w:color="auto" w:fill="DBE5F1" w:themeFill="accent1" w:themeFillTint="33"/>
            <w:tcMar>
              <w:top w:w="0" w:type="dxa"/>
              <w:left w:w="108" w:type="dxa"/>
              <w:bottom w:w="0" w:type="dxa"/>
              <w:right w:w="108" w:type="dxa"/>
            </w:tcMar>
            <w:vAlign w:val="center"/>
          </w:tcPr>
          <w:p w14:paraId="27A0BFC6" w14:textId="77777777" w:rsidR="00FE3330" w:rsidRPr="00AE74F3" w:rsidRDefault="00FE3330" w:rsidP="00CE58B5">
            <w:pPr>
              <w:pStyle w:val="TableText0"/>
            </w:pPr>
            <w:r w:rsidRPr="00AE74F3">
              <w:t>ASCLEPIOS I/II pooled</w:t>
            </w:r>
          </w:p>
        </w:tc>
        <w:tc>
          <w:tcPr>
            <w:tcW w:w="1275" w:type="dxa"/>
            <w:shd w:val="clear" w:color="auto" w:fill="DBE5F1" w:themeFill="accent1" w:themeFillTint="33"/>
            <w:tcMar>
              <w:top w:w="0" w:type="dxa"/>
              <w:left w:w="108" w:type="dxa"/>
              <w:bottom w:w="0" w:type="dxa"/>
              <w:right w:w="108" w:type="dxa"/>
            </w:tcMar>
            <w:vAlign w:val="center"/>
          </w:tcPr>
          <w:p w14:paraId="5CE9E013" w14:textId="77777777" w:rsidR="00FE3330" w:rsidRPr="00AE74F3" w:rsidRDefault="00FE3330" w:rsidP="003D2D43">
            <w:pPr>
              <w:pStyle w:val="TableText0"/>
              <w:jc w:val="center"/>
            </w:pPr>
            <w:r w:rsidRPr="00AE74F3">
              <w:t>71/944 (7.5)</w:t>
            </w:r>
          </w:p>
        </w:tc>
        <w:tc>
          <w:tcPr>
            <w:tcW w:w="1418" w:type="dxa"/>
            <w:shd w:val="clear" w:color="auto" w:fill="DBE5F1" w:themeFill="accent1" w:themeFillTint="33"/>
            <w:tcMar>
              <w:top w:w="0" w:type="dxa"/>
              <w:left w:w="108" w:type="dxa"/>
              <w:bottom w:w="0" w:type="dxa"/>
              <w:right w:w="108" w:type="dxa"/>
            </w:tcMar>
            <w:vAlign w:val="center"/>
          </w:tcPr>
          <w:p w14:paraId="13462E3E" w14:textId="77777777" w:rsidR="00FE3330" w:rsidRPr="00AE74F3" w:rsidRDefault="00FE3330" w:rsidP="003D2D43">
            <w:pPr>
              <w:pStyle w:val="TableText0"/>
              <w:jc w:val="center"/>
            </w:pPr>
            <w:r w:rsidRPr="00AE74F3">
              <w:t>99/931 (10.6)</w:t>
            </w:r>
          </w:p>
        </w:tc>
        <w:tc>
          <w:tcPr>
            <w:tcW w:w="1134" w:type="dxa"/>
            <w:shd w:val="clear" w:color="auto" w:fill="DBE5F1" w:themeFill="accent1" w:themeFillTint="33"/>
            <w:tcMar>
              <w:top w:w="0" w:type="dxa"/>
              <w:left w:w="108" w:type="dxa"/>
              <w:bottom w:w="0" w:type="dxa"/>
              <w:right w:w="108" w:type="dxa"/>
            </w:tcMar>
            <w:vAlign w:val="center"/>
          </w:tcPr>
          <w:p w14:paraId="0668C53D" w14:textId="77777777" w:rsidR="00FE3330" w:rsidRPr="00AE74F3" w:rsidRDefault="00FE3330" w:rsidP="003D2D43">
            <w:pPr>
              <w:pStyle w:val="TableText0"/>
              <w:jc w:val="center"/>
            </w:pPr>
            <w:r w:rsidRPr="00AE74F3">
              <w:t>-</w:t>
            </w:r>
          </w:p>
        </w:tc>
        <w:tc>
          <w:tcPr>
            <w:tcW w:w="1276" w:type="dxa"/>
            <w:shd w:val="clear" w:color="auto" w:fill="DBE5F1" w:themeFill="accent1" w:themeFillTint="33"/>
            <w:vAlign w:val="center"/>
          </w:tcPr>
          <w:p w14:paraId="586C66D8" w14:textId="336797D5" w:rsidR="00FE3330" w:rsidRPr="00AE74F3" w:rsidRDefault="00FE3330" w:rsidP="003D2D43">
            <w:pPr>
              <w:pStyle w:val="TableText0"/>
              <w:jc w:val="center"/>
            </w:pPr>
            <w:r w:rsidRPr="00AE74F3">
              <w:t>-</w:t>
            </w:r>
          </w:p>
        </w:tc>
        <w:tc>
          <w:tcPr>
            <w:tcW w:w="2551" w:type="dxa"/>
            <w:shd w:val="clear" w:color="auto" w:fill="DBE5F1" w:themeFill="accent1" w:themeFillTint="33"/>
            <w:tcMar>
              <w:top w:w="0" w:type="dxa"/>
              <w:left w:w="108" w:type="dxa"/>
              <w:bottom w:w="0" w:type="dxa"/>
              <w:right w:w="108" w:type="dxa"/>
            </w:tcMar>
            <w:vAlign w:val="center"/>
          </w:tcPr>
          <w:p w14:paraId="7C6357EC" w14:textId="0F054673" w:rsidR="00FE3330" w:rsidRPr="00AE74F3" w:rsidRDefault="00FE3330" w:rsidP="003D2D43">
            <w:pPr>
              <w:pStyle w:val="TableText0"/>
              <w:jc w:val="center"/>
            </w:pPr>
            <w:r w:rsidRPr="00AE74F3">
              <w:t>0.675 (0.498, 0.916);0.012</w:t>
            </w:r>
          </w:p>
        </w:tc>
      </w:tr>
      <w:tr w:rsidR="00FE3330" w:rsidRPr="00AE74F3" w14:paraId="7BE731CC" w14:textId="77777777" w:rsidTr="00283742">
        <w:tc>
          <w:tcPr>
            <w:tcW w:w="1555" w:type="dxa"/>
            <w:tcMar>
              <w:top w:w="0" w:type="dxa"/>
              <w:left w:w="108" w:type="dxa"/>
              <w:bottom w:w="0" w:type="dxa"/>
              <w:right w:w="108" w:type="dxa"/>
            </w:tcMar>
            <w:vAlign w:val="center"/>
          </w:tcPr>
          <w:p w14:paraId="1568CE50" w14:textId="77777777" w:rsidR="00FE3330" w:rsidRPr="00AE74F3" w:rsidRDefault="00FE3330" w:rsidP="00CE58B5">
            <w:pPr>
              <w:pStyle w:val="TableText0"/>
            </w:pPr>
            <w:r w:rsidRPr="00AE74F3">
              <w:t>TEMSO</w:t>
            </w:r>
          </w:p>
        </w:tc>
        <w:tc>
          <w:tcPr>
            <w:tcW w:w="1275" w:type="dxa"/>
            <w:tcMar>
              <w:top w:w="0" w:type="dxa"/>
              <w:left w:w="108" w:type="dxa"/>
              <w:bottom w:w="0" w:type="dxa"/>
              <w:right w:w="108" w:type="dxa"/>
            </w:tcMar>
            <w:vAlign w:val="center"/>
          </w:tcPr>
          <w:p w14:paraId="70BFA16F" w14:textId="77777777" w:rsidR="00FE3330" w:rsidRPr="00AE74F3" w:rsidRDefault="00FE3330" w:rsidP="003D2D43">
            <w:pPr>
              <w:pStyle w:val="TableText0"/>
              <w:jc w:val="center"/>
            </w:pPr>
            <w:r w:rsidRPr="00AE74F3">
              <w:t>-</w:t>
            </w:r>
          </w:p>
        </w:tc>
        <w:tc>
          <w:tcPr>
            <w:tcW w:w="1418" w:type="dxa"/>
            <w:tcMar>
              <w:top w:w="0" w:type="dxa"/>
              <w:left w:w="108" w:type="dxa"/>
              <w:bottom w:w="0" w:type="dxa"/>
              <w:right w:w="108" w:type="dxa"/>
            </w:tcMar>
            <w:vAlign w:val="center"/>
          </w:tcPr>
          <w:p w14:paraId="02A11F61" w14:textId="77777777" w:rsidR="00FE3330" w:rsidRPr="00AE74F3" w:rsidRDefault="00FE3330" w:rsidP="003D2D43">
            <w:pPr>
              <w:pStyle w:val="TableText0"/>
              <w:jc w:val="center"/>
            </w:pPr>
            <w:r w:rsidRPr="00AE74F3">
              <w:t>NR</w:t>
            </w:r>
          </w:p>
        </w:tc>
        <w:tc>
          <w:tcPr>
            <w:tcW w:w="1134" w:type="dxa"/>
            <w:tcMar>
              <w:top w:w="0" w:type="dxa"/>
              <w:left w:w="108" w:type="dxa"/>
              <w:bottom w:w="0" w:type="dxa"/>
              <w:right w:w="108" w:type="dxa"/>
            </w:tcMar>
            <w:vAlign w:val="center"/>
          </w:tcPr>
          <w:p w14:paraId="7A3D900C" w14:textId="77777777" w:rsidR="00FE3330" w:rsidRPr="00AE74F3" w:rsidRDefault="00FE3330" w:rsidP="003D2D43">
            <w:pPr>
              <w:pStyle w:val="TableText0"/>
              <w:jc w:val="center"/>
            </w:pPr>
            <w:r w:rsidRPr="00AE74F3">
              <w:t>NR</w:t>
            </w:r>
          </w:p>
        </w:tc>
        <w:tc>
          <w:tcPr>
            <w:tcW w:w="1276" w:type="dxa"/>
            <w:vAlign w:val="center"/>
          </w:tcPr>
          <w:p w14:paraId="1B5D4700" w14:textId="2C46CE5D" w:rsidR="00FE3330" w:rsidRPr="00AE74F3" w:rsidRDefault="00FE3330" w:rsidP="003D2D43">
            <w:pPr>
              <w:pStyle w:val="TableText0"/>
              <w:jc w:val="center"/>
            </w:pPr>
            <w:r w:rsidRPr="00AE74F3">
              <w:t>-</w:t>
            </w:r>
          </w:p>
        </w:tc>
        <w:tc>
          <w:tcPr>
            <w:tcW w:w="2551" w:type="dxa"/>
            <w:tcMar>
              <w:top w:w="0" w:type="dxa"/>
              <w:left w:w="108" w:type="dxa"/>
              <w:bottom w:w="0" w:type="dxa"/>
              <w:right w:w="108" w:type="dxa"/>
            </w:tcMar>
            <w:vAlign w:val="center"/>
          </w:tcPr>
          <w:p w14:paraId="26CC04F7" w14:textId="47E0EFD3" w:rsidR="00FE3330" w:rsidRPr="00AE74F3" w:rsidRDefault="00FE3330" w:rsidP="003D2D43">
            <w:pPr>
              <w:pStyle w:val="TableText0"/>
              <w:jc w:val="center"/>
            </w:pPr>
            <w:r w:rsidRPr="00AE74F3">
              <w:t>NE</w:t>
            </w:r>
          </w:p>
        </w:tc>
      </w:tr>
      <w:tr w:rsidR="00FE3330" w:rsidRPr="00AE74F3" w14:paraId="1500C6D9" w14:textId="77777777" w:rsidTr="00283742">
        <w:tc>
          <w:tcPr>
            <w:tcW w:w="1555" w:type="dxa"/>
            <w:tcMar>
              <w:top w:w="0" w:type="dxa"/>
              <w:left w:w="108" w:type="dxa"/>
              <w:bottom w:w="0" w:type="dxa"/>
              <w:right w:w="108" w:type="dxa"/>
            </w:tcMar>
            <w:vAlign w:val="center"/>
          </w:tcPr>
          <w:p w14:paraId="6F6E568B" w14:textId="77777777" w:rsidR="00FE3330" w:rsidRPr="00AE74F3" w:rsidRDefault="00FE3330" w:rsidP="00CE58B5">
            <w:pPr>
              <w:pStyle w:val="TableText0"/>
            </w:pPr>
            <w:r w:rsidRPr="00AE74F3">
              <w:t>TOWER</w:t>
            </w:r>
          </w:p>
        </w:tc>
        <w:tc>
          <w:tcPr>
            <w:tcW w:w="1275" w:type="dxa"/>
            <w:tcMar>
              <w:top w:w="0" w:type="dxa"/>
              <w:left w:w="108" w:type="dxa"/>
              <w:bottom w:w="0" w:type="dxa"/>
              <w:right w:w="108" w:type="dxa"/>
            </w:tcMar>
            <w:vAlign w:val="center"/>
          </w:tcPr>
          <w:p w14:paraId="76FB0103" w14:textId="77777777" w:rsidR="00FE3330" w:rsidRPr="00AE74F3" w:rsidRDefault="00FE3330" w:rsidP="003D2D43">
            <w:pPr>
              <w:pStyle w:val="TableText0"/>
              <w:jc w:val="center"/>
            </w:pPr>
            <w:r w:rsidRPr="00AE74F3">
              <w:t>-</w:t>
            </w:r>
          </w:p>
        </w:tc>
        <w:tc>
          <w:tcPr>
            <w:tcW w:w="1418" w:type="dxa"/>
            <w:tcMar>
              <w:top w:w="0" w:type="dxa"/>
              <w:left w:w="108" w:type="dxa"/>
              <w:bottom w:w="0" w:type="dxa"/>
              <w:right w:w="108" w:type="dxa"/>
            </w:tcMar>
            <w:vAlign w:val="center"/>
          </w:tcPr>
          <w:p w14:paraId="1662CD4C" w14:textId="77777777" w:rsidR="00FE3330" w:rsidRPr="00AE74F3" w:rsidRDefault="00FE3330" w:rsidP="003D2D43">
            <w:pPr>
              <w:pStyle w:val="TableText0"/>
              <w:jc w:val="center"/>
            </w:pPr>
            <w:r w:rsidRPr="00AE74F3">
              <w:t>NR</w:t>
            </w:r>
          </w:p>
        </w:tc>
        <w:tc>
          <w:tcPr>
            <w:tcW w:w="1134" w:type="dxa"/>
            <w:tcMar>
              <w:top w:w="0" w:type="dxa"/>
              <w:left w:w="108" w:type="dxa"/>
              <w:bottom w:w="0" w:type="dxa"/>
              <w:right w:w="108" w:type="dxa"/>
            </w:tcMar>
            <w:vAlign w:val="center"/>
          </w:tcPr>
          <w:p w14:paraId="676AA42A" w14:textId="77777777" w:rsidR="00FE3330" w:rsidRPr="00AE74F3" w:rsidRDefault="00FE3330" w:rsidP="003D2D43">
            <w:pPr>
              <w:pStyle w:val="TableText0"/>
              <w:jc w:val="center"/>
            </w:pPr>
            <w:r w:rsidRPr="00AE74F3">
              <w:t>NR</w:t>
            </w:r>
          </w:p>
        </w:tc>
        <w:tc>
          <w:tcPr>
            <w:tcW w:w="1276" w:type="dxa"/>
            <w:vAlign w:val="center"/>
          </w:tcPr>
          <w:p w14:paraId="71EC286C" w14:textId="6CFC75F9" w:rsidR="00FE3330" w:rsidRPr="00AE74F3" w:rsidRDefault="00FE3330" w:rsidP="003D2D43">
            <w:pPr>
              <w:pStyle w:val="TableText0"/>
              <w:jc w:val="center"/>
            </w:pPr>
            <w:r w:rsidRPr="00AE74F3">
              <w:t>-</w:t>
            </w:r>
          </w:p>
        </w:tc>
        <w:tc>
          <w:tcPr>
            <w:tcW w:w="2551" w:type="dxa"/>
            <w:tcMar>
              <w:top w:w="0" w:type="dxa"/>
              <w:left w:w="108" w:type="dxa"/>
              <w:bottom w:w="0" w:type="dxa"/>
              <w:right w:w="108" w:type="dxa"/>
            </w:tcMar>
            <w:vAlign w:val="center"/>
          </w:tcPr>
          <w:p w14:paraId="0128CB02" w14:textId="1CF158E6" w:rsidR="00FE3330" w:rsidRPr="00AE74F3" w:rsidRDefault="00FE3330" w:rsidP="003D2D43">
            <w:pPr>
              <w:pStyle w:val="TableText0"/>
              <w:jc w:val="center"/>
            </w:pPr>
            <w:r w:rsidRPr="00AE74F3">
              <w:t>NE</w:t>
            </w:r>
          </w:p>
        </w:tc>
      </w:tr>
      <w:tr w:rsidR="00FE3330" w:rsidRPr="00AE74F3" w14:paraId="3C2CA31A" w14:textId="77777777" w:rsidTr="00283742">
        <w:tc>
          <w:tcPr>
            <w:tcW w:w="1555" w:type="dxa"/>
            <w:tcMar>
              <w:top w:w="0" w:type="dxa"/>
              <w:left w:w="108" w:type="dxa"/>
              <w:bottom w:w="0" w:type="dxa"/>
              <w:right w:w="108" w:type="dxa"/>
            </w:tcMar>
            <w:vAlign w:val="center"/>
          </w:tcPr>
          <w:p w14:paraId="59D9325F" w14:textId="77777777" w:rsidR="00FE3330" w:rsidRPr="00AE74F3" w:rsidRDefault="00FE3330" w:rsidP="00CE58B5">
            <w:pPr>
              <w:pStyle w:val="TableText0"/>
            </w:pPr>
            <w:r w:rsidRPr="00AE74F3">
              <w:t>TEMSO/TOWER meta-analysis</w:t>
            </w:r>
          </w:p>
        </w:tc>
        <w:tc>
          <w:tcPr>
            <w:tcW w:w="1275" w:type="dxa"/>
            <w:tcMar>
              <w:top w:w="0" w:type="dxa"/>
              <w:left w:w="108" w:type="dxa"/>
              <w:bottom w:w="0" w:type="dxa"/>
              <w:right w:w="108" w:type="dxa"/>
            </w:tcMar>
            <w:vAlign w:val="center"/>
          </w:tcPr>
          <w:p w14:paraId="7C6E4D0C" w14:textId="77777777" w:rsidR="00FE3330" w:rsidRPr="00AE74F3" w:rsidRDefault="00FE3330" w:rsidP="003D2D43">
            <w:pPr>
              <w:pStyle w:val="TableText0"/>
              <w:jc w:val="center"/>
            </w:pPr>
            <w:r w:rsidRPr="00AE74F3">
              <w:t>-</w:t>
            </w:r>
          </w:p>
        </w:tc>
        <w:tc>
          <w:tcPr>
            <w:tcW w:w="1418" w:type="dxa"/>
            <w:tcMar>
              <w:top w:w="0" w:type="dxa"/>
              <w:left w:w="108" w:type="dxa"/>
              <w:bottom w:w="0" w:type="dxa"/>
              <w:right w:w="108" w:type="dxa"/>
            </w:tcMar>
            <w:vAlign w:val="center"/>
          </w:tcPr>
          <w:p w14:paraId="2E8EC87C" w14:textId="77777777" w:rsidR="00FE3330" w:rsidRPr="00AE74F3" w:rsidRDefault="00FE3330" w:rsidP="003D2D43">
            <w:pPr>
              <w:pStyle w:val="TableText0"/>
              <w:jc w:val="center"/>
            </w:pPr>
            <w:r w:rsidRPr="00AE74F3">
              <w:t>NR</w:t>
            </w:r>
          </w:p>
        </w:tc>
        <w:tc>
          <w:tcPr>
            <w:tcW w:w="1134" w:type="dxa"/>
            <w:tcMar>
              <w:top w:w="0" w:type="dxa"/>
              <w:left w:w="108" w:type="dxa"/>
              <w:bottom w:w="0" w:type="dxa"/>
              <w:right w:w="108" w:type="dxa"/>
            </w:tcMar>
            <w:vAlign w:val="center"/>
          </w:tcPr>
          <w:p w14:paraId="36AE1217" w14:textId="77777777" w:rsidR="00FE3330" w:rsidRPr="00AE74F3" w:rsidRDefault="00FE3330" w:rsidP="003D2D43">
            <w:pPr>
              <w:pStyle w:val="TableText0"/>
              <w:jc w:val="center"/>
            </w:pPr>
            <w:r w:rsidRPr="00AE74F3">
              <w:t>NR</w:t>
            </w:r>
          </w:p>
        </w:tc>
        <w:tc>
          <w:tcPr>
            <w:tcW w:w="1276" w:type="dxa"/>
            <w:vAlign w:val="center"/>
          </w:tcPr>
          <w:p w14:paraId="02FE86BB" w14:textId="4583D12D" w:rsidR="00FE3330" w:rsidRPr="00AE74F3" w:rsidRDefault="00FE3330" w:rsidP="003D2D43">
            <w:pPr>
              <w:pStyle w:val="TableText0"/>
              <w:jc w:val="center"/>
            </w:pPr>
            <w:r w:rsidRPr="00AE74F3">
              <w:t>-</w:t>
            </w:r>
          </w:p>
        </w:tc>
        <w:tc>
          <w:tcPr>
            <w:tcW w:w="2551" w:type="dxa"/>
            <w:tcMar>
              <w:top w:w="0" w:type="dxa"/>
              <w:left w:w="108" w:type="dxa"/>
              <w:bottom w:w="0" w:type="dxa"/>
              <w:right w:w="108" w:type="dxa"/>
            </w:tcMar>
            <w:vAlign w:val="center"/>
          </w:tcPr>
          <w:p w14:paraId="4EF8DC6A" w14:textId="383C7919" w:rsidR="00FE3330" w:rsidRPr="00AE74F3" w:rsidRDefault="00FE3330" w:rsidP="003D2D43">
            <w:pPr>
              <w:pStyle w:val="TableText0"/>
              <w:jc w:val="center"/>
            </w:pPr>
            <w:r w:rsidRPr="00AE74F3">
              <w:t>NE</w:t>
            </w:r>
          </w:p>
        </w:tc>
      </w:tr>
      <w:tr w:rsidR="00FE3330" w:rsidRPr="00AE74F3" w14:paraId="193D837F" w14:textId="77777777" w:rsidTr="00283742">
        <w:tc>
          <w:tcPr>
            <w:tcW w:w="1555" w:type="dxa"/>
            <w:shd w:val="clear" w:color="auto" w:fill="DBE5F1" w:themeFill="accent1" w:themeFillTint="33"/>
            <w:tcMar>
              <w:top w:w="0" w:type="dxa"/>
              <w:left w:w="108" w:type="dxa"/>
              <w:bottom w:w="0" w:type="dxa"/>
              <w:right w:w="108" w:type="dxa"/>
            </w:tcMar>
            <w:vAlign w:val="center"/>
          </w:tcPr>
          <w:p w14:paraId="16E584CD" w14:textId="3312C781" w:rsidR="00FE3330" w:rsidRPr="00AE74F3" w:rsidRDefault="00FE3330" w:rsidP="00FE3330">
            <w:pPr>
              <w:pStyle w:val="TableText0"/>
            </w:pPr>
            <w:r w:rsidRPr="00AE74F3">
              <w:t>FREEDOMS I</w:t>
            </w:r>
          </w:p>
        </w:tc>
        <w:tc>
          <w:tcPr>
            <w:tcW w:w="1275" w:type="dxa"/>
            <w:shd w:val="clear" w:color="auto" w:fill="DBE5F1" w:themeFill="accent1" w:themeFillTint="33"/>
            <w:tcMar>
              <w:top w:w="0" w:type="dxa"/>
              <w:left w:w="108" w:type="dxa"/>
              <w:bottom w:w="0" w:type="dxa"/>
              <w:right w:w="108" w:type="dxa"/>
            </w:tcMar>
            <w:vAlign w:val="center"/>
          </w:tcPr>
          <w:p w14:paraId="7E247380" w14:textId="262C3418" w:rsidR="00FE3330" w:rsidRPr="00AE74F3" w:rsidRDefault="00FE3330" w:rsidP="003D2D43">
            <w:pPr>
              <w:pStyle w:val="TableText0"/>
              <w:jc w:val="center"/>
            </w:pPr>
            <w:r w:rsidRPr="00AE74F3">
              <w:t>-</w:t>
            </w:r>
          </w:p>
        </w:tc>
        <w:tc>
          <w:tcPr>
            <w:tcW w:w="1418" w:type="dxa"/>
            <w:shd w:val="clear" w:color="auto" w:fill="DBE5F1" w:themeFill="accent1" w:themeFillTint="33"/>
            <w:tcMar>
              <w:top w:w="0" w:type="dxa"/>
              <w:left w:w="108" w:type="dxa"/>
              <w:bottom w:w="0" w:type="dxa"/>
              <w:right w:w="108" w:type="dxa"/>
            </w:tcMar>
            <w:vAlign w:val="center"/>
          </w:tcPr>
          <w:p w14:paraId="576FFD32" w14:textId="328F7B8E" w:rsidR="00FE3330" w:rsidRPr="00AE74F3" w:rsidRDefault="00FE3330" w:rsidP="003D2D43">
            <w:pPr>
              <w:pStyle w:val="TableText0"/>
              <w:jc w:val="center"/>
            </w:pPr>
            <w:r w:rsidRPr="00AE74F3">
              <w:t>-</w:t>
            </w:r>
          </w:p>
        </w:tc>
        <w:tc>
          <w:tcPr>
            <w:tcW w:w="1134" w:type="dxa"/>
            <w:shd w:val="clear" w:color="auto" w:fill="DBE5F1" w:themeFill="accent1" w:themeFillTint="33"/>
            <w:tcMar>
              <w:top w:w="0" w:type="dxa"/>
              <w:left w:w="108" w:type="dxa"/>
              <w:bottom w:w="0" w:type="dxa"/>
              <w:right w:w="108" w:type="dxa"/>
            </w:tcMar>
            <w:vAlign w:val="center"/>
          </w:tcPr>
          <w:p w14:paraId="7E513F34" w14:textId="384F3D59" w:rsidR="00FE3330" w:rsidRPr="00AE74F3" w:rsidRDefault="00FE3330" w:rsidP="003D2D43">
            <w:pPr>
              <w:pStyle w:val="TableText0"/>
              <w:jc w:val="center"/>
            </w:pPr>
            <w:r w:rsidRPr="00AE74F3">
              <w:t>69/415 (16.6)</w:t>
            </w:r>
          </w:p>
        </w:tc>
        <w:tc>
          <w:tcPr>
            <w:tcW w:w="1276" w:type="dxa"/>
            <w:shd w:val="clear" w:color="auto" w:fill="DBE5F1" w:themeFill="accent1" w:themeFillTint="33"/>
            <w:vAlign w:val="center"/>
          </w:tcPr>
          <w:p w14:paraId="0DF29824" w14:textId="52F15546" w:rsidR="00FE3330" w:rsidRPr="00AE74F3" w:rsidRDefault="00FE3330" w:rsidP="003D2D43">
            <w:pPr>
              <w:pStyle w:val="TableText0"/>
              <w:jc w:val="center"/>
            </w:pPr>
            <w:r w:rsidRPr="00AE74F3">
              <w:t>42/421 (10.0)</w:t>
            </w:r>
          </w:p>
        </w:tc>
        <w:tc>
          <w:tcPr>
            <w:tcW w:w="2551" w:type="dxa"/>
            <w:shd w:val="clear" w:color="auto" w:fill="DBE5F1" w:themeFill="accent1" w:themeFillTint="33"/>
            <w:tcMar>
              <w:top w:w="0" w:type="dxa"/>
              <w:left w:w="108" w:type="dxa"/>
              <w:bottom w:w="0" w:type="dxa"/>
              <w:right w:w="108" w:type="dxa"/>
            </w:tcMar>
            <w:vAlign w:val="center"/>
          </w:tcPr>
          <w:p w14:paraId="2EC3666F" w14:textId="551F52B6" w:rsidR="00FE3330" w:rsidRPr="00AE74F3" w:rsidRDefault="00FE3330" w:rsidP="003D2D43">
            <w:pPr>
              <w:pStyle w:val="TableText0"/>
              <w:jc w:val="center"/>
            </w:pPr>
            <w:r w:rsidRPr="00AE74F3">
              <w:t>0.56 (0.38, 0.83); 0.0035</w:t>
            </w:r>
          </w:p>
        </w:tc>
      </w:tr>
      <w:tr w:rsidR="00FE3330" w:rsidRPr="00AE74F3" w14:paraId="15810E29" w14:textId="77777777" w:rsidTr="00283742">
        <w:tc>
          <w:tcPr>
            <w:tcW w:w="1555" w:type="dxa"/>
            <w:shd w:val="clear" w:color="auto" w:fill="DBE5F1" w:themeFill="accent1" w:themeFillTint="33"/>
            <w:tcMar>
              <w:top w:w="0" w:type="dxa"/>
              <w:left w:w="108" w:type="dxa"/>
              <w:bottom w:w="0" w:type="dxa"/>
              <w:right w:w="108" w:type="dxa"/>
            </w:tcMar>
            <w:vAlign w:val="center"/>
          </w:tcPr>
          <w:p w14:paraId="202F3A91" w14:textId="727C5B94" w:rsidR="00FE3330" w:rsidRPr="00AE74F3" w:rsidRDefault="00FE3330" w:rsidP="00FE3330">
            <w:pPr>
              <w:pStyle w:val="TableText0"/>
            </w:pPr>
            <w:r w:rsidRPr="00AE74F3">
              <w:t>FREEDOMS I</w:t>
            </w:r>
          </w:p>
        </w:tc>
        <w:tc>
          <w:tcPr>
            <w:tcW w:w="1275" w:type="dxa"/>
            <w:shd w:val="clear" w:color="auto" w:fill="DBE5F1" w:themeFill="accent1" w:themeFillTint="33"/>
            <w:tcMar>
              <w:top w:w="0" w:type="dxa"/>
              <w:left w:w="108" w:type="dxa"/>
              <w:bottom w:w="0" w:type="dxa"/>
              <w:right w:w="108" w:type="dxa"/>
            </w:tcMar>
            <w:vAlign w:val="center"/>
          </w:tcPr>
          <w:p w14:paraId="4EE69EB9" w14:textId="08D7549E" w:rsidR="00FE3330" w:rsidRPr="00AE74F3" w:rsidRDefault="00FE3330" w:rsidP="003D2D43">
            <w:pPr>
              <w:pStyle w:val="TableText0"/>
              <w:jc w:val="center"/>
            </w:pPr>
            <w:r w:rsidRPr="00AE74F3">
              <w:t>-</w:t>
            </w:r>
          </w:p>
        </w:tc>
        <w:tc>
          <w:tcPr>
            <w:tcW w:w="1418" w:type="dxa"/>
            <w:shd w:val="clear" w:color="auto" w:fill="DBE5F1" w:themeFill="accent1" w:themeFillTint="33"/>
            <w:tcMar>
              <w:top w:w="0" w:type="dxa"/>
              <w:left w:w="108" w:type="dxa"/>
              <w:bottom w:w="0" w:type="dxa"/>
              <w:right w:w="108" w:type="dxa"/>
            </w:tcMar>
            <w:vAlign w:val="center"/>
          </w:tcPr>
          <w:p w14:paraId="0063F514" w14:textId="71CBCD4A" w:rsidR="00FE3330" w:rsidRPr="00AE74F3" w:rsidRDefault="00FE3330" w:rsidP="003D2D43">
            <w:pPr>
              <w:pStyle w:val="TableText0"/>
              <w:jc w:val="center"/>
            </w:pPr>
            <w:r w:rsidRPr="00AE74F3">
              <w:t>-</w:t>
            </w:r>
          </w:p>
        </w:tc>
        <w:tc>
          <w:tcPr>
            <w:tcW w:w="1134" w:type="dxa"/>
            <w:shd w:val="clear" w:color="auto" w:fill="DBE5F1" w:themeFill="accent1" w:themeFillTint="33"/>
            <w:tcMar>
              <w:top w:w="0" w:type="dxa"/>
              <w:left w:w="108" w:type="dxa"/>
              <w:bottom w:w="0" w:type="dxa"/>
              <w:right w:w="108" w:type="dxa"/>
            </w:tcMar>
            <w:vAlign w:val="center"/>
          </w:tcPr>
          <w:p w14:paraId="15BDB9E3" w14:textId="0F614562" w:rsidR="00FE3330" w:rsidRPr="00AE74F3" w:rsidRDefault="00FE3330" w:rsidP="003D2D43">
            <w:pPr>
              <w:pStyle w:val="TableText0"/>
              <w:jc w:val="center"/>
            </w:pPr>
            <w:r w:rsidRPr="00AE74F3">
              <w:t>49/353 (13.9)</w:t>
            </w:r>
          </w:p>
        </w:tc>
        <w:tc>
          <w:tcPr>
            <w:tcW w:w="1276" w:type="dxa"/>
            <w:shd w:val="clear" w:color="auto" w:fill="DBE5F1" w:themeFill="accent1" w:themeFillTint="33"/>
            <w:vAlign w:val="center"/>
          </w:tcPr>
          <w:p w14:paraId="2A910718" w14:textId="21AF8A1C" w:rsidR="00FE3330" w:rsidRPr="00AE74F3" w:rsidRDefault="00FE3330" w:rsidP="003D2D43">
            <w:pPr>
              <w:pStyle w:val="TableText0"/>
              <w:jc w:val="center"/>
            </w:pPr>
            <w:r w:rsidRPr="00AE74F3">
              <w:t>35/357 (9.8)</w:t>
            </w:r>
          </w:p>
        </w:tc>
        <w:tc>
          <w:tcPr>
            <w:tcW w:w="2551" w:type="dxa"/>
            <w:shd w:val="clear" w:color="auto" w:fill="DBE5F1" w:themeFill="accent1" w:themeFillTint="33"/>
            <w:tcMar>
              <w:top w:w="0" w:type="dxa"/>
              <w:left w:w="108" w:type="dxa"/>
              <w:bottom w:w="0" w:type="dxa"/>
              <w:right w:w="108" w:type="dxa"/>
            </w:tcMar>
            <w:vAlign w:val="center"/>
          </w:tcPr>
          <w:p w14:paraId="18C9EC75" w14:textId="2DB4E144" w:rsidR="00FE3330" w:rsidRPr="00AE74F3" w:rsidRDefault="00FE3330" w:rsidP="003D2D43">
            <w:pPr>
              <w:pStyle w:val="TableText0"/>
              <w:jc w:val="center"/>
            </w:pPr>
            <w:r w:rsidRPr="00AE74F3">
              <w:t>0.67 (0.43, 1.03); 0.0671</w:t>
            </w:r>
          </w:p>
        </w:tc>
      </w:tr>
      <w:tr w:rsidR="00FE3330" w:rsidRPr="00AE74F3" w14:paraId="4D12BE6A" w14:textId="77777777" w:rsidTr="00283742">
        <w:tc>
          <w:tcPr>
            <w:tcW w:w="1555" w:type="dxa"/>
            <w:shd w:val="clear" w:color="auto" w:fill="DBE5F1" w:themeFill="accent1" w:themeFillTint="33"/>
            <w:tcMar>
              <w:top w:w="0" w:type="dxa"/>
              <w:left w:w="108" w:type="dxa"/>
              <w:bottom w:w="0" w:type="dxa"/>
              <w:right w:w="108" w:type="dxa"/>
            </w:tcMar>
            <w:vAlign w:val="center"/>
          </w:tcPr>
          <w:p w14:paraId="1BB77058" w14:textId="0243B911" w:rsidR="00FE3330" w:rsidRPr="00AE74F3" w:rsidRDefault="00FE3330" w:rsidP="00FE3330">
            <w:pPr>
              <w:pStyle w:val="TableText0"/>
            </w:pPr>
            <w:r w:rsidRPr="00AE74F3">
              <w:t>FREEDOMS I/II meta-analysis</w:t>
            </w:r>
          </w:p>
        </w:tc>
        <w:tc>
          <w:tcPr>
            <w:tcW w:w="1275" w:type="dxa"/>
            <w:shd w:val="clear" w:color="auto" w:fill="DBE5F1" w:themeFill="accent1" w:themeFillTint="33"/>
            <w:tcMar>
              <w:top w:w="0" w:type="dxa"/>
              <w:left w:w="108" w:type="dxa"/>
              <w:bottom w:w="0" w:type="dxa"/>
              <w:right w:w="108" w:type="dxa"/>
            </w:tcMar>
            <w:vAlign w:val="center"/>
          </w:tcPr>
          <w:p w14:paraId="675DA041" w14:textId="47D5D7FD" w:rsidR="00FE3330" w:rsidRPr="00AE74F3" w:rsidRDefault="00FE3330" w:rsidP="003D2D43">
            <w:pPr>
              <w:pStyle w:val="TableText0"/>
              <w:jc w:val="center"/>
            </w:pPr>
            <w:r w:rsidRPr="00AE74F3">
              <w:t>-</w:t>
            </w:r>
          </w:p>
        </w:tc>
        <w:tc>
          <w:tcPr>
            <w:tcW w:w="1418" w:type="dxa"/>
            <w:shd w:val="clear" w:color="auto" w:fill="DBE5F1" w:themeFill="accent1" w:themeFillTint="33"/>
            <w:tcMar>
              <w:top w:w="0" w:type="dxa"/>
              <w:left w:w="108" w:type="dxa"/>
              <w:bottom w:w="0" w:type="dxa"/>
              <w:right w:w="108" w:type="dxa"/>
            </w:tcMar>
            <w:vAlign w:val="center"/>
          </w:tcPr>
          <w:p w14:paraId="0DD9D7F9" w14:textId="561F8E01" w:rsidR="00FE3330" w:rsidRPr="00AE74F3" w:rsidRDefault="00FE3330" w:rsidP="003D2D43">
            <w:pPr>
              <w:pStyle w:val="TableText0"/>
              <w:jc w:val="center"/>
            </w:pPr>
            <w:r w:rsidRPr="00AE74F3">
              <w:t>-</w:t>
            </w:r>
          </w:p>
        </w:tc>
        <w:tc>
          <w:tcPr>
            <w:tcW w:w="1134" w:type="dxa"/>
            <w:shd w:val="clear" w:color="auto" w:fill="DBE5F1" w:themeFill="accent1" w:themeFillTint="33"/>
            <w:tcMar>
              <w:top w:w="0" w:type="dxa"/>
              <w:left w:w="108" w:type="dxa"/>
              <w:bottom w:w="0" w:type="dxa"/>
              <w:right w:w="108" w:type="dxa"/>
            </w:tcMar>
            <w:vAlign w:val="center"/>
          </w:tcPr>
          <w:p w14:paraId="793F36AF" w14:textId="1397966E" w:rsidR="00FE3330" w:rsidRPr="00AE74F3" w:rsidRDefault="00FE3330" w:rsidP="003D2D43">
            <w:pPr>
              <w:pStyle w:val="TableText0"/>
              <w:jc w:val="center"/>
            </w:pPr>
            <w:r w:rsidRPr="00AE74F3">
              <w:t>-</w:t>
            </w:r>
          </w:p>
        </w:tc>
        <w:tc>
          <w:tcPr>
            <w:tcW w:w="1276" w:type="dxa"/>
            <w:shd w:val="clear" w:color="auto" w:fill="DBE5F1" w:themeFill="accent1" w:themeFillTint="33"/>
            <w:vAlign w:val="center"/>
          </w:tcPr>
          <w:p w14:paraId="0921BF81" w14:textId="3972BA2D" w:rsidR="00FE3330" w:rsidRPr="00AE74F3" w:rsidRDefault="00FE3330" w:rsidP="003D2D43">
            <w:pPr>
              <w:pStyle w:val="TableText0"/>
              <w:jc w:val="center"/>
            </w:pPr>
            <w:r w:rsidRPr="00AE74F3">
              <w:t>-</w:t>
            </w:r>
          </w:p>
        </w:tc>
        <w:tc>
          <w:tcPr>
            <w:tcW w:w="2551" w:type="dxa"/>
            <w:shd w:val="clear" w:color="auto" w:fill="DBE5F1" w:themeFill="accent1" w:themeFillTint="33"/>
            <w:tcMar>
              <w:top w:w="0" w:type="dxa"/>
              <w:left w:w="108" w:type="dxa"/>
              <w:bottom w:w="0" w:type="dxa"/>
              <w:right w:w="108" w:type="dxa"/>
            </w:tcMar>
            <w:vAlign w:val="center"/>
          </w:tcPr>
          <w:p w14:paraId="6EBC68F0" w14:textId="015D1D61" w:rsidR="00FE3330" w:rsidRPr="00AE74F3" w:rsidRDefault="00FE3330" w:rsidP="003D2D43">
            <w:pPr>
              <w:pStyle w:val="TableText0"/>
              <w:jc w:val="center"/>
            </w:pPr>
            <w:r w:rsidRPr="00AE74F3">
              <w:t>0.61 (0.45, 0.81); 0.0007</w:t>
            </w:r>
          </w:p>
        </w:tc>
      </w:tr>
      <w:tr w:rsidR="00FE3330" w:rsidRPr="00AE74F3" w14:paraId="6D0F1F24" w14:textId="77777777" w:rsidTr="00283742">
        <w:tc>
          <w:tcPr>
            <w:tcW w:w="5382" w:type="dxa"/>
            <w:gridSpan w:val="4"/>
            <w:tcMar>
              <w:top w:w="0" w:type="dxa"/>
              <w:left w:w="108" w:type="dxa"/>
              <w:bottom w:w="0" w:type="dxa"/>
              <w:right w:w="108" w:type="dxa"/>
            </w:tcMar>
            <w:vAlign w:val="center"/>
            <w:hideMark/>
          </w:tcPr>
          <w:p w14:paraId="1779F90F" w14:textId="466E5BC8" w:rsidR="00FE3330" w:rsidRPr="00AE74F3" w:rsidRDefault="00FE3330" w:rsidP="00FE3330">
            <w:pPr>
              <w:pStyle w:val="TableText0"/>
            </w:pPr>
            <w:r w:rsidRPr="00AE74F3">
              <w:t xml:space="preserve">Indirect comparison </w:t>
            </w:r>
            <w:r w:rsidR="003D2D43" w:rsidRPr="00AE74F3">
              <w:t>(Ofatumumab vs fingolimod)</w:t>
            </w:r>
          </w:p>
        </w:tc>
        <w:tc>
          <w:tcPr>
            <w:tcW w:w="1276" w:type="dxa"/>
          </w:tcPr>
          <w:p w14:paraId="57E1D53E" w14:textId="77777777" w:rsidR="00FE3330" w:rsidRPr="00AE74F3" w:rsidRDefault="00FE3330" w:rsidP="00FE3330">
            <w:pPr>
              <w:pStyle w:val="TableText0"/>
              <w:jc w:val="center"/>
            </w:pPr>
          </w:p>
        </w:tc>
        <w:tc>
          <w:tcPr>
            <w:tcW w:w="2551" w:type="dxa"/>
            <w:tcMar>
              <w:top w:w="0" w:type="dxa"/>
              <w:left w:w="108" w:type="dxa"/>
              <w:bottom w:w="0" w:type="dxa"/>
              <w:right w:w="108" w:type="dxa"/>
            </w:tcMar>
          </w:tcPr>
          <w:p w14:paraId="3D547B68" w14:textId="10EC64C0" w:rsidR="00FE3330" w:rsidRPr="00AE74F3" w:rsidRDefault="00FE3330" w:rsidP="00FE3330">
            <w:pPr>
              <w:pStyle w:val="TableText0"/>
              <w:jc w:val="center"/>
            </w:pPr>
            <w:r w:rsidRPr="00AE74F3">
              <w:t>NE</w:t>
            </w:r>
          </w:p>
        </w:tc>
      </w:tr>
    </w:tbl>
    <w:p w14:paraId="782AAA86" w14:textId="77777777" w:rsidR="008600A3" w:rsidRPr="00AE74F3" w:rsidRDefault="008600A3" w:rsidP="008600A3">
      <w:pPr>
        <w:pStyle w:val="FooterTableFigure"/>
      </w:pPr>
      <w:r w:rsidRPr="00AE74F3">
        <w:t>6mCDP = confirmed disability progression at 6 months; CI = confidence interval; HR = hazard ratio; ITC = indirect treatment comparison; n = number of subjects with event; N = number of subjects in the analysis; NE = not estimable; NR = not reported.</w:t>
      </w:r>
    </w:p>
    <w:p w14:paraId="17DCE007" w14:textId="77777777" w:rsidR="008600A3" w:rsidRPr="00AE74F3" w:rsidRDefault="008600A3" w:rsidP="008600A3">
      <w:pPr>
        <w:pStyle w:val="FooterTableFigure"/>
      </w:pPr>
      <w:r w:rsidRPr="00AE74F3">
        <w:t>Blue shading indicates values previously considered by the PBAC.</w:t>
      </w:r>
    </w:p>
    <w:p w14:paraId="0F8B1E13" w14:textId="15F33FBE" w:rsidR="008600A3" w:rsidRPr="00AE74F3" w:rsidRDefault="008600A3" w:rsidP="008600A3">
      <w:pPr>
        <w:pStyle w:val="FooterTableFigure"/>
      </w:pPr>
      <w:r w:rsidRPr="00AE74F3">
        <w:t xml:space="preserve">Source: Tables 40, </w:t>
      </w:r>
      <w:r w:rsidR="00FE3330" w:rsidRPr="00AE74F3">
        <w:t xml:space="preserve">43, </w:t>
      </w:r>
      <w:r w:rsidRPr="00AE74F3">
        <w:t xml:space="preserve">51, </w:t>
      </w:r>
      <w:r w:rsidR="00FE3330" w:rsidRPr="00AE74F3">
        <w:t xml:space="preserve">,52 </w:t>
      </w:r>
      <w:r w:rsidRPr="00AE74F3">
        <w:t xml:space="preserve">pp 96, </w:t>
      </w:r>
      <w:r w:rsidR="00FE3330" w:rsidRPr="00AE74F3">
        <w:t xml:space="preserve">98, </w:t>
      </w:r>
      <w:r w:rsidRPr="00AE74F3">
        <w:t xml:space="preserve">100, </w:t>
      </w:r>
      <w:r w:rsidR="00FE3330" w:rsidRPr="00AE74F3">
        <w:t xml:space="preserve">and </w:t>
      </w:r>
      <w:r w:rsidRPr="00AE74F3">
        <w:t xml:space="preserve">109 </w:t>
      </w:r>
      <w:r w:rsidR="00FE3330" w:rsidRPr="00AE74F3">
        <w:t>of the submission.</w:t>
      </w:r>
    </w:p>
    <w:p w14:paraId="3AF02BA4" w14:textId="22DC2FA2" w:rsidR="00796D83" w:rsidRPr="00AE74F3" w:rsidRDefault="00796D83" w:rsidP="00796D83">
      <w:pPr>
        <w:pStyle w:val="3-BodyText"/>
      </w:pPr>
      <w:r w:rsidRPr="00AE74F3">
        <w:t xml:space="preserve">Though not presented in the current submission, the March 2021 ofatumumab submission also presented the outcomes for proportion (%) relapse free </w:t>
      </w:r>
      <w:r w:rsidR="00727AFD">
        <w:t xml:space="preserve">for ofatumumab versus fingolimod </w:t>
      </w:r>
      <w:r w:rsidRPr="00AE74F3">
        <w:t xml:space="preserve">(OR 1.498, 95% CI: 0.973, 2.306; p-value = 0.0667) which did not support </w:t>
      </w:r>
      <w:r w:rsidR="00727AFD">
        <w:t>the</w:t>
      </w:r>
      <w:r w:rsidRPr="00AE74F3">
        <w:t xml:space="preserve"> claim that ofatumumab was superior to fingolimod. As the PBAC has previously expressed a preference for the outcome of proportion relapse free as a basis for assessing durability of effect, </w:t>
      </w:r>
      <w:r w:rsidR="00727AFD">
        <w:t xml:space="preserve">the evaluation and the ESC considered this to be </w:t>
      </w:r>
      <w:r w:rsidRPr="00AE74F3">
        <w:t xml:space="preserve">a relevant outcome. </w:t>
      </w:r>
    </w:p>
    <w:p w14:paraId="0F51D39F" w14:textId="0C7C437E" w:rsidR="00F9502B" w:rsidRPr="00AE74F3" w:rsidRDefault="00F9502B" w:rsidP="00F9502B">
      <w:pPr>
        <w:pStyle w:val="3-BodyText"/>
        <w:numPr>
          <w:ilvl w:val="0"/>
          <w:numId w:val="0"/>
        </w:numPr>
        <w:ind w:left="720" w:hanging="720"/>
        <w:outlineLvl w:val="3"/>
        <w:rPr>
          <w:u w:val="single"/>
        </w:rPr>
      </w:pPr>
      <w:r w:rsidRPr="00AE74F3">
        <w:rPr>
          <w:u w:val="single"/>
        </w:rPr>
        <w:t>Unanchored, unadjusted indirect comparison</w:t>
      </w:r>
    </w:p>
    <w:p w14:paraId="3A2227DF" w14:textId="4A2DF4C9" w:rsidR="005644A1" w:rsidRPr="00AE74F3" w:rsidRDefault="008600A3" w:rsidP="008600A3">
      <w:pPr>
        <w:pStyle w:val="3-BodyText"/>
      </w:pPr>
      <w:r w:rsidRPr="00AE74F3">
        <w:t>The submission claimed that</w:t>
      </w:r>
      <w:r w:rsidR="00CC63C8" w:rsidRPr="00AE74F3">
        <w:t>, based on an unanchored, unadjusted (naïve) indirect comparison,</w:t>
      </w:r>
      <w:r w:rsidRPr="00AE74F3">
        <w:t xml:space="preserve"> the absolute difference in ARR between fingolimod and ofatumumab </w:t>
      </w:r>
      <w:r w:rsidRPr="00AE74F3">
        <w:lastRenderedPageBreak/>
        <w:t xml:space="preserve">based on ASCLEPIOS I/II </w:t>
      </w:r>
      <w:r w:rsidR="006A7501" w:rsidRPr="00AE74F3">
        <w:t xml:space="preserve">(0.11, 95% 0.09, 0.13) </w:t>
      </w:r>
      <w:r w:rsidRPr="00AE74F3">
        <w:t xml:space="preserve">and FREEDOMS I/II </w:t>
      </w:r>
      <w:r w:rsidR="006A7501" w:rsidRPr="00AE74F3">
        <w:t xml:space="preserve">(0.21, 95%CI 0.18, 0.24) was </w:t>
      </w:r>
      <w:r w:rsidRPr="00AE74F3">
        <w:t>0.10</w:t>
      </w:r>
      <w:r w:rsidR="00300990" w:rsidRPr="00AE74F3">
        <w:t>,</w:t>
      </w:r>
      <w:r w:rsidRPr="00AE74F3">
        <w:t xml:space="preserve"> in favour of ofatumumab</w:t>
      </w:r>
      <w:r w:rsidR="00300990" w:rsidRPr="00AE74F3">
        <w:t>. This</w:t>
      </w:r>
      <w:r w:rsidRPr="00AE74F3">
        <w:t xml:space="preserve"> exceeded the </w:t>
      </w:r>
      <w:r w:rsidR="0016483A" w:rsidRPr="00AE74F3">
        <w:t>minimally clinical important difference (</w:t>
      </w:r>
      <w:r w:rsidRPr="00AE74F3">
        <w:t>MCID</w:t>
      </w:r>
      <w:r w:rsidR="0016483A" w:rsidRPr="00AE74F3">
        <w:t>)</w:t>
      </w:r>
      <w:r w:rsidRPr="00AE74F3">
        <w:t xml:space="preserve"> defined in the submission of &gt;0.04</w:t>
      </w:r>
      <w:r w:rsidR="00300990" w:rsidRPr="00AE74F3">
        <w:t xml:space="preserve"> which was proposed because </w:t>
      </w:r>
      <w:r w:rsidRPr="00AE74F3">
        <w:t xml:space="preserve">“[t]he PBAC considered it reasonable to conclude that the absolute difference in ARR of 0.04 observed in the ITT analysis and 0.01 in the post-hoc subgroup was not clinically relevant…” (p4, teriflunomide PSD, July 2013 PBAC meeting). The submission </w:t>
      </w:r>
      <w:r w:rsidR="00FD05C2" w:rsidRPr="00AE74F3">
        <w:t xml:space="preserve">therefore </w:t>
      </w:r>
      <w:r w:rsidRPr="00AE74F3">
        <w:t xml:space="preserve">claimed “from this it may be inferred that an absolute difference of &gt;0.04 in ARR represents a clinically important difference, hence between group differences greater than 0.04 were used to confirm superiority in the current submission.” </w:t>
      </w:r>
    </w:p>
    <w:p w14:paraId="44F1C1A0" w14:textId="7C224615" w:rsidR="008600A3" w:rsidRPr="00AE74F3" w:rsidRDefault="008600A3" w:rsidP="008600A3">
      <w:pPr>
        <w:pStyle w:val="3-BodyText"/>
      </w:pPr>
      <w:bookmarkStart w:id="34" w:name="_Ref153206719"/>
      <w:r w:rsidRPr="00AE74F3">
        <w:t>Th</w:t>
      </w:r>
      <w:r w:rsidR="00F9502B" w:rsidRPr="00AE74F3">
        <w:t>e evaluation considered th</w:t>
      </w:r>
      <w:r w:rsidRPr="00AE74F3">
        <w:t xml:space="preserve">is was not a reasonable </w:t>
      </w:r>
      <w:r w:rsidR="005644A1" w:rsidRPr="00AE74F3">
        <w:t xml:space="preserve">justification for </w:t>
      </w:r>
      <w:r w:rsidR="00F9502B" w:rsidRPr="00AE74F3">
        <w:t xml:space="preserve">a </w:t>
      </w:r>
      <w:r w:rsidR="005644A1" w:rsidRPr="00AE74F3">
        <w:t>MCID. T</w:t>
      </w:r>
      <w:r w:rsidRPr="00AE74F3">
        <w:t xml:space="preserve">he PBAC </w:t>
      </w:r>
      <w:r w:rsidR="00F9502B" w:rsidRPr="00AE74F3">
        <w:t xml:space="preserve">had </w:t>
      </w:r>
      <w:r w:rsidRPr="00AE74F3">
        <w:t>considered that a difference of 0.04 was not clinically meaningful, not that</w:t>
      </w:r>
      <w:r w:rsidR="007C3C04" w:rsidRPr="00AE74F3">
        <w:t xml:space="preserve"> any difference greater than</w:t>
      </w:r>
      <w:r w:rsidRPr="00AE74F3">
        <w:t xml:space="preserve"> 0.04 was clinically meaningful</w:t>
      </w:r>
      <w:r w:rsidR="007C3C04" w:rsidRPr="00AE74F3">
        <w:t>.</w:t>
      </w:r>
      <w:r w:rsidRPr="00AE74F3">
        <w:t xml:space="preserve"> </w:t>
      </w:r>
      <w:r w:rsidR="007C3C04" w:rsidRPr="00AE74F3">
        <w:t xml:space="preserve">For example, </w:t>
      </w:r>
      <w:r w:rsidRPr="00AE74F3">
        <w:t>a theoretical MCID of 0.20 (as this is greater than 0.04) would still be supported by the quote provided</w:t>
      </w:r>
      <w:r w:rsidR="007C3C04" w:rsidRPr="00AE74F3">
        <w:t xml:space="preserve"> in paragraph </w:t>
      </w:r>
      <w:r w:rsidR="007C3C04" w:rsidRPr="00AE74F3">
        <w:fldChar w:fldCharType="begin" w:fldLock="1"/>
      </w:r>
      <w:r w:rsidR="007C3C04" w:rsidRPr="00AE74F3">
        <w:instrText xml:space="preserve"> REF _Ref153206719 \r \h </w:instrText>
      </w:r>
      <w:r w:rsidR="005F098D" w:rsidRPr="00AE74F3">
        <w:instrText xml:space="preserve"> \* MERGEFORMAT </w:instrText>
      </w:r>
      <w:r w:rsidR="007C3C04" w:rsidRPr="00AE74F3">
        <w:fldChar w:fldCharType="separate"/>
      </w:r>
      <w:r w:rsidR="00416916">
        <w:t>6.25</w:t>
      </w:r>
      <w:r w:rsidR="007C3C04" w:rsidRPr="00AE74F3">
        <w:fldChar w:fldCharType="end"/>
      </w:r>
      <w:r w:rsidRPr="00AE74F3">
        <w:t xml:space="preserve">. No </w:t>
      </w:r>
      <w:r w:rsidR="005966AD" w:rsidRPr="00AE74F3">
        <w:t xml:space="preserve">MCID </w:t>
      </w:r>
      <w:r w:rsidR="00727AFD">
        <w:t>was provided for other outcomes (</w:t>
      </w:r>
      <w:r w:rsidRPr="00AE74F3">
        <w:t xml:space="preserve">RR for ARR or HR for </w:t>
      </w:r>
      <w:r w:rsidR="008D7637" w:rsidRPr="00AE74F3">
        <w:t xml:space="preserve">time to </w:t>
      </w:r>
      <w:r w:rsidRPr="00AE74F3">
        <w:t>3mCDP or 6mCDP</w:t>
      </w:r>
      <w:r w:rsidR="00727AFD">
        <w:t>)</w:t>
      </w:r>
      <w:r w:rsidRPr="00AE74F3">
        <w:t>.</w:t>
      </w:r>
      <w:bookmarkEnd w:id="34"/>
    </w:p>
    <w:p w14:paraId="45622461" w14:textId="66593AED" w:rsidR="00FB57AA" w:rsidRPr="00AE74F3" w:rsidRDefault="00FB57AA" w:rsidP="008600A3">
      <w:pPr>
        <w:pStyle w:val="3-BodyText"/>
      </w:pPr>
      <w:r w:rsidRPr="00AE74F3">
        <w:t xml:space="preserve">Further, the MCID was applied to a naïve </w:t>
      </w:r>
      <w:r w:rsidR="00831499" w:rsidRPr="00AE74F3">
        <w:t xml:space="preserve">unanchored ITC </w:t>
      </w:r>
      <w:r w:rsidRPr="00AE74F3">
        <w:t>between trials with significant transitivity issues</w:t>
      </w:r>
      <w:r w:rsidR="00831499" w:rsidRPr="00AE74F3">
        <w:t xml:space="preserve"> (see paragraphs </w:t>
      </w:r>
      <w:r w:rsidR="00831499" w:rsidRPr="00AE74F3">
        <w:fldChar w:fldCharType="begin" w:fldLock="1"/>
      </w:r>
      <w:r w:rsidR="00831499" w:rsidRPr="00AE74F3">
        <w:instrText xml:space="preserve"> REF _Ref153208141 \r \h </w:instrText>
      </w:r>
      <w:r w:rsidR="005F098D" w:rsidRPr="00AE74F3">
        <w:instrText xml:space="preserve"> \* MERGEFORMAT </w:instrText>
      </w:r>
      <w:r w:rsidR="00831499" w:rsidRPr="00AE74F3">
        <w:fldChar w:fldCharType="separate"/>
      </w:r>
      <w:r w:rsidR="00416916">
        <w:t>6.11</w:t>
      </w:r>
      <w:r w:rsidR="00831499" w:rsidRPr="00AE74F3">
        <w:fldChar w:fldCharType="end"/>
      </w:r>
      <w:r w:rsidR="00831499" w:rsidRPr="00AE74F3">
        <w:t xml:space="preserve"> to </w:t>
      </w:r>
      <w:r w:rsidR="00831499" w:rsidRPr="00AE74F3">
        <w:fldChar w:fldCharType="begin" w:fldLock="1"/>
      </w:r>
      <w:r w:rsidR="00831499" w:rsidRPr="00AE74F3">
        <w:instrText xml:space="preserve"> REF _Ref153208144 \r \h </w:instrText>
      </w:r>
      <w:r w:rsidR="005F098D" w:rsidRPr="00AE74F3">
        <w:instrText xml:space="preserve"> \* MERGEFORMAT </w:instrText>
      </w:r>
      <w:r w:rsidR="00831499" w:rsidRPr="00AE74F3">
        <w:fldChar w:fldCharType="separate"/>
      </w:r>
      <w:r w:rsidR="00416916">
        <w:t>6.15</w:t>
      </w:r>
      <w:r w:rsidR="00831499" w:rsidRPr="00AE74F3">
        <w:fldChar w:fldCharType="end"/>
      </w:r>
      <w:r w:rsidR="00831499" w:rsidRPr="00AE74F3">
        <w:t>)</w:t>
      </w:r>
      <w:r w:rsidRPr="00AE74F3">
        <w:t>, which increase</w:t>
      </w:r>
      <w:r w:rsidR="00831499" w:rsidRPr="00AE74F3">
        <w:t>d</w:t>
      </w:r>
      <w:r w:rsidRPr="00AE74F3">
        <w:t xml:space="preserve"> the uncertainty of the result and likely precluded a meaningful conclusion.</w:t>
      </w:r>
    </w:p>
    <w:p w14:paraId="74DB5813" w14:textId="317410C0" w:rsidR="00A735BD" w:rsidRPr="00AE74F3" w:rsidRDefault="00A735BD" w:rsidP="00F9502B">
      <w:pPr>
        <w:pStyle w:val="3-BodyText"/>
        <w:numPr>
          <w:ilvl w:val="0"/>
          <w:numId w:val="0"/>
        </w:numPr>
        <w:outlineLvl w:val="3"/>
      </w:pPr>
      <w:bookmarkStart w:id="35" w:name="_Ref153143840"/>
      <w:r w:rsidRPr="00AE74F3">
        <w:rPr>
          <w:u w:val="single"/>
        </w:rPr>
        <w:t>Unanchored adjusted comparisons (IPTW and STC)</w:t>
      </w:r>
    </w:p>
    <w:p w14:paraId="19CD4704" w14:textId="2F94A71A" w:rsidR="009F6D8F" w:rsidRPr="00AE74F3" w:rsidRDefault="008600A3" w:rsidP="008600A3">
      <w:pPr>
        <w:pStyle w:val="3-BodyText"/>
      </w:pPr>
      <w:r w:rsidRPr="00AE74F3">
        <w:t xml:space="preserve">The submission presented </w:t>
      </w:r>
      <w:r w:rsidR="0090099E" w:rsidRPr="00AE74F3">
        <w:t xml:space="preserve">unanchored </w:t>
      </w:r>
      <w:r w:rsidRPr="00AE74F3">
        <w:t>propensity score analyses using IPTW to compare ofatumumab to fingolimod by balancing their trial populations through reweighting patients in the ofatumumab cohort to become more similar to the fingolimod cohort. This process accounted for the following variables that were identified from a published STC (Samjoo 2022):</w:t>
      </w:r>
      <w:bookmarkEnd w:id="35"/>
      <w:r w:rsidRPr="00AE74F3">
        <w:t xml:space="preserve"> </w:t>
      </w:r>
    </w:p>
    <w:p w14:paraId="175F9DF3" w14:textId="2A53F3FC" w:rsidR="005269A7" w:rsidRPr="00AE74F3" w:rsidRDefault="005269A7" w:rsidP="0068006D">
      <w:pPr>
        <w:pStyle w:val="3-BodyText"/>
        <w:numPr>
          <w:ilvl w:val="0"/>
          <w:numId w:val="8"/>
        </w:numPr>
      </w:pPr>
      <w:r w:rsidRPr="00AE74F3">
        <w:t>Tier 1 variables: age, body mass index, normalised brain volume, number of gadolinium enhancing T1 lesions, volume of T2 lesions; and</w:t>
      </w:r>
    </w:p>
    <w:p w14:paraId="479A3B78" w14:textId="5D0873D2" w:rsidR="005269A7" w:rsidRPr="00AE74F3" w:rsidRDefault="005269A7" w:rsidP="0068006D">
      <w:pPr>
        <w:pStyle w:val="3-BodyText"/>
        <w:numPr>
          <w:ilvl w:val="0"/>
          <w:numId w:val="8"/>
        </w:numPr>
      </w:pPr>
      <w:r w:rsidRPr="00AE74F3">
        <w:t>Tier 2 variables: EDSS score at baseline, number of relapses in the past year, prior DMT experience , sex, race/ethnicity, and time since MS diagnosis.</w:t>
      </w:r>
    </w:p>
    <w:p w14:paraId="602AAC75" w14:textId="6A0B1E67" w:rsidR="008600A3" w:rsidRPr="00AE74F3" w:rsidRDefault="008600A3" w:rsidP="00F54532">
      <w:pPr>
        <w:pStyle w:val="3-BodyText"/>
      </w:pPr>
      <w:r w:rsidRPr="00AE74F3">
        <w:t xml:space="preserve">The base case presented in the submission adjusted for both Tier 1 and Tier 2 variables. </w:t>
      </w:r>
    </w:p>
    <w:p w14:paraId="6026ED41" w14:textId="72509620" w:rsidR="008600A3" w:rsidRPr="00AE74F3" w:rsidRDefault="008600A3" w:rsidP="008600A3">
      <w:pPr>
        <w:pStyle w:val="3-BodyText"/>
      </w:pPr>
      <w:r w:rsidRPr="00AE74F3">
        <w:t>In the propensity score analyses using IPTW</w:t>
      </w:r>
      <w:r w:rsidR="00727AFD">
        <w:t>,</w:t>
      </w:r>
      <w:r w:rsidRPr="00AE74F3">
        <w:t xml:space="preserve"> the effective sample size (ESS) was calculated to assess the impact of weighting on the IPD. Overall, the loss of information in the ofatumumab arm from propensity matching (for all outcomes) appeared to have been considerable when comparing the ESS of around 285 to an unadjusted sample size of 945 (i.e. an almost 70% loss)</w:t>
      </w:r>
      <w:r w:rsidR="00E81605" w:rsidRPr="00AE74F3">
        <w:t>.</w:t>
      </w:r>
    </w:p>
    <w:p w14:paraId="5068ADE7" w14:textId="664B384A" w:rsidR="008600A3" w:rsidRPr="00AE74F3" w:rsidRDefault="008600A3" w:rsidP="008600A3">
      <w:pPr>
        <w:pStyle w:val="3-BodyText"/>
      </w:pPr>
      <w:r w:rsidRPr="00AE74F3">
        <w:t xml:space="preserve">A summary of the base case IPTW results </w:t>
      </w:r>
      <w:r w:rsidR="00727AFD">
        <w:t>is</w:t>
      </w:r>
      <w:r w:rsidRPr="00AE74F3">
        <w:t xml:space="preserve"> presented in </w:t>
      </w:r>
      <w:r w:rsidRPr="00AE74F3">
        <w:fldChar w:fldCharType="begin" w:fldLock="1"/>
      </w:r>
      <w:r w:rsidRPr="00AE74F3">
        <w:instrText xml:space="preserve"> REF _Ref152951819 \h </w:instrText>
      </w:r>
      <w:r w:rsidR="005F098D" w:rsidRPr="00AE74F3">
        <w:instrText xml:space="preserve"> \* MERGEFORMAT </w:instrText>
      </w:r>
      <w:r w:rsidRPr="00AE74F3">
        <w:fldChar w:fldCharType="separate"/>
      </w:r>
      <w:r w:rsidR="00416916" w:rsidRPr="00AE74F3">
        <w:t xml:space="preserve">Table </w:t>
      </w:r>
      <w:r w:rsidR="00416916">
        <w:rPr>
          <w:noProof/>
        </w:rPr>
        <w:t>7</w:t>
      </w:r>
      <w:r w:rsidRPr="00AE74F3">
        <w:fldChar w:fldCharType="end"/>
      </w:r>
      <w:r w:rsidRPr="00AE74F3">
        <w:t>. The results of the IPTW presented were generally consistent with the Bucher two step ITC, though the point estimates were more favourable for ofatumumab in the IPTW.</w:t>
      </w:r>
    </w:p>
    <w:p w14:paraId="5AE46835" w14:textId="5F3816D0" w:rsidR="008600A3" w:rsidRPr="00AE74F3" w:rsidRDefault="008600A3" w:rsidP="00F54532">
      <w:pPr>
        <w:pStyle w:val="Caption"/>
        <w:tabs>
          <w:tab w:val="left" w:pos="851"/>
        </w:tabs>
        <w:rPr>
          <w:bCs w:val="0"/>
        </w:rPr>
      </w:pPr>
      <w:bookmarkStart w:id="36" w:name="_Ref152951819"/>
      <w:r w:rsidRPr="00AE74F3">
        <w:lastRenderedPageBreak/>
        <w:t xml:space="preserve">Table </w:t>
      </w:r>
      <w:r w:rsidR="002943DF">
        <w:fldChar w:fldCharType="begin" w:fldLock="1"/>
      </w:r>
      <w:r w:rsidR="002943DF">
        <w:instrText xml:space="preserve"> SEQ Table \* ARABIC </w:instrText>
      </w:r>
      <w:r w:rsidR="002943DF">
        <w:fldChar w:fldCharType="separate"/>
      </w:r>
      <w:r w:rsidR="00416916">
        <w:rPr>
          <w:noProof/>
        </w:rPr>
        <w:t>7</w:t>
      </w:r>
      <w:r w:rsidR="002943DF">
        <w:rPr>
          <w:noProof/>
        </w:rPr>
        <w:fldChar w:fldCharType="end"/>
      </w:r>
      <w:bookmarkEnd w:id="36"/>
      <w:r w:rsidRPr="00AE74F3">
        <w:rPr>
          <w:bCs w:val="0"/>
        </w:rPr>
        <w:t>:</w:t>
      </w:r>
      <w:r w:rsidR="0067481D">
        <w:rPr>
          <w:bCs w:val="0"/>
        </w:rPr>
        <w:t xml:space="preserve"> </w:t>
      </w:r>
      <w:r w:rsidRPr="00AE74F3">
        <w:rPr>
          <w:bCs w:val="0"/>
        </w:rPr>
        <w:t>IPTW indirect comparison of ofatumumab vs fingolimod</w:t>
      </w:r>
    </w:p>
    <w:tbl>
      <w:tblPr>
        <w:tblStyle w:val="TableGrid"/>
        <w:tblW w:w="0" w:type="auto"/>
        <w:tblLook w:val="04A0" w:firstRow="1" w:lastRow="0" w:firstColumn="1" w:lastColumn="0" w:noHBand="0" w:noVBand="1"/>
        <w:tblCaption w:val="Table 7: IPTW indirect comparison of ofatumumab vs fingolimod"/>
      </w:tblPr>
      <w:tblGrid>
        <w:gridCol w:w="4508"/>
        <w:gridCol w:w="4509"/>
      </w:tblGrid>
      <w:tr w:rsidR="008600A3" w:rsidRPr="00AE74F3" w14:paraId="751F9D93" w14:textId="77777777" w:rsidTr="00CE58B5">
        <w:tc>
          <w:tcPr>
            <w:tcW w:w="4508" w:type="dxa"/>
          </w:tcPr>
          <w:p w14:paraId="077EABAC" w14:textId="77777777" w:rsidR="008600A3" w:rsidRPr="00AE74F3" w:rsidRDefault="008600A3" w:rsidP="00F54532">
            <w:pPr>
              <w:pStyle w:val="PBACTabletext"/>
              <w:rPr>
                <w:b/>
                <w:bCs/>
              </w:rPr>
            </w:pPr>
            <w:r w:rsidRPr="00AE74F3">
              <w:rPr>
                <w:b/>
                <w:bCs/>
              </w:rPr>
              <w:t>Outcome</w:t>
            </w:r>
          </w:p>
        </w:tc>
        <w:tc>
          <w:tcPr>
            <w:tcW w:w="4509" w:type="dxa"/>
          </w:tcPr>
          <w:p w14:paraId="2BEE6EDB" w14:textId="41B613D6" w:rsidR="008600A3" w:rsidRPr="00AE74F3" w:rsidRDefault="008600A3" w:rsidP="005B5211">
            <w:pPr>
              <w:pStyle w:val="PBACTabletext"/>
              <w:jc w:val="center"/>
              <w:rPr>
                <w:b/>
                <w:bCs/>
              </w:rPr>
            </w:pPr>
            <w:r w:rsidRPr="00AE74F3">
              <w:rPr>
                <w:b/>
                <w:bCs/>
              </w:rPr>
              <w:t>Ofatumumab vs fingolimod</w:t>
            </w:r>
            <w:r w:rsidR="005B5211" w:rsidRPr="00AE74F3">
              <w:rPr>
                <w:b/>
                <w:bCs/>
              </w:rPr>
              <w:t xml:space="preserve"> </w:t>
            </w:r>
            <w:r w:rsidRPr="00AE74F3">
              <w:rPr>
                <w:b/>
                <w:bCs/>
                <w:vertAlign w:val="superscript"/>
              </w:rPr>
              <w:t>a</w:t>
            </w:r>
          </w:p>
        </w:tc>
      </w:tr>
      <w:tr w:rsidR="008600A3" w:rsidRPr="00AE74F3" w14:paraId="7CC3F81E" w14:textId="77777777" w:rsidTr="00CE58B5">
        <w:tc>
          <w:tcPr>
            <w:tcW w:w="4508" w:type="dxa"/>
          </w:tcPr>
          <w:p w14:paraId="58ECFE52" w14:textId="77777777" w:rsidR="008600A3" w:rsidRPr="00AE74F3" w:rsidRDefault="008600A3" w:rsidP="00F54532">
            <w:pPr>
              <w:pStyle w:val="PBACTabletext"/>
            </w:pPr>
            <w:r w:rsidRPr="00AE74F3">
              <w:t>ARR (RR [95% CI])</w:t>
            </w:r>
          </w:p>
        </w:tc>
        <w:tc>
          <w:tcPr>
            <w:tcW w:w="4509" w:type="dxa"/>
          </w:tcPr>
          <w:p w14:paraId="16E57B9D" w14:textId="77777777" w:rsidR="008600A3" w:rsidRPr="00AE74F3" w:rsidRDefault="008600A3" w:rsidP="00F54532">
            <w:pPr>
              <w:pStyle w:val="PBACTabletext"/>
              <w:jc w:val="center"/>
            </w:pPr>
            <w:r w:rsidRPr="00AE74F3">
              <w:t>0.60 (0.45, 0.81)</w:t>
            </w:r>
          </w:p>
        </w:tc>
      </w:tr>
      <w:tr w:rsidR="008600A3" w:rsidRPr="00AE74F3" w14:paraId="728C1A91" w14:textId="77777777" w:rsidTr="00CE58B5">
        <w:tc>
          <w:tcPr>
            <w:tcW w:w="4508" w:type="dxa"/>
          </w:tcPr>
          <w:p w14:paraId="05129F0C" w14:textId="77777777" w:rsidR="008600A3" w:rsidRPr="00AE74F3" w:rsidRDefault="008600A3" w:rsidP="00F54532">
            <w:pPr>
              <w:pStyle w:val="PBACTabletext"/>
            </w:pPr>
            <w:r w:rsidRPr="00AE74F3">
              <w:t>Time to 3mCDP (HR [95% CI])</w:t>
            </w:r>
          </w:p>
        </w:tc>
        <w:tc>
          <w:tcPr>
            <w:tcW w:w="4509" w:type="dxa"/>
          </w:tcPr>
          <w:p w14:paraId="366C447C" w14:textId="77777777" w:rsidR="008600A3" w:rsidRPr="00AE74F3" w:rsidRDefault="008600A3" w:rsidP="00F54532">
            <w:pPr>
              <w:pStyle w:val="PBACTabletext"/>
              <w:jc w:val="center"/>
            </w:pPr>
            <w:r w:rsidRPr="00AE74F3">
              <w:t>0.54 (0.29, 0.99)</w:t>
            </w:r>
          </w:p>
        </w:tc>
      </w:tr>
      <w:tr w:rsidR="008600A3" w:rsidRPr="00AE74F3" w14:paraId="05305B67" w14:textId="77777777" w:rsidTr="00CE58B5">
        <w:tc>
          <w:tcPr>
            <w:tcW w:w="4508" w:type="dxa"/>
          </w:tcPr>
          <w:p w14:paraId="03E41E7F" w14:textId="77777777" w:rsidR="008600A3" w:rsidRPr="00AE74F3" w:rsidRDefault="008600A3" w:rsidP="00F54532">
            <w:pPr>
              <w:pStyle w:val="PBACTabletext"/>
            </w:pPr>
            <w:r w:rsidRPr="00AE74F3">
              <w:t>Time to 6mCDP (HR [95% CI])</w:t>
            </w:r>
          </w:p>
        </w:tc>
        <w:tc>
          <w:tcPr>
            <w:tcW w:w="4509" w:type="dxa"/>
          </w:tcPr>
          <w:p w14:paraId="61729E50" w14:textId="77777777" w:rsidR="008600A3" w:rsidRPr="00AE74F3" w:rsidRDefault="008600A3" w:rsidP="00F54532">
            <w:pPr>
              <w:pStyle w:val="PBACTabletext"/>
              <w:jc w:val="center"/>
            </w:pPr>
            <w:r w:rsidRPr="00AE74F3">
              <w:t>0.59 (0.31, 1.12)</w:t>
            </w:r>
          </w:p>
        </w:tc>
      </w:tr>
    </w:tbl>
    <w:p w14:paraId="2B2F26F5" w14:textId="77777777" w:rsidR="008600A3" w:rsidRPr="00AE74F3" w:rsidRDefault="008600A3" w:rsidP="00F54532">
      <w:pPr>
        <w:pStyle w:val="FooterTableFigure"/>
        <w:keepNext/>
        <w:keepLines/>
      </w:pPr>
      <w:r w:rsidRPr="00AE74F3">
        <w:t>ARR = annualised relapse rate; CDP = confirmed disease progression; CI = confidence interval; HR = hazard ratio; IPD = individual patient data; IPTW = inverse probability treatment weighting; RR = relative risk.</w:t>
      </w:r>
    </w:p>
    <w:p w14:paraId="4AF642BF" w14:textId="77777777" w:rsidR="008600A3" w:rsidRPr="00AE74F3" w:rsidRDefault="008600A3" w:rsidP="00F54532">
      <w:pPr>
        <w:pStyle w:val="FooterTableFigure"/>
        <w:keepNext/>
        <w:keepLines/>
      </w:pPr>
      <w:r w:rsidRPr="00AE74F3">
        <w:t xml:space="preserve">a The propensity score analyses used pooled IPD for two ofatumumab trials (ASCLEPIOS I/II) and pooled IPD for three fingolimod trials (FREEDOMS I, FREEDOMS II, and TRANSFORMS). </w:t>
      </w:r>
    </w:p>
    <w:p w14:paraId="646B66A3" w14:textId="4D098A64" w:rsidR="008600A3" w:rsidRPr="00AE74F3" w:rsidRDefault="008600A3" w:rsidP="00ED6CD4">
      <w:pPr>
        <w:pStyle w:val="FooterTableFigure"/>
      </w:pPr>
      <w:r w:rsidRPr="00AE74F3">
        <w:t>Source: Table 54, p112 of the submission.</w:t>
      </w:r>
    </w:p>
    <w:p w14:paraId="501C65C9" w14:textId="1944918A" w:rsidR="00BF4F41" w:rsidRPr="00AE74F3" w:rsidRDefault="009F28A1" w:rsidP="00BF4F41">
      <w:pPr>
        <w:pStyle w:val="3-BodyText"/>
      </w:pPr>
      <w:r w:rsidRPr="00AE74F3">
        <w:t>T</w:t>
      </w:r>
      <w:r w:rsidR="00BF4F41" w:rsidRPr="00AE74F3">
        <w:t>he submission stated that the IPTW and STC were conducted to</w:t>
      </w:r>
      <w:r w:rsidR="00933D96" w:rsidRPr="00AE74F3">
        <w:t>,</w:t>
      </w:r>
      <w:r w:rsidR="00BF4F41" w:rsidRPr="00AE74F3">
        <w:t xml:space="preserve"> at least in part</w:t>
      </w:r>
      <w:r w:rsidR="00933D96" w:rsidRPr="00AE74F3">
        <w:t>,</w:t>
      </w:r>
      <w:r w:rsidR="00BF4F41" w:rsidRPr="00AE74F3">
        <w:t xml:space="preserve"> overcome the issues of transitivity</w:t>
      </w:r>
      <w:r w:rsidR="00933D96" w:rsidRPr="00AE74F3">
        <w:t>. H</w:t>
      </w:r>
      <w:r w:rsidR="00BF4F41" w:rsidRPr="00AE74F3">
        <w:t xml:space="preserve">owever, </w:t>
      </w:r>
      <w:r w:rsidR="00933D96" w:rsidRPr="00AE74F3">
        <w:t>the</w:t>
      </w:r>
      <w:r w:rsidR="00727AFD">
        <w:t xml:space="preserve"> evaluation and the ESC considered that the</w:t>
      </w:r>
      <w:r w:rsidR="00933D96" w:rsidRPr="00AE74F3">
        <w:t xml:space="preserve"> analyses were associated with an unknown </w:t>
      </w:r>
      <w:r w:rsidR="0062660B" w:rsidRPr="00AE74F3">
        <w:t>amount</w:t>
      </w:r>
      <w:r w:rsidR="00933D96" w:rsidRPr="00AE74F3">
        <w:t xml:space="preserve"> of bias due to the potential for missing observed or unobserved effect modifiers and/or prognostic variables.</w:t>
      </w:r>
      <w:r w:rsidR="0097299F" w:rsidRPr="00AE74F3">
        <w:t xml:space="preserve"> For example, the</w:t>
      </w:r>
      <w:r w:rsidR="00AF50C0" w:rsidRPr="00AE74F3">
        <w:t xml:space="preserve"> analys</w:t>
      </w:r>
      <w:r w:rsidR="00933D96" w:rsidRPr="00AE74F3">
        <w:t>e</w:t>
      </w:r>
      <w:r w:rsidR="00AF50C0" w:rsidRPr="00AE74F3">
        <w:t>s did not adjust for the</w:t>
      </w:r>
      <w:r w:rsidR="0097299F" w:rsidRPr="00AE74F3">
        <w:t xml:space="preserve"> types of prior DMTs used </w:t>
      </w:r>
      <w:r w:rsidR="00AF50C0" w:rsidRPr="00AE74F3">
        <w:t>(e.g. prior experience with a high</w:t>
      </w:r>
      <w:r w:rsidR="005B331C">
        <w:t>-</w:t>
      </w:r>
      <w:r w:rsidR="00AF50C0" w:rsidRPr="00AE74F3">
        <w:t>efficacy therapy) and comorbidities as the data were not available. Further, these analyses were</w:t>
      </w:r>
      <w:r w:rsidR="0097299F" w:rsidRPr="00AE74F3">
        <w:t xml:space="preserve"> unable to address issues related to the trials being conducted at different times (see paragraph </w:t>
      </w:r>
      <w:r w:rsidR="0097299F" w:rsidRPr="00AE74F3">
        <w:fldChar w:fldCharType="begin" w:fldLock="1"/>
      </w:r>
      <w:r w:rsidR="0097299F" w:rsidRPr="00AE74F3">
        <w:instrText xml:space="preserve"> REF _Ref154579321 \r \h </w:instrText>
      </w:r>
      <w:r w:rsidR="005F098D" w:rsidRPr="00AE74F3">
        <w:instrText xml:space="preserve"> \* MERGEFORMAT </w:instrText>
      </w:r>
      <w:r w:rsidR="0097299F" w:rsidRPr="00AE74F3">
        <w:fldChar w:fldCharType="separate"/>
      </w:r>
      <w:r w:rsidR="00416916">
        <w:t>6.13</w:t>
      </w:r>
      <w:r w:rsidR="0097299F" w:rsidRPr="00AE74F3">
        <w:fldChar w:fldCharType="end"/>
      </w:r>
      <w:r w:rsidR="0097299F" w:rsidRPr="00AE74F3">
        <w:t xml:space="preserve"> and </w:t>
      </w:r>
      <w:r w:rsidR="0097299F" w:rsidRPr="00AE74F3">
        <w:fldChar w:fldCharType="begin" w:fldLock="1"/>
      </w:r>
      <w:r w:rsidR="0097299F" w:rsidRPr="00AE74F3">
        <w:instrText xml:space="preserve"> REF _Ref154579522 \r \h </w:instrText>
      </w:r>
      <w:r w:rsidR="005F098D" w:rsidRPr="00AE74F3">
        <w:instrText xml:space="preserve"> \* MERGEFORMAT </w:instrText>
      </w:r>
      <w:r w:rsidR="0097299F" w:rsidRPr="00AE74F3">
        <w:fldChar w:fldCharType="separate"/>
      </w:r>
      <w:r w:rsidR="00416916">
        <w:t>6.13</w:t>
      </w:r>
      <w:r w:rsidR="0097299F" w:rsidRPr="00AE74F3">
        <w:fldChar w:fldCharType="end"/>
      </w:r>
      <w:r w:rsidR="0097299F" w:rsidRPr="00AE74F3">
        <w:t>).</w:t>
      </w:r>
      <w:r w:rsidR="00CE6F9D" w:rsidRPr="00AE74F3">
        <w:t xml:space="preserve"> </w:t>
      </w:r>
    </w:p>
    <w:p w14:paraId="5EFF1E24" w14:textId="3CE2A7E2" w:rsidR="00BF4F41" w:rsidRPr="00AE74F3" w:rsidRDefault="00BF4F41" w:rsidP="00B653B2">
      <w:pPr>
        <w:pStyle w:val="3-BodyText"/>
      </w:pPr>
      <w:r w:rsidRPr="00AE74F3">
        <w:t xml:space="preserve">The </w:t>
      </w:r>
      <w:r w:rsidR="000C036D" w:rsidRPr="00AE74F3">
        <w:t>National Institute for Health and Care Excellence (</w:t>
      </w:r>
      <w:r w:rsidRPr="00AE74F3">
        <w:t>NICE</w:t>
      </w:r>
      <w:r w:rsidR="000C036D" w:rsidRPr="00AE74F3">
        <w:t>) decision support unit</w:t>
      </w:r>
      <w:r w:rsidRPr="00AE74F3">
        <w:t xml:space="preserve"> </w:t>
      </w:r>
      <w:r w:rsidR="000C036D" w:rsidRPr="00AE74F3">
        <w:t>(</w:t>
      </w:r>
      <w:r w:rsidRPr="00AE74F3">
        <w:t>DSU</w:t>
      </w:r>
      <w:r w:rsidR="000C036D" w:rsidRPr="00AE74F3">
        <w:t>)</w:t>
      </w:r>
      <w:r w:rsidRPr="00AE74F3">
        <w:t xml:space="preserve"> technical support document 18</w:t>
      </w:r>
      <w:bookmarkStart w:id="37" w:name="_Ref154224816"/>
      <w:r w:rsidRPr="00AE74F3">
        <w:rPr>
          <w:rStyle w:val="FootnoteReference"/>
        </w:rPr>
        <w:footnoteReference w:id="2"/>
      </w:r>
      <w:bookmarkEnd w:id="37"/>
      <w:r w:rsidRPr="00AE74F3">
        <w:t xml:space="preserve"> </w:t>
      </w:r>
      <w:r w:rsidR="009F28A1" w:rsidRPr="00AE74F3">
        <w:t>state</w:t>
      </w:r>
      <w:r w:rsidR="00815BD3" w:rsidRPr="00AE74F3">
        <w:t>d</w:t>
      </w:r>
      <w:r w:rsidR="009F28A1" w:rsidRPr="00AE74F3">
        <w:t xml:space="preserve"> that “an unanchored </w:t>
      </w:r>
      <w:r w:rsidR="00BC1F52" w:rsidRPr="00AE74F3">
        <w:t>matching adjusted indirect comparison (</w:t>
      </w:r>
      <w:r w:rsidR="009F28A1" w:rsidRPr="00AE74F3">
        <w:t>MAIC</w:t>
      </w:r>
      <w:r w:rsidR="00BC1F52" w:rsidRPr="00AE74F3">
        <w:t>)</w:t>
      </w:r>
      <w:r w:rsidR="009F28A1" w:rsidRPr="00AE74F3">
        <w:t xml:space="preserve"> or STC effectively assumes that absolute outcomes can be predicted from the covariates; that is, it assumes that all effect modifiers and prognostic factors are accounted for. This assumption is very strong, and largely considered impossible to meet. Failure of this assumption leads to an unknown amount of bias in the unanchored estimate.” </w:t>
      </w:r>
    </w:p>
    <w:p w14:paraId="074D5F79" w14:textId="66679DB9" w:rsidR="008600A3" w:rsidRPr="00AE74F3" w:rsidRDefault="008600A3" w:rsidP="008600A3">
      <w:pPr>
        <w:pStyle w:val="3-BodyText"/>
      </w:pPr>
      <w:r w:rsidRPr="00AE74F3">
        <w:t>For the STC, multivariable regression models were specified using baseline characteristics as covariates and were fitted using IPD from ASCLEPIOS I/II. The models permitted outcomes to be estimated for the hypothetical situation where an average patient from the comparator trial received ofatumumab instead of fingolimod by predicting outcomes at the means of the covariates reported in the fingolimod trial. These predicted outcomes were then compared with published outcomes from the fingolimod trial to derive point estimates of ofatumumab relative to fingolimod.</w:t>
      </w:r>
    </w:p>
    <w:p w14:paraId="3E5459C8" w14:textId="071B8EC9" w:rsidR="008600A3" w:rsidRPr="00AE74F3" w:rsidRDefault="008600A3" w:rsidP="008600A3">
      <w:pPr>
        <w:pStyle w:val="3-BodyText"/>
      </w:pPr>
      <w:r w:rsidRPr="00AE74F3">
        <w:t>The same variables as used in the IPTW were included in the STC, with the base case including all Tier 1 and Tier 2 adjustment variables.</w:t>
      </w:r>
    </w:p>
    <w:p w14:paraId="450529AB" w14:textId="5683BA87" w:rsidR="008600A3" w:rsidRPr="00AE74F3" w:rsidRDefault="008600A3" w:rsidP="008600A3">
      <w:pPr>
        <w:pStyle w:val="3-BodyText"/>
      </w:pPr>
      <w:r w:rsidRPr="00AE74F3">
        <w:t xml:space="preserve">A summary of the base case STC results </w:t>
      </w:r>
      <w:r w:rsidR="007D48AF">
        <w:t>is</w:t>
      </w:r>
      <w:r w:rsidRPr="00AE74F3">
        <w:t xml:space="preserve"> presented in</w:t>
      </w:r>
      <w:r w:rsidR="003728CD" w:rsidRPr="00AE74F3">
        <w:t xml:space="preserve"> </w:t>
      </w:r>
      <w:r w:rsidRPr="00AE74F3">
        <w:fldChar w:fldCharType="begin" w:fldLock="1"/>
      </w:r>
      <w:r w:rsidRPr="00AE74F3">
        <w:instrText xml:space="preserve"> REF _Ref152964447 \h </w:instrText>
      </w:r>
      <w:r w:rsidR="005F098D" w:rsidRPr="00AE74F3">
        <w:instrText xml:space="preserve"> \* MERGEFORMAT </w:instrText>
      </w:r>
      <w:r w:rsidRPr="00AE74F3">
        <w:fldChar w:fldCharType="separate"/>
      </w:r>
      <w:r w:rsidR="00416916" w:rsidRPr="00AE74F3">
        <w:t xml:space="preserve">Table </w:t>
      </w:r>
      <w:r w:rsidR="00416916">
        <w:rPr>
          <w:noProof/>
        </w:rPr>
        <w:t>8</w:t>
      </w:r>
      <w:r w:rsidRPr="00AE74F3">
        <w:fldChar w:fldCharType="end"/>
      </w:r>
      <w:r w:rsidRPr="00AE74F3">
        <w:t>.</w:t>
      </w:r>
    </w:p>
    <w:p w14:paraId="721C610E" w14:textId="2673FA5E" w:rsidR="008600A3" w:rsidRPr="00AE74F3" w:rsidRDefault="008600A3" w:rsidP="008600A3">
      <w:pPr>
        <w:pStyle w:val="Caption"/>
        <w:tabs>
          <w:tab w:val="left" w:pos="851"/>
        </w:tabs>
        <w:rPr>
          <w:rStyle w:val="CommentReference"/>
          <w:b/>
          <w:bCs w:val="0"/>
        </w:rPr>
      </w:pPr>
      <w:bookmarkStart w:id="38" w:name="_Ref152964447"/>
      <w:r w:rsidRPr="00AE74F3">
        <w:lastRenderedPageBreak/>
        <w:t xml:space="preserve">Table </w:t>
      </w:r>
      <w:r w:rsidR="002943DF">
        <w:fldChar w:fldCharType="begin" w:fldLock="1"/>
      </w:r>
      <w:r w:rsidR="002943DF">
        <w:instrText xml:space="preserve"> SEQ Table \* ARABIC </w:instrText>
      </w:r>
      <w:r w:rsidR="002943DF">
        <w:fldChar w:fldCharType="separate"/>
      </w:r>
      <w:r w:rsidR="00416916">
        <w:rPr>
          <w:noProof/>
        </w:rPr>
        <w:t>8</w:t>
      </w:r>
      <w:r w:rsidR="002943DF">
        <w:rPr>
          <w:noProof/>
        </w:rPr>
        <w:fldChar w:fldCharType="end"/>
      </w:r>
      <w:bookmarkEnd w:id="38"/>
      <w:r w:rsidRPr="00AE74F3">
        <w:rPr>
          <w:rStyle w:val="CommentReference"/>
          <w:b/>
          <w:bCs w:val="0"/>
        </w:rPr>
        <w:t>:</w:t>
      </w:r>
      <w:r w:rsidR="0067481D">
        <w:rPr>
          <w:rStyle w:val="CommentReference"/>
          <w:b/>
          <w:bCs w:val="0"/>
        </w:rPr>
        <w:t xml:space="preserve"> </w:t>
      </w:r>
      <w:r w:rsidRPr="00AE74F3">
        <w:rPr>
          <w:rStyle w:val="CommentReference"/>
          <w:b/>
          <w:bCs w:val="0"/>
        </w:rPr>
        <w:t>STC results for the comparison of ofatumumab vs fingolimod</w:t>
      </w:r>
    </w:p>
    <w:tbl>
      <w:tblPr>
        <w:tblStyle w:val="TableGrid"/>
        <w:tblW w:w="0" w:type="auto"/>
        <w:tblLook w:val="04A0" w:firstRow="1" w:lastRow="0" w:firstColumn="1" w:lastColumn="0" w:noHBand="0" w:noVBand="1"/>
        <w:tblCaption w:val="Table 8: STC results for the comparison of ofatumumab vs fingolimod"/>
      </w:tblPr>
      <w:tblGrid>
        <w:gridCol w:w="2547"/>
        <w:gridCol w:w="1701"/>
        <w:gridCol w:w="455"/>
        <w:gridCol w:w="2157"/>
        <w:gridCol w:w="506"/>
        <w:gridCol w:w="1651"/>
      </w:tblGrid>
      <w:tr w:rsidR="008600A3" w:rsidRPr="00AE74F3" w14:paraId="3F14E155" w14:textId="77777777" w:rsidTr="00CE58B5">
        <w:tc>
          <w:tcPr>
            <w:tcW w:w="2547" w:type="dxa"/>
            <w:tcBorders>
              <w:bottom w:val="nil"/>
            </w:tcBorders>
          </w:tcPr>
          <w:p w14:paraId="45C4516B" w14:textId="77777777" w:rsidR="008600A3" w:rsidRPr="00AE74F3" w:rsidRDefault="008600A3" w:rsidP="00CE58B5">
            <w:pPr>
              <w:pStyle w:val="TableText0"/>
            </w:pPr>
          </w:p>
        </w:tc>
        <w:tc>
          <w:tcPr>
            <w:tcW w:w="1701" w:type="dxa"/>
            <w:tcBorders>
              <w:right w:val="nil"/>
            </w:tcBorders>
          </w:tcPr>
          <w:p w14:paraId="17744F1D" w14:textId="77777777" w:rsidR="008600A3" w:rsidRPr="00AE74F3" w:rsidRDefault="008600A3" w:rsidP="00CE58B5">
            <w:pPr>
              <w:pStyle w:val="TableText0"/>
              <w:jc w:val="center"/>
            </w:pPr>
          </w:p>
        </w:tc>
        <w:tc>
          <w:tcPr>
            <w:tcW w:w="3118" w:type="dxa"/>
            <w:gridSpan w:val="3"/>
            <w:tcBorders>
              <w:left w:val="nil"/>
              <w:right w:val="nil"/>
            </w:tcBorders>
          </w:tcPr>
          <w:p w14:paraId="640BCBD2" w14:textId="77777777" w:rsidR="008600A3" w:rsidRPr="00AE74F3" w:rsidRDefault="008600A3" w:rsidP="00CE58B5">
            <w:pPr>
              <w:pStyle w:val="In-tableHeading"/>
              <w:rPr>
                <w:lang w:val="en-AU"/>
              </w:rPr>
            </w:pPr>
            <w:r w:rsidRPr="00AE74F3">
              <w:rPr>
                <w:lang w:val="en-AU"/>
              </w:rPr>
              <w:t>Ofatumumab vs fingolimod</w:t>
            </w:r>
          </w:p>
          <w:p w14:paraId="339731A6" w14:textId="77777777" w:rsidR="008600A3" w:rsidRPr="00AE74F3" w:rsidRDefault="008600A3" w:rsidP="00CE58B5">
            <w:pPr>
              <w:pStyle w:val="In-tableHeading"/>
              <w:rPr>
                <w:lang w:val="en-AU"/>
              </w:rPr>
            </w:pPr>
            <w:r w:rsidRPr="00AE74F3">
              <w:rPr>
                <w:lang w:val="en-AU"/>
              </w:rPr>
              <w:t>&lt; 1 favours ofatumumab</w:t>
            </w:r>
          </w:p>
        </w:tc>
        <w:tc>
          <w:tcPr>
            <w:tcW w:w="1651" w:type="dxa"/>
            <w:tcBorders>
              <w:left w:val="nil"/>
            </w:tcBorders>
          </w:tcPr>
          <w:p w14:paraId="4A587888" w14:textId="77777777" w:rsidR="008600A3" w:rsidRPr="00AE74F3" w:rsidRDefault="008600A3" w:rsidP="00CE58B5">
            <w:pPr>
              <w:pStyle w:val="In-tableHeading"/>
              <w:rPr>
                <w:lang w:val="en-AU"/>
              </w:rPr>
            </w:pPr>
          </w:p>
        </w:tc>
      </w:tr>
      <w:tr w:rsidR="008600A3" w:rsidRPr="00AE74F3" w14:paraId="4DB0ECBD" w14:textId="77777777" w:rsidTr="00CE58B5">
        <w:tc>
          <w:tcPr>
            <w:tcW w:w="2547" w:type="dxa"/>
            <w:tcBorders>
              <w:top w:val="nil"/>
              <w:bottom w:val="single" w:sz="4" w:space="0" w:color="auto"/>
            </w:tcBorders>
          </w:tcPr>
          <w:p w14:paraId="1F15513F" w14:textId="77777777" w:rsidR="008600A3" w:rsidRPr="00AE74F3" w:rsidRDefault="008600A3" w:rsidP="00CE58B5">
            <w:pPr>
              <w:pStyle w:val="TableText0"/>
            </w:pPr>
          </w:p>
        </w:tc>
        <w:tc>
          <w:tcPr>
            <w:tcW w:w="2156" w:type="dxa"/>
            <w:gridSpan w:val="2"/>
            <w:tcBorders>
              <w:bottom w:val="single" w:sz="4" w:space="0" w:color="auto"/>
            </w:tcBorders>
          </w:tcPr>
          <w:p w14:paraId="0FDAAFC9" w14:textId="77777777" w:rsidR="008600A3" w:rsidRPr="00AE74F3" w:rsidRDefault="008600A3" w:rsidP="00CE58B5">
            <w:pPr>
              <w:pStyle w:val="In-tableHeading"/>
              <w:jc w:val="center"/>
              <w:rPr>
                <w:lang w:val="en-AU"/>
              </w:rPr>
            </w:pPr>
            <w:r w:rsidRPr="00AE74F3">
              <w:rPr>
                <w:lang w:val="en-AU"/>
              </w:rPr>
              <w:t>FREEDOMS I</w:t>
            </w:r>
          </w:p>
        </w:tc>
        <w:tc>
          <w:tcPr>
            <w:tcW w:w="2157" w:type="dxa"/>
            <w:tcBorders>
              <w:bottom w:val="single" w:sz="4" w:space="0" w:color="auto"/>
            </w:tcBorders>
          </w:tcPr>
          <w:p w14:paraId="539679F3" w14:textId="77777777" w:rsidR="008600A3" w:rsidRPr="00AE74F3" w:rsidRDefault="008600A3" w:rsidP="00CE58B5">
            <w:pPr>
              <w:pStyle w:val="In-tableHeading"/>
              <w:jc w:val="center"/>
              <w:rPr>
                <w:lang w:val="en-AU"/>
              </w:rPr>
            </w:pPr>
            <w:r w:rsidRPr="00AE74F3">
              <w:rPr>
                <w:lang w:val="en-AU"/>
              </w:rPr>
              <w:t>FREEDOMS II</w:t>
            </w:r>
          </w:p>
        </w:tc>
        <w:tc>
          <w:tcPr>
            <w:tcW w:w="2157" w:type="dxa"/>
            <w:gridSpan w:val="2"/>
          </w:tcPr>
          <w:p w14:paraId="4ED14781" w14:textId="77777777" w:rsidR="008600A3" w:rsidRPr="00AE74F3" w:rsidRDefault="008600A3" w:rsidP="00CE58B5">
            <w:pPr>
              <w:pStyle w:val="In-tableHeading"/>
              <w:jc w:val="center"/>
              <w:rPr>
                <w:lang w:val="en-AU"/>
              </w:rPr>
            </w:pPr>
            <w:r w:rsidRPr="00AE74F3">
              <w:rPr>
                <w:lang w:val="en-AU"/>
              </w:rPr>
              <w:t>TRANSFORMS</w:t>
            </w:r>
          </w:p>
        </w:tc>
      </w:tr>
      <w:tr w:rsidR="008600A3" w:rsidRPr="00AE74F3" w14:paraId="40D019D5" w14:textId="77777777" w:rsidTr="00CE58B5">
        <w:tc>
          <w:tcPr>
            <w:tcW w:w="2547" w:type="dxa"/>
            <w:tcBorders>
              <w:top w:val="single" w:sz="4" w:space="0" w:color="auto"/>
              <w:right w:val="nil"/>
            </w:tcBorders>
          </w:tcPr>
          <w:p w14:paraId="1776F670" w14:textId="77777777" w:rsidR="008600A3" w:rsidRPr="00AE74F3" w:rsidRDefault="008600A3" w:rsidP="00CE58B5">
            <w:pPr>
              <w:pStyle w:val="TableText0"/>
            </w:pPr>
            <w:r w:rsidRPr="00AE74F3">
              <w:t>Outcome</w:t>
            </w:r>
          </w:p>
        </w:tc>
        <w:tc>
          <w:tcPr>
            <w:tcW w:w="2156" w:type="dxa"/>
            <w:gridSpan w:val="2"/>
            <w:tcBorders>
              <w:left w:val="nil"/>
              <w:right w:val="nil"/>
            </w:tcBorders>
          </w:tcPr>
          <w:p w14:paraId="49D8F01E" w14:textId="77777777" w:rsidR="008600A3" w:rsidRPr="00AE74F3" w:rsidRDefault="008600A3" w:rsidP="00CE58B5">
            <w:pPr>
              <w:pStyle w:val="TableText0"/>
              <w:jc w:val="center"/>
            </w:pPr>
          </w:p>
        </w:tc>
        <w:tc>
          <w:tcPr>
            <w:tcW w:w="2157" w:type="dxa"/>
            <w:tcBorders>
              <w:left w:val="nil"/>
              <w:right w:val="nil"/>
            </w:tcBorders>
          </w:tcPr>
          <w:p w14:paraId="2280890A" w14:textId="77777777" w:rsidR="008600A3" w:rsidRPr="00AE74F3" w:rsidRDefault="008600A3" w:rsidP="00CE58B5">
            <w:pPr>
              <w:pStyle w:val="TableText0"/>
              <w:jc w:val="center"/>
            </w:pPr>
          </w:p>
        </w:tc>
        <w:tc>
          <w:tcPr>
            <w:tcW w:w="2157" w:type="dxa"/>
            <w:gridSpan w:val="2"/>
            <w:tcBorders>
              <w:left w:val="nil"/>
            </w:tcBorders>
          </w:tcPr>
          <w:p w14:paraId="38160BD1" w14:textId="77777777" w:rsidR="008600A3" w:rsidRPr="00AE74F3" w:rsidRDefault="008600A3" w:rsidP="00CE58B5">
            <w:pPr>
              <w:pStyle w:val="TableText0"/>
              <w:jc w:val="center"/>
            </w:pPr>
          </w:p>
        </w:tc>
      </w:tr>
      <w:tr w:rsidR="008600A3" w:rsidRPr="00AE74F3" w14:paraId="286C6B9B" w14:textId="77777777" w:rsidTr="00CE58B5">
        <w:tc>
          <w:tcPr>
            <w:tcW w:w="2547" w:type="dxa"/>
          </w:tcPr>
          <w:p w14:paraId="0A7BD01B" w14:textId="77777777" w:rsidR="008600A3" w:rsidRPr="00AE74F3" w:rsidRDefault="008600A3" w:rsidP="00CE58B5">
            <w:pPr>
              <w:pStyle w:val="TableText0"/>
            </w:pPr>
            <w:r w:rsidRPr="00AE74F3">
              <w:t>ARR, RR (95% CI)</w:t>
            </w:r>
          </w:p>
        </w:tc>
        <w:tc>
          <w:tcPr>
            <w:tcW w:w="2156" w:type="dxa"/>
            <w:gridSpan w:val="2"/>
          </w:tcPr>
          <w:p w14:paraId="4AEB5979" w14:textId="77777777" w:rsidR="008600A3" w:rsidRPr="00AE74F3" w:rsidRDefault="008600A3" w:rsidP="00CE58B5">
            <w:pPr>
              <w:pStyle w:val="TableText0"/>
              <w:jc w:val="center"/>
            </w:pPr>
            <w:r w:rsidRPr="00AE74F3">
              <w:t>0.58 (0.41, 0.82)</w:t>
            </w:r>
          </w:p>
        </w:tc>
        <w:tc>
          <w:tcPr>
            <w:tcW w:w="2157" w:type="dxa"/>
          </w:tcPr>
          <w:p w14:paraId="41D4639A" w14:textId="77777777" w:rsidR="008600A3" w:rsidRPr="00AE74F3" w:rsidRDefault="008600A3" w:rsidP="00CE58B5">
            <w:pPr>
              <w:pStyle w:val="TableText0"/>
              <w:jc w:val="center"/>
            </w:pPr>
            <w:r w:rsidRPr="00AE74F3">
              <w:t>0.51 (0.34, 0.76)</w:t>
            </w:r>
          </w:p>
        </w:tc>
        <w:tc>
          <w:tcPr>
            <w:tcW w:w="2157" w:type="dxa"/>
            <w:gridSpan w:val="2"/>
          </w:tcPr>
          <w:p w14:paraId="0BFDF353" w14:textId="77777777" w:rsidR="008600A3" w:rsidRPr="00AE74F3" w:rsidRDefault="008600A3" w:rsidP="00CE58B5">
            <w:pPr>
              <w:pStyle w:val="TableText0"/>
              <w:jc w:val="center"/>
            </w:pPr>
            <w:r w:rsidRPr="00AE74F3">
              <w:t>0.66 (0.44, 0.98)</w:t>
            </w:r>
          </w:p>
        </w:tc>
      </w:tr>
      <w:tr w:rsidR="008600A3" w:rsidRPr="00AE74F3" w14:paraId="6FA84DD6" w14:textId="77777777" w:rsidTr="00CE58B5">
        <w:tc>
          <w:tcPr>
            <w:tcW w:w="2547" w:type="dxa"/>
          </w:tcPr>
          <w:p w14:paraId="6268D27A" w14:textId="77777777" w:rsidR="008600A3" w:rsidRPr="00AE74F3" w:rsidRDefault="008600A3" w:rsidP="00CE58B5">
            <w:pPr>
              <w:pStyle w:val="TableText0"/>
            </w:pPr>
            <w:r w:rsidRPr="00AE74F3">
              <w:t>% with 3mCDP, HR (95% CI)</w:t>
            </w:r>
          </w:p>
        </w:tc>
        <w:tc>
          <w:tcPr>
            <w:tcW w:w="2156" w:type="dxa"/>
            <w:gridSpan w:val="2"/>
          </w:tcPr>
          <w:p w14:paraId="6A5F82DC" w14:textId="77777777" w:rsidR="008600A3" w:rsidRPr="00AE74F3" w:rsidRDefault="008600A3" w:rsidP="00CE58B5">
            <w:pPr>
              <w:pStyle w:val="TableText0"/>
              <w:jc w:val="center"/>
            </w:pPr>
            <w:r w:rsidRPr="00AE74F3">
              <w:t>0.39 (0.24, 0.63)</w:t>
            </w:r>
          </w:p>
        </w:tc>
        <w:tc>
          <w:tcPr>
            <w:tcW w:w="2157" w:type="dxa"/>
          </w:tcPr>
          <w:p w14:paraId="6D2C2B61" w14:textId="77777777" w:rsidR="008600A3" w:rsidRPr="00AE74F3" w:rsidRDefault="008600A3" w:rsidP="00CE58B5">
            <w:pPr>
              <w:pStyle w:val="TableText0"/>
              <w:jc w:val="center"/>
            </w:pPr>
            <w:r w:rsidRPr="00AE74F3">
              <w:t>0.29 (0.17, 0.49)</w:t>
            </w:r>
          </w:p>
        </w:tc>
        <w:tc>
          <w:tcPr>
            <w:tcW w:w="2157" w:type="dxa"/>
            <w:gridSpan w:val="2"/>
          </w:tcPr>
          <w:p w14:paraId="528912EF" w14:textId="77777777" w:rsidR="008600A3" w:rsidRPr="00AE74F3" w:rsidRDefault="008600A3" w:rsidP="00CE58B5">
            <w:pPr>
              <w:pStyle w:val="TableText0"/>
              <w:jc w:val="center"/>
            </w:pPr>
            <w:r w:rsidRPr="00AE74F3">
              <w:t>0.63 (0.35, 1.12)</w:t>
            </w:r>
          </w:p>
        </w:tc>
      </w:tr>
      <w:tr w:rsidR="008600A3" w:rsidRPr="00AE74F3" w14:paraId="451DFF5B" w14:textId="77777777" w:rsidTr="00CE58B5">
        <w:tc>
          <w:tcPr>
            <w:tcW w:w="2547" w:type="dxa"/>
          </w:tcPr>
          <w:p w14:paraId="26BF03FA" w14:textId="77777777" w:rsidR="008600A3" w:rsidRPr="00AE74F3" w:rsidRDefault="008600A3" w:rsidP="00CE58B5">
            <w:pPr>
              <w:pStyle w:val="TableText0"/>
            </w:pPr>
            <w:r w:rsidRPr="00AE74F3">
              <w:t>% with 6mCDP, HR (95% CI)</w:t>
            </w:r>
          </w:p>
        </w:tc>
        <w:tc>
          <w:tcPr>
            <w:tcW w:w="2156" w:type="dxa"/>
            <w:gridSpan w:val="2"/>
          </w:tcPr>
          <w:p w14:paraId="090863C4" w14:textId="77777777" w:rsidR="008600A3" w:rsidRPr="00AE74F3" w:rsidRDefault="008600A3" w:rsidP="00CE58B5">
            <w:pPr>
              <w:pStyle w:val="TableText0"/>
              <w:jc w:val="center"/>
            </w:pPr>
            <w:r w:rsidRPr="00AE74F3">
              <w:t>0.45 (0.27, 0.75)</w:t>
            </w:r>
          </w:p>
        </w:tc>
        <w:tc>
          <w:tcPr>
            <w:tcW w:w="2157" w:type="dxa"/>
          </w:tcPr>
          <w:p w14:paraId="21E816CB" w14:textId="77777777" w:rsidR="008600A3" w:rsidRPr="00AE74F3" w:rsidRDefault="008600A3" w:rsidP="00CE58B5">
            <w:pPr>
              <w:pStyle w:val="TableText0"/>
              <w:jc w:val="center"/>
            </w:pPr>
            <w:r w:rsidRPr="00AE74F3">
              <w:t>0.49 (0.28, 0.84)</w:t>
            </w:r>
          </w:p>
        </w:tc>
        <w:tc>
          <w:tcPr>
            <w:tcW w:w="2157" w:type="dxa"/>
            <w:gridSpan w:val="2"/>
          </w:tcPr>
          <w:p w14:paraId="5FBF3340" w14:textId="77777777" w:rsidR="008600A3" w:rsidRPr="00AE74F3" w:rsidRDefault="008600A3" w:rsidP="00CE58B5">
            <w:pPr>
              <w:pStyle w:val="TableText0"/>
              <w:jc w:val="center"/>
            </w:pPr>
            <w:r w:rsidRPr="00AE74F3">
              <w:t>NR</w:t>
            </w:r>
          </w:p>
        </w:tc>
      </w:tr>
    </w:tbl>
    <w:p w14:paraId="2ADA2F7C" w14:textId="77777777" w:rsidR="008600A3" w:rsidRPr="00AE74F3" w:rsidRDefault="008600A3" w:rsidP="008600A3">
      <w:pPr>
        <w:pStyle w:val="FooterTableFigure"/>
      </w:pPr>
      <w:r w:rsidRPr="00AE74F3">
        <w:t>3mCDP = 3-month confirmed disability progression; 6mCDP =, 6-month confirmed disability progression; ARR = annualised relapse rate; CI = confidence interval; HR = hazard ratio; NR = not reported; RR = rate ratio; STC = simulated treatment comparison.</w:t>
      </w:r>
    </w:p>
    <w:p w14:paraId="0F5C7154" w14:textId="13728FCC" w:rsidR="008600A3" w:rsidRPr="00AE74F3" w:rsidRDefault="008600A3" w:rsidP="008600A3">
      <w:pPr>
        <w:pStyle w:val="FooterTableFigure"/>
      </w:pPr>
      <w:r w:rsidRPr="00AE74F3">
        <w:t>Source: Table 55, p114 of the submission.</w:t>
      </w:r>
    </w:p>
    <w:p w14:paraId="68746FB7" w14:textId="690AE754" w:rsidR="008600A3" w:rsidRPr="00AE74F3" w:rsidRDefault="008600A3" w:rsidP="008600A3">
      <w:pPr>
        <w:pStyle w:val="3-BodyText"/>
      </w:pPr>
      <w:r w:rsidRPr="00AE74F3">
        <w:t xml:space="preserve">The submission concluded that the results from the STC analyses were consistent with those of the IPTW and the </w:t>
      </w:r>
      <w:r w:rsidR="007D48AF">
        <w:t>two-step ITC</w:t>
      </w:r>
      <w:r w:rsidRPr="00AE74F3">
        <w:t>, demonstrating ofatumumab to be superior to fingolimod in the treatment of RRMS with respect to ARR</w:t>
      </w:r>
      <w:r w:rsidR="004E6202" w:rsidRPr="00AE74F3">
        <w:t xml:space="preserve"> and proportion with </w:t>
      </w:r>
      <w:r w:rsidRPr="00AE74F3">
        <w:t xml:space="preserve">3mCDP and 6mCDP. However, given the potential issues with </w:t>
      </w:r>
      <w:r w:rsidR="00456A76" w:rsidRPr="00AE74F3">
        <w:t>the unanchored nature of the IPTW and STC introducing an unknown amount of bias</w:t>
      </w:r>
      <w:r w:rsidRPr="00AE74F3">
        <w:t xml:space="preserve">, </w:t>
      </w:r>
      <w:r w:rsidR="00F9502B" w:rsidRPr="00AE74F3">
        <w:t xml:space="preserve">the evaluation and the ESC considered that </w:t>
      </w:r>
      <w:r w:rsidRPr="00AE74F3">
        <w:t>all of the indirect analyses should be interpreted with caution. Further, the STC results</w:t>
      </w:r>
      <w:r w:rsidR="000E4C10" w:rsidRPr="00AE74F3">
        <w:t xml:space="preserve"> were not consistent across </w:t>
      </w:r>
      <w:r w:rsidR="00334FA1" w:rsidRPr="00AE74F3">
        <w:t>analyses</w:t>
      </w:r>
      <w:r w:rsidRPr="00AE74F3">
        <w:t xml:space="preserve">, with </w:t>
      </w:r>
      <w:r w:rsidR="007D48AF">
        <w:t xml:space="preserve">the </w:t>
      </w:r>
      <w:r w:rsidR="00E222BC" w:rsidRPr="00AE74F3">
        <w:t xml:space="preserve">proportion with </w:t>
      </w:r>
      <w:r w:rsidRPr="00AE74F3">
        <w:t xml:space="preserve">3mCDP not being statistically significantly different using </w:t>
      </w:r>
      <w:r w:rsidR="00ED5549" w:rsidRPr="00AE74F3">
        <w:t xml:space="preserve">the </w:t>
      </w:r>
      <w:r w:rsidRPr="00AE74F3">
        <w:t>TRANSFORMS population</w:t>
      </w:r>
      <w:r w:rsidR="00ED5549" w:rsidRPr="00AE74F3">
        <w:t>, though it</w:t>
      </w:r>
      <w:r w:rsidRPr="00AE74F3">
        <w:t xml:space="preserve"> </w:t>
      </w:r>
      <w:r w:rsidR="00ED5549" w:rsidRPr="00AE74F3">
        <w:t xml:space="preserve">was </w:t>
      </w:r>
      <w:r w:rsidRPr="00AE74F3">
        <w:t xml:space="preserve">statistically significant using </w:t>
      </w:r>
      <w:r w:rsidR="00ED5549" w:rsidRPr="00AE74F3">
        <w:t xml:space="preserve">the </w:t>
      </w:r>
      <w:r w:rsidRPr="00AE74F3">
        <w:t xml:space="preserve">FREEDOMS I and II populations. The point estimate for ARR was also less </w:t>
      </w:r>
      <w:r w:rsidR="003728CD" w:rsidRPr="00AE74F3">
        <w:t>favourable</w:t>
      </w:r>
      <w:r w:rsidRPr="00AE74F3">
        <w:t xml:space="preserve"> in the STC using TRANSFORMS. </w:t>
      </w:r>
    </w:p>
    <w:p w14:paraId="7D44F40E" w14:textId="7152E21D" w:rsidR="00A735BD" w:rsidRPr="00AE74F3" w:rsidRDefault="00A735BD" w:rsidP="00A735BD">
      <w:pPr>
        <w:pStyle w:val="3-BodyText"/>
        <w:numPr>
          <w:ilvl w:val="0"/>
          <w:numId w:val="0"/>
        </w:numPr>
        <w:outlineLvl w:val="3"/>
        <w:rPr>
          <w:u w:val="single"/>
        </w:rPr>
      </w:pPr>
      <w:r w:rsidRPr="00AE74F3">
        <w:rPr>
          <w:u w:val="single"/>
        </w:rPr>
        <w:t>Network meta-analysis</w:t>
      </w:r>
    </w:p>
    <w:p w14:paraId="55EEB544" w14:textId="5E7875E9" w:rsidR="008600A3" w:rsidRPr="00AE74F3" w:rsidRDefault="008600A3" w:rsidP="008600A3">
      <w:pPr>
        <w:pStyle w:val="3-BodyText"/>
      </w:pPr>
      <w:r w:rsidRPr="00AE74F3">
        <w:t xml:space="preserve">The submission </w:t>
      </w:r>
      <w:r w:rsidR="00334FA1" w:rsidRPr="00AE74F3">
        <w:t xml:space="preserve">additionally </w:t>
      </w:r>
      <w:r w:rsidRPr="00AE74F3">
        <w:t xml:space="preserve">presented the results of a published systematic review and NMA by Samjoo (2023) that compared the efficacy of therapies for RMS. This represented an update of the NMA previously considered by the PBAC as part of the March 2021 ofatumumab submission (Samjoo 2020). The submission identified eight published NMAs and it was unclear why Samjoo 2023 was the only </w:t>
      </w:r>
      <w:r w:rsidR="007D48AF">
        <w:t>one</w:t>
      </w:r>
      <w:r w:rsidRPr="00AE74F3">
        <w:t xml:space="preserve"> highlighted in the submission.</w:t>
      </w:r>
    </w:p>
    <w:p w14:paraId="41ACE039" w14:textId="28DA0AF1" w:rsidR="008600A3" w:rsidRPr="00AE74F3" w:rsidRDefault="008600A3" w:rsidP="008600A3">
      <w:pPr>
        <w:pStyle w:val="3-BodyText"/>
      </w:pPr>
      <w:r w:rsidRPr="00AE74F3">
        <w:t>The Samjoo 2023 NMA included 41 trials, including five trials that were not included in the Samjoo 2020 NMA. The literature review for the NMA identified RCTs assessing the efficacy (and safety) of DMTs used for the treatment of patients with RRMS. While most of the RCTs included in the NMA were conducted specifically in patients with RRMS, 12 RCTs included patients with RMS (i.e. RRMS, SPMS or PRMS).</w:t>
      </w:r>
    </w:p>
    <w:p w14:paraId="2022C17A" w14:textId="25FEF5BD" w:rsidR="008600A3" w:rsidRPr="00AE74F3" w:rsidRDefault="008600A3" w:rsidP="008600A3">
      <w:pPr>
        <w:pStyle w:val="3-BodyText"/>
      </w:pPr>
      <w:r w:rsidRPr="00AE74F3">
        <w:fldChar w:fldCharType="begin" w:fldLock="1"/>
      </w:r>
      <w:r w:rsidRPr="00AE74F3">
        <w:instrText xml:space="preserve"> REF _Ref152965795 \h </w:instrText>
      </w:r>
      <w:r w:rsidR="005F098D" w:rsidRPr="00AE74F3">
        <w:instrText xml:space="preserve"> \* MERGEFORMAT </w:instrText>
      </w:r>
      <w:r w:rsidRPr="00AE74F3">
        <w:fldChar w:fldCharType="separate"/>
      </w:r>
      <w:r w:rsidR="00416916" w:rsidRPr="00AE74F3">
        <w:t xml:space="preserve">Figure </w:t>
      </w:r>
      <w:r w:rsidR="00D8073A">
        <w:rPr>
          <w:noProof/>
        </w:rPr>
        <w:t>2</w:t>
      </w:r>
      <w:r w:rsidRPr="00AE74F3">
        <w:fldChar w:fldCharType="end"/>
      </w:r>
      <w:r w:rsidRPr="00AE74F3">
        <w:t xml:space="preserve"> presents the results of the NMA </w:t>
      </w:r>
      <w:r w:rsidR="006A48F9" w:rsidRPr="00AE74F3">
        <w:t xml:space="preserve">reported in Samjoo 2023 </w:t>
      </w:r>
      <w:r w:rsidRPr="00AE74F3">
        <w:t>for ARR. The trials included for the direct network path from ofatumumab to fingolimod via teriflunomide 14mg and placebo were identical to the Bucher two</w:t>
      </w:r>
      <w:r w:rsidR="007D48AF">
        <w:t>-</w:t>
      </w:r>
      <w:r w:rsidRPr="00AE74F3">
        <w:t xml:space="preserve">step </w:t>
      </w:r>
      <w:r w:rsidR="007D48AF">
        <w:t>ITC</w:t>
      </w:r>
      <w:r w:rsidRPr="00AE74F3">
        <w:t xml:space="preserve"> presented in the submission.</w:t>
      </w:r>
    </w:p>
    <w:p w14:paraId="706525D5" w14:textId="7047BDB2" w:rsidR="008600A3" w:rsidRPr="00AE74F3" w:rsidRDefault="008600A3" w:rsidP="00ED6CD4">
      <w:pPr>
        <w:pStyle w:val="Caption"/>
      </w:pPr>
      <w:bookmarkStart w:id="39" w:name="_Ref152965795"/>
      <w:r w:rsidRPr="00AE74F3">
        <w:lastRenderedPageBreak/>
        <w:t xml:space="preserve">Figure </w:t>
      </w:r>
      <w:bookmarkEnd w:id="39"/>
      <w:r w:rsidR="00D8073A">
        <w:t>2</w:t>
      </w:r>
      <w:r w:rsidRPr="00AE74F3">
        <w:t>:</w:t>
      </w:r>
      <w:r w:rsidRPr="00AE74F3">
        <w:tab/>
        <w:t>Forest plot for treatments compared with placebo for ARR analysis a</w:t>
      </w:r>
    </w:p>
    <w:p w14:paraId="73694547" w14:textId="77777777" w:rsidR="008600A3" w:rsidRPr="00AE74F3" w:rsidRDefault="008600A3" w:rsidP="00ED6CD4">
      <w:pPr>
        <w:pStyle w:val="FooterTableFigure"/>
        <w:keepNext/>
        <w:keepLines/>
      </w:pPr>
      <w:r w:rsidRPr="00AE74F3">
        <w:rPr>
          <w:noProof/>
        </w:rPr>
        <w:drawing>
          <wp:inline distT="0" distB="0" distL="0" distR="0" wp14:anchorId="0314E7C9" wp14:editId="5337D9FF">
            <wp:extent cx="5623560" cy="3397205"/>
            <wp:effectExtent l="0" t="0" r="0" b="0"/>
            <wp:docPr id="99394495" name="Picture 99394495" descr="Figure 2: Forest plot for treatments compared with placebo for ARR analysi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94495" name="Picture 99394495" descr="Figure 2: Forest plot for treatments compared with placebo for ARR analysis 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8775" cy="3400356"/>
                    </a:xfrm>
                    <a:prstGeom prst="rect">
                      <a:avLst/>
                    </a:prstGeom>
                    <a:noFill/>
                  </pic:spPr>
                </pic:pic>
              </a:graphicData>
            </a:graphic>
          </wp:inline>
        </w:drawing>
      </w:r>
    </w:p>
    <w:p w14:paraId="28939A06" w14:textId="77777777" w:rsidR="008600A3" w:rsidRPr="00AE74F3" w:rsidRDefault="008600A3" w:rsidP="00ED6CD4">
      <w:pPr>
        <w:pStyle w:val="FooterTableFigure"/>
        <w:keepNext/>
        <w:keepLines/>
      </w:pPr>
      <w:r w:rsidRPr="00AE74F3">
        <w:t xml:space="preserve">ALE = alemtuzumab; CLA = cladribine; DMF = dimethyl fumarate; FIN = fingolimod; GA = glatiramer acetate; IFN = interferon; IM = intramuscular; NAT= natalizumab; OCR = ocrelizumab; OMB = ofatumumab; OZN = </w:t>
      </w:r>
      <w:bookmarkStart w:id="40" w:name="_Hlk159495646"/>
      <w:r w:rsidRPr="00AE74F3">
        <w:t>ozanimod</w:t>
      </w:r>
      <w:bookmarkEnd w:id="40"/>
      <w:r w:rsidRPr="00AE74F3">
        <w:t>; PON = ponesimod; SC = subcutaneous; TER =, teriflunomide; UTX = ublituximab.</w:t>
      </w:r>
    </w:p>
    <w:p w14:paraId="41889AF1" w14:textId="77777777" w:rsidR="008600A3" w:rsidRPr="00AE74F3" w:rsidRDefault="008600A3" w:rsidP="00ED6CD4">
      <w:pPr>
        <w:pStyle w:val="FooterTableFigure"/>
        <w:keepNext/>
        <w:keepLines/>
      </w:pPr>
      <w:r w:rsidRPr="00AE74F3">
        <w:rPr>
          <w:vertAlign w:val="superscript"/>
        </w:rPr>
        <w:t>a</w:t>
      </w:r>
      <w:r w:rsidRPr="00AE74F3">
        <w:t xml:space="preserve"> Note The forest plot presents ARR results for individual DMTs compared with placebo, which contrasts with Samjoo 2020 where the forest plots presented ofatumumab compared to the individual DMTs.</w:t>
      </w:r>
    </w:p>
    <w:p w14:paraId="30ACE352" w14:textId="4434B43F" w:rsidR="008600A3" w:rsidRPr="00AE74F3" w:rsidRDefault="008600A3" w:rsidP="008600A3">
      <w:pPr>
        <w:pStyle w:val="FooterTableFigure"/>
      </w:pPr>
      <w:r w:rsidRPr="00AE74F3">
        <w:t>Source: Figure 14 of the submission.</w:t>
      </w:r>
    </w:p>
    <w:p w14:paraId="55DAE391" w14:textId="77777777" w:rsidR="00CF2061" w:rsidRPr="00AE74F3" w:rsidRDefault="008600A3" w:rsidP="008600A3">
      <w:pPr>
        <w:pStyle w:val="3-BodyText"/>
      </w:pPr>
      <w:r w:rsidRPr="00AE74F3">
        <w:t xml:space="preserve">The submission claimed that </w:t>
      </w:r>
      <w:r w:rsidR="00F64D87" w:rsidRPr="00AE74F3">
        <w:t xml:space="preserve">the </w:t>
      </w:r>
      <w:r w:rsidRPr="00AE74F3">
        <w:t xml:space="preserve">NMA results for the ARR, which was based on 39 RCTs and connected 19 treatments including placebo, showed that alemtuzumab, natalizumab, ocrelizumab, ofatumumab and ublituximab were the most efficacious treatments compared with placebo (RR: 0.28 to 0.34) and that these DMTs may be considered to represent top tier DMTs for ARR in RRMS. </w:t>
      </w:r>
    </w:p>
    <w:p w14:paraId="73999D79" w14:textId="5E5BF27E" w:rsidR="008600A3" w:rsidRPr="00AE74F3" w:rsidRDefault="00334FA1" w:rsidP="008600A3">
      <w:pPr>
        <w:pStyle w:val="3-BodyText"/>
      </w:pPr>
      <w:r w:rsidRPr="00AE74F3">
        <w:t>The</w:t>
      </w:r>
      <w:r w:rsidR="00F64D87" w:rsidRPr="00AE74F3">
        <w:t xml:space="preserve"> evaluation and the ESC considered that the</w:t>
      </w:r>
      <w:r w:rsidRPr="00AE74F3">
        <w:t xml:space="preserve"> allocation of high and mid efficacy was not adequately justified and appear</w:t>
      </w:r>
      <w:r w:rsidR="00F64D87" w:rsidRPr="00AE74F3">
        <w:t>ed</w:t>
      </w:r>
      <w:r w:rsidRPr="00AE74F3">
        <w:t xml:space="preserve"> somewhat arbitrary. </w:t>
      </w:r>
      <w:r w:rsidR="008600A3" w:rsidRPr="00AE74F3">
        <w:t xml:space="preserve">The submission </w:t>
      </w:r>
      <w:r w:rsidR="007D48AF">
        <w:t xml:space="preserve">did not justify why </w:t>
      </w:r>
      <w:r w:rsidR="007D48AF" w:rsidRPr="007D48AF">
        <w:t>the top five drugs (i.e. with highest efficacy for the outcome of ARR) were allocated to the high-efficacy tier</w:t>
      </w:r>
      <w:r w:rsidR="008600A3" w:rsidRPr="00AE74F3">
        <w:t>. If the top six drugs were to be considered as “high-efficacy”, then both fingolimod and ofatumumab would be included in this tier</w:t>
      </w:r>
      <w:r w:rsidR="00527E5E" w:rsidRPr="00AE74F3">
        <w:t xml:space="preserve">. </w:t>
      </w:r>
      <w:r w:rsidR="007D48AF">
        <w:t xml:space="preserve">The evaluation and the ESC considered </w:t>
      </w:r>
      <w:r w:rsidR="007D48AF" w:rsidRPr="00AE74F3">
        <w:t xml:space="preserve">this would have been plausible </w:t>
      </w:r>
      <w:r w:rsidR="007D48AF">
        <w:t>giv</w:t>
      </w:r>
      <w:r w:rsidR="00527E5E" w:rsidRPr="00AE74F3">
        <w:t>en the overlapping confidence intervals</w:t>
      </w:r>
      <w:r w:rsidR="008600A3" w:rsidRPr="00AE74F3">
        <w:t>. The submission also did not justify why ARR should be used to determine the tiers rather than another efficacy outcome.</w:t>
      </w:r>
    </w:p>
    <w:p w14:paraId="0F440CB6" w14:textId="1B0CA621" w:rsidR="00566564" w:rsidRPr="00AE74F3" w:rsidRDefault="00566564" w:rsidP="008600A3">
      <w:pPr>
        <w:pStyle w:val="3-BodyText"/>
      </w:pPr>
      <w:r w:rsidRPr="00AE74F3">
        <w:t xml:space="preserve">The ESC noted that the first eight drugs in </w:t>
      </w:r>
      <w:r w:rsidRPr="00AE74F3">
        <w:fldChar w:fldCharType="begin" w:fldLock="1"/>
      </w:r>
      <w:r w:rsidRPr="00AE74F3">
        <w:instrText xml:space="preserve"> REF _Ref152965795 \h </w:instrText>
      </w:r>
      <w:r w:rsidR="00CF2061" w:rsidRPr="00AE74F3">
        <w:instrText xml:space="preserve"> \* MERGEFORMAT </w:instrText>
      </w:r>
      <w:r w:rsidRPr="00AE74F3">
        <w:fldChar w:fldCharType="separate"/>
      </w:r>
      <w:r w:rsidR="00416916" w:rsidRPr="00AE74F3">
        <w:t xml:space="preserve">Figure </w:t>
      </w:r>
      <w:r w:rsidR="00416916">
        <w:rPr>
          <w:noProof/>
        </w:rPr>
        <w:t>1</w:t>
      </w:r>
      <w:r w:rsidRPr="00AE74F3">
        <w:fldChar w:fldCharType="end"/>
      </w:r>
      <w:r w:rsidRPr="00AE74F3">
        <w:t xml:space="preserve"> </w:t>
      </w:r>
      <w:r w:rsidR="00CF2061" w:rsidRPr="00AE74F3">
        <w:t xml:space="preserve">(i.e. up to OZN = ozanimod) </w:t>
      </w:r>
      <w:r w:rsidRPr="00AE74F3">
        <w:t>are included in the current high</w:t>
      </w:r>
      <w:r w:rsidR="005B331C">
        <w:t>-</w:t>
      </w:r>
      <w:r w:rsidRPr="00AE74F3">
        <w:t xml:space="preserve">efficacy DMT tier, and the drugs below this are included in the </w:t>
      </w:r>
      <w:r w:rsidR="00CF2061" w:rsidRPr="00AE74F3">
        <w:t xml:space="preserve">current </w:t>
      </w:r>
      <w:r w:rsidRPr="00AE74F3">
        <w:t xml:space="preserve">low efficacy tier. The ESC </w:t>
      </w:r>
      <w:r w:rsidR="00214CE4" w:rsidRPr="00AE74F3">
        <w:t xml:space="preserve">re-iterated that there was no clear rationale </w:t>
      </w:r>
      <w:r w:rsidR="00CF2061" w:rsidRPr="00AE74F3">
        <w:t xml:space="preserve">provided </w:t>
      </w:r>
      <w:r w:rsidR="00F932B3" w:rsidRPr="00AE74F3">
        <w:t>for</w:t>
      </w:r>
      <w:r w:rsidR="00CF2061" w:rsidRPr="00AE74F3">
        <w:t xml:space="preserve"> split</w:t>
      </w:r>
      <w:r w:rsidR="00F932B3" w:rsidRPr="00AE74F3">
        <w:t>ting</w:t>
      </w:r>
      <w:r w:rsidR="00CF2061" w:rsidRPr="00AE74F3">
        <w:t xml:space="preserve"> the first eight drugs into different tiers.</w:t>
      </w:r>
    </w:p>
    <w:p w14:paraId="673B1F3E" w14:textId="535973F7" w:rsidR="008600A3" w:rsidRPr="00AE74F3" w:rsidRDefault="008600A3" w:rsidP="008600A3">
      <w:pPr>
        <w:pStyle w:val="3-BodyText"/>
      </w:pPr>
      <w:r w:rsidRPr="00AE74F3">
        <w:lastRenderedPageBreak/>
        <w:t>The submission presented the relative risks as reported by Samjoo 2023 for all the DMTs listed on the PBS relative to placebo for ARR grouped according to the proposed tiering (</w:t>
      </w:r>
      <w:r w:rsidRPr="00AE74F3">
        <w:fldChar w:fldCharType="begin" w:fldLock="1"/>
      </w:r>
      <w:r w:rsidRPr="00AE74F3">
        <w:instrText xml:space="preserve"> REF _Ref152966163 \h </w:instrText>
      </w:r>
      <w:r w:rsidR="005F098D" w:rsidRPr="00AE74F3">
        <w:instrText xml:space="preserve"> \* MERGEFORMAT </w:instrText>
      </w:r>
      <w:r w:rsidRPr="00AE74F3">
        <w:fldChar w:fldCharType="separate"/>
      </w:r>
      <w:r w:rsidR="00416916" w:rsidRPr="00AE74F3">
        <w:t xml:space="preserve">Figure </w:t>
      </w:r>
      <w:r w:rsidR="00416916">
        <w:rPr>
          <w:noProof/>
        </w:rPr>
        <w:t>2</w:t>
      </w:r>
      <w:r w:rsidRPr="00AE74F3">
        <w:fldChar w:fldCharType="end"/>
      </w:r>
      <w:r w:rsidRPr="00AE74F3">
        <w:t xml:space="preserve">). </w:t>
      </w:r>
    </w:p>
    <w:p w14:paraId="622A8A21" w14:textId="49530139" w:rsidR="008600A3" w:rsidRPr="00AE74F3" w:rsidRDefault="008600A3" w:rsidP="00F534B9">
      <w:pPr>
        <w:pStyle w:val="Caption"/>
      </w:pPr>
      <w:bookmarkStart w:id="41" w:name="_Ref152966163"/>
      <w:r w:rsidRPr="00AE74F3">
        <w:t xml:space="preserve">Figure </w:t>
      </w:r>
      <w:r w:rsidR="002943DF">
        <w:fldChar w:fldCharType="begin" w:fldLock="1"/>
      </w:r>
      <w:r w:rsidR="002943DF">
        <w:instrText xml:space="preserve"> SEQ Fi</w:instrText>
      </w:r>
      <w:r w:rsidR="002943DF">
        <w:instrText xml:space="preserve">gure \* ARABIC </w:instrText>
      </w:r>
      <w:r w:rsidR="002943DF">
        <w:fldChar w:fldCharType="separate"/>
      </w:r>
      <w:r w:rsidR="00416916">
        <w:rPr>
          <w:noProof/>
        </w:rPr>
        <w:t>2</w:t>
      </w:r>
      <w:r w:rsidR="002943DF">
        <w:rPr>
          <w:noProof/>
        </w:rPr>
        <w:fldChar w:fldCharType="end"/>
      </w:r>
      <w:bookmarkEnd w:id="41"/>
      <w:r w:rsidRPr="00AE74F3">
        <w:t>:</w:t>
      </w:r>
      <w:r w:rsidRPr="00AE74F3">
        <w:tab/>
        <w:t>ARR – subgroup analyses of the proposed high-, mid-, and low-efficacy tier DMTs versus placebo</w:t>
      </w:r>
    </w:p>
    <w:p w14:paraId="1501F074" w14:textId="77777777" w:rsidR="008600A3" w:rsidRPr="00AE74F3" w:rsidRDefault="008600A3" w:rsidP="007801F3">
      <w:pPr>
        <w:keepNext/>
        <w:keepLines/>
        <w:rPr>
          <w:snapToGrid w:val="0"/>
        </w:rPr>
      </w:pPr>
      <w:r w:rsidRPr="00AE74F3">
        <w:rPr>
          <w:noProof/>
        </w:rPr>
        <w:drawing>
          <wp:inline distT="0" distB="0" distL="0" distR="0" wp14:anchorId="09750FCE" wp14:editId="067AD752">
            <wp:extent cx="4914900" cy="4416051"/>
            <wp:effectExtent l="0" t="0" r="0" b="3810"/>
            <wp:docPr id="762563032" name="Picture 762563032" descr="Figure 2: ARR – subgroup analyses of the proposed high-, mid-, and low-efficacy tier DMTs versus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63032" name="Picture 762563032" descr="Figure 2: ARR – subgroup analyses of the proposed high-, mid-, and low-efficacy tier DMTs versus placeb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25238" cy="4425340"/>
                    </a:xfrm>
                    <a:prstGeom prst="rect">
                      <a:avLst/>
                    </a:prstGeom>
                    <a:noFill/>
                    <a:ln>
                      <a:noFill/>
                    </a:ln>
                  </pic:spPr>
                </pic:pic>
              </a:graphicData>
            </a:graphic>
          </wp:inline>
        </w:drawing>
      </w:r>
    </w:p>
    <w:p w14:paraId="301D5387" w14:textId="77777777" w:rsidR="007801F3" w:rsidRPr="00AE74F3" w:rsidRDefault="007801F3" w:rsidP="007801F3">
      <w:pPr>
        <w:pStyle w:val="FooterTableFigure"/>
        <w:keepNext/>
        <w:keepLines/>
      </w:pPr>
      <w:r w:rsidRPr="00AE74F3">
        <w:t>ALE = alemtuzumab; CLA = cladribine; DMF = dimethyl fumarate; FIN = fingolimod; GA = glatiramer acetate; IFN = interferon; IM = intramuscular; NAT= natalizumab; OCR = ocrelizumab; OMB = ofatumumab; OZN = ozanimod; PON = ponesimod; SC = subcutaneous; TER = teriflunomide.</w:t>
      </w:r>
    </w:p>
    <w:p w14:paraId="0E3EAE83" w14:textId="057430DF" w:rsidR="00F225C8" w:rsidRPr="00AE74F3" w:rsidRDefault="007801F3" w:rsidP="00326830">
      <w:pPr>
        <w:pStyle w:val="FooterTableFigure"/>
        <w:contextualSpacing w:val="0"/>
      </w:pPr>
      <w:r w:rsidRPr="00AE74F3">
        <w:t>Source: Figure 15 of the submission.</w:t>
      </w:r>
    </w:p>
    <w:p w14:paraId="387ADEB6" w14:textId="13801429" w:rsidR="000F7B82" w:rsidRPr="00AE74F3" w:rsidRDefault="000F7B82" w:rsidP="008600A3">
      <w:pPr>
        <w:pStyle w:val="3-BodyText"/>
      </w:pPr>
      <w:bookmarkStart w:id="42" w:name="_Ref153144807"/>
      <w:r w:rsidRPr="00AE74F3">
        <w:t>The submission</w:t>
      </w:r>
      <w:r w:rsidR="00225AC4">
        <w:t xml:space="preserve"> and the pre-PBAC re</w:t>
      </w:r>
      <w:r w:rsidR="0099183D">
        <w:t>s</w:t>
      </w:r>
      <w:r w:rsidR="00225AC4">
        <w:t>ponse</w:t>
      </w:r>
      <w:r w:rsidRPr="00AE74F3">
        <w:t xml:space="preserve"> claimed that the ARR treatment effect of the high-efficacy tier DMTs versus placebo (RR: 0.31 </w:t>
      </w:r>
      <w:r w:rsidR="00D33D46" w:rsidRPr="00AE74F3">
        <w:t>(</w:t>
      </w:r>
      <w:r w:rsidR="00F64D87" w:rsidRPr="00AE74F3">
        <w:t xml:space="preserve">95% CI: </w:t>
      </w:r>
      <w:r w:rsidRPr="00AE74F3">
        <w:t>0.26, 0.36</w:t>
      </w:r>
      <w:r w:rsidR="00D33D46" w:rsidRPr="00AE74F3">
        <w:t>)</w:t>
      </w:r>
      <w:r w:rsidRPr="00AE74F3">
        <w:t>) was statistically significantly superior to that of the mid-efficacy tier DMTs versus placebo (RR</w:t>
      </w:r>
      <w:r w:rsidR="00F64D87" w:rsidRPr="00AE74F3">
        <w:t>:</w:t>
      </w:r>
      <w:r w:rsidRPr="00AE74F3">
        <w:t xml:space="preserve"> 0.42</w:t>
      </w:r>
      <w:r w:rsidR="00D33D46" w:rsidRPr="00AE74F3">
        <w:t xml:space="preserve"> (</w:t>
      </w:r>
      <w:r w:rsidR="00F64D87" w:rsidRPr="00AE74F3">
        <w:t xml:space="preserve">95% CI: </w:t>
      </w:r>
      <w:r w:rsidRPr="00AE74F3">
        <w:t>0.37, 0.49</w:t>
      </w:r>
      <w:r w:rsidR="00D33D46" w:rsidRPr="00AE74F3">
        <w:t>)</w:t>
      </w:r>
      <w:r w:rsidRPr="00AE74F3">
        <w:t>). The submission claimed that this observation was confirmed by the test for subgroup differences between high- and mid-efficacy tier subgroups (I</w:t>
      </w:r>
      <w:r w:rsidRPr="00AE74F3">
        <w:rPr>
          <w:vertAlign w:val="superscript"/>
        </w:rPr>
        <w:t>2</w:t>
      </w:r>
      <w:r w:rsidRPr="00AE74F3">
        <w:t xml:space="preserve">=88.7%; p=0.003). Similarly, the submission reported the ARR treatment effect in the mid-efficacy tier DMTs versus placebo (RR: 0.42 </w:t>
      </w:r>
      <w:r w:rsidR="00D33D46" w:rsidRPr="00AE74F3">
        <w:t>(</w:t>
      </w:r>
      <w:r w:rsidR="009C7D0E" w:rsidRPr="00AE74F3">
        <w:t xml:space="preserve">95% CI: </w:t>
      </w:r>
      <w:r w:rsidRPr="00AE74F3">
        <w:t>0.37, 0.49</w:t>
      </w:r>
      <w:r w:rsidR="00D33D46" w:rsidRPr="00AE74F3">
        <w:t>)</w:t>
      </w:r>
      <w:r w:rsidRPr="00AE74F3">
        <w:t>) was statistically significantly superior to that of the low-efficacy tier DMTs versus placebo (RR : 0.66</w:t>
      </w:r>
      <w:r w:rsidR="00D33D46" w:rsidRPr="00AE74F3">
        <w:t xml:space="preserve"> (</w:t>
      </w:r>
      <w:r w:rsidR="009C7D0E" w:rsidRPr="00AE74F3">
        <w:t xml:space="preserve">95% CI: </w:t>
      </w:r>
      <w:r w:rsidRPr="00AE74F3">
        <w:t>0.61, 0.72</w:t>
      </w:r>
      <w:r w:rsidR="00D33D46" w:rsidRPr="00AE74F3">
        <w:t>)</w:t>
      </w:r>
      <w:r w:rsidRPr="00AE74F3">
        <w:t>), with this observation confirmed by the test for subgroup differences between mid- and low-efficacy tier subgroups being highly statistically significant (I</w:t>
      </w:r>
      <w:r w:rsidRPr="00AE74F3">
        <w:rPr>
          <w:vertAlign w:val="superscript"/>
        </w:rPr>
        <w:t>2</w:t>
      </w:r>
      <w:r w:rsidRPr="00AE74F3">
        <w:t>=96.</w:t>
      </w:r>
      <w:r w:rsidR="009C7D0E" w:rsidRPr="00AE74F3">
        <w:t>8</w:t>
      </w:r>
      <w:r w:rsidRPr="00AE74F3">
        <w:t>%; p&lt;0.00001).</w:t>
      </w:r>
    </w:p>
    <w:p w14:paraId="06724B2A" w14:textId="4BB5F025" w:rsidR="008600A3" w:rsidRPr="00AE74F3" w:rsidRDefault="008600A3" w:rsidP="008600A3">
      <w:pPr>
        <w:pStyle w:val="3-BodyText"/>
      </w:pPr>
      <w:r w:rsidRPr="00AE74F3">
        <w:lastRenderedPageBreak/>
        <w:t xml:space="preserve">While there appears to be a general trend that DMTs in the proposed high-efficacy tier have a better ARR than DMTs in the </w:t>
      </w:r>
      <w:r w:rsidR="00B77253">
        <w:t xml:space="preserve">proposed </w:t>
      </w:r>
      <w:r w:rsidRPr="00AE74F3">
        <w:t>mid-efficacy tier, and that DMTs in the mid-efficacy tier have a better ARR than DMTs in the low-efficacy tier, the 95% CIs for many drugs overlap including between drugs of different tiers. In fact, the 95% CI of each of the DMTs in the high-efficacy tier overlaps with the 95% CI of each of the DMTs in the mid-efficacy tier. This includes an overlap between the 95% CIs of ofatumumab and fingolimod.</w:t>
      </w:r>
      <w:bookmarkEnd w:id="42"/>
    </w:p>
    <w:p w14:paraId="2A2F77D7" w14:textId="2CBA86F8" w:rsidR="008600A3" w:rsidRPr="00AE74F3" w:rsidRDefault="007D48AF" w:rsidP="008600A3">
      <w:pPr>
        <w:pStyle w:val="3-BodyText"/>
      </w:pPr>
      <w:bookmarkStart w:id="43" w:name="_Ref153144809"/>
      <w:r>
        <w:t>Further, the evaluation and the ESC considered that</w:t>
      </w:r>
      <w:r w:rsidR="008600A3" w:rsidRPr="00AE74F3">
        <w:t xml:space="preserve"> the robustness of comparing these trials is likely to be compromised due to the different time frames over which they were conducted. </w:t>
      </w:r>
      <w:r w:rsidR="009C7D0E" w:rsidRPr="00AE74F3">
        <w:t>T</w:t>
      </w:r>
      <w:r w:rsidR="008600A3" w:rsidRPr="00AE74F3">
        <w:t>he use of DMTs and methods of diagnosis of MS have evolved considerably over time, thereby diminishing the comparability of the trials for different DMTs.</w:t>
      </w:r>
      <w:bookmarkEnd w:id="43"/>
      <w:r w:rsidR="008600A3" w:rsidRPr="00AE74F3">
        <w:t xml:space="preserve"> </w:t>
      </w:r>
    </w:p>
    <w:p w14:paraId="7A1536B0" w14:textId="6C93417C" w:rsidR="008600A3" w:rsidRPr="00AE74F3" w:rsidRDefault="008600A3" w:rsidP="008600A3">
      <w:pPr>
        <w:pStyle w:val="3-BodyText"/>
      </w:pPr>
      <w:r w:rsidRPr="00AE74F3">
        <w:t xml:space="preserve">The NMA results in Samjoo 2023 for time to 3mCDP for DMTs compared with placebo, which was based on 28 RCTs and connected 18 treatments including placebo, are presented in </w:t>
      </w:r>
      <w:r w:rsidRPr="00AE74F3">
        <w:fldChar w:fldCharType="begin" w:fldLock="1"/>
      </w:r>
      <w:r w:rsidRPr="00AE74F3">
        <w:instrText xml:space="preserve"> REF _Ref152966899 \h </w:instrText>
      </w:r>
      <w:r w:rsidR="005F098D" w:rsidRPr="00AE74F3">
        <w:instrText xml:space="preserve"> \* MERGEFORMAT </w:instrText>
      </w:r>
      <w:r w:rsidRPr="00AE74F3">
        <w:fldChar w:fldCharType="separate"/>
      </w:r>
      <w:r w:rsidR="00416916" w:rsidRPr="00AE74F3">
        <w:t xml:space="preserve">Figure </w:t>
      </w:r>
      <w:r w:rsidR="00416916">
        <w:rPr>
          <w:noProof/>
        </w:rPr>
        <w:t>3</w:t>
      </w:r>
      <w:r w:rsidRPr="00AE74F3">
        <w:fldChar w:fldCharType="end"/>
      </w:r>
      <w:r w:rsidRPr="00AE74F3">
        <w:t xml:space="preserve">. </w:t>
      </w:r>
    </w:p>
    <w:p w14:paraId="1ADFF800" w14:textId="795D4083" w:rsidR="008600A3" w:rsidRPr="00AE74F3" w:rsidRDefault="008600A3" w:rsidP="00F534B9">
      <w:pPr>
        <w:pStyle w:val="Caption"/>
      </w:pPr>
      <w:bookmarkStart w:id="44" w:name="_Ref152966899"/>
      <w:r w:rsidRPr="00AE74F3">
        <w:t xml:space="preserve">Figure </w:t>
      </w:r>
      <w:r w:rsidR="002943DF">
        <w:fldChar w:fldCharType="begin" w:fldLock="1"/>
      </w:r>
      <w:r w:rsidR="002943DF">
        <w:instrText xml:space="preserve"> SEQ Figure \* ARABIC </w:instrText>
      </w:r>
      <w:r w:rsidR="002943DF">
        <w:fldChar w:fldCharType="separate"/>
      </w:r>
      <w:r w:rsidR="00416916">
        <w:rPr>
          <w:noProof/>
        </w:rPr>
        <w:t>3</w:t>
      </w:r>
      <w:r w:rsidR="002943DF">
        <w:rPr>
          <w:noProof/>
        </w:rPr>
        <w:fldChar w:fldCharType="end"/>
      </w:r>
      <w:bookmarkEnd w:id="44"/>
      <w:r w:rsidRPr="00AE74F3">
        <w:t>:</w:t>
      </w:r>
      <w:r w:rsidRPr="00AE74F3">
        <w:tab/>
        <w:t>Forest plot for treatments compared with placebo for time to 3mCDP analysis</w:t>
      </w:r>
    </w:p>
    <w:p w14:paraId="1D39C76F" w14:textId="77777777" w:rsidR="008600A3" w:rsidRPr="00AE74F3" w:rsidRDefault="008600A3" w:rsidP="00F534B9">
      <w:pPr>
        <w:keepNext/>
        <w:keepLines/>
      </w:pPr>
      <w:r w:rsidRPr="00AE74F3">
        <w:rPr>
          <w:noProof/>
        </w:rPr>
        <w:drawing>
          <wp:inline distT="0" distB="0" distL="0" distR="0" wp14:anchorId="7A69AD2E" wp14:editId="542F304E">
            <wp:extent cx="5731510" cy="3675380"/>
            <wp:effectExtent l="0" t="0" r="2540" b="1270"/>
            <wp:docPr id="929207438" name="Picture 929207438" descr="Figure 3: Forest plot for treatments compared with placebo for time to 3mCDP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07438" name="Picture 929207438" descr="Figure 3: Forest plot for treatments compared with placebo for time to 3mCDP analysis"/>
                    <pic:cNvPicPr/>
                  </pic:nvPicPr>
                  <pic:blipFill>
                    <a:blip r:embed="rId11"/>
                    <a:stretch>
                      <a:fillRect/>
                    </a:stretch>
                  </pic:blipFill>
                  <pic:spPr>
                    <a:xfrm>
                      <a:off x="0" y="0"/>
                      <a:ext cx="5731510" cy="3675380"/>
                    </a:xfrm>
                    <a:prstGeom prst="rect">
                      <a:avLst/>
                    </a:prstGeom>
                  </pic:spPr>
                </pic:pic>
              </a:graphicData>
            </a:graphic>
          </wp:inline>
        </w:drawing>
      </w:r>
    </w:p>
    <w:p w14:paraId="4CA49FFA" w14:textId="77777777" w:rsidR="008600A3" w:rsidRPr="00AE74F3" w:rsidRDefault="008600A3" w:rsidP="00F534B9">
      <w:pPr>
        <w:pStyle w:val="FooterTableFigure"/>
        <w:keepNext/>
        <w:keepLines/>
      </w:pPr>
      <w:r w:rsidRPr="00AE74F3">
        <w:t>ALE = alemtuzumab; CDP = complete disease progression; CLA = cladribine; DMF = dimethyl fumarate; FIN = fingolimod; GA = glatiramer acetate; IFNB = interferon beta; IM = intramuscular; NAT= natalizumab; OCR = ocrelizumab; OMB = ofatumumab; OZN = ozanimod; PON = ponesimod; SC = subcutaneous; TER =, teriflunomide; UTX = ublituximab.</w:t>
      </w:r>
    </w:p>
    <w:p w14:paraId="629A0B91" w14:textId="77777777" w:rsidR="008600A3" w:rsidRPr="00AE74F3" w:rsidRDefault="008600A3" w:rsidP="00F534B9">
      <w:pPr>
        <w:pStyle w:val="FooterTableFigure"/>
        <w:keepNext/>
        <w:keepLines/>
      </w:pPr>
      <w:r w:rsidRPr="00AE74F3">
        <w:rPr>
          <w:vertAlign w:val="superscript"/>
        </w:rPr>
        <w:t>a</w:t>
      </w:r>
      <w:r w:rsidRPr="00AE74F3">
        <w:t xml:space="preserve"> Note The forest plot presents ARR results for individual DMTs compared with placebo, which contrasts with Samjoo 2020 where the forest plots presented ofatumumab compared to the individual DMTs.</w:t>
      </w:r>
    </w:p>
    <w:p w14:paraId="4ABA9A09" w14:textId="55839DFF" w:rsidR="008600A3" w:rsidRPr="00AE74F3" w:rsidRDefault="008600A3" w:rsidP="00326830">
      <w:pPr>
        <w:pStyle w:val="FooterTableFigure"/>
      </w:pPr>
      <w:r w:rsidRPr="00AE74F3">
        <w:t>Source: Figure 16 of the submission.</w:t>
      </w:r>
    </w:p>
    <w:p w14:paraId="73B4155F" w14:textId="1B42DAC2" w:rsidR="008600A3" w:rsidRPr="00AE74F3" w:rsidRDefault="008600A3" w:rsidP="008600A3">
      <w:pPr>
        <w:pStyle w:val="3-BodyText"/>
      </w:pPr>
      <w:r w:rsidRPr="00AE74F3">
        <w:t>The HRs for all the DMTs listed on the PBS relative to placebo for time to 3mCDP were grouped according to the proposed tiering in the submission (</w:t>
      </w:r>
      <w:r w:rsidRPr="00AE74F3">
        <w:fldChar w:fldCharType="begin" w:fldLock="1"/>
      </w:r>
      <w:r w:rsidRPr="00AE74F3">
        <w:instrText xml:space="preserve"> REF _Ref152967151 \h </w:instrText>
      </w:r>
      <w:r w:rsidR="005F098D" w:rsidRPr="00AE74F3">
        <w:instrText xml:space="preserve"> \* MERGEFORMAT </w:instrText>
      </w:r>
      <w:r w:rsidRPr="00AE74F3">
        <w:fldChar w:fldCharType="separate"/>
      </w:r>
      <w:r w:rsidR="00416916" w:rsidRPr="00AE74F3">
        <w:t xml:space="preserve">Figure </w:t>
      </w:r>
      <w:r w:rsidR="00416916">
        <w:rPr>
          <w:noProof/>
        </w:rPr>
        <w:t>4</w:t>
      </w:r>
      <w:r w:rsidRPr="00AE74F3">
        <w:fldChar w:fldCharType="end"/>
      </w:r>
      <w:r w:rsidRPr="00AE74F3">
        <w:t xml:space="preserve">). The proposed </w:t>
      </w:r>
      <w:r w:rsidRPr="00AE74F3">
        <w:lastRenderedPageBreak/>
        <w:t>efficacy tiers</w:t>
      </w:r>
      <w:r w:rsidR="008105F0" w:rsidRPr="00AE74F3">
        <w:t>, particularly between proposed low- and mid- efficacy tiers,</w:t>
      </w:r>
      <w:r w:rsidRPr="00AE74F3">
        <w:t xml:space="preserve"> did not correlate with the </w:t>
      </w:r>
      <w:r w:rsidR="00E222BC" w:rsidRPr="00AE74F3">
        <w:t xml:space="preserve">time to </w:t>
      </w:r>
      <w:r w:rsidRPr="00AE74F3">
        <w:t>3mCDP results.</w:t>
      </w:r>
      <w:r w:rsidR="004B5601" w:rsidRPr="00AE74F3">
        <w:t xml:space="preserve"> As for ARR, the confidence intervals of the individual DMTs in the proposed high- and mid- efficacy tiers appear to substantially overlap</w:t>
      </w:r>
      <w:r w:rsidR="009C7D0E" w:rsidRPr="00AE74F3">
        <w:t>.</w:t>
      </w:r>
      <w:r w:rsidR="004B5601" w:rsidRPr="00AE74F3">
        <w:t xml:space="preserve"> </w:t>
      </w:r>
    </w:p>
    <w:p w14:paraId="5EA4D000" w14:textId="66DFD6BC" w:rsidR="008600A3" w:rsidRPr="00AE74F3" w:rsidRDefault="008600A3" w:rsidP="0081236E">
      <w:pPr>
        <w:pStyle w:val="Caption"/>
      </w:pPr>
      <w:bookmarkStart w:id="45" w:name="_Ref152967151"/>
      <w:r w:rsidRPr="00AE74F3">
        <w:t xml:space="preserve">Figure </w:t>
      </w:r>
      <w:r w:rsidR="002943DF">
        <w:fldChar w:fldCharType="begin" w:fldLock="1"/>
      </w:r>
      <w:r w:rsidR="002943DF">
        <w:instrText xml:space="preserve"> SEQ Figure \* ARABIC </w:instrText>
      </w:r>
      <w:r w:rsidR="002943DF">
        <w:fldChar w:fldCharType="separate"/>
      </w:r>
      <w:r w:rsidR="00416916">
        <w:rPr>
          <w:noProof/>
        </w:rPr>
        <w:t>4</w:t>
      </w:r>
      <w:r w:rsidR="002943DF">
        <w:rPr>
          <w:noProof/>
        </w:rPr>
        <w:fldChar w:fldCharType="end"/>
      </w:r>
      <w:bookmarkEnd w:id="45"/>
      <w:r w:rsidRPr="00AE74F3">
        <w:t>:</w:t>
      </w:r>
      <w:r w:rsidRPr="00AE74F3">
        <w:tab/>
        <w:t>Time to 3mCDP – subgroup analyses of the proposed high-, mid-, and low-efficacy tier DMTs versus placebo</w:t>
      </w:r>
    </w:p>
    <w:p w14:paraId="73CC7ED1" w14:textId="77777777" w:rsidR="008600A3" w:rsidRPr="00AE74F3" w:rsidRDefault="008600A3" w:rsidP="0081236E">
      <w:pPr>
        <w:keepNext/>
        <w:keepLines/>
      </w:pPr>
      <w:r w:rsidRPr="00AE74F3">
        <w:rPr>
          <w:noProof/>
        </w:rPr>
        <w:drawing>
          <wp:inline distT="0" distB="0" distL="0" distR="0" wp14:anchorId="1AE500E5" wp14:editId="5CE6CCD3">
            <wp:extent cx="5581650" cy="4505900"/>
            <wp:effectExtent l="0" t="0" r="0" b="9525"/>
            <wp:docPr id="737215844" name="Picture 737215844" descr="Figure 4: Time to 3mCDP – subgroup analyses of the proposed high-, mid-, and low-efficacy tier DMTs versus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15844" name="Picture 737215844" descr="Figure 4: Time to 3mCDP – subgroup analyses of the proposed high-, mid-, and low-efficacy tier DMTs versus placeb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3303" cy="4507234"/>
                    </a:xfrm>
                    <a:prstGeom prst="rect">
                      <a:avLst/>
                    </a:prstGeom>
                    <a:noFill/>
                    <a:ln>
                      <a:noFill/>
                    </a:ln>
                  </pic:spPr>
                </pic:pic>
              </a:graphicData>
            </a:graphic>
          </wp:inline>
        </w:drawing>
      </w:r>
    </w:p>
    <w:p w14:paraId="072A0A92" w14:textId="77777777" w:rsidR="008600A3" w:rsidRPr="00AE74F3" w:rsidRDefault="008600A3" w:rsidP="0081236E">
      <w:pPr>
        <w:pStyle w:val="FooterTableFigure"/>
        <w:keepNext/>
        <w:keepLines/>
      </w:pPr>
      <w:r w:rsidRPr="00AE74F3">
        <w:t>ALE = alemtuzumab; CLA = cladribine; DMF = dimethyl fumarate; FIN = fingolimod; GA = glatiramer acetate; IFN = interferon; IM = intramuscular; NAT= natalizumab; OCR = ocrelizumab; OMB = ofatumumab; OZN = ozanimod; PON = ponesimod; SC = subcutaneous; TER = teriflunomide.</w:t>
      </w:r>
    </w:p>
    <w:p w14:paraId="72E43337" w14:textId="6BE04F34" w:rsidR="008600A3" w:rsidRPr="00AE74F3" w:rsidRDefault="008600A3" w:rsidP="00326830">
      <w:pPr>
        <w:pStyle w:val="FooterTableFigure"/>
      </w:pPr>
      <w:r w:rsidRPr="00AE74F3">
        <w:t>Source: Figure 18</w:t>
      </w:r>
      <w:r w:rsidR="00F67385">
        <w:t xml:space="preserve"> </w:t>
      </w:r>
      <w:r w:rsidRPr="00AE74F3">
        <w:t>of the submission.</w:t>
      </w:r>
    </w:p>
    <w:p w14:paraId="378DBD51" w14:textId="6FBB88AF" w:rsidR="008600A3" w:rsidRPr="00AE74F3" w:rsidRDefault="008600A3" w:rsidP="008600A3">
      <w:pPr>
        <w:pStyle w:val="3-BodyText"/>
      </w:pPr>
      <w:r w:rsidRPr="00AE74F3">
        <w:t xml:space="preserve">The results from the </w:t>
      </w:r>
      <w:r w:rsidR="00D91CC1" w:rsidRPr="00AE74F3">
        <w:t xml:space="preserve">Samjoo 2023 </w:t>
      </w:r>
      <w:r w:rsidRPr="00AE74F3">
        <w:t xml:space="preserve">for time to 6mCDP, which was based on 25 RCTs and connected 16 treatments including placebo, is provided in </w:t>
      </w:r>
      <w:r w:rsidRPr="00AE74F3">
        <w:fldChar w:fldCharType="begin" w:fldLock="1"/>
      </w:r>
      <w:r w:rsidRPr="00AE74F3">
        <w:instrText xml:space="preserve"> REF _Ref152967557 \h </w:instrText>
      </w:r>
      <w:r w:rsidR="005F098D" w:rsidRPr="00AE74F3">
        <w:instrText xml:space="preserve"> \* MERGEFORMAT </w:instrText>
      </w:r>
      <w:r w:rsidRPr="00AE74F3">
        <w:fldChar w:fldCharType="separate"/>
      </w:r>
      <w:r w:rsidR="00416916" w:rsidRPr="00AE74F3">
        <w:t xml:space="preserve">Figure </w:t>
      </w:r>
      <w:r w:rsidR="00416916">
        <w:rPr>
          <w:noProof/>
        </w:rPr>
        <w:t>5</w:t>
      </w:r>
      <w:r w:rsidRPr="00AE74F3">
        <w:fldChar w:fldCharType="end"/>
      </w:r>
      <w:r w:rsidRPr="00AE74F3">
        <w:t>.</w:t>
      </w:r>
    </w:p>
    <w:p w14:paraId="53A49B79" w14:textId="67398C4C" w:rsidR="008600A3" w:rsidRPr="00AE74F3" w:rsidRDefault="008600A3" w:rsidP="008600A3">
      <w:pPr>
        <w:pStyle w:val="Caption"/>
      </w:pPr>
      <w:bookmarkStart w:id="46" w:name="_Ref152967557"/>
      <w:r w:rsidRPr="00AE74F3">
        <w:lastRenderedPageBreak/>
        <w:t xml:space="preserve">Figure </w:t>
      </w:r>
      <w:r w:rsidR="002943DF">
        <w:fldChar w:fldCharType="begin" w:fldLock="1"/>
      </w:r>
      <w:r w:rsidR="002943DF">
        <w:instrText xml:space="preserve"> SEQ Figure \* ARABIC </w:instrText>
      </w:r>
      <w:r w:rsidR="002943DF">
        <w:fldChar w:fldCharType="separate"/>
      </w:r>
      <w:r w:rsidR="00416916">
        <w:rPr>
          <w:noProof/>
        </w:rPr>
        <w:t>5</w:t>
      </w:r>
      <w:r w:rsidR="002943DF">
        <w:rPr>
          <w:noProof/>
        </w:rPr>
        <w:fldChar w:fldCharType="end"/>
      </w:r>
      <w:bookmarkEnd w:id="46"/>
      <w:r w:rsidRPr="00AE74F3">
        <w:t>:</w:t>
      </w:r>
      <w:r w:rsidRPr="00AE74F3">
        <w:tab/>
        <w:t>Forest plot for treatments compared with placebo for time to 6mCDP analysis</w:t>
      </w:r>
    </w:p>
    <w:p w14:paraId="6CED62FF" w14:textId="77777777" w:rsidR="008600A3" w:rsidRPr="00AE74F3" w:rsidRDefault="008600A3" w:rsidP="008600A3">
      <w:bookmarkStart w:id="47" w:name="_Hlk152967271"/>
      <w:r w:rsidRPr="00AE74F3">
        <w:rPr>
          <w:noProof/>
        </w:rPr>
        <w:drawing>
          <wp:inline distT="0" distB="0" distL="0" distR="0" wp14:anchorId="25777C18" wp14:editId="6C979CE5">
            <wp:extent cx="5509260" cy="3450074"/>
            <wp:effectExtent l="0" t="0" r="0" b="0"/>
            <wp:docPr id="1046032590" name="Picture 1046032590" descr="Figure 5: Forest plot for treatments compared with placebo for time to 6mCDP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32590" name="Picture 1046032590" descr="Figure 5: Forest plot for treatments compared with placebo for time to 6mCDP analysis"/>
                    <pic:cNvPicPr/>
                  </pic:nvPicPr>
                  <pic:blipFill rotWithShape="1">
                    <a:blip r:embed="rId13"/>
                    <a:srcRect l="6020" b="12601"/>
                    <a:stretch/>
                  </pic:blipFill>
                  <pic:spPr bwMode="auto">
                    <a:xfrm>
                      <a:off x="0" y="0"/>
                      <a:ext cx="5523916" cy="3459252"/>
                    </a:xfrm>
                    <a:prstGeom prst="rect">
                      <a:avLst/>
                    </a:prstGeom>
                    <a:ln>
                      <a:noFill/>
                    </a:ln>
                    <a:extLst>
                      <a:ext uri="{53640926-AAD7-44D8-BBD7-CCE9431645EC}">
                        <a14:shadowObscured xmlns:a14="http://schemas.microsoft.com/office/drawing/2010/main"/>
                      </a:ext>
                    </a:extLst>
                  </pic:spPr>
                </pic:pic>
              </a:graphicData>
            </a:graphic>
          </wp:inline>
        </w:drawing>
      </w:r>
    </w:p>
    <w:bookmarkEnd w:id="47"/>
    <w:p w14:paraId="69FBBC02" w14:textId="77777777" w:rsidR="008600A3" w:rsidRPr="00AE74F3" w:rsidRDefault="008600A3" w:rsidP="008600A3">
      <w:pPr>
        <w:pStyle w:val="FooterTableFigure"/>
        <w:keepNext/>
        <w:keepLines/>
      </w:pPr>
      <w:r w:rsidRPr="00AE74F3">
        <w:t>ALE = alemtuzumab; CDP = complete disease progression; CLA = cladribine; DMF = dimethyl fumarate; FIN = fingolimod; GA = glatiramer acetate; IFNB = interferon beta; IM = intramuscular; NAT= natalizumab; OCR = ocrelizumab; OMB = ofatumumab; OZN = ozanimod; PON = ponesimod; SC = subcutaneous; TER =, teriflunomide; UTX = ublituximab.</w:t>
      </w:r>
    </w:p>
    <w:p w14:paraId="79687DCD" w14:textId="174B7567" w:rsidR="008600A3" w:rsidRPr="00AE74F3" w:rsidRDefault="008600A3" w:rsidP="00326830">
      <w:pPr>
        <w:pStyle w:val="FooterTableFigure"/>
      </w:pPr>
      <w:r w:rsidRPr="00AE74F3">
        <w:t>Source: Figure 19 of the submission.</w:t>
      </w:r>
    </w:p>
    <w:p w14:paraId="38AF22F3" w14:textId="35442E3E" w:rsidR="008600A3" w:rsidRPr="00AE74F3" w:rsidRDefault="008600A3" w:rsidP="008600A3">
      <w:pPr>
        <w:pStyle w:val="3-BodyText"/>
      </w:pPr>
      <w:r w:rsidRPr="00AE74F3">
        <w:t>All of the issues regarding the interpretation of the NMA for ARR (</w:t>
      </w:r>
      <w:r w:rsidR="008B6722" w:rsidRPr="00AE74F3">
        <w:t xml:space="preserve">paragraphs </w:t>
      </w:r>
      <w:r w:rsidR="008B6722" w:rsidRPr="00AE74F3">
        <w:fldChar w:fldCharType="begin" w:fldLock="1"/>
      </w:r>
      <w:r w:rsidR="008B6722" w:rsidRPr="00AE74F3">
        <w:instrText xml:space="preserve"> REF _Ref153144807 \r \h </w:instrText>
      </w:r>
      <w:r w:rsidR="005F098D" w:rsidRPr="00AE74F3">
        <w:instrText xml:space="preserve"> \* MERGEFORMAT </w:instrText>
      </w:r>
      <w:r w:rsidR="008B6722" w:rsidRPr="00AE74F3">
        <w:fldChar w:fldCharType="separate"/>
      </w:r>
      <w:r w:rsidR="00416916">
        <w:t>6.44</w:t>
      </w:r>
      <w:r w:rsidR="008B6722" w:rsidRPr="00AE74F3">
        <w:fldChar w:fldCharType="end"/>
      </w:r>
      <w:r w:rsidR="008B6722" w:rsidRPr="00AE74F3">
        <w:t xml:space="preserve"> to </w:t>
      </w:r>
      <w:r w:rsidR="008B6722" w:rsidRPr="00AE74F3">
        <w:fldChar w:fldCharType="begin" w:fldLock="1"/>
      </w:r>
      <w:r w:rsidR="008B6722" w:rsidRPr="00AE74F3">
        <w:instrText xml:space="preserve"> REF _Ref153144809 \r \h </w:instrText>
      </w:r>
      <w:r w:rsidR="005F098D" w:rsidRPr="00AE74F3">
        <w:instrText xml:space="preserve"> \* MERGEFORMAT </w:instrText>
      </w:r>
      <w:r w:rsidR="008B6722" w:rsidRPr="00AE74F3">
        <w:fldChar w:fldCharType="separate"/>
      </w:r>
      <w:r w:rsidR="00416916">
        <w:t>6.46</w:t>
      </w:r>
      <w:r w:rsidR="008B6722" w:rsidRPr="00AE74F3">
        <w:fldChar w:fldCharType="end"/>
      </w:r>
      <w:r w:rsidRPr="00AE74F3">
        <w:t>) remain relevant to the NMAs for</w:t>
      </w:r>
      <w:r w:rsidR="00E222BC" w:rsidRPr="00AE74F3">
        <w:t xml:space="preserve"> time to</w:t>
      </w:r>
      <w:r w:rsidRPr="00AE74F3">
        <w:t xml:space="preserve"> 3mCDP and 6mCDP i.e. </w:t>
      </w:r>
      <w:r w:rsidR="009C7D0E" w:rsidRPr="00AE74F3">
        <w:t>t</w:t>
      </w:r>
      <w:r w:rsidRPr="00AE74F3">
        <w:t>he 95% CIs for many drugs overlap including between drugs of different tiers; the relevance of comparing pooled results between these groups remains unclear; and the robustness of comparing these DMT trials may be compromised due to the different time frames over which they were conducted.</w:t>
      </w:r>
    </w:p>
    <w:p w14:paraId="31DC9952" w14:textId="337653D1" w:rsidR="008600A3" w:rsidRPr="00AE74F3" w:rsidRDefault="008600A3" w:rsidP="008600A3">
      <w:pPr>
        <w:pStyle w:val="3-BodyText"/>
      </w:pPr>
      <w:r w:rsidRPr="00AE74F3">
        <w:t xml:space="preserve">The submission </w:t>
      </w:r>
      <w:r w:rsidR="00926D5F" w:rsidRPr="00AE74F3">
        <w:t xml:space="preserve">also </w:t>
      </w:r>
      <w:r w:rsidRPr="00AE74F3">
        <w:t xml:space="preserve">presented the results of a systematic literature review that identified </w:t>
      </w:r>
      <w:r w:rsidR="00BC3F8F">
        <w:t>seven other</w:t>
      </w:r>
      <w:r w:rsidRPr="00AE74F3">
        <w:t xml:space="preserve"> recently published NMAs in addition to Samjoo 2023 that included ofatumumab and other DMTs for the treatment of RRMS (Asha 2021, Chen 2023, Drudge 2022, I.C.E.R. 2023, Liu 2021, Śladowska 2022 and Wu 2022). </w:t>
      </w:r>
    </w:p>
    <w:p w14:paraId="76F2BED8" w14:textId="753B6B92" w:rsidR="008600A3" w:rsidRPr="00AE74F3" w:rsidRDefault="008600A3" w:rsidP="008600A3">
      <w:pPr>
        <w:pStyle w:val="3-BodyText"/>
      </w:pPr>
      <w:r w:rsidRPr="00AE74F3">
        <w:t>The submission reported that all the published NMAs that included fingolimod as a comparator (Chen 2023, I.C.E.R. 2023, Liu 2021) reported statistically significantly superior risk reduction in ARR for ofatumumab versus fingolimod, however this was not the case for Drudge 2022 (RR</w:t>
      </w:r>
      <w:r w:rsidR="00D33D46" w:rsidRPr="00AE74F3">
        <w:t>:</w:t>
      </w:r>
      <w:r w:rsidRPr="00AE74F3">
        <w:t xml:space="preserve"> 0.84 (</w:t>
      </w:r>
      <w:r w:rsidR="00D33D46" w:rsidRPr="00AE74F3">
        <w:t xml:space="preserve">95% CI: </w:t>
      </w:r>
      <w:r w:rsidRPr="00AE74F3">
        <w:t>0.20, 3.39)) and Samjoo 2023 (RR</w:t>
      </w:r>
      <w:r w:rsidR="00D33D46" w:rsidRPr="00AE74F3">
        <w:t xml:space="preserve">: </w:t>
      </w:r>
      <w:r w:rsidRPr="00AE74F3">
        <w:t>0.70 (</w:t>
      </w:r>
      <w:r w:rsidR="00D33D46" w:rsidRPr="00AE74F3">
        <w:t xml:space="preserve">95% CI </w:t>
      </w:r>
      <w:r w:rsidRPr="00AE74F3">
        <w:t xml:space="preserve">0.51, 1.03)). </w:t>
      </w:r>
    </w:p>
    <w:p w14:paraId="59905F6D" w14:textId="276A1A38" w:rsidR="008600A3" w:rsidRPr="00AE74F3" w:rsidRDefault="008600A3" w:rsidP="008600A3">
      <w:pPr>
        <w:pStyle w:val="3-BodyText"/>
      </w:pPr>
      <w:r w:rsidRPr="00AE74F3">
        <w:t>Only Chen 2023, I.C.E.R. 2023 and Samjoo 2023 reported NMA results for</w:t>
      </w:r>
      <w:r w:rsidR="008B6722" w:rsidRPr="00AE74F3">
        <w:t xml:space="preserve"> time to</w:t>
      </w:r>
      <w:r w:rsidRPr="00AE74F3">
        <w:t xml:space="preserve"> 3mCDP. For these three studies, the HR for ofatumumab versus fingolimod was 0.59-0.62, although these results were not always statistically significant (Chen 2023 (HR </w:t>
      </w:r>
      <w:r w:rsidRPr="00AE74F3">
        <w:lastRenderedPageBreak/>
        <w:t>(95% CI) = 0.60 (0.41, 0.88)), I.C.E.R. 2023 (HR (95% CI) = 0.59 (0.34,1.02)) and Samjoo 2023 (HR (95% CI) =0.62 (0.38 1.00)).</w:t>
      </w:r>
    </w:p>
    <w:p w14:paraId="12A9B549" w14:textId="77777777" w:rsidR="008600A3" w:rsidRPr="004F43A8" w:rsidRDefault="008600A3" w:rsidP="008600A3">
      <w:pPr>
        <w:pStyle w:val="4-SubsectionHeading"/>
      </w:pPr>
      <w:bookmarkStart w:id="48" w:name="_Toc156817842"/>
      <w:r w:rsidRPr="004F43A8">
        <w:t>Comparative harms</w:t>
      </w:r>
      <w:bookmarkEnd w:id="48"/>
    </w:p>
    <w:p w14:paraId="4F5F0DFA" w14:textId="6B48EE54" w:rsidR="00890451" w:rsidRPr="005F098D" w:rsidRDefault="00890451" w:rsidP="00890451">
      <w:pPr>
        <w:pStyle w:val="3-BodyText"/>
      </w:pPr>
      <w:r w:rsidRPr="005F098D">
        <w:t xml:space="preserve">The submission considered </w:t>
      </w:r>
      <w:r w:rsidR="00D25876">
        <w:t xml:space="preserve">that </w:t>
      </w:r>
      <w:r w:rsidRPr="005F098D">
        <w:t>a two-step ITC was not appropriate for safety</w:t>
      </w:r>
      <w:r>
        <w:t>, and i</w:t>
      </w:r>
      <w:r w:rsidRPr="005F098D">
        <w:t xml:space="preserve">nstead presented a naïve indirect comparison of adverse events </w:t>
      </w:r>
      <w:r>
        <w:t>associated with</w:t>
      </w:r>
      <w:r w:rsidRPr="005F098D">
        <w:t xml:space="preserve"> ofatumumab versus fingolimod. The submission considered that the safety profiles </w:t>
      </w:r>
      <w:r>
        <w:t>of</w:t>
      </w:r>
      <w:r w:rsidRPr="005F098D">
        <w:t xml:space="preserve"> ofatumumab and fingolimod are different, typically relating to the differences in </w:t>
      </w:r>
      <w:r>
        <w:t xml:space="preserve">the </w:t>
      </w:r>
      <w:r w:rsidRPr="005F098D">
        <w:t>mode of action and method of administration.</w:t>
      </w:r>
    </w:p>
    <w:p w14:paraId="139C7F73" w14:textId="30EB096D" w:rsidR="008600A3" w:rsidRPr="005F098D" w:rsidRDefault="008A73D3" w:rsidP="00F65A42">
      <w:pPr>
        <w:pStyle w:val="3-BodyText"/>
      </w:pPr>
      <w:r>
        <w:t>In its March 2021 consideration of ofatumumab, the</w:t>
      </w:r>
      <w:r w:rsidR="008600A3" w:rsidRPr="005F098D">
        <w:t xml:space="preserve"> PBAC </w:t>
      </w:r>
      <w:r w:rsidR="00890451">
        <w:t>“</w:t>
      </w:r>
      <w:r w:rsidR="008600A3" w:rsidRPr="005F098D">
        <w:t xml:space="preserve">noted </w:t>
      </w:r>
      <w:r w:rsidR="00890451">
        <w:t>that whilst it was difficult to evaluate the comparative safety of ofatumumab and the comparators due to the differences in the overall safety profiles, mechanisms of action, treatment regimens, routes of administration and other factors, the Committee considered the overall adverse event profile was likely non-inferior to ocrelizumab and comparable to that of any of the other higher tier agents and that there were no specific signals which would indicate ofatumumab is of inferior safety to these therapies”</w:t>
      </w:r>
      <w:r w:rsidR="008600A3" w:rsidRPr="005F098D">
        <w:t xml:space="preserve"> (paragraph 7.9, ofatumumab PSD, March 2021 PBAC meeting). As</w:t>
      </w:r>
      <w:r w:rsidR="00890451">
        <w:t xml:space="preserve"> no new comparative safety data were provided</w:t>
      </w:r>
      <w:r w:rsidR="008600A3" w:rsidRPr="005F098D">
        <w:t>, the</w:t>
      </w:r>
      <w:r w:rsidR="00890451">
        <w:t xml:space="preserve"> evaluation and the ESC considered that the</w:t>
      </w:r>
      <w:r w:rsidR="008600A3" w:rsidRPr="005F098D">
        <w:t>se comments remain</w:t>
      </w:r>
      <w:r w:rsidR="00890451">
        <w:t>ed</w:t>
      </w:r>
      <w:r w:rsidR="008600A3" w:rsidRPr="005F098D">
        <w:t xml:space="preserve"> applicable.</w:t>
      </w:r>
    </w:p>
    <w:p w14:paraId="16891F7F" w14:textId="77777777" w:rsidR="008600A3" w:rsidRPr="00D33D46" w:rsidRDefault="008600A3" w:rsidP="008600A3">
      <w:pPr>
        <w:pStyle w:val="4-SubsectionHeading"/>
      </w:pPr>
      <w:bookmarkStart w:id="49" w:name="_Toc156817843"/>
      <w:r w:rsidRPr="00D33D46">
        <w:t>Benefits/harms</w:t>
      </w:r>
      <w:bookmarkEnd w:id="49"/>
    </w:p>
    <w:p w14:paraId="2E4240E5" w14:textId="00664329" w:rsidR="009C7D0E" w:rsidRPr="00AE74F3" w:rsidRDefault="007D5D88" w:rsidP="00237904">
      <w:pPr>
        <w:pStyle w:val="3-BodyText"/>
      </w:pPr>
      <w:r w:rsidRPr="00AE74F3">
        <w:t>T</w:t>
      </w:r>
      <w:r w:rsidR="009C7D0E" w:rsidRPr="00AE74F3">
        <w:t xml:space="preserve">he ESC considered that </w:t>
      </w:r>
      <w:r w:rsidRPr="00AE74F3">
        <w:t xml:space="preserve">the comparisons presented in the submission were not sufficiently reliable to allow for a robust quantitative comparison of the benefits and harms of ofatumumab </w:t>
      </w:r>
      <w:r w:rsidR="00860F8E">
        <w:t>versus</w:t>
      </w:r>
      <w:r w:rsidRPr="00AE74F3">
        <w:t xml:space="preserve"> fingolimod. Accordingly, a benefits/harms table has not been presented.</w:t>
      </w:r>
    </w:p>
    <w:p w14:paraId="43C33171" w14:textId="77777777" w:rsidR="008600A3" w:rsidRPr="004F43A8" w:rsidRDefault="008600A3" w:rsidP="008600A3">
      <w:pPr>
        <w:pStyle w:val="4-SubsectionHeading"/>
      </w:pPr>
      <w:bookmarkStart w:id="50" w:name="_Toc156817844"/>
      <w:r w:rsidRPr="00D33D46">
        <w:t>Clinical claim</w:t>
      </w:r>
      <w:bookmarkEnd w:id="50"/>
    </w:p>
    <w:p w14:paraId="324C8C9A" w14:textId="5599BDD2" w:rsidR="008600A3" w:rsidRPr="00AE74F3" w:rsidRDefault="008600A3" w:rsidP="00D25876">
      <w:pPr>
        <w:pStyle w:val="3-BodyText"/>
      </w:pPr>
      <w:bookmarkStart w:id="51" w:name="_Ref153184550"/>
      <w:r w:rsidRPr="00AE74F3">
        <w:t>The submission</w:t>
      </w:r>
      <w:r w:rsidR="00D25876">
        <w:t xml:space="preserve"> claimed that o</w:t>
      </w:r>
      <w:r w:rsidR="00A32DE2">
        <w:rPr>
          <w:lang w:val="en-US"/>
        </w:rPr>
        <w:t>ofatumumab</w:t>
      </w:r>
      <w:r w:rsidR="00D25876">
        <w:rPr>
          <w:lang w:val="en-US"/>
        </w:rPr>
        <w:t xml:space="preserve"> (as a high-efficacy tier treatment) is</w:t>
      </w:r>
      <w:r w:rsidR="00D25876" w:rsidRPr="00C1461A">
        <w:rPr>
          <w:lang w:val="en-US"/>
        </w:rPr>
        <w:t xml:space="preserve"> superior to </w:t>
      </w:r>
      <w:r w:rsidR="00D25876">
        <w:rPr>
          <w:lang w:val="en-US"/>
        </w:rPr>
        <w:t xml:space="preserve">fingolimod (as proxy for the mid-efficacy tier) </w:t>
      </w:r>
      <w:r w:rsidR="00D25876" w:rsidRPr="00C1461A">
        <w:rPr>
          <w:lang w:val="en-US"/>
        </w:rPr>
        <w:t>in terms of clinical effectiveness</w:t>
      </w:r>
      <w:r w:rsidR="00D25876">
        <w:rPr>
          <w:lang w:val="en-US"/>
        </w:rPr>
        <w:t xml:space="preserve"> with a different but non-inferior safety profile.</w:t>
      </w:r>
      <w:r w:rsidRPr="00AE74F3">
        <w:t xml:space="preserve"> The </w:t>
      </w:r>
      <w:r w:rsidR="00C33323" w:rsidRPr="00AE74F3">
        <w:t>evaluation and the ESC considered the claim of superior effectiveness</w:t>
      </w:r>
      <w:r w:rsidRPr="00AE74F3">
        <w:t xml:space="preserve"> </w:t>
      </w:r>
      <w:r w:rsidR="00B71407" w:rsidRPr="00AE74F3">
        <w:t>wa</w:t>
      </w:r>
      <w:r w:rsidRPr="00AE74F3">
        <w:t>s not adequately supported by the evidence presented in the submission because:</w:t>
      </w:r>
      <w:bookmarkEnd w:id="51"/>
    </w:p>
    <w:p w14:paraId="3DA04673" w14:textId="3082C9C6" w:rsidR="008600A3" w:rsidRPr="00AE74F3" w:rsidRDefault="00C33323" w:rsidP="008600A3">
      <w:pPr>
        <w:pStyle w:val="ListParagraph"/>
        <w:ind w:left="1134"/>
      </w:pPr>
      <w:r w:rsidRPr="00AE74F3">
        <w:t xml:space="preserve">The claim relied on a two-step indirect comparison, a network meta-analysis and two unanchored, adjusted </w:t>
      </w:r>
      <w:r w:rsidR="00796D83" w:rsidRPr="00AE74F3">
        <w:t xml:space="preserve">(IPTW and STC) </w:t>
      </w:r>
      <w:r w:rsidRPr="00AE74F3">
        <w:t xml:space="preserve">comparisons. </w:t>
      </w:r>
      <w:r w:rsidR="008600A3" w:rsidRPr="00AE74F3">
        <w:t xml:space="preserve">There were </w:t>
      </w:r>
      <w:r w:rsidR="007D5D88" w:rsidRPr="00AE74F3">
        <w:t xml:space="preserve">substantial </w:t>
      </w:r>
      <w:r w:rsidR="008600A3" w:rsidRPr="00AE74F3">
        <w:t xml:space="preserve">transitivity and exchangeability issues between the trials </w:t>
      </w:r>
      <w:r w:rsidRPr="00AE74F3">
        <w:t>that were included in the</w:t>
      </w:r>
      <w:r w:rsidR="00796D83" w:rsidRPr="00AE74F3">
        <w:t xml:space="preserve"> two-step indirect comparison</w:t>
      </w:r>
      <w:r w:rsidRPr="00AE74F3">
        <w:t xml:space="preserve"> </w:t>
      </w:r>
      <w:r w:rsidR="008600A3" w:rsidRPr="00AE74F3">
        <w:t>in terms of baseline characteristics (e.g. proportion with prior DMT use, types of prior DMT used, number of relapses in the previous year, and longer time since onset of MS symptoms in FREEDOMS II). Further, t</w:t>
      </w:r>
      <w:r w:rsidR="008600A3" w:rsidRPr="00AE74F3" w:rsidDel="00E46A29">
        <w:t xml:space="preserve">he </w:t>
      </w:r>
      <w:r w:rsidR="008600A3" w:rsidRPr="00AE74F3">
        <w:t xml:space="preserve">included </w:t>
      </w:r>
      <w:r w:rsidR="008600A3" w:rsidRPr="00AE74F3" w:rsidDel="00E46A29">
        <w:t>trials were conducted over a wide time period</w:t>
      </w:r>
      <w:r w:rsidR="00044894" w:rsidRPr="00AE74F3">
        <w:t xml:space="preserve">. </w:t>
      </w:r>
      <w:r w:rsidR="008600A3" w:rsidRPr="00AE74F3" w:rsidDel="00E46A29">
        <w:t xml:space="preserve">This </w:t>
      </w:r>
      <w:r w:rsidR="00044894" w:rsidRPr="00AE74F3">
        <w:t>wa</w:t>
      </w:r>
      <w:r w:rsidR="008600A3" w:rsidRPr="00AE74F3" w:rsidDel="00E46A29">
        <w:t xml:space="preserve">s likely to </w:t>
      </w:r>
      <w:r w:rsidRPr="00AE74F3">
        <w:t xml:space="preserve">have </w:t>
      </w:r>
      <w:r w:rsidR="008600A3" w:rsidRPr="00AE74F3" w:rsidDel="00E46A29">
        <w:t>reduce</w:t>
      </w:r>
      <w:r w:rsidRPr="00AE74F3">
        <w:t>d</w:t>
      </w:r>
      <w:r w:rsidR="008600A3" w:rsidRPr="00AE74F3" w:rsidDel="00E46A29">
        <w:t xml:space="preserve"> the comparability of the trials due to the evolution of the treatment of MS (i.e. introduction of high-efficacy DMTs) and the diagnosis of MS (e.g. changes in the McDonald diagnostic criteria) during this period</w:t>
      </w:r>
      <w:r w:rsidRPr="00AE74F3">
        <w:t xml:space="preserve">. The ESC considered that </w:t>
      </w:r>
      <w:r w:rsidRPr="00AE74F3">
        <w:lastRenderedPageBreak/>
        <w:t xml:space="preserve">the transitivity issues were evidenced by the differences between the ARR rates in the </w:t>
      </w:r>
      <w:r w:rsidR="007D5D88" w:rsidRPr="00AE74F3">
        <w:t xml:space="preserve">two </w:t>
      </w:r>
      <w:r w:rsidRPr="00AE74F3">
        <w:t>common reference arms</w:t>
      </w:r>
      <w:r w:rsidR="007D5D88" w:rsidRPr="00AE74F3">
        <w:t>.</w:t>
      </w:r>
    </w:p>
    <w:p w14:paraId="4BFAE9E3" w14:textId="77777777" w:rsidR="00796D83" w:rsidRPr="00AE74F3" w:rsidRDefault="00796D83" w:rsidP="00796D83">
      <w:pPr>
        <w:pStyle w:val="ListParagraph"/>
        <w:ind w:left="1134"/>
      </w:pPr>
      <w:bookmarkStart w:id="52" w:name="_Hlk154225113"/>
      <w:r w:rsidRPr="00AE74F3">
        <w:t>The unanchored I</w:t>
      </w:r>
      <w:bookmarkStart w:id="53" w:name="_Hlk159497105"/>
      <w:r w:rsidRPr="00AE74F3">
        <w:t>PTW and STC analyses were associated with an unknown amount of bias due to the potential for missing observed or unobserved effect modifiers and/or prognostic variables</w:t>
      </w:r>
      <w:bookmarkEnd w:id="53"/>
      <w:r w:rsidRPr="00AE74F3">
        <w:t xml:space="preserve"> (including the type of prior DMT and the time at which each trial was conducted).</w:t>
      </w:r>
      <w:r w:rsidRPr="00AE74F3">
        <w:rPr>
          <w:vertAlign w:val="superscript"/>
        </w:rPr>
        <w:t xml:space="preserve">. </w:t>
      </w:r>
    </w:p>
    <w:bookmarkEnd w:id="52"/>
    <w:p w14:paraId="407DD85C" w14:textId="2A137722" w:rsidR="008600A3" w:rsidRPr="00AE74F3" w:rsidRDefault="007D5D88" w:rsidP="007D5D88">
      <w:pPr>
        <w:pStyle w:val="ListBullet"/>
        <w:spacing w:after="120"/>
        <w:ind w:left="1134" w:hanging="357"/>
      </w:pPr>
      <w:r w:rsidRPr="00AE74F3">
        <w:t xml:space="preserve">A statistically significant difference was not consistently observed across all approaches. For example, </w:t>
      </w:r>
      <w:r w:rsidR="008600A3" w:rsidRPr="00AE74F3">
        <w:t xml:space="preserve">the </w:t>
      </w:r>
      <w:r w:rsidR="00587BB7" w:rsidRPr="00AE74F3">
        <w:t xml:space="preserve">time to </w:t>
      </w:r>
      <w:r w:rsidR="008600A3" w:rsidRPr="00AE74F3">
        <w:t>3mCDP results using OR rather than HR (OR = 0.669, 95%</w:t>
      </w:r>
      <w:r w:rsidR="00796D83" w:rsidRPr="00AE74F3">
        <w:t xml:space="preserve"> </w:t>
      </w:r>
      <w:r w:rsidR="008600A3" w:rsidRPr="00AE74F3">
        <w:t xml:space="preserve">CI 0.422, 1.06, p = 0.087) were </w:t>
      </w:r>
      <w:r w:rsidRPr="00AE74F3">
        <w:t xml:space="preserve">not </w:t>
      </w:r>
      <w:r w:rsidR="008600A3" w:rsidRPr="00AE74F3">
        <w:t>statistically significantly different between ofatumumab and fingolimod</w:t>
      </w:r>
      <w:r w:rsidRPr="00AE74F3">
        <w:t>. Further, t</w:t>
      </w:r>
      <w:r w:rsidR="008600A3" w:rsidRPr="00AE74F3">
        <w:t>he proportion</w:t>
      </w:r>
      <w:r w:rsidR="00D73188" w:rsidRPr="00AE74F3">
        <w:t xml:space="preserve"> </w:t>
      </w:r>
      <w:r w:rsidR="008600A3" w:rsidRPr="00AE74F3">
        <w:t xml:space="preserve">relapse free </w:t>
      </w:r>
      <w:r w:rsidR="00D73188" w:rsidRPr="00AE74F3">
        <w:t xml:space="preserve">result </w:t>
      </w:r>
      <w:r w:rsidR="008600A3" w:rsidRPr="00AE74F3">
        <w:t>(OR = 1.498, 95% CI</w:t>
      </w:r>
      <w:r w:rsidR="00796D83" w:rsidRPr="00AE74F3">
        <w:t>:</w:t>
      </w:r>
      <w:r w:rsidR="008600A3" w:rsidRPr="00AE74F3">
        <w:t xml:space="preserve"> 0.973, 2.306; p-value = 0.0667)</w:t>
      </w:r>
      <w:r w:rsidR="00D73188" w:rsidRPr="00AE74F3">
        <w:t>,</w:t>
      </w:r>
      <w:r w:rsidR="008600A3" w:rsidRPr="00AE74F3">
        <w:t xml:space="preserve"> which the PBAC had previously considered to be the preferred outcome for sustained benefit (paragraph 6.10, alemtuzumab PSD, November 2018 PBAC meeting)</w:t>
      </w:r>
      <w:r w:rsidR="00D73188" w:rsidRPr="00AE74F3">
        <w:t>,</w:t>
      </w:r>
      <w:r w:rsidR="008600A3" w:rsidRPr="00AE74F3">
        <w:t xml:space="preserve"> were not statistically significantly different between ofatumumab and fingolimod, based on results presented in the </w:t>
      </w:r>
      <w:r w:rsidR="0097691B" w:rsidRPr="00AE74F3">
        <w:t xml:space="preserve">March </w:t>
      </w:r>
      <w:r w:rsidR="008600A3" w:rsidRPr="00AE74F3">
        <w:t>2021 ofatumumab submission</w:t>
      </w:r>
      <w:r w:rsidRPr="00AE74F3">
        <w:t>.</w:t>
      </w:r>
    </w:p>
    <w:p w14:paraId="193A7ACD" w14:textId="0FD9134B" w:rsidR="0079569F" w:rsidRPr="00AE74F3" w:rsidRDefault="0079569F" w:rsidP="0079569F">
      <w:pPr>
        <w:pStyle w:val="3-BodyText"/>
      </w:pPr>
      <w:r w:rsidRPr="00AE74F3">
        <w:t xml:space="preserve">The two-step ITC (via teriflunomide and placebo) was previously seen by the PBAC in the March 2021 ofatumumab submission. At this consideration, the PBAC did not accept that ofatumumab provided a significant improvement in efficacy over fingolimod (paragraph 7.4, ofatumumab PSD, March 2021 PBAC meeting). The PSCR stated that the previous claim of non-inferiority versus fingolimod was a conservative approach to enable faster access, and that new </w:t>
      </w:r>
      <w:r w:rsidR="00EE522D" w:rsidRPr="00AE74F3">
        <w:t>adjusted analyses (</w:t>
      </w:r>
      <w:r w:rsidRPr="00AE74F3">
        <w:t>IPTW and STC</w:t>
      </w:r>
      <w:r w:rsidR="00EE522D" w:rsidRPr="00AE74F3">
        <w:t>)</w:t>
      </w:r>
      <w:r w:rsidRPr="00AE74F3">
        <w:t xml:space="preserve"> with consistent results were now provided to help address the transitivity issues with the two-step ITC. However, the ESC considered that the new evidence was also associated with the potential for bias and did not sufficiently support a claim of superiority. </w:t>
      </w:r>
    </w:p>
    <w:p w14:paraId="48A7B8F3" w14:textId="6D225A9C" w:rsidR="008600A3" w:rsidRDefault="008600A3" w:rsidP="001936B8">
      <w:pPr>
        <w:pStyle w:val="3-BodyText"/>
      </w:pPr>
      <w:bookmarkStart w:id="54" w:name="_Ref153184552"/>
      <w:r w:rsidRPr="00AE74F3">
        <w:t xml:space="preserve">Additionally, </w:t>
      </w:r>
      <w:r w:rsidR="00796D83" w:rsidRPr="00AE74F3">
        <w:t xml:space="preserve">the evaluation and the ESC considered that </w:t>
      </w:r>
      <w:r w:rsidRPr="00AE74F3">
        <w:t xml:space="preserve">the </w:t>
      </w:r>
      <w:r w:rsidR="00AC1566" w:rsidRPr="00AE74F3">
        <w:t xml:space="preserve">proposed </w:t>
      </w:r>
      <w:r w:rsidRPr="00AE74F3">
        <w:t xml:space="preserve">classification of </w:t>
      </w:r>
      <w:r w:rsidR="00566564" w:rsidRPr="00AE74F3">
        <w:t xml:space="preserve">ofatumumab, </w:t>
      </w:r>
      <w:r w:rsidRPr="00AE74F3">
        <w:t>alemtuzumab, ocrelizumab and natalizumab as high-efficacy tier DMTs and fingolimod, cladribine and ozanimod as mid-tier DMTs</w:t>
      </w:r>
      <w:r w:rsidR="00AC1566" w:rsidRPr="00AE74F3">
        <w:t xml:space="preserve"> </w:t>
      </w:r>
      <w:r w:rsidR="002C581D" w:rsidRPr="00AE74F3">
        <w:t xml:space="preserve">was </w:t>
      </w:r>
      <w:r w:rsidR="00AC1566" w:rsidRPr="00AE74F3">
        <w:t>not reasonable a</w:t>
      </w:r>
      <w:r w:rsidR="00480159" w:rsidRPr="00AE74F3">
        <w:t>s t</w:t>
      </w:r>
      <w:bookmarkEnd w:id="54"/>
      <w:r w:rsidRPr="00AE74F3">
        <w:t xml:space="preserve">he </w:t>
      </w:r>
      <w:r w:rsidR="00865FE6" w:rsidRPr="00AE74F3">
        <w:t xml:space="preserve">classification </w:t>
      </w:r>
      <w:r w:rsidR="002C581D" w:rsidRPr="00AE74F3">
        <w:t xml:space="preserve">appeared </w:t>
      </w:r>
      <w:r w:rsidR="00865FE6" w:rsidRPr="00AE74F3">
        <w:t xml:space="preserve">arbitrary. </w:t>
      </w:r>
      <w:r w:rsidR="00480159" w:rsidRPr="00AE74F3">
        <w:t xml:space="preserve">It was unclear why the top </w:t>
      </w:r>
      <w:r w:rsidR="0048220B" w:rsidRPr="00AE74F3">
        <w:t>five</w:t>
      </w:r>
      <w:r w:rsidR="00480159" w:rsidRPr="00AE74F3">
        <w:t xml:space="preserve"> drugs</w:t>
      </w:r>
      <w:r w:rsidR="0048220B" w:rsidRPr="00AE74F3">
        <w:t xml:space="preserve"> (i.e. with highest efficacy for the outcome of ARR) in the Samjoo 2023 network meta-analysis were allocated to the high-efficacy tier, noting fingolimod was “ranked” sixth and that the results </w:t>
      </w:r>
      <w:r w:rsidR="00566564" w:rsidRPr="00AE74F3">
        <w:t xml:space="preserve">for ofatumumab and fingolimod </w:t>
      </w:r>
      <w:r w:rsidR="0048220B" w:rsidRPr="00AE74F3">
        <w:t xml:space="preserve">were similar for ARR in this analysis versus </w:t>
      </w:r>
      <w:r w:rsidR="0048220B" w:rsidRPr="00571F25">
        <w:t>placebo</w:t>
      </w:r>
      <w:r w:rsidR="005A5D4B" w:rsidRPr="00571F25">
        <w:t>, with overlapping 95% confidence intervals</w:t>
      </w:r>
      <w:r w:rsidR="0048220B" w:rsidRPr="00571F25">
        <w:t xml:space="preserve"> (ofatumumab 0.30 (95% CI: 0.22, 0.41); fingolimod 0.42 (95% CI 0.35, 0.50). </w:t>
      </w:r>
    </w:p>
    <w:p w14:paraId="508688A0" w14:textId="5C6A484D" w:rsidR="00571F25" w:rsidRPr="00571F25" w:rsidRDefault="00571F25" w:rsidP="00571F25">
      <w:pPr>
        <w:pStyle w:val="3-BodyText"/>
      </w:pPr>
      <w:r w:rsidRPr="00571F25">
        <w:t>Overall, the PBAC considered that the claim of superior comparative effectiveness was not adequately supported by the data.</w:t>
      </w:r>
    </w:p>
    <w:p w14:paraId="2FE79F93" w14:textId="0EEDAC15" w:rsidR="00480159" w:rsidRPr="00AE74F3" w:rsidRDefault="00480159" w:rsidP="00480159">
      <w:pPr>
        <w:pStyle w:val="3-BodyText"/>
      </w:pPr>
      <w:r w:rsidRPr="00AE74F3">
        <w:t>Further, the nomination of alemtuzumab and ocrelizumab as higher efficacy disease DMTs than fingolimod would contradict the PBAC’s previous decisions, given:</w:t>
      </w:r>
    </w:p>
    <w:p w14:paraId="656F0E54" w14:textId="204839CE" w:rsidR="008600A3" w:rsidRPr="00AE74F3" w:rsidRDefault="008600A3" w:rsidP="008600A3">
      <w:pPr>
        <w:pStyle w:val="ListParagraph"/>
        <w:ind w:left="1134"/>
      </w:pPr>
      <w:r w:rsidRPr="00AE74F3">
        <w:t>At the July 2014 PBAC meeting, the PBAC considered that a claim of superiority for alemtuzumab compared to fingolimod was not supported though a claim of non-inferiority was appropriate. The evidence provided by the sponsor</w:t>
      </w:r>
      <w:r w:rsidR="00E00E37" w:rsidRPr="00AE74F3">
        <w:t xml:space="preserve"> of </w:t>
      </w:r>
      <w:r w:rsidR="00E00E37" w:rsidRPr="00AE74F3">
        <w:lastRenderedPageBreak/>
        <w:t>alemtuzumab</w:t>
      </w:r>
      <w:r w:rsidRPr="00AE74F3">
        <w:t xml:space="preserve"> included both mixed treatment comparisons and indirect comparisons (similar to the current submission) which the PBAC noted was uncertain due to the high risk of bias of such comparisons (paragraph 6.25, alemtuzumab PSD, July 2014 PBAC meeting). As such </w:t>
      </w:r>
      <w:r w:rsidR="00571F25">
        <w:t xml:space="preserve">the evaluation and the ESC considered that, in the absence of further evidence, it would be </w:t>
      </w:r>
      <w:r w:rsidRPr="00AE74F3">
        <w:t>unreasonable for alemtuzumab to be classified as a higher efficacy drug than fingol</w:t>
      </w:r>
      <w:r w:rsidR="004A3DB6" w:rsidRPr="00AE74F3">
        <w:t>i</w:t>
      </w:r>
      <w:r w:rsidRPr="00AE74F3">
        <w:t>mod; and</w:t>
      </w:r>
    </w:p>
    <w:p w14:paraId="7085945D" w14:textId="4D2237A0" w:rsidR="008600A3" w:rsidRPr="00AE74F3" w:rsidRDefault="008600A3" w:rsidP="008600A3">
      <w:pPr>
        <w:pStyle w:val="ListParagraph"/>
        <w:ind w:left="1134"/>
      </w:pPr>
      <w:r w:rsidRPr="00AE74F3">
        <w:t>At the July 2017 PBAC meeting, the PBAC considered that ocrelizumab was non-inferior to fingolimod (paragraph 7.6, ocrelizumab PSD, July 2017 PBAC meeting). There was no statistically significant difference in relapse outcomes between ocrelizumab and fingolimod (results favoured ocrelizumab), with the indirect estimate of effect for annualised relapse rate me</w:t>
      </w:r>
      <w:r w:rsidR="00571F25">
        <w:t>eting</w:t>
      </w:r>
      <w:r w:rsidRPr="00AE74F3">
        <w:t xml:space="preserve"> the nominated non-inferiority margin (the upper CI was less than 1.23) for one comparison but </w:t>
      </w:r>
      <w:r w:rsidR="00571F25">
        <w:t>not for</w:t>
      </w:r>
      <w:r w:rsidRPr="00AE74F3">
        <w:t xml:space="preserve"> the other comparison (paragraph 6.15, ocrelizumab PSD, July 2017 PBAC meeting). As such </w:t>
      </w:r>
      <w:r w:rsidR="00571F25">
        <w:t>the evaluation and the ESC considered that, in the absence of further evidence, it would be</w:t>
      </w:r>
      <w:r w:rsidR="00571F25" w:rsidRPr="00AE74F3">
        <w:t xml:space="preserve"> </w:t>
      </w:r>
      <w:r w:rsidRPr="00AE74F3">
        <w:t>unreasonable for ocrelizumab to be classified as a higher efficacy drug than fingolimod.</w:t>
      </w:r>
    </w:p>
    <w:p w14:paraId="4F99AA8C" w14:textId="4A1E959B" w:rsidR="008600A3" w:rsidRDefault="008600A3" w:rsidP="008600A3">
      <w:pPr>
        <w:pStyle w:val="3-BodyText"/>
      </w:pPr>
      <w:r w:rsidRPr="00AE74F3">
        <w:t xml:space="preserve">The </w:t>
      </w:r>
      <w:r w:rsidR="00890451">
        <w:t xml:space="preserve">evaluation and the ESC considered the </w:t>
      </w:r>
      <w:r w:rsidRPr="00AE74F3">
        <w:t xml:space="preserve">claim of </w:t>
      </w:r>
      <w:r w:rsidR="00571F25">
        <w:t xml:space="preserve">a different but </w:t>
      </w:r>
      <w:r w:rsidRPr="00AE74F3">
        <w:t xml:space="preserve">non-inferior safety </w:t>
      </w:r>
      <w:r w:rsidR="00571F25">
        <w:t xml:space="preserve">profile </w:t>
      </w:r>
      <w:r w:rsidRPr="00AE74F3">
        <w:t>was likely reasonable. The PBAC had previous</w:t>
      </w:r>
      <w:r w:rsidR="00F63AF5" w:rsidRPr="00AE74F3">
        <w:t>ly</w:t>
      </w:r>
      <w:r w:rsidRPr="00AE74F3">
        <w:t xml:space="preserve"> considered that </w:t>
      </w:r>
      <w:r w:rsidR="00890451">
        <w:t>“</w:t>
      </w:r>
      <w:r w:rsidRPr="00AE74F3">
        <w:t xml:space="preserve">the overall adverse event profile </w:t>
      </w:r>
      <w:r w:rsidR="00890451">
        <w:t>[</w:t>
      </w:r>
      <w:r w:rsidRPr="00AE74F3">
        <w:t>of ofatumumab</w:t>
      </w:r>
      <w:r w:rsidR="00890451">
        <w:t>]</w:t>
      </w:r>
      <w:r w:rsidRPr="00AE74F3">
        <w:t xml:space="preserve"> was likely comparable to that of any of the other higher tier agents and that there were no specific signals which would indicate ofatumumab is of inferior safety to these therapies</w:t>
      </w:r>
      <w:r w:rsidR="00686F4A">
        <w:t>”</w:t>
      </w:r>
      <w:r w:rsidRPr="00AE74F3">
        <w:t xml:space="preserve"> (paragraph 7.9, ofatumumab PSD, March 2021 PBAC meeting).</w:t>
      </w:r>
    </w:p>
    <w:p w14:paraId="7CF7AA64" w14:textId="77777777" w:rsidR="00890451" w:rsidRPr="00890451" w:rsidRDefault="00890451" w:rsidP="00890451">
      <w:pPr>
        <w:pStyle w:val="3-BodyText"/>
      </w:pPr>
      <w:bookmarkStart w:id="55" w:name="_Hlk160184379"/>
      <w:r w:rsidRPr="00890451">
        <w:t>The PBAC considered that the submission’s claim that ofatumumab has a different but non-inferior safety profile compared with fingolimod was reasonable.</w:t>
      </w:r>
    </w:p>
    <w:p w14:paraId="553092F3" w14:textId="77777777" w:rsidR="008600A3" w:rsidRPr="004F43A8" w:rsidRDefault="008600A3" w:rsidP="008600A3">
      <w:pPr>
        <w:pStyle w:val="4-SubsectionHeading"/>
      </w:pPr>
      <w:bookmarkStart w:id="56" w:name="_Toc156817845"/>
      <w:bookmarkEnd w:id="55"/>
      <w:r w:rsidRPr="004F43A8">
        <w:t>Economic analysis</w:t>
      </w:r>
      <w:bookmarkEnd w:id="56"/>
      <w:r w:rsidRPr="004F43A8">
        <w:t xml:space="preserve"> </w:t>
      </w:r>
    </w:p>
    <w:p w14:paraId="4382692A" w14:textId="361FDD32" w:rsidR="008600A3" w:rsidRPr="005F098D" w:rsidRDefault="008600A3" w:rsidP="008600A3">
      <w:pPr>
        <w:pStyle w:val="3-BodyText"/>
      </w:pPr>
      <w:r w:rsidRPr="005F098D">
        <w:t xml:space="preserve">The current listing of ofatumumab was determined on a cost-minimisation basis with fingolimod but, by virtue of a price reduction for fingolimod in December 2022, ofatumumab currently has a price premium relative to fingolimod. </w:t>
      </w:r>
    </w:p>
    <w:p w14:paraId="26CB27E4" w14:textId="33BA2D74" w:rsidR="00321478" w:rsidRPr="005F098D" w:rsidRDefault="008600A3" w:rsidP="008600A3">
      <w:pPr>
        <w:pStyle w:val="3-BodyText"/>
      </w:pPr>
      <w:r w:rsidRPr="005F098D">
        <w:t xml:space="preserve">The submission presented a cost-utility analysis (CUA) to compare ofatumumab versus fingolimod. The submission stated that this comparison was intended to reflect the difference in cost-effectiveness between the proposed high-efficacy tier DMTs (natalizumab, alemtuzumab, ocrelizumab, ofatumumab) and the proposed mid-efficacy tier DMTs (fingolimod, cladribine, ozanimod). Through the economic evaluation the submission sought to demonstrate that the current price premium of ofatumumab versus fingolimod </w:t>
      </w:r>
      <w:r w:rsidR="001A287C" w:rsidRPr="005F098D">
        <w:t xml:space="preserve">(i.e. the price difference due to fingolimod having undergone a 25% price reduction in December 2022, refer to </w:t>
      </w:r>
      <w:r w:rsidR="004F5B8B">
        <w:t>p</w:t>
      </w:r>
      <w:r w:rsidR="001A287C" w:rsidRPr="005F098D">
        <w:t xml:space="preserve">aragraph </w:t>
      </w:r>
      <w:r w:rsidR="001A287C" w:rsidRPr="005F098D">
        <w:fldChar w:fldCharType="begin" w:fldLock="1"/>
      </w:r>
      <w:r w:rsidR="001A287C" w:rsidRPr="005F098D">
        <w:instrText xml:space="preserve"> REF _Ref153889508 \r \h </w:instrText>
      </w:r>
      <w:r w:rsidR="005F098D" w:rsidRPr="005F098D">
        <w:instrText xml:space="preserve"> \* MERGEFORMAT </w:instrText>
      </w:r>
      <w:r w:rsidR="001A287C" w:rsidRPr="005F098D">
        <w:fldChar w:fldCharType="separate"/>
      </w:r>
      <w:r w:rsidR="00416916">
        <w:t>1.5</w:t>
      </w:r>
      <w:r w:rsidR="001A287C" w:rsidRPr="005F098D">
        <w:fldChar w:fldCharType="end"/>
      </w:r>
      <w:r w:rsidR="001A287C" w:rsidRPr="005F098D">
        <w:t xml:space="preserve">) </w:t>
      </w:r>
      <w:r w:rsidRPr="005F098D">
        <w:t xml:space="preserve">is cost-effective and that the current ofatumumab price is a reasonable benchmark for high-efficacy tier DMTs versus mid-efficacy tier MS DMTs. </w:t>
      </w:r>
    </w:p>
    <w:p w14:paraId="7D0957E1" w14:textId="12EC2EAA" w:rsidR="008600A3" w:rsidRPr="005F098D" w:rsidRDefault="008600A3" w:rsidP="008600A3">
      <w:pPr>
        <w:pStyle w:val="3-BodyText"/>
      </w:pPr>
      <w:r w:rsidRPr="005F098D">
        <w:t xml:space="preserve">A </w:t>
      </w:r>
      <w:r w:rsidR="00372FBA" w:rsidRPr="005F098D">
        <w:t>CUA wa</w:t>
      </w:r>
      <w:r w:rsidRPr="005F098D">
        <w:t>s only appropriate if a claim of superior efficacy was accepted. However as discussed in</w:t>
      </w:r>
      <w:r w:rsidR="00321478" w:rsidRPr="005F098D">
        <w:t xml:space="preserve"> paragraphs </w:t>
      </w:r>
      <w:r w:rsidR="00321478" w:rsidRPr="005F098D">
        <w:fldChar w:fldCharType="begin" w:fldLock="1"/>
      </w:r>
      <w:r w:rsidR="00321478" w:rsidRPr="005F098D">
        <w:instrText xml:space="preserve"> REF _Ref153184550 \r \h </w:instrText>
      </w:r>
      <w:r w:rsidR="005F098D" w:rsidRPr="005F098D">
        <w:instrText xml:space="preserve"> \* MERGEFORMAT </w:instrText>
      </w:r>
      <w:r w:rsidR="00321478" w:rsidRPr="005F098D">
        <w:fldChar w:fldCharType="separate"/>
      </w:r>
      <w:r w:rsidR="00416916">
        <w:t>6.57</w:t>
      </w:r>
      <w:r w:rsidR="00321478" w:rsidRPr="005F098D">
        <w:fldChar w:fldCharType="end"/>
      </w:r>
      <w:r w:rsidRPr="005F098D">
        <w:t xml:space="preserve">, </w:t>
      </w:r>
      <w:r w:rsidRPr="00D55FD4">
        <w:t xml:space="preserve">the </w:t>
      </w:r>
      <w:r w:rsidR="008A5D14" w:rsidRPr="00D55FD4">
        <w:t xml:space="preserve">ESC considered that the </w:t>
      </w:r>
      <w:r w:rsidRPr="00D55FD4">
        <w:t xml:space="preserve">available evidence </w:t>
      </w:r>
      <w:r w:rsidR="008A5D14" w:rsidRPr="00D55FD4">
        <w:t xml:space="preserve">did </w:t>
      </w:r>
      <w:r w:rsidRPr="00D55FD4">
        <w:t xml:space="preserve">not </w:t>
      </w:r>
      <w:r w:rsidRPr="00D55FD4">
        <w:lastRenderedPageBreak/>
        <w:t>adequately support a claim of superiority of ofatumumab</w:t>
      </w:r>
      <w:r w:rsidRPr="005F098D">
        <w:t xml:space="preserve"> (or any of the proposed high</w:t>
      </w:r>
      <w:r w:rsidR="005B331C">
        <w:t>-</w:t>
      </w:r>
      <w:r w:rsidRPr="005F098D">
        <w:t xml:space="preserve">efficacy DMTs) compared to fingolimod and as such the </w:t>
      </w:r>
      <w:r w:rsidR="00263DFE" w:rsidRPr="005F098D">
        <w:t xml:space="preserve">CUA presented </w:t>
      </w:r>
      <w:r w:rsidRPr="005F098D">
        <w:t>may not be appropriate.</w:t>
      </w:r>
    </w:p>
    <w:p w14:paraId="6A7D5AF5" w14:textId="3F50E677" w:rsidR="008600A3" w:rsidRPr="005F098D" w:rsidRDefault="008600A3" w:rsidP="008600A3">
      <w:pPr>
        <w:pStyle w:val="3-BodyText"/>
      </w:pPr>
      <w:r w:rsidRPr="005F098D">
        <w:fldChar w:fldCharType="begin" w:fldLock="1"/>
      </w:r>
      <w:r w:rsidRPr="005F098D">
        <w:instrText xml:space="preserve"> REF _Ref153020859 \h </w:instrText>
      </w:r>
      <w:r w:rsidR="005F098D" w:rsidRPr="005F098D">
        <w:instrText xml:space="preserve"> \* MERGEFORMAT </w:instrText>
      </w:r>
      <w:r w:rsidRPr="005F098D">
        <w:fldChar w:fldCharType="separate"/>
      </w:r>
      <w:r w:rsidR="00416916" w:rsidRPr="005F098D">
        <w:t xml:space="preserve">Table </w:t>
      </w:r>
      <w:r w:rsidR="00416916">
        <w:rPr>
          <w:noProof/>
        </w:rPr>
        <w:t>9</w:t>
      </w:r>
      <w:r w:rsidRPr="005F098D">
        <w:fldChar w:fldCharType="end"/>
      </w:r>
      <w:r w:rsidRPr="005F098D">
        <w:t xml:space="preserve"> presents the key components and assumptions of the economic analysis.</w:t>
      </w:r>
    </w:p>
    <w:p w14:paraId="66174B88" w14:textId="10DC047F" w:rsidR="008600A3" w:rsidRPr="005F098D" w:rsidRDefault="008600A3" w:rsidP="00A32DE2">
      <w:pPr>
        <w:pStyle w:val="Caption"/>
        <w:rPr>
          <w:rStyle w:val="CommentReference"/>
          <w:b/>
          <w:szCs w:val="24"/>
        </w:rPr>
      </w:pPr>
      <w:bookmarkStart w:id="57" w:name="_Ref153020859"/>
      <w:r w:rsidRPr="005F098D">
        <w:t xml:space="preserve">Table </w:t>
      </w:r>
      <w:r w:rsidR="002943DF">
        <w:fldChar w:fldCharType="begin" w:fldLock="1"/>
      </w:r>
      <w:r w:rsidR="002943DF">
        <w:instrText xml:space="preserve"> SEQ Table \* ARABIC </w:instrText>
      </w:r>
      <w:r w:rsidR="002943DF">
        <w:fldChar w:fldCharType="separate"/>
      </w:r>
      <w:r w:rsidR="00416916">
        <w:rPr>
          <w:noProof/>
        </w:rPr>
        <w:t>9</w:t>
      </w:r>
      <w:r w:rsidR="002943DF">
        <w:rPr>
          <w:noProof/>
        </w:rPr>
        <w:fldChar w:fldCharType="end"/>
      </w:r>
      <w:bookmarkEnd w:id="57"/>
      <w:r w:rsidRPr="005F098D">
        <w:rPr>
          <w:rStyle w:val="CommentReference"/>
          <w:b/>
          <w:szCs w:val="24"/>
        </w:rPr>
        <w:t>: Key components of the economic evaluation</w:t>
      </w:r>
    </w:p>
    <w:tbl>
      <w:tblPr>
        <w:tblStyle w:val="TableGrid"/>
        <w:tblW w:w="0" w:type="auto"/>
        <w:tblLook w:val="04A0" w:firstRow="1" w:lastRow="0" w:firstColumn="1" w:lastColumn="0" w:noHBand="0" w:noVBand="1"/>
        <w:tblCaption w:val="Table 9: Key components of the economic evaluation"/>
      </w:tblPr>
      <w:tblGrid>
        <w:gridCol w:w="1367"/>
        <w:gridCol w:w="4157"/>
        <w:gridCol w:w="3493"/>
      </w:tblGrid>
      <w:tr w:rsidR="008600A3" w:rsidRPr="005F098D" w14:paraId="5D185FD8" w14:textId="77777777" w:rsidTr="00263DFE">
        <w:trPr>
          <w:cantSplit/>
          <w:tblHeader/>
        </w:trPr>
        <w:tc>
          <w:tcPr>
            <w:tcW w:w="1367" w:type="dxa"/>
            <w:vAlign w:val="center"/>
          </w:tcPr>
          <w:p w14:paraId="26B99B24" w14:textId="77777777" w:rsidR="008600A3" w:rsidRPr="005F098D" w:rsidRDefault="008600A3" w:rsidP="00A32DE2">
            <w:pPr>
              <w:pStyle w:val="In-tableHeading"/>
              <w:widowControl w:val="0"/>
              <w:rPr>
                <w:lang w:val="en-AU"/>
              </w:rPr>
            </w:pPr>
            <w:r w:rsidRPr="005F098D">
              <w:rPr>
                <w:lang w:val="en-AU"/>
              </w:rPr>
              <w:t xml:space="preserve">Component </w:t>
            </w:r>
          </w:p>
        </w:tc>
        <w:tc>
          <w:tcPr>
            <w:tcW w:w="4157" w:type="dxa"/>
            <w:vAlign w:val="center"/>
          </w:tcPr>
          <w:p w14:paraId="39817BC9" w14:textId="77777777" w:rsidR="008600A3" w:rsidRPr="005F098D" w:rsidRDefault="008600A3" w:rsidP="00A32DE2">
            <w:pPr>
              <w:pStyle w:val="In-tableHeading"/>
              <w:widowControl w:val="0"/>
              <w:jc w:val="center"/>
              <w:rPr>
                <w:lang w:val="en-AU"/>
              </w:rPr>
            </w:pPr>
            <w:r w:rsidRPr="005F098D">
              <w:rPr>
                <w:lang w:val="en-AU"/>
              </w:rPr>
              <w:t>Description</w:t>
            </w:r>
          </w:p>
        </w:tc>
        <w:tc>
          <w:tcPr>
            <w:tcW w:w="3493" w:type="dxa"/>
            <w:vAlign w:val="center"/>
          </w:tcPr>
          <w:p w14:paraId="3776A157" w14:textId="77777777" w:rsidR="008600A3" w:rsidRPr="005F098D" w:rsidRDefault="008600A3" w:rsidP="00A32DE2">
            <w:pPr>
              <w:pStyle w:val="In-tableHeading"/>
              <w:widowControl w:val="0"/>
              <w:jc w:val="center"/>
              <w:rPr>
                <w:lang w:val="en-AU"/>
              </w:rPr>
            </w:pPr>
            <w:r w:rsidRPr="005F098D">
              <w:rPr>
                <w:lang w:val="en-AU"/>
              </w:rPr>
              <w:t>Justification/comments</w:t>
            </w:r>
          </w:p>
        </w:tc>
      </w:tr>
      <w:tr w:rsidR="008600A3" w:rsidRPr="005F098D" w14:paraId="0EE9795D" w14:textId="77777777" w:rsidTr="00263DFE">
        <w:trPr>
          <w:cantSplit/>
        </w:trPr>
        <w:tc>
          <w:tcPr>
            <w:tcW w:w="1367" w:type="dxa"/>
            <w:vAlign w:val="center"/>
          </w:tcPr>
          <w:p w14:paraId="00EA4709" w14:textId="77777777" w:rsidR="008600A3" w:rsidRPr="005F098D" w:rsidRDefault="008600A3" w:rsidP="00A32DE2">
            <w:pPr>
              <w:pStyle w:val="PBACTabletext"/>
              <w:keepLines w:val="0"/>
              <w:widowControl w:val="0"/>
              <w:spacing w:after="0"/>
            </w:pPr>
            <w:r w:rsidRPr="005F098D">
              <w:t>Time horizon</w:t>
            </w:r>
          </w:p>
        </w:tc>
        <w:tc>
          <w:tcPr>
            <w:tcW w:w="4157" w:type="dxa"/>
            <w:vAlign w:val="center"/>
          </w:tcPr>
          <w:p w14:paraId="36B3CC0F" w14:textId="77777777" w:rsidR="008600A3" w:rsidRPr="005F098D" w:rsidRDefault="008600A3" w:rsidP="00A32DE2">
            <w:pPr>
              <w:pStyle w:val="PBACTabletext"/>
              <w:keepLines w:val="0"/>
              <w:widowControl w:val="0"/>
              <w:spacing w:after="0"/>
            </w:pPr>
            <w:r w:rsidRPr="005F098D">
              <w:t xml:space="preserve">Lifetime horizon: base case starting age of 37 years; time horizon: 63 years (assumes 100% mortality for patients aged 100 years). </w:t>
            </w:r>
          </w:p>
        </w:tc>
        <w:tc>
          <w:tcPr>
            <w:tcW w:w="3493" w:type="dxa"/>
            <w:vAlign w:val="center"/>
          </w:tcPr>
          <w:p w14:paraId="2AA8203C" w14:textId="180E5ED3" w:rsidR="008600A3" w:rsidRPr="005F098D" w:rsidRDefault="008600A3" w:rsidP="00A32DE2">
            <w:pPr>
              <w:pStyle w:val="PBACTabletext"/>
              <w:keepLines w:val="0"/>
              <w:widowControl w:val="0"/>
              <w:spacing w:after="0"/>
            </w:pPr>
            <w:r w:rsidRPr="005F098D">
              <w:t xml:space="preserve">Lifetime time horizon was consistent with published CUAs identified in the submission. The mean patient age at baseline in the identified clinical trials and database sources was usually in the range of 36 to 38 years. </w:t>
            </w:r>
          </w:p>
        </w:tc>
      </w:tr>
      <w:tr w:rsidR="008600A3" w:rsidRPr="005F098D" w14:paraId="6264E942" w14:textId="77777777" w:rsidTr="00263DFE">
        <w:trPr>
          <w:cantSplit/>
        </w:trPr>
        <w:tc>
          <w:tcPr>
            <w:tcW w:w="1367" w:type="dxa"/>
            <w:vAlign w:val="center"/>
          </w:tcPr>
          <w:p w14:paraId="2DE196EA" w14:textId="77777777" w:rsidR="008600A3" w:rsidRPr="005F098D" w:rsidRDefault="008600A3" w:rsidP="00A32DE2">
            <w:pPr>
              <w:pStyle w:val="PBACTabletext"/>
              <w:keepLines w:val="0"/>
              <w:widowControl w:val="0"/>
              <w:spacing w:after="0"/>
            </w:pPr>
            <w:r w:rsidRPr="005F098D">
              <w:t>Methods used to generate results</w:t>
            </w:r>
          </w:p>
        </w:tc>
        <w:tc>
          <w:tcPr>
            <w:tcW w:w="4157" w:type="dxa"/>
            <w:vAlign w:val="center"/>
          </w:tcPr>
          <w:p w14:paraId="42675657" w14:textId="59DCA4BB" w:rsidR="008600A3" w:rsidRPr="005F098D" w:rsidRDefault="008600A3" w:rsidP="00A32DE2">
            <w:pPr>
              <w:pStyle w:val="PBACTabletext"/>
              <w:keepLines w:val="0"/>
              <w:widowControl w:val="0"/>
              <w:spacing w:after="0"/>
            </w:pPr>
            <w:r w:rsidRPr="005F098D">
              <w:t>Markov cohort model</w:t>
            </w:r>
            <w:r w:rsidR="00720C4A" w:rsidRPr="005F098D">
              <w:t xml:space="preserve"> with annual cycles</w:t>
            </w:r>
          </w:p>
        </w:tc>
        <w:tc>
          <w:tcPr>
            <w:tcW w:w="3493" w:type="dxa"/>
            <w:vAlign w:val="center"/>
          </w:tcPr>
          <w:p w14:paraId="11681E73" w14:textId="389AB066" w:rsidR="008600A3" w:rsidRPr="005F098D" w:rsidRDefault="008600A3" w:rsidP="00A32DE2">
            <w:pPr>
              <w:pStyle w:val="PBACTabletext"/>
              <w:keepLines w:val="0"/>
              <w:widowControl w:val="0"/>
              <w:spacing w:after="0"/>
            </w:pPr>
            <w:r w:rsidRPr="005F098D">
              <w:t xml:space="preserve">This was reasonable. </w:t>
            </w:r>
          </w:p>
        </w:tc>
      </w:tr>
      <w:tr w:rsidR="008600A3" w:rsidRPr="005F098D" w14:paraId="55841D90" w14:textId="77777777" w:rsidTr="00263DFE">
        <w:trPr>
          <w:cantSplit/>
        </w:trPr>
        <w:tc>
          <w:tcPr>
            <w:tcW w:w="1367" w:type="dxa"/>
            <w:vAlign w:val="center"/>
          </w:tcPr>
          <w:p w14:paraId="54556DC1" w14:textId="77777777" w:rsidR="008600A3" w:rsidRPr="005F098D" w:rsidRDefault="008600A3" w:rsidP="00A32DE2">
            <w:pPr>
              <w:pStyle w:val="PBACTabletext"/>
              <w:keepLines w:val="0"/>
              <w:widowControl w:val="0"/>
              <w:spacing w:after="0"/>
            </w:pPr>
            <w:r w:rsidRPr="005F098D">
              <w:t>Health states</w:t>
            </w:r>
          </w:p>
        </w:tc>
        <w:tc>
          <w:tcPr>
            <w:tcW w:w="4157" w:type="dxa"/>
            <w:vAlign w:val="center"/>
          </w:tcPr>
          <w:p w14:paraId="6C606AB7" w14:textId="77777777" w:rsidR="008600A3" w:rsidRPr="005F098D" w:rsidRDefault="008600A3" w:rsidP="00A32DE2">
            <w:pPr>
              <w:pStyle w:val="PBACTabletext"/>
              <w:keepLines w:val="0"/>
              <w:widowControl w:val="0"/>
              <w:spacing w:after="0"/>
            </w:pPr>
            <w:r w:rsidRPr="005F098D">
              <w:t>31 Health States:</w:t>
            </w:r>
          </w:p>
          <w:p w14:paraId="49EAD402" w14:textId="77777777" w:rsidR="008600A3" w:rsidRPr="005F098D" w:rsidRDefault="008600A3" w:rsidP="00A32DE2">
            <w:pPr>
              <w:pStyle w:val="PBACTablebullet"/>
              <w:keepLines w:val="0"/>
              <w:widowControl w:val="0"/>
              <w:spacing w:after="0"/>
              <w:ind w:left="359" w:hanging="283"/>
            </w:pPr>
            <w:r w:rsidRPr="005F098D">
              <w:t>10 health states=RRMS EDSS 0 - 9, DMT</w:t>
            </w:r>
          </w:p>
          <w:p w14:paraId="50D42F5C" w14:textId="77777777" w:rsidR="008600A3" w:rsidRPr="005F098D" w:rsidRDefault="008600A3" w:rsidP="00A32DE2">
            <w:pPr>
              <w:pStyle w:val="PBACTablebullet"/>
              <w:keepLines w:val="0"/>
              <w:widowControl w:val="0"/>
              <w:spacing w:after="0"/>
              <w:ind w:left="359" w:hanging="283"/>
            </w:pPr>
            <w:r w:rsidRPr="005F098D">
              <w:t>10 health states=RRMS EDSS 0 - 9, BSC</w:t>
            </w:r>
          </w:p>
          <w:p w14:paraId="7729C611" w14:textId="77777777" w:rsidR="008600A3" w:rsidRPr="005F098D" w:rsidRDefault="008600A3" w:rsidP="00A32DE2">
            <w:pPr>
              <w:pStyle w:val="PBACTablebullet"/>
              <w:keepLines w:val="0"/>
              <w:widowControl w:val="0"/>
              <w:spacing w:after="0"/>
              <w:ind w:left="359" w:hanging="283"/>
            </w:pPr>
            <w:r w:rsidRPr="005F098D">
              <w:t>10 health states=SPMS EDSS 0 - 9, BSC</w:t>
            </w:r>
          </w:p>
          <w:p w14:paraId="18A07EBA" w14:textId="77777777" w:rsidR="008600A3" w:rsidRPr="005F098D" w:rsidRDefault="008600A3" w:rsidP="00A32DE2">
            <w:pPr>
              <w:pStyle w:val="PBACTablebullet"/>
              <w:keepLines w:val="0"/>
              <w:widowControl w:val="0"/>
              <w:spacing w:after="0"/>
              <w:ind w:left="359" w:hanging="283"/>
            </w:pPr>
            <w:r w:rsidRPr="005F098D">
              <w:t>1 health state=Death</w:t>
            </w:r>
          </w:p>
        </w:tc>
        <w:tc>
          <w:tcPr>
            <w:tcW w:w="3493" w:type="dxa"/>
            <w:vAlign w:val="center"/>
          </w:tcPr>
          <w:p w14:paraId="602A657C" w14:textId="420E6696" w:rsidR="008600A3" w:rsidRPr="005F098D" w:rsidRDefault="008600A3" w:rsidP="00A32DE2">
            <w:pPr>
              <w:pStyle w:val="PBACTabletext"/>
              <w:keepLines w:val="0"/>
              <w:widowControl w:val="0"/>
              <w:spacing w:after="0"/>
            </w:pPr>
            <w:r w:rsidRPr="005F098D">
              <w:t>The health states did not allow patients to receive subsequent lines of DMT after discontinuation of first-line ofatumumab or fingolimod, which was not in line with clinical practi</w:t>
            </w:r>
            <w:r w:rsidR="00773931" w:rsidRPr="005F098D">
              <w:t>c</w:t>
            </w:r>
            <w:r w:rsidRPr="005F098D">
              <w:t>e.</w:t>
            </w:r>
          </w:p>
        </w:tc>
      </w:tr>
      <w:tr w:rsidR="008600A3" w:rsidRPr="005F098D" w14:paraId="74872923" w14:textId="77777777" w:rsidTr="00263DFE">
        <w:trPr>
          <w:cantSplit/>
        </w:trPr>
        <w:tc>
          <w:tcPr>
            <w:tcW w:w="1367" w:type="dxa"/>
            <w:vAlign w:val="center"/>
          </w:tcPr>
          <w:p w14:paraId="1B00140F" w14:textId="77777777" w:rsidR="008600A3" w:rsidRPr="005F098D" w:rsidRDefault="008600A3" w:rsidP="00A32DE2">
            <w:pPr>
              <w:pStyle w:val="PBACTabletext"/>
              <w:keepLines w:val="0"/>
              <w:widowControl w:val="0"/>
              <w:spacing w:after="0"/>
            </w:pPr>
            <w:r w:rsidRPr="005F098D">
              <w:t>Transition Probabilities</w:t>
            </w:r>
          </w:p>
        </w:tc>
        <w:tc>
          <w:tcPr>
            <w:tcW w:w="4157" w:type="dxa"/>
            <w:vAlign w:val="center"/>
          </w:tcPr>
          <w:p w14:paraId="6D0E50A0" w14:textId="1B07FE99" w:rsidR="008600A3" w:rsidRPr="005F098D" w:rsidRDefault="008600A3" w:rsidP="00A32DE2">
            <w:pPr>
              <w:pStyle w:val="PBACTablebullet"/>
              <w:keepLines w:val="0"/>
              <w:widowControl w:val="0"/>
              <w:spacing w:after="0"/>
              <w:ind w:left="359" w:hanging="283"/>
            </w:pPr>
            <w:r w:rsidRPr="005F098D">
              <w:t xml:space="preserve">Transitions within RRMS EDSS health states for BSC were informed by placebo data from the FREEDOMS trial for </w:t>
            </w:r>
            <w:r w:rsidR="006D5FAE" w:rsidRPr="005F098D">
              <w:t xml:space="preserve">time to </w:t>
            </w:r>
            <w:r w:rsidRPr="005F098D">
              <w:t>3mCDP.</w:t>
            </w:r>
          </w:p>
          <w:p w14:paraId="5937FE6A" w14:textId="6C7D9D0E" w:rsidR="008600A3" w:rsidRPr="005F098D" w:rsidRDefault="008600A3" w:rsidP="00A32DE2">
            <w:pPr>
              <w:pStyle w:val="PBACTablebullet"/>
              <w:keepLines w:val="0"/>
              <w:widowControl w:val="0"/>
              <w:spacing w:after="0"/>
              <w:ind w:left="359" w:hanging="283"/>
            </w:pPr>
            <w:r w:rsidRPr="005F098D">
              <w:t>EDSS progression was delayed in the DMT arms by application of HRs</w:t>
            </w:r>
            <w:r w:rsidR="00DD4872" w:rsidRPr="005F098D">
              <w:t xml:space="preserve"> of time to 3mCDP (</w:t>
            </w:r>
            <w:r w:rsidR="00860010" w:rsidRPr="005F098D">
              <w:t xml:space="preserve">see </w:t>
            </w:r>
            <w:r w:rsidR="00860010" w:rsidRPr="005F098D">
              <w:fldChar w:fldCharType="begin" w:fldLock="1"/>
            </w:r>
            <w:r w:rsidR="00860010" w:rsidRPr="005F098D">
              <w:instrText xml:space="preserve"> REF _Ref152949675 \h </w:instrText>
            </w:r>
            <w:r w:rsidR="005F098D" w:rsidRPr="005F098D">
              <w:instrText xml:space="preserve"> \* MERGEFORMAT </w:instrText>
            </w:r>
            <w:r w:rsidR="00860010" w:rsidRPr="005F098D">
              <w:fldChar w:fldCharType="separate"/>
            </w:r>
            <w:r w:rsidR="00416916" w:rsidRPr="00AE74F3">
              <w:t xml:space="preserve">Table </w:t>
            </w:r>
            <w:r w:rsidR="00416916">
              <w:rPr>
                <w:noProof/>
              </w:rPr>
              <w:t>5</w:t>
            </w:r>
            <w:r w:rsidR="00860010" w:rsidRPr="005F098D">
              <w:fldChar w:fldCharType="end"/>
            </w:r>
            <w:r w:rsidR="00860010" w:rsidRPr="005F098D">
              <w:t xml:space="preserve"> and </w:t>
            </w:r>
            <w:r w:rsidR="00860010" w:rsidRPr="005F098D">
              <w:fldChar w:fldCharType="begin" w:fldLock="1"/>
            </w:r>
            <w:r w:rsidR="00860010" w:rsidRPr="005F098D">
              <w:instrText xml:space="preserve"> REF _Ref152949688 \h </w:instrText>
            </w:r>
            <w:r w:rsidR="005F098D" w:rsidRPr="005F098D">
              <w:instrText xml:space="preserve"> \* MERGEFORMAT </w:instrText>
            </w:r>
            <w:r w:rsidR="00860010" w:rsidRPr="005F098D">
              <w:fldChar w:fldCharType="separate"/>
            </w:r>
            <w:r w:rsidR="00416916" w:rsidRPr="00416916">
              <w:t>S</w:t>
            </w:r>
            <w:r w:rsidR="00860010" w:rsidRPr="005F098D">
              <w:fldChar w:fldCharType="end"/>
            </w:r>
            <w:r w:rsidR="00860010" w:rsidRPr="005F098D">
              <w:t>)</w:t>
            </w:r>
            <w:r w:rsidRPr="005F098D">
              <w:t>.</w:t>
            </w:r>
          </w:p>
          <w:p w14:paraId="1D64E837" w14:textId="10AB1CCA" w:rsidR="008600A3" w:rsidRPr="005F098D" w:rsidRDefault="008600A3" w:rsidP="00A32DE2">
            <w:pPr>
              <w:pStyle w:val="PBACTablebullet"/>
              <w:keepLines w:val="0"/>
              <w:widowControl w:val="0"/>
              <w:spacing w:after="0"/>
              <w:ind w:left="359" w:hanging="283"/>
            </w:pPr>
            <w:r w:rsidRPr="005F098D">
              <w:t>Transitions from RRMS to SPMS (</w:t>
            </w:r>
            <w:r w:rsidR="00E44FF6" w:rsidRPr="005F098D">
              <w:t>varied by</w:t>
            </w:r>
            <w:r w:rsidRPr="005F098D">
              <w:t xml:space="preserve"> EDSS health state)</w:t>
            </w:r>
            <w:r w:rsidR="000B5D6D" w:rsidRPr="005F098D">
              <w:t xml:space="preserve"> and t</w:t>
            </w:r>
            <w:r w:rsidRPr="005F098D">
              <w:t>ransitions within SPMS EDSS health states were informed by London Ontario MS registry data</w:t>
            </w:r>
            <w:r w:rsidR="000B5D6D" w:rsidRPr="005F098D">
              <w:t xml:space="preserve">. </w:t>
            </w:r>
          </w:p>
          <w:p w14:paraId="432D3F00" w14:textId="1BE15E10" w:rsidR="008600A3" w:rsidRPr="005F098D" w:rsidRDefault="008600A3" w:rsidP="00A32DE2">
            <w:pPr>
              <w:pStyle w:val="PBACTablebullet"/>
              <w:keepLines w:val="0"/>
              <w:widowControl w:val="0"/>
              <w:spacing w:after="0"/>
              <w:ind w:left="359" w:hanging="283"/>
            </w:pPr>
            <w:r w:rsidRPr="005F098D">
              <w:t>Transitions from first-line treatment to BSC were informed by treatment persistence curves for fingolimod in the Australian setting published by Spelman (2017) (assumed to apply to all DMTs) and treatment discontinuation upon progression SPMS health states. However</w:t>
            </w:r>
            <w:r w:rsidR="00BC3F8F">
              <w:t>,</w:t>
            </w:r>
            <w:r w:rsidRPr="005F098D">
              <w:t xml:space="preserve"> discontinuation was not associated with worsening of EDSS.</w:t>
            </w:r>
          </w:p>
          <w:p w14:paraId="39D6C59B" w14:textId="77777777" w:rsidR="008600A3" w:rsidRPr="005F098D" w:rsidRDefault="008600A3" w:rsidP="00A32DE2">
            <w:pPr>
              <w:pStyle w:val="PBACTablebullet"/>
              <w:keepLines w:val="0"/>
              <w:widowControl w:val="0"/>
              <w:spacing w:after="0"/>
              <w:ind w:left="359" w:hanging="283"/>
            </w:pPr>
            <w:r w:rsidRPr="005F098D">
              <w:t>Treatment efficacy was based on delaying progression to higher RRMS EDSS health states and lower rates of relapse.</w:t>
            </w:r>
          </w:p>
        </w:tc>
        <w:tc>
          <w:tcPr>
            <w:tcW w:w="3493" w:type="dxa"/>
            <w:vAlign w:val="center"/>
          </w:tcPr>
          <w:p w14:paraId="7F67A6A5" w14:textId="5CD06515" w:rsidR="008600A3" w:rsidRPr="005F098D" w:rsidRDefault="008600A3" w:rsidP="00A32DE2">
            <w:pPr>
              <w:pStyle w:val="PBACTabletext"/>
              <w:keepLines w:val="0"/>
              <w:widowControl w:val="0"/>
              <w:spacing w:after="0"/>
            </w:pPr>
            <w:r w:rsidRPr="005F098D">
              <w:t>In the model</w:t>
            </w:r>
            <w:r w:rsidR="006A18CC" w:rsidRPr="005F098D">
              <w:t>,</w:t>
            </w:r>
            <w:r w:rsidR="001A287C" w:rsidRPr="005F098D">
              <w:t xml:space="preserve"> </w:t>
            </w:r>
            <w:r w:rsidRPr="005F098D">
              <w:t xml:space="preserve">patients received first-line ofatumumab or fingolimod and then transitioned to </w:t>
            </w:r>
            <w:r w:rsidRPr="000A382A">
              <w:t>BSC</w:t>
            </w:r>
            <w:r w:rsidR="00C75C8C" w:rsidRPr="000A382A">
              <w:t xml:space="preserve"> upon discontinuation</w:t>
            </w:r>
            <w:r w:rsidRPr="000A382A">
              <w:t>. Th</w:t>
            </w:r>
            <w:r w:rsidR="008A5D14" w:rsidRPr="000A382A">
              <w:t>e evaluation and the ESC considered th</w:t>
            </w:r>
            <w:r w:rsidRPr="000A382A">
              <w:t xml:space="preserve">is </w:t>
            </w:r>
            <w:r w:rsidR="00C75C8C" w:rsidRPr="000A382A">
              <w:t>wa</w:t>
            </w:r>
            <w:r w:rsidRPr="000A382A">
              <w:t xml:space="preserve">s </w:t>
            </w:r>
            <w:r w:rsidR="008A5D14" w:rsidRPr="000A382A">
              <w:t>in</w:t>
            </w:r>
            <w:r w:rsidRPr="000A382A">
              <w:t>consistent with Australian</w:t>
            </w:r>
            <w:r w:rsidRPr="005F098D">
              <w:t xml:space="preserve"> clinical practi</w:t>
            </w:r>
            <w:r w:rsidR="00821137" w:rsidRPr="005F098D">
              <w:t>c</w:t>
            </w:r>
            <w:r w:rsidRPr="005F098D">
              <w:t xml:space="preserve">e where patients </w:t>
            </w:r>
            <w:r w:rsidR="00AF4CB5">
              <w:t xml:space="preserve">can </w:t>
            </w:r>
            <w:r w:rsidRPr="005F098D">
              <w:t>receive subsequent lines of DMT</w:t>
            </w:r>
            <w:r w:rsidR="005C2EC7" w:rsidRPr="005F098D">
              <w:t xml:space="preserve">. </w:t>
            </w:r>
          </w:p>
          <w:p w14:paraId="4670F1E4" w14:textId="77777777" w:rsidR="008600A3" w:rsidRPr="005F098D" w:rsidRDefault="008600A3" w:rsidP="00A32DE2">
            <w:pPr>
              <w:pStyle w:val="PBACTabletext"/>
              <w:keepLines w:val="0"/>
              <w:widowControl w:val="0"/>
              <w:spacing w:after="0"/>
            </w:pPr>
          </w:p>
          <w:p w14:paraId="75FC8BAB" w14:textId="157CDFA7" w:rsidR="008600A3" w:rsidRPr="005F098D" w:rsidRDefault="008600A3" w:rsidP="00A32DE2">
            <w:pPr>
              <w:pStyle w:val="PBACTabletext"/>
              <w:keepLines w:val="0"/>
              <w:widowControl w:val="0"/>
              <w:spacing w:after="0"/>
            </w:pPr>
            <w:r w:rsidRPr="005F098D">
              <w:t xml:space="preserve">The FREEDOMS </w:t>
            </w:r>
            <w:r w:rsidRPr="000A382A">
              <w:t>trials were conducted between 2006 and 2011, prior to the widespread use of DMTs for the treatment of RRMS. Consequently,</w:t>
            </w:r>
            <w:r w:rsidR="00D33D46" w:rsidRPr="000A382A">
              <w:t xml:space="preserve"> the evaluation and the ESC considered</w:t>
            </w:r>
            <w:r w:rsidRPr="000A382A">
              <w:t xml:space="preserve"> there may be applicability issues </w:t>
            </w:r>
            <w:r w:rsidR="007412AC" w:rsidRPr="000A382A">
              <w:t>when using the</w:t>
            </w:r>
            <w:r w:rsidR="00821137" w:rsidRPr="000A382A">
              <w:t xml:space="preserve"> data from FREEDOMS </w:t>
            </w:r>
            <w:r w:rsidR="000D764A" w:rsidRPr="000A382A">
              <w:t xml:space="preserve">as the basis </w:t>
            </w:r>
            <w:r w:rsidR="00821137" w:rsidRPr="000A382A">
              <w:t>to inform the current model.</w:t>
            </w:r>
            <w:r w:rsidR="00821137" w:rsidRPr="005F098D">
              <w:t xml:space="preserve"> </w:t>
            </w:r>
          </w:p>
        </w:tc>
      </w:tr>
      <w:tr w:rsidR="008600A3" w:rsidRPr="005F098D" w14:paraId="75E898D5" w14:textId="77777777" w:rsidTr="00263DFE">
        <w:trPr>
          <w:cantSplit/>
        </w:trPr>
        <w:tc>
          <w:tcPr>
            <w:tcW w:w="1367" w:type="dxa"/>
            <w:vAlign w:val="center"/>
          </w:tcPr>
          <w:p w14:paraId="00421409" w14:textId="77777777" w:rsidR="008600A3" w:rsidRPr="005F098D" w:rsidRDefault="008600A3" w:rsidP="00A32DE2">
            <w:pPr>
              <w:pStyle w:val="PBACTabletext"/>
              <w:keepNext w:val="0"/>
              <w:keepLines w:val="0"/>
              <w:widowControl w:val="0"/>
              <w:spacing w:after="0"/>
            </w:pPr>
            <w:r w:rsidRPr="005F098D">
              <w:t>Mortality rates</w:t>
            </w:r>
          </w:p>
        </w:tc>
        <w:tc>
          <w:tcPr>
            <w:tcW w:w="4157" w:type="dxa"/>
            <w:vAlign w:val="center"/>
          </w:tcPr>
          <w:p w14:paraId="02075B8A" w14:textId="77777777" w:rsidR="008600A3" w:rsidRPr="005F098D" w:rsidRDefault="008600A3" w:rsidP="00A32DE2">
            <w:pPr>
              <w:pStyle w:val="PBACTablebullet"/>
              <w:keepNext w:val="0"/>
              <w:keepLines w:val="0"/>
              <w:widowControl w:val="0"/>
              <w:numPr>
                <w:ilvl w:val="0"/>
                <w:numId w:val="0"/>
              </w:numPr>
              <w:spacing w:after="0"/>
            </w:pPr>
            <w:r w:rsidRPr="005F098D">
              <w:t>Transitions to death were based on relative risk of mortality by EDSS health state from Pokorski 1997, applied to Australian lifetables.</w:t>
            </w:r>
          </w:p>
        </w:tc>
        <w:tc>
          <w:tcPr>
            <w:tcW w:w="3493" w:type="dxa"/>
            <w:vAlign w:val="center"/>
          </w:tcPr>
          <w:p w14:paraId="6F4F6E6F" w14:textId="660092E1" w:rsidR="008600A3" w:rsidRPr="00AE74F3" w:rsidRDefault="008600A3" w:rsidP="00A32DE2">
            <w:pPr>
              <w:pStyle w:val="PBACTabletext"/>
              <w:keepNext w:val="0"/>
              <w:keepLines w:val="0"/>
              <w:widowControl w:val="0"/>
              <w:spacing w:after="0"/>
            </w:pPr>
            <w:r w:rsidRPr="00AE74F3">
              <w:t>The Pokorski 1997 data was sourced ~40 to 50 years ago</w:t>
            </w:r>
            <w:r w:rsidR="008A5D14" w:rsidRPr="00AE74F3">
              <w:t>.</w:t>
            </w:r>
            <w:r w:rsidRPr="00AE74F3">
              <w:t xml:space="preserve"> </w:t>
            </w:r>
            <w:r w:rsidR="008A5D14" w:rsidRPr="00AE74F3">
              <w:t xml:space="preserve">The ESC considered it was unlikely that </w:t>
            </w:r>
            <w:r w:rsidRPr="00AE74F3">
              <w:t xml:space="preserve">these mortality estimates </w:t>
            </w:r>
            <w:r w:rsidR="008A5D14" w:rsidRPr="00AE74F3">
              <w:t xml:space="preserve">are </w:t>
            </w:r>
            <w:r w:rsidRPr="00AE74F3">
              <w:t>applicable</w:t>
            </w:r>
            <w:r w:rsidR="008A5D14" w:rsidRPr="00AE74F3">
              <w:t xml:space="preserve"> given changes in MS treatment</w:t>
            </w:r>
            <w:r w:rsidRPr="00AE74F3">
              <w:t>.</w:t>
            </w:r>
            <w:r w:rsidR="004D1CEE" w:rsidRPr="00AE74F3">
              <w:rPr>
                <w:rFonts w:ascii="Calibri" w:hAnsi="Calibri"/>
                <w:sz w:val="24"/>
                <w:lang w:eastAsia="en-AU"/>
              </w:rPr>
              <w:t xml:space="preserve"> </w:t>
            </w:r>
          </w:p>
          <w:p w14:paraId="554C9478" w14:textId="3F3DDFDC" w:rsidR="008600A3" w:rsidRPr="005F098D" w:rsidRDefault="008600A3" w:rsidP="00A32DE2">
            <w:pPr>
              <w:pStyle w:val="PBACTabletext"/>
              <w:keepNext w:val="0"/>
              <w:keepLines w:val="0"/>
              <w:widowControl w:val="0"/>
              <w:spacing w:after="0"/>
            </w:pPr>
            <w:r w:rsidRPr="00AE74F3">
              <w:t xml:space="preserve">The calculated relative risk of death compared to the general population was not specific to RRMS or SPMS. This </w:t>
            </w:r>
            <w:r w:rsidR="006A18CC" w:rsidRPr="00AE74F3">
              <w:t>wa</w:t>
            </w:r>
            <w:r w:rsidRPr="00AE74F3">
              <w:t>s unlikely to be consistent with current clinical practi</w:t>
            </w:r>
            <w:r w:rsidR="00821137" w:rsidRPr="00AE74F3">
              <w:t>c</w:t>
            </w:r>
            <w:r w:rsidRPr="00AE74F3">
              <w:t>e as patients with SPMS have a more advanced for of MS.</w:t>
            </w:r>
            <w:r w:rsidRPr="005F098D">
              <w:t xml:space="preserve"> </w:t>
            </w:r>
          </w:p>
        </w:tc>
      </w:tr>
      <w:tr w:rsidR="0058385A" w:rsidRPr="005F098D" w14:paraId="7D1EABA6" w14:textId="77777777" w:rsidTr="00263DFE">
        <w:trPr>
          <w:cantSplit/>
        </w:trPr>
        <w:tc>
          <w:tcPr>
            <w:tcW w:w="1367" w:type="dxa"/>
            <w:vAlign w:val="center"/>
          </w:tcPr>
          <w:p w14:paraId="4779C125" w14:textId="558B37B6" w:rsidR="0058385A" w:rsidRPr="005F098D" w:rsidRDefault="0058385A" w:rsidP="00A32DE2">
            <w:pPr>
              <w:pStyle w:val="PBACTabletext"/>
              <w:keepLines w:val="0"/>
              <w:widowControl w:val="0"/>
              <w:spacing w:after="0"/>
            </w:pPr>
            <w:r w:rsidRPr="005F098D">
              <w:lastRenderedPageBreak/>
              <w:t>Utility values</w:t>
            </w:r>
          </w:p>
        </w:tc>
        <w:tc>
          <w:tcPr>
            <w:tcW w:w="4157" w:type="dxa"/>
            <w:vAlign w:val="center"/>
          </w:tcPr>
          <w:p w14:paraId="6F34BB2A" w14:textId="14239A4B" w:rsidR="0058385A" w:rsidRPr="005F098D" w:rsidRDefault="00D92B9C" w:rsidP="00A32DE2">
            <w:pPr>
              <w:pStyle w:val="PBACTablebullet"/>
              <w:keepLines w:val="0"/>
              <w:widowControl w:val="0"/>
              <w:numPr>
                <w:ilvl w:val="0"/>
                <w:numId w:val="0"/>
              </w:numPr>
              <w:spacing w:after="0"/>
            </w:pPr>
            <w:r w:rsidRPr="005F098D">
              <w:t xml:space="preserve">Health state utility values </w:t>
            </w:r>
            <w:r w:rsidR="00DA1E08" w:rsidRPr="005F098D">
              <w:t xml:space="preserve">(base case) </w:t>
            </w:r>
            <w:r w:rsidRPr="005F098D">
              <w:t>were based on published data (</w:t>
            </w:r>
            <w:r w:rsidR="0058385A" w:rsidRPr="005F098D">
              <w:t>Orme 2007</w:t>
            </w:r>
            <w:r w:rsidRPr="005F098D">
              <w:t>),</w:t>
            </w:r>
            <w:r w:rsidR="0058385A" w:rsidRPr="005F098D">
              <w:t xml:space="preserve"> </w:t>
            </w:r>
            <w:r w:rsidRPr="005F098D">
              <w:t>which w</w:t>
            </w:r>
            <w:r w:rsidR="00DA1E08" w:rsidRPr="005F098D">
              <w:t>ere</w:t>
            </w:r>
            <w:r w:rsidRPr="005F098D">
              <w:t xml:space="preserve"> specific for</w:t>
            </w:r>
            <w:r w:rsidR="0058385A" w:rsidRPr="005F098D">
              <w:t xml:space="preserve"> </w:t>
            </w:r>
            <w:r w:rsidRPr="005F098D">
              <w:t>the</w:t>
            </w:r>
            <w:r w:rsidR="00DA1E08" w:rsidRPr="005F098D">
              <w:t xml:space="preserve"> patient’s</w:t>
            </w:r>
            <w:r w:rsidRPr="005F098D">
              <w:t xml:space="preserve"> type of MS</w:t>
            </w:r>
            <w:r w:rsidR="0058385A" w:rsidRPr="005F098D">
              <w:t xml:space="preserve"> </w:t>
            </w:r>
            <w:r w:rsidRPr="005F098D">
              <w:t>(</w:t>
            </w:r>
            <w:r w:rsidR="0058385A" w:rsidRPr="005F098D">
              <w:t>RRMS or SPMS</w:t>
            </w:r>
            <w:r w:rsidRPr="005F098D">
              <w:t>)</w:t>
            </w:r>
            <w:r w:rsidR="0058385A" w:rsidRPr="005F098D">
              <w:t xml:space="preserve"> and EDSS status.</w:t>
            </w:r>
          </w:p>
          <w:tbl>
            <w:tblPr>
              <w:tblStyle w:val="TableGrid"/>
              <w:tblW w:w="0" w:type="auto"/>
              <w:tblLook w:val="04A0" w:firstRow="1" w:lastRow="0" w:firstColumn="1" w:lastColumn="0" w:noHBand="0" w:noVBand="1"/>
            </w:tblPr>
            <w:tblGrid>
              <w:gridCol w:w="1307"/>
              <w:gridCol w:w="1307"/>
              <w:gridCol w:w="1307"/>
            </w:tblGrid>
            <w:tr w:rsidR="00DA1E08" w:rsidRPr="005F098D" w14:paraId="223FAEFC" w14:textId="77777777" w:rsidTr="00ED6CD4">
              <w:trPr>
                <w:trHeight w:val="113"/>
              </w:trPr>
              <w:tc>
                <w:tcPr>
                  <w:tcW w:w="1307" w:type="dxa"/>
                </w:tcPr>
                <w:p w14:paraId="5DA68BDE" w14:textId="3873BC23" w:rsidR="00DA1E08" w:rsidRPr="005F098D" w:rsidRDefault="00DA1E08" w:rsidP="00A32DE2">
                  <w:pPr>
                    <w:pStyle w:val="In-tableHeading"/>
                    <w:jc w:val="center"/>
                  </w:pPr>
                  <w:r w:rsidRPr="005F098D">
                    <w:t>EDSS</w:t>
                  </w:r>
                </w:p>
              </w:tc>
              <w:tc>
                <w:tcPr>
                  <w:tcW w:w="1307" w:type="dxa"/>
                </w:tcPr>
                <w:p w14:paraId="5950B371" w14:textId="7301DBD0" w:rsidR="00DA1E08" w:rsidRPr="005F098D" w:rsidRDefault="00DA1E08" w:rsidP="00A32DE2">
                  <w:pPr>
                    <w:pStyle w:val="In-tableHeading"/>
                    <w:jc w:val="center"/>
                  </w:pPr>
                  <w:r w:rsidRPr="005F098D">
                    <w:t>RRMS</w:t>
                  </w:r>
                </w:p>
              </w:tc>
              <w:tc>
                <w:tcPr>
                  <w:tcW w:w="1307" w:type="dxa"/>
                </w:tcPr>
                <w:p w14:paraId="0800D031" w14:textId="6DD72F72" w:rsidR="00DA1E08" w:rsidRPr="005F098D" w:rsidRDefault="00DA1E08" w:rsidP="00A32DE2">
                  <w:pPr>
                    <w:pStyle w:val="In-tableHeading"/>
                    <w:jc w:val="center"/>
                  </w:pPr>
                  <w:r w:rsidRPr="005F098D">
                    <w:t>SPMS</w:t>
                  </w:r>
                </w:p>
              </w:tc>
            </w:tr>
            <w:tr w:rsidR="00DA1E08" w:rsidRPr="005F098D" w14:paraId="5CD56BAE" w14:textId="77777777" w:rsidTr="00ED6CD4">
              <w:trPr>
                <w:trHeight w:val="113"/>
              </w:trPr>
              <w:tc>
                <w:tcPr>
                  <w:tcW w:w="1307" w:type="dxa"/>
                </w:tcPr>
                <w:p w14:paraId="7E5D4EFA" w14:textId="2B0C0920" w:rsidR="00DA1E08" w:rsidRPr="005F098D" w:rsidRDefault="00DA1E08" w:rsidP="00A32DE2">
                  <w:pPr>
                    <w:pStyle w:val="PBACTabletext"/>
                    <w:spacing w:after="0"/>
                    <w:jc w:val="center"/>
                  </w:pPr>
                  <w:r w:rsidRPr="005F098D">
                    <w:t>0</w:t>
                  </w:r>
                </w:p>
              </w:tc>
              <w:tc>
                <w:tcPr>
                  <w:tcW w:w="1307" w:type="dxa"/>
                </w:tcPr>
                <w:p w14:paraId="5CABDB42" w14:textId="03365897" w:rsidR="00DA1E08" w:rsidRPr="005F098D" w:rsidRDefault="00DA1E08" w:rsidP="00A32DE2">
                  <w:pPr>
                    <w:pStyle w:val="PBACTabletext"/>
                    <w:spacing w:after="0"/>
                    <w:jc w:val="center"/>
                  </w:pPr>
                  <w:r w:rsidRPr="005F098D">
                    <w:t>0.870</w:t>
                  </w:r>
                </w:p>
              </w:tc>
              <w:tc>
                <w:tcPr>
                  <w:tcW w:w="1307" w:type="dxa"/>
                </w:tcPr>
                <w:p w14:paraId="4807585B" w14:textId="48DCE68D" w:rsidR="00DA1E08" w:rsidRPr="005F098D" w:rsidRDefault="00DA1E08" w:rsidP="00A32DE2">
                  <w:pPr>
                    <w:pStyle w:val="PBACTabletext"/>
                    <w:spacing w:after="0"/>
                    <w:jc w:val="center"/>
                  </w:pPr>
                  <w:r w:rsidRPr="005F098D">
                    <w:t>0.825</w:t>
                  </w:r>
                </w:p>
              </w:tc>
            </w:tr>
            <w:tr w:rsidR="00DA1E08" w:rsidRPr="005F098D" w14:paraId="3158F519" w14:textId="77777777" w:rsidTr="00ED6CD4">
              <w:trPr>
                <w:trHeight w:val="113"/>
              </w:trPr>
              <w:tc>
                <w:tcPr>
                  <w:tcW w:w="1307" w:type="dxa"/>
                </w:tcPr>
                <w:p w14:paraId="0028C275" w14:textId="26F787FF" w:rsidR="00DA1E08" w:rsidRPr="005F098D" w:rsidRDefault="00DA1E08" w:rsidP="00A32DE2">
                  <w:pPr>
                    <w:pStyle w:val="PBACTabletext"/>
                    <w:spacing w:after="0"/>
                    <w:jc w:val="center"/>
                  </w:pPr>
                  <w:r w:rsidRPr="005F098D">
                    <w:t>1</w:t>
                  </w:r>
                </w:p>
              </w:tc>
              <w:tc>
                <w:tcPr>
                  <w:tcW w:w="1307" w:type="dxa"/>
                </w:tcPr>
                <w:p w14:paraId="36B8ABDD" w14:textId="56F14F54" w:rsidR="00DA1E08" w:rsidRPr="005F098D" w:rsidRDefault="00DA1E08" w:rsidP="00A32DE2">
                  <w:pPr>
                    <w:pStyle w:val="PBACTabletext"/>
                    <w:spacing w:after="0"/>
                    <w:jc w:val="center"/>
                  </w:pPr>
                  <w:r w:rsidRPr="005F098D">
                    <w:t>0.799</w:t>
                  </w:r>
                </w:p>
              </w:tc>
              <w:tc>
                <w:tcPr>
                  <w:tcW w:w="1307" w:type="dxa"/>
                </w:tcPr>
                <w:p w14:paraId="65A62150" w14:textId="65DB1138" w:rsidR="00DA1E08" w:rsidRPr="005F098D" w:rsidRDefault="00DA1E08" w:rsidP="00A32DE2">
                  <w:pPr>
                    <w:pStyle w:val="PBACTabletext"/>
                    <w:spacing w:after="0"/>
                    <w:jc w:val="center"/>
                  </w:pPr>
                  <w:r w:rsidRPr="005F098D">
                    <w:t>0.754</w:t>
                  </w:r>
                </w:p>
              </w:tc>
            </w:tr>
            <w:tr w:rsidR="00DA1E08" w:rsidRPr="005F098D" w14:paraId="37CFEFC1" w14:textId="77777777" w:rsidTr="00ED6CD4">
              <w:trPr>
                <w:trHeight w:val="113"/>
              </w:trPr>
              <w:tc>
                <w:tcPr>
                  <w:tcW w:w="1307" w:type="dxa"/>
                </w:tcPr>
                <w:p w14:paraId="3CBF7D4D" w14:textId="3CB5CD1E" w:rsidR="00DA1E08" w:rsidRPr="005F098D" w:rsidRDefault="00DA1E08" w:rsidP="00A32DE2">
                  <w:pPr>
                    <w:pStyle w:val="PBACTabletext"/>
                    <w:spacing w:after="0"/>
                    <w:jc w:val="center"/>
                  </w:pPr>
                  <w:r w:rsidRPr="005F098D">
                    <w:t>2</w:t>
                  </w:r>
                </w:p>
              </w:tc>
              <w:tc>
                <w:tcPr>
                  <w:tcW w:w="1307" w:type="dxa"/>
                </w:tcPr>
                <w:p w14:paraId="1936B5D0" w14:textId="027D2562" w:rsidR="00DA1E08" w:rsidRPr="005F098D" w:rsidRDefault="00DA1E08" w:rsidP="00A32DE2">
                  <w:pPr>
                    <w:pStyle w:val="PBACTabletext"/>
                    <w:spacing w:after="0"/>
                    <w:jc w:val="center"/>
                  </w:pPr>
                  <w:r w:rsidRPr="005F098D">
                    <w:t>0.705</w:t>
                  </w:r>
                </w:p>
              </w:tc>
              <w:tc>
                <w:tcPr>
                  <w:tcW w:w="1307" w:type="dxa"/>
                </w:tcPr>
                <w:p w14:paraId="62E9A0F0" w14:textId="651286F4" w:rsidR="00DA1E08" w:rsidRPr="005F098D" w:rsidRDefault="00DA1E08" w:rsidP="00A32DE2">
                  <w:pPr>
                    <w:pStyle w:val="PBACTabletext"/>
                    <w:spacing w:after="0"/>
                    <w:jc w:val="center"/>
                  </w:pPr>
                  <w:r w:rsidRPr="005F098D">
                    <w:t>0.660</w:t>
                  </w:r>
                </w:p>
              </w:tc>
            </w:tr>
            <w:tr w:rsidR="00DA1E08" w:rsidRPr="005F098D" w14:paraId="36C39924" w14:textId="77777777" w:rsidTr="00ED6CD4">
              <w:trPr>
                <w:trHeight w:val="113"/>
              </w:trPr>
              <w:tc>
                <w:tcPr>
                  <w:tcW w:w="1307" w:type="dxa"/>
                </w:tcPr>
                <w:p w14:paraId="3F2D8D6A" w14:textId="440D1D8E" w:rsidR="00DA1E08" w:rsidRPr="005F098D" w:rsidRDefault="00DA1E08" w:rsidP="00A32DE2">
                  <w:pPr>
                    <w:pStyle w:val="PBACTabletext"/>
                    <w:spacing w:after="0"/>
                    <w:jc w:val="center"/>
                  </w:pPr>
                  <w:r w:rsidRPr="005F098D">
                    <w:t>3</w:t>
                  </w:r>
                </w:p>
              </w:tc>
              <w:tc>
                <w:tcPr>
                  <w:tcW w:w="1307" w:type="dxa"/>
                </w:tcPr>
                <w:p w14:paraId="5196EE3A" w14:textId="160FDF3F" w:rsidR="00DA1E08" w:rsidRPr="005F098D" w:rsidRDefault="00DA1E08" w:rsidP="00A32DE2">
                  <w:pPr>
                    <w:pStyle w:val="PBACTabletext"/>
                    <w:spacing w:after="0"/>
                    <w:jc w:val="center"/>
                  </w:pPr>
                  <w:r w:rsidRPr="005F098D">
                    <w:t>0.574</w:t>
                  </w:r>
                </w:p>
              </w:tc>
              <w:tc>
                <w:tcPr>
                  <w:tcW w:w="1307" w:type="dxa"/>
                </w:tcPr>
                <w:p w14:paraId="263E154B" w14:textId="01F0D0ED" w:rsidR="00DA1E08" w:rsidRPr="005F098D" w:rsidRDefault="00DA1E08" w:rsidP="00A32DE2">
                  <w:pPr>
                    <w:pStyle w:val="PBACTabletext"/>
                    <w:spacing w:after="0"/>
                    <w:jc w:val="center"/>
                  </w:pPr>
                  <w:r w:rsidRPr="005F098D">
                    <w:t>0.529</w:t>
                  </w:r>
                </w:p>
              </w:tc>
            </w:tr>
            <w:tr w:rsidR="00DA1E08" w:rsidRPr="005F098D" w14:paraId="0172FF45" w14:textId="77777777" w:rsidTr="00ED6CD4">
              <w:trPr>
                <w:trHeight w:val="113"/>
              </w:trPr>
              <w:tc>
                <w:tcPr>
                  <w:tcW w:w="1307" w:type="dxa"/>
                </w:tcPr>
                <w:p w14:paraId="08D6CB14" w14:textId="5C8735FB" w:rsidR="00DA1E08" w:rsidRPr="005F098D" w:rsidRDefault="00DA1E08" w:rsidP="00A32DE2">
                  <w:pPr>
                    <w:pStyle w:val="PBACTabletext"/>
                    <w:spacing w:after="0"/>
                    <w:jc w:val="center"/>
                  </w:pPr>
                  <w:r w:rsidRPr="005F098D">
                    <w:t>4</w:t>
                  </w:r>
                </w:p>
              </w:tc>
              <w:tc>
                <w:tcPr>
                  <w:tcW w:w="1307" w:type="dxa"/>
                </w:tcPr>
                <w:p w14:paraId="33397F4E" w14:textId="79F421AB" w:rsidR="00DA1E08" w:rsidRPr="005F098D" w:rsidRDefault="00DA1E08" w:rsidP="00A32DE2">
                  <w:pPr>
                    <w:pStyle w:val="PBACTabletext"/>
                    <w:spacing w:after="0"/>
                    <w:jc w:val="center"/>
                  </w:pPr>
                  <w:r w:rsidRPr="005F098D">
                    <w:t>0.610</w:t>
                  </w:r>
                </w:p>
              </w:tc>
              <w:tc>
                <w:tcPr>
                  <w:tcW w:w="1307" w:type="dxa"/>
                </w:tcPr>
                <w:p w14:paraId="3FD5A04A" w14:textId="4646D887" w:rsidR="00DA1E08" w:rsidRPr="005F098D" w:rsidRDefault="00DA1E08" w:rsidP="00A32DE2">
                  <w:pPr>
                    <w:pStyle w:val="PBACTabletext"/>
                    <w:spacing w:after="0"/>
                    <w:jc w:val="center"/>
                  </w:pPr>
                  <w:r w:rsidRPr="005F098D">
                    <w:t>0.565</w:t>
                  </w:r>
                </w:p>
              </w:tc>
            </w:tr>
            <w:tr w:rsidR="00DA1E08" w:rsidRPr="005F098D" w14:paraId="5FF49BE7" w14:textId="77777777" w:rsidTr="00ED6CD4">
              <w:trPr>
                <w:trHeight w:val="113"/>
              </w:trPr>
              <w:tc>
                <w:tcPr>
                  <w:tcW w:w="1307" w:type="dxa"/>
                </w:tcPr>
                <w:p w14:paraId="33B79903" w14:textId="3C20E653" w:rsidR="00DA1E08" w:rsidRPr="005F098D" w:rsidRDefault="00DA1E08" w:rsidP="00A32DE2">
                  <w:pPr>
                    <w:pStyle w:val="PBACTabletext"/>
                    <w:spacing w:after="0"/>
                    <w:jc w:val="center"/>
                  </w:pPr>
                  <w:r w:rsidRPr="005F098D">
                    <w:t>5</w:t>
                  </w:r>
                </w:p>
              </w:tc>
              <w:tc>
                <w:tcPr>
                  <w:tcW w:w="1307" w:type="dxa"/>
                </w:tcPr>
                <w:p w14:paraId="2575E29B" w14:textId="25BC8D4A" w:rsidR="00DA1E08" w:rsidRPr="005F098D" w:rsidRDefault="00DA1E08" w:rsidP="00A32DE2">
                  <w:pPr>
                    <w:pStyle w:val="PBACTabletext"/>
                    <w:spacing w:after="0"/>
                    <w:jc w:val="center"/>
                  </w:pPr>
                  <w:r w:rsidRPr="005F098D">
                    <w:t>0.518</w:t>
                  </w:r>
                </w:p>
              </w:tc>
              <w:tc>
                <w:tcPr>
                  <w:tcW w:w="1307" w:type="dxa"/>
                </w:tcPr>
                <w:p w14:paraId="36832379" w14:textId="28914AE3" w:rsidR="00DA1E08" w:rsidRPr="005F098D" w:rsidRDefault="00DA1E08" w:rsidP="00A32DE2">
                  <w:pPr>
                    <w:pStyle w:val="PBACTabletext"/>
                    <w:spacing w:after="0"/>
                    <w:jc w:val="center"/>
                  </w:pPr>
                  <w:r w:rsidRPr="005F098D">
                    <w:t>0.473</w:t>
                  </w:r>
                </w:p>
              </w:tc>
            </w:tr>
            <w:tr w:rsidR="00DA1E08" w:rsidRPr="005F098D" w14:paraId="1FF32FEB" w14:textId="77777777" w:rsidTr="00ED6CD4">
              <w:trPr>
                <w:trHeight w:val="113"/>
              </w:trPr>
              <w:tc>
                <w:tcPr>
                  <w:tcW w:w="1307" w:type="dxa"/>
                </w:tcPr>
                <w:p w14:paraId="460DE541" w14:textId="6988C5DD" w:rsidR="00DA1E08" w:rsidRPr="005F098D" w:rsidRDefault="00DA1E08" w:rsidP="00A32DE2">
                  <w:pPr>
                    <w:pStyle w:val="PBACTabletext"/>
                    <w:spacing w:after="0"/>
                    <w:jc w:val="center"/>
                  </w:pPr>
                  <w:r w:rsidRPr="005F098D">
                    <w:t>6</w:t>
                  </w:r>
                </w:p>
              </w:tc>
              <w:tc>
                <w:tcPr>
                  <w:tcW w:w="1307" w:type="dxa"/>
                </w:tcPr>
                <w:p w14:paraId="1E20BD84" w14:textId="4D852693" w:rsidR="00DA1E08" w:rsidRPr="005F098D" w:rsidRDefault="00DA1E08" w:rsidP="00A32DE2">
                  <w:pPr>
                    <w:pStyle w:val="PBACTabletext"/>
                    <w:spacing w:after="0"/>
                    <w:jc w:val="center"/>
                  </w:pPr>
                  <w:r w:rsidRPr="005F098D">
                    <w:t>0.460</w:t>
                  </w:r>
                </w:p>
              </w:tc>
              <w:tc>
                <w:tcPr>
                  <w:tcW w:w="1307" w:type="dxa"/>
                </w:tcPr>
                <w:p w14:paraId="69132EB1" w14:textId="2BFD6063" w:rsidR="00DA1E08" w:rsidRPr="005F098D" w:rsidRDefault="00DA1E08" w:rsidP="00A32DE2">
                  <w:pPr>
                    <w:pStyle w:val="PBACTabletext"/>
                    <w:spacing w:after="0"/>
                    <w:jc w:val="center"/>
                  </w:pPr>
                  <w:r w:rsidRPr="005F098D">
                    <w:t>0.415</w:t>
                  </w:r>
                </w:p>
              </w:tc>
            </w:tr>
            <w:tr w:rsidR="00DA1E08" w:rsidRPr="005F098D" w14:paraId="22534506" w14:textId="77777777" w:rsidTr="00ED6CD4">
              <w:trPr>
                <w:trHeight w:val="113"/>
              </w:trPr>
              <w:tc>
                <w:tcPr>
                  <w:tcW w:w="1307" w:type="dxa"/>
                </w:tcPr>
                <w:p w14:paraId="4F820843" w14:textId="484E6666" w:rsidR="00DA1E08" w:rsidRPr="005F098D" w:rsidRDefault="00DA1E08" w:rsidP="00A32DE2">
                  <w:pPr>
                    <w:pStyle w:val="PBACTabletext"/>
                    <w:spacing w:after="0"/>
                    <w:jc w:val="center"/>
                  </w:pPr>
                  <w:r w:rsidRPr="005F098D">
                    <w:t>7</w:t>
                  </w:r>
                </w:p>
              </w:tc>
              <w:tc>
                <w:tcPr>
                  <w:tcW w:w="1307" w:type="dxa"/>
                </w:tcPr>
                <w:p w14:paraId="4A83CD87" w14:textId="0825B550" w:rsidR="00DA1E08" w:rsidRPr="005F098D" w:rsidRDefault="00DA1E08" w:rsidP="00A32DE2">
                  <w:pPr>
                    <w:pStyle w:val="PBACTabletext"/>
                    <w:spacing w:after="0"/>
                    <w:jc w:val="center"/>
                  </w:pPr>
                  <w:r w:rsidRPr="005F098D">
                    <w:t>0.297</w:t>
                  </w:r>
                </w:p>
              </w:tc>
              <w:tc>
                <w:tcPr>
                  <w:tcW w:w="1307" w:type="dxa"/>
                </w:tcPr>
                <w:p w14:paraId="3D70900E" w14:textId="24E6F0BE" w:rsidR="00DA1E08" w:rsidRPr="005F098D" w:rsidRDefault="00DA1E08" w:rsidP="00A32DE2">
                  <w:pPr>
                    <w:pStyle w:val="PBACTabletext"/>
                    <w:spacing w:after="0"/>
                    <w:jc w:val="center"/>
                  </w:pPr>
                  <w:r w:rsidRPr="005F098D">
                    <w:t>0.252</w:t>
                  </w:r>
                </w:p>
              </w:tc>
            </w:tr>
            <w:tr w:rsidR="00DA1E08" w:rsidRPr="005F098D" w14:paraId="667BA2FF" w14:textId="77777777" w:rsidTr="00ED6CD4">
              <w:trPr>
                <w:trHeight w:val="113"/>
              </w:trPr>
              <w:tc>
                <w:tcPr>
                  <w:tcW w:w="1307" w:type="dxa"/>
                </w:tcPr>
                <w:p w14:paraId="4B03CF22" w14:textId="6A959842" w:rsidR="00DA1E08" w:rsidRPr="005F098D" w:rsidRDefault="00DA1E08" w:rsidP="00A32DE2">
                  <w:pPr>
                    <w:pStyle w:val="PBACTabletext"/>
                    <w:spacing w:after="0"/>
                    <w:jc w:val="center"/>
                  </w:pPr>
                  <w:r w:rsidRPr="005F098D">
                    <w:t>8</w:t>
                  </w:r>
                </w:p>
              </w:tc>
              <w:tc>
                <w:tcPr>
                  <w:tcW w:w="1307" w:type="dxa"/>
                </w:tcPr>
                <w:p w14:paraId="6C2E2C62" w14:textId="29A984B9" w:rsidR="00DA1E08" w:rsidRPr="005F098D" w:rsidRDefault="00DA1E08" w:rsidP="00A32DE2">
                  <w:pPr>
                    <w:pStyle w:val="PBACTabletext"/>
                    <w:spacing w:after="0"/>
                    <w:jc w:val="center"/>
                  </w:pPr>
                  <w:r w:rsidRPr="005F098D">
                    <w:t>-0.049</w:t>
                  </w:r>
                </w:p>
              </w:tc>
              <w:tc>
                <w:tcPr>
                  <w:tcW w:w="1307" w:type="dxa"/>
                </w:tcPr>
                <w:p w14:paraId="42698E0F" w14:textId="13C29785" w:rsidR="00DA1E08" w:rsidRPr="005F098D" w:rsidRDefault="00DA1E08" w:rsidP="00A32DE2">
                  <w:pPr>
                    <w:pStyle w:val="PBACTabletext"/>
                    <w:spacing w:after="0"/>
                    <w:jc w:val="center"/>
                  </w:pPr>
                  <w:r w:rsidRPr="005F098D">
                    <w:t>-0.094</w:t>
                  </w:r>
                </w:p>
              </w:tc>
            </w:tr>
            <w:tr w:rsidR="00DA1E08" w:rsidRPr="005F098D" w14:paraId="495E5DBB" w14:textId="77777777" w:rsidTr="00ED6CD4">
              <w:trPr>
                <w:trHeight w:val="113"/>
              </w:trPr>
              <w:tc>
                <w:tcPr>
                  <w:tcW w:w="1307" w:type="dxa"/>
                </w:tcPr>
                <w:p w14:paraId="5A58BAE5" w14:textId="6A180758" w:rsidR="00DA1E08" w:rsidRPr="005F098D" w:rsidRDefault="00DA1E08" w:rsidP="00A32DE2">
                  <w:pPr>
                    <w:pStyle w:val="PBACTabletext"/>
                    <w:spacing w:after="0"/>
                    <w:jc w:val="center"/>
                  </w:pPr>
                  <w:r w:rsidRPr="005F098D">
                    <w:t>9</w:t>
                  </w:r>
                </w:p>
              </w:tc>
              <w:tc>
                <w:tcPr>
                  <w:tcW w:w="1307" w:type="dxa"/>
                </w:tcPr>
                <w:p w14:paraId="1906DA1B" w14:textId="7316EC74" w:rsidR="00DA1E08" w:rsidRPr="005F098D" w:rsidRDefault="00DA1E08" w:rsidP="00A32DE2">
                  <w:pPr>
                    <w:pStyle w:val="PBACTabletext"/>
                    <w:spacing w:after="0"/>
                    <w:jc w:val="center"/>
                  </w:pPr>
                  <w:r w:rsidRPr="005F098D">
                    <w:t>-0.195</w:t>
                  </w:r>
                </w:p>
              </w:tc>
              <w:tc>
                <w:tcPr>
                  <w:tcW w:w="1307" w:type="dxa"/>
                </w:tcPr>
                <w:p w14:paraId="36E9FB67" w14:textId="01BA1914" w:rsidR="00DA1E08" w:rsidRPr="005F098D" w:rsidRDefault="00DA1E08" w:rsidP="00A32DE2">
                  <w:pPr>
                    <w:pStyle w:val="PBACTabletext"/>
                    <w:spacing w:after="0"/>
                    <w:jc w:val="center"/>
                  </w:pPr>
                  <w:r w:rsidRPr="005F098D">
                    <w:t>-0.240</w:t>
                  </w:r>
                </w:p>
              </w:tc>
            </w:tr>
            <w:tr w:rsidR="00DA1E08" w:rsidRPr="005F098D" w14:paraId="7A67499E" w14:textId="77777777" w:rsidTr="00ED6CD4">
              <w:trPr>
                <w:trHeight w:val="113"/>
              </w:trPr>
              <w:tc>
                <w:tcPr>
                  <w:tcW w:w="1307" w:type="dxa"/>
                </w:tcPr>
                <w:p w14:paraId="34EDA72A" w14:textId="245D5C14" w:rsidR="00DA1E08" w:rsidRPr="005F098D" w:rsidRDefault="00DA1E08" w:rsidP="00A32DE2">
                  <w:pPr>
                    <w:pStyle w:val="PBACTabletext"/>
                    <w:spacing w:after="0"/>
                    <w:jc w:val="center"/>
                  </w:pPr>
                  <w:r w:rsidRPr="005F098D">
                    <w:t>10</w:t>
                  </w:r>
                </w:p>
              </w:tc>
              <w:tc>
                <w:tcPr>
                  <w:tcW w:w="1307" w:type="dxa"/>
                </w:tcPr>
                <w:p w14:paraId="1C32C250" w14:textId="512A13A9" w:rsidR="00DA1E08" w:rsidRPr="005F098D" w:rsidRDefault="00DA1E08" w:rsidP="00A32DE2">
                  <w:pPr>
                    <w:pStyle w:val="PBACTabletext"/>
                    <w:spacing w:after="0"/>
                    <w:jc w:val="center"/>
                  </w:pPr>
                  <w:r w:rsidRPr="005F098D">
                    <w:t>0.000</w:t>
                  </w:r>
                </w:p>
              </w:tc>
              <w:tc>
                <w:tcPr>
                  <w:tcW w:w="1307" w:type="dxa"/>
                </w:tcPr>
                <w:p w14:paraId="6255388C" w14:textId="6ADC40BC" w:rsidR="00DA1E08" w:rsidRPr="005F098D" w:rsidRDefault="00DA1E08" w:rsidP="00A32DE2">
                  <w:pPr>
                    <w:pStyle w:val="PBACTabletext"/>
                    <w:spacing w:after="0"/>
                    <w:jc w:val="center"/>
                  </w:pPr>
                  <w:r w:rsidRPr="005F098D">
                    <w:t>0.000</w:t>
                  </w:r>
                </w:p>
              </w:tc>
            </w:tr>
          </w:tbl>
          <w:p w14:paraId="5B9CBFCE" w14:textId="77777777" w:rsidR="00DA1E08" w:rsidRPr="005F098D" w:rsidRDefault="00DA1E08" w:rsidP="00A32DE2">
            <w:pPr>
              <w:pStyle w:val="PBACTabletext"/>
            </w:pPr>
          </w:p>
          <w:p w14:paraId="24F379E4" w14:textId="245213FC" w:rsidR="0058385A" w:rsidRPr="005F098D" w:rsidRDefault="0058385A" w:rsidP="00A32DE2">
            <w:pPr>
              <w:pStyle w:val="PBACTabletext"/>
            </w:pPr>
            <w:r w:rsidRPr="005F098D">
              <w:t xml:space="preserve">Disutility (-0.071) was associated with a relapse event </w:t>
            </w:r>
            <w:r w:rsidR="00DA1E08" w:rsidRPr="005F098D">
              <w:t>which</w:t>
            </w:r>
            <w:r w:rsidRPr="005F098D">
              <w:t xml:space="preserve"> was also based on Orme 2007</w:t>
            </w:r>
            <w:r w:rsidR="00DA1E08" w:rsidRPr="005F098D">
              <w:t>. No disutility was applied for adverse events.</w:t>
            </w:r>
          </w:p>
        </w:tc>
        <w:tc>
          <w:tcPr>
            <w:tcW w:w="3493" w:type="dxa"/>
            <w:vAlign w:val="center"/>
          </w:tcPr>
          <w:p w14:paraId="2B97E450" w14:textId="01EE26B1" w:rsidR="0058385A" w:rsidRPr="005F098D" w:rsidRDefault="0058385A" w:rsidP="00A32DE2">
            <w:pPr>
              <w:pStyle w:val="PBACTabletext"/>
              <w:keepLines w:val="0"/>
              <w:widowControl w:val="0"/>
              <w:spacing w:after="0"/>
            </w:pPr>
            <w:r w:rsidRPr="005F098D">
              <w:t>Th</w:t>
            </w:r>
            <w:r w:rsidR="000A382A">
              <w:t>e evaluation considered th</w:t>
            </w:r>
            <w:r w:rsidRPr="005F098D">
              <w:t>is was reasonable.</w:t>
            </w:r>
          </w:p>
        </w:tc>
      </w:tr>
    </w:tbl>
    <w:p w14:paraId="007E77F7" w14:textId="77777777" w:rsidR="008600A3" w:rsidRPr="005F098D" w:rsidRDefault="008600A3" w:rsidP="00A32DE2">
      <w:pPr>
        <w:pStyle w:val="FooterTableFigure"/>
        <w:keepNext/>
      </w:pPr>
      <w:r w:rsidRPr="005F098D">
        <w:t>3mCDP = 3-month confirmed disability progression; 6mCDP = 6-month confirmed disability progression; AMSLS = Australian MS Longitudinal study; BSC = best supportive care; CUA = cost utility analysis; DMT = disease modifying therapy; EDSS = Expanded Disability Status Scale; HR = hazard ratio; QALYs = quality-adjusted life years; RRMS = relapsing remitting multiple sclerosis; SPMS = secondary progressive multiple sclerosis</w:t>
      </w:r>
    </w:p>
    <w:p w14:paraId="0ECCF19C" w14:textId="44E3BF78" w:rsidR="008600A3" w:rsidRPr="005F098D" w:rsidRDefault="008600A3" w:rsidP="008600A3">
      <w:pPr>
        <w:pStyle w:val="FooterTableFigure"/>
      </w:pPr>
      <w:r w:rsidRPr="005F098D">
        <w:t>Source: Table 71 of the submission.</w:t>
      </w:r>
    </w:p>
    <w:p w14:paraId="675DADF6" w14:textId="793D30C6" w:rsidR="008600A3" w:rsidRPr="005F098D" w:rsidRDefault="008600A3" w:rsidP="008600A3">
      <w:pPr>
        <w:pStyle w:val="3-BodyText"/>
      </w:pPr>
      <w:r w:rsidRPr="005F098D">
        <w:t xml:space="preserve">The model </w:t>
      </w:r>
      <w:r w:rsidR="00A34B44">
        <w:t xml:space="preserve">was based on the Markov model for </w:t>
      </w:r>
      <w:r w:rsidRPr="005F098D">
        <w:t xml:space="preserve">fingolimod </w:t>
      </w:r>
      <w:r w:rsidR="000B6E90">
        <w:t xml:space="preserve">versus </w:t>
      </w:r>
      <w:r w:rsidR="000B6E90" w:rsidRPr="000B6E90">
        <w:t>interferon beta-1a</w:t>
      </w:r>
      <w:r w:rsidR="00A34B44">
        <w:t xml:space="preserve"> that was submitted to PBAC in March 2011</w:t>
      </w:r>
      <w:r w:rsidRPr="005F098D">
        <w:t xml:space="preserve">. The Markov model structure allowed different health state transition probabilities, cost and utility inputs to be applied depending on MS type and the treatment being received. The model differentiated MS subtypes (RRMS and SPMS) by EDSS health states and by whether patients were receiving DMT (ofatumumab or fingolimod) or best supportive care (BSC). </w:t>
      </w:r>
    </w:p>
    <w:p w14:paraId="0FE795DE" w14:textId="0C8D7F2F" w:rsidR="008600A3" w:rsidRPr="005F098D" w:rsidRDefault="008600A3" w:rsidP="008600A3">
      <w:pPr>
        <w:pStyle w:val="3-BodyText"/>
      </w:pPr>
      <w:r w:rsidRPr="005F098D">
        <w:fldChar w:fldCharType="begin" w:fldLock="1"/>
      </w:r>
      <w:r w:rsidRPr="005F098D">
        <w:instrText xml:space="preserve"> REF _Ref153021477 \h </w:instrText>
      </w:r>
      <w:r w:rsidR="005F098D" w:rsidRPr="005F098D">
        <w:instrText xml:space="preserve"> \* MERGEFORMAT </w:instrText>
      </w:r>
      <w:r w:rsidRPr="005F098D">
        <w:fldChar w:fldCharType="separate"/>
      </w:r>
      <w:r w:rsidR="00416916" w:rsidRPr="005F098D">
        <w:t xml:space="preserve">Figure </w:t>
      </w:r>
      <w:r w:rsidR="00416916">
        <w:rPr>
          <w:noProof/>
        </w:rPr>
        <w:t>6</w:t>
      </w:r>
      <w:r w:rsidRPr="005F098D">
        <w:fldChar w:fldCharType="end"/>
      </w:r>
      <w:r w:rsidRPr="005F098D">
        <w:t xml:space="preserve"> provides a simplified decision tree diagram of the Markov model structure.</w:t>
      </w:r>
    </w:p>
    <w:p w14:paraId="426D1933" w14:textId="49459904" w:rsidR="008600A3" w:rsidRPr="005F098D" w:rsidRDefault="008600A3" w:rsidP="00326830">
      <w:pPr>
        <w:pStyle w:val="Caption"/>
      </w:pPr>
      <w:bookmarkStart w:id="58" w:name="_Ref153021477"/>
      <w:r w:rsidRPr="005F098D">
        <w:lastRenderedPageBreak/>
        <w:t xml:space="preserve">Figure </w:t>
      </w:r>
      <w:r w:rsidR="002943DF">
        <w:fldChar w:fldCharType="begin" w:fldLock="1"/>
      </w:r>
      <w:r w:rsidR="002943DF">
        <w:instrText xml:space="preserve"> SEQ Figure \* ARABIC </w:instrText>
      </w:r>
      <w:r w:rsidR="002943DF">
        <w:fldChar w:fldCharType="separate"/>
      </w:r>
      <w:r w:rsidR="00416916">
        <w:rPr>
          <w:noProof/>
        </w:rPr>
        <w:t>6</w:t>
      </w:r>
      <w:r w:rsidR="002943DF">
        <w:rPr>
          <w:noProof/>
        </w:rPr>
        <w:fldChar w:fldCharType="end"/>
      </w:r>
      <w:bookmarkEnd w:id="58"/>
      <w:r w:rsidRPr="005F098D">
        <w:t>:</w:t>
      </w:r>
      <w:r w:rsidRPr="005F098D">
        <w:tab/>
        <w:t>Simplified decision tree diagram</w:t>
      </w:r>
    </w:p>
    <w:p w14:paraId="6E6C922A" w14:textId="77777777" w:rsidR="008600A3" w:rsidRPr="005F098D" w:rsidRDefault="008600A3" w:rsidP="00326830">
      <w:pPr>
        <w:pStyle w:val="FooterTableFigure"/>
        <w:keepNext/>
        <w:keepLines/>
      </w:pPr>
      <w:r w:rsidRPr="005F098D">
        <w:rPr>
          <w:noProof/>
        </w:rPr>
        <w:drawing>
          <wp:inline distT="0" distB="0" distL="0" distR="0" wp14:anchorId="05FF6A27" wp14:editId="7952F462">
            <wp:extent cx="5492398" cy="3063240"/>
            <wp:effectExtent l="0" t="0" r="0" b="3810"/>
            <wp:docPr id="455741826" name="Picture 455741826" descr="Figure 6: Simplified decision tre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41826" name="Picture 455741826" descr="Figure 6: Simplified decision tree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6402" cy="3065473"/>
                    </a:xfrm>
                    <a:prstGeom prst="rect">
                      <a:avLst/>
                    </a:prstGeom>
                    <a:noFill/>
                    <a:ln>
                      <a:noFill/>
                    </a:ln>
                  </pic:spPr>
                </pic:pic>
              </a:graphicData>
            </a:graphic>
          </wp:inline>
        </w:drawing>
      </w:r>
    </w:p>
    <w:p w14:paraId="563050E3" w14:textId="77777777" w:rsidR="008600A3" w:rsidRPr="005F098D" w:rsidRDefault="008600A3" w:rsidP="00326830">
      <w:pPr>
        <w:pStyle w:val="FooterTableFigure"/>
        <w:keepNext/>
        <w:keepLines/>
      </w:pPr>
      <w:r w:rsidRPr="005F098D">
        <w:t>DMT = disease modifying therapy; EDSS = Expanded Disability Status Scale; RRMS = relapsing remitting multiple sclerosis; SPMS = secondary progressive multiple sclerosis</w:t>
      </w:r>
    </w:p>
    <w:p w14:paraId="169C0995" w14:textId="77777777" w:rsidR="008600A3" w:rsidRPr="005F098D" w:rsidRDefault="008600A3" w:rsidP="00326830">
      <w:pPr>
        <w:pStyle w:val="FooterTableFigure"/>
        <w:keepNext/>
        <w:keepLines/>
      </w:pPr>
      <w:r w:rsidRPr="005F098D">
        <w:t xml:space="preserve">Text in italics indicate correction made during evaluation to show that patients with RRMS could remain on DMT if EDSS was 0 to 9. </w:t>
      </w:r>
    </w:p>
    <w:p w14:paraId="7B2848EE" w14:textId="70352A45" w:rsidR="008600A3" w:rsidRPr="005F098D" w:rsidRDefault="008600A3" w:rsidP="008600A3">
      <w:pPr>
        <w:pStyle w:val="FooterTableFigure"/>
      </w:pPr>
      <w:r w:rsidRPr="005F098D">
        <w:t>Source: Figure 23 of the submission.</w:t>
      </w:r>
    </w:p>
    <w:p w14:paraId="5382CE51" w14:textId="570BA806" w:rsidR="008600A3" w:rsidRPr="00AE74F3" w:rsidRDefault="008600A3" w:rsidP="008600A3">
      <w:pPr>
        <w:pStyle w:val="3-BodyText"/>
      </w:pPr>
      <w:bookmarkStart w:id="59" w:name="_Ref163803736"/>
      <w:r w:rsidRPr="00AE74F3">
        <w:t>The model assumed that all patients commenced treatment with either ofatumumab or fingolimod and then transitioned to BSC, without the option to receive a subsequent DMT which was inconsistent with Australian clinical practice and limit</w:t>
      </w:r>
      <w:r w:rsidR="00472B76">
        <w:t>ed</w:t>
      </w:r>
      <w:r w:rsidRPr="00AE74F3">
        <w:t xml:space="preserve"> the applicability of the model results. While the submission claimed that it </w:t>
      </w:r>
      <w:r w:rsidR="00500D49" w:rsidRPr="00AE74F3">
        <w:t xml:space="preserve">was </w:t>
      </w:r>
      <w:r w:rsidR="00472B76">
        <w:t>un</w:t>
      </w:r>
      <w:r w:rsidRPr="00AE74F3">
        <w:t xml:space="preserve">clear </w:t>
      </w:r>
      <w:r w:rsidR="00472B76">
        <w:t>whether</w:t>
      </w:r>
      <w:r w:rsidRPr="00AE74F3">
        <w:t xml:space="preserve"> patients </w:t>
      </w:r>
      <w:r w:rsidR="00EF1F9E" w:rsidRPr="00AE74F3">
        <w:t>w</w:t>
      </w:r>
      <w:r w:rsidR="00472B76">
        <w:t>ould</w:t>
      </w:r>
      <w:r w:rsidR="00EF1F9E" w:rsidRPr="00AE74F3">
        <w:t xml:space="preserve"> receive further </w:t>
      </w:r>
      <w:r w:rsidRPr="00AE74F3">
        <w:t xml:space="preserve">DMTs after discontinuing a first-line treatment in MS, </w:t>
      </w:r>
      <w:r w:rsidR="004D1CEE" w:rsidRPr="00AE74F3">
        <w:t xml:space="preserve">the evaluation and the ESC considered that </w:t>
      </w:r>
      <w:r w:rsidRPr="00AE74F3">
        <w:t xml:space="preserve">at least a proportion of RRMS patients </w:t>
      </w:r>
      <w:r w:rsidR="00472B76">
        <w:t xml:space="preserve">would likely </w:t>
      </w:r>
      <w:r w:rsidRPr="00AE74F3">
        <w:t>receive second or subsequent line DMT as the PBS restrictions do not preclude such use</w:t>
      </w:r>
      <w:r w:rsidR="00AF4CB5">
        <w:t xml:space="preserve">, which </w:t>
      </w:r>
      <w:r w:rsidR="00DF1E6B">
        <w:t>i</w:t>
      </w:r>
      <w:r w:rsidRPr="00AE74F3">
        <w:t xml:space="preserve">s supported by treatment guidelines. </w:t>
      </w:r>
      <w:r w:rsidR="008E18FF" w:rsidRPr="00AE74F3">
        <w:t>For example, i</w:t>
      </w:r>
      <w:r w:rsidR="00B965AF" w:rsidRPr="00AE74F3">
        <w:t xml:space="preserve">n the DUSC consideration of ocrelizumab in October 2020, it was reported that 52.5% of MS patients had at least one drug switch from 1 January 2004. (Table 4, Item 7.6 DUSC October 2020). </w:t>
      </w:r>
      <w:r w:rsidRPr="00AE74F3">
        <w:t>The exclusion of second-and subsequent lines of DMT likely favoured ofatumumab in the model.</w:t>
      </w:r>
      <w:r w:rsidR="00743BF9">
        <w:t xml:space="preserve"> </w:t>
      </w:r>
      <w:bookmarkEnd w:id="59"/>
      <w:r w:rsidR="00472B76">
        <w:t xml:space="preserve">The pre-PBAC response stated that the submission included </w:t>
      </w:r>
      <w:r w:rsidR="00472B76" w:rsidRPr="00743BF9">
        <w:t xml:space="preserve">a </w:t>
      </w:r>
      <w:r w:rsidR="00472B76">
        <w:t>sensitivity analysis in which</w:t>
      </w:r>
      <w:r w:rsidR="00472B76" w:rsidRPr="00743BF9">
        <w:t xml:space="preserve"> patients persist</w:t>
      </w:r>
      <w:r w:rsidR="00472B76">
        <w:t>ed</w:t>
      </w:r>
      <w:r w:rsidR="00472B76" w:rsidRPr="00743BF9">
        <w:t xml:space="preserve"> on a high</w:t>
      </w:r>
      <w:r w:rsidR="00472B76">
        <w:t>-</w:t>
      </w:r>
      <w:r w:rsidR="00472B76" w:rsidRPr="00743BF9">
        <w:t xml:space="preserve">efficacy (ofatumumab) </w:t>
      </w:r>
      <w:r w:rsidR="00472B76">
        <w:t>or</w:t>
      </w:r>
      <w:r w:rsidR="00472B76" w:rsidRPr="00743BF9">
        <w:t xml:space="preserve"> mid</w:t>
      </w:r>
      <w:r w:rsidR="00472B76">
        <w:t>-</w:t>
      </w:r>
      <w:r w:rsidR="00472B76" w:rsidRPr="00743BF9">
        <w:t>efficacy tier treatment (fingolimod) until progression to SPMS or death</w:t>
      </w:r>
      <w:r w:rsidR="00472B76">
        <w:t xml:space="preserve">, which </w:t>
      </w:r>
      <w:r w:rsidR="00472B76" w:rsidRPr="00743BF9">
        <w:t>resulted in an ICER of $</w:t>
      </w:r>
      <w:r w:rsidR="00C650B4" w:rsidRPr="00C650B4">
        <w:t>5,000 to &lt; $15,000</w:t>
      </w:r>
      <w:r w:rsidR="00472B76">
        <w:t>/QALY</w:t>
      </w:r>
      <w:r w:rsidR="00472B76" w:rsidRPr="00743BF9">
        <w:t>.</w:t>
      </w:r>
      <w:r w:rsidR="00472B76">
        <w:t xml:space="preserve"> The pre</w:t>
      </w:r>
      <w:r w:rsidR="00472B76">
        <w:noBreakHyphen/>
        <w:t xml:space="preserve">PBAC response stated that this represented a </w:t>
      </w:r>
      <w:r w:rsidR="00472B76" w:rsidRPr="007B0784">
        <w:t>scenario where patients would either persist on one</w:t>
      </w:r>
      <w:r w:rsidR="0027770D">
        <w:t>,</w:t>
      </w:r>
      <w:r w:rsidR="00472B76" w:rsidRPr="007B0784">
        <w:t xml:space="preserve"> or switch between multiple</w:t>
      </w:r>
      <w:r w:rsidR="0027770D">
        <w:t>,</w:t>
      </w:r>
      <w:r w:rsidR="00472B76" w:rsidRPr="007B0784">
        <w:t xml:space="preserve"> high</w:t>
      </w:r>
      <w:r w:rsidR="00472B76">
        <w:t>-</w:t>
      </w:r>
      <w:r w:rsidR="00472B76" w:rsidRPr="007B0784">
        <w:t>efficacy tier treatments in the ofatumumab arm and mid</w:t>
      </w:r>
      <w:r w:rsidR="00472B76">
        <w:t>-</w:t>
      </w:r>
      <w:r w:rsidR="00472B76" w:rsidRPr="007B0784">
        <w:t>efficacy tier treatments in the fingolimod arm</w:t>
      </w:r>
      <w:r w:rsidR="00472B76">
        <w:t>.</w:t>
      </w:r>
    </w:p>
    <w:p w14:paraId="5C31DD01" w14:textId="6CBA86CA" w:rsidR="008600A3" w:rsidRPr="00AE74F3" w:rsidRDefault="008600A3" w:rsidP="008600A3">
      <w:pPr>
        <w:pStyle w:val="3-BodyText"/>
      </w:pPr>
      <w:r w:rsidRPr="00AE74F3">
        <w:t xml:space="preserve">For transitions between EDSS health states within RRMS, the model used a reference transition matrix </w:t>
      </w:r>
      <w:r w:rsidR="00E453E2" w:rsidRPr="00AE74F3">
        <w:t xml:space="preserve">based on the </w:t>
      </w:r>
      <w:r w:rsidR="002D625B" w:rsidRPr="00AE74F3">
        <w:t xml:space="preserve">placebo arm of </w:t>
      </w:r>
      <w:r w:rsidR="00A057B8" w:rsidRPr="00AE74F3">
        <w:t xml:space="preserve">the </w:t>
      </w:r>
      <w:r w:rsidR="00E453E2" w:rsidRPr="00AE74F3">
        <w:t>FREEDOMS trials</w:t>
      </w:r>
      <w:r w:rsidRPr="00AE74F3">
        <w:t xml:space="preserve"> and then applied treatment effect estimates based on the </w:t>
      </w:r>
      <w:r w:rsidR="006D5FAE" w:rsidRPr="00AE74F3">
        <w:t xml:space="preserve">time to </w:t>
      </w:r>
      <w:r w:rsidRPr="00AE74F3">
        <w:t xml:space="preserve">3mCDP results of the ITC (ofatumumab vs placebo) and FREEDOMS I/II (fingolimod vs placebo). In patients with </w:t>
      </w:r>
      <w:r w:rsidRPr="00AE74F3">
        <w:lastRenderedPageBreak/>
        <w:t>RRMS, at each cycle the model allowed patients to either move to a higher EDSS health state (disease progression), move to a lower EDSS health state (improvement in disability) or to remain in the same EDSS health state.</w:t>
      </w:r>
    </w:p>
    <w:p w14:paraId="0E00365E" w14:textId="7539E277" w:rsidR="008600A3" w:rsidRPr="00AE74F3" w:rsidRDefault="008600A3" w:rsidP="00DF1E6B">
      <w:pPr>
        <w:pStyle w:val="3-BodyText"/>
      </w:pPr>
      <w:r w:rsidRPr="00AE74F3">
        <w:t xml:space="preserve">Unlike the </w:t>
      </w:r>
      <w:r w:rsidR="00E453E2" w:rsidRPr="00AE74F3">
        <w:t xml:space="preserve">fingolimod </w:t>
      </w:r>
      <w:r w:rsidRPr="00AE74F3">
        <w:t>March 201</w:t>
      </w:r>
      <w:r w:rsidR="00E453E2" w:rsidRPr="00AE74F3">
        <w:t>1</w:t>
      </w:r>
      <w:r w:rsidRPr="00AE74F3">
        <w:t xml:space="preserve"> submission, </w:t>
      </w:r>
      <w:r w:rsidR="003B4731" w:rsidRPr="00AE74F3">
        <w:t>the current submission</w:t>
      </w:r>
      <w:r w:rsidRPr="00AE74F3">
        <w:t xml:space="preserve"> </w:t>
      </w:r>
      <w:r w:rsidR="0048287E" w:rsidRPr="00AE74F3">
        <w:t xml:space="preserve">did not </w:t>
      </w:r>
      <w:r w:rsidRPr="00AE74F3">
        <w:t>assume that patients who progress to EDSS ≥6 will discontinue DMT which was more aligned to clinical practice</w:t>
      </w:r>
      <w:r w:rsidR="003B4731" w:rsidRPr="00AE74F3">
        <w:t xml:space="preserve"> and addressed a concern the PBAC had with the fingolimod </w:t>
      </w:r>
      <w:r w:rsidR="00326830" w:rsidRPr="00AE74F3">
        <w:t>March</w:t>
      </w:r>
      <w:r w:rsidR="00326830">
        <w:t> </w:t>
      </w:r>
      <w:r w:rsidR="003B4731" w:rsidRPr="00AE74F3">
        <w:t>2011 model</w:t>
      </w:r>
      <w:r w:rsidRPr="00AE74F3">
        <w:t xml:space="preserve">. However, </w:t>
      </w:r>
      <w:r w:rsidR="00DF1E6B">
        <w:t xml:space="preserve">in March 2011, the PBAC had considered that </w:t>
      </w:r>
      <w:r w:rsidR="007B0784">
        <w:t xml:space="preserve">the </w:t>
      </w:r>
      <w:r w:rsidRPr="00AE74F3">
        <w:t>derivation and application of trial</w:t>
      </w:r>
      <w:r w:rsidR="00DF1E6B">
        <w:t>-</w:t>
      </w:r>
      <w:r w:rsidRPr="00AE74F3">
        <w:t xml:space="preserve">based transition probabilities to the modelled economic evaluation </w:t>
      </w:r>
      <w:r w:rsidR="00DF1E6B">
        <w:t xml:space="preserve">may not be </w:t>
      </w:r>
      <w:r w:rsidRPr="00AE74F3">
        <w:t xml:space="preserve">appropriate, </w:t>
      </w:r>
      <w:r w:rsidR="000B6E90" w:rsidRPr="00AE74F3">
        <w:t>given</w:t>
      </w:r>
      <w:r w:rsidRPr="00AE74F3">
        <w:t xml:space="preserve"> the use of whole point EDSS transitions… and no more than one transition per year </w:t>
      </w:r>
      <w:r w:rsidR="000B6E90" w:rsidRPr="00AE74F3">
        <w:t xml:space="preserve">may not </w:t>
      </w:r>
      <w:r w:rsidRPr="00AE74F3">
        <w:t>appropriately reflect MS progressions in real life and DMT treatment on the PBS</w:t>
      </w:r>
      <w:r w:rsidR="00DF1E6B">
        <w:t xml:space="preserve"> </w:t>
      </w:r>
      <w:r w:rsidR="00DF1E6B" w:rsidRPr="00AE74F3">
        <w:t>(pp5-6, fingolimod PSD, March 2011 PBAC meeting)</w:t>
      </w:r>
      <w:r w:rsidR="007B0784">
        <w:t>.</w:t>
      </w:r>
      <w:r w:rsidR="00DF1E6B" w:rsidRPr="00DF1E6B">
        <w:t xml:space="preserve"> </w:t>
      </w:r>
      <w:r w:rsidR="00DF1E6B">
        <w:t>The evaluation and the ESC considered this issue had not been adequately addressed.</w:t>
      </w:r>
    </w:p>
    <w:p w14:paraId="39326321" w14:textId="51C208B1" w:rsidR="008600A3" w:rsidRPr="00AE74F3" w:rsidRDefault="008600A3" w:rsidP="008600A3">
      <w:pPr>
        <w:pStyle w:val="3-BodyText"/>
      </w:pPr>
      <w:r w:rsidRPr="00AE74F3">
        <w:t xml:space="preserve">The submission’s model base case used </w:t>
      </w:r>
      <w:r w:rsidR="00852470" w:rsidRPr="00AE74F3">
        <w:t xml:space="preserve">natural history data from </w:t>
      </w:r>
      <w:r w:rsidRPr="00AE74F3">
        <w:t xml:space="preserve">the </w:t>
      </w:r>
      <w:bookmarkStart w:id="60" w:name="_Hlk154155476"/>
      <w:r w:rsidRPr="00AE74F3">
        <w:t>London Ontario dataset</w:t>
      </w:r>
      <w:r w:rsidR="008F44C1" w:rsidRPr="00AE74F3">
        <w:t xml:space="preserve"> </w:t>
      </w:r>
      <w:bookmarkEnd w:id="60"/>
      <w:r w:rsidR="008F44C1" w:rsidRPr="00AE74F3">
        <w:t>(Scalfari 2010)</w:t>
      </w:r>
      <w:r w:rsidR="00852470" w:rsidRPr="00AE74F3">
        <w:t>, which comprise</w:t>
      </w:r>
      <w:r w:rsidR="004E629E" w:rsidRPr="00AE74F3">
        <w:t>d</w:t>
      </w:r>
      <w:r w:rsidR="00852470" w:rsidRPr="00AE74F3">
        <w:t xml:space="preserve"> registry data from the 1980s,</w:t>
      </w:r>
      <w:r w:rsidRPr="00AE74F3">
        <w:t xml:space="preserve"> to inform the probability of progression from RRMS to SPMS as well as the transition between EDSS in SPMS patients. The</w:t>
      </w:r>
      <w:r w:rsidR="007B0784">
        <w:t xml:space="preserve"> evaluation and the ESC considered that the</w:t>
      </w:r>
      <w:r w:rsidRPr="00AE74F3">
        <w:t xml:space="preserve">se probabilities may be associated with uncertainty as: </w:t>
      </w:r>
    </w:p>
    <w:p w14:paraId="5D11BE8E" w14:textId="0F4CE61D" w:rsidR="008600A3" w:rsidRPr="00AE74F3" w:rsidRDefault="008600A3" w:rsidP="008600A3">
      <w:pPr>
        <w:pStyle w:val="ListParagraph"/>
        <w:ind w:left="1134"/>
      </w:pPr>
      <w:r w:rsidRPr="00AE74F3">
        <w:t>The probability of progression from RRMS to SPMS was dependent on EDSS but not in a progressive manner, as the risk was highest at EDSS 5 (30%) and then subsequently decreasing at EDSS 6 (24%),</w:t>
      </w:r>
      <w:r w:rsidR="00913FE0" w:rsidRPr="00AE74F3">
        <w:t xml:space="preserve"> EDSS 7 (</w:t>
      </w:r>
      <w:r w:rsidR="0076671C" w:rsidRPr="00AE74F3">
        <w:t>25%</w:t>
      </w:r>
      <w:r w:rsidR="00457529" w:rsidRPr="00AE74F3">
        <w:t>) and EDSS 8 (</w:t>
      </w:r>
      <w:r w:rsidR="0076671C" w:rsidRPr="00AE74F3">
        <w:t>15%</w:t>
      </w:r>
      <w:r w:rsidR="00457529" w:rsidRPr="00AE74F3">
        <w:t>)</w:t>
      </w:r>
      <w:r w:rsidRPr="00AE74F3">
        <w:t xml:space="preserve"> before increasing again such that all patients who moved to the RRMS EDSS 9 health state automatically moved to SPMS (probability = 100%)</w:t>
      </w:r>
      <w:r w:rsidR="00F22A4F" w:rsidRPr="00AE74F3">
        <w:t xml:space="preserve"> which was based on an assumption</w:t>
      </w:r>
      <w:r w:rsidR="00852470" w:rsidRPr="00AE74F3">
        <w:t>. This may not accurately reflect the natural history of MS.</w:t>
      </w:r>
    </w:p>
    <w:p w14:paraId="0CC83810" w14:textId="5B4955DB" w:rsidR="008600A3" w:rsidRPr="00AE74F3" w:rsidRDefault="008600A3" w:rsidP="008600A3">
      <w:pPr>
        <w:pStyle w:val="ListParagraph"/>
        <w:ind w:left="1134"/>
      </w:pPr>
      <w:r w:rsidRPr="00AE74F3">
        <w:t xml:space="preserve">The data could not be independently verified. </w:t>
      </w:r>
    </w:p>
    <w:p w14:paraId="5079CE2F" w14:textId="047323BC" w:rsidR="008600A3" w:rsidRPr="00AE74F3" w:rsidRDefault="003B262D" w:rsidP="008600A3">
      <w:pPr>
        <w:pStyle w:val="3-BodyText"/>
      </w:pPr>
      <w:r w:rsidRPr="00AE74F3">
        <w:t xml:space="preserve">The </w:t>
      </w:r>
      <w:r w:rsidR="004D1CEE" w:rsidRPr="00AE74F3">
        <w:t xml:space="preserve">evaluation and the ESC considered that the some </w:t>
      </w:r>
      <w:r w:rsidRPr="00AE74F3">
        <w:t xml:space="preserve">of the transition probabilities used in the model </w:t>
      </w:r>
      <w:r w:rsidR="004D1CEE" w:rsidRPr="00AE74F3">
        <w:t>were</w:t>
      </w:r>
      <w:r w:rsidR="00863547" w:rsidRPr="00AE74F3">
        <w:t xml:space="preserve"> outdated and </w:t>
      </w:r>
      <w:r w:rsidR="007174C2" w:rsidRPr="00AE74F3">
        <w:t xml:space="preserve">presented an applicability issue. In the model, </w:t>
      </w:r>
      <w:r w:rsidRPr="00AE74F3">
        <w:t xml:space="preserve">half of all patients </w:t>
      </w:r>
      <w:r w:rsidR="007174C2" w:rsidRPr="00AE74F3">
        <w:t xml:space="preserve">were considered to have </w:t>
      </w:r>
      <w:r w:rsidRPr="00AE74F3">
        <w:t>progressed from RRMS to SPMS at 13.5 and 12.5 years for ofatumumab and fingolimod, respectively. However</w:t>
      </w:r>
      <w:r w:rsidR="00414D3C" w:rsidRPr="00AE74F3">
        <w:t>,</w:t>
      </w:r>
      <w:r w:rsidRPr="00AE74F3">
        <w:t xml:space="preserve"> </w:t>
      </w:r>
      <w:r w:rsidR="008600A3" w:rsidRPr="00AE74F3">
        <w:t>Fambiatos 2020, a longitudinal study of 15,717 MS patients, reported that “over the course of almost two decades, the reported median time from MS onset to SPMS has increased from just under 15</w:t>
      </w:r>
      <w:r w:rsidR="00F24FAB" w:rsidRPr="00AE74F3">
        <w:t xml:space="preserve"> </w:t>
      </w:r>
      <w:r w:rsidR="008600A3" w:rsidRPr="00AE74F3">
        <w:t>years to over 30 years”</w:t>
      </w:r>
      <w:r w:rsidR="00414D3C" w:rsidRPr="00AE74F3">
        <w:t xml:space="preserve"> and the rate of progression of RRMS to SPMS appears to have slowed considerably over time with the widespread use of DMTs.</w:t>
      </w:r>
      <w:r w:rsidR="008600A3" w:rsidRPr="00AE74F3">
        <w:t xml:space="preserve"> Nonetheless, the base case of the model does not appear to be sensitive to the assumed transition from RRMS to SPMS. </w:t>
      </w:r>
    </w:p>
    <w:p w14:paraId="6BE7B5D1" w14:textId="61C39509" w:rsidR="008600A3" w:rsidRPr="00AE74F3" w:rsidRDefault="008600A3" w:rsidP="008600A3">
      <w:pPr>
        <w:pStyle w:val="3-BodyText"/>
      </w:pPr>
      <w:r w:rsidRPr="00AE74F3">
        <w:t xml:space="preserve">The key drivers of the model are highlighted in </w:t>
      </w:r>
      <w:r w:rsidRPr="00AE74F3">
        <w:fldChar w:fldCharType="begin" w:fldLock="1"/>
      </w:r>
      <w:r w:rsidRPr="00AE74F3">
        <w:instrText xml:space="preserve"> REF _Ref153051200 \h </w:instrText>
      </w:r>
      <w:r w:rsidR="005F098D" w:rsidRPr="00AE74F3">
        <w:instrText xml:space="preserve"> \* MERGEFORMAT </w:instrText>
      </w:r>
      <w:r w:rsidRPr="00AE74F3">
        <w:fldChar w:fldCharType="separate"/>
      </w:r>
      <w:r w:rsidR="00416916" w:rsidRPr="00AE74F3">
        <w:t xml:space="preserve">Table </w:t>
      </w:r>
      <w:r w:rsidR="00416916">
        <w:rPr>
          <w:noProof/>
        </w:rPr>
        <w:t>10</w:t>
      </w:r>
      <w:r w:rsidRPr="00AE74F3">
        <w:fldChar w:fldCharType="end"/>
      </w:r>
      <w:r w:rsidRPr="00AE74F3">
        <w:t>.</w:t>
      </w:r>
    </w:p>
    <w:p w14:paraId="3336FD7A" w14:textId="5CA834D5" w:rsidR="008600A3" w:rsidRPr="00AE74F3" w:rsidRDefault="008600A3" w:rsidP="008600A3">
      <w:pPr>
        <w:pStyle w:val="Caption"/>
        <w:rPr>
          <w:rStyle w:val="CommentReference"/>
          <w:b/>
          <w:szCs w:val="24"/>
        </w:rPr>
      </w:pPr>
      <w:bookmarkStart w:id="61" w:name="_Ref153051200"/>
      <w:r w:rsidRPr="00AE74F3">
        <w:lastRenderedPageBreak/>
        <w:t xml:space="preserve">Table </w:t>
      </w:r>
      <w:r w:rsidR="002943DF">
        <w:fldChar w:fldCharType="begin" w:fldLock="1"/>
      </w:r>
      <w:r w:rsidR="002943DF">
        <w:instrText xml:space="preserve"> SEQ Table \* ARABIC </w:instrText>
      </w:r>
      <w:r w:rsidR="002943DF">
        <w:fldChar w:fldCharType="separate"/>
      </w:r>
      <w:r w:rsidR="00416916">
        <w:rPr>
          <w:noProof/>
        </w:rPr>
        <w:t>10</w:t>
      </w:r>
      <w:r w:rsidR="002943DF">
        <w:rPr>
          <w:noProof/>
        </w:rPr>
        <w:fldChar w:fldCharType="end"/>
      </w:r>
      <w:bookmarkEnd w:id="61"/>
      <w:r w:rsidRPr="00AE74F3">
        <w:t>:</w:t>
      </w:r>
      <w:r w:rsidRPr="00AE74F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0: Key drivers of the model"/>
      </w:tblPr>
      <w:tblGrid>
        <w:gridCol w:w="1127"/>
        <w:gridCol w:w="4254"/>
        <w:gridCol w:w="3636"/>
      </w:tblGrid>
      <w:tr w:rsidR="008600A3" w:rsidRPr="00AE74F3" w14:paraId="6CA30D54" w14:textId="77777777" w:rsidTr="00561CA4">
        <w:trPr>
          <w:tblHeader/>
        </w:trPr>
        <w:tc>
          <w:tcPr>
            <w:tcW w:w="625" w:type="pct"/>
            <w:shd w:val="clear" w:color="auto" w:fill="auto"/>
            <w:vAlign w:val="center"/>
          </w:tcPr>
          <w:p w14:paraId="5FA6F02F" w14:textId="77777777" w:rsidR="008600A3" w:rsidRPr="00AE74F3" w:rsidRDefault="008600A3" w:rsidP="004D1CEE">
            <w:pPr>
              <w:pStyle w:val="In-tableHeading"/>
              <w:keepLines/>
              <w:widowControl w:val="0"/>
              <w:jc w:val="center"/>
              <w:rPr>
                <w:lang w:val="en-AU"/>
              </w:rPr>
            </w:pPr>
            <w:r w:rsidRPr="00AE74F3">
              <w:rPr>
                <w:lang w:val="en-AU"/>
              </w:rPr>
              <w:t>Description</w:t>
            </w:r>
          </w:p>
        </w:tc>
        <w:tc>
          <w:tcPr>
            <w:tcW w:w="2359" w:type="pct"/>
            <w:shd w:val="clear" w:color="auto" w:fill="auto"/>
            <w:vAlign w:val="center"/>
          </w:tcPr>
          <w:p w14:paraId="22592420" w14:textId="77777777" w:rsidR="008600A3" w:rsidRPr="00AE74F3" w:rsidRDefault="008600A3" w:rsidP="004D1CEE">
            <w:pPr>
              <w:pStyle w:val="In-tableHeading"/>
              <w:keepLines/>
              <w:widowControl w:val="0"/>
              <w:jc w:val="center"/>
              <w:rPr>
                <w:lang w:val="en-AU"/>
              </w:rPr>
            </w:pPr>
            <w:r w:rsidRPr="00AE74F3">
              <w:rPr>
                <w:lang w:val="en-AU"/>
              </w:rPr>
              <w:t>Method/Value</w:t>
            </w:r>
          </w:p>
        </w:tc>
        <w:tc>
          <w:tcPr>
            <w:tcW w:w="2016" w:type="pct"/>
            <w:shd w:val="clear" w:color="auto" w:fill="auto"/>
            <w:vAlign w:val="center"/>
          </w:tcPr>
          <w:p w14:paraId="50CBAC6D" w14:textId="77777777" w:rsidR="008600A3" w:rsidRPr="00AE74F3" w:rsidRDefault="008600A3" w:rsidP="004D1CEE">
            <w:pPr>
              <w:pStyle w:val="In-tableHeading"/>
              <w:keepLines/>
              <w:widowControl w:val="0"/>
              <w:jc w:val="center"/>
              <w:rPr>
                <w:lang w:val="en-AU"/>
              </w:rPr>
            </w:pPr>
            <w:r w:rsidRPr="00AE74F3">
              <w:rPr>
                <w:lang w:val="en-AU"/>
              </w:rPr>
              <w:t>Impact</w:t>
            </w:r>
          </w:p>
          <w:p w14:paraId="30A2B268" w14:textId="77777777" w:rsidR="008600A3" w:rsidRPr="00AE74F3" w:rsidRDefault="008600A3" w:rsidP="004D1CEE">
            <w:pPr>
              <w:pStyle w:val="In-tableHeading"/>
              <w:keepLines/>
              <w:widowControl w:val="0"/>
              <w:jc w:val="center"/>
              <w:rPr>
                <w:lang w:val="en-AU"/>
              </w:rPr>
            </w:pPr>
            <w:r w:rsidRPr="00AE74F3">
              <w:rPr>
                <w:rFonts w:cs="Arial"/>
                <w:szCs w:val="20"/>
                <w:lang w:val="en-AU"/>
              </w:rPr>
              <w:t>Base case: ofatumumab dominant over fingolimod</w:t>
            </w:r>
          </w:p>
        </w:tc>
      </w:tr>
      <w:tr w:rsidR="008600A3" w:rsidRPr="00AE74F3" w14:paraId="301780A4" w14:textId="77777777" w:rsidTr="00561CA4">
        <w:tc>
          <w:tcPr>
            <w:tcW w:w="625" w:type="pct"/>
            <w:shd w:val="clear" w:color="auto" w:fill="auto"/>
            <w:vAlign w:val="center"/>
          </w:tcPr>
          <w:p w14:paraId="04234E2F" w14:textId="02DE371F" w:rsidR="008600A3" w:rsidRPr="00AE74F3" w:rsidRDefault="008600A3" w:rsidP="004D1CEE">
            <w:pPr>
              <w:pStyle w:val="TableText0"/>
              <w:keepLines/>
              <w:widowControl w:val="0"/>
            </w:pPr>
            <w:r w:rsidRPr="00AE74F3">
              <w:t>Transition probabilities, efficacy (</w:t>
            </w:r>
            <w:r w:rsidR="006D5FAE" w:rsidRPr="00AE74F3">
              <w:t xml:space="preserve">time to </w:t>
            </w:r>
            <w:r w:rsidRPr="00AE74F3">
              <w:t>3mCDP)</w:t>
            </w:r>
          </w:p>
        </w:tc>
        <w:tc>
          <w:tcPr>
            <w:tcW w:w="2359" w:type="pct"/>
            <w:shd w:val="clear" w:color="auto" w:fill="auto"/>
            <w:vAlign w:val="center"/>
          </w:tcPr>
          <w:p w14:paraId="597B16DF" w14:textId="77777777" w:rsidR="008600A3" w:rsidRPr="00AE74F3" w:rsidRDefault="008600A3" w:rsidP="004D1CEE">
            <w:pPr>
              <w:pStyle w:val="TableText0"/>
              <w:keepLines/>
              <w:widowControl w:val="0"/>
            </w:pPr>
            <w:r w:rsidRPr="00AE74F3">
              <w:t xml:space="preserve">The base case model and the sensitivity analyses presented in the submission used point estimates from the ITC (ofatumumab versus placebo) and FREEDOMS (fingolimod versus placebo) to represent the DMT treatment effect estimates applied to EDSS progression in patients with RRMS. </w:t>
            </w:r>
          </w:p>
        </w:tc>
        <w:tc>
          <w:tcPr>
            <w:tcW w:w="2016" w:type="pct"/>
            <w:shd w:val="clear" w:color="auto" w:fill="auto"/>
            <w:vAlign w:val="center"/>
          </w:tcPr>
          <w:p w14:paraId="665D9B30" w14:textId="17B8E0EF" w:rsidR="008600A3" w:rsidRPr="00AE74F3" w:rsidRDefault="008600A3" w:rsidP="004D1CEE">
            <w:pPr>
              <w:pStyle w:val="TableText0"/>
              <w:keepLines/>
              <w:widowControl w:val="0"/>
            </w:pPr>
            <w:r w:rsidRPr="00AE74F3">
              <w:t xml:space="preserve">High, favoured ofatumumab. </w:t>
            </w:r>
            <w:r w:rsidR="00B07802" w:rsidRPr="00AE74F3">
              <w:t xml:space="preserve">The </w:t>
            </w:r>
            <w:r w:rsidR="009009AF" w:rsidRPr="00AE74F3">
              <w:t xml:space="preserve">evaluation and the ESC considered that the </w:t>
            </w:r>
            <w:r w:rsidR="00B07802" w:rsidRPr="00AE74F3">
              <w:t>evidence provided d</w:t>
            </w:r>
            <w:r w:rsidR="004E629E" w:rsidRPr="00AE74F3">
              <w:t>id</w:t>
            </w:r>
            <w:r w:rsidR="00B07802" w:rsidRPr="00AE74F3">
              <w:t xml:space="preserve"> not </w:t>
            </w:r>
            <w:r w:rsidR="006A3B57" w:rsidRPr="00AE74F3">
              <w:t xml:space="preserve">support superior efficacy or </w:t>
            </w:r>
            <w:r w:rsidR="00B07802" w:rsidRPr="00AE74F3">
              <w:t xml:space="preserve">justify a cost utility analysis. </w:t>
            </w:r>
            <w:r w:rsidRPr="00AE74F3">
              <w:t xml:space="preserve">Additional sensitivity analyses conducted during the evaluation to investigate the 95% CIs for the </w:t>
            </w:r>
            <w:r w:rsidR="006D5FAE" w:rsidRPr="00AE74F3">
              <w:t xml:space="preserve">time to </w:t>
            </w:r>
            <w:r w:rsidRPr="00AE74F3">
              <w:t>3mCDP HRs found that if the ofatumumab upper 95% CI and the fingolimod lower 95% CI were used, the results of the economic analysis flipped such that fingolimod dominated ofatumumab.</w:t>
            </w:r>
            <w:r w:rsidR="007B0D67" w:rsidRPr="00AE74F3">
              <w:t xml:space="preserve"> The ESC considered this analysis highlighted the uncertainties associated with the clinical data.</w:t>
            </w:r>
          </w:p>
        </w:tc>
      </w:tr>
      <w:tr w:rsidR="00B07802" w:rsidRPr="00AE74F3" w14:paraId="51CB9D1F" w14:textId="77777777" w:rsidTr="00561CA4">
        <w:tc>
          <w:tcPr>
            <w:tcW w:w="625" w:type="pct"/>
            <w:shd w:val="clear" w:color="auto" w:fill="auto"/>
            <w:vAlign w:val="center"/>
          </w:tcPr>
          <w:p w14:paraId="2760F213" w14:textId="733D4092" w:rsidR="00B07802" w:rsidRPr="00AE74F3" w:rsidRDefault="00B07802" w:rsidP="004D1CEE">
            <w:pPr>
              <w:pStyle w:val="TableText0"/>
              <w:keepLines/>
              <w:widowControl w:val="0"/>
            </w:pPr>
            <w:r w:rsidRPr="00AE74F3">
              <w:t>Model duration</w:t>
            </w:r>
          </w:p>
        </w:tc>
        <w:tc>
          <w:tcPr>
            <w:tcW w:w="2359" w:type="pct"/>
            <w:shd w:val="clear" w:color="auto" w:fill="auto"/>
            <w:vAlign w:val="center"/>
          </w:tcPr>
          <w:p w14:paraId="4D338CEE" w14:textId="0FE32524" w:rsidR="00B07802" w:rsidRPr="00AE74F3" w:rsidRDefault="00B07802" w:rsidP="004D1CEE">
            <w:pPr>
              <w:pStyle w:val="TableText0"/>
              <w:keepLines/>
              <w:widowControl w:val="0"/>
            </w:pPr>
            <w:r w:rsidRPr="00AE74F3">
              <w:t>Lifetime model duration assumed, as in the fingolimod 2011 model.</w:t>
            </w:r>
          </w:p>
        </w:tc>
        <w:tc>
          <w:tcPr>
            <w:tcW w:w="2016" w:type="pct"/>
            <w:shd w:val="clear" w:color="auto" w:fill="auto"/>
            <w:vAlign w:val="center"/>
          </w:tcPr>
          <w:p w14:paraId="1814928C" w14:textId="77777777" w:rsidR="00B07802" w:rsidRPr="00AE74F3" w:rsidRDefault="00B07802" w:rsidP="004D1CEE">
            <w:pPr>
              <w:pStyle w:val="TableText0"/>
              <w:keepLines/>
              <w:widowControl w:val="0"/>
            </w:pPr>
            <w:r w:rsidRPr="00AE74F3">
              <w:t>High, favoured ofatumumab.</w:t>
            </w:r>
          </w:p>
          <w:p w14:paraId="4DB271FC" w14:textId="1E63DF30" w:rsidR="00B07802" w:rsidRPr="00AE74F3" w:rsidRDefault="00B07802" w:rsidP="004D1CEE">
            <w:pPr>
              <w:pStyle w:val="TableText0"/>
              <w:keepLines/>
              <w:widowControl w:val="0"/>
            </w:pPr>
            <w:r w:rsidRPr="00AE74F3">
              <w:t>Use of a 2</w:t>
            </w:r>
            <w:r w:rsidR="00521F60" w:rsidRPr="00AE74F3">
              <w:t>-</w:t>
            </w:r>
            <w:r w:rsidRPr="00AE74F3">
              <w:t>year model duration resulted in an ICER of $</w:t>
            </w:r>
            <w:r w:rsidR="00A121F0" w:rsidRPr="00A121F0">
              <w:rPr>
                <w:color w:val="000000"/>
                <w:spacing w:val="55"/>
                <w:shd w:val="solid" w:color="000000" w:fill="000000"/>
                <w:fitText w:val="336" w:id="-962405886"/>
                <w14:textFill>
                  <w14:solidFill>
                    <w14:srgbClr w14:val="000000">
                      <w14:alpha w14:val="100000"/>
                    </w14:srgbClr>
                  </w14:solidFill>
                </w14:textFill>
              </w:rPr>
              <w:t>|||</w:t>
            </w:r>
            <w:r w:rsidR="00A121F0" w:rsidRPr="00A121F0">
              <w:rPr>
                <w:color w:val="000000"/>
                <w:spacing w:val="1"/>
                <w:shd w:val="solid" w:color="000000" w:fill="000000"/>
                <w:fitText w:val="336" w:id="-962405886"/>
                <w14:textFill>
                  <w14:solidFill>
                    <w14:srgbClr w14:val="000000">
                      <w14:alpha w14:val="100000"/>
                    </w14:srgbClr>
                  </w14:solidFill>
                </w14:textFill>
              </w:rPr>
              <w:t>|</w:t>
            </w:r>
            <w:r w:rsidR="001B3BCD" w:rsidRPr="001B3BCD">
              <w:rPr>
                <w:vertAlign w:val="superscript"/>
              </w:rPr>
              <w:t>1</w:t>
            </w:r>
            <w:r w:rsidR="00256C2E">
              <w:rPr>
                <w:vertAlign w:val="superscript"/>
              </w:rPr>
              <w:t xml:space="preserve"> </w:t>
            </w:r>
            <w:r w:rsidRPr="00AE74F3">
              <w:t>QALY gained and use of a 10</w:t>
            </w:r>
            <w:r w:rsidR="00561CA4" w:rsidRPr="00AE74F3">
              <w:t>-</w:t>
            </w:r>
            <w:r w:rsidRPr="00AE74F3">
              <w:t>year time horizon resulted in an ICER of $</w:t>
            </w:r>
            <w:r w:rsidR="00A121F0" w:rsidRPr="00A121F0">
              <w:rPr>
                <w:color w:val="000000"/>
                <w:spacing w:val="51"/>
                <w:shd w:val="solid" w:color="000000" w:fill="000000"/>
                <w:fitText w:val="324" w:id="-962405884"/>
                <w14:textFill>
                  <w14:solidFill>
                    <w14:srgbClr w14:val="000000">
                      <w14:alpha w14:val="100000"/>
                    </w14:srgbClr>
                  </w14:solidFill>
                </w14:textFill>
              </w:rPr>
              <w:t>|||</w:t>
            </w:r>
            <w:r w:rsidR="00A121F0" w:rsidRPr="00A121F0">
              <w:rPr>
                <w:color w:val="000000"/>
                <w:spacing w:val="1"/>
                <w:shd w:val="solid" w:color="000000" w:fill="000000"/>
                <w:fitText w:val="324" w:id="-962405884"/>
                <w14:textFill>
                  <w14:solidFill>
                    <w14:srgbClr w14:val="000000">
                      <w14:alpha w14:val="100000"/>
                    </w14:srgbClr>
                  </w14:solidFill>
                </w14:textFill>
              </w:rPr>
              <w:t>|</w:t>
            </w:r>
            <w:r w:rsidR="001B3BCD">
              <w:rPr>
                <w:vertAlign w:val="superscript"/>
              </w:rPr>
              <w:t>2</w:t>
            </w:r>
            <w:r w:rsidRPr="00AE74F3">
              <w:t>/QALY gained.</w:t>
            </w:r>
          </w:p>
        </w:tc>
      </w:tr>
      <w:tr w:rsidR="008600A3" w:rsidRPr="00AE74F3" w14:paraId="390E7CD5" w14:textId="77777777" w:rsidTr="00561CA4">
        <w:tc>
          <w:tcPr>
            <w:tcW w:w="625" w:type="pct"/>
            <w:shd w:val="clear" w:color="auto" w:fill="auto"/>
            <w:vAlign w:val="center"/>
          </w:tcPr>
          <w:p w14:paraId="10AEE541" w14:textId="77777777" w:rsidR="008600A3" w:rsidRPr="00AE74F3" w:rsidRDefault="008600A3" w:rsidP="004D1CEE">
            <w:pPr>
              <w:pStyle w:val="TableText0"/>
              <w:keepLines/>
              <w:widowControl w:val="0"/>
            </w:pPr>
            <w:r w:rsidRPr="00AE74F3">
              <w:t>Drug costs, price of fingolimod</w:t>
            </w:r>
          </w:p>
        </w:tc>
        <w:tc>
          <w:tcPr>
            <w:tcW w:w="2359" w:type="pct"/>
            <w:shd w:val="clear" w:color="auto" w:fill="auto"/>
            <w:vAlign w:val="center"/>
          </w:tcPr>
          <w:p w14:paraId="209DA1A4" w14:textId="67792897" w:rsidR="008600A3" w:rsidRPr="00AE74F3" w:rsidRDefault="008600A3" w:rsidP="004D1CEE">
            <w:pPr>
              <w:pStyle w:val="TableText0"/>
              <w:keepLines/>
              <w:widowControl w:val="0"/>
            </w:pPr>
            <w:r w:rsidRPr="00AE74F3">
              <w:t xml:space="preserve">The PBS price of fingolimod was reduced by 25% in December 2022 and the submission considered it </w:t>
            </w:r>
            <w:r w:rsidR="004E629E" w:rsidRPr="00AE74F3">
              <w:t xml:space="preserve">was </w:t>
            </w:r>
            <w:r w:rsidRPr="00AE74F3">
              <w:t xml:space="preserve">likely to be reduced further due to price disclosure. </w:t>
            </w:r>
          </w:p>
        </w:tc>
        <w:tc>
          <w:tcPr>
            <w:tcW w:w="2016" w:type="pct"/>
            <w:shd w:val="clear" w:color="auto" w:fill="auto"/>
            <w:vAlign w:val="center"/>
          </w:tcPr>
          <w:p w14:paraId="5A4EDECD" w14:textId="77777777" w:rsidR="008600A3" w:rsidRPr="00AE74F3" w:rsidRDefault="008600A3" w:rsidP="004D1CEE">
            <w:pPr>
              <w:pStyle w:val="TableText0"/>
              <w:keepLines/>
              <w:widowControl w:val="0"/>
            </w:pPr>
            <w:r w:rsidRPr="00AE74F3">
              <w:t>High, favoured ofatumumab.</w:t>
            </w:r>
          </w:p>
          <w:p w14:paraId="1EC65097" w14:textId="0A4D1B68" w:rsidR="008600A3" w:rsidRPr="00AE74F3" w:rsidRDefault="008600A3" w:rsidP="004D1CEE">
            <w:pPr>
              <w:pStyle w:val="TableText0"/>
              <w:keepLines/>
              <w:widowControl w:val="0"/>
            </w:pPr>
            <w:r w:rsidRPr="00AE74F3">
              <w:t xml:space="preserve">Inclusion of a 20% fingolimod price </w:t>
            </w:r>
            <w:r w:rsidR="00F24FAB" w:rsidRPr="00AE74F3">
              <w:t xml:space="preserve">reduction </w:t>
            </w:r>
            <w:r w:rsidRPr="00AE74F3">
              <w:t>resulted in an ICER of $</w:t>
            </w:r>
            <w:r w:rsidR="00A121F0" w:rsidRPr="00A121F0">
              <w:rPr>
                <w:color w:val="000000"/>
                <w:spacing w:val="55"/>
                <w:shd w:val="solid" w:color="000000" w:fill="000000"/>
                <w:fitText w:val="336" w:id="-962405883"/>
                <w14:textFill>
                  <w14:solidFill>
                    <w14:srgbClr w14:val="000000">
                      <w14:alpha w14:val="100000"/>
                    </w14:srgbClr>
                  </w14:solidFill>
                </w14:textFill>
              </w:rPr>
              <w:t>|||</w:t>
            </w:r>
            <w:r w:rsidR="00A121F0" w:rsidRPr="00A121F0">
              <w:rPr>
                <w:color w:val="000000"/>
                <w:spacing w:val="1"/>
                <w:shd w:val="solid" w:color="000000" w:fill="000000"/>
                <w:fitText w:val="336" w:id="-962405883"/>
                <w14:textFill>
                  <w14:solidFill>
                    <w14:srgbClr w14:val="000000">
                      <w14:alpha w14:val="100000"/>
                    </w14:srgbClr>
                  </w14:solidFill>
                </w14:textFill>
              </w:rPr>
              <w:t>|</w:t>
            </w:r>
            <w:r w:rsidR="001B3BCD">
              <w:rPr>
                <w:vertAlign w:val="superscript"/>
              </w:rPr>
              <w:t>2</w:t>
            </w:r>
            <w:r w:rsidRPr="00AE74F3">
              <w:t>/QALY gained..</w:t>
            </w:r>
          </w:p>
        </w:tc>
      </w:tr>
      <w:tr w:rsidR="008600A3" w:rsidRPr="00AE74F3" w14:paraId="02C2BA1B" w14:textId="77777777" w:rsidTr="00561CA4">
        <w:tc>
          <w:tcPr>
            <w:tcW w:w="625" w:type="pct"/>
            <w:shd w:val="clear" w:color="auto" w:fill="auto"/>
            <w:vAlign w:val="center"/>
          </w:tcPr>
          <w:p w14:paraId="7BD7D842" w14:textId="77777777" w:rsidR="008600A3" w:rsidRPr="00AE74F3" w:rsidRDefault="008600A3" w:rsidP="004D1CEE">
            <w:pPr>
              <w:pStyle w:val="TableText0"/>
              <w:keepLines/>
              <w:widowControl w:val="0"/>
            </w:pPr>
            <w:r w:rsidRPr="00AE74F3">
              <w:t>Drug costs, ofatumumab doses</w:t>
            </w:r>
          </w:p>
        </w:tc>
        <w:tc>
          <w:tcPr>
            <w:tcW w:w="2359" w:type="pct"/>
            <w:shd w:val="clear" w:color="auto" w:fill="auto"/>
            <w:vAlign w:val="center"/>
          </w:tcPr>
          <w:p w14:paraId="229056DC" w14:textId="3E4521F0" w:rsidR="008600A3" w:rsidRPr="00AE74F3" w:rsidRDefault="008600A3" w:rsidP="004D1CEE">
            <w:pPr>
              <w:pStyle w:val="TableText0"/>
              <w:keepLines/>
              <w:widowControl w:val="0"/>
            </w:pPr>
            <w:r w:rsidRPr="00AE74F3">
              <w:t>The submission included 14 doses of ofatumumab in Year 1 and 12 doses of ofatumumab in subsequent years. While these figures were included in the ofatumumab March 2021 cost-minimisation, they were not accepted by the PBAC who found it appropriate to include ofatumumab doses based on ASCLEPIOS I/II (15 doses in Year 1 and 13 doses in subsequent years.)</w:t>
            </w:r>
            <w:r w:rsidR="00B41D0F" w:rsidRPr="00AE74F3">
              <w:t xml:space="preserve"> with the difference due to monthly versus 4-weekly dosing.</w:t>
            </w:r>
          </w:p>
        </w:tc>
        <w:tc>
          <w:tcPr>
            <w:tcW w:w="2016" w:type="pct"/>
            <w:shd w:val="clear" w:color="auto" w:fill="auto"/>
            <w:vAlign w:val="center"/>
          </w:tcPr>
          <w:p w14:paraId="16610B91" w14:textId="77777777" w:rsidR="008600A3" w:rsidRPr="00AE74F3" w:rsidRDefault="008600A3" w:rsidP="004D1CEE">
            <w:pPr>
              <w:pStyle w:val="TableText0"/>
              <w:keepLines/>
              <w:widowControl w:val="0"/>
            </w:pPr>
            <w:r w:rsidRPr="00AE74F3">
              <w:t>Moderate, favoured ofatumumab.</w:t>
            </w:r>
          </w:p>
          <w:p w14:paraId="240584C2" w14:textId="04743F1E" w:rsidR="008600A3" w:rsidRPr="00AE74F3" w:rsidRDefault="008600A3" w:rsidP="00DA07A5">
            <w:pPr>
              <w:pStyle w:val="TableText0"/>
              <w:keepLines/>
              <w:widowControl w:val="0"/>
            </w:pPr>
            <w:r w:rsidRPr="00AE74F3">
              <w:t>Inclusion of 15 ofatumumab doses in Year 1 and 13 ofatumumab doses in subsequent years resulted in an ICER of $</w:t>
            </w:r>
            <w:r w:rsidR="00A121F0" w:rsidRPr="00A121F0">
              <w:rPr>
                <w:color w:val="000000"/>
                <w:spacing w:val="54"/>
                <w:shd w:val="solid" w:color="000000" w:fill="000000"/>
                <w:fitText w:val="336" w:id="-962405882"/>
                <w14:textFill>
                  <w14:solidFill>
                    <w14:srgbClr w14:val="000000">
                      <w14:alpha w14:val="100000"/>
                    </w14:srgbClr>
                  </w14:solidFill>
                </w14:textFill>
              </w:rPr>
              <w:t>|||</w:t>
            </w:r>
            <w:r w:rsidR="00A121F0" w:rsidRPr="00A121F0">
              <w:rPr>
                <w:color w:val="000000"/>
                <w:spacing w:val="2"/>
                <w:shd w:val="solid" w:color="000000" w:fill="000000"/>
                <w:fitText w:val="336" w:id="-962405882"/>
                <w14:textFill>
                  <w14:solidFill>
                    <w14:srgbClr w14:val="000000">
                      <w14:alpha w14:val="100000"/>
                    </w14:srgbClr>
                  </w14:solidFill>
                </w14:textFill>
              </w:rPr>
              <w:t>|</w:t>
            </w:r>
            <w:r w:rsidR="001B3BCD">
              <w:rPr>
                <w:vertAlign w:val="superscript"/>
              </w:rPr>
              <w:t>3</w:t>
            </w:r>
            <w:r w:rsidRPr="00AE74F3">
              <w:t>.</w:t>
            </w:r>
            <w:r w:rsidR="004E629E" w:rsidRPr="00AE74F3">
              <w:t xml:space="preserve"> </w:t>
            </w:r>
          </w:p>
        </w:tc>
      </w:tr>
      <w:tr w:rsidR="008600A3" w:rsidRPr="00AE74F3" w14:paraId="057E5CEE" w14:textId="77777777" w:rsidTr="00561CA4">
        <w:tc>
          <w:tcPr>
            <w:tcW w:w="625" w:type="pct"/>
            <w:shd w:val="clear" w:color="auto" w:fill="auto"/>
            <w:vAlign w:val="center"/>
          </w:tcPr>
          <w:p w14:paraId="036A570F" w14:textId="77777777" w:rsidR="008600A3" w:rsidRPr="00AE74F3" w:rsidRDefault="008600A3" w:rsidP="004D1CEE">
            <w:pPr>
              <w:pStyle w:val="TableText0"/>
              <w:keepLines/>
              <w:widowControl w:val="0"/>
            </w:pPr>
            <w:r w:rsidRPr="00AE74F3">
              <w:t>EDSS health state costs</w:t>
            </w:r>
          </w:p>
        </w:tc>
        <w:tc>
          <w:tcPr>
            <w:tcW w:w="2359" w:type="pct"/>
            <w:shd w:val="clear" w:color="auto" w:fill="auto"/>
            <w:vAlign w:val="center"/>
          </w:tcPr>
          <w:p w14:paraId="219A853D" w14:textId="0A34459B" w:rsidR="008600A3" w:rsidRPr="00AE74F3" w:rsidRDefault="008600A3" w:rsidP="004D1CEE">
            <w:pPr>
              <w:pStyle w:val="TableText0"/>
              <w:keepLines/>
              <w:widowControl w:val="0"/>
            </w:pPr>
            <w:r w:rsidRPr="00AE74F3">
              <w:t>The model incorporated published EDSS health state costs for RRMS and SPMS (Ahmad 2018). DMTs costs were removed from within the health state cost for patients with RRMS, but these costs were included for patients with SPMS despite no efficacy of DMTs being applied.</w:t>
            </w:r>
          </w:p>
        </w:tc>
        <w:tc>
          <w:tcPr>
            <w:tcW w:w="2016" w:type="pct"/>
            <w:shd w:val="clear" w:color="auto" w:fill="auto"/>
            <w:vAlign w:val="center"/>
          </w:tcPr>
          <w:p w14:paraId="3FF634C4" w14:textId="77777777" w:rsidR="008600A3" w:rsidRPr="00AE74F3" w:rsidRDefault="008600A3" w:rsidP="004D1CEE">
            <w:pPr>
              <w:pStyle w:val="TableText0"/>
              <w:keepLines/>
              <w:widowControl w:val="0"/>
            </w:pPr>
            <w:r w:rsidRPr="00AE74F3">
              <w:t>Moderate, favoured ofatumumab.</w:t>
            </w:r>
          </w:p>
          <w:p w14:paraId="635315F6" w14:textId="1B8D2B14" w:rsidR="008600A3" w:rsidRPr="00AE74F3" w:rsidRDefault="008600A3" w:rsidP="004D1CEE">
            <w:pPr>
              <w:pStyle w:val="TableText0"/>
              <w:keepLines/>
              <w:widowControl w:val="0"/>
            </w:pPr>
            <w:r w:rsidRPr="00AE74F3">
              <w:t>Assuming the health state costs based on EDSS to be the same for patients with RRMS and SPMS resulted in an ICER of $</w:t>
            </w:r>
            <w:r w:rsidR="00A121F0" w:rsidRPr="00A121F0">
              <w:rPr>
                <w:color w:val="000000"/>
                <w:spacing w:val="50"/>
                <w:shd w:val="solid" w:color="000000" w:fill="000000"/>
                <w:fitText w:val="324" w:id="-962405881"/>
                <w14:textFill>
                  <w14:solidFill>
                    <w14:srgbClr w14:val="000000">
                      <w14:alpha w14:val="100000"/>
                    </w14:srgbClr>
                  </w14:solidFill>
                </w14:textFill>
              </w:rPr>
              <w:t>|||</w:t>
            </w:r>
            <w:r w:rsidR="00A121F0" w:rsidRPr="00A121F0">
              <w:rPr>
                <w:color w:val="000000"/>
                <w:spacing w:val="2"/>
                <w:shd w:val="solid" w:color="000000" w:fill="000000"/>
                <w:fitText w:val="324" w:id="-962405881"/>
                <w14:textFill>
                  <w14:solidFill>
                    <w14:srgbClr w14:val="000000">
                      <w14:alpha w14:val="100000"/>
                    </w14:srgbClr>
                  </w14:solidFill>
                </w14:textFill>
              </w:rPr>
              <w:t>|</w:t>
            </w:r>
            <w:r w:rsidR="001B3BCD">
              <w:rPr>
                <w:vertAlign w:val="superscript"/>
              </w:rPr>
              <w:t>3</w:t>
            </w:r>
            <w:r w:rsidRPr="00AE74F3">
              <w:t>/QALY gained.</w:t>
            </w:r>
          </w:p>
        </w:tc>
      </w:tr>
    </w:tbl>
    <w:p w14:paraId="5BBFD2C7" w14:textId="77777777" w:rsidR="008600A3" w:rsidRPr="00AE74F3" w:rsidRDefault="008600A3" w:rsidP="008600A3">
      <w:pPr>
        <w:pStyle w:val="FooterTableFigure"/>
      </w:pPr>
      <w:r w:rsidRPr="00AE74F3">
        <w:t>BSC = best supportive care; CDP = confirmed disability progression; EDSS = Expanded Disability Status Scale; ICER = incremental cost-effectiveness ratio; ITC = indirect treatments comparison; QALY = quality-adjusted life year; RRMS = relapsing remitting multiple sclerosis; SPMS = secondary progressive multiple sclerosis.</w:t>
      </w:r>
    </w:p>
    <w:p w14:paraId="6905FE99" w14:textId="77777777" w:rsidR="008600A3" w:rsidRDefault="008600A3" w:rsidP="00ED6CD4">
      <w:pPr>
        <w:pStyle w:val="FooterTableFigure"/>
        <w:spacing w:after="0"/>
      </w:pPr>
      <w:r w:rsidRPr="00AE74F3">
        <w:t>Source: Constructed during the evaluation using Kesimpta_Section 3_model November 2023 deadline.xls.</w:t>
      </w:r>
    </w:p>
    <w:p w14:paraId="3550EBBC" w14:textId="77777777" w:rsidR="001B3BCD" w:rsidRPr="009A6D58" w:rsidRDefault="001B3BCD" w:rsidP="001B3BC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C705074" w14:textId="6ACBF4F1" w:rsidR="001B3BCD" w:rsidRPr="009A6D58" w:rsidRDefault="001B3BCD" w:rsidP="001B3BC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B3BCD">
        <w:rPr>
          <w:rFonts w:ascii="Arial Narrow" w:hAnsi="Arial Narrow"/>
          <w:i/>
          <w:sz w:val="18"/>
          <w:szCs w:val="18"/>
        </w:rPr>
        <w:t>$155,000 to &lt; $255,000</w:t>
      </w:r>
    </w:p>
    <w:p w14:paraId="7BCB6514" w14:textId="674BF6D8" w:rsidR="001B3BCD" w:rsidRPr="009A6D58" w:rsidRDefault="001B3BCD" w:rsidP="001B3BC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B3BCD">
        <w:rPr>
          <w:rFonts w:ascii="Arial Narrow" w:hAnsi="Arial Narrow"/>
          <w:i/>
          <w:sz w:val="18"/>
          <w:szCs w:val="18"/>
        </w:rPr>
        <w:t>$15,000 to &lt; $25,000</w:t>
      </w:r>
    </w:p>
    <w:p w14:paraId="407408E6" w14:textId="3DDCF0F8" w:rsidR="001B3BCD" w:rsidRPr="00AE74F3" w:rsidRDefault="001B3BCD" w:rsidP="00F76DE1">
      <w:pPr>
        <w:spacing w:after="120"/>
      </w:pPr>
      <w:r w:rsidRPr="009A6D58">
        <w:rPr>
          <w:rFonts w:ascii="Arial Narrow" w:hAnsi="Arial Narrow"/>
          <w:i/>
          <w:sz w:val="18"/>
          <w:szCs w:val="18"/>
          <w:vertAlign w:val="superscript"/>
        </w:rPr>
        <w:t>3</w:t>
      </w:r>
      <w:r>
        <w:rPr>
          <w:rFonts w:ascii="Arial Narrow" w:hAnsi="Arial Narrow"/>
          <w:i/>
          <w:sz w:val="18"/>
          <w:szCs w:val="18"/>
        </w:rPr>
        <w:t xml:space="preserve"> </w:t>
      </w:r>
      <w:r w:rsidRPr="001B3BCD">
        <w:rPr>
          <w:rFonts w:ascii="Arial Narrow" w:hAnsi="Arial Narrow"/>
          <w:i/>
          <w:sz w:val="18"/>
          <w:szCs w:val="18"/>
        </w:rPr>
        <w:t>$5,000 to &lt; $15,000</w:t>
      </w:r>
    </w:p>
    <w:p w14:paraId="3E580148" w14:textId="29060803" w:rsidR="005111F7" w:rsidRPr="00AE74F3" w:rsidRDefault="008600A3" w:rsidP="005111F7">
      <w:pPr>
        <w:pStyle w:val="3-BodyText"/>
      </w:pPr>
      <w:r w:rsidRPr="00AE74F3">
        <w:t xml:space="preserve">The submission claimed that the stepped economic evaluation demonstrated that the current price premium of ofatumumab versus fingolimod is cost-effective at a base case </w:t>
      </w:r>
      <w:r w:rsidR="00DE28DC" w:rsidRPr="00AE74F3">
        <w:t>incremental cost effectiveness ratio (</w:t>
      </w:r>
      <w:r w:rsidRPr="00AE74F3">
        <w:t>ICER</w:t>
      </w:r>
      <w:r w:rsidR="00DE28DC" w:rsidRPr="00AE74F3">
        <w:t>)</w:t>
      </w:r>
      <w:r w:rsidRPr="00AE74F3">
        <w:t xml:space="preserve"> that </w:t>
      </w:r>
      <w:r w:rsidR="00DE28DC" w:rsidRPr="00AE74F3">
        <w:t>wa</w:t>
      </w:r>
      <w:r w:rsidRPr="00AE74F3">
        <w:t>s dominant. The results of the stepped economic evaluation are presented in</w:t>
      </w:r>
      <w:r w:rsidR="005111F7" w:rsidRPr="00AE74F3">
        <w:t xml:space="preserve"> </w:t>
      </w:r>
      <w:r w:rsidR="005111F7" w:rsidRPr="00AE74F3">
        <w:fldChar w:fldCharType="begin" w:fldLock="1"/>
      </w:r>
      <w:r w:rsidR="005111F7" w:rsidRPr="00AE74F3">
        <w:instrText xml:space="preserve"> REF _Ref153209140 \h </w:instrText>
      </w:r>
      <w:r w:rsidR="005F098D" w:rsidRPr="00AE74F3">
        <w:instrText xml:space="preserve"> \* MERGEFORMAT </w:instrText>
      </w:r>
      <w:r w:rsidR="005111F7" w:rsidRPr="00AE74F3">
        <w:fldChar w:fldCharType="separate"/>
      </w:r>
      <w:r w:rsidR="00416916" w:rsidRPr="00AE74F3">
        <w:t xml:space="preserve">Table </w:t>
      </w:r>
      <w:r w:rsidR="00416916">
        <w:rPr>
          <w:noProof/>
        </w:rPr>
        <w:t>11</w:t>
      </w:r>
      <w:r w:rsidR="005111F7" w:rsidRPr="00AE74F3">
        <w:fldChar w:fldCharType="end"/>
      </w:r>
      <w:r w:rsidR="005111F7" w:rsidRPr="00AE74F3">
        <w:t>.</w:t>
      </w:r>
    </w:p>
    <w:p w14:paraId="2CACA537" w14:textId="65A71E79" w:rsidR="008600A3" w:rsidRPr="00AE74F3" w:rsidRDefault="008600A3" w:rsidP="005111F7">
      <w:pPr>
        <w:pStyle w:val="Caption"/>
        <w:tabs>
          <w:tab w:val="left" w:pos="993"/>
        </w:tabs>
      </w:pPr>
      <w:bookmarkStart w:id="62" w:name="_Ref153209140"/>
      <w:bookmarkStart w:id="63" w:name="_Ref153025452"/>
      <w:r w:rsidRPr="00AE74F3">
        <w:lastRenderedPageBreak/>
        <w:t xml:space="preserve">Table </w:t>
      </w:r>
      <w:r w:rsidR="002943DF">
        <w:fldChar w:fldCharType="begin" w:fldLock="1"/>
      </w:r>
      <w:r w:rsidR="002943DF">
        <w:instrText xml:space="preserve"> SEQ Table \* ARABIC </w:instrText>
      </w:r>
      <w:r w:rsidR="002943DF">
        <w:fldChar w:fldCharType="separate"/>
      </w:r>
      <w:r w:rsidR="00416916">
        <w:rPr>
          <w:noProof/>
        </w:rPr>
        <w:t>11</w:t>
      </w:r>
      <w:r w:rsidR="002943DF">
        <w:rPr>
          <w:noProof/>
        </w:rPr>
        <w:fldChar w:fldCharType="end"/>
      </w:r>
      <w:bookmarkEnd w:id="62"/>
      <w:r w:rsidRPr="00AE74F3">
        <w:t>:</w:t>
      </w:r>
      <w:r w:rsidRPr="00AE74F3">
        <w:rPr>
          <w:rStyle w:val="CommentReference"/>
          <w:b/>
          <w:szCs w:val="24"/>
        </w:rPr>
        <w:t xml:space="preserve"> Results of the stepped economic evaluation</w:t>
      </w:r>
    </w:p>
    <w:tbl>
      <w:tblPr>
        <w:tblStyle w:val="TableGrid"/>
        <w:tblW w:w="5000" w:type="pct"/>
        <w:tblLayout w:type="fixed"/>
        <w:tblLook w:val="04A0" w:firstRow="1" w:lastRow="0" w:firstColumn="1" w:lastColumn="0" w:noHBand="0" w:noVBand="1"/>
        <w:tblCaption w:val="Table 11: Results of the stepped economic evaluation"/>
      </w:tblPr>
      <w:tblGrid>
        <w:gridCol w:w="1981"/>
        <w:gridCol w:w="1558"/>
        <w:gridCol w:w="1134"/>
        <w:gridCol w:w="851"/>
        <w:gridCol w:w="1275"/>
        <w:gridCol w:w="1277"/>
        <w:gridCol w:w="941"/>
      </w:tblGrid>
      <w:tr w:rsidR="008600A3" w:rsidRPr="00AE74F3" w14:paraId="5891CE8D" w14:textId="77777777" w:rsidTr="00A121F0">
        <w:trPr>
          <w:trHeight w:val="227"/>
        </w:trPr>
        <w:tc>
          <w:tcPr>
            <w:tcW w:w="1098" w:type="pct"/>
            <w:tcBorders>
              <w:bottom w:val="single" w:sz="4" w:space="0" w:color="auto"/>
            </w:tcBorders>
            <w:noWrap/>
            <w:vAlign w:val="center"/>
          </w:tcPr>
          <w:p w14:paraId="764B012C" w14:textId="77777777" w:rsidR="008600A3" w:rsidRPr="00AE74F3" w:rsidRDefault="008600A3" w:rsidP="005111F7">
            <w:pPr>
              <w:pStyle w:val="In-tableHeading"/>
              <w:keepLines/>
              <w:rPr>
                <w:highlight w:val="yellow"/>
                <w:lang w:val="en-AU"/>
              </w:rPr>
            </w:pPr>
            <w:r w:rsidRPr="00AE74F3">
              <w:rPr>
                <w:lang w:val="en-AU"/>
              </w:rPr>
              <w:t>Analysis</w:t>
            </w:r>
          </w:p>
        </w:tc>
        <w:tc>
          <w:tcPr>
            <w:tcW w:w="864" w:type="pct"/>
            <w:noWrap/>
            <w:vAlign w:val="center"/>
          </w:tcPr>
          <w:p w14:paraId="3678FF27" w14:textId="77777777" w:rsidR="008600A3" w:rsidRPr="00AE74F3" w:rsidRDefault="008600A3" w:rsidP="005111F7">
            <w:pPr>
              <w:pStyle w:val="In-tableHeading"/>
              <w:keepLines/>
              <w:jc w:val="center"/>
              <w:rPr>
                <w:lang w:val="en-AU"/>
              </w:rPr>
            </w:pPr>
            <w:r w:rsidRPr="00AE74F3">
              <w:rPr>
                <w:lang w:val="en-AU"/>
              </w:rPr>
              <w:t>Outcome</w:t>
            </w:r>
          </w:p>
        </w:tc>
        <w:tc>
          <w:tcPr>
            <w:tcW w:w="629" w:type="pct"/>
            <w:noWrap/>
            <w:vAlign w:val="center"/>
          </w:tcPr>
          <w:p w14:paraId="5AE152E8" w14:textId="77777777" w:rsidR="008600A3" w:rsidRPr="00AE74F3" w:rsidRDefault="008600A3" w:rsidP="005111F7">
            <w:pPr>
              <w:pStyle w:val="In-tableHeading"/>
              <w:keepLines/>
              <w:jc w:val="center"/>
              <w:rPr>
                <w:lang w:val="en-AU"/>
              </w:rPr>
            </w:pPr>
            <w:r w:rsidRPr="00AE74F3">
              <w:rPr>
                <w:lang w:val="en-AU"/>
              </w:rPr>
              <w:t>Costs</w:t>
            </w:r>
          </w:p>
        </w:tc>
        <w:tc>
          <w:tcPr>
            <w:tcW w:w="472" w:type="pct"/>
            <w:noWrap/>
            <w:vAlign w:val="center"/>
          </w:tcPr>
          <w:p w14:paraId="11368306" w14:textId="77777777" w:rsidR="008600A3" w:rsidRPr="00AE74F3" w:rsidRDefault="008600A3" w:rsidP="005111F7">
            <w:pPr>
              <w:pStyle w:val="In-tableHeading"/>
              <w:keepLines/>
              <w:jc w:val="center"/>
              <w:rPr>
                <w:lang w:val="en-AU"/>
              </w:rPr>
            </w:pPr>
            <w:r w:rsidRPr="00AE74F3">
              <w:rPr>
                <w:lang w:val="en-AU"/>
              </w:rPr>
              <w:t>Horizon</w:t>
            </w:r>
          </w:p>
        </w:tc>
        <w:tc>
          <w:tcPr>
            <w:tcW w:w="707" w:type="pct"/>
            <w:tcBorders>
              <w:bottom w:val="single" w:sz="4" w:space="0" w:color="auto"/>
            </w:tcBorders>
            <w:vAlign w:val="center"/>
          </w:tcPr>
          <w:p w14:paraId="734D3081" w14:textId="4D69D9A0" w:rsidR="008600A3" w:rsidRPr="00AE74F3" w:rsidRDefault="008600A3" w:rsidP="005111F7">
            <w:pPr>
              <w:pStyle w:val="In-tableHeading"/>
              <w:keepLines/>
              <w:jc w:val="center"/>
              <w:rPr>
                <w:lang w:val="en-AU"/>
              </w:rPr>
            </w:pPr>
            <w:r w:rsidRPr="00AE74F3">
              <w:rPr>
                <w:lang w:val="en-AU"/>
              </w:rPr>
              <w:t>Incremental cost</w:t>
            </w:r>
            <w:r w:rsidR="00C650B4">
              <w:rPr>
                <w:lang w:val="en-AU"/>
              </w:rPr>
              <w:t xml:space="preserve"> ($)</w:t>
            </w:r>
          </w:p>
        </w:tc>
        <w:tc>
          <w:tcPr>
            <w:tcW w:w="708" w:type="pct"/>
            <w:vAlign w:val="center"/>
          </w:tcPr>
          <w:p w14:paraId="734AAEF5" w14:textId="77777777" w:rsidR="008600A3" w:rsidRPr="00AE74F3" w:rsidRDefault="008600A3" w:rsidP="005111F7">
            <w:pPr>
              <w:pStyle w:val="In-tableHeading"/>
              <w:keepLines/>
              <w:jc w:val="center"/>
              <w:rPr>
                <w:lang w:val="en-AU"/>
              </w:rPr>
            </w:pPr>
            <w:r w:rsidRPr="00AE74F3">
              <w:rPr>
                <w:lang w:val="en-AU"/>
              </w:rPr>
              <w:t>Incremental outcome</w:t>
            </w:r>
          </w:p>
        </w:tc>
        <w:tc>
          <w:tcPr>
            <w:tcW w:w="522" w:type="pct"/>
            <w:vAlign w:val="center"/>
          </w:tcPr>
          <w:p w14:paraId="1326F500" w14:textId="2B3D7A19" w:rsidR="008600A3" w:rsidRPr="00AE74F3" w:rsidRDefault="008600A3" w:rsidP="005111F7">
            <w:pPr>
              <w:pStyle w:val="In-tableHeading"/>
              <w:keepLines/>
              <w:jc w:val="center"/>
              <w:rPr>
                <w:lang w:val="en-AU"/>
              </w:rPr>
            </w:pPr>
            <w:r w:rsidRPr="00AE74F3">
              <w:rPr>
                <w:lang w:val="en-AU"/>
              </w:rPr>
              <w:t>ICER</w:t>
            </w:r>
            <w:r w:rsidR="001B3BCD">
              <w:rPr>
                <w:lang w:val="en-AU"/>
              </w:rPr>
              <w:t xml:space="preserve"> ($)</w:t>
            </w:r>
          </w:p>
        </w:tc>
      </w:tr>
      <w:tr w:rsidR="008600A3" w:rsidRPr="00AE74F3" w14:paraId="7D0CD9B3" w14:textId="77777777" w:rsidTr="00A121F0">
        <w:trPr>
          <w:trHeight w:val="227"/>
        </w:trPr>
        <w:tc>
          <w:tcPr>
            <w:tcW w:w="1098" w:type="pct"/>
            <w:vMerge w:val="restart"/>
            <w:tcBorders>
              <w:top w:val="single" w:sz="4" w:space="0" w:color="auto"/>
              <w:left w:val="single" w:sz="4" w:space="0" w:color="auto"/>
              <w:right w:val="single" w:sz="4" w:space="0" w:color="auto"/>
            </w:tcBorders>
            <w:noWrap/>
            <w:vAlign w:val="center"/>
          </w:tcPr>
          <w:p w14:paraId="6CADD0FC" w14:textId="77777777" w:rsidR="008600A3" w:rsidRPr="00AE74F3" w:rsidRDefault="008600A3" w:rsidP="005111F7">
            <w:pPr>
              <w:pStyle w:val="PBACTableText0"/>
              <w:keepNext/>
              <w:keepLines/>
              <w:spacing w:before="0" w:after="0"/>
            </w:pPr>
            <w:r w:rsidRPr="00AE74F3">
              <w:t>Step 1: Trial-based economic evaluation (DMT costs only)</w:t>
            </w:r>
          </w:p>
        </w:tc>
        <w:tc>
          <w:tcPr>
            <w:tcW w:w="864" w:type="pct"/>
            <w:tcBorders>
              <w:left w:val="single" w:sz="4" w:space="0" w:color="auto"/>
            </w:tcBorders>
            <w:noWrap/>
            <w:vAlign w:val="center"/>
          </w:tcPr>
          <w:p w14:paraId="6337449D" w14:textId="77777777" w:rsidR="008600A3" w:rsidRPr="00AE74F3" w:rsidRDefault="008600A3" w:rsidP="005111F7">
            <w:pPr>
              <w:pStyle w:val="PBACTableText0"/>
              <w:keepNext/>
              <w:keepLines/>
              <w:spacing w:before="0" w:after="0"/>
              <w:jc w:val="center"/>
            </w:pPr>
            <w:r w:rsidRPr="00AE74F3">
              <w:t>Number of relapses avoided</w:t>
            </w:r>
          </w:p>
        </w:tc>
        <w:tc>
          <w:tcPr>
            <w:tcW w:w="629" w:type="pct"/>
            <w:noWrap/>
            <w:vAlign w:val="center"/>
          </w:tcPr>
          <w:p w14:paraId="5A50189F" w14:textId="77777777" w:rsidR="008600A3" w:rsidRPr="00AE74F3" w:rsidRDefault="008600A3" w:rsidP="005111F7">
            <w:pPr>
              <w:pStyle w:val="PBACTableText0"/>
              <w:keepNext/>
              <w:keepLines/>
              <w:spacing w:before="0" w:after="0"/>
              <w:jc w:val="center"/>
            </w:pPr>
            <w:r w:rsidRPr="00AE74F3">
              <w:t>DMT costs</w:t>
            </w:r>
          </w:p>
        </w:tc>
        <w:tc>
          <w:tcPr>
            <w:tcW w:w="472" w:type="pct"/>
            <w:noWrap/>
            <w:vAlign w:val="center"/>
          </w:tcPr>
          <w:p w14:paraId="4DCD6094" w14:textId="77777777" w:rsidR="008600A3" w:rsidRPr="00AE74F3" w:rsidRDefault="008600A3" w:rsidP="005111F7">
            <w:pPr>
              <w:pStyle w:val="PBACTableText0"/>
              <w:keepNext/>
              <w:keepLines/>
              <w:spacing w:before="0" w:after="0"/>
              <w:jc w:val="center"/>
            </w:pPr>
            <w:r w:rsidRPr="00AE74F3">
              <w:t>2-years</w:t>
            </w:r>
          </w:p>
        </w:tc>
        <w:tc>
          <w:tcPr>
            <w:tcW w:w="707" w:type="pct"/>
            <w:tcBorders>
              <w:bottom w:val="single" w:sz="4" w:space="0" w:color="auto"/>
            </w:tcBorders>
            <w:shd w:val="solid" w:color="000000" w:fill="000000"/>
            <w:vAlign w:val="center"/>
          </w:tcPr>
          <w:p w14:paraId="5AFEFF48" w14:textId="0100D784" w:rsidR="008600A3" w:rsidRPr="00C650B4" w:rsidRDefault="00A121F0" w:rsidP="005111F7">
            <w:pPr>
              <w:pStyle w:val="PBACTableText0"/>
              <w:keepNext/>
              <w:keepLines/>
              <w:spacing w:before="0" w:after="0"/>
              <w:jc w:val="center"/>
              <w:rPr>
                <w:highlight w:val="lightGray"/>
              </w:rPr>
            </w:pPr>
            <w:r w:rsidRPr="002943DF">
              <w:rPr>
                <w:rFonts w:hint="eastAsia"/>
                <w:color w:val="000000"/>
                <w:w w:val="15"/>
                <w:fitText w:val="12" w:id="-962405880"/>
                <w14:textFill>
                  <w14:solidFill>
                    <w14:srgbClr w14:val="000000">
                      <w14:alpha w14:val="100000"/>
                    </w14:srgbClr>
                  </w14:solidFill>
                </w14:textFill>
              </w:rPr>
              <w:t xml:space="preserve">　</w:t>
            </w:r>
            <w:r w:rsidRPr="002943DF">
              <w:rPr>
                <w:color w:val="000000"/>
                <w:w w:val="15"/>
                <w:fitText w:val="12" w:id="-962405880"/>
                <w14:textFill>
                  <w14:solidFill>
                    <w14:srgbClr w14:val="000000">
                      <w14:alpha w14:val="100000"/>
                    </w14:srgbClr>
                  </w14:solidFill>
                </w14:textFill>
              </w:rPr>
              <w:t>|</w:t>
            </w:r>
            <w:r w:rsidRPr="002943DF">
              <w:rPr>
                <w:rFonts w:hint="eastAsia"/>
                <w:color w:val="000000"/>
                <w:spacing w:val="-54"/>
                <w:w w:val="15"/>
                <w:fitText w:val="12" w:id="-962405880"/>
                <w14:textFill>
                  <w14:solidFill>
                    <w14:srgbClr w14:val="000000">
                      <w14:alpha w14:val="100000"/>
                    </w14:srgbClr>
                  </w14:solidFill>
                </w14:textFill>
              </w:rPr>
              <w:t xml:space="preserve">　</w:t>
            </w:r>
          </w:p>
        </w:tc>
        <w:tc>
          <w:tcPr>
            <w:tcW w:w="708" w:type="pct"/>
            <w:vAlign w:val="center"/>
          </w:tcPr>
          <w:p w14:paraId="03944E1E" w14:textId="77777777" w:rsidR="008600A3" w:rsidRPr="00AE74F3" w:rsidRDefault="008600A3" w:rsidP="005111F7">
            <w:pPr>
              <w:pStyle w:val="PBACTableText0"/>
              <w:keepNext/>
              <w:keepLines/>
              <w:spacing w:before="0" w:after="0"/>
              <w:jc w:val="center"/>
              <w:rPr>
                <w:highlight w:val="yellow"/>
              </w:rPr>
            </w:pPr>
            <w:r w:rsidRPr="00AE74F3">
              <w:t>0.11</w:t>
            </w:r>
          </w:p>
        </w:tc>
        <w:tc>
          <w:tcPr>
            <w:tcW w:w="522" w:type="pct"/>
            <w:vAlign w:val="center"/>
          </w:tcPr>
          <w:p w14:paraId="6B858A05" w14:textId="7E30D133" w:rsidR="008600A3" w:rsidRPr="001B3BCD" w:rsidRDefault="00A121F0" w:rsidP="005111F7">
            <w:pPr>
              <w:pStyle w:val="PBACTableText0"/>
              <w:keepNext/>
              <w:keepLines/>
              <w:spacing w:before="0" w:after="0"/>
              <w:jc w:val="center"/>
              <w:rPr>
                <w:highlight w:val="lightGray"/>
              </w:rPr>
            </w:pPr>
            <w:r w:rsidRPr="00A32DE2">
              <w:rPr>
                <w:color w:val="000000"/>
                <w:spacing w:val="118"/>
                <w:shd w:val="solid" w:color="000000" w:fill="000000"/>
                <w:fitText w:val="204" w:id="-962405879"/>
                <w14:textFill>
                  <w14:solidFill>
                    <w14:srgbClr w14:val="000000">
                      <w14:alpha w14:val="100000"/>
                    </w14:srgbClr>
                  </w14:solidFill>
                </w14:textFill>
              </w:rPr>
              <w:t>|</w:t>
            </w:r>
            <w:r w:rsidRPr="00A32DE2">
              <w:rPr>
                <w:color w:val="000000"/>
                <w:spacing w:val="1"/>
                <w:shd w:val="solid" w:color="000000" w:fill="000000"/>
                <w:fitText w:val="204" w:id="-962405879"/>
                <w14:textFill>
                  <w14:solidFill>
                    <w14:srgbClr w14:val="000000">
                      <w14:alpha w14:val="100000"/>
                    </w14:srgbClr>
                  </w14:solidFill>
                </w14:textFill>
              </w:rPr>
              <w:t>|</w:t>
            </w:r>
            <w:r w:rsidR="001B3BCD" w:rsidRPr="001B3BCD">
              <w:rPr>
                <w:vertAlign w:val="superscript"/>
              </w:rPr>
              <w:t>1</w:t>
            </w:r>
          </w:p>
        </w:tc>
      </w:tr>
      <w:tr w:rsidR="008600A3" w:rsidRPr="00AE74F3" w14:paraId="5DB6A8A4" w14:textId="77777777" w:rsidTr="00A121F0">
        <w:trPr>
          <w:trHeight w:val="227"/>
        </w:trPr>
        <w:tc>
          <w:tcPr>
            <w:tcW w:w="1098" w:type="pct"/>
            <w:vMerge/>
            <w:tcBorders>
              <w:left w:val="single" w:sz="4" w:space="0" w:color="auto"/>
              <w:bottom w:val="single" w:sz="4" w:space="0" w:color="auto"/>
              <w:right w:val="single" w:sz="4" w:space="0" w:color="auto"/>
            </w:tcBorders>
            <w:vAlign w:val="center"/>
          </w:tcPr>
          <w:p w14:paraId="710899D7" w14:textId="77777777" w:rsidR="008600A3" w:rsidRPr="00AE74F3" w:rsidRDefault="008600A3" w:rsidP="005111F7">
            <w:pPr>
              <w:pStyle w:val="PBACTableText0"/>
              <w:keepNext/>
              <w:keepLines/>
              <w:spacing w:before="0" w:after="0"/>
            </w:pPr>
          </w:p>
        </w:tc>
        <w:tc>
          <w:tcPr>
            <w:tcW w:w="864" w:type="pct"/>
            <w:tcBorders>
              <w:left w:val="single" w:sz="4" w:space="0" w:color="auto"/>
            </w:tcBorders>
            <w:noWrap/>
            <w:vAlign w:val="center"/>
          </w:tcPr>
          <w:p w14:paraId="7202CA02" w14:textId="77777777" w:rsidR="008600A3" w:rsidRPr="00AE74F3" w:rsidRDefault="008600A3" w:rsidP="005111F7">
            <w:pPr>
              <w:pStyle w:val="PBACTableText0"/>
              <w:keepNext/>
              <w:keepLines/>
              <w:spacing w:before="0" w:after="0"/>
              <w:jc w:val="center"/>
            </w:pPr>
            <w:r w:rsidRPr="00AE74F3">
              <w:t>1-point EDSS improvement</w:t>
            </w:r>
          </w:p>
        </w:tc>
        <w:tc>
          <w:tcPr>
            <w:tcW w:w="629" w:type="pct"/>
            <w:noWrap/>
            <w:vAlign w:val="center"/>
          </w:tcPr>
          <w:p w14:paraId="700CA722" w14:textId="77777777" w:rsidR="008600A3" w:rsidRPr="00AE74F3" w:rsidRDefault="008600A3" w:rsidP="005111F7">
            <w:pPr>
              <w:pStyle w:val="PBACTableText0"/>
              <w:keepNext/>
              <w:keepLines/>
              <w:spacing w:before="0" w:after="0"/>
              <w:jc w:val="center"/>
            </w:pPr>
            <w:r w:rsidRPr="00AE74F3">
              <w:t>DMT costs</w:t>
            </w:r>
          </w:p>
        </w:tc>
        <w:tc>
          <w:tcPr>
            <w:tcW w:w="472" w:type="pct"/>
            <w:noWrap/>
            <w:vAlign w:val="center"/>
          </w:tcPr>
          <w:p w14:paraId="3074BFA9" w14:textId="77777777" w:rsidR="008600A3" w:rsidRPr="00AE74F3" w:rsidRDefault="008600A3" w:rsidP="005111F7">
            <w:pPr>
              <w:pStyle w:val="PBACTableText0"/>
              <w:keepNext/>
              <w:keepLines/>
              <w:spacing w:before="0" w:after="0"/>
              <w:jc w:val="center"/>
            </w:pPr>
            <w:r w:rsidRPr="00AE74F3">
              <w:t>2-years</w:t>
            </w:r>
          </w:p>
        </w:tc>
        <w:tc>
          <w:tcPr>
            <w:tcW w:w="707" w:type="pct"/>
            <w:tcBorders>
              <w:bottom w:val="single" w:sz="4" w:space="0" w:color="auto"/>
            </w:tcBorders>
            <w:shd w:val="solid" w:color="000000" w:fill="000000"/>
            <w:vAlign w:val="center"/>
          </w:tcPr>
          <w:p w14:paraId="09E97710" w14:textId="3D60AD0E" w:rsidR="008600A3" w:rsidRPr="00C650B4" w:rsidRDefault="00A121F0" w:rsidP="005111F7">
            <w:pPr>
              <w:pStyle w:val="PBACTableText0"/>
              <w:keepNext/>
              <w:keepLines/>
              <w:spacing w:before="0" w:after="0"/>
              <w:jc w:val="center"/>
              <w:rPr>
                <w:highlight w:val="lightGray"/>
              </w:rPr>
            </w:pPr>
            <w:r w:rsidRPr="002943DF">
              <w:rPr>
                <w:rFonts w:hint="eastAsia"/>
                <w:color w:val="000000"/>
                <w:w w:val="15"/>
                <w:fitText w:val="12" w:id="-962405878"/>
                <w14:textFill>
                  <w14:solidFill>
                    <w14:srgbClr w14:val="000000">
                      <w14:alpha w14:val="100000"/>
                    </w14:srgbClr>
                  </w14:solidFill>
                </w14:textFill>
              </w:rPr>
              <w:t xml:space="preserve">　</w:t>
            </w:r>
            <w:r w:rsidRPr="002943DF">
              <w:rPr>
                <w:color w:val="000000"/>
                <w:w w:val="15"/>
                <w:fitText w:val="12" w:id="-962405878"/>
                <w14:textFill>
                  <w14:solidFill>
                    <w14:srgbClr w14:val="000000">
                      <w14:alpha w14:val="100000"/>
                    </w14:srgbClr>
                  </w14:solidFill>
                </w14:textFill>
              </w:rPr>
              <w:t>|</w:t>
            </w:r>
            <w:r w:rsidRPr="002943DF">
              <w:rPr>
                <w:rFonts w:hint="eastAsia"/>
                <w:color w:val="000000"/>
                <w:spacing w:val="-54"/>
                <w:w w:val="15"/>
                <w:fitText w:val="12" w:id="-962405878"/>
                <w14:textFill>
                  <w14:solidFill>
                    <w14:srgbClr w14:val="000000">
                      <w14:alpha w14:val="100000"/>
                    </w14:srgbClr>
                  </w14:solidFill>
                </w14:textFill>
              </w:rPr>
              <w:t xml:space="preserve">　</w:t>
            </w:r>
          </w:p>
        </w:tc>
        <w:tc>
          <w:tcPr>
            <w:tcW w:w="708" w:type="pct"/>
            <w:vAlign w:val="center"/>
          </w:tcPr>
          <w:p w14:paraId="5C894AEC" w14:textId="77777777" w:rsidR="008600A3" w:rsidRPr="00AE74F3" w:rsidRDefault="008600A3" w:rsidP="005111F7">
            <w:pPr>
              <w:pStyle w:val="PBACTableText0"/>
              <w:keepNext/>
              <w:keepLines/>
              <w:spacing w:before="0" w:after="0"/>
              <w:jc w:val="center"/>
              <w:rPr>
                <w:highlight w:val="yellow"/>
              </w:rPr>
            </w:pPr>
            <w:r w:rsidRPr="00AE74F3">
              <w:t>0.07</w:t>
            </w:r>
          </w:p>
        </w:tc>
        <w:tc>
          <w:tcPr>
            <w:tcW w:w="522" w:type="pct"/>
            <w:vAlign w:val="center"/>
          </w:tcPr>
          <w:p w14:paraId="1A0C1CB9" w14:textId="5ECFE2EE" w:rsidR="008600A3" w:rsidRPr="001B3BCD" w:rsidRDefault="00A121F0" w:rsidP="005111F7">
            <w:pPr>
              <w:pStyle w:val="PBACTableText0"/>
              <w:keepNext/>
              <w:keepLines/>
              <w:spacing w:before="0" w:after="0"/>
              <w:jc w:val="center"/>
              <w:rPr>
                <w:highlight w:val="lightGray"/>
              </w:rPr>
            </w:pPr>
            <w:r w:rsidRPr="00A32DE2">
              <w:rPr>
                <w:color w:val="000000"/>
                <w:spacing w:val="118"/>
                <w:shd w:val="solid" w:color="000000" w:fill="000000"/>
                <w:fitText w:val="204" w:id="-962405877"/>
                <w14:textFill>
                  <w14:solidFill>
                    <w14:srgbClr w14:val="000000">
                      <w14:alpha w14:val="100000"/>
                    </w14:srgbClr>
                  </w14:solidFill>
                </w14:textFill>
              </w:rPr>
              <w:t>|</w:t>
            </w:r>
            <w:r w:rsidRPr="00A32DE2">
              <w:rPr>
                <w:color w:val="000000"/>
                <w:spacing w:val="1"/>
                <w:shd w:val="solid" w:color="000000" w:fill="000000"/>
                <w:fitText w:val="204" w:id="-962405877"/>
                <w14:textFill>
                  <w14:solidFill>
                    <w14:srgbClr w14:val="000000">
                      <w14:alpha w14:val="100000"/>
                    </w14:srgbClr>
                  </w14:solidFill>
                </w14:textFill>
              </w:rPr>
              <w:t>|</w:t>
            </w:r>
            <w:r w:rsidR="001B3BCD">
              <w:rPr>
                <w:vertAlign w:val="superscript"/>
              </w:rPr>
              <w:t>2</w:t>
            </w:r>
          </w:p>
        </w:tc>
      </w:tr>
      <w:tr w:rsidR="008600A3" w:rsidRPr="00AE74F3" w14:paraId="681D0F4F" w14:textId="77777777" w:rsidTr="00A121F0">
        <w:trPr>
          <w:trHeight w:val="227"/>
        </w:trPr>
        <w:tc>
          <w:tcPr>
            <w:tcW w:w="1098" w:type="pct"/>
            <w:vMerge w:val="restart"/>
            <w:tcBorders>
              <w:top w:val="single" w:sz="4" w:space="0" w:color="auto"/>
              <w:left w:val="single" w:sz="4" w:space="0" w:color="auto"/>
              <w:right w:val="single" w:sz="4" w:space="0" w:color="auto"/>
            </w:tcBorders>
            <w:vAlign w:val="center"/>
          </w:tcPr>
          <w:p w14:paraId="437087B3" w14:textId="77777777" w:rsidR="008600A3" w:rsidRPr="00AE74F3" w:rsidRDefault="008600A3" w:rsidP="005111F7">
            <w:pPr>
              <w:pStyle w:val="PBACTableText0"/>
              <w:keepNext/>
              <w:keepLines/>
              <w:spacing w:before="0" w:after="0"/>
            </w:pPr>
            <w:r w:rsidRPr="00AE74F3">
              <w:t>Step 2: Trial-based economic evaluation (total costs)</w:t>
            </w:r>
          </w:p>
        </w:tc>
        <w:tc>
          <w:tcPr>
            <w:tcW w:w="864" w:type="pct"/>
            <w:tcBorders>
              <w:left w:val="single" w:sz="4" w:space="0" w:color="auto"/>
            </w:tcBorders>
            <w:noWrap/>
            <w:vAlign w:val="center"/>
          </w:tcPr>
          <w:p w14:paraId="4F12BBFD" w14:textId="77777777" w:rsidR="008600A3" w:rsidRPr="00AE74F3" w:rsidRDefault="008600A3" w:rsidP="005111F7">
            <w:pPr>
              <w:pStyle w:val="PBACTableText0"/>
              <w:keepNext/>
              <w:keepLines/>
              <w:spacing w:before="0" w:after="0"/>
              <w:jc w:val="center"/>
            </w:pPr>
            <w:r w:rsidRPr="00AE74F3">
              <w:t>Number of relapses avoided</w:t>
            </w:r>
          </w:p>
        </w:tc>
        <w:tc>
          <w:tcPr>
            <w:tcW w:w="629" w:type="pct"/>
            <w:noWrap/>
            <w:vAlign w:val="center"/>
          </w:tcPr>
          <w:p w14:paraId="1CC2AA36" w14:textId="77777777" w:rsidR="008600A3" w:rsidRPr="00AE74F3" w:rsidRDefault="008600A3" w:rsidP="005111F7">
            <w:pPr>
              <w:pStyle w:val="PBACTableText0"/>
              <w:keepNext/>
              <w:keepLines/>
              <w:spacing w:before="0" w:after="0"/>
              <w:jc w:val="center"/>
            </w:pPr>
            <w:r w:rsidRPr="00AE74F3">
              <w:t>Total costs</w:t>
            </w:r>
          </w:p>
        </w:tc>
        <w:tc>
          <w:tcPr>
            <w:tcW w:w="472" w:type="pct"/>
            <w:noWrap/>
            <w:vAlign w:val="center"/>
          </w:tcPr>
          <w:p w14:paraId="7308902A" w14:textId="77777777" w:rsidR="008600A3" w:rsidRPr="00AE74F3" w:rsidRDefault="008600A3" w:rsidP="005111F7">
            <w:pPr>
              <w:pStyle w:val="PBACTableText0"/>
              <w:keepNext/>
              <w:keepLines/>
              <w:spacing w:before="0" w:after="0"/>
              <w:jc w:val="center"/>
            </w:pPr>
            <w:r w:rsidRPr="00AE74F3">
              <w:t>2-years</w:t>
            </w:r>
          </w:p>
        </w:tc>
        <w:tc>
          <w:tcPr>
            <w:tcW w:w="707" w:type="pct"/>
            <w:tcBorders>
              <w:bottom w:val="single" w:sz="4" w:space="0" w:color="auto"/>
            </w:tcBorders>
            <w:shd w:val="solid" w:color="000000" w:fill="000000"/>
            <w:vAlign w:val="center"/>
          </w:tcPr>
          <w:p w14:paraId="2A8F7E17" w14:textId="6E590B80" w:rsidR="008600A3" w:rsidRPr="00C650B4" w:rsidRDefault="00A121F0" w:rsidP="005111F7">
            <w:pPr>
              <w:pStyle w:val="PBACTableText0"/>
              <w:keepNext/>
              <w:keepLines/>
              <w:spacing w:before="0" w:after="0"/>
              <w:jc w:val="center"/>
              <w:rPr>
                <w:highlight w:val="lightGray"/>
              </w:rPr>
            </w:pPr>
            <w:r w:rsidRPr="002943DF">
              <w:rPr>
                <w:rFonts w:hint="eastAsia"/>
                <w:color w:val="000000"/>
                <w:w w:val="15"/>
                <w:fitText w:val="12" w:id="-962405876"/>
                <w14:textFill>
                  <w14:solidFill>
                    <w14:srgbClr w14:val="000000">
                      <w14:alpha w14:val="100000"/>
                    </w14:srgbClr>
                  </w14:solidFill>
                </w14:textFill>
              </w:rPr>
              <w:t xml:space="preserve">　</w:t>
            </w:r>
            <w:r w:rsidRPr="002943DF">
              <w:rPr>
                <w:color w:val="000000"/>
                <w:w w:val="15"/>
                <w:fitText w:val="12" w:id="-962405876"/>
                <w14:textFill>
                  <w14:solidFill>
                    <w14:srgbClr w14:val="000000">
                      <w14:alpha w14:val="100000"/>
                    </w14:srgbClr>
                  </w14:solidFill>
                </w14:textFill>
              </w:rPr>
              <w:t>|</w:t>
            </w:r>
            <w:r w:rsidRPr="002943DF">
              <w:rPr>
                <w:rFonts w:hint="eastAsia"/>
                <w:color w:val="000000"/>
                <w:spacing w:val="-54"/>
                <w:w w:val="15"/>
                <w:fitText w:val="12" w:id="-962405876"/>
                <w14:textFill>
                  <w14:solidFill>
                    <w14:srgbClr w14:val="000000">
                      <w14:alpha w14:val="100000"/>
                    </w14:srgbClr>
                  </w14:solidFill>
                </w14:textFill>
              </w:rPr>
              <w:t xml:space="preserve">　</w:t>
            </w:r>
          </w:p>
        </w:tc>
        <w:tc>
          <w:tcPr>
            <w:tcW w:w="708" w:type="pct"/>
            <w:vAlign w:val="center"/>
          </w:tcPr>
          <w:p w14:paraId="5DE5024F" w14:textId="77777777" w:rsidR="008600A3" w:rsidRPr="00AE74F3" w:rsidRDefault="008600A3" w:rsidP="005111F7">
            <w:pPr>
              <w:pStyle w:val="PBACTableText0"/>
              <w:keepNext/>
              <w:keepLines/>
              <w:spacing w:before="0" w:after="0"/>
              <w:jc w:val="center"/>
              <w:rPr>
                <w:highlight w:val="yellow"/>
              </w:rPr>
            </w:pPr>
            <w:r w:rsidRPr="00AE74F3">
              <w:t>0.11</w:t>
            </w:r>
          </w:p>
        </w:tc>
        <w:tc>
          <w:tcPr>
            <w:tcW w:w="522" w:type="pct"/>
            <w:vAlign w:val="center"/>
          </w:tcPr>
          <w:p w14:paraId="35967541" w14:textId="2AACCCE4" w:rsidR="008600A3" w:rsidRPr="001B3BCD" w:rsidRDefault="00A121F0" w:rsidP="005111F7">
            <w:pPr>
              <w:pStyle w:val="PBACTableText0"/>
              <w:keepNext/>
              <w:keepLines/>
              <w:spacing w:before="0" w:after="0"/>
              <w:jc w:val="center"/>
              <w:rPr>
                <w:highlight w:val="lightGray"/>
              </w:rPr>
            </w:pPr>
            <w:r w:rsidRPr="00A32DE2">
              <w:rPr>
                <w:color w:val="000000"/>
                <w:spacing w:val="118"/>
                <w:shd w:val="solid" w:color="000000" w:fill="000000"/>
                <w:fitText w:val="204" w:id="-962405875"/>
                <w14:textFill>
                  <w14:solidFill>
                    <w14:srgbClr w14:val="000000">
                      <w14:alpha w14:val="100000"/>
                    </w14:srgbClr>
                  </w14:solidFill>
                </w14:textFill>
              </w:rPr>
              <w:t>|</w:t>
            </w:r>
            <w:r w:rsidRPr="00A32DE2">
              <w:rPr>
                <w:color w:val="000000"/>
                <w:spacing w:val="1"/>
                <w:shd w:val="solid" w:color="000000" w:fill="000000"/>
                <w:fitText w:val="204" w:id="-962405875"/>
                <w14:textFill>
                  <w14:solidFill>
                    <w14:srgbClr w14:val="000000">
                      <w14:alpha w14:val="100000"/>
                    </w14:srgbClr>
                  </w14:solidFill>
                </w14:textFill>
              </w:rPr>
              <w:t>|</w:t>
            </w:r>
            <w:r w:rsidR="001B3BCD">
              <w:rPr>
                <w:vertAlign w:val="superscript"/>
              </w:rPr>
              <w:t>3</w:t>
            </w:r>
          </w:p>
        </w:tc>
      </w:tr>
      <w:tr w:rsidR="00C650B4" w:rsidRPr="00AE74F3" w14:paraId="65078231" w14:textId="77777777" w:rsidTr="00A121F0">
        <w:trPr>
          <w:trHeight w:val="227"/>
        </w:trPr>
        <w:tc>
          <w:tcPr>
            <w:tcW w:w="1098" w:type="pct"/>
            <w:vMerge/>
            <w:tcBorders>
              <w:left w:val="single" w:sz="4" w:space="0" w:color="auto"/>
              <w:bottom w:val="single" w:sz="4" w:space="0" w:color="auto"/>
              <w:right w:val="single" w:sz="4" w:space="0" w:color="auto"/>
            </w:tcBorders>
            <w:vAlign w:val="center"/>
          </w:tcPr>
          <w:p w14:paraId="3DE13B97" w14:textId="77777777" w:rsidR="00C650B4" w:rsidRPr="00AE74F3" w:rsidRDefault="00C650B4" w:rsidP="00C650B4">
            <w:pPr>
              <w:pStyle w:val="PBACTableText0"/>
              <w:keepNext/>
              <w:keepLines/>
              <w:spacing w:before="0" w:after="0"/>
              <w:rPr>
                <w:highlight w:val="yellow"/>
              </w:rPr>
            </w:pPr>
          </w:p>
        </w:tc>
        <w:tc>
          <w:tcPr>
            <w:tcW w:w="864" w:type="pct"/>
            <w:tcBorders>
              <w:left w:val="single" w:sz="4" w:space="0" w:color="auto"/>
            </w:tcBorders>
            <w:noWrap/>
            <w:vAlign w:val="center"/>
          </w:tcPr>
          <w:p w14:paraId="04B7ED4C" w14:textId="77777777" w:rsidR="00C650B4" w:rsidRPr="00AE74F3" w:rsidRDefault="00C650B4" w:rsidP="00C650B4">
            <w:pPr>
              <w:pStyle w:val="PBACTableText0"/>
              <w:keepNext/>
              <w:keepLines/>
              <w:spacing w:before="0" w:after="0"/>
              <w:jc w:val="center"/>
            </w:pPr>
            <w:r w:rsidRPr="00AE74F3">
              <w:t>1-point EDSS improvement</w:t>
            </w:r>
          </w:p>
        </w:tc>
        <w:tc>
          <w:tcPr>
            <w:tcW w:w="629" w:type="pct"/>
            <w:noWrap/>
            <w:vAlign w:val="center"/>
          </w:tcPr>
          <w:p w14:paraId="1F171D21" w14:textId="77777777" w:rsidR="00C650B4" w:rsidRPr="00AE74F3" w:rsidRDefault="00C650B4" w:rsidP="00C650B4">
            <w:pPr>
              <w:pStyle w:val="PBACTableText0"/>
              <w:keepNext/>
              <w:keepLines/>
              <w:spacing w:before="0" w:after="0"/>
              <w:jc w:val="center"/>
            </w:pPr>
            <w:r w:rsidRPr="00AE74F3">
              <w:t>Total costs</w:t>
            </w:r>
          </w:p>
        </w:tc>
        <w:tc>
          <w:tcPr>
            <w:tcW w:w="472" w:type="pct"/>
            <w:noWrap/>
            <w:vAlign w:val="center"/>
          </w:tcPr>
          <w:p w14:paraId="54C54E62" w14:textId="77777777" w:rsidR="00C650B4" w:rsidRPr="00AE74F3" w:rsidRDefault="00C650B4" w:rsidP="00C650B4">
            <w:pPr>
              <w:pStyle w:val="PBACTableText0"/>
              <w:keepNext/>
              <w:keepLines/>
              <w:spacing w:before="0" w:after="0"/>
              <w:jc w:val="center"/>
            </w:pPr>
            <w:r w:rsidRPr="00AE74F3">
              <w:t>2-years</w:t>
            </w:r>
          </w:p>
        </w:tc>
        <w:tc>
          <w:tcPr>
            <w:tcW w:w="707" w:type="pct"/>
            <w:shd w:val="solid" w:color="000000" w:fill="000000"/>
            <w:vAlign w:val="center"/>
          </w:tcPr>
          <w:p w14:paraId="305CE5D0" w14:textId="14E49EB5" w:rsidR="00C650B4" w:rsidRPr="00C650B4" w:rsidRDefault="00A121F0" w:rsidP="00C650B4">
            <w:pPr>
              <w:pStyle w:val="PBACTableText0"/>
              <w:keepNext/>
              <w:keepLines/>
              <w:spacing w:before="0" w:after="0"/>
              <w:jc w:val="center"/>
              <w:rPr>
                <w:highlight w:val="lightGray"/>
              </w:rPr>
            </w:pPr>
            <w:r w:rsidRPr="002943DF">
              <w:rPr>
                <w:rFonts w:hint="eastAsia"/>
                <w:color w:val="000000"/>
                <w:w w:val="15"/>
                <w:fitText w:val="12" w:id="-962405874"/>
                <w14:textFill>
                  <w14:solidFill>
                    <w14:srgbClr w14:val="000000">
                      <w14:alpha w14:val="100000"/>
                    </w14:srgbClr>
                  </w14:solidFill>
                </w14:textFill>
              </w:rPr>
              <w:t xml:space="preserve">　</w:t>
            </w:r>
            <w:r w:rsidRPr="002943DF">
              <w:rPr>
                <w:color w:val="000000"/>
                <w:w w:val="15"/>
                <w:fitText w:val="12" w:id="-962405874"/>
                <w14:textFill>
                  <w14:solidFill>
                    <w14:srgbClr w14:val="000000">
                      <w14:alpha w14:val="100000"/>
                    </w14:srgbClr>
                  </w14:solidFill>
                </w14:textFill>
              </w:rPr>
              <w:t>|</w:t>
            </w:r>
            <w:r w:rsidRPr="002943DF">
              <w:rPr>
                <w:rFonts w:hint="eastAsia"/>
                <w:color w:val="000000"/>
                <w:spacing w:val="-54"/>
                <w:w w:val="15"/>
                <w:fitText w:val="12" w:id="-962405874"/>
                <w14:textFill>
                  <w14:solidFill>
                    <w14:srgbClr w14:val="000000">
                      <w14:alpha w14:val="100000"/>
                    </w14:srgbClr>
                  </w14:solidFill>
                </w14:textFill>
              </w:rPr>
              <w:t xml:space="preserve">　</w:t>
            </w:r>
          </w:p>
        </w:tc>
        <w:tc>
          <w:tcPr>
            <w:tcW w:w="708" w:type="pct"/>
            <w:vAlign w:val="center"/>
          </w:tcPr>
          <w:p w14:paraId="76E918BA" w14:textId="77777777" w:rsidR="00C650B4" w:rsidRPr="00AE74F3" w:rsidRDefault="00C650B4" w:rsidP="00C650B4">
            <w:pPr>
              <w:pStyle w:val="PBACTableText0"/>
              <w:keepNext/>
              <w:keepLines/>
              <w:spacing w:before="0" w:after="0"/>
              <w:jc w:val="center"/>
              <w:rPr>
                <w:highlight w:val="yellow"/>
              </w:rPr>
            </w:pPr>
            <w:r w:rsidRPr="00AE74F3">
              <w:t>0.07</w:t>
            </w:r>
          </w:p>
        </w:tc>
        <w:tc>
          <w:tcPr>
            <w:tcW w:w="522" w:type="pct"/>
            <w:vAlign w:val="center"/>
          </w:tcPr>
          <w:p w14:paraId="6766924D" w14:textId="2D3A3455" w:rsidR="00C650B4" w:rsidRPr="001B3BCD" w:rsidRDefault="00A121F0" w:rsidP="00C650B4">
            <w:pPr>
              <w:pStyle w:val="PBACTableText0"/>
              <w:keepNext/>
              <w:keepLines/>
              <w:spacing w:before="0" w:after="0"/>
              <w:jc w:val="center"/>
              <w:rPr>
                <w:highlight w:val="lightGray"/>
              </w:rPr>
            </w:pPr>
            <w:r w:rsidRPr="00A32DE2">
              <w:rPr>
                <w:color w:val="000000"/>
                <w:spacing w:val="118"/>
                <w:shd w:val="solid" w:color="000000" w:fill="000000"/>
                <w:fitText w:val="204" w:id="-962405873"/>
                <w14:textFill>
                  <w14:solidFill>
                    <w14:srgbClr w14:val="000000">
                      <w14:alpha w14:val="100000"/>
                    </w14:srgbClr>
                  </w14:solidFill>
                </w14:textFill>
              </w:rPr>
              <w:t>|</w:t>
            </w:r>
            <w:r w:rsidRPr="00A32DE2">
              <w:rPr>
                <w:color w:val="000000"/>
                <w:spacing w:val="1"/>
                <w:shd w:val="solid" w:color="000000" w:fill="000000"/>
                <w:fitText w:val="204" w:id="-962405873"/>
                <w14:textFill>
                  <w14:solidFill>
                    <w14:srgbClr w14:val="000000">
                      <w14:alpha w14:val="100000"/>
                    </w14:srgbClr>
                  </w14:solidFill>
                </w14:textFill>
              </w:rPr>
              <w:t>|</w:t>
            </w:r>
            <w:r w:rsidR="001B3BCD" w:rsidRPr="001B3BCD">
              <w:rPr>
                <w:vertAlign w:val="superscript"/>
              </w:rPr>
              <w:t>1</w:t>
            </w:r>
          </w:p>
        </w:tc>
      </w:tr>
      <w:tr w:rsidR="008600A3" w:rsidRPr="00AE74F3" w14:paraId="44C8C027" w14:textId="77777777" w:rsidTr="009449D0">
        <w:trPr>
          <w:trHeight w:val="227"/>
        </w:trPr>
        <w:tc>
          <w:tcPr>
            <w:tcW w:w="1098" w:type="pct"/>
            <w:vMerge w:val="restart"/>
            <w:tcBorders>
              <w:top w:val="single" w:sz="4" w:space="0" w:color="auto"/>
            </w:tcBorders>
            <w:noWrap/>
            <w:vAlign w:val="center"/>
          </w:tcPr>
          <w:p w14:paraId="6C1A730E" w14:textId="77777777" w:rsidR="008600A3" w:rsidRPr="00AE74F3" w:rsidRDefault="008600A3" w:rsidP="005111F7">
            <w:pPr>
              <w:pStyle w:val="PBACTableText0"/>
              <w:keepNext/>
              <w:keepLines/>
              <w:spacing w:before="0" w:after="0"/>
            </w:pPr>
            <w:r w:rsidRPr="00AE74F3">
              <w:t>Step 3: Trial-based outcomes extrapolation to lifetime model</w:t>
            </w:r>
          </w:p>
        </w:tc>
        <w:tc>
          <w:tcPr>
            <w:tcW w:w="864" w:type="pct"/>
            <w:noWrap/>
            <w:vAlign w:val="center"/>
          </w:tcPr>
          <w:p w14:paraId="4DBCD772" w14:textId="77777777" w:rsidR="008600A3" w:rsidRPr="00AE74F3" w:rsidRDefault="008600A3" w:rsidP="005111F7">
            <w:pPr>
              <w:pStyle w:val="PBACTableText0"/>
              <w:keepNext/>
              <w:keepLines/>
              <w:spacing w:before="0" w:after="0"/>
              <w:jc w:val="center"/>
            </w:pPr>
            <w:r w:rsidRPr="00AE74F3">
              <w:t>Number of relapses avoided</w:t>
            </w:r>
          </w:p>
        </w:tc>
        <w:tc>
          <w:tcPr>
            <w:tcW w:w="629" w:type="pct"/>
            <w:noWrap/>
            <w:vAlign w:val="center"/>
          </w:tcPr>
          <w:p w14:paraId="60A217E3" w14:textId="77777777" w:rsidR="008600A3" w:rsidRPr="00AE74F3" w:rsidRDefault="008600A3" w:rsidP="005111F7">
            <w:pPr>
              <w:pStyle w:val="PBACTableText0"/>
              <w:keepNext/>
              <w:keepLines/>
              <w:spacing w:before="0" w:after="0"/>
              <w:jc w:val="center"/>
            </w:pPr>
            <w:r w:rsidRPr="00AE74F3">
              <w:t>Total costs</w:t>
            </w:r>
          </w:p>
        </w:tc>
        <w:tc>
          <w:tcPr>
            <w:tcW w:w="472" w:type="pct"/>
            <w:noWrap/>
            <w:vAlign w:val="center"/>
          </w:tcPr>
          <w:p w14:paraId="457B59BF" w14:textId="77777777" w:rsidR="008600A3" w:rsidRPr="00AE74F3" w:rsidRDefault="008600A3" w:rsidP="005111F7">
            <w:pPr>
              <w:pStyle w:val="PBACTableText0"/>
              <w:keepNext/>
              <w:keepLines/>
              <w:spacing w:before="0" w:after="0"/>
              <w:jc w:val="center"/>
            </w:pPr>
            <w:r w:rsidRPr="00AE74F3">
              <w:t>Lifetime</w:t>
            </w:r>
          </w:p>
        </w:tc>
        <w:tc>
          <w:tcPr>
            <w:tcW w:w="707" w:type="pct"/>
            <w:vAlign w:val="center"/>
          </w:tcPr>
          <w:p w14:paraId="282EDF03" w14:textId="735101BC" w:rsidR="008600A3" w:rsidRPr="00C650B4" w:rsidRDefault="008600A3" w:rsidP="005111F7">
            <w:pPr>
              <w:pStyle w:val="PBACTableText0"/>
              <w:keepNext/>
              <w:keepLines/>
              <w:spacing w:before="0" w:after="0"/>
              <w:jc w:val="center"/>
              <w:rPr>
                <w:highlight w:val="lightGray"/>
              </w:rPr>
            </w:pPr>
            <w:r w:rsidRPr="00326830">
              <w:t>-</w:t>
            </w:r>
            <w:r w:rsidR="00A121F0" w:rsidRPr="00A121F0">
              <w:rPr>
                <w:rFonts w:hint="eastAsia"/>
                <w:color w:val="000000"/>
                <w:w w:val="15"/>
                <w:shd w:val="solid" w:color="000000" w:fill="000000"/>
                <w:fitText w:val="48" w:id="-962405872"/>
                <w14:textFill>
                  <w14:solidFill>
                    <w14:srgbClr w14:val="000000">
                      <w14:alpha w14:val="100000"/>
                    </w14:srgbClr>
                  </w14:solidFill>
                </w14:textFill>
              </w:rPr>
              <w:t xml:space="preserve">　</w:t>
            </w:r>
            <w:r w:rsidR="00A121F0" w:rsidRPr="00A121F0">
              <w:rPr>
                <w:color w:val="000000"/>
                <w:w w:val="15"/>
                <w:shd w:val="solid" w:color="000000" w:fill="000000"/>
                <w:fitText w:val="48" w:id="-962405872"/>
                <w14:textFill>
                  <w14:solidFill>
                    <w14:srgbClr w14:val="000000">
                      <w14:alpha w14:val="100000"/>
                    </w14:srgbClr>
                  </w14:solidFill>
                </w14:textFill>
              </w:rPr>
              <w:t>|</w:t>
            </w:r>
            <w:r w:rsidR="00A121F0" w:rsidRPr="00A121F0">
              <w:rPr>
                <w:rFonts w:hint="eastAsia"/>
                <w:color w:val="000000"/>
                <w:spacing w:val="-17"/>
                <w:w w:val="15"/>
                <w:shd w:val="solid" w:color="000000" w:fill="000000"/>
                <w:fitText w:val="48" w:id="-962405872"/>
                <w14:textFill>
                  <w14:solidFill>
                    <w14:srgbClr w14:val="000000">
                      <w14:alpha w14:val="100000"/>
                    </w14:srgbClr>
                  </w14:solidFill>
                </w14:textFill>
              </w:rPr>
              <w:t xml:space="preserve">　</w:t>
            </w:r>
          </w:p>
        </w:tc>
        <w:tc>
          <w:tcPr>
            <w:tcW w:w="708" w:type="pct"/>
            <w:vAlign w:val="center"/>
          </w:tcPr>
          <w:p w14:paraId="292E3BC6" w14:textId="77777777" w:rsidR="008600A3" w:rsidRPr="00AE74F3" w:rsidRDefault="008600A3" w:rsidP="005111F7">
            <w:pPr>
              <w:pStyle w:val="PBACTableText0"/>
              <w:keepNext/>
              <w:keepLines/>
              <w:spacing w:before="0" w:after="0"/>
              <w:jc w:val="center"/>
            </w:pPr>
            <w:r w:rsidRPr="00AE74F3">
              <w:t>0.29</w:t>
            </w:r>
          </w:p>
        </w:tc>
        <w:tc>
          <w:tcPr>
            <w:tcW w:w="522" w:type="pct"/>
            <w:vAlign w:val="center"/>
          </w:tcPr>
          <w:p w14:paraId="6DB7F1EB" w14:textId="77777777" w:rsidR="008600A3" w:rsidRPr="00AE74F3" w:rsidRDefault="008600A3" w:rsidP="005111F7">
            <w:pPr>
              <w:pStyle w:val="PBACTableText0"/>
              <w:keepNext/>
              <w:keepLines/>
              <w:spacing w:before="0" w:after="0"/>
              <w:jc w:val="center"/>
            </w:pPr>
            <w:r w:rsidRPr="00AE74F3">
              <w:t>Dominant</w:t>
            </w:r>
          </w:p>
        </w:tc>
      </w:tr>
      <w:tr w:rsidR="008600A3" w:rsidRPr="00AE74F3" w14:paraId="1CDC76CE" w14:textId="77777777" w:rsidTr="009449D0">
        <w:trPr>
          <w:trHeight w:val="227"/>
        </w:trPr>
        <w:tc>
          <w:tcPr>
            <w:tcW w:w="1098" w:type="pct"/>
            <w:vMerge/>
            <w:noWrap/>
            <w:vAlign w:val="center"/>
          </w:tcPr>
          <w:p w14:paraId="648074B4" w14:textId="77777777" w:rsidR="008600A3" w:rsidRPr="00AE74F3" w:rsidRDefault="008600A3" w:rsidP="005111F7">
            <w:pPr>
              <w:pStyle w:val="PBACTableText0"/>
              <w:keepNext/>
              <w:keepLines/>
              <w:spacing w:before="0" w:after="0"/>
            </w:pPr>
          </w:p>
        </w:tc>
        <w:tc>
          <w:tcPr>
            <w:tcW w:w="864" w:type="pct"/>
            <w:noWrap/>
            <w:vAlign w:val="center"/>
          </w:tcPr>
          <w:p w14:paraId="2F0A03BE" w14:textId="77777777" w:rsidR="008600A3" w:rsidRPr="00AE74F3" w:rsidRDefault="008600A3" w:rsidP="005111F7">
            <w:pPr>
              <w:pStyle w:val="PBACTableText0"/>
              <w:keepNext/>
              <w:keepLines/>
              <w:spacing w:before="0" w:after="0"/>
              <w:jc w:val="center"/>
            </w:pPr>
            <w:r w:rsidRPr="00AE74F3">
              <w:t>1-point EDSS improvement</w:t>
            </w:r>
          </w:p>
        </w:tc>
        <w:tc>
          <w:tcPr>
            <w:tcW w:w="629" w:type="pct"/>
            <w:noWrap/>
            <w:vAlign w:val="center"/>
          </w:tcPr>
          <w:p w14:paraId="2E3E6E82" w14:textId="77777777" w:rsidR="008600A3" w:rsidRPr="00AE74F3" w:rsidRDefault="008600A3" w:rsidP="005111F7">
            <w:pPr>
              <w:pStyle w:val="PBACTableText0"/>
              <w:keepNext/>
              <w:keepLines/>
              <w:spacing w:before="0" w:after="0"/>
              <w:jc w:val="center"/>
            </w:pPr>
            <w:r w:rsidRPr="00AE74F3">
              <w:t>Total costs</w:t>
            </w:r>
          </w:p>
        </w:tc>
        <w:tc>
          <w:tcPr>
            <w:tcW w:w="472" w:type="pct"/>
            <w:noWrap/>
            <w:vAlign w:val="center"/>
          </w:tcPr>
          <w:p w14:paraId="2C224CF1" w14:textId="77777777" w:rsidR="008600A3" w:rsidRPr="00AE74F3" w:rsidRDefault="008600A3" w:rsidP="005111F7">
            <w:pPr>
              <w:pStyle w:val="PBACTableText0"/>
              <w:keepNext/>
              <w:keepLines/>
              <w:spacing w:before="0" w:after="0"/>
              <w:jc w:val="center"/>
            </w:pPr>
            <w:r w:rsidRPr="00AE74F3">
              <w:t>Lifetime</w:t>
            </w:r>
          </w:p>
        </w:tc>
        <w:tc>
          <w:tcPr>
            <w:tcW w:w="707" w:type="pct"/>
            <w:vAlign w:val="center"/>
          </w:tcPr>
          <w:p w14:paraId="3AEE799D" w14:textId="1DF4E50F" w:rsidR="008600A3" w:rsidRPr="00C650B4" w:rsidRDefault="008600A3" w:rsidP="005111F7">
            <w:pPr>
              <w:pStyle w:val="PBACTableText0"/>
              <w:keepNext/>
              <w:keepLines/>
              <w:spacing w:before="0" w:after="0"/>
              <w:jc w:val="center"/>
              <w:rPr>
                <w:highlight w:val="lightGray"/>
              </w:rPr>
            </w:pPr>
            <w:r w:rsidRPr="00326830">
              <w:t>-</w:t>
            </w:r>
            <w:r w:rsidR="00A121F0" w:rsidRPr="00A121F0">
              <w:rPr>
                <w:rFonts w:hint="eastAsia"/>
                <w:color w:val="000000"/>
                <w:w w:val="15"/>
                <w:shd w:val="solid" w:color="000000" w:fill="000000"/>
                <w:fitText w:val="48" w:id="-962405888"/>
                <w14:textFill>
                  <w14:solidFill>
                    <w14:srgbClr w14:val="000000">
                      <w14:alpha w14:val="100000"/>
                    </w14:srgbClr>
                  </w14:solidFill>
                </w14:textFill>
              </w:rPr>
              <w:t xml:space="preserve">　</w:t>
            </w:r>
            <w:r w:rsidR="00A121F0" w:rsidRPr="00A121F0">
              <w:rPr>
                <w:color w:val="000000"/>
                <w:w w:val="15"/>
                <w:shd w:val="solid" w:color="000000" w:fill="000000"/>
                <w:fitText w:val="48" w:id="-962405888"/>
                <w14:textFill>
                  <w14:solidFill>
                    <w14:srgbClr w14:val="000000">
                      <w14:alpha w14:val="100000"/>
                    </w14:srgbClr>
                  </w14:solidFill>
                </w14:textFill>
              </w:rPr>
              <w:t>|</w:t>
            </w:r>
            <w:r w:rsidR="00A121F0" w:rsidRPr="00A121F0">
              <w:rPr>
                <w:rFonts w:hint="eastAsia"/>
                <w:color w:val="000000"/>
                <w:spacing w:val="-17"/>
                <w:w w:val="15"/>
                <w:shd w:val="solid" w:color="000000" w:fill="000000"/>
                <w:fitText w:val="48" w:id="-962405888"/>
                <w14:textFill>
                  <w14:solidFill>
                    <w14:srgbClr w14:val="000000">
                      <w14:alpha w14:val="100000"/>
                    </w14:srgbClr>
                  </w14:solidFill>
                </w14:textFill>
              </w:rPr>
              <w:t xml:space="preserve">　</w:t>
            </w:r>
          </w:p>
        </w:tc>
        <w:tc>
          <w:tcPr>
            <w:tcW w:w="708" w:type="pct"/>
            <w:vAlign w:val="center"/>
          </w:tcPr>
          <w:p w14:paraId="69BC617C" w14:textId="77777777" w:rsidR="008600A3" w:rsidRPr="00AE74F3" w:rsidRDefault="008600A3" w:rsidP="005111F7">
            <w:pPr>
              <w:pStyle w:val="PBACTableText0"/>
              <w:keepNext/>
              <w:keepLines/>
              <w:spacing w:before="0" w:after="0"/>
              <w:jc w:val="center"/>
            </w:pPr>
            <w:r w:rsidRPr="00AE74F3">
              <w:t>0.07</w:t>
            </w:r>
          </w:p>
        </w:tc>
        <w:tc>
          <w:tcPr>
            <w:tcW w:w="522" w:type="pct"/>
            <w:vAlign w:val="center"/>
          </w:tcPr>
          <w:p w14:paraId="7AF4D000" w14:textId="77777777" w:rsidR="008600A3" w:rsidRPr="00AE74F3" w:rsidRDefault="008600A3" w:rsidP="005111F7">
            <w:pPr>
              <w:pStyle w:val="PBACTableText0"/>
              <w:keepNext/>
              <w:keepLines/>
              <w:spacing w:before="0" w:after="0"/>
              <w:jc w:val="center"/>
            </w:pPr>
            <w:r w:rsidRPr="00AE74F3">
              <w:t>Dominant</w:t>
            </w:r>
          </w:p>
        </w:tc>
      </w:tr>
      <w:tr w:rsidR="008600A3" w:rsidRPr="00AE74F3" w14:paraId="597D07AA" w14:textId="77777777" w:rsidTr="009449D0">
        <w:trPr>
          <w:trHeight w:val="227"/>
        </w:trPr>
        <w:tc>
          <w:tcPr>
            <w:tcW w:w="1098" w:type="pct"/>
            <w:noWrap/>
            <w:vAlign w:val="center"/>
          </w:tcPr>
          <w:p w14:paraId="50C67867" w14:textId="77777777" w:rsidR="008600A3" w:rsidRPr="00AE74F3" w:rsidRDefault="008600A3" w:rsidP="005111F7">
            <w:pPr>
              <w:pStyle w:val="PBACTableText0"/>
              <w:keepNext/>
              <w:keepLines/>
              <w:spacing w:before="0" w:after="0"/>
            </w:pPr>
            <w:r w:rsidRPr="00AE74F3">
              <w:t>Step 4: Transformation of modelled outcomes to QALYs</w:t>
            </w:r>
          </w:p>
        </w:tc>
        <w:tc>
          <w:tcPr>
            <w:tcW w:w="864" w:type="pct"/>
            <w:noWrap/>
            <w:vAlign w:val="center"/>
          </w:tcPr>
          <w:p w14:paraId="6905F0C4" w14:textId="77777777" w:rsidR="008600A3" w:rsidRPr="00AE74F3" w:rsidRDefault="008600A3" w:rsidP="005111F7">
            <w:pPr>
              <w:pStyle w:val="PBACTableText0"/>
              <w:keepNext/>
              <w:keepLines/>
              <w:spacing w:before="0" w:after="0"/>
              <w:jc w:val="center"/>
            </w:pPr>
            <w:r w:rsidRPr="00AE74F3">
              <w:t>QALYs</w:t>
            </w:r>
          </w:p>
        </w:tc>
        <w:tc>
          <w:tcPr>
            <w:tcW w:w="629" w:type="pct"/>
            <w:noWrap/>
            <w:vAlign w:val="center"/>
          </w:tcPr>
          <w:p w14:paraId="23F277E1" w14:textId="77777777" w:rsidR="008600A3" w:rsidRPr="00AE74F3" w:rsidRDefault="008600A3" w:rsidP="005111F7">
            <w:pPr>
              <w:pStyle w:val="PBACTableText0"/>
              <w:keepNext/>
              <w:keepLines/>
              <w:spacing w:before="0" w:after="0"/>
              <w:jc w:val="center"/>
            </w:pPr>
            <w:r w:rsidRPr="00AE74F3">
              <w:t>Total costs</w:t>
            </w:r>
          </w:p>
        </w:tc>
        <w:tc>
          <w:tcPr>
            <w:tcW w:w="472" w:type="pct"/>
            <w:noWrap/>
            <w:vAlign w:val="center"/>
          </w:tcPr>
          <w:p w14:paraId="27EDC310" w14:textId="77777777" w:rsidR="008600A3" w:rsidRPr="00AE74F3" w:rsidRDefault="008600A3" w:rsidP="005111F7">
            <w:pPr>
              <w:pStyle w:val="PBACTableText0"/>
              <w:keepNext/>
              <w:keepLines/>
              <w:spacing w:before="0" w:after="0"/>
              <w:jc w:val="center"/>
            </w:pPr>
            <w:r w:rsidRPr="00AE74F3">
              <w:t>Lifetime</w:t>
            </w:r>
          </w:p>
        </w:tc>
        <w:tc>
          <w:tcPr>
            <w:tcW w:w="707" w:type="pct"/>
            <w:vAlign w:val="center"/>
          </w:tcPr>
          <w:p w14:paraId="67610BDC" w14:textId="2A316C16" w:rsidR="008600A3" w:rsidRPr="00C650B4" w:rsidRDefault="008600A3" w:rsidP="005111F7">
            <w:pPr>
              <w:pStyle w:val="PBACTableText0"/>
              <w:keepNext/>
              <w:keepLines/>
              <w:spacing w:before="0" w:after="0"/>
              <w:jc w:val="center"/>
              <w:rPr>
                <w:highlight w:val="lightGray"/>
              </w:rPr>
            </w:pPr>
            <w:r w:rsidRPr="00326830">
              <w:t>-</w:t>
            </w:r>
            <w:r w:rsidR="00A121F0" w:rsidRPr="00A121F0">
              <w:rPr>
                <w:rFonts w:hint="eastAsia"/>
                <w:color w:val="000000"/>
                <w:w w:val="15"/>
                <w:shd w:val="solid" w:color="000000" w:fill="000000"/>
                <w:fitText w:val="48" w:id="-962405887"/>
                <w14:textFill>
                  <w14:solidFill>
                    <w14:srgbClr w14:val="000000">
                      <w14:alpha w14:val="100000"/>
                    </w14:srgbClr>
                  </w14:solidFill>
                </w14:textFill>
              </w:rPr>
              <w:t xml:space="preserve">　</w:t>
            </w:r>
            <w:r w:rsidR="00A121F0" w:rsidRPr="00A121F0">
              <w:rPr>
                <w:color w:val="000000"/>
                <w:w w:val="15"/>
                <w:shd w:val="solid" w:color="000000" w:fill="000000"/>
                <w:fitText w:val="48" w:id="-962405887"/>
                <w14:textFill>
                  <w14:solidFill>
                    <w14:srgbClr w14:val="000000">
                      <w14:alpha w14:val="100000"/>
                    </w14:srgbClr>
                  </w14:solidFill>
                </w14:textFill>
              </w:rPr>
              <w:t>|</w:t>
            </w:r>
            <w:r w:rsidR="00A121F0" w:rsidRPr="00A121F0">
              <w:rPr>
                <w:rFonts w:hint="eastAsia"/>
                <w:color w:val="000000"/>
                <w:spacing w:val="-17"/>
                <w:w w:val="15"/>
                <w:shd w:val="solid" w:color="000000" w:fill="000000"/>
                <w:fitText w:val="48" w:id="-962405887"/>
                <w14:textFill>
                  <w14:solidFill>
                    <w14:srgbClr w14:val="000000">
                      <w14:alpha w14:val="100000"/>
                    </w14:srgbClr>
                  </w14:solidFill>
                </w14:textFill>
              </w:rPr>
              <w:t xml:space="preserve">　</w:t>
            </w:r>
          </w:p>
        </w:tc>
        <w:tc>
          <w:tcPr>
            <w:tcW w:w="708" w:type="pct"/>
            <w:vAlign w:val="center"/>
          </w:tcPr>
          <w:p w14:paraId="1110E8F7" w14:textId="77777777" w:rsidR="008600A3" w:rsidRPr="00AE74F3" w:rsidRDefault="008600A3" w:rsidP="005111F7">
            <w:pPr>
              <w:pStyle w:val="PBACTableText0"/>
              <w:keepNext/>
              <w:keepLines/>
              <w:spacing w:before="0" w:after="0"/>
              <w:jc w:val="center"/>
            </w:pPr>
            <w:r w:rsidRPr="00AE74F3">
              <w:t>0.47</w:t>
            </w:r>
          </w:p>
        </w:tc>
        <w:tc>
          <w:tcPr>
            <w:tcW w:w="522" w:type="pct"/>
            <w:vAlign w:val="center"/>
          </w:tcPr>
          <w:p w14:paraId="50C610BD" w14:textId="77777777" w:rsidR="008600A3" w:rsidRPr="00AE74F3" w:rsidRDefault="008600A3" w:rsidP="005111F7">
            <w:pPr>
              <w:pStyle w:val="PBACTableText0"/>
              <w:keepNext/>
              <w:keepLines/>
              <w:spacing w:before="0" w:after="0"/>
              <w:jc w:val="center"/>
            </w:pPr>
            <w:r w:rsidRPr="00AE74F3">
              <w:t>Dominant</w:t>
            </w:r>
          </w:p>
        </w:tc>
      </w:tr>
    </w:tbl>
    <w:p w14:paraId="2C9BD8E7" w14:textId="77777777" w:rsidR="008600A3" w:rsidRPr="00AE74F3" w:rsidRDefault="008600A3" w:rsidP="005111F7">
      <w:pPr>
        <w:pStyle w:val="FooterTableFigure"/>
        <w:keepNext/>
        <w:keepLines/>
      </w:pPr>
      <w:r w:rsidRPr="00AE74F3">
        <w:t>DMT = disease modifying therapy; EDSS, Expanded Disability Status Scale; ICER, incremental cost-effectiveness ratio; QALYs, quality-adjusted life years.</w:t>
      </w:r>
    </w:p>
    <w:p w14:paraId="71DCEF14" w14:textId="29509FAB" w:rsidR="008600A3" w:rsidRDefault="008600A3" w:rsidP="00F76DE1">
      <w:pPr>
        <w:pStyle w:val="FooterTableFigure"/>
        <w:keepNext/>
        <w:keepLines/>
        <w:tabs>
          <w:tab w:val="left" w:pos="2936"/>
        </w:tabs>
        <w:spacing w:after="0"/>
      </w:pPr>
      <w:r w:rsidRPr="00AE74F3">
        <w:t>Source: Table 115 of the submission.</w:t>
      </w:r>
    </w:p>
    <w:p w14:paraId="04256AF2" w14:textId="77777777" w:rsidR="001B3BCD" w:rsidRPr="009A6D58" w:rsidRDefault="001B3BCD" w:rsidP="001B3BC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A84701A" w14:textId="639E244A" w:rsidR="001B3BCD" w:rsidRPr="009A6D58" w:rsidRDefault="001B3BCD" w:rsidP="001B3BC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B3BCD">
        <w:rPr>
          <w:rFonts w:ascii="Arial Narrow" w:hAnsi="Arial Narrow"/>
          <w:i/>
          <w:sz w:val="18"/>
          <w:szCs w:val="18"/>
        </w:rPr>
        <w:t>$35,000 to &lt; $45,000</w:t>
      </w:r>
    </w:p>
    <w:p w14:paraId="35CD530A" w14:textId="6EAD23E7" w:rsidR="001B3BCD" w:rsidRPr="009A6D58" w:rsidRDefault="001B3BCD" w:rsidP="001B3BC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B3BCD">
        <w:rPr>
          <w:rFonts w:ascii="Arial Narrow" w:hAnsi="Arial Narrow"/>
          <w:i/>
          <w:sz w:val="18"/>
          <w:szCs w:val="18"/>
        </w:rPr>
        <w:t>$</w:t>
      </w:r>
      <w:r>
        <w:rPr>
          <w:rFonts w:ascii="Arial Narrow" w:hAnsi="Arial Narrow"/>
          <w:i/>
          <w:sz w:val="18"/>
          <w:szCs w:val="18"/>
        </w:rPr>
        <w:t>4</w:t>
      </w:r>
      <w:r w:rsidRPr="001B3BCD">
        <w:rPr>
          <w:rFonts w:ascii="Arial Narrow" w:hAnsi="Arial Narrow"/>
          <w:i/>
          <w:sz w:val="18"/>
          <w:szCs w:val="18"/>
        </w:rPr>
        <w:t>5,000 to &lt; $</w:t>
      </w:r>
      <w:r>
        <w:rPr>
          <w:rFonts w:ascii="Arial Narrow" w:hAnsi="Arial Narrow"/>
          <w:i/>
          <w:sz w:val="18"/>
          <w:szCs w:val="18"/>
        </w:rPr>
        <w:t>5</w:t>
      </w:r>
      <w:r w:rsidRPr="001B3BCD">
        <w:rPr>
          <w:rFonts w:ascii="Arial Narrow" w:hAnsi="Arial Narrow"/>
          <w:i/>
          <w:sz w:val="18"/>
          <w:szCs w:val="18"/>
        </w:rPr>
        <w:t>5,000</w:t>
      </w:r>
    </w:p>
    <w:p w14:paraId="5F82DE5D" w14:textId="62645CDA" w:rsidR="001B3BCD" w:rsidRPr="00AE74F3" w:rsidRDefault="001B3BCD" w:rsidP="00F76DE1">
      <w:pPr>
        <w:spacing w:after="120"/>
      </w:pPr>
      <w:r w:rsidRPr="009A6D58">
        <w:rPr>
          <w:rFonts w:ascii="Arial Narrow" w:hAnsi="Arial Narrow"/>
          <w:i/>
          <w:sz w:val="18"/>
          <w:szCs w:val="18"/>
          <w:vertAlign w:val="superscript"/>
        </w:rPr>
        <w:t>3</w:t>
      </w:r>
      <w:r>
        <w:rPr>
          <w:rFonts w:ascii="Arial Narrow" w:hAnsi="Arial Narrow"/>
          <w:i/>
          <w:sz w:val="18"/>
          <w:szCs w:val="18"/>
        </w:rPr>
        <w:t xml:space="preserve"> </w:t>
      </w:r>
      <w:r w:rsidRPr="001B3BCD">
        <w:rPr>
          <w:rFonts w:ascii="Arial Narrow" w:hAnsi="Arial Narrow"/>
          <w:i/>
          <w:sz w:val="18"/>
          <w:szCs w:val="18"/>
        </w:rPr>
        <w:t>$</w:t>
      </w:r>
      <w:r w:rsidR="00F76DE1">
        <w:rPr>
          <w:rFonts w:ascii="Arial Narrow" w:hAnsi="Arial Narrow"/>
          <w:i/>
          <w:sz w:val="18"/>
          <w:szCs w:val="18"/>
        </w:rPr>
        <w:t>2</w:t>
      </w:r>
      <w:r w:rsidRPr="001B3BCD">
        <w:rPr>
          <w:rFonts w:ascii="Arial Narrow" w:hAnsi="Arial Narrow"/>
          <w:i/>
          <w:sz w:val="18"/>
          <w:szCs w:val="18"/>
        </w:rPr>
        <w:t>5,000 to &lt; $</w:t>
      </w:r>
      <w:r w:rsidR="00F76DE1">
        <w:rPr>
          <w:rFonts w:ascii="Arial Narrow" w:hAnsi="Arial Narrow"/>
          <w:i/>
          <w:sz w:val="18"/>
          <w:szCs w:val="18"/>
        </w:rPr>
        <w:t>3</w:t>
      </w:r>
      <w:r w:rsidRPr="001B3BCD">
        <w:rPr>
          <w:rFonts w:ascii="Arial Narrow" w:hAnsi="Arial Narrow"/>
          <w:i/>
          <w:sz w:val="18"/>
          <w:szCs w:val="18"/>
        </w:rPr>
        <w:t>5,000</w:t>
      </w:r>
    </w:p>
    <w:bookmarkEnd w:id="63"/>
    <w:p w14:paraId="3EC7C59C" w14:textId="4FEAE185" w:rsidR="002A70EC" w:rsidRPr="00AE74F3" w:rsidRDefault="002A70EC" w:rsidP="008600A3">
      <w:pPr>
        <w:pStyle w:val="3-BodyText"/>
      </w:pPr>
      <w:r w:rsidRPr="00AE74F3">
        <w:t xml:space="preserve">The base case results </w:t>
      </w:r>
      <w:r w:rsidR="00BB5737" w:rsidRPr="00AE74F3">
        <w:t>of the economic model is presented</w:t>
      </w:r>
      <w:r w:rsidR="00D67844" w:rsidRPr="00AE74F3">
        <w:t xml:space="preserve"> in </w:t>
      </w:r>
      <w:r w:rsidR="00D67844" w:rsidRPr="00AE74F3">
        <w:fldChar w:fldCharType="begin" w:fldLock="1"/>
      </w:r>
      <w:r w:rsidR="00D67844" w:rsidRPr="00AE74F3">
        <w:instrText xml:space="preserve"> REF _Ref153209486 \h </w:instrText>
      </w:r>
      <w:r w:rsidR="005F098D" w:rsidRPr="00AE74F3">
        <w:instrText xml:space="preserve"> \* MERGEFORMAT </w:instrText>
      </w:r>
      <w:r w:rsidR="00D67844" w:rsidRPr="00AE74F3">
        <w:fldChar w:fldCharType="separate"/>
      </w:r>
      <w:r w:rsidR="00416916" w:rsidRPr="00AE74F3">
        <w:t xml:space="preserve">Table </w:t>
      </w:r>
      <w:r w:rsidR="00416916">
        <w:rPr>
          <w:noProof/>
        </w:rPr>
        <w:t>12</w:t>
      </w:r>
      <w:r w:rsidR="00D67844" w:rsidRPr="00AE74F3">
        <w:fldChar w:fldCharType="end"/>
      </w:r>
      <w:r w:rsidR="008A0D2F" w:rsidRPr="00AE74F3">
        <w:t>.</w:t>
      </w:r>
    </w:p>
    <w:p w14:paraId="02C1F27D" w14:textId="6D5DBED4" w:rsidR="00BB5737" w:rsidRPr="00AE74F3" w:rsidRDefault="004402BF" w:rsidP="004402BF">
      <w:pPr>
        <w:pStyle w:val="Caption"/>
      </w:pPr>
      <w:bookmarkStart w:id="64" w:name="_Ref153209486"/>
      <w:r w:rsidRPr="00AE74F3">
        <w:t xml:space="preserve">Table </w:t>
      </w:r>
      <w:r w:rsidR="002943DF">
        <w:fldChar w:fldCharType="begin" w:fldLock="1"/>
      </w:r>
      <w:r w:rsidR="002943DF">
        <w:instrText xml:space="preserve"> SEQ Table \* ARABIC </w:instrText>
      </w:r>
      <w:r w:rsidR="002943DF">
        <w:fldChar w:fldCharType="separate"/>
      </w:r>
      <w:r w:rsidR="00416916">
        <w:rPr>
          <w:noProof/>
        </w:rPr>
        <w:t>12</w:t>
      </w:r>
      <w:r w:rsidR="002943DF">
        <w:rPr>
          <w:noProof/>
        </w:rPr>
        <w:fldChar w:fldCharType="end"/>
      </w:r>
      <w:bookmarkEnd w:id="64"/>
      <w:r w:rsidRPr="00AE74F3">
        <w:t xml:space="preserve"> Disaggregated results of the </w:t>
      </w:r>
      <w:r w:rsidR="00D67844" w:rsidRPr="00AE74F3">
        <w:t>base case of the economic model</w:t>
      </w:r>
    </w:p>
    <w:tbl>
      <w:tblPr>
        <w:tblStyle w:val="TableGrid"/>
        <w:tblW w:w="0" w:type="auto"/>
        <w:tblInd w:w="-5" w:type="dxa"/>
        <w:tblLook w:val="04A0" w:firstRow="1" w:lastRow="0" w:firstColumn="1" w:lastColumn="0" w:noHBand="0" w:noVBand="1"/>
        <w:tblCaption w:val="Table 12 Disaggregated results of the base case of the economic model"/>
      </w:tblPr>
      <w:tblGrid>
        <w:gridCol w:w="3686"/>
        <w:gridCol w:w="1417"/>
        <w:gridCol w:w="1418"/>
        <w:gridCol w:w="2501"/>
      </w:tblGrid>
      <w:tr w:rsidR="004402BF" w:rsidRPr="00AE74F3" w14:paraId="2092E38E" w14:textId="77777777" w:rsidTr="00F76DE1">
        <w:trPr>
          <w:trHeight w:val="227"/>
        </w:trPr>
        <w:tc>
          <w:tcPr>
            <w:tcW w:w="3686" w:type="dxa"/>
            <w:vAlign w:val="center"/>
          </w:tcPr>
          <w:p w14:paraId="07C2291E" w14:textId="3C7C3D16" w:rsidR="004402BF" w:rsidRPr="00AE74F3" w:rsidRDefault="004402BF" w:rsidP="004402BF">
            <w:pPr>
              <w:pStyle w:val="3-BodyText"/>
              <w:numPr>
                <w:ilvl w:val="0"/>
                <w:numId w:val="0"/>
              </w:numPr>
              <w:spacing w:after="0"/>
              <w:rPr>
                <w:rFonts w:ascii="Arial Narrow" w:hAnsi="Arial Narrow"/>
                <w:b/>
                <w:bCs/>
                <w:sz w:val="20"/>
                <w:szCs w:val="20"/>
              </w:rPr>
            </w:pPr>
            <w:r w:rsidRPr="00AE74F3">
              <w:rPr>
                <w:rFonts w:ascii="Arial Narrow" w:hAnsi="Arial Narrow"/>
                <w:b/>
                <w:bCs/>
                <w:sz w:val="20"/>
                <w:szCs w:val="20"/>
              </w:rPr>
              <w:t>Cost category</w:t>
            </w:r>
          </w:p>
        </w:tc>
        <w:tc>
          <w:tcPr>
            <w:tcW w:w="1417" w:type="dxa"/>
            <w:vAlign w:val="center"/>
          </w:tcPr>
          <w:p w14:paraId="3EB02456" w14:textId="05404F49" w:rsidR="004402BF" w:rsidRPr="00AE74F3" w:rsidRDefault="004402BF" w:rsidP="004402BF">
            <w:pPr>
              <w:pStyle w:val="3-BodyText"/>
              <w:numPr>
                <w:ilvl w:val="0"/>
                <w:numId w:val="0"/>
              </w:numPr>
              <w:spacing w:after="0"/>
              <w:jc w:val="center"/>
              <w:rPr>
                <w:rFonts w:ascii="Arial Narrow" w:hAnsi="Arial Narrow"/>
                <w:b/>
                <w:bCs/>
                <w:sz w:val="20"/>
                <w:szCs w:val="20"/>
              </w:rPr>
            </w:pPr>
            <w:r w:rsidRPr="00AE74F3">
              <w:rPr>
                <w:rFonts w:ascii="Arial Narrow" w:hAnsi="Arial Narrow"/>
                <w:b/>
                <w:bCs/>
                <w:sz w:val="20"/>
                <w:szCs w:val="20"/>
              </w:rPr>
              <w:t>Ofatumumab</w:t>
            </w:r>
          </w:p>
        </w:tc>
        <w:tc>
          <w:tcPr>
            <w:tcW w:w="1418" w:type="dxa"/>
            <w:vAlign w:val="center"/>
          </w:tcPr>
          <w:p w14:paraId="066ED92D" w14:textId="0F2E5247" w:rsidR="004402BF" w:rsidRPr="00AE74F3" w:rsidRDefault="004402BF" w:rsidP="004402BF">
            <w:pPr>
              <w:pStyle w:val="3-BodyText"/>
              <w:numPr>
                <w:ilvl w:val="0"/>
                <w:numId w:val="0"/>
              </w:numPr>
              <w:spacing w:after="0"/>
              <w:jc w:val="center"/>
              <w:rPr>
                <w:rFonts w:ascii="Arial Narrow" w:hAnsi="Arial Narrow"/>
                <w:b/>
                <w:bCs/>
                <w:sz w:val="20"/>
                <w:szCs w:val="20"/>
              </w:rPr>
            </w:pPr>
            <w:r w:rsidRPr="00AE74F3">
              <w:rPr>
                <w:rFonts w:ascii="Arial Narrow" w:hAnsi="Arial Narrow"/>
                <w:b/>
                <w:bCs/>
                <w:sz w:val="20"/>
                <w:szCs w:val="20"/>
              </w:rPr>
              <w:t>Fingolimod</w:t>
            </w:r>
          </w:p>
        </w:tc>
        <w:tc>
          <w:tcPr>
            <w:tcW w:w="2501" w:type="dxa"/>
            <w:vAlign w:val="center"/>
          </w:tcPr>
          <w:p w14:paraId="658E5655" w14:textId="49211EBB" w:rsidR="004402BF" w:rsidRPr="00AE74F3" w:rsidRDefault="004402BF" w:rsidP="004402BF">
            <w:pPr>
              <w:pStyle w:val="3-BodyText"/>
              <w:numPr>
                <w:ilvl w:val="0"/>
                <w:numId w:val="0"/>
              </w:numPr>
              <w:spacing w:after="0"/>
              <w:jc w:val="center"/>
              <w:rPr>
                <w:rFonts w:ascii="Arial Narrow" w:hAnsi="Arial Narrow"/>
                <w:b/>
                <w:bCs/>
                <w:sz w:val="20"/>
                <w:szCs w:val="20"/>
              </w:rPr>
            </w:pPr>
            <w:r w:rsidRPr="00AE74F3">
              <w:rPr>
                <w:rFonts w:ascii="Arial Narrow" w:hAnsi="Arial Narrow"/>
                <w:b/>
                <w:bCs/>
                <w:sz w:val="20"/>
                <w:szCs w:val="20"/>
              </w:rPr>
              <w:t>Incremental:</w:t>
            </w:r>
          </w:p>
        </w:tc>
      </w:tr>
      <w:tr w:rsidR="004402BF" w:rsidRPr="00AE74F3" w14:paraId="25A9C2D3" w14:textId="77777777" w:rsidTr="00F76DE1">
        <w:trPr>
          <w:trHeight w:val="227"/>
        </w:trPr>
        <w:tc>
          <w:tcPr>
            <w:tcW w:w="3686" w:type="dxa"/>
          </w:tcPr>
          <w:p w14:paraId="3E308EE9" w14:textId="2E7169F5" w:rsidR="004402BF" w:rsidRPr="00AE74F3" w:rsidRDefault="004402BF" w:rsidP="004402BF">
            <w:pPr>
              <w:pStyle w:val="3-BodyText"/>
              <w:numPr>
                <w:ilvl w:val="0"/>
                <w:numId w:val="0"/>
              </w:numPr>
              <w:spacing w:after="0"/>
              <w:rPr>
                <w:rFonts w:ascii="Arial Narrow" w:hAnsi="Arial Narrow"/>
                <w:b/>
                <w:bCs/>
                <w:sz w:val="20"/>
                <w:szCs w:val="20"/>
              </w:rPr>
            </w:pPr>
            <w:r w:rsidRPr="00AE74F3">
              <w:rPr>
                <w:rFonts w:ascii="Arial Narrow" w:hAnsi="Arial Narrow"/>
                <w:b/>
                <w:bCs/>
                <w:sz w:val="20"/>
                <w:szCs w:val="20"/>
              </w:rPr>
              <w:t>Drug costs</w:t>
            </w:r>
          </w:p>
        </w:tc>
        <w:tc>
          <w:tcPr>
            <w:tcW w:w="1417" w:type="dxa"/>
            <w:vAlign w:val="center"/>
          </w:tcPr>
          <w:p w14:paraId="67E74FB1" w14:textId="351301E7"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w:t>
            </w:r>
            <w:r w:rsidR="00A121F0" w:rsidRPr="00A121F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18" w:type="dxa"/>
            <w:vAlign w:val="center"/>
          </w:tcPr>
          <w:p w14:paraId="2FE92B58" w14:textId="5EDA1FC1"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$51,063</w:t>
            </w:r>
          </w:p>
        </w:tc>
        <w:tc>
          <w:tcPr>
            <w:tcW w:w="2501" w:type="dxa"/>
            <w:vAlign w:val="center"/>
          </w:tcPr>
          <w:p w14:paraId="1F3093FB" w14:textId="3F45A990"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w:t>
            </w:r>
            <w:r w:rsidR="00A121F0" w:rsidRPr="00A121F0">
              <w:rPr>
                <w:rFonts w:ascii="Arial Narrow" w:hAnsi="Arial Narrow"/>
                <w:color w:val="000000"/>
                <w:sz w:val="20"/>
                <w:szCs w:val="20"/>
                <w:shd w:val="solid" w:color="000000" w:fill="000000"/>
                <w14:textFill>
                  <w14:solidFill>
                    <w14:srgbClr w14:val="000000">
                      <w14:alpha w14:val="100000"/>
                    </w14:srgbClr>
                  </w14:solidFill>
                </w14:textFill>
              </w:rPr>
              <w:t>|</w:t>
            </w:r>
          </w:p>
        </w:tc>
      </w:tr>
      <w:tr w:rsidR="004402BF" w:rsidRPr="00AE74F3" w14:paraId="1C4ADD4E" w14:textId="77777777" w:rsidTr="00F76DE1">
        <w:trPr>
          <w:trHeight w:val="227"/>
        </w:trPr>
        <w:tc>
          <w:tcPr>
            <w:tcW w:w="3686" w:type="dxa"/>
          </w:tcPr>
          <w:p w14:paraId="7CA3ECCB" w14:textId="3AC86407" w:rsidR="004402BF" w:rsidRPr="00AE74F3" w:rsidRDefault="004402BF" w:rsidP="004402BF">
            <w:pPr>
              <w:pStyle w:val="3-BodyText"/>
              <w:numPr>
                <w:ilvl w:val="0"/>
                <w:numId w:val="0"/>
              </w:numPr>
              <w:spacing w:after="0"/>
              <w:rPr>
                <w:rFonts w:ascii="Arial Narrow" w:hAnsi="Arial Narrow"/>
                <w:sz w:val="20"/>
                <w:szCs w:val="20"/>
              </w:rPr>
            </w:pPr>
            <w:r w:rsidRPr="00AE74F3">
              <w:rPr>
                <w:rFonts w:ascii="Arial Narrow" w:hAnsi="Arial Narrow"/>
                <w:sz w:val="20"/>
                <w:szCs w:val="20"/>
              </w:rPr>
              <w:t>Administration costs</w:t>
            </w:r>
          </w:p>
        </w:tc>
        <w:tc>
          <w:tcPr>
            <w:tcW w:w="1417" w:type="dxa"/>
            <w:vAlign w:val="center"/>
          </w:tcPr>
          <w:p w14:paraId="37C02746" w14:textId="452D9B6C"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$20</w:t>
            </w:r>
          </w:p>
        </w:tc>
        <w:tc>
          <w:tcPr>
            <w:tcW w:w="1418" w:type="dxa"/>
            <w:vAlign w:val="center"/>
          </w:tcPr>
          <w:p w14:paraId="61AF8843" w14:textId="01B0456C"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$89</w:t>
            </w:r>
          </w:p>
        </w:tc>
        <w:tc>
          <w:tcPr>
            <w:tcW w:w="2501" w:type="dxa"/>
            <w:vAlign w:val="center"/>
          </w:tcPr>
          <w:p w14:paraId="260B5865" w14:textId="6263E2C6"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-$69</w:t>
            </w:r>
          </w:p>
        </w:tc>
      </w:tr>
      <w:tr w:rsidR="004402BF" w:rsidRPr="00AE74F3" w14:paraId="19387BAE" w14:textId="77777777" w:rsidTr="00F76DE1">
        <w:trPr>
          <w:trHeight w:val="96"/>
        </w:trPr>
        <w:tc>
          <w:tcPr>
            <w:tcW w:w="3686" w:type="dxa"/>
            <w:vAlign w:val="bottom"/>
          </w:tcPr>
          <w:p w14:paraId="7F18BF2A" w14:textId="2CFFBC05" w:rsidR="004402BF" w:rsidRPr="00AE74F3" w:rsidRDefault="004402BF" w:rsidP="004402BF">
            <w:pPr>
              <w:pStyle w:val="3-BodyText"/>
              <w:numPr>
                <w:ilvl w:val="0"/>
                <w:numId w:val="0"/>
              </w:numPr>
              <w:spacing w:after="0"/>
              <w:rPr>
                <w:rFonts w:ascii="Arial Narrow" w:hAnsi="Arial Narrow"/>
                <w:sz w:val="20"/>
                <w:szCs w:val="20"/>
              </w:rPr>
            </w:pPr>
            <w:r w:rsidRPr="00AE74F3">
              <w:rPr>
                <w:rFonts w:ascii="Arial Narrow" w:hAnsi="Arial Narrow"/>
                <w:sz w:val="20"/>
                <w:szCs w:val="20"/>
              </w:rPr>
              <w:t>EDSS health state healthcare resource costs</w:t>
            </w:r>
          </w:p>
        </w:tc>
        <w:tc>
          <w:tcPr>
            <w:tcW w:w="1417" w:type="dxa"/>
            <w:vAlign w:val="center"/>
          </w:tcPr>
          <w:p w14:paraId="736AB98C" w14:textId="69DCE07C"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$248,805</w:t>
            </w:r>
          </w:p>
        </w:tc>
        <w:tc>
          <w:tcPr>
            <w:tcW w:w="1418" w:type="dxa"/>
            <w:vAlign w:val="center"/>
          </w:tcPr>
          <w:p w14:paraId="605D2379" w14:textId="599CD8A0"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$259,422</w:t>
            </w:r>
          </w:p>
        </w:tc>
        <w:tc>
          <w:tcPr>
            <w:tcW w:w="2501" w:type="dxa"/>
            <w:vAlign w:val="center"/>
          </w:tcPr>
          <w:p w14:paraId="7026BD49" w14:textId="712F5B52"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-$10,617</w:t>
            </w:r>
          </w:p>
        </w:tc>
      </w:tr>
      <w:tr w:rsidR="004402BF" w:rsidRPr="00AE74F3" w14:paraId="6179E266" w14:textId="77777777" w:rsidTr="00F76DE1">
        <w:trPr>
          <w:trHeight w:val="227"/>
        </w:trPr>
        <w:tc>
          <w:tcPr>
            <w:tcW w:w="3686" w:type="dxa"/>
            <w:vAlign w:val="bottom"/>
          </w:tcPr>
          <w:p w14:paraId="26ED73E4" w14:textId="40CF59E4" w:rsidR="004402BF" w:rsidRPr="00AE74F3" w:rsidRDefault="004402BF" w:rsidP="004402BF">
            <w:pPr>
              <w:pStyle w:val="3-BodyText"/>
              <w:numPr>
                <w:ilvl w:val="0"/>
                <w:numId w:val="0"/>
              </w:numPr>
              <w:spacing w:after="0"/>
              <w:rPr>
                <w:rFonts w:ascii="Arial Narrow" w:hAnsi="Arial Narrow"/>
                <w:sz w:val="20"/>
                <w:szCs w:val="20"/>
              </w:rPr>
            </w:pPr>
            <w:r w:rsidRPr="00AE74F3">
              <w:rPr>
                <w:rFonts w:ascii="Arial Narrow" w:hAnsi="Arial Narrow"/>
                <w:sz w:val="20"/>
                <w:szCs w:val="20"/>
              </w:rPr>
              <w:t>Relapse event costs</w:t>
            </w:r>
          </w:p>
        </w:tc>
        <w:tc>
          <w:tcPr>
            <w:tcW w:w="1417" w:type="dxa"/>
            <w:vAlign w:val="center"/>
          </w:tcPr>
          <w:p w14:paraId="7E83B5B6" w14:textId="6DB85877"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$10,312</w:t>
            </w:r>
          </w:p>
        </w:tc>
        <w:tc>
          <w:tcPr>
            <w:tcW w:w="1418" w:type="dxa"/>
            <w:vAlign w:val="center"/>
          </w:tcPr>
          <w:p w14:paraId="1DDEF6B0" w14:textId="5426C8DC"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$10,506</w:t>
            </w:r>
          </w:p>
        </w:tc>
        <w:tc>
          <w:tcPr>
            <w:tcW w:w="2501" w:type="dxa"/>
            <w:vAlign w:val="center"/>
          </w:tcPr>
          <w:p w14:paraId="0DAA8340" w14:textId="6EF49508" w:rsidR="004402BF" w:rsidRPr="001B3BCD" w:rsidRDefault="004402BF" w:rsidP="004402BF">
            <w:pPr>
              <w:pStyle w:val="3-BodyText"/>
              <w:numPr>
                <w:ilvl w:val="0"/>
                <w:numId w:val="0"/>
              </w:numPr>
              <w:spacing w:after="0"/>
              <w:jc w:val="center"/>
              <w:rPr>
                <w:rFonts w:ascii="Arial Narrow" w:hAnsi="Arial Narrow"/>
                <w:sz w:val="20"/>
                <w:szCs w:val="20"/>
              </w:rPr>
            </w:pPr>
            <w:r w:rsidRPr="001B3BCD">
              <w:rPr>
                <w:rFonts w:ascii="Arial Narrow" w:hAnsi="Arial Narrow"/>
                <w:sz w:val="20"/>
                <w:szCs w:val="20"/>
              </w:rPr>
              <w:t>-$194</w:t>
            </w:r>
          </w:p>
        </w:tc>
      </w:tr>
      <w:tr w:rsidR="004402BF" w:rsidRPr="00AE74F3" w14:paraId="4EFAE05B" w14:textId="77777777" w:rsidTr="00F76DE1">
        <w:trPr>
          <w:trHeight w:val="227"/>
        </w:trPr>
        <w:tc>
          <w:tcPr>
            <w:tcW w:w="3686" w:type="dxa"/>
            <w:vAlign w:val="center"/>
          </w:tcPr>
          <w:p w14:paraId="1BEF4D15" w14:textId="38065070" w:rsidR="004402BF" w:rsidRPr="00AE74F3" w:rsidRDefault="004402BF" w:rsidP="004402BF">
            <w:pPr>
              <w:pStyle w:val="3-BodyText"/>
              <w:numPr>
                <w:ilvl w:val="0"/>
                <w:numId w:val="0"/>
              </w:numPr>
              <w:spacing w:after="0"/>
              <w:rPr>
                <w:rFonts w:ascii="Arial Narrow" w:hAnsi="Arial Narrow"/>
                <w:sz w:val="20"/>
                <w:szCs w:val="20"/>
              </w:rPr>
            </w:pPr>
            <w:r w:rsidRPr="00AE74F3">
              <w:rPr>
                <w:rFonts w:ascii="Arial Narrow" w:hAnsi="Arial Narrow"/>
                <w:sz w:val="20"/>
                <w:szCs w:val="20"/>
              </w:rPr>
              <w:t>Total cost</w:t>
            </w:r>
          </w:p>
        </w:tc>
        <w:tc>
          <w:tcPr>
            <w:tcW w:w="1417" w:type="dxa"/>
            <w:vAlign w:val="center"/>
          </w:tcPr>
          <w:p w14:paraId="466CD2EE" w14:textId="32A88235"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w:t>
            </w:r>
            <w:r w:rsidR="00A121F0" w:rsidRPr="00A121F0">
              <w:rPr>
                <w:rFonts w:ascii="Arial Narrow" w:hAnsi="Arial Narrow"/>
                <w:color w:val="000000"/>
                <w:sz w:val="20"/>
                <w:szCs w:val="20"/>
                <w:shd w:val="solid" w:color="000000" w:fill="000000"/>
                <w14:textFill>
                  <w14:solidFill>
                    <w14:srgbClr w14:val="000000">
                      <w14:alpha w14:val="100000"/>
                    </w14:srgbClr>
                  </w14:solidFill>
                </w14:textFill>
              </w:rPr>
              <w:t>|</w:t>
            </w:r>
          </w:p>
        </w:tc>
        <w:tc>
          <w:tcPr>
            <w:tcW w:w="1418" w:type="dxa"/>
            <w:vAlign w:val="center"/>
          </w:tcPr>
          <w:p w14:paraId="57E4C60F" w14:textId="3054BDF5"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$321,079</w:t>
            </w:r>
          </w:p>
        </w:tc>
        <w:tc>
          <w:tcPr>
            <w:tcW w:w="2501" w:type="dxa"/>
            <w:vAlign w:val="center"/>
          </w:tcPr>
          <w:p w14:paraId="7E8EFFDE" w14:textId="13B163EE"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w:t>
            </w:r>
            <w:r w:rsidR="00A121F0" w:rsidRPr="00A121F0">
              <w:rPr>
                <w:rFonts w:ascii="Arial Narrow" w:hAnsi="Arial Narrow"/>
                <w:color w:val="000000"/>
                <w:sz w:val="20"/>
                <w:szCs w:val="20"/>
                <w:shd w:val="solid" w:color="000000" w:fill="000000"/>
                <w14:textFill>
                  <w14:solidFill>
                    <w14:srgbClr w14:val="000000">
                      <w14:alpha w14:val="100000"/>
                    </w14:srgbClr>
                  </w14:solidFill>
                </w14:textFill>
              </w:rPr>
              <w:t>|</w:t>
            </w:r>
          </w:p>
        </w:tc>
      </w:tr>
      <w:tr w:rsidR="004402BF" w:rsidRPr="00AE74F3" w14:paraId="6CC3668C" w14:textId="77777777" w:rsidTr="00F76DE1">
        <w:trPr>
          <w:trHeight w:val="227"/>
        </w:trPr>
        <w:tc>
          <w:tcPr>
            <w:tcW w:w="3686" w:type="dxa"/>
            <w:vAlign w:val="center"/>
          </w:tcPr>
          <w:p w14:paraId="097DF4E1" w14:textId="0C4CE879" w:rsidR="004402BF" w:rsidRPr="00AE74F3" w:rsidRDefault="004402BF" w:rsidP="004402BF">
            <w:pPr>
              <w:pStyle w:val="3-BodyText"/>
              <w:numPr>
                <w:ilvl w:val="0"/>
                <w:numId w:val="0"/>
              </w:numPr>
              <w:spacing w:after="0"/>
              <w:rPr>
                <w:rFonts w:ascii="Arial Narrow" w:hAnsi="Arial Narrow"/>
                <w:b/>
                <w:bCs/>
                <w:sz w:val="20"/>
                <w:szCs w:val="20"/>
              </w:rPr>
            </w:pPr>
            <w:r w:rsidRPr="00AE74F3">
              <w:rPr>
                <w:rFonts w:ascii="Arial Narrow" w:hAnsi="Arial Narrow"/>
                <w:b/>
                <w:bCs/>
                <w:sz w:val="20"/>
                <w:szCs w:val="20"/>
              </w:rPr>
              <w:t>Outcome</w:t>
            </w:r>
          </w:p>
        </w:tc>
        <w:tc>
          <w:tcPr>
            <w:tcW w:w="1417" w:type="dxa"/>
            <w:vAlign w:val="center"/>
          </w:tcPr>
          <w:p w14:paraId="40280BD8" w14:textId="58073E47" w:rsidR="004402BF" w:rsidRPr="00AE74F3" w:rsidRDefault="004402BF" w:rsidP="004402BF">
            <w:pPr>
              <w:pStyle w:val="3-BodyText"/>
              <w:numPr>
                <w:ilvl w:val="0"/>
                <w:numId w:val="0"/>
              </w:numPr>
              <w:spacing w:after="0"/>
              <w:jc w:val="center"/>
              <w:rPr>
                <w:rFonts w:ascii="Arial Narrow" w:hAnsi="Arial Narrow"/>
                <w:sz w:val="20"/>
                <w:szCs w:val="20"/>
              </w:rPr>
            </w:pPr>
          </w:p>
        </w:tc>
        <w:tc>
          <w:tcPr>
            <w:tcW w:w="1418" w:type="dxa"/>
            <w:vAlign w:val="center"/>
          </w:tcPr>
          <w:p w14:paraId="5B5B2878" w14:textId="0F7A0B11" w:rsidR="004402BF" w:rsidRPr="00AE74F3" w:rsidRDefault="004402BF" w:rsidP="004402BF">
            <w:pPr>
              <w:pStyle w:val="3-BodyText"/>
              <w:numPr>
                <w:ilvl w:val="0"/>
                <w:numId w:val="0"/>
              </w:numPr>
              <w:spacing w:after="0"/>
              <w:jc w:val="center"/>
              <w:rPr>
                <w:rFonts w:ascii="Arial Narrow" w:hAnsi="Arial Narrow"/>
                <w:sz w:val="20"/>
                <w:szCs w:val="20"/>
              </w:rPr>
            </w:pPr>
          </w:p>
        </w:tc>
        <w:tc>
          <w:tcPr>
            <w:tcW w:w="2501" w:type="dxa"/>
            <w:vAlign w:val="center"/>
          </w:tcPr>
          <w:p w14:paraId="532C7CFA" w14:textId="372131A3" w:rsidR="004402BF" w:rsidRPr="00AE74F3" w:rsidRDefault="004402BF" w:rsidP="004402BF">
            <w:pPr>
              <w:pStyle w:val="3-BodyText"/>
              <w:numPr>
                <w:ilvl w:val="0"/>
                <w:numId w:val="0"/>
              </w:numPr>
              <w:spacing w:after="0"/>
              <w:jc w:val="center"/>
              <w:rPr>
                <w:rFonts w:ascii="Arial Narrow" w:hAnsi="Arial Narrow"/>
                <w:sz w:val="20"/>
                <w:szCs w:val="20"/>
              </w:rPr>
            </w:pPr>
          </w:p>
        </w:tc>
      </w:tr>
      <w:tr w:rsidR="004402BF" w:rsidRPr="00AE74F3" w14:paraId="4575F984" w14:textId="77777777" w:rsidTr="00F76DE1">
        <w:trPr>
          <w:trHeight w:val="227"/>
        </w:trPr>
        <w:tc>
          <w:tcPr>
            <w:tcW w:w="3686" w:type="dxa"/>
          </w:tcPr>
          <w:p w14:paraId="1F41FFFF" w14:textId="51797F7F" w:rsidR="004402BF" w:rsidRPr="00AE74F3" w:rsidRDefault="004402BF" w:rsidP="004402BF">
            <w:pPr>
              <w:pStyle w:val="3-BodyText"/>
              <w:numPr>
                <w:ilvl w:val="0"/>
                <w:numId w:val="0"/>
              </w:numPr>
              <w:spacing w:after="0"/>
              <w:rPr>
                <w:rFonts w:ascii="Arial Narrow" w:hAnsi="Arial Narrow"/>
                <w:sz w:val="20"/>
                <w:szCs w:val="20"/>
              </w:rPr>
            </w:pPr>
            <w:r w:rsidRPr="00AE74F3">
              <w:rPr>
                <w:rFonts w:ascii="Arial Narrow" w:hAnsi="Arial Narrow"/>
                <w:sz w:val="20"/>
                <w:szCs w:val="20"/>
              </w:rPr>
              <w:t>Life Years</w:t>
            </w:r>
          </w:p>
        </w:tc>
        <w:tc>
          <w:tcPr>
            <w:tcW w:w="1417" w:type="dxa"/>
            <w:vAlign w:val="center"/>
          </w:tcPr>
          <w:p w14:paraId="4206AC48" w14:textId="3D1D1323"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16.66</w:t>
            </w:r>
          </w:p>
        </w:tc>
        <w:tc>
          <w:tcPr>
            <w:tcW w:w="1418" w:type="dxa"/>
            <w:vAlign w:val="center"/>
          </w:tcPr>
          <w:p w14:paraId="150C2D69" w14:textId="1F74040D"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16.60</w:t>
            </w:r>
          </w:p>
        </w:tc>
        <w:tc>
          <w:tcPr>
            <w:tcW w:w="2501" w:type="dxa"/>
            <w:vAlign w:val="center"/>
          </w:tcPr>
          <w:p w14:paraId="0F36D42A" w14:textId="40CC3480"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0.07</w:t>
            </w:r>
          </w:p>
        </w:tc>
      </w:tr>
      <w:tr w:rsidR="004402BF" w:rsidRPr="00AE74F3" w14:paraId="283BC561" w14:textId="77777777" w:rsidTr="00F76DE1">
        <w:trPr>
          <w:trHeight w:val="227"/>
        </w:trPr>
        <w:tc>
          <w:tcPr>
            <w:tcW w:w="3686" w:type="dxa"/>
          </w:tcPr>
          <w:p w14:paraId="60CB15C8" w14:textId="7506DACE" w:rsidR="004402BF" w:rsidRPr="00AE74F3" w:rsidRDefault="004402BF" w:rsidP="004402BF">
            <w:pPr>
              <w:pStyle w:val="3-BodyText"/>
              <w:numPr>
                <w:ilvl w:val="0"/>
                <w:numId w:val="0"/>
              </w:numPr>
              <w:spacing w:after="0"/>
              <w:rPr>
                <w:rFonts w:ascii="Arial Narrow" w:hAnsi="Arial Narrow"/>
                <w:sz w:val="20"/>
                <w:szCs w:val="20"/>
              </w:rPr>
            </w:pPr>
            <w:r w:rsidRPr="00AE74F3">
              <w:rPr>
                <w:rFonts w:ascii="Arial Narrow" w:hAnsi="Arial Narrow"/>
                <w:sz w:val="20"/>
                <w:szCs w:val="20"/>
              </w:rPr>
              <w:t>Total QALYs</w:t>
            </w:r>
          </w:p>
        </w:tc>
        <w:tc>
          <w:tcPr>
            <w:tcW w:w="1417" w:type="dxa"/>
            <w:vAlign w:val="center"/>
          </w:tcPr>
          <w:p w14:paraId="6A0F797D" w14:textId="2304F58B"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7.89</w:t>
            </w:r>
          </w:p>
        </w:tc>
        <w:tc>
          <w:tcPr>
            <w:tcW w:w="1418" w:type="dxa"/>
            <w:vAlign w:val="center"/>
          </w:tcPr>
          <w:p w14:paraId="6EB49676" w14:textId="104C8DC5"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7.41</w:t>
            </w:r>
          </w:p>
        </w:tc>
        <w:tc>
          <w:tcPr>
            <w:tcW w:w="2501" w:type="dxa"/>
            <w:vAlign w:val="center"/>
          </w:tcPr>
          <w:p w14:paraId="20FD15D8" w14:textId="63E781DA" w:rsidR="004402BF" w:rsidRPr="00AE74F3" w:rsidRDefault="004402BF" w:rsidP="004402BF">
            <w:pPr>
              <w:pStyle w:val="3-BodyText"/>
              <w:numPr>
                <w:ilvl w:val="0"/>
                <w:numId w:val="0"/>
              </w:numPr>
              <w:spacing w:after="0"/>
              <w:jc w:val="center"/>
              <w:rPr>
                <w:rFonts w:ascii="Arial Narrow" w:hAnsi="Arial Narrow"/>
                <w:sz w:val="20"/>
                <w:szCs w:val="20"/>
              </w:rPr>
            </w:pPr>
            <w:r w:rsidRPr="00AE74F3">
              <w:rPr>
                <w:rFonts w:ascii="Arial Narrow" w:hAnsi="Arial Narrow"/>
                <w:sz w:val="20"/>
                <w:szCs w:val="20"/>
              </w:rPr>
              <w:t>0.47</w:t>
            </w:r>
          </w:p>
        </w:tc>
      </w:tr>
      <w:tr w:rsidR="004402BF" w:rsidRPr="00AE74F3" w14:paraId="18CAA208" w14:textId="77777777" w:rsidTr="00F76DE1">
        <w:trPr>
          <w:trHeight w:val="227"/>
        </w:trPr>
        <w:tc>
          <w:tcPr>
            <w:tcW w:w="3686" w:type="dxa"/>
          </w:tcPr>
          <w:p w14:paraId="180FDFC6" w14:textId="65DFB975" w:rsidR="004402BF" w:rsidRPr="00AE74F3" w:rsidRDefault="004402BF" w:rsidP="004402BF">
            <w:pPr>
              <w:pStyle w:val="3-BodyText"/>
              <w:numPr>
                <w:ilvl w:val="0"/>
                <w:numId w:val="0"/>
              </w:numPr>
              <w:spacing w:after="0"/>
              <w:rPr>
                <w:rFonts w:ascii="Arial Narrow" w:hAnsi="Arial Narrow"/>
                <w:b/>
                <w:bCs/>
                <w:sz w:val="20"/>
                <w:szCs w:val="20"/>
              </w:rPr>
            </w:pPr>
            <w:r w:rsidRPr="00AE74F3">
              <w:rPr>
                <w:rFonts w:ascii="Arial Narrow" w:hAnsi="Arial Narrow"/>
                <w:b/>
                <w:bCs/>
                <w:sz w:val="20"/>
                <w:szCs w:val="20"/>
              </w:rPr>
              <w:t>Base case ICER</w:t>
            </w:r>
          </w:p>
        </w:tc>
        <w:tc>
          <w:tcPr>
            <w:tcW w:w="1417" w:type="dxa"/>
            <w:vAlign w:val="center"/>
          </w:tcPr>
          <w:p w14:paraId="340877FC" w14:textId="15761A49" w:rsidR="004402BF" w:rsidRPr="00AE74F3" w:rsidRDefault="004402BF" w:rsidP="004402BF">
            <w:pPr>
              <w:pStyle w:val="3-BodyText"/>
              <w:numPr>
                <w:ilvl w:val="0"/>
                <w:numId w:val="0"/>
              </w:numPr>
              <w:spacing w:after="0"/>
              <w:jc w:val="center"/>
              <w:rPr>
                <w:rFonts w:ascii="Arial Narrow" w:hAnsi="Arial Narrow"/>
                <w:b/>
                <w:bCs/>
                <w:sz w:val="20"/>
                <w:szCs w:val="20"/>
              </w:rPr>
            </w:pPr>
            <w:r w:rsidRPr="00AE74F3">
              <w:rPr>
                <w:rFonts w:ascii="Arial Narrow" w:hAnsi="Arial Narrow"/>
                <w:b/>
                <w:bCs/>
                <w:sz w:val="20"/>
                <w:szCs w:val="20"/>
              </w:rPr>
              <w:t>-</w:t>
            </w:r>
          </w:p>
        </w:tc>
        <w:tc>
          <w:tcPr>
            <w:tcW w:w="1418" w:type="dxa"/>
            <w:vAlign w:val="center"/>
          </w:tcPr>
          <w:p w14:paraId="43EFDC35" w14:textId="6EDB1B9D" w:rsidR="004402BF" w:rsidRPr="00AE74F3" w:rsidRDefault="004402BF" w:rsidP="004402BF">
            <w:pPr>
              <w:pStyle w:val="3-BodyText"/>
              <w:numPr>
                <w:ilvl w:val="0"/>
                <w:numId w:val="0"/>
              </w:numPr>
              <w:spacing w:after="0"/>
              <w:jc w:val="center"/>
              <w:rPr>
                <w:rFonts w:ascii="Arial Narrow" w:hAnsi="Arial Narrow"/>
                <w:b/>
                <w:bCs/>
                <w:sz w:val="20"/>
                <w:szCs w:val="20"/>
              </w:rPr>
            </w:pPr>
            <w:r w:rsidRPr="00AE74F3">
              <w:rPr>
                <w:rFonts w:ascii="Arial Narrow" w:hAnsi="Arial Narrow"/>
                <w:b/>
                <w:bCs/>
                <w:sz w:val="20"/>
                <w:szCs w:val="20"/>
              </w:rPr>
              <w:t>-</w:t>
            </w:r>
          </w:p>
        </w:tc>
        <w:tc>
          <w:tcPr>
            <w:tcW w:w="2501" w:type="dxa"/>
            <w:vAlign w:val="center"/>
          </w:tcPr>
          <w:p w14:paraId="63DFB90A" w14:textId="720D1135" w:rsidR="004402BF" w:rsidRPr="00AE74F3" w:rsidRDefault="004402BF" w:rsidP="004402BF">
            <w:pPr>
              <w:pStyle w:val="3-BodyText"/>
              <w:numPr>
                <w:ilvl w:val="0"/>
                <w:numId w:val="0"/>
              </w:numPr>
              <w:spacing w:after="0"/>
              <w:jc w:val="center"/>
              <w:rPr>
                <w:rFonts w:ascii="Arial Narrow" w:hAnsi="Arial Narrow"/>
                <w:b/>
                <w:bCs/>
                <w:sz w:val="20"/>
                <w:szCs w:val="20"/>
              </w:rPr>
            </w:pPr>
            <w:r w:rsidRPr="00AE74F3">
              <w:rPr>
                <w:rFonts w:ascii="Arial Narrow" w:hAnsi="Arial Narrow"/>
                <w:b/>
                <w:bCs/>
                <w:sz w:val="20"/>
                <w:szCs w:val="20"/>
              </w:rPr>
              <w:t>Ofatumumab Dominant</w:t>
            </w:r>
          </w:p>
        </w:tc>
      </w:tr>
    </w:tbl>
    <w:p w14:paraId="0518CE16" w14:textId="34B2251A" w:rsidR="00BB5737" w:rsidRPr="00F76DE1" w:rsidRDefault="004402BF" w:rsidP="00F76DE1">
      <w:pPr>
        <w:pStyle w:val="Caption"/>
        <w:keepNext w:val="0"/>
        <w:keepLines w:val="0"/>
        <w:spacing w:after="120"/>
        <w:rPr>
          <w:b w:val="0"/>
          <w:bCs w:val="0"/>
          <w:sz w:val="18"/>
          <w:szCs w:val="16"/>
        </w:rPr>
      </w:pPr>
      <w:r w:rsidRPr="00F76DE1">
        <w:rPr>
          <w:b w:val="0"/>
          <w:bCs w:val="0"/>
          <w:sz w:val="18"/>
          <w:szCs w:val="16"/>
        </w:rPr>
        <w:t>Source: Table 116 and 117 of the submission.</w:t>
      </w:r>
    </w:p>
    <w:p w14:paraId="43CCD850" w14:textId="38B3B0D4" w:rsidR="008600A3" w:rsidRPr="00AE74F3" w:rsidRDefault="008600A3" w:rsidP="008600A3">
      <w:pPr>
        <w:pStyle w:val="3-BodyText"/>
      </w:pPr>
      <w:r w:rsidRPr="00AE74F3">
        <w:t xml:space="preserve">The results of key sensitivity analyses </w:t>
      </w:r>
      <w:r w:rsidR="007962A7" w:rsidRPr="00AE74F3">
        <w:t xml:space="preserve">presented by the submission and conducted during the evaluation </w:t>
      </w:r>
      <w:r w:rsidRPr="00AE74F3">
        <w:t xml:space="preserve">are summarised in </w:t>
      </w:r>
      <w:r w:rsidRPr="00AE74F3">
        <w:fldChar w:fldCharType="begin" w:fldLock="1"/>
      </w:r>
      <w:r w:rsidRPr="00AE74F3">
        <w:instrText xml:space="preserve"> REF _Ref153032136 \h </w:instrText>
      </w:r>
      <w:r w:rsidR="005F098D" w:rsidRPr="00AE74F3">
        <w:instrText xml:space="preserve"> \* MERGEFORMAT </w:instrText>
      </w:r>
      <w:r w:rsidRPr="00AE74F3">
        <w:fldChar w:fldCharType="separate"/>
      </w:r>
      <w:r w:rsidR="00416916" w:rsidRPr="00AE74F3">
        <w:t xml:space="preserve">Table </w:t>
      </w:r>
      <w:r w:rsidR="00416916">
        <w:rPr>
          <w:noProof/>
        </w:rPr>
        <w:t>13</w:t>
      </w:r>
      <w:r w:rsidRPr="00AE74F3">
        <w:fldChar w:fldCharType="end"/>
      </w:r>
      <w:r w:rsidRPr="00AE74F3">
        <w:t>.</w:t>
      </w:r>
    </w:p>
    <w:p w14:paraId="24934D41" w14:textId="5BA52509" w:rsidR="008600A3" w:rsidRPr="00AE74F3" w:rsidRDefault="008600A3" w:rsidP="00A32DE2">
      <w:pPr>
        <w:pStyle w:val="Caption"/>
        <w:keepLines w:val="0"/>
      </w:pPr>
      <w:bookmarkStart w:id="65" w:name="_Ref153032136"/>
      <w:r w:rsidRPr="00AE74F3">
        <w:lastRenderedPageBreak/>
        <w:t xml:space="preserve">Table </w:t>
      </w:r>
      <w:r w:rsidR="002943DF">
        <w:fldChar w:fldCharType="begin" w:fldLock="1"/>
      </w:r>
      <w:r w:rsidR="002943DF">
        <w:instrText xml:space="preserve"> SEQ Table</w:instrText>
      </w:r>
      <w:r w:rsidR="002943DF">
        <w:instrText xml:space="preserve"> \* ARABIC </w:instrText>
      </w:r>
      <w:r w:rsidR="002943DF">
        <w:fldChar w:fldCharType="separate"/>
      </w:r>
      <w:r w:rsidR="00416916">
        <w:rPr>
          <w:noProof/>
        </w:rPr>
        <w:t>13</w:t>
      </w:r>
      <w:r w:rsidR="002943DF">
        <w:rPr>
          <w:noProof/>
        </w:rPr>
        <w:fldChar w:fldCharType="end"/>
      </w:r>
      <w:bookmarkEnd w:id="65"/>
      <w:r w:rsidRPr="00AE74F3">
        <w:t>:</w:t>
      </w:r>
      <w:r w:rsidRPr="00AE74F3">
        <w:tab/>
        <w:t>Key sensitivity analyses</w:t>
      </w:r>
    </w:p>
    <w:tbl>
      <w:tblPr>
        <w:tblStyle w:val="TableGrid"/>
        <w:tblW w:w="9246" w:type="dxa"/>
        <w:tblLayout w:type="fixed"/>
        <w:tblLook w:val="04A0" w:firstRow="1" w:lastRow="0" w:firstColumn="1" w:lastColumn="0" w:noHBand="0" w:noVBand="1"/>
        <w:tblCaption w:val="Table 13: Key sensitivity analyses"/>
      </w:tblPr>
      <w:tblGrid>
        <w:gridCol w:w="1247"/>
        <w:gridCol w:w="1560"/>
        <w:gridCol w:w="1701"/>
        <w:gridCol w:w="1928"/>
        <w:gridCol w:w="854"/>
        <w:gridCol w:w="706"/>
        <w:gridCol w:w="1250"/>
      </w:tblGrid>
      <w:tr w:rsidR="007962A7" w:rsidRPr="002A7A6F" w14:paraId="08986C19" w14:textId="77777777" w:rsidTr="00256C2E">
        <w:trPr>
          <w:cantSplit/>
          <w:trHeight w:val="20"/>
          <w:tblHeader/>
        </w:trPr>
        <w:tc>
          <w:tcPr>
            <w:tcW w:w="1247" w:type="dxa"/>
            <w:shd w:val="clear" w:color="auto" w:fill="auto"/>
            <w:noWrap/>
            <w:vAlign w:val="center"/>
            <w:hideMark/>
          </w:tcPr>
          <w:p w14:paraId="4207886F" w14:textId="77777777" w:rsidR="008600A3" w:rsidRPr="00256C2E" w:rsidRDefault="008600A3" w:rsidP="00256C2E">
            <w:pPr>
              <w:pStyle w:val="PBACTabletext"/>
              <w:keepLines w:val="0"/>
              <w:widowControl w:val="0"/>
              <w:suppressLineNumbers w:val="0"/>
              <w:spacing w:after="0"/>
              <w:rPr>
                <w:b/>
                <w:bCs/>
                <w:szCs w:val="20"/>
              </w:rPr>
            </w:pPr>
            <w:r w:rsidRPr="00256C2E">
              <w:rPr>
                <w:b/>
                <w:bCs/>
                <w:szCs w:val="20"/>
              </w:rPr>
              <w:t>Category</w:t>
            </w:r>
          </w:p>
        </w:tc>
        <w:tc>
          <w:tcPr>
            <w:tcW w:w="1560" w:type="dxa"/>
            <w:shd w:val="clear" w:color="auto" w:fill="auto"/>
            <w:noWrap/>
            <w:vAlign w:val="center"/>
            <w:hideMark/>
          </w:tcPr>
          <w:p w14:paraId="3609F1A7" w14:textId="77777777"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Parameter</w:t>
            </w:r>
          </w:p>
        </w:tc>
        <w:tc>
          <w:tcPr>
            <w:tcW w:w="1701" w:type="dxa"/>
            <w:shd w:val="clear" w:color="auto" w:fill="auto"/>
            <w:noWrap/>
            <w:vAlign w:val="center"/>
            <w:hideMark/>
          </w:tcPr>
          <w:p w14:paraId="368859A7" w14:textId="77777777"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Base case input</w:t>
            </w:r>
          </w:p>
        </w:tc>
        <w:tc>
          <w:tcPr>
            <w:tcW w:w="1928" w:type="dxa"/>
            <w:shd w:val="clear" w:color="auto" w:fill="auto"/>
            <w:noWrap/>
            <w:vAlign w:val="center"/>
            <w:hideMark/>
          </w:tcPr>
          <w:p w14:paraId="27E4282C" w14:textId="77777777"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Sensitivity input</w:t>
            </w:r>
          </w:p>
        </w:tc>
        <w:tc>
          <w:tcPr>
            <w:tcW w:w="854" w:type="dxa"/>
            <w:shd w:val="clear" w:color="auto" w:fill="auto"/>
            <w:noWrap/>
            <w:vAlign w:val="center"/>
            <w:hideMark/>
          </w:tcPr>
          <w:p w14:paraId="76E5E4EA" w14:textId="292D4762"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Incr</w:t>
            </w:r>
            <w:r w:rsidR="00276B35" w:rsidRPr="00256C2E">
              <w:rPr>
                <w:b/>
                <w:bCs/>
                <w:szCs w:val="20"/>
              </w:rPr>
              <w:t>.</w:t>
            </w:r>
            <w:r w:rsidR="00F76DE1" w:rsidRPr="00256C2E">
              <w:rPr>
                <w:b/>
                <w:bCs/>
                <w:szCs w:val="20"/>
              </w:rPr>
              <w:t xml:space="preserve"> </w:t>
            </w:r>
            <w:r w:rsidR="00C650B4" w:rsidRPr="00256C2E">
              <w:rPr>
                <w:b/>
                <w:bCs/>
                <w:szCs w:val="20"/>
              </w:rPr>
              <w:t>C</w:t>
            </w:r>
            <w:r w:rsidRPr="00256C2E">
              <w:rPr>
                <w:b/>
                <w:bCs/>
                <w:szCs w:val="20"/>
              </w:rPr>
              <w:t>ost</w:t>
            </w:r>
            <w:r w:rsidR="00C650B4" w:rsidRPr="00256C2E">
              <w:rPr>
                <w:b/>
                <w:bCs/>
                <w:szCs w:val="20"/>
              </w:rPr>
              <w:t xml:space="preserve"> ($)</w:t>
            </w:r>
          </w:p>
        </w:tc>
        <w:tc>
          <w:tcPr>
            <w:tcW w:w="706" w:type="dxa"/>
            <w:shd w:val="clear" w:color="auto" w:fill="auto"/>
            <w:noWrap/>
            <w:vAlign w:val="center"/>
            <w:hideMark/>
          </w:tcPr>
          <w:p w14:paraId="668D8FAF" w14:textId="77777777" w:rsidR="00276B35" w:rsidRPr="00256C2E" w:rsidRDefault="008600A3" w:rsidP="00256C2E">
            <w:pPr>
              <w:pStyle w:val="PBACTabletext"/>
              <w:keepLines w:val="0"/>
              <w:widowControl w:val="0"/>
              <w:suppressLineNumbers w:val="0"/>
              <w:spacing w:after="0"/>
              <w:jc w:val="center"/>
              <w:rPr>
                <w:b/>
                <w:bCs/>
                <w:szCs w:val="20"/>
              </w:rPr>
            </w:pPr>
            <w:r w:rsidRPr="00256C2E">
              <w:rPr>
                <w:b/>
                <w:bCs/>
                <w:szCs w:val="20"/>
              </w:rPr>
              <w:t>Incr</w:t>
            </w:r>
            <w:r w:rsidR="00276B35" w:rsidRPr="00256C2E">
              <w:rPr>
                <w:b/>
                <w:bCs/>
                <w:szCs w:val="20"/>
              </w:rPr>
              <w:t>.</w:t>
            </w:r>
          </w:p>
          <w:p w14:paraId="6C8BE967" w14:textId="1DAA2B5C"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QAL</w:t>
            </w:r>
            <w:r w:rsidR="00E06D49" w:rsidRPr="00256C2E">
              <w:rPr>
                <w:b/>
                <w:bCs/>
                <w:szCs w:val="20"/>
              </w:rPr>
              <w:t>Y</w:t>
            </w:r>
          </w:p>
        </w:tc>
        <w:tc>
          <w:tcPr>
            <w:tcW w:w="1250" w:type="dxa"/>
            <w:shd w:val="clear" w:color="auto" w:fill="auto"/>
            <w:noWrap/>
            <w:vAlign w:val="center"/>
            <w:hideMark/>
          </w:tcPr>
          <w:p w14:paraId="4E86131F" w14:textId="5B4D227B"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ICER</w:t>
            </w:r>
            <w:r w:rsidR="001B3BCD" w:rsidRPr="00256C2E">
              <w:rPr>
                <w:b/>
                <w:bCs/>
                <w:szCs w:val="20"/>
              </w:rPr>
              <w:t xml:space="preserve"> ($)</w:t>
            </w:r>
          </w:p>
        </w:tc>
      </w:tr>
      <w:tr w:rsidR="00AB3AC6" w:rsidRPr="002A7A6F" w14:paraId="31670ACE" w14:textId="77777777" w:rsidTr="00256C2E">
        <w:trPr>
          <w:cantSplit/>
          <w:trHeight w:val="20"/>
        </w:trPr>
        <w:tc>
          <w:tcPr>
            <w:tcW w:w="1247" w:type="dxa"/>
            <w:tcBorders>
              <w:bottom w:val="single" w:sz="4" w:space="0" w:color="auto"/>
            </w:tcBorders>
            <w:shd w:val="clear" w:color="auto" w:fill="auto"/>
            <w:vAlign w:val="center"/>
            <w:hideMark/>
          </w:tcPr>
          <w:p w14:paraId="5A77BAC5" w14:textId="77777777" w:rsidR="008600A3" w:rsidRPr="00256C2E" w:rsidRDefault="008600A3" w:rsidP="00256C2E">
            <w:pPr>
              <w:pStyle w:val="PBACTabletext"/>
              <w:keepLines w:val="0"/>
              <w:widowControl w:val="0"/>
              <w:suppressLineNumbers w:val="0"/>
              <w:spacing w:after="0"/>
              <w:rPr>
                <w:b/>
                <w:bCs/>
                <w:szCs w:val="20"/>
              </w:rPr>
            </w:pPr>
            <w:r w:rsidRPr="00256C2E">
              <w:rPr>
                <w:b/>
                <w:bCs/>
                <w:szCs w:val="20"/>
              </w:rPr>
              <w:t>Base case</w:t>
            </w:r>
          </w:p>
        </w:tc>
        <w:tc>
          <w:tcPr>
            <w:tcW w:w="1560" w:type="dxa"/>
            <w:shd w:val="clear" w:color="auto" w:fill="auto"/>
            <w:noWrap/>
            <w:vAlign w:val="center"/>
            <w:hideMark/>
          </w:tcPr>
          <w:p w14:paraId="3E45008B" w14:textId="1C1A0065" w:rsidR="008600A3" w:rsidRPr="00256C2E" w:rsidRDefault="00E2056B" w:rsidP="00256C2E">
            <w:pPr>
              <w:pStyle w:val="PBACTabletext"/>
              <w:keepLines w:val="0"/>
              <w:widowControl w:val="0"/>
              <w:suppressLineNumbers w:val="0"/>
              <w:spacing w:after="0"/>
              <w:jc w:val="center"/>
              <w:rPr>
                <w:b/>
                <w:bCs/>
                <w:szCs w:val="20"/>
              </w:rPr>
            </w:pPr>
            <w:r w:rsidRPr="00256C2E">
              <w:rPr>
                <w:b/>
                <w:bCs/>
                <w:szCs w:val="20"/>
              </w:rPr>
              <w:t>-</w:t>
            </w:r>
          </w:p>
        </w:tc>
        <w:tc>
          <w:tcPr>
            <w:tcW w:w="1701" w:type="dxa"/>
            <w:shd w:val="clear" w:color="auto" w:fill="auto"/>
            <w:noWrap/>
            <w:vAlign w:val="center"/>
            <w:hideMark/>
          </w:tcPr>
          <w:p w14:paraId="78329A53" w14:textId="2C8DE095" w:rsidR="008600A3" w:rsidRPr="00256C2E" w:rsidRDefault="00E2056B" w:rsidP="00256C2E">
            <w:pPr>
              <w:pStyle w:val="PBACTabletext"/>
              <w:keepLines w:val="0"/>
              <w:widowControl w:val="0"/>
              <w:suppressLineNumbers w:val="0"/>
              <w:spacing w:after="0"/>
              <w:jc w:val="center"/>
              <w:rPr>
                <w:b/>
                <w:bCs/>
                <w:szCs w:val="20"/>
              </w:rPr>
            </w:pPr>
            <w:r w:rsidRPr="00256C2E">
              <w:rPr>
                <w:b/>
                <w:bCs/>
                <w:szCs w:val="20"/>
              </w:rPr>
              <w:t>-</w:t>
            </w:r>
          </w:p>
        </w:tc>
        <w:tc>
          <w:tcPr>
            <w:tcW w:w="1928" w:type="dxa"/>
            <w:shd w:val="clear" w:color="auto" w:fill="auto"/>
            <w:noWrap/>
            <w:vAlign w:val="center"/>
            <w:hideMark/>
          </w:tcPr>
          <w:p w14:paraId="48576D72" w14:textId="59ED8F51" w:rsidR="008600A3" w:rsidRPr="00256C2E" w:rsidRDefault="00E2056B" w:rsidP="00256C2E">
            <w:pPr>
              <w:pStyle w:val="PBACTabletext"/>
              <w:keepLines w:val="0"/>
              <w:widowControl w:val="0"/>
              <w:suppressLineNumbers w:val="0"/>
              <w:spacing w:after="0"/>
              <w:jc w:val="center"/>
              <w:rPr>
                <w:b/>
                <w:bCs/>
                <w:szCs w:val="20"/>
              </w:rPr>
            </w:pPr>
            <w:r w:rsidRPr="00256C2E">
              <w:rPr>
                <w:b/>
                <w:bCs/>
                <w:szCs w:val="20"/>
              </w:rPr>
              <w:t>-</w:t>
            </w:r>
          </w:p>
        </w:tc>
        <w:tc>
          <w:tcPr>
            <w:tcW w:w="854" w:type="dxa"/>
            <w:tcBorders>
              <w:bottom w:val="single" w:sz="4" w:space="0" w:color="auto"/>
            </w:tcBorders>
            <w:shd w:val="clear" w:color="auto" w:fill="auto"/>
            <w:vAlign w:val="center"/>
            <w:hideMark/>
          </w:tcPr>
          <w:p w14:paraId="5D0E7BAA" w14:textId="3D441847" w:rsidR="008600A3" w:rsidRPr="00256C2E" w:rsidRDefault="008600A3" w:rsidP="00256C2E">
            <w:pPr>
              <w:pStyle w:val="PBACTabletext"/>
              <w:keepLines w:val="0"/>
              <w:widowControl w:val="0"/>
              <w:suppressLineNumbers w:val="0"/>
              <w:spacing w:after="0"/>
              <w:jc w:val="center"/>
              <w:rPr>
                <w:b/>
                <w:bCs/>
                <w:szCs w:val="20"/>
                <w:highlight w:val="lightGray"/>
              </w:rPr>
            </w:pPr>
            <w:r w:rsidRPr="00256C2E">
              <w:rPr>
                <w:b/>
                <w:bCs/>
                <w:szCs w:val="20"/>
              </w:rPr>
              <w:t>-</w:t>
            </w:r>
            <w:r w:rsidR="00A121F0" w:rsidRPr="00256C2E">
              <w:rPr>
                <w:b/>
                <w:bCs/>
                <w:color w:val="000000"/>
                <w:spacing w:val="148"/>
                <w:szCs w:val="20"/>
                <w:shd w:val="solid" w:color="000000" w:fill="000000"/>
                <w:fitText w:val="240" w:id="-962405886"/>
                <w14:textFill>
                  <w14:solidFill>
                    <w14:srgbClr w14:val="000000">
                      <w14:alpha w14:val="100000"/>
                    </w14:srgbClr>
                  </w14:solidFill>
                </w14:textFill>
              </w:rPr>
              <w:t>|</w:t>
            </w:r>
            <w:r w:rsidR="00A121F0" w:rsidRPr="00256C2E">
              <w:rPr>
                <w:b/>
                <w:bCs/>
                <w:color w:val="000000"/>
                <w:szCs w:val="20"/>
                <w:shd w:val="solid" w:color="000000" w:fill="000000"/>
                <w:fitText w:val="240" w:id="-962405886"/>
                <w14:textFill>
                  <w14:solidFill>
                    <w14:srgbClr w14:val="000000">
                      <w14:alpha w14:val="100000"/>
                    </w14:srgbClr>
                  </w14:solidFill>
                </w14:textFill>
              </w:rPr>
              <w:t>|</w:t>
            </w:r>
          </w:p>
        </w:tc>
        <w:tc>
          <w:tcPr>
            <w:tcW w:w="706" w:type="dxa"/>
            <w:shd w:val="clear" w:color="auto" w:fill="auto"/>
            <w:noWrap/>
            <w:vAlign w:val="center"/>
            <w:hideMark/>
          </w:tcPr>
          <w:p w14:paraId="0FAB0D04" w14:textId="77777777" w:rsidR="008600A3" w:rsidRPr="00256C2E" w:rsidRDefault="008600A3" w:rsidP="00256C2E">
            <w:pPr>
              <w:pStyle w:val="PBACTabletext"/>
              <w:keepLines w:val="0"/>
              <w:widowControl w:val="0"/>
              <w:suppressLineNumbers w:val="0"/>
              <w:spacing w:after="0"/>
              <w:jc w:val="center"/>
              <w:rPr>
                <w:b/>
                <w:bCs/>
                <w:szCs w:val="20"/>
              </w:rPr>
            </w:pPr>
            <w:r w:rsidRPr="00256C2E">
              <w:rPr>
                <w:b/>
                <w:bCs/>
                <w:szCs w:val="20"/>
              </w:rPr>
              <w:t>0.473</w:t>
            </w:r>
          </w:p>
        </w:tc>
        <w:tc>
          <w:tcPr>
            <w:tcW w:w="1250" w:type="dxa"/>
            <w:shd w:val="clear" w:color="auto" w:fill="auto"/>
            <w:noWrap/>
            <w:vAlign w:val="center"/>
            <w:hideMark/>
          </w:tcPr>
          <w:p w14:paraId="301F0747" w14:textId="48FB6DFE" w:rsidR="008600A3" w:rsidRPr="00256C2E" w:rsidRDefault="007962A7" w:rsidP="00256C2E">
            <w:pPr>
              <w:pStyle w:val="PBACTabletext"/>
              <w:keepLines w:val="0"/>
              <w:widowControl w:val="0"/>
              <w:suppressLineNumbers w:val="0"/>
              <w:spacing w:after="0"/>
              <w:jc w:val="center"/>
              <w:rPr>
                <w:b/>
                <w:bCs/>
                <w:szCs w:val="20"/>
              </w:rPr>
            </w:pPr>
            <w:r w:rsidRPr="00256C2E">
              <w:rPr>
                <w:b/>
                <w:bCs/>
                <w:szCs w:val="20"/>
              </w:rPr>
              <w:t xml:space="preserve">Ofatumumab </w:t>
            </w:r>
            <w:r w:rsidR="008600A3" w:rsidRPr="00256C2E">
              <w:rPr>
                <w:b/>
                <w:bCs/>
                <w:szCs w:val="20"/>
              </w:rPr>
              <w:t>Dominant</w:t>
            </w:r>
          </w:p>
        </w:tc>
      </w:tr>
      <w:tr w:rsidR="007962A7" w:rsidRPr="002A7A6F" w14:paraId="4FFDAA2F" w14:textId="77777777" w:rsidTr="00256C2E">
        <w:trPr>
          <w:cantSplit/>
          <w:trHeight w:val="20"/>
        </w:trPr>
        <w:tc>
          <w:tcPr>
            <w:tcW w:w="1247" w:type="dxa"/>
            <w:vMerge w:val="restart"/>
            <w:shd w:val="clear" w:color="auto" w:fill="auto"/>
            <w:vAlign w:val="center"/>
          </w:tcPr>
          <w:p w14:paraId="59165CC6" w14:textId="77777777" w:rsidR="008600A3" w:rsidRPr="00256C2E" w:rsidRDefault="008600A3" w:rsidP="00256C2E">
            <w:pPr>
              <w:pStyle w:val="PBACTabletext"/>
              <w:keepLines w:val="0"/>
              <w:widowControl w:val="0"/>
              <w:suppressLineNumbers w:val="0"/>
              <w:spacing w:after="0"/>
              <w:rPr>
                <w:b/>
                <w:bCs/>
                <w:szCs w:val="20"/>
              </w:rPr>
            </w:pPr>
            <w:r w:rsidRPr="00256C2E">
              <w:rPr>
                <w:b/>
                <w:bCs/>
                <w:szCs w:val="20"/>
              </w:rPr>
              <w:t>Model structure</w:t>
            </w:r>
          </w:p>
        </w:tc>
        <w:tc>
          <w:tcPr>
            <w:tcW w:w="1560" w:type="dxa"/>
            <w:vMerge w:val="restart"/>
            <w:shd w:val="clear" w:color="auto" w:fill="auto"/>
            <w:noWrap/>
            <w:vAlign w:val="center"/>
          </w:tcPr>
          <w:p w14:paraId="49F1ECE6" w14:textId="77777777" w:rsidR="008600A3" w:rsidRPr="00256C2E" w:rsidRDefault="008600A3" w:rsidP="00256C2E">
            <w:pPr>
              <w:pStyle w:val="PBACTabletext"/>
              <w:keepLines w:val="0"/>
              <w:widowControl w:val="0"/>
              <w:suppressLineNumbers w:val="0"/>
              <w:spacing w:after="0"/>
              <w:jc w:val="center"/>
              <w:rPr>
                <w:szCs w:val="20"/>
              </w:rPr>
            </w:pPr>
            <w:r w:rsidRPr="00256C2E">
              <w:rPr>
                <w:szCs w:val="20"/>
              </w:rPr>
              <w:t>Model duration</w:t>
            </w:r>
          </w:p>
        </w:tc>
        <w:tc>
          <w:tcPr>
            <w:tcW w:w="1701" w:type="dxa"/>
            <w:vMerge w:val="restart"/>
            <w:shd w:val="clear" w:color="auto" w:fill="auto"/>
            <w:noWrap/>
            <w:vAlign w:val="center"/>
          </w:tcPr>
          <w:p w14:paraId="611A0CA5" w14:textId="77777777" w:rsidR="008600A3" w:rsidRPr="00256C2E" w:rsidRDefault="008600A3" w:rsidP="00256C2E">
            <w:pPr>
              <w:pStyle w:val="PBACTabletext"/>
              <w:keepLines w:val="0"/>
              <w:widowControl w:val="0"/>
              <w:suppressLineNumbers w:val="0"/>
              <w:spacing w:after="0"/>
              <w:jc w:val="center"/>
              <w:rPr>
                <w:szCs w:val="20"/>
              </w:rPr>
            </w:pPr>
            <w:r w:rsidRPr="00256C2E">
              <w:rPr>
                <w:szCs w:val="20"/>
              </w:rPr>
              <w:t>63 years</w:t>
            </w:r>
          </w:p>
        </w:tc>
        <w:tc>
          <w:tcPr>
            <w:tcW w:w="1928" w:type="dxa"/>
            <w:shd w:val="clear" w:color="auto" w:fill="auto"/>
            <w:noWrap/>
            <w:vAlign w:val="center"/>
          </w:tcPr>
          <w:p w14:paraId="3F63EEA8" w14:textId="77777777" w:rsidR="008600A3" w:rsidRPr="00256C2E" w:rsidRDefault="008600A3" w:rsidP="00256C2E">
            <w:pPr>
              <w:pStyle w:val="PBACTabletext"/>
              <w:keepLines w:val="0"/>
              <w:widowControl w:val="0"/>
              <w:suppressLineNumbers w:val="0"/>
              <w:spacing w:after="0"/>
              <w:jc w:val="center"/>
              <w:rPr>
                <w:szCs w:val="20"/>
              </w:rPr>
            </w:pPr>
            <w:r w:rsidRPr="00256C2E">
              <w:rPr>
                <w:szCs w:val="20"/>
              </w:rPr>
              <w:t>2 years</w:t>
            </w:r>
          </w:p>
        </w:tc>
        <w:tc>
          <w:tcPr>
            <w:tcW w:w="854" w:type="dxa"/>
            <w:tcBorders>
              <w:bottom w:val="single" w:sz="4" w:space="0" w:color="auto"/>
            </w:tcBorders>
            <w:shd w:val="solid" w:color="000000" w:fill="000000"/>
            <w:vAlign w:val="center"/>
          </w:tcPr>
          <w:p w14:paraId="77C77F44" w14:textId="05052790" w:rsidR="008600A3" w:rsidRPr="00256C2E" w:rsidRDefault="00A121F0" w:rsidP="00256C2E">
            <w:pPr>
              <w:pStyle w:val="PBACTabletext"/>
              <w:keepLines w:val="0"/>
              <w:widowControl w:val="0"/>
              <w:suppressLineNumbers w:val="0"/>
              <w:spacing w:after="0"/>
              <w:jc w:val="center"/>
              <w:rPr>
                <w:szCs w:val="20"/>
                <w:highlight w:val="lightGray"/>
              </w:rPr>
            </w:pPr>
            <w:r w:rsidRPr="00256C2E">
              <w:rPr>
                <w:color w:val="000000"/>
                <w:spacing w:val="82"/>
                <w:szCs w:val="20"/>
                <w:fitText w:val="168" w:id="-962405885"/>
                <w14:textFill>
                  <w14:solidFill>
                    <w14:srgbClr w14:val="000000">
                      <w14:alpha w14:val="100000"/>
                    </w14:srgbClr>
                  </w14:solidFill>
                </w14:textFill>
              </w:rPr>
              <w:t>|</w:t>
            </w:r>
            <w:r w:rsidRPr="00256C2E">
              <w:rPr>
                <w:color w:val="000000"/>
                <w:szCs w:val="20"/>
                <w:fitText w:val="168" w:id="-962405885"/>
                <w14:textFill>
                  <w14:solidFill>
                    <w14:srgbClr w14:val="000000">
                      <w14:alpha w14:val="100000"/>
                    </w14:srgbClr>
                  </w14:solidFill>
                </w14:textFill>
              </w:rPr>
              <w:t>|</w:t>
            </w:r>
          </w:p>
        </w:tc>
        <w:tc>
          <w:tcPr>
            <w:tcW w:w="706" w:type="dxa"/>
            <w:shd w:val="clear" w:color="auto" w:fill="auto"/>
            <w:noWrap/>
            <w:vAlign w:val="center"/>
          </w:tcPr>
          <w:p w14:paraId="3B6A448C" w14:textId="77777777" w:rsidR="008600A3" w:rsidRPr="00256C2E" w:rsidRDefault="008600A3" w:rsidP="00256C2E">
            <w:pPr>
              <w:pStyle w:val="PBACTabletext"/>
              <w:keepLines w:val="0"/>
              <w:widowControl w:val="0"/>
              <w:suppressLineNumbers w:val="0"/>
              <w:spacing w:after="0"/>
              <w:jc w:val="center"/>
              <w:rPr>
                <w:szCs w:val="20"/>
              </w:rPr>
            </w:pPr>
            <w:r w:rsidRPr="00256C2E">
              <w:rPr>
                <w:szCs w:val="20"/>
              </w:rPr>
              <w:t>0.019</w:t>
            </w:r>
          </w:p>
        </w:tc>
        <w:tc>
          <w:tcPr>
            <w:tcW w:w="1250" w:type="dxa"/>
            <w:shd w:val="clear" w:color="auto" w:fill="auto"/>
            <w:noWrap/>
            <w:vAlign w:val="center"/>
          </w:tcPr>
          <w:p w14:paraId="76D4779D" w14:textId="70D837D0" w:rsidR="008600A3" w:rsidRPr="00256C2E" w:rsidRDefault="00A121F0" w:rsidP="00256C2E">
            <w:pPr>
              <w:pStyle w:val="PBACTabletext"/>
              <w:keepLines w:val="0"/>
              <w:widowControl w:val="0"/>
              <w:suppressLineNumbers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4"/>
                <w14:textFill>
                  <w14:solidFill>
                    <w14:srgbClr w14:val="000000">
                      <w14:alpha w14:val="100000"/>
                    </w14:srgbClr>
                  </w14:solidFill>
                </w14:textFill>
              </w:rPr>
              <w:t xml:space="preserve">　</w:t>
            </w:r>
            <w:r w:rsidRPr="00256C2E">
              <w:rPr>
                <w:color w:val="000000"/>
                <w:w w:val="16"/>
                <w:szCs w:val="20"/>
                <w:shd w:val="solid" w:color="000000" w:fill="000000"/>
                <w:fitText w:val="72" w:id="-962405884"/>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4"/>
                <w14:textFill>
                  <w14:solidFill>
                    <w14:srgbClr w14:val="000000">
                      <w14:alpha w14:val="100000"/>
                    </w14:srgbClr>
                  </w14:solidFill>
                </w14:textFill>
              </w:rPr>
              <w:t xml:space="preserve">　</w:t>
            </w:r>
            <w:r w:rsidR="001B3BCD" w:rsidRPr="00256C2E">
              <w:rPr>
                <w:szCs w:val="20"/>
                <w:vertAlign w:val="superscript"/>
              </w:rPr>
              <w:t>1</w:t>
            </w:r>
          </w:p>
        </w:tc>
      </w:tr>
      <w:tr w:rsidR="007962A7" w:rsidRPr="002A7A6F" w14:paraId="4C5D999B" w14:textId="77777777" w:rsidTr="00256C2E">
        <w:trPr>
          <w:cantSplit/>
          <w:trHeight w:val="20"/>
        </w:trPr>
        <w:tc>
          <w:tcPr>
            <w:tcW w:w="1247" w:type="dxa"/>
            <w:vMerge/>
            <w:tcBorders>
              <w:bottom w:val="single" w:sz="4" w:space="0" w:color="auto"/>
            </w:tcBorders>
            <w:shd w:val="clear" w:color="auto" w:fill="auto"/>
            <w:vAlign w:val="center"/>
          </w:tcPr>
          <w:p w14:paraId="5176B97F" w14:textId="77777777" w:rsidR="008600A3" w:rsidRPr="00256C2E" w:rsidRDefault="008600A3" w:rsidP="00256C2E">
            <w:pPr>
              <w:pStyle w:val="PBACTabletext"/>
              <w:keepLines w:val="0"/>
              <w:widowControl w:val="0"/>
              <w:suppressLineNumbers w:val="0"/>
              <w:spacing w:after="0"/>
              <w:rPr>
                <w:b/>
                <w:bCs/>
                <w:szCs w:val="20"/>
              </w:rPr>
            </w:pPr>
          </w:p>
        </w:tc>
        <w:tc>
          <w:tcPr>
            <w:tcW w:w="1560" w:type="dxa"/>
            <w:vMerge/>
            <w:shd w:val="clear" w:color="auto" w:fill="auto"/>
            <w:noWrap/>
            <w:vAlign w:val="center"/>
          </w:tcPr>
          <w:p w14:paraId="52B7109B" w14:textId="77777777" w:rsidR="008600A3" w:rsidRPr="00256C2E" w:rsidRDefault="008600A3" w:rsidP="00256C2E">
            <w:pPr>
              <w:pStyle w:val="PBACTabletext"/>
              <w:keepLines w:val="0"/>
              <w:widowControl w:val="0"/>
              <w:suppressLineNumbers w:val="0"/>
              <w:spacing w:after="0"/>
              <w:jc w:val="center"/>
              <w:rPr>
                <w:szCs w:val="20"/>
              </w:rPr>
            </w:pPr>
          </w:p>
        </w:tc>
        <w:tc>
          <w:tcPr>
            <w:tcW w:w="1701" w:type="dxa"/>
            <w:vMerge/>
            <w:shd w:val="clear" w:color="auto" w:fill="auto"/>
            <w:noWrap/>
            <w:vAlign w:val="center"/>
          </w:tcPr>
          <w:p w14:paraId="5404F17C" w14:textId="77777777" w:rsidR="008600A3" w:rsidRPr="00256C2E" w:rsidRDefault="008600A3" w:rsidP="00256C2E">
            <w:pPr>
              <w:pStyle w:val="PBACTabletext"/>
              <w:keepLines w:val="0"/>
              <w:widowControl w:val="0"/>
              <w:suppressLineNumbers w:val="0"/>
              <w:spacing w:after="0"/>
              <w:jc w:val="center"/>
              <w:rPr>
                <w:szCs w:val="20"/>
              </w:rPr>
            </w:pPr>
          </w:p>
        </w:tc>
        <w:tc>
          <w:tcPr>
            <w:tcW w:w="1928" w:type="dxa"/>
            <w:shd w:val="clear" w:color="auto" w:fill="auto"/>
            <w:noWrap/>
            <w:vAlign w:val="center"/>
          </w:tcPr>
          <w:p w14:paraId="5CB10075" w14:textId="77777777" w:rsidR="008600A3" w:rsidRPr="00256C2E" w:rsidRDefault="008600A3" w:rsidP="00256C2E">
            <w:pPr>
              <w:pStyle w:val="PBACTabletext"/>
              <w:keepLines w:val="0"/>
              <w:widowControl w:val="0"/>
              <w:suppressLineNumbers w:val="0"/>
              <w:spacing w:after="0"/>
              <w:jc w:val="center"/>
              <w:rPr>
                <w:szCs w:val="20"/>
              </w:rPr>
            </w:pPr>
            <w:r w:rsidRPr="00256C2E">
              <w:rPr>
                <w:szCs w:val="20"/>
              </w:rPr>
              <w:t>10 years</w:t>
            </w:r>
          </w:p>
        </w:tc>
        <w:tc>
          <w:tcPr>
            <w:tcW w:w="854" w:type="dxa"/>
            <w:tcBorders>
              <w:bottom w:val="single" w:sz="4" w:space="0" w:color="auto"/>
            </w:tcBorders>
            <w:shd w:val="solid" w:color="000000" w:fill="000000"/>
            <w:vAlign w:val="center"/>
          </w:tcPr>
          <w:p w14:paraId="0D6B5D40" w14:textId="374522B1" w:rsidR="008600A3" w:rsidRPr="00256C2E" w:rsidRDefault="00A121F0" w:rsidP="00256C2E">
            <w:pPr>
              <w:pStyle w:val="PBACTabletext"/>
              <w:keepLines w:val="0"/>
              <w:widowControl w:val="0"/>
              <w:suppressLineNumbers w:val="0"/>
              <w:spacing w:after="0"/>
              <w:jc w:val="center"/>
              <w:rPr>
                <w:szCs w:val="20"/>
                <w:highlight w:val="lightGray"/>
              </w:rPr>
            </w:pPr>
            <w:r w:rsidRPr="00256C2E">
              <w:rPr>
                <w:color w:val="000000"/>
                <w:spacing w:val="82"/>
                <w:szCs w:val="20"/>
                <w:fitText w:val="168" w:id="-962405883"/>
                <w14:textFill>
                  <w14:solidFill>
                    <w14:srgbClr w14:val="000000">
                      <w14:alpha w14:val="100000"/>
                    </w14:srgbClr>
                  </w14:solidFill>
                </w14:textFill>
              </w:rPr>
              <w:t>|</w:t>
            </w:r>
            <w:r w:rsidRPr="00256C2E">
              <w:rPr>
                <w:color w:val="000000"/>
                <w:szCs w:val="20"/>
                <w:fitText w:val="168" w:id="-962405883"/>
                <w14:textFill>
                  <w14:solidFill>
                    <w14:srgbClr w14:val="000000">
                      <w14:alpha w14:val="100000"/>
                    </w14:srgbClr>
                  </w14:solidFill>
                </w14:textFill>
              </w:rPr>
              <w:t>|</w:t>
            </w:r>
          </w:p>
        </w:tc>
        <w:tc>
          <w:tcPr>
            <w:tcW w:w="706" w:type="dxa"/>
            <w:shd w:val="clear" w:color="auto" w:fill="auto"/>
            <w:noWrap/>
            <w:vAlign w:val="center"/>
          </w:tcPr>
          <w:p w14:paraId="6AE5246F" w14:textId="77777777" w:rsidR="008600A3" w:rsidRPr="00256C2E" w:rsidRDefault="008600A3" w:rsidP="00256C2E">
            <w:pPr>
              <w:pStyle w:val="PBACTabletext"/>
              <w:keepLines w:val="0"/>
              <w:widowControl w:val="0"/>
              <w:suppressLineNumbers w:val="0"/>
              <w:spacing w:after="0"/>
              <w:jc w:val="center"/>
              <w:rPr>
                <w:szCs w:val="20"/>
              </w:rPr>
            </w:pPr>
            <w:r w:rsidRPr="00256C2E">
              <w:rPr>
                <w:szCs w:val="20"/>
              </w:rPr>
              <w:t>0.155</w:t>
            </w:r>
          </w:p>
        </w:tc>
        <w:tc>
          <w:tcPr>
            <w:tcW w:w="1250" w:type="dxa"/>
            <w:shd w:val="clear" w:color="auto" w:fill="auto"/>
            <w:noWrap/>
            <w:vAlign w:val="center"/>
          </w:tcPr>
          <w:p w14:paraId="73B39B66" w14:textId="0610F919" w:rsidR="008600A3" w:rsidRPr="00256C2E" w:rsidRDefault="00A121F0" w:rsidP="00256C2E">
            <w:pPr>
              <w:pStyle w:val="PBACTabletext"/>
              <w:keepLines w:val="0"/>
              <w:widowControl w:val="0"/>
              <w:suppressLineNumbers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2"/>
                <w14:textFill>
                  <w14:solidFill>
                    <w14:srgbClr w14:val="000000">
                      <w14:alpha w14:val="100000"/>
                    </w14:srgbClr>
                  </w14:solidFill>
                </w14:textFill>
              </w:rPr>
              <w:t xml:space="preserve">　</w:t>
            </w:r>
            <w:r w:rsidRPr="00256C2E">
              <w:rPr>
                <w:color w:val="000000"/>
                <w:w w:val="16"/>
                <w:szCs w:val="20"/>
                <w:shd w:val="solid" w:color="000000" w:fill="000000"/>
                <w:fitText w:val="72" w:id="-962405882"/>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2"/>
                <w14:textFill>
                  <w14:solidFill>
                    <w14:srgbClr w14:val="000000">
                      <w14:alpha w14:val="100000"/>
                    </w14:srgbClr>
                  </w14:solidFill>
                </w14:textFill>
              </w:rPr>
              <w:t xml:space="preserve">　</w:t>
            </w:r>
            <w:r w:rsidR="001B3BCD" w:rsidRPr="00256C2E">
              <w:rPr>
                <w:szCs w:val="20"/>
                <w:vertAlign w:val="superscript"/>
              </w:rPr>
              <w:t>2</w:t>
            </w:r>
          </w:p>
        </w:tc>
      </w:tr>
      <w:tr w:rsidR="007962A7" w:rsidRPr="002A7A6F" w14:paraId="4A2F751B" w14:textId="77777777" w:rsidTr="00256C2E">
        <w:trPr>
          <w:cantSplit/>
          <w:trHeight w:val="20"/>
        </w:trPr>
        <w:tc>
          <w:tcPr>
            <w:tcW w:w="1247" w:type="dxa"/>
            <w:vMerge w:val="restart"/>
            <w:shd w:val="clear" w:color="auto" w:fill="auto"/>
            <w:noWrap/>
            <w:vAlign w:val="center"/>
          </w:tcPr>
          <w:p w14:paraId="3DDAAB65" w14:textId="77777777" w:rsidR="008600A3" w:rsidRPr="00256C2E" w:rsidRDefault="008600A3" w:rsidP="00256C2E">
            <w:pPr>
              <w:pStyle w:val="PBACTabletext"/>
              <w:widowControl w:val="0"/>
              <w:spacing w:after="0"/>
              <w:rPr>
                <w:b/>
                <w:bCs/>
                <w:szCs w:val="20"/>
              </w:rPr>
            </w:pPr>
            <w:r w:rsidRPr="00256C2E">
              <w:rPr>
                <w:b/>
                <w:bCs/>
                <w:szCs w:val="20"/>
              </w:rPr>
              <w:t>Transition probabilities – efficacy</w:t>
            </w:r>
          </w:p>
        </w:tc>
        <w:tc>
          <w:tcPr>
            <w:tcW w:w="1560" w:type="dxa"/>
            <w:vMerge w:val="restart"/>
            <w:shd w:val="clear" w:color="auto" w:fill="auto"/>
            <w:noWrap/>
            <w:vAlign w:val="center"/>
          </w:tcPr>
          <w:p w14:paraId="08EE249A" w14:textId="77777777" w:rsidR="008600A3" w:rsidRPr="00256C2E" w:rsidRDefault="008600A3" w:rsidP="00256C2E">
            <w:pPr>
              <w:pStyle w:val="PBACTabletext"/>
              <w:widowControl w:val="0"/>
              <w:spacing w:after="0"/>
              <w:jc w:val="center"/>
              <w:rPr>
                <w:szCs w:val="20"/>
              </w:rPr>
            </w:pPr>
            <w:r w:rsidRPr="00256C2E">
              <w:rPr>
                <w:szCs w:val="20"/>
              </w:rPr>
              <w:t>Efficacy: EDSS progression (3mCDP), ofatumumab</w:t>
            </w:r>
          </w:p>
        </w:tc>
        <w:tc>
          <w:tcPr>
            <w:tcW w:w="1701" w:type="dxa"/>
            <w:vMerge w:val="restart"/>
            <w:shd w:val="clear" w:color="auto" w:fill="auto"/>
            <w:noWrap/>
            <w:vAlign w:val="center"/>
          </w:tcPr>
          <w:p w14:paraId="32FED26E" w14:textId="77777777" w:rsidR="008600A3" w:rsidRPr="00256C2E" w:rsidRDefault="008600A3" w:rsidP="00256C2E">
            <w:pPr>
              <w:pStyle w:val="PBACTabletext"/>
              <w:widowControl w:val="0"/>
              <w:spacing w:after="0"/>
              <w:jc w:val="center"/>
              <w:rPr>
                <w:szCs w:val="20"/>
              </w:rPr>
            </w:pPr>
            <w:r w:rsidRPr="00256C2E">
              <w:rPr>
                <w:szCs w:val="20"/>
              </w:rPr>
              <w:t>ITC point estimate, HR = 0.459</w:t>
            </w:r>
          </w:p>
        </w:tc>
        <w:tc>
          <w:tcPr>
            <w:tcW w:w="1928" w:type="dxa"/>
            <w:shd w:val="clear" w:color="auto" w:fill="auto"/>
            <w:noWrap/>
            <w:vAlign w:val="center"/>
          </w:tcPr>
          <w:p w14:paraId="74DB9F6C" w14:textId="77777777" w:rsidR="008600A3" w:rsidRPr="00256C2E" w:rsidRDefault="008600A3" w:rsidP="00256C2E">
            <w:pPr>
              <w:pStyle w:val="PBACTabletext"/>
              <w:widowControl w:val="0"/>
              <w:spacing w:after="0"/>
              <w:jc w:val="center"/>
              <w:rPr>
                <w:szCs w:val="20"/>
              </w:rPr>
            </w:pPr>
            <w:r w:rsidRPr="00256C2E">
              <w:rPr>
                <w:szCs w:val="20"/>
              </w:rPr>
              <w:t>ITC ofatumumab upper 95% CI, HR=0.665</w:t>
            </w:r>
          </w:p>
        </w:tc>
        <w:tc>
          <w:tcPr>
            <w:tcW w:w="854" w:type="dxa"/>
            <w:tcBorders>
              <w:bottom w:val="single" w:sz="4" w:space="0" w:color="auto"/>
            </w:tcBorders>
            <w:shd w:val="solid" w:color="000000" w:fill="000000"/>
            <w:vAlign w:val="center"/>
          </w:tcPr>
          <w:p w14:paraId="287FEDCB" w14:textId="751B61DC" w:rsidR="008600A3"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81"/>
                <w14:textFill>
                  <w14:solidFill>
                    <w14:srgbClr w14:val="000000">
                      <w14:alpha w14:val="100000"/>
                    </w14:srgbClr>
                  </w14:solidFill>
                </w14:textFill>
              </w:rPr>
              <w:t>|</w:t>
            </w:r>
            <w:r w:rsidRPr="00256C2E">
              <w:rPr>
                <w:color w:val="000000"/>
                <w:szCs w:val="20"/>
                <w:fitText w:val="168" w:id="-962405881"/>
                <w14:textFill>
                  <w14:solidFill>
                    <w14:srgbClr w14:val="000000">
                      <w14:alpha w14:val="100000"/>
                    </w14:srgbClr>
                  </w14:solidFill>
                </w14:textFill>
              </w:rPr>
              <w:t>|</w:t>
            </w:r>
          </w:p>
        </w:tc>
        <w:tc>
          <w:tcPr>
            <w:tcW w:w="706" w:type="dxa"/>
            <w:shd w:val="clear" w:color="auto" w:fill="auto"/>
            <w:noWrap/>
            <w:vAlign w:val="center"/>
          </w:tcPr>
          <w:p w14:paraId="4ED24C74" w14:textId="77777777" w:rsidR="008600A3" w:rsidRPr="00256C2E" w:rsidRDefault="008600A3" w:rsidP="00256C2E">
            <w:pPr>
              <w:pStyle w:val="PBACTabletext"/>
              <w:widowControl w:val="0"/>
              <w:spacing w:after="0"/>
              <w:jc w:val="center"/>
              <w:rPr>
                <w:szCs w:val="20"/>
              </w:rPr>
            </w:pPr>
            <w:r w:rsidRPr="00256C2E">
              <w:rPr>
                <w:szCs w:val="20"/>
              </w:rPr>
              <w:t>0.111</w:t>
            </w:r>
          </w:p>
        </w:tc>
        <w:tc>
          <w:tcPr>
            <w:tcW w:w="1250" w:type="dxa"/>
            <w:shd w:val="clear" w:color="auto" w:fill="auto"/>
            <w:noWrap/>
            <w:vAlign w:val="center"/>
          </w:tcPr>
          <w:p w14:paraId="74CBD175" w14:textId="65666090" w:rsidR="008600A3"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0"/>
                <w14:textFill>
                  <w14:solidFill>
                    <w14:srgbClr w14:val="000000">
                      <w14:alpha w14:val="100000"/>
                    </w14:srgbClr>
                  </w14:solidFill>
                </w14:textFill>
              </w:rPr>
              <w:t xml:space="preserve">　</w:t>
            </w:r>
            <w:r w:rsidRPr="00256C2E">
              <w:rPr>
                <w:color w:val="000000"/>
                <w:w w:val="16"/>
                <w:szCs w:val="20"/>
                <w:shd w:val="solid" w:color="000000" w:fill="000000"/>
                <w:fitText w:val="72" w:id="-962405880"/>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0"/>
                <w14:textFill>
                  <w14:solidFill>
                    <w14:srgbClr w14:val="000000">
                      <w14:alpha w14:val="100000"/>
                    </w14:srgbClr>
                  </w14:solidFill>
                </w14:textFill>
              </w:rPr>
              <w:t xml:space="preserve">　</w:t>
            </w:r>
            <w:r w:rsidR="00FB6BA8" w:rsidRPr="00256C2E">
              <w:rPr>
                <w:szCs w:val="20"/>
                <w:vertAlign w:val="superscript"/>
              </w:rPr>
              <w:t>3</w:t>
            </w:r>
          </w:p>
        </w:tc>
      </w:tr>
      <w:tr w:rsidR="007962A7" w:rsidRPr="002A7A6F" w14:paraId="004A01CD" w14:textId="77777777" w:rsidTr="00256C2E">
        <w:trPr>
          <w:cantSplit/>
          <w:trHeight w:val="20"/>
        </w:trPr>
        <w:tc>
          <w:tcPr>
            <w:tcW w:w="1247" w:type="dxa"/>
            <w:vMerge/>
            <w:shd w:val="clear" w:color="auto" w:fill="auto"/>
            <w:noWrap/>
            <w:vAlign w:val="center"/>
          </w:tcPr>
          <w:p w14:paraId="19AC738A" w14:textId="77777777" w:rsidR="008600A3" w:rsidRPr="00256C2E" w:rsidRDefault="008600A3" w:rsidP="00256C2E">
            <w:pPr>
              <w:pStyle w:val="PBACTabletext"/>
              <w:widowControl w:val="0"/>
              <w:spacing w:after="0"/>
              <w:rPr>
                <w:b/>
                <w:bCs/>
                <w:szCs w:val="20"/>
              </w:rPr>
            </w:pPr>
          </w:p>
        </w:tc>
        <w:tc>
          <w:tcPr>
            <w:tcW w:w="1560" w:type="dxa"/>
            <w:vMerge/>
            <w:shd w:val="clear" w:color="auto" w:fill="auto"/>
            <w:noWrap/>
            <w:vAlign w:val="center"/>
          </w:tcPr>
          <w:p w14:paraId="07D929BC" w14:textId="77777777" w:rsidR="008600A3" w:rsidRPr="00256C2E" w:rsidRDefault="008600A3" w:rsidP="00256C2E">
            <w:pPr>
              <w:pStyle w:val="PBACTabletext"/>
              <w:widowControl w:val="0"/>
              <w:spacing w:after="0"/>
              <w:jc w:val="center"/>
              <w:rPr>
                <w:szCs w:val="20"/>
              </w:rPr>
            </w:pPr>
          </w:p>
        </w:tc>
        <w:tc>
          <w:tcPr>
            <w:tcW w:w="1701" w:type="dxa"/>
            <w:vMerge/>
            <w:shd w:val="clear" w:color="auto" w:fill="auto"/>
            <w:noWrap/>
            <w:vAlign w:val="center"/>
          </w:tcPr>
          <w:p w14:paraId="3122D868" w14:textId="77777777" w:rsidR="008600A3" w:rsidRPr="00256C2E" w:rsidRDefault="008600A3" w:rsidP="00256C2E">
            <w:pPr>
              <w:pStyle w:val="PBACTabletext"/>
              <w:widowControl w:val="0"/>
              <w:spacing w:after="0"/>
              <w:jc w:val="center"/>
              <w:rPr>
                <w:szCs w:val="20"/>
              </w:rPr>
            </w:pPr>
          </w:p>
        </w:tc>
        <w:tc>
          <w:tcPr>
            <w:tcW w:w="1928" w:type="dxa"/>
            <w:shd w:val="clear" w:color="auto" w:fill="auto"/>
            <w:noWrap/>
            <w:vAlign w:val="center"/>
          </w:tcPr>
          <w:p w14:paraId="20D4CFB8" w14:textId="77777777" w:rsidR="008600A3" w:rsidRPr="00256C2E" w:rsidRDefault="008600A3" w:rsidP="00256C2E">
            <w:pPr>
              <w:pStyle w:val="PBACTabletext"/>
              <w:widowControl w:val="0"/>
              <w:spacing w:after="0"/>
              <w:jc w:val="center"/>
              <w:rPr>
                <w:szCs w:val="20"/>
              </w:rPr>
            </w:pPr>
            <w:r w:rsidRPr="00256C2E">
              <w:rPr>
                <w:szCs w:val="20"/>
              </w:rPr>
              <w:t>Samjoo 2023 ofatumumab upper 95% CI, HR=0.71</w:t>
            </w:r>
          </w:p>
        </w:tc>
        <w:tc>
          <w:tcPr>
            <w:tcW w:w="854" w:type="dxa"/>
            <w:tcBorders>
              <w:bottom w:val="single" w:sz="4" w:space="0" w:color="auto"/>
            </w:tcBorders>
            <w:shd w:val="solid" w:color="000000" w:fill="000000"/>
            <w:vAlign w:val="center"/>
          </w:tcPr>
          <w:p w14:paraId="1F3199B1" w14:textId="7A6DC79A" w:rsidR="008600A3"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79"/>
                <w14:textFill>
                  <w14:solidFill>
                    <w14:srgbClr w14:val="000000">
                      <w14:alpha w14:val="100000"/>
                    </w14:srgbClr>
                  </w14:solidFill>
                </w14:textFill>
              </w:rPr>
              <w:t>|</w:t>
            </w:r>
            <w:r w:rsidRPr="00256C2E">
              <w:rPr>
                <w:color w:val="000000"/>
                <w:szCs w:val="20"/>
                <w:fitText w:val="168" w:id="-962405879"/>
                <w14:textFill>
                  <w14:solidFill>
                    <w14:srgbClr w14:val="000000">
                      <w14:alpha w14:val="100000"/>
                    </w14:srgbClr>
                  </w14:solidFill>
                </w14:textFill>
              </w:rPr>
              <w:t>|</w:t>
            </w:r>
          </w:p>
        </w:tc>
        <w:tc>
          <w:tcPr>
            <w:tcW w:w="706" w:type="dxa"/>
            <w:shd w:val="clear" w:color="auto" w:fill="auto"/>
            <w:noWrap/>
            <w:vAlign w:val="center"/>
          </w:tcPr>
          <w:p w14:paraId="4CE1D897" w14:textId="77777777" w:rsidR="008600A3" w:rsidRPr="00256C2E" w:rsidRDefault="008600A3" w:rsidP="00256C2E">
            <w:pPr>
              <w:pStyle w:val="PBACTabletext"/>
              <w:widowControl w:val="0"/>
              <w:spacing w:after="0"/>
              <w:jc w:val="center"/>
              <w:rPr>
                <w:szCs w:val="20"/>
              </w:rPr>
            </w:pPr>
            <w:r w:rsidRPr="00256C2E">
              <w:rPr>
                <w:szCs w:val="20"/>
              </w:rPr>
              <w:t>0.063</w:t>
            </w:r>
          </w:p>
        </w:tc>
        <w:tc>
          <w:tcPr>
            <w:tcW w:w="1250" w:type="dxa"/>
            <w:shd w:val="clear" w:color="auto" w:fill="auto"/>
            <w:noWrap/>
            <w:vAlign w:val="center"/>
          </w:tcPr>
          <w:p w14:paraId="0F3F0907" w14:textId="79FD63F3" w:rsidR="008600A3"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78"/>
                <w14:textFill>
                  <w14:solidFill>
                    <w14:srgbClr w14:val="000000">
                      <w14:alpha w14:val="100000"/>
                    </w14:srgbClr>
                  </w14:solidFill>
                </w14:textFill>
              </w:rPr>
              <w:t xml:space="preserve">　</w:t>
            </w:r>
            <w:r w:rsidRPr="00256C2E">
              <w:rPr>
                <w:color w:val="000000"/>
                <w:w w:val="16"/>
                <w:szCs w:val="20"/>
                <w:shd w:val="solid" w:color="000000" w:fill="000000"/>
                <w:fitText w:val="72" w:id="-962405878"/>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78"/>
                <w14:textFill>
                  <w14:solidFill>
                    <w14:srgbClr w14:val="000000">
                      <w14:alpha w14:val="100000"/>
                    </w14:srgbClr>
                  </w14:solidFill>
                </w14:textFill>
              </w:rPr>
              <w:t xml:space="preserve">　</w:t>
            </w:r>
            <w:r w:rsidR="00FB6BA8" w:rsidRPr="00256C2E">
              <w:rPr>
                <w:szCs w:val="20"/>
                <w:vertAlign w:val="superscript"/>
              </w:rPr>
              <w:t>4</w:t>
            </w:r>
          </w:p>
        </w:tc>
      </w:tr>
      <w:tr w:rsidR="007962A7" w:rsidRPr="002A7A6F" w14:paraId="26D98555" w14:textId="77777777" w:rsidTr="00256C2E">
        <w:trPr>
          <w:cantSplit/>
          <w:trHeight w:val="20"/>
        </w:trPr>
        <w:tc>
          <w:tcPr>
            <w:tcW w:w="1247" w:type="dxa"/>
            <w:vMerge/>
            <w:shd w:val="clear" w:color="auto" w:fill="auto"/>
            <w:noWrap/>
            <w:vAlign w:val="center"/>
          </w:tcPr>
          <w:p w14:paraId="3233C80D" w14:textId="77777777" w:rsidR="008600A3" w:rsidRPr="00256C2E" w:rsidRDefault="008600A3" w:rsidP="00256C2E">
            <w:pPr>
              <w:pStyle w:val="PBACTabletext"/>
              <w:widowControl w:val="0"/>
              <w:spacing w:after="0"/>
              <w:rPr>
                <w:b/>
                <w:bCs/>
                <w:szCs w:val="20"/>
              </w:rPr>
            </w:pPr>
          </w:p>
        </w:tc>
        <w:tc>
          <w:tcPr>
            <w:tcW w:w="1560" w:type="dxa"/>
            <w:vMerge w:val="restart"/>
            <w:shd w:val="clear" w:color="auto" w:fill="auto"/>
            <w:noWrap/>
            <w:vAlign w:val="center"/>
          </w:tcPr>
          <w:p w14:paraId="078E6582" w14:textId="77777777" w:rsidR="008600A3" w:rsidRPr="00256C2E" w:rsidRDefault="008600A3" w:rsidP="00256C2E">
            <w:pPr>
              <w:pStyle w:val="PBACTabletext"/>
              <w:widowControl w:val="0"/>
              <w:spacing w:after="0"/>
              <w:jc w:val="center"/>
              <w:rPr>
                <w:szCs w:val="20"/>
              </w:rPr>
            </w:pPr>
            <w:r w:rsidRPr="00256C2E">
              <w:rPr>
                <w:szCs w:val="20"/>
              </w:rPr>
              <w:t>Efficacy: EDSS progression (3mCDP), fingolimod</w:t>
            </w:r>
          </w:p>
        </w:tc>
        <w:tc>
          <w:tcPr>
            <w:tcW w:w="1701" w:type="dxa"/>
            <w:vMerge w:val="restart"/>
            <w:shd w:val="clear" w:color="auto" w:fill="auto"/>
            <w:noWrap/>
            <w:vAlign w:val="center"/>
          </w:tcPr>
          <w:p w14:paraId="7CD8D25D" w14:textId="77777777" w:rsidR="008600A3" w:rsidRPr="00256C2E" w:rsidRDefault="008600A3" w:rsidP="00256C2E">
            <w:pPr>
              <w:pStyle w:val="PBACTabletext"/>
              <w:widowControl w:val="0"/>
              <w:spacing w:after="0"/>
              <w:jc w:val="center"/>
              <w:rPr>
                <w:szCs w:val="20"/>
              </w:rPr>
            </w:pPr>
            <w:r w:rsidRPr="00256C2E">
              <w:rPr>
                <w:szCs w:val="20"/>
              </w:rPr>
              <w:t>HR = 0.72</w:t>
            </w:r>
          </w:p>
          <w:p w14:paraId="250B2516" w14:textId="77777777" w:rsidR="008600A3" w:rsidRPr="00256C2E" w:rsidRDefault="008600A3" w:rsidP="00256C2E">
            <w:pPr>
              <w:pStyle w:val="PBACTabletext"/>
              <w:widowControl w:val="0"/>
              <w:spacing w:after="0"/>
              <w:jc w:val="center"/>
              <w:rPr>
                <w:szCs w:val="20"/>
              </w:rPr>
            </w:pPr>
            <w:r w:rsidRPr="00256C2E">
              <w:rPr>
                <w:szCs w:val="20"/>
              </w:rPr>
              <w:t>(trial point estimate)</w:t>
            </w:r>
          </w:p>
        </w:tc>
        <w:tc>
          <w:tcPr>
            <w:tcW w:w="1928" w:type="dxa"/>
            <w:shd w:val="clear" w:color="auto" w:fill="auto"/>
            <w:noWrap/>
            <w:vAlign w:val="center"/>
          </w:tcPr>
          <w:p w14:paraId="379A74AA" w14:textId="77777777" w:rsidR="008600A3" w:rsidRPr="00256C2E" w:rsidRDefault="008600A3" w:rsidP="00256C2E">
            <w:pPr>
              <w:pStyle w:val="PBACTabletext"/>
              <w:widowControl w:val="0"/>
              <w:spacing w:after="0"/>
              <w:jc w:val="center"/>
              <w:rPr>
                <w:szCs w:val="20"/>
              </w:rPr>
            </w:pPr>
            <w:r w:rsidRPr="00256C2E">
              <w:rPr>
                <w:szCs w:val="20"/>
              </w:rPr>
              <w:t>ITC fingolimod lower 95% CI, HR = 0.57</w:t>
            </w:r>
          </w:p>
        </w:tc>
        <w:tc>
          <w:tcPr>
            <w:tcW w:w="854" w:type="dxa"/>
            <w:tcBorders>
              <w:bottom w:val="single" w:sz="4" w:space="0" w:color="auto"/>
            </w:tcBorders>
            <w:shd w:val="solid" w:color="000000" w:fill="000000"/>
            <w:vAlign w:val="center"/>
          </w:tcPr>
          <w:p w14:paraId="3B7A7606" w14:textId="49EC3C5E" w:rsidR="008600A3"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77"/>
                <w14:textFill>
                  <w14:solidFill>
                    <w14:srgbClr w14:val="000000">
                      <w14:alpha w14:val="100000"/>
                    </w14:srgbClr>
                  </w14:solidFill>
                </w14:textFill>
              </w:rPr>
              <w:t>|</w:t>
            </w:r>
            <w:r w:rsidRPr="00256C2E">
              <w:rPr>
                <w:color w:val="000000"/>
                <w:szCs w:val="20"/>
                <w:fitText w:val="168" w:id="-962405877"/>
                <w14:textFill>
                  <w14:solidFill>
                    <w14:srgbClr w14:val="000000">
                      <w14:alpha w14:val="100000"/>
                    </w14:srgbClr>
                  </w14:solidFill>
                </w14:textFill>
              </w:rPr>
              <w:t>|</w:t>
            </w:r>
          </w:p>
        </w:tc>
        <w:tc>
          <w:tcPr>
            <w:tcW w:w="706" w:type="dxa"/>
            <w:shd w:val="clear" w:color="auto" w:fill="auto"/>
            <w:noWrap/>
            <w:vAlign w:val="center"/>
          </w:tcPr>
          <w:p w14:paraId="640E9CF8" w14:textId="77777777" w:rsidR="008600A3" w:rsidRPr="00256C2E" w:rsidRDefault="008600A3" w:rsidP="00256C2E">
            <w:pPr>
              <w:pStyle w:val="PBACTabletext"/>
              <w:widowControl w:val="0"/>
              <w:spacing w:after="0"/>
              <w:jc w:val="center"/>
              <w:rPr>
                <w:szCs w:val="20"/>
              </w:rPr>
            </w:pPr>
            <w:r w:rsidRPr="00256C2E">
              <w:rPr>
                <w:szCs w:val="20"/>
              </w:rPr>
              <w:t>0.219</w:t>
            </w:r>
          </w:p>
        </w:tc>
        <w:tc>
          <w:tcPr>
            <w:tcW w:w="1250" w:type="dxa"/>
            <w:shd w:val="clear" w:color="auto" w:fill="auto"/>
            <w:noWrap/>
            <w:vAlign w:val="center"/>
          </w:tcPr>
          <w:p w14:paraId="1FA8B94D" w14:textId="29CC9CC7" w:rsidR="008600A3"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76"/>
                <w14:textFill>
                  <w14:solidFill>
                    <w14:srgbClr w14:val="000000">
                      <w14:alpha w14:val="100000"/>
                    </w14:srgbClr>
                  </w14:solidFill>
                </w14:textFill>
              </w:rPr>
              <w:t xml:space="preserve">　</w:t>
            </w:r>
            <w:r w:rsidRPr="00256C2E">
              <w:rPr>
                <w:color w:val="000000"/>
                <w:w w:val="16"/>
                <w:szCs w:val="20"/>
                <w:shd w:val="solid" w:color="000000" w:fill="000000"/>
                <w:fitText w:val="72" w:id="-962405876"/>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76"/>
                <w14:textFill>
                  <w14:solidFill>
                    <w14:srgbClr w14:val="000000">
                      <w14:alpha w14:val="100000"/>
                    </w14:srgbClr>
                  </w14:solidFill>
                </w14:textFill>
              </w:rPr>
              <w:t xml:space="preserve">　</w:t>
            </w:r>
            <w:r w:rsidR="001B3BCD" w:rsidRPr="00256C2E">
              <w:rPr>
                <w:szCs w:val="20"/>
                <w:vertAlign w:val="superscript"/>
              </w:rPr>
              <w:t>2</w:t>
            </w:r>
          </w:p>
        </w:tc>
      </w:tr>
      <w:tr w:rsidR="007962A7" w:rsidRPr="002A7A6F" w14:paraId="0144E27E" w14:textId="77777777" w:rsidTr="00256C2E">
        <w:trPr>
          <w:cantSplit/>
          <w:trHeight w:val="20"/>
        </w:trPr>
        <w:tc>
          <w:tcPr>
            <w:tcW w:w="1247" w:type="dxa"/>
            <w:vMerge/>
            <w:shd w:val="clear" w:color="auto" w:fill="auto"/>
            <w:noWrap/>
            <w:vAlign w:val="center"/>
          </w:tcPr>
          <w:p w14:paraId="01DCD6DD" w14:textId="77777777" w:rsidR="008600A3" w:rsidRPr="00256C2E" w:rsidRDefault="008600A3" w:rsidP="00256C2E">
            <w:pPr>
              <w:pStyle w:val="PBACTabletext"/>
              <w:widowControl w:val="0"/>
              <w:spacing w:after="0"/>
              <w:rPr>
                <w:b/>
                <w:bCs/>
                <w:szCs w:val="20"/>
              </w:rPr>
            </w:pPr>
          </w:p>
        </w:tc>
        <w:tc>
          <w:tcPr>
            <w:tcW w:w="1560" w:type="dxa"/>
            <w:vMerge/>
            <w:shd w:val="clear" w:color="auto" w:fill="auto"/>
            <w:noWrap/>
            <w:vAlign w:val="center"/>
          </w:tcPr>
          <w:p w14:paraId="102B8C9E" w14:textId="77777777" w:rsidR="008600A3" w:rsidRPr="00256C2E" w:rsidRDefault="008600A3" w:rsidP="00256C2E">
            <w:pPr>
              <w:pStyle w:val="PBACTabletext"/>
              <w:widowControl w:val="0"/>
              <w:spacing w:after="0"/>
              <w:jc w:val="center"/>
              <w:rPr>
                <w:szCs w:val="20"/>
              </w:rPr>
            </w:pPr>
          </w:p>
        </w:tc>
        <w:tc>
          <w:tcPr>
            <w:tcW w:w="1701" w:type="dxa"/>
            <w:vMerge/>
            <w:shd w:val="clear" w:color="auto" w:fill="auto"/>
            <w:noWrap/>
            <w:vAlign w:val="center"/>
          </w:tcPr>
          <w:p w14:paraId="71BE42F1" w14:textId="77777777" w:rsidR="008600A3" w:rsidRPr="00256C2E" w:rsidRDefault="008600A3" w:rsidP="00256C2E">
            <w:pPr>
              <w:pStyle w:val="PBACTabletext"/>
              <w:widowControl w:val="0"/>
              <w:spacing w:after="0"/>
              <w:jc w:val="center"/>
              <w:rPr>
                <w:szCs w:val="20"/>
              </w:rPr>
            </w:pPr>
          </w:p>
        </w:tc>
        <w:tc>
          <w:tcPr>
            <w:tcW w:w="1928" w:type="dxa"/>
            <w:shd w:val="clear" w:color="auto" w:fill="auto"/>
            <w:noWrap/>
            <w:vAlign w:val="center"/>
          </w:tcPr>
          <w:p w14:paraId="2B1B1B93" w14:textId="77777777" w:rsidR="008600A3" w:rsidRPr="00256C2E" w:rsidRDefault="008600A3" w:rsidP="00256C2E">
            <w:pPr>
              <w:pStyle w:val="PBACTabletext"/>
              <w:widowControl w:val="0"/>
              <w:spacing w:after="0"/>
              <w:jc w:val="center"/>
              <w:rPr>
                <w:szCs w:val="20"/>
              </w:rPr>
            </w:pPr>
            <w:r w:rsidRPr="00256C2E">
              <w:rPr>
                <w:szCs w:val="20"/>
              </w:rPr>
              <w:t>Samjoo 2023 fingolimod lower 95% CI, HR=0.58</w:t>
            </w:r>
          </w:p>
        </w:tc>
        <w:tc>
          <w:tcPr>
            <w:tcW w:w="854" w:type="dxa"/>
            <w:tcBorders>
              <w:bottom w:val="single" w:sz="4" w:space="0" w:color="auto"/>
            </w:tcBorders>
            <w:shd w:val="solid" w:color="000000" w:fill="000000"/>
            <w:vAlign w:val="center"/>
          </w:tcPr>
          <w:p w14:paraId="49FDB257" w14:textId="09372ACB" w:rsidR="008600A3"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75"/>
                <w14:textFill>
                  <w14:solidFill>
                    <w14:srgbClr w14:val="000000">
                      <w14:alpha w14:val="100000"/>
                    </w14:srgbClr>
                  </w14:solidFill>
                </w14:textFill>
              </w:rPr>
              <w:t>|</w:t>
            </w:r>
            <w:r w:rsidRPr="00256C2E">
              <w:rPr>
                <w:color w:val="000000"/>
                <w:szCs w:val="20"/>
                <w:fitText w:val="168" w:id="-962405875"/>
                <w14:textFill>
                  <w14:solidFill>
                    <w14:srgbClr w14:val="000000">
                      <w14:alpha w14:val="100000"/>
                    </w14:srgbClr>
                  </w14:solidFill>
                </w14:textFill>
              </w:rPr>
              <w:t>|</w:t>
            </w:r>
          </w:p>
        </w:tc>
        <w:tc>
          <w:tcPr>
            <w:tcW w:w="706" w:type="dxa"/>
            <w:shd w:val="clear" w:color="auto" w:fill="auto"/>
            <w:noWrap/>
            <w:vAlign w:val="center"/>
          </w:tcPr>
          <w:p w14:paraId="24AF8893" w14:textId="77777777" w:rsidR="008600A3" w:rsidRPr="00256C2E" w:rsidRDefault="008600A3" w:rsidP="00256C2E">
            <w:pPr>
              <w:pStyle w:val="PBACTabletext"/>
              <w:widowControl w:val="0"/>
              <w:spacing w:after="0"/>
              <w:jc w:val="center"/>
              <w:rPr>
                <w:szCs w:val="20"/>
              </w:rPr>
            </w:pPr>
            <w:r w:rsidRPr="00256C2E">
              <w:rPr>
                <w:szCs w:val="20"/>
              </w:rPr>
              <w:t>0.229</w:t>
            </w:r>
          </w:p>
        </w:tc>
        <w:tc>
          <w:tcPr>
            <w:tcW w:w="1250" w:type="dxa"/>
            <w:shd w:val="clear" w:color="auto" w:fill="auto"/>
            <w:noWrap/>
            <w:vAlign w:val="center"/>
          </w:tcPr>
          <w:p w14:paraId="7D17487D" w14:textId="5ECAD7F9" w:rsidR="008600A3"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74"/>
                <w14:textFill>
                  <w14:solidFill>
                    <w14:srgbClr w14:val="000000">
                      <w14:alpha w14:val="100000"/>
                    </w14:srgbClr>
                  </w14:solidFill>
                </w14:textFill>
              </w:rPr>
              <w:t xml:space="preserve">　</w:t>
            </w:r>
            <w:r w:rsidRPr="00256C2E">
              <w:rPr>
                <w:color w:val="000000"/>
                <w:w w:val="16"/>
                <w:szCs w:val="20"/>
                <w:shd w:val="solid" w:color="000000" w:fill="000000"/>
                <w:fitText w:val="72" w:id="-962405874"/>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74"/>
                <w14:textFill>
                  <w14:solidFill>
                    <w14:srgbClr w14:val="000000">
                      <w14:alpha w14:val="100000"/>
                    </w14:srgbClr>
                  </w14:solidFill>
                </w14:textFill>
              </w:rPr>
              <w:t xml:space="preserve">　</w:t>
            </w:r>
            <w:r w:rsidR="001B3BCD" w:rsidRPr="00256C2E">
              <w:rPr>
                <w:szCs w:val="20"/>
                <w:vertAlign w:val="superscript"/>
              </w:rPr>
              <w:t>2</w:t>
            </w:r>
          </w:p>
        </w:tc>
      </w:tr>
      <w:tr w:rsidR="007962A7" w:rsidRPr="002A7A6F" w14:paraId="25D8B469" w14:textId="77777777" w:rsidTr="00256C2E">
        <w:trPr>
          <w:cantSplit/>
          <w:trHeight w:val="20"/>
        </w:trPr>
        <w:tc>
          <w:tcPr>
            <w:tcW w:w="1247" w:type="dxa"/>
            <w:vMerge/>
            <w:tcBorders>
              <w:bottom w:val="single" w:sz="4" w:space="0" w:color="auto"/>
            </w:tcBorders>
            <w:shd w:val="clear" w:color="auto" w:fill="auto"/>
            <w:noWrap/>
            <w:vAlign w:val="center"/>
          </w:tcPr>
          <w:p w14:paraId="4AB1B1A6" w14:textId="77777777" w:rsidR="008600A3" w:rsidRPr="00256C2E" w:rsidRDefault="008600A3" w:rsidP="00256C2E">
            <w:pPr>
              <w:pStyle w:val="PBACTabletext"/>
              <w:widowControl w:val="0"/>
              <w:spacing w:after="0"/>
              <w:rPr>
                <w:b/>
                <w:bCs/>
                <w:szCs w:val="20"/>
              </w:rPr>
            </w:pPr>
          </w:p>
        </w:tc>
        <w:tc>
          <w:tcPr>
            <w:tcW w:w="1560" w:type="dxa"/>
            <w:shd w:val="clear" w:color="auto" w:fill="auto"/>
            <w:noWrap/>
            <w:vAlign w:val="center"/>
          </w:tcPr>
          <w:p w14:paraId="1DF8F7C9" w14:textId="77777777" w:rsidR="008600A3" w:rsidRPr="00256C2E" w:rsidRDefault="008600A3" w:rsidP="00256C2E">
            <w:pPr>
              <w:pStyle w:val="PBACTabletext"/>
              <w:widowControl w:val="0"/>
              <w:spacing w:after="0"/>
              <w:jc w:val="center"/>
              <w:rPr>
                <w:szCs w:val="20"/>
              </w:rPr>
            </w:pPr>
            <w:r w:rsidRPr="00256C2E">
              <w:rPr>
                <w:szCs w:val="20"/>
              </w:rPr>
              <w:t xml:space="preserve">Efficacy: EDSS progression (3mCDP), Ofatumumab and fingolimod </w:t>
            </w:r>
          </w:p>
        </w:tc>
        <w:tc>
          <w:tcPr>
            <w:tcW w:w="1701" w:type="dxa"/>
            <w:shd w:val="clear" w:color="auto" w:fill="auto"/>
            <w:noWrap/>
            <w:vAlign w:val="center"/>
          </w:tcPr>
          <w:p w14:paraId="7346AE16" w14:textId="77777777" w:rsidR="008600A3" w:rsidRPr="00256C2E" w:rsidRDefault="008600A3" w:rsidP="00256C2E">
            <w:pPr>
              <w:pStyle w:val="PBACTabletext"/>
              <w:widowControl w:val="0"/>
              <w:spacing w:after="0"/>
              <w:jc w:val="center"/>
              <w:rPr>
                <w:szCs w:val="20"/>
              </w:rPr>
            </w:pPr>
            <w:r w:rsidRPr="00256C2E">
              <w:rPr>
                <w:szCs w:val="20"/>
              </w:rPr>
              <w:t>3mCDP HR vs PBO: Ofatumumab 0.459; fingolimod 0.72</w:t>
            </w:r>
          </w:p>
        </w:tc>
        <w:tc>
          <w:tcPr>
            <w:tcW w:w="1928" w:type="dxa"/>
            <w:shd w:val="clear" w:color="auto" w:fill="auto"/>
            <w:noWrap/>
            <w:vAlign w:val="center"/>
          </w:tcPr>
          <w:p w14:paraId="79917A8C" w14:textId="77777777" w:rsidR="008600A3" w:rsidRPr="00256C2E" w:rsidRDefault="008600A3" w:rsidP="00256C2E">
            <w:pPr>
              <w:pStyle w:val="PBACTabletext"/>
              <w:widowControl w:val="0"/>
              <w:spacing w:after="0"/>
              <w:jc w:val="center"/>
              <w:rPr>
                <w:szCs w:val="20"/>
              </w:rPr>
            </w:pPr>
            <w:r w:rsidRPr="00256C2E">
              <w:rPr>
                <w:szCs w:val="20"/>
              </w:rPr>
              <w:t>ITC ofatumumab upper 95% CI, HR=0.665</w:t>
            </w:r>
          </w:p>
          <w:p w14:paraId="5D17571A" w14:textId="77777777" w:rsidR="008600A3" w:rsidRPr="00256C2E" w:rsidRDefault="008600A3" w:rsidP="00256C2E">
            <w:pPr>
              <w:pStyle w:val="PBACTabletext"/>
              <w:widowControl w:val="0"/>
              <w:spacing w:after="0"/>
              <w:jc w:val="center"/>
              <w:rPr>
                <w:szCs w:val="20"/>
              </w:rPr>
            </w:pPr>
            <w:r w:rsidRPr="00256C2E">
              <w:rPr>
                <w:szCs w:val="20"/>
              </w:rPr>
              <w:t xml:space="preserve">ITC fingolimod lower 95% CI, HR = 0.57 </w:t>
            </w:r>
          </w:p>
        </w:tc>
        <w:tc>
          <w:tcPr>
            <w:tcW w:w="854" w:type="dxa"/>
            <w:tcBorders>
              <w:bottom w:val="single" w:sz="4" w:space="0" w:color="auto"/>
            </w:tcBorders>
            <w:shd w:val="solid" w:color="000000" w:fill="000000"/>
            <w:vAlign w:val="center"/>
          </w:tcPr>
          <w:p w14:paraId="63755F3A" w14:textId="207F28E0" w:rsidR="008600A3"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73"/>
                <w14:textFill>
                  <w14:solidFill>
                    <w14:srgbClr w14:val="000000">
                      <w14:alpha w14:val="100000"/>
                    </w14:srgbClr>
                  </w14:solidFill>
                </w14:textFill>
              </w:rPr>
              <w:t>|</w:t>
            </w:r>
            <w:r w:rsidRPr="00256C2E">
              <w:rPr>
                <w:color w:val="000000"/>
                <w:szCs w:val="20"/>
                <w:fitText w:val="168" w:id="-962405873"/>
                <w14:textFill>
                  <w14:solidFill>
                    <w14:srgbClr w14:val="000000">
                      <w14:alpha w14:val="100000"/>
                    </w14:srgbClr>
                  </w14:solidFill>
                </w14:textFill>
              </w:rPr>
              <w:t>|</w:t>
            </w:r>
          </w:p>
        </w:tc>
        <w:tc>
          <w:tcPr>
            <w:tcW w:w="706" w:type="dxa"/>
            <w:shd w:val="clear" w:color="auto" w:fill="auto"/>
            <w:noWrap/>
            <w:vAlign w:val="center"/>
          </w:tcPr>
          <w:p w14:paraId="28D32BA8" w14:textId="77777777" w:rsidR="008600A3" w:rsidRPr="00256C2E" w:rsidRDefault="008600A3" w:rsidP="00256C2E">
            <w:pPr>
              <w:pStyle w:val="PBACTabletext"/>
              <w:widowControl w:val="0"/>
              <w:spacing w:after="0"/>
              <w:jc w:val="center"/>
              <w:rPr>
                <w:szCs w:val="20"/>
              </w:rPr>
            </w:pPr>
            <w:r w:rsidRPr="00256C2E">
              <w:rPr>
                <w:szCs w:val="20"/>
              </w:rPr>
              <w:t>-0.14</w:t>
            </w:r>
          </w:p>
        </w:tc>
        <w:tc>
          <w:tcPr>
            <w:tcW w:w="1250" w:type="dxa"/>
            <w:shd w:val="clear" w:color="auto" w:fill="auto"/>
            <w:noWrap/>
            <w:vAlign w:val="center"/>
          </w:tcPr>
          <w:p w14:paraId="483EA1F9" w14:textId="5CFB7CB5" w:rsidR="008600A3" w:rsidRPr="00256C2E" w:rsidRDefault="00E06D49" w:rsidP="00256C2E">
            <w:pPr>
              <w:pStyle w:val="PBACTabletext"/>
              <w:widowControl w:val="0"/>
              <w:spacing w:after="0"/>
              <w:jc w:val="center"/>
              <w:rPr>
                <w:szCs w:val="20"/>
              </w:rPr>
            </w:pPr>
            <w:r w:rsidRPr="00256C2E">
              <w:rPr>
                <w:szCs w:val="20"/>
              </w:rPr>
              <w:t>Fingolimod dominant</w:t>
            </w:r>
          </w:p>
        </w:tc>
      </w:tr>
      <w:tr w:rsidR="007962A7" w:rsidRPr="002A7A6F" w14:paraId="0D613D57" w14:textId="77777777" w:rsidTr="00256C2E">
        <w:trPr>
          <w:cantSplit/>
          <w:trHeight w:val="20"/>
        </w:trPr>
        <w:tc>
          <w:tcPr>
            <w:tcW w:w="1247" w:type="dxa"/>
            <w:shd w:val="clear" w:color="auto" w:fill="auto"/>
            <w:noWrap/>
            <w:vAlign w:val="center"/>
          </w:tcPr>
          <w:p w14:paraId="058DE9A7" w14:textId="77777777" w:rsidR="008600A3" w:rsidRPr="00256C2E" w:rsidRDefault="008600A3" w:rsidP="00256C2E">
            <w:pPr>
              <w:pStyle w:val="PBACTabletext"/>
              <w:widowControl w:val="0"/>
              <w:spacing w:after="0"/>
              <w:rPr>
                <w:b/>
                <w:bCs/>
                <w:szCs w:val="20"/>
              </w:rPr>
            </w:pPr>
            <w:r w:rsidRPr="00256C2E">
              <w:rPr>
                <w:b/>
                <w:bCs/>
                <w:szCs w:val="20"/>
              </w:rPr>
              <w:t>Transition probabilities - efficacy</w:t>
            </w:r>
          </w:p>
        </w:tc>
        <w:tc>
          <w:tcPr>
            <w:tcW w:w="1560" w:type="dxa"/>
            <w:shd w:val="clear" w:color="auto" w:fill="auto"/>
            <w:noWrap/>
            <w:vAlign w:val="center"/>
          </w:tcPr>
          <w:p w14:paraId="3049666A" w14:textId="77777777" w:rsidR="008600A3" w:rsidRPr="00256C2E" w:rsidRDefault="008600A3" w:rsidP="00256C2E">
            <w:pPr>
              <w:pStyle w:val="PBACTabletext"/>
              <w:widowControl w:val="0"/>
              <w:spacing w:after="0"/>
              <w:jc w:val="center"/>
              <w:rPr>
                <w:szCs w:val="20"/>
              </w:rPr>
            </w:pPr>
            <w:r w:rsidRPr="00256C2E">
              <w:rPr>
                <w:szCs w:val="20"/>
              </w:rPr>
              <w:t>Efficacy: EDSS progression</w:t>
            </w:r>
          </w:p>
        </w:tc>
        <w:tc>
          <w:tcPr>
            <w:tcW w:w="1701" w:type="dxa"/>
            <w:shd w:val="clear" w:color="auto" w:fill="auto"/>
            <w:noWrap/>
            <w:vAlign w:val="center"/>
          </w:tcPr>
          <w:p w14:paraId="0AEAB392" w14:textId="77777777" w:rsidR="008600A3" w:rsidRPr="00256C2E" w:rsidRDefault="008600A3" w:rsidP="00256C2E">
            <w:pPr>
              <w:pStyle w:val="PBACTabletext"/>
              <w:widowControl w:val="0"/>
              <w:spacing w:after="0"/>
              <w:jc w:val="center"/>
              <w:rPr>
                <w:szCs w:val="20"/>
              </w:rPr>
            </w:pPr>
            <w:r w:rsidRPr="00256C2E">
              <w:rPr>
                <w:szCs w:val="20"/>
              </w:rPr>
              <w:t>3mCDP HR vs PBO: Ofatumumab 0.459; fingolimod 0.72</w:t>
            </w:r>
          </w:p>
        </w:tc>
        <w:tc>
          <w:tcPr>
            <w:tcW w:w="1928" w:type="dxa"/>
            <w:shd w:val="clear" w:color="auto" w:fill="auto"/>
            <w:noWrap/>
            <w:vAlign w:val="center"/>
          </w:tcPr>
          <w:p w14:paraId="68F7B151" w14:textId="77777777" w:rsidR="008600A3" w:rsidRPr="00256C2E" w:rsidRDefault="008600A3" w:rsidP="00256C2E">
            <w:pPr>
              <w:pStyle w:val="PBACTabletext"/>
              <w:widowControl w:val="0"/>
              <w:spacing w:after="0"/>
              <w:jc w:val="center"/>
              <w:rPr>
                <w:szCs w:val="20"/>
              </w:rPr>
            </w:pPr>
            <w:r w:rsidRPr="00256C2E">
              <w:rPr>
                <w:szCs w:val="20"/>
              </w:rPr>
              <w:t>6mCDP HR vs PBO (Samjoo 2023): Ofatumumab 0.53; fingolimod 0.72</w:t>
            </w:r>
          </w:p>
        </w:tc>
        <w:tc>
          <w:tcPr>
            <w:tcW w:w="854" w:type="dxa"/>
            <w:tcBorders>
              <w:bottom w:val="single" w:sz="4" w:space="0" w:color="auto"/>
            </w:tcBorders>
            <w:shd w:val="solid" w:color="000000" w:fill="000000"/>
            <w:vAlign w:val="center"/>
          </w:tcPr>
          <w:p w14:paraId="015A62FF" w14:textId="68340BD1" w:rsidR="008600A3"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72"/>
                <w14:textFill>
                  <w14:solidFill>
                    <w14:srgbClr w14:val="000000">
                      <w14:alpha w14:val="100000"/>
                    </w14:srgbClr>
                  </w14:solidFill>
                </w14:textFill>
              </w:rPr>
              <w:t>|</w:t>
            </w:r>
            <w:r w:rsidRPr="00256C2E">
              <w:rPr>
                <w:color w:val="000000"/>
                <w:szCs w:val="20"/>
                <w:fitText w:val="168" w:id="-962405872"/>
                <w14:textFill>
                  <w14:solidFill>
                    <w14:srgbClr w14:val="000000">
                      <w14:alpha w14:val="100000"/>
                    </w14:srgbClr>
                  </w14:solidFill>
                </w14:textFill>
              </w:rPr>
              <w:t>|</w:t>
            </w:r>
          </w:p>
        </w:tc>
        <w:tc>
          <w:tcPr>
            <w:tcW w:w="706" w:type="dxa"/>
            <w:shd w:val="clear" w:color="auto" w:fill="auto"/>
            <w:noWrap/>
            <w:vAlign w:val="center"/>
          </w:tcPr>
          <w:p w14:paraId="039479B4" w14:textId="77777777" w:rsidR="008600A3" w:rsidRPr="00256C2E" w:rsidRDefault="008600A3" w:rsidP="00256C2E">
            <w:pPr>
              <w:pStyle w:val="PBACTabletext"/>
              <w:widowControl w:val="0"/>
              <w:spacing w:after="0"/>
              <w:jc w:val="center"/>
              <w:rPr>
                <w:szCs w:val="20"/>
              </w:rPr>
            </w:pPr>
            <w:r w:rsidRPr="00256C2E">
              <w:rPr>
                <w:szCs w:val="20"/>
              </w:rPr>
              <w:t>0.245</w:t>
            </w:r>
          </w:p>
        </w:tc>
        <w:tc>
          <w:tcPr>
            <w:tcW w:w="1250" w:type="dxa"/>
            <w:shd w:val="clear" w:color="auto" w:fill="auto"/>
            <w:noWrap/>
            <w:vAlign w:val="center"/>
          </w:tcPr>
          <w:p w14:paraId="720D902F" w14:textId="61725241" w:rsidR="008600A3"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8"/>
                <w14:textFill>
                  <w14:solidFill>
                    <w14:srgbClr w14:val="000000">
                      <w14:alpha w14:val="100000"/>
                    </w14:srgbClr>
                  </w14:solidFill>
                </w14:textFill>
              </w:rPr>
              <w:t xml:space="preserve">　</w:t>
            </w:r>
            <w:r w:rsidRPr="00256C2E">
              <w:rPr>
                <w:color w:val="000000"/>
                <w:w w:val="16"/>
                <w:szCs w:val="20"/>
                <w:shd w:val="solid" w:color="000000" w:fill="000000"/>
                <w:fitText w:val="72" w:id="-962405888"/>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8"/>
                <w14:textFill>
                  <w14:solidFill>
                    <w14:srgbClr w14:val="000000">
                      <w14:alpha w14:val="100000"/>
                    </w14:srgbClr>
                  </w14:solidFill>
                </w14:textFill>
              </w:rPr>
              <w:t xml:space="preserve">　</w:t>
            </w:r>
            <w:r w:rsidR="00FB6BA8" w:rsidRPr="00256C2E">
              <w:rPr>
                <w:szCs w:val="20"/>
                <w:vertAlign w:val="superscript"/>
              </w:rPr>
              <w:t>5</w:t>
            </w:r>
          </w:p>
        </w:tc>
      </w:tr>
      <w:tr w:rsidR="00C03FB6" w:rsidRPr="002A7A6F" w14:paraId="1937D949" w14:textId="77777777" w:rsidTr="00256C2E">
        <w:trPr>
          <w:cantSplit/>
          <w:trHeight w:val="20"/>
        </w:trPr>
        <w:tc>
          <w:tcPr>
            <w:tcW w:w="1247" w:type="dxa"/>
            <w:vMerge w:val="restart"/>
            <w:shd w:val="clear" w:color="auto" w:fill="auto"/>
            <w:noWrap/>
            <w:vAlign w:val="center"/>
          </w:tcPr>
          <w:p w14:paraId="667AFA29" w14:textId="77777777" w:rsidR="00110DF7" w:rsidRPr="00256C2E" w:rsidRDefault="00110DF7" w:rsidP="00256C2E">
            <w:pPr>
              <w:pStyle w:val="PBACTabletext"/>
              <w:widowControl w:val="0"/>
              <w:spacing w:after="0"/>
              <w:rPr>
                <w:b/>
                <w:bCs/>
                <w:szCs w:val="20"/>
              </w:rPr>
            </w:pPr>
            <w:r w:rsidRPr="00256C2E">
              <w:rPr>
                <w:b/>
                <w:bCs/>
                <w:szCs w:val="20"/>
              </w:rPr>
              <w:t>Drug costs</w:t>
            </w:r>
          </w:p>
        </w:tc>
        <w:tc>
          <w:tcPr>
            <w:tcW w:w="1560" w:type="dxa"/>
            <w:vMerge w:val="restart"/>
            <w:shd w:val="clear" w:color="auto" w:fill="auto"/>
            <w:noWrap/>
            <w:vAlign w:val="center"/>
          </w:tcPr>
          <w:p w14:paraId="16DBE2A5" w14:textId="77777777" w:rsidR="00110DF7" w:rsidRPr="00256C2E" w:rsidRDefault="00110DF7" w:rsidP="00256C2E">
            <w:pPr>
              <w:pStyle w:val="PBACTabletext"/>
              <w:widowControl w:val="0"/>
              <w:spacing w:after="0"/>
              <w:jc w:val="center"/>
              <w:rPr>
                <w:szCs w:val="20"/>
              </w:rPr>
            </w:pPr>
            <w:r w:rsidRPr="00256C2E">
              <w:rPr>
                <w:szCs w:val="20"/>
              </w:rPr>
              <w:t>Price of fingolimod</w:t>
            </w:r>
          </w:p>
        </w:tc>
        <w:tc>
          <w:tcPr>
            <w:tcW w:w="1701" w:type="dxa"/>
            <w:vMerge w:val="restart"/>
            <w:shd w:val="clear" w:color="auto" w:fill="auto"/>
            <w:noWrap/>
            <w:vAlign w:val="center"/>
          </w:tcPr>
          <w:p w14:paraId="0C928F10" w14:textId="77777777" w:rsidR="00110DF7" w:rsidRPr="00256C2E" w:rsidRDefault="00110DF7" w:rsidP="00256C2E">
            <w:pPr>
              <w:pStyle w:val="PBACTabletext"/>
              <w:widowControl w:val="0"/>
              <w:spacing w:after="0"/>
              <w:jc w:val="center"/>
              <w:rPr>
                <w:szCs w:val="20"/>
              </w:rPr>
            </w:pPr>
            <w:r w:rsidRPr="00256C2E">
              <w:rPr>
                <w:szCs w:val="20"/>
              </w:rPr>
              <w:t>Dec 2022 price</w:t>
            </w:r>
          </w:p>
        </w:tc>
        <w:tc>
          <w:tcPr>
            <w:tcW w:w="1928" w:type="dxa"/>
            <w:shd w:val="clear" w:color="auto" w:fill="auto"/>
            <w:noWrap/>
            <w:vAlign w:val="center"/>
          </w:tcPr>
          <w:p w14:paraId="6D871859" w14:textId="1EAD71B5" w:rsidR="00110DF7" w:rsidRPr="00256C2E" w:rsidRDefault="00110DF7" w:rsidP="00256C2E">
            <w:pPr>
              <w:pStyle w:val="PBACTabletext"/>
              <w:widowControl w:val="0"/>
              <w:spacing w:after="0"/>
              <w:jc w:val="center"/>
              <w:rPr>
                <w:szCs w:val="20"/>
              </w:rPr>
            </w:pPr>
            <w:r w:rsidRPr="00256C2E">
              <w:rPr>
                <w:szCs w:val="20"/>
              </w:rPr>
              <w:t xml:space="preserve">20% fingolimod </w:t>
            </w:r>
            <w:r w:rsidR="00BC3F8F" w:rsidRPr="00256C2E">
              <w:rPr>
                <w:szCs w:val="20"/>
              </w:rPr>
              <w:t>reduction</w:t>
            </w:r>
          </w:p>
        </w:tc>
        <w:tc>
          <w:tcPr>
            <w:tcW w:w="854" w:type="dxa"/>
            <w:tcBorders>
              <w:bottom w:val="single" w:sz="4" w:space="0" w:color="auto"/>
            </w:tcBorders>
            <w:shd w:val="solid" w:color="000000" w:fill="000000"/>
            <w:vAlign w:val="center"/>
          </w:tcPr>
          <w:p w14:paraId="72BE0FBB" w14:textId="4F6081B6" w:rsidR="00110DF7"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87"/>
                <w14:textFill>
                  <w14:solidFill>
                    <w14:srgbClr w14:val="000000">
                      <w14:alpha w14:val="100000"/>
                    </w14:srgbClr>
                  </w14:solidFill>
                </w14:textFill>
              </w:rPr>
              <w:t>|</w:t>
            </w:r>
            <w:r w:rsidRPr="00256C2E">
              <w:rPr>
                <w:color w:val="000000"/>
                <w:szCs w:val="20"/>
                <w:fitText w:val="168" w:id="-962405887"/>
                <w14:textFill>
                  <w14:solidFill>
                    <w14:srgbClr w14:val="000000">
                      <w14:alpha w14:val="100000"/>
                    </w14:srgbClr>
                  </w14:solidFill>
                </w14:textFill>
              </w:rPr>
              <w:t>|</w:t>
            </w:r>
          </w:p>
        </w:tc>
        <w:tc>
          <w:tcPr>
            <w:tcW w:w="706" w:type="dxa"/>
            <w:shd w:val="clear" w:color="auto" w:fill="auto"/>
            <w:noWrap/>
            <w:vAlign w:val="center"/>
          </w:tcPr>
          <w:p w14:paraId="006E6D74" w14:textId="77777777" w:rsidR="00110DF7" w:rsidRPr="00256C2E" w:rsidRDefault="00110DF7" w:rsidP="00256C2E">
            <w:pPr>
              <w:pStyle w:val="PBACTabletext"/>
              <w:widowControl w:val="0"/>
              <w:spacing w:after="0"/>
              <w:jc w:val="center"/>
              <w:rPr>
                <w:szCs w:val="20"/>
              </w:rPr>
            </w:pPr>
            <w:r w:rsidRPr="00256C2E">
              <w:rPr>
                <w:szCs w:val="20"/>
              </w:rPr>
              <w:t>0.473</w:t>
            </w:r>
          </w:p>
        </w:tc>
        <w:tc>
          <w:tcPr>
            <w:tcW w:w="1250" w:type="dxa"/>
            <w:shd w:val="clear" w:color="auto" w:fill="auto"/>
            <w:noWrap/>
            <w:vAlign w:val="center"/>
          </w:tcPr>
          <w:p w14:paraId="276999A3" w14:textId="68AD511D" w:rsidR="00110DF7"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6"/>
                <w14:textFill>
                  <w14:solidFill>
                    <w14:srgbClr w14:val="000000">
                      <w14:alpha w14:val="100000"/>
                    </w14:srgbClr>
                  </w14:solidFill>
                </w14:textFill>
              </w:rPr>
              <w:t xml:space="preserve">　</w:t>
            </w:r>
            <w:r w:rsidRPr="00256C2E">
              <w:rPr>
                <w:color w:val="000000"/>
                <w:w w:val="16"/>
                <w:szCs w:val="20"/>
                <w:shd w:val="solid" w:color="000000" w:fill="000000"/>
                <w:fitText w:val="72" w:id="-962405886"/>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6"/>
                <w14:textFill>
                  <w14:solidFill>
                    <w14:srgbClr w14:val="000000">
                      <w14:alpha w14:val="100000"/>
                    </w14:srgbClr>
                  </w14:solidFill>
                </w14:textFill>
              </w:rPr>
              <w:t xml:space="preserve">　</w:t>
            </w:r>
            <w:r w:rsidR="001B3BCD" w:rsidRPr="00256C2E">
              <w:rPr>
                <w:szCs w:val="20"/>
                <w:vertAlign w:val="superscript"/>
              </w:rPr>
              <w:t>2</w:t>
            </w:r>
          </w:p>
        </w:tc>
      </w:tr>
      <w:tr w:rsidR="00C03FB6" w:rsidRPr="002A7A6F" w14:paraId="5E7F5E17" w14:textId="77777777" w:rsidTr="00256C2E">
        <w:trPr>
          <w:cantSplit/>
          <w:trHeight w:val="20"/>
        </w:trPr>
        <w:tc>
          <w:tcPr>
            <w:tcW w:w="1247" w:type="dxa"/>
            <w:vMerge/>
            <w:shd w:val="clear" w:color="auto" w:fill="auto"/>
            <w:noWrap/>
            <w:vAlign w:val="center"/>
          </w:tcPr>
          <w:p w14:paraId="0E97870C" w14:textId="77777777" w:rsidR="00110DF7" w:rsidRPr="00256C2E" w:rsidRDefault="00110DF7" w:rsidP="00256C2E">
            <w:pPr>
              <w:pStyle w:val="PBACTabletext"/>
              <w:widowControl w:val="0"/>
              <w:spacing w:after="0"/>
              <w:rPr>
                <w:b/>
                <w:bCs/>
                <w:szCs w:val="20"/>
              </w:rPr>
            </w:pPr>
          </w:p>
        </w:tc>
        <w:tc>
          <w:tcPr>
            <w:tcW w:w="1560" w:type="dxa"/>
            <w:vMerge/>
            <w:shd w:val="clear" w:color="auto" w:fill="auto"/>
            <w:noWrap/>
            <w:vAlign w:val="center"/>
          </w:tcPr>
          <w:p w14:paraId="6624980F" w14:textId="77777777" w:rsidR="00110DF7" w:rsidRPr="00256C2E" w:rsidRDefault="00110DF7" w:rsidP="00256C2E">
            <w:pPr>
              <w:pStyle w:val="PBACTabletext"/>
              <w:widowControl w:val="0"/>
              <w:spacing w:after="0"/>
              <w:jc w:val="center"/>
              <w:rPr>
                <w:szCs w:val="20"/>
              </w:rPr>
            </w:pPr>
          </w:p>
        </w:tc>
        <w:tc>
          <w:tcPr>
            <w:tcW w:w="1701" w:type="dxa"/>
            <w:vMerge/>
            <w:shd w:val="clear" w:color="auto" w:fill="auto"/>
            <w:noWrap/>
            <w:vAlign w:val="center"/>
          </w:tcPr>
          <w:p w14:paraId="24EA5E97" w14:textId="77777777" w:rsidR="00110DF7" w:rsidRPr="00256C2E" w:rsidRDefault="00110DF7" w:rsidP="00256C2E">
            <w:pPr>
              <w:pStyle w:val="PBACTabletext"/>
              <w:widowControl w:val="0"/>
              <w:spacing w:after="0"/>
              <w:jc w:val="center"/>
              <w:rPr>
                <w:szCs w:val="20"/>
              </w:rPr>
            </w:pPr>
          </w:p>
        </w:tc>
        <w:tc>
          <w:tcPr>
            <w:tcW w:w="1928" w:type="dxa"/>
            <w:shd w:val="clear" w:color="auto" w:fill="auto"/>
            <w:noWrap/>
            <w:vAlign w:val="center"/>
          </w:tcPr>
          <w:p w14:paraId="4E3B8EA3" w14:textId="1D7D87BE" w:rsidR="00110DF7" w:rsidRPr="00256C2E" w:rsidRDefault="00110DF7" w:rsidP="00256C2E">
            <w:pPr>
              <w:pStyle w:val="PBACTabletext"/>
              <w:widowControl w:val="0"/>
              <w:spacing w:after="0"/>
              <w:jc w:val="center"/>
              <w:rPr>
                <w:szCs w:val="20"/>
              </w:rPr>
            </w:pPr>
            <w:r w:rsidRPr="00256C2E">
              <w:rPr>
                <w:szCs w:val="20"/>
              </w:rPr>
              <w:t>Two fingolimod 20% price reductions</w:t>
            </w:r>
          </w:p>
        </w:tc>
        <w:tc>
          <w:tcPr>
            <w:tcW w:w="854" w:type="dxa"/>
            <w:tcBorders>
              <w:bottom w:val="single" w:sz="4" w:space="0" w:color="auto"/>
            </w:tcBorders>
            <w:shd w:val="solid" w:color="000000" w:fill="000000"/>
            <w:vAlign w:val="center"/>
          </w:tcPr>
          <w:p w14:paraId="5DDBDD80" w14:textId="1FB9631E" w:rsidR="00110DF7" w:rsidRPr="00256C2E" w:rsidRDefault="00A121F0" w:rsidP="00256C2E">
            <w:pPr>
              <w:pStyle w:val="PBACTabletext"/>
              <w:widowControl w:val="0"/>
              <w:spacing w:after="0"/>
              <w:jc w:val="center"/>
              <w:rPr>
                <w:szCs w:val="20"/>
                <w:highlight w:val="lightGray"/>
              </w:rPr>
            </w:pPr>
            <w:r w:rsidRPr="00256C2E">
              <w:rPr>
                <w:color w:val="000000"/>
                <w:spacing w:val="82"/>
                <w:szCs w:val="20"/>
                <w:fitText w:val="168" w:id="-962405885"/>
                <w14:textFill>
                  <w14:solidFill>
                    <w14:srgbClr w14:val="000000">
                      <w14:alpha w14:val="100000"/>
                    </w14:srgbClr>
                  </w14:solidFill>
                </w14:textFill>
              </w:rPr>
              <w:t>|</w:t>
            </w:r>
            <w:r w:rsidRPr="00256C2E">
              <w:rPr>
                <w:color w:val="000000"/>
                <w:szCs w:val="20"/>
                <w:fitText w:val="168" w:id="-962405885"/>
                <w14:textFill>
                  <w14:solidFill>
                    <w14:srgbClr w14:val="000000">
                      <w14:alpha w14:val="100000"/>
                    </w14:srgbClr>
                  </w14:solidFill>
                </w14:textFill>
              </w:rPr>
              <w:t>|</w:t>
            </w:r>
          </w:p>
        </w:tc>
        <w:tc>
          <w:tcPr>
            <w:tcW w:w="706" w:type="dxa"/>
            <w:shd w:val="clear" w:color="auto" w:fill="auto"/>
            <w:noWrap/>
            <w:vAlign w:val="center"/>
          </w:tcPr>
          <w:p w14:paraId="56CD72FB" w14:textId="77777777" w:rsidR="00110DF7" w:rsidRPr="00256C2E" w:rsidRDefault="00110DF7" w:rsidP="00256C2E">
            <w:pPr>
              <w:pStyle w:val="PBACTabletext"/>
              <w:widowControl w:val="0"/>
              <w:spacing w:after="0"/>
              <w:jc w:val="center"/>
              <w:rPr>
                <w:szCs w:val="20"/>
              </w:rPr>
            </w:pPr>
            <w:r w:rsidRPr="00256C2E">
              <w:rPr>
                <w:szCs w:val="20"/>
              </w:rPr>
              <w:t>0.473</w:t>
            </w:r>
          </w:p>
        </w:tc>
        <w:tc>
          <w:tcPr>
            <w:tcW w:w="1250" w:type="dxa"/>
            <w:shd w:val="clear" w:color="auto" w:fill="auto"/>
            <w:noWrap/>
            <w:vAlign w:val="center"/>
          </w:tcPr>
          <w:p w14:paraId="22C0EE36" w14:textId="3162D737" w:rsidR="00110DF7"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4"/>
                <w14:textFill>
                  <w14:solidFill>
                    <w14:srgbClr w14:val="000000">
                      <w14:alpha w14:val="100000"/>
                    </w14:srgbClr>
                  </w14:solidFill>
                </w14:textFill>
              </w:rPr>
              <w:t xml:space="preserve">　</w:t>
            </w:r>
            <w:r w:rsidRPr="00256C2E">
              <w:rPr>
                <w:color w:val="000000"/>
                <w:w w:val="16"/>
                <w:szCs w:val="20"/>
                <w:shd w:val="solid" w:color="000000" w:fill="000000"/>
                <w:fitText w:val="72" w:id="-962405884"/>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4"/>
                <w14:textFill>
                  <w14:solidFill>
                    <w14:srgbClr w14:val="000000">
                      <w14:alpha w14:val="100000"/>
                    </w14:srgbClr>
                  </w14:solidFill>
                </w14:textFill>
              </w:rPr>
              <w:t xml:space="preserve">　</w:t>
            </w:r>
            <w:r w:rsidR="00FB6BA8" w:rsidRPr="00256C2E">
              <w:rPr>
                <w:szCs w:val="20"/>
                <w:vertAlign w:val="superscript"/>
              </w:rPr>
              <w:t>6</w:t>
            </w:r>
          </w:p>
        </w:tc>
      </w:tr>
      <w:tr w:rsidR="00C03FB6" w:rsidRPr="002A7A6F" w14:paraId="011F2A6E" w14:textId="77777777" w:rsidTr="00256C2E">
        <w:trPr>
          <w:cantSplit/>
          <w:trHeight w:val="20"/>
        </w:trPr>
        <w:tc>
          <w:tcPr>
            <w:tcW w:w="1247" w:type="dxa"/>
            <w:vMerge/>
            <w:shd w:val="clear" w:color="auto" w:fill="auto"/>
            <w:noWrap/>
            <w:vAlign w:val="center"/>
          </w:tcPr>
          <w:p w14:paraId="57497557" w14:textId="77777777" w:rsidR="00110DF7" w:rsidRPr="00256C2E" w:rsidRDefault="00110DF7" w:rsidP="00256C2E">
            <w:pPr>
              <w:pStyle w:val="PBACTabletext"/>
              <w:widowControl w:val="0"/>
              <w:spacing w:after="0"/>
              <w:rPr>
                <w:b/>
                <w:bCs/>
                <w:szCs w:val="20"/>
              </w:rPr>
            </w:pPr>
          </w:p>
        </w:tc>
        <w:tc>
          <w:tcPr>
            <w:tcW w:w="1560" w:type="dxa"/>
            <w:shd w:val="clear" w:color="auto" w:fill="auto"/>
            <w:noWrap/>
            <w:vAlign w:val="center"/>
          </w:tcPr>
          <w:p w14:paraId="38277468" w14:textId="77777777" w:rsidR="00110DF7" w:rsidRPr="00256C2E" w:rsidRDefault="00110DF7" w:rsidP="00256C2E">
            <w:pPr>
              <w:pStyle w:val="PBACTabletext"/>
              <w:widowControl w:val="0"/>
              <w:spacing w:after="0"/>
              <w:jc w:val="center"/>
              <w:rPr>
                <w:szCs w:val="20"/>
              </w:rPr>
            </w:pPr>
            <w:r w:rsidRPr="00256C2E">
              <w:rPr>
                <w:szCs w:val="20"/>
              </w:rPr>
              <w:t>Number of doses of ofatumumab</w:t>
            </w:r>
          </w:p>
        </w:tc>
        <w:tc>
          <w:tcPr>
            <w:tcW w:w="1701" w:type="dxa"/>
            <w:shd w:val="clear" w:color="auto" w:fill="auto"/>
            <w:noWrap/>
            <w:vAlign w:val="center"/>
          </w:tcPr>
          <w:p w14:paraId="5CA97F8A" w14:textId="77777777" w:rsidR="00110DF7" w:rsidRPr="00256C2E" w:rsidRDefault="00110DF7" w:rsidP="00256C2E">
            <w:pPr>
              <w:pStyle w:val="PBACTabletext"/>
              <w:widowControl w:val="0"/>
              <w:spacing w:after="0"/>
              <w:jc w:val="center"/>
              <w:rPr>
                <w:szCs w:val="20"/>
              </w:rPr>
            </w:pPr>
            <w:r w:rsidRPr="00256C2E">
              <w:rPr>
                <w:szCs w:val="20"/>
              </w:rPr>
              <w:t>Year 1: 14;</w:t>
            </w:r>
          </w:p>
          <w:p w14:paraId="6D8EAF17" w14:textId="77777777" w:rsidR="00110DF7" w:rsidRPr="00256C2E" w:rsidRDefault="00110DF7" w:rsidP="00256C2E">
            <w:pPr>
              <w:pStyle w:val="PBACTabletext"/>
              <w:widowControl w:val="0"/>
              <w:spacing w:after="0"/>
              <w:jc w:val="center"/>
              <w:rPr>
                <w:szCs w:val="20"/>
              </w:rPr>
            </w:pPr>
            <w:r w:rsidRPr="00256C2E">
              <w:rPr>
                <w:szCs w:val="20"/>
              </w:rPr>
              <w:t>Year 2+: 12</w:t>
            </w:r>
          </w:p>
        </w:tc>
        <w:tc>
          <w:tcPr>
            <w:tcW w:w="1928" w:type="dxa"/>
            <w:shd w:val="clear" w:color="auto" w:fill="auto"/>
            <w:noWrap/>
            <w:vAlign w:val="center"/>
          </w:tcPr>
          <w:p w14:paraId="15DFFD05" w14:textId="77777777" w:rsidR="00110DF7" w:rsidRPr="00256C2E" w:rsidRDefault="00110DF7" w:rsidP="00256C2E">
            <w:pPr>
              <w:pStyle w:val="PBACTabletext"/>
              <w:widowControl w:val="0"/>
              <w:spacing w:after="0"/>
              <w:jc w:val="center"/>
              <w:rPr>
                <w:szCs w:val="20"/>
              </w:rPr>
            </w:pPr>
            <w:r w:rsidRPr="00256C2E">
              <w:rPr>
                <w:szCs w:val="20"/>
              </w:rPr>
              <w:t>Year 1: 15;</w:t>
            </w:r>
          </w:p>
          <w:p w14:paraId="4CFA5F70" w14:textId="77777777" w:rsidR="00110DF7" w:rsidRPr="00256C2E" w:rsidRDefault="00110DF7" w:rsidP="00256C2E">
            <w:pPr>
              <w:pStyle w:val="PBACTabletext"/>
              <w:widowControl w:val="0"/>
              <w:spacing w:after="0"/>
              <w:jc w:val="center"/>
              <w:rPr>
                <w:szCs w:val="20"/>
              </w:rPr>
            </w:pPr>
            <w:r w:rsidRPr="00256C2E">
              <w:rPr>
                <w:szCs w:val="20"/>
              </w:rPr>
              <w:t>Year 2+: 13 as in ASCLEPIOS</w:t>
            </w:r>
          </w:p>
        </w:tc>
        <w:tc>
          <w:tcPr>
            <w:tcW w:w="854" w:type="dxa"/>
            <w:tcBorders>
              <w:bottom w:val="single" w:sz="4" w:space="0" w:color="auto"/>
            </w:tcBorders>
            <w:shd w:val="solid" w:color="000000" w:fill="000000"/>
            <w:vAlign w:val="center"/>
          </w:tcPr>
          <w:p w14:paraId="3C2C357D" w14:textId="7E0FB581" w:rsidR="00110DF7" w:rsidRPr="00256C2E" w:rsidRDefault="00A121F0" w:rsidP="00256C2E">
            <w:pPr>
              <w:pStyle w:val="PBACTabletext"/>
              <w:widowControl w:val="0"/>
              <w:spacing w:after="0"/>
              <w:jc w:val="center"/>
              <w:rPr>
                <w:szCs w:val="20"/>
                <w:highlight w:val="lightGray"/>
              </w:rPr>
            </w:pPr>
            <w:r w:rsidRPr="00256C2E">
              <w:rPr>
                <w:rStyle w:val="CommentReference"/>
                <w:rFonts w:cs="Times New Roman"/>
                <w:b w:val="0"/>
                <w:color w:val="000000"/>
                <w:spacing w:val="82"/>
                <w:szCs w:val="20"/>
                <w:fitText w:val="168" w:id="-962405883"/>
                <w:lang w:eastAsia="en-AU"/>
                <w14:textFill>
                  <w14:solidFill>
                    <w14:srgbClr w14:val="000000">
                      <w14:alpha w14:val="100000"/>
                    </w14:srgbClr>
                  </w14:solidFill>
                </w14:textFill>
              </w:rPr>
              <w:t>|</w:t>
            </w:r>
            <w:r w:rsidRPr="00256C2E">
              <w:rPr>
                <w:rStyle w:val="CommentReference"/>
                <w:rFonts w:cs="Times New Roman"/>
                <w:b w:val="0"/>
                <w:color w:val="000000"/>
                <w:szCs w:val="20"/>
                <w:fitText w:val="168" w:id="-962405883"/>
                <w:lang w:eastAsia="en-AU"/>
                <w14:textFill>
                  <w14:solidFill>
                    <w14:srgbClr w14:val="000000">
                      <w14:alpha w14:val="100000"/>
                    </w14:srgbClr>
                  </w14:solidFill>
                </w14:textFill>
              </w:rPr>
              <w:t>|</w:t>
            </w:r>
          </w:p>
        </w:tc>
        <w:tc>
          <w:tcPr>
            <w:tcW w:w="706" w:type="dxa"/>
            <w:shd w:val="clear" w:color="auto" w:fill="auto"/>
            <w:noWrap/>
            <w:vAlign w:val="center"/>
          </w:tcPr>
          <w:p w14:paraId="070CC22C" w14:textId="77777777" w:rsidR="00110DF7" w:rsidRPr="00256C2E" w:rsidRDefault="00110DF7" w:rsidP="00256C2E">
            <w:pPr>
              <w:pStyle w:val="PBACTabletext"/>
              <w:widowControl w:val="0"/>
              <w:spacing w:after="0"/>
              <w:jc w:val="center"/>
              <w:rPr>
                <w:szCs w:val="20"/>
              </w:rPr>
            </w:pPr>
            <w:r w:rsidRPr="00256C2E">
              <w:rPr>
                <w:szCs w:val="20"/>
              </w:rPr>
              <w:t>0.473</w:t>
            </w:r>
          </w:p>
        </w:tc>
        <w:tc>
          <w:tcPr>
            <w:tcW w:w="1250" w:type="dxa"/>
            <w:shd w:val="clear" w:color="auto" w:fill="auto"/>
            <w:noWrap/>
            <w:vAlign w:val="center"/>
          </w:tcPr>
          <w:p w14:paraId="0F81C996" w14:textId="7CFA3FBB" w:rsidR="00110DF7"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2"/>
                <w14:textFill>
                  <w14:solidFill>
                    <w14:srgbClr w14:val="000000">
                      <w14:alpha w14:val="100000"/>
                    </w14:srgbClr>
                  </w14:solidFill>
                </w14:textFill>
              </w:rPr>
              <w:t xml:space="preserve">　</w:t>
            </w:r>
            <w:r w:rsidRPr="00256C2E">
              <w:rPr>
                <w:color w:val="000000"/>
                <w:w w:val="16"/>
                <w:szCs w:val="20"/>
                <w:shd w:val="solid" w:color="000000" w:fill="000000"/>
                <w:fitText w:val="72" w:id="-962405882"/>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2"/>
                <w14:textFill>
                  <w14:solidFill>
                    <w14:srgbClr w14:val="000000">
                      <w14:alpha w14:val="100000"/>
                    </w14:srgbClr>
                  </w14:solidFill>
                </w14:textFill>
              </w:rPr>
              <w:t xml:space="preserve">　</w:t>
            </w:r>
            <w:r w:rsidR="00FB6BA8" w:rsidRPr="00256C2E">
              <w:rPr>
                <w:szCs w:val="20"/>
                <w:vertAlign w:val="superscript"/>
              </w:rPr>
              <w:t>5</w:t>
            </w:r>
          </w:p>
        </w:tc>
      </w:tr>
      <w:tr w:rsidR="00C03FB6" w:rsidRPr="002A7A6F" w14:paraId="00B374F0" w14:textId="77777777" w:rsidTr="00256C2E">
        <w:trPr>
          <w:cantSplit/>
          <w:trHeight w:val="20"/>
        </w:trPr>
        <w:tc>
          <w:tcPr>
            <w:tcW w:w="1247" w:type="dxa"/>
            <w:vMerge/>
            <w:tcBorders>
              <w:bottom w:val="single" w:sz="4" w:space="0" w:color="auto"/>
            </w:tcBorders>
            <w:shd w:val="clear" w:color="auto" w:fill="auto"/>
            <w:noWrap/>
            <w:vAlign w:val="center"/>
          </w:tcPr>
          <w:p w14:paraId="0FA53296" w14:textId="77777777" w:rsidR="00110DF7" w:rsidRPr="00256C2E" w:rsidRDefault="00110DF7" w:rsidP="00256C2E">
            <w:pPr>
              <w:pStyle w:val="PBACTabletext"/>
              <w:widowControl w:val="0"/>
              <w:spacing w:after="0"/>
              <w:rPr>
                <w:b/>
                <w:bCs/>
                <w:szCs w:val="20"/>
              </w:rPr>
            </w:pPr>
          </w:p>
        </w:tc>
        <w:tc>
          <w:tcPr>
            <w:tcW w:w="1560" w:type="dxa"/>
            <w:shd w:val="clear" w:color="auto" w:fill="auto"/>
            <w:noWrap/>
            <w:vAlign w:val="center"/>
          </w:tcPr>
          <w:p w14:paraId="4F926262" w14:textId="206445E5" w:rsidR="00110DF7" w:rsidRPr="00256C2E" w:rsidRDefault="00110DF7" w:rsidP="00256C2E">
            <w:pPr>
              <w:pStyle w:val="PBACTabletext"/>
              <w:widowControl w:val="0"/>
              <w:spacing w:after="0"/>
              <w:jc w:val="center"/>
              <w:rPr>
                <w:szCs w:val="20"/>
              </w:rPr>
            </w:pPr>
            <w:r w:rsidRPr="00256C2E">
              <w:rPr>
                <w:szCs w:val="20"/>
              </w:rPr>
              <w:t>Ofatumumab doses in year 1 (6 months after half cycle correction)</w:t>
            </w:r>
          </w:p>
        </w:tc>
        <w:tc>
          <w:tcPr>
            <w:tcW w:w="1701" w:type="dxa"/>
            <w:shd w:val="clear" w:color="auto" w:fill="auto"/>
            <w:noWrap/>
            <w:vAlign w:val="center"/>
          </w:tcPr>
          <w:p w14:paraId="3DD524CA" w14:textId="72C35A97" w:rsidR="00110DF7" w:rsidRPr="00256C2E" w:rsidRDefault="00110DF7" w:rsidP="00256C2E">
            <w:pPr>
              <w:pStyle w:val="PBACTabletext"/>
              <w:widowControl w:val="0"/>
              <w:spacing w:after="0"/>
              <w:jc w:val="center"/>
              <w:rPr>
                <w:szCs w:val="20"/>
              </w:rPr>
            </w:pPr>
            <w:r w:rsidRPr="00256C2E">
              <w:rPr>
                <w:szCs w:val="20"/>
              </w:rPr>
              <w:t>7</w:t>
            </w:r>
          </w:p>
        </w:tc>
        <w:tc>
          <w:tcPr>
            <w:tcW w:w="1928" w:type="dxa"/>
            <w:shd w:val="clear" w:color="auto" w:fill="auto"/>
            <w:noWrap/>
            <w:vAlign w:val="center"/>
          </w:tcPr>
          <w:p w14:paraId="34F13565" w14:textId="4B774F9C" w:rsidR="00110DF7" w:rsidRPr="00256C2E" w:rsidRDefault="00110DF7" w:rsidP="00256C2E">
            <w:pPr>
              <w:pStyle w:val="PBACTabletext"/>
              <w:widowControl w:val="0"/>
              <w:spacing w:after="0"/>
              <w:jc w:val="center"/>
              <w:rPr>
                <w:szCs w:val="20"/>
              </w:rPr>
            </w:pPr>
            <w:r w:rsidRPr="00256C2E">
              <w:rPr>
                <w:szCs w:val="20"/>
              </w:rPr>
              <w:t>8</w:t>
            </w:r>
          </w:p>
        </w:tc>
        <w:tc>
          <w:tcPr>
            <w:tcW w:w="854" w:type="dxa"/>
            <w:tcBorders>
              <w:bottom w:val="single" w:sz="4" w:space="0" w:color="auto"/>
            </w:tcBorders>
            <w:shd w:val="solid" w:color="000000" w:fill="000000"/>
            <w:vAlign w:val="center"/>
          </w:tcPr>
          <w:p w14:paraId="249A3FA1" w14:textId="31222BFF" w:rsidR="00110DF7" w:rsidRPr="00256C2E" w:rsidRDefault="00A121F0" w:rsidP="00256C2E">
            <w:pPr>
              <w:pStyle w:val="PBACTabletext"/>
              <w:widowControl w:val="0"/>
              <w:spacing w:after="0"/>
              <w:jc w:val="center"/>
              <w:rPr>
                <w:rStyle w:val="CommentReference"/>
                <w:rFonts w:cs="Times New Roman"/>
                <w:b w:val="0"/>
                <w:szCs w:val="20"/>
                <w:highlight w:val="lightGray"/>
                <w:lang w:eastAsia="en-AU"/>
              </w:rPr>
            </w:pPr>
            <w:r w:rsidRPr="00256C2E">
              <w:rPr>
                <w:color w:val="000000"/>
                <w:spacing w:val="82"/>
                <w:szCs w:val="20"/>
                <w:fitText w:val="168" w:id="-962405881"/>
                <w14:textFill>
                  <w14:solidFill>
                    <w14:srgbClr w14:val="000000">
                      <w14:alpha w14:val="100000"/>
                    </w14:srgbClr>
                  </w14:solidFill>
                </w14:textFill>
              </w:rPr>
              <w:t>|</w:t>
            </w:r>
            <w:r w:rsidRPr="00256C2E">
              <w:rPr>
                <w:color w:val="000000"/>
                <w:szCs w:val="20"/>
                <w:fitText w:val="168" w:id="-962405881"/>
                <w14:textFill>
                  <w14:solidFill>
                    <w14:srgbClr w14:val="000000">
                      <w14:alpha w14:val="100000"/>
                    </w14:srgbClr>
                  </w14:solidFill>
                </w14:textFill>
              </w:rPr>
              <w:t>|</w:t>
            </w:r>
          </w:p>
        </w:tc>
        <w:tc>
          <w:tcPr>
            <w:tcW w:w="706" w:type="dxa"/>
            <w:shd w:val="clear" w:color="auto" w:fill="auto"/>
            <w:noWrap/>
            <w:vAlign w:val="center"/>
          </w:tcPr>
          <w:p w14:paraId="4C87D875" w14:textId="2163AF8E" w:rsidR="00110DF7" w:rsidRPr="00256C2E" w:rsidRDefault="00110DF7" w:rsidP="00256C2E">
            <w:pPr>
              <w:pStyle w:val="PBACTabletext"/>
              <w:widowControl w:val="0"/>
              <w:spacing w:after="0"/>
              <w:jc w:val="center"/>
              <w:rPr>
                <w:szCs w:val="20"/>
              </w:rPr>
            </w:pPr>
            <w:r w:rsidRPr="00256C2E">
              <w:rPr>
                <w:szCs w:val="20"/>
              </w:rPr>
              <w:t>0.473</w:t>
            </w:r>
          </w:p>
        </w:tc>
        <w:tc>
          <w:tcPr>
            <w:tcW w:w="1250" w:type="dxa"/>
            <w:shd w:val="clear" w:color="auto" w:fill="auto"/>
            <w:noWrap/>
            <w:vAlign w:val="center"/>
          </w:tcPr>
          <w:p w14:paraId="1287D999" w14:textId="0AFE4CB2" w:rsidR="00110DF7"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80"/>
                <w14:textFill>
                  <w14:solidFill>
                    <w14:srgbClr w14:val="000000">
                      <w14:alpha w14:val="100000"/>
                    </w14:srgbClr>
                  </w14:solidFill>
                </w14:textFill>
              </w:rPr>
              <w:t xml:space="preserve">　</w:t>
            </w:r>
            <w:r w:rsidRPr="00256C2E">
              <w:rPr>
                <w:color w:val="000000"/>
                <w:w w:val="16"/>
                <w:szCs w:val="20"/>
                <w:shd w:val="solid" w:color="000000" w:fill="000000"/>
                <w:fitText w:val="72" w:id="-962405880"/>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80"/>
                <w14:textFill>
                  <w14:solidFill>
                    <w14:srgbClr w14:val="000000">
                      <w14:alpha w14:val="100000"/>
                    </w14:srgbClr>
                  </w14:solidFill>
                </w14:textFill>
              </w:rPr>
              <w:t xml:space="preserve">　</w:t>
            </w:r>
            <w:r w:rsidR="00FB6BA8" w:rsidRPr="00256C2E">
              <w:rPr>
                <w:szCs w:val="20"/>
                <w:vertAlign w:val="superscript"/>
              </w:rPr>
              <w:t>7</w:t>
            </w:r>
          </w:p>
        </w:tc>
      </w:tr>
      <w:tr w:rsidR="007962A7" w:rsidRPr="002A7A6F" w14:paraId="077C03AF" w14:textId="77777777" w:rsidTr="00256C2E">
        <w:trPr>
          <w:cantSplit/>
          <w:trHeight w:val="20"/>
        </w:trPr>
        <w:tc>
          <w:tcPr>
            <w:tcW w:w="1247" w:type="dxa"/>
            <w:shd w:val="clear" w:color="auto" w:fill="auto"/>
            <w:noWrap/>
            <w:vAlign w:val="center"/>
          </w:tcPr>
          <w:p w14:paraId="23AB7483" w14:textId="77777777" w:rsidR="008600A3" w:rsidRPr="00256C2E" w:rsidRDefault="008600A3" w:rsidP="00256C2E">
            <w:pPr>
              <w:pStyle w:val="PBACTabletext"/>
              <w:widowControl w:val="0"/>
              <w:spacing w:after="0"/>
              <w:rPr>
                <w:b/>
                <w:bCs/>
                <w:szCs w:val="20"/>
                <w:highlight w:val="green"/>
              </w:rPr>
            </w:pPr>
            <w:r w:rsidRPr="00256C2E">
              <w:rPr>
                <w:b/>
                <w:bCs/>
                <w:szCs w:val="20"/>
              </w:rPr>
              <w:t>Health care resource costs</w:t>
            </w:r>
          </w:p>
        </w:tc>
        <w:tc>
          <w:tcPr>
            <w:tcW w:w="1560" w:type="dxa"/>
            <w:shd w:val="clear" w:color="auto" w:fill="auto"/>
            <w:noWrap/>
            <w:vAlign w:val="center"/>
          </w:tcPr>
          <w:p w14:paraId="03A18210" w14:textId="77777777" w:rsidR="008600A3" w:rsidRPr="00256C2E" w:rsidRDefault="008600A3" w:rsidP="00256C2E">
            <w:pPr>
              <w:pStyle w:val="PBACTabletext"/>
              <w:widowControl w:val="0"/>
              <w:spacing w:after="0"/>
              <w:jc w:val="center"/>
              <w:rPr>
                <w:szCs w:val="20"/>
              </w:rPr>
            </w:pPr>
            <w:r w:rsidRPr="00256C2E">
              <w:rPr>
                <w:szCs w:val="20"/>
              </w:rPr>
              <w:t>Drug costs in EDSS health states</w:t>
            </w:r>
          </w:p>
        </w:tc>
        <w:tc>
          <w:tcPr>
            <w:tcW w:w="1701" w:type="dxa"/>
            <w:shd w:val="clear" w:color="auto" w:fill="auto"/>
            <w:noWrap/>
            <w:vAlign w:val="center"/>
          </w:tcPr>
          <w:p w14:paraId="66074ED4" w14:textId="77777777" w:rsidR="008600A3" w:rsidRPr="00256C2E" w:rsidRDefault="008600A3" w:rsidP="00256C2E">
            <w:pPr>
              <w:pStyle w:val="PBACTabletext"/>
              <w:widowControl w:val="0"/>
              <w:spacing w:after="0"/>
              <w:jc w:val="center"/>
              <w:rPr>
                <w:szCs w:val="20"/>
              </w:rPr>
            </w:pPr>
            <w:r w:rsidRPr="00256C2E">
              <w:rPr>
                <w:szCs w:val="20"/>
              </w:rPr>
              <w:t>Drug costs removed from RRMS health state costs, but included for SPMS</w:t>
            </w:r>
          </w:p>
        </w:tc>
        <w:tc>
          <w:tcPr>
            <w:tcW w:w="1928" w:type="dxa"/>
            <w:shd w:val="clear" w:color="auto" w:fill="auto"/>
            <w:noWrap/>
            <w:vAlign w:val="center"/>
          </w:tcPr>
          <w:p w14:paraId="41680740" w14:textId="77777777" w:rsidR="008600A3" w:rsidRPr="00256C2E" w:rsidRDefault="008600A3" w:rsidP="00256C2E">
            <w:pPr>
              <w:pStyle w:val="PBACTabletext"/>
              <w:widowControl w:val="0"/>
              <w:spacing w:after="0"/>
              <w:jc w:val="center"/>
              <w:rPr>
                <w:szCs w:val="20"/>
              </w:rPr>
            </w:pPr>
            <w:r w:rsidRPr="00256C2E">
              <w:rPr>
                <w:szCs w:val="20"/>
              </w:rPr>
              <w:t>Drug costs with EDSS health states removed for both RRMS and SPMS</w:t>
            </w:r>
          </w:p>
        </w:tc>
        <w:tc>
          <w:tcPr>
            <w:tcW w:w="854" w:type="dxa"/>
            <w:tcBorders>
              <w:bottom w:val="single" w:sz="4" w:space="0" w:color="auto"/>
            </w:tcBorders>
            <w:shd w:val="solid" w:color="000000" w:fill="000000"/>
            <w:vAlign w:val="center"/>
          </w:tcPr>
          <w:p w14:paraId="4EEAF785" w14:textId="45AD60EC" w:rsidR="008600A3" w:rsidRPr="00256C2E" w:rsidRDefault="00A121F0" w:rsidP="00256C2E">
            <w:pPr>
              <w:pStyle w:val="PBACTabletext"/>
              <w:widowControl w:val="0"/>
              <w:spacing w:after="0"/>
              <w:jc w:val="center"/>
              <w:rPr>
                <w:szCs w:val="20"/>
                <w:highlight w:val="lightGray"/>
              </w:rPr>
            </w:pPr>
            <w:r w:rsidRPr="00256C2E">
              <w:rPr>
                <w:rStyle w:val="CommentReference"/>
                <w:rFonts w:cs="Times New Roman"/>
                <w:b w:val="0"/>
                <w:color w:val="000000"/>
                <w:spacing w:val="82"/>
                <w:szCs w:val="20"/>
                <w:fitText w:val="168" w:id="-962405879"/>
                <w:lang w:eastAsia="en-AU"/>
                <w14:textFill>
                  <w14:solidFill>
                    <w14:srgbClr w14:val="000000">
                      <w14:alpha w14:val="100000"/>
                    </w14:srgbClr>
                  </w14:solidFill>
                </w14:textFill>
              </w:rPr>
              <w:t>|</w:t>
            </w:r>
            <w:r w:rsidRPr="00256C2E">
              <w:rPr>
                <w:rStyle w:val="CommentReference"/>
                <w:rFonts w:cs="Times New Roman"/>
                <w:b w:val="0"/>
                <w:color w:val="000000"/>
                <w:szCs w:val="20"/>
                <w:fitText w:val="168" w:id="-962405879"/>
                <w:lang w:eastAsia="en-AU"/>
                <w14:textFill>
                  <w14:solidFill>
                    <w14:srgbClr w14:val="000000">
                      <w14:alpha w14:val="100000"/>
                    </w14:srgbClr>
                  </w14:solidFill>
                </w14:textFill>
              </w:rPr>
              <w:t>|</w:t>
            </w:r>
          </w:p>
        </w:tc>
        <w:tc>
          <w:tcPr>
            <w:tcW w:w="706" w:type="dxa"/>
            <w:shd w:val="clear" w:color="auto" w:fill="auto"/>
            <w:noWrap/>
            <w:vAlign w:val="center"/>
          </w:tcPr>
          <w:p w14:paraId="272677EB" w14:textId="77777777" w:rsidR="008600A3" w:rsidRPr="00256C2E" w:rsidRDefault="008600A3" w:rsidP="00256C2E">
            <w:pPr>
              <w:pStyle w:val="PBACTabletext"/>
              <w:widowControl w:val="0"/>
              <w:spacing w:after="0"/>
              <w:jc w:val="center"/>
              <w:rPr>
                <w:szCs w:val="20"/>
              </w:rPr>
            </w:pPr>
            <w:r w:rsidRPr="00256C2E">
              <w:rPr>
                <w:szCs w:val="20"/>
              </w:rPr>
              <w:t>0.473</w:t>
            </w:r>
          </w:p>
        </w:tc>
        <w:tc>
          <w:tcPr>
            <w:tcW w:w="1250" w:type="dxa"/>
            <w:shd w:val="clear" w:color="auto" w:fill="auto"/>
            <w:noWrap/>
            <w:vAlign w:val="center"/>
          </w:tcPr>
          <w:p w14:paraId="09D33A9B" w14:textId="64EB76C9" w:rsidR="008600A3"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78"/>
                <w14:textFill>
                  <w14:solidFill>
                    <w14:srgbClr w14:val="000000">
                      <w14:alpha w14:val="100000"/>
                    </w14:srgbClr>
                  </w14:solidFill>
                </w14:textFill>
              </w:rPr>
              <w:t xml:space="preserve">　</w:t>
            </w:r>
            <w:r w:rsidRPr="00256C2E">
              <w:rPr>
                <w:color w:val="000000"/>
                <w:w w:val="16"/>
                <w:szCs w:val="20"/>
                <w:shd w:val="solid" w:color="000000" w:fill="000000"/>
                <w:fitText w:val="72" w:id="-962405878"/>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78"/>
                <w14:textFill>
                  <w14:solidFill>
                    <w14:srgbClr w14:val="000000">
                      <w14:alpha w14:val="100000"/>
                    </w14:srgbClr>
                  </w14:solidFill>
                </w14:textFill>
              </w:rPr>
              <w:t xml:space="preserve">　</w:t>
            </w:r>
            <w:r w:rsidR="00FB6BA8" w:rsidRPr="00256C2E">
              <w:rPr>
                <w:szCs w:val="20"/>
                <w:vertAlign w:val="superscript"/>
              </w:rPr>
              <w:t>5</w:t>
            </w:r>
          </w:p>
        </w:tc>
      </w:tr>
      <w:tr w:rsidR="0072407A" w:rsidRPr="002A7A6F" w14:paraId="535422BA" w14:textId="77777777" w:rsidTr="00256C2E">
        <w:trPr>
          <w:cantSplit/>
          <w:trHeight w:val="20"/>
        </w:trPr>
        <w:tc>
          <w:tcPr>
            <w:tcW w:w="1247" w:type="dxa"/>
            <w:shd w:val="clear" w:color="auto" w:fill="auto"/>
            <w:noWrap/>
            <w:vAlign w:val="center"/>
          </w:tcPr>
          <w:p w14:paraId="469AD93E" w14:textId="39E8085E" w:rsidR="0072407A" w:rsidRPr="00256C2E" w:rsidRDefault="0072407A" w:rsidP="00256C2E">
            <w:pPr>
              <w:pStyle w:val="PBACTabletext"/>
              <w:widowControl w:val="0"/>
              <w:spacing w:after="0"/>
              <w:rPr>
                <w:b/>
                <w:bCs/>
                <w:szCs w:val="20"/>
              </w:rPr>
            </w:pPr>
            <w:r w:rsidRPr="00256C2E">
              <w:rPr>
                <w:b/>
                <w:bCs/>
                <w:szCs w:val="20"/>
              </w:rPr>
              <w:t>Discontin-uation</w:t>
            </w:r>
          </w:p>
        </w:tc>
        <w:tc>
          <w:tcPr>
            <w:tcW w:w="1560" w:type="dxa"/>
            <w:shd w:val="clear" w:color="auto" w:fill="auto"/>
            <w:noWrap/>
            <w:vAlign w:val="center"/>
          </w:tcPr>
          <w:p w14:paraId="3D8CF1CC" w14:textId="48E5CB18" w:rsidR="0072407A" w:rsidRPr="00256C2E" w:rsidRDefault="0072407A" w:rsidP="00256C2E">
            <w:pPr>
              <w:pStyle w:val="PBACTabletext"/>
              <w:widowControl w:val="0"/>
              <w:spacing w:after="0"/>
              <w:jc w:val="center"/>
              <w:rPr>
                <w:szCs w:val="20"/>
              </w:rPr>
            </w:pPr>
            <w:r w:rsidRPr="00256C2E">
              <w:rPr>
                <w:szCs w:val="20"/>
              </w:rPr>
              <w:t>Proportion who discontinued</w:t>
            </w:r>
          </w:p>
        </w:tc>
        <w:tc>
          <w:tcPr>
            <w:tcW w:w="1701" w:type="dxa"/>
            <w:shd w:val="clear" w:color="auto" w:fill="auto"/>
            <w:noWrap/>
            <w:vAlign w:val="center"/>
          </w:tcPr>
          <w:p w14:paraId="6324E384" w14:textId="32AD37DA" w:rsidR="0072407A" w:rsidRPr="00256C2E" w:rsidRDefault="0072407A" w:rsidP="00256C2E">
            <w:pPr>
              <w:pStyle w:val="PBACTabletext"/>
              <w:widowControl w:val="0"/>
              <w:spacing w:after="0"/>
              <w:jc w:val="center"/>
              <w:rPr>
                <w:szCs w:val="20"/>
              </w:rPr>
            </w:pPr>
            <w:r w:rsidRPr="00256C2E">
              <w:rPr>
                <w:szCs w:val="20"/>
              </w:rPr>
              <w:t>Based on Spelman 2017</w:t>
            </w:r>
          </w:p>
        </w:tc>
        <w:tc>
          <w:tcPr>
            <w:tcW w:w="1928" w:type="dxa"/>
            <w:shd w:val="clear" w:color="auto" w:fill="auto"/>
            <w:noWrap/>
            <w:vAlign w:val="center"/>
          </w:tcPr>
          <w:p w14:paraId="193938F0" w14:textId="3A4481C2" w:rsidR="0072407A" w:rsidRPr="00256C2E" w:rsidRDefault="0072407A" w:rsidP="00256C2E">
            <w:pPr>
              <w:pStyle w:val="PBACTabletext"/>
              <w:widowControl w:val="0"/>
              <w:spacing w:after="0"/>
              <w:jc w:val="center"/>
              <w:rPr>
                <w:szCs w:val="20"/>
              </w:rPr>
            </w:pPr>
            <w:r w:rsidRPr="00256C2E">
              <w:rPr>
                <w:szCs w:val="20"/>
              </w:rPr>
              <w:t>Assume no discontinuation</w:t>
            </w:r>
          </w:p>
        </w:tc>
        <w:tc>
          <w:tcPr>
            <w:tcW w:w="854" w:type="dxa"/>
            <w:shd w:val="solid" w:color="000000" w:fill="000000"/>
            <w:vAlign w:val="center"/>
          </w:tcPr>
          <w:p w14:paraId="434A1DF0" w14:textId="3CE0BA07" w:rsidR="0072407A" w:rsidRPr="00256C2E" w:rsidRDefault="00A121F0" w:rsidP="00256C2E">
            <w:pPr>
              <w:pStyle w:val="PBACTabletext"/>
              <w:widowControl w:val="0"/>
              <w:spacing w:after="0"/>
              <w:jc w:val="center"/>
              <w:rPr>
                <w:rStyle w:val="CommentReference"/>
                <w:rFonts w:cs="Times New Roman"/>
                <w:b w:val="0"/>
                <w:szCs w:val="20"/>
                <w:highlight w:val="lightGray"/>
                <w:lang w:eastAsia="en-AU"/>
              </w:rPr>
            </w:pPr>
            <w:r w:rsidRPr="00256C2E">
              <w:rPr>
                <w:color w:val="000000"/>
                <w:spacing w:val="82"/>
                <w:szCs w:val="20"/>
                <w:fitText w:val="168" w:id="-962405877"/>
                <w14:textFill>
                  <w14:solidFill>
                    <w14:srgbClr w14:val="000000">
                      <w14:alpha w14:val="100000"/>
                    </w14:srgbClr>
                  </w14:solidFill>
                </w14:textFill>
              </w:rPr>
              <w:t>|</w:t>
            </w:r>
            <w:r w:rsidRPr="00256C2E">
              <w:rPr>
                <w:color w:val="000000"/>
                <w:szCs w:val="20"/>
                <w:fitText w:val="168" w:id="-962405877"/>
                <w14:textFill>
                  <w14:solidFill>
                    <w14:srgbClr w14:val="000000">
                      <w14:alpha w14:val="100000"/>
                    </w14:srgbClr>
                  </w14:solidFill>
                </w14:textFill>
              </w:rPr>
              <w:t>|</w:t>
            </w:r>
          </w:p>
        </w:tc>
        <w:tc>
          <w:tcPr>
            <w:tcW w:w="706" w:type="dxa"/>
            <w:shd w:val="clear" w:color="auto" w:fill="auto"/>
            <w:noWrap/>
            <w:vAlign w:val="center"/>
          </w:tcPr>
          <w:p w14:paraId="0D6B565C" w14:textId="442E3C6D" w:rsidR="0072407A" w:rsidRPr="00256C2E" w:rsidRDefault="0072407A" w:rsidP="00256C2E">
            <w:pPr>
              <w:pStyle w:val="PBACTabletext"/>
              <w:widowControl w:val="0"/>
              <w:spacing w:after="0"/>
              <w:jc w:val="center"/>
              <w:rPr>
                <w:szCs w:val="20"/>
              </w:rPr>
            </w:pPr>
            <w:r w:rsidRPr="00256C2E">
              <w:rPr>
                <w:szCs w:val="20"/>
              </w:rPr>
              <w:t>1.27</w:t>
            </w:r>
          </w:p>
        </w:tc>
        <w:tc>
          <w:tcPr>
            <w:tcW w:w="1250" w:type="dxa"/>
            <w:shd w:val="clear" w:color="auto" w:fill="auto"/>
            <w:noWrap/>
            <w:vAlign w:val="center"/>
          </w:tcPr>
          <w:p w14:paraId="69DCB68D" w14:textId="3876C85F" w:rsidR="0072407A" w:rsidRPr="00256C2E" w:rsidRDefault="00A121F0" w:rsidP="00256C2E">
            <w:pPr>
              <w:pStyle w:val="PBACTabletext"/>
              <w:widowControl w:val="0"/>
              <w:spacing w:after="0"/>
              <w:jc w:val="center"/>
              <w:rPr>
                <w:szCs w:val="20"/>
                <w:highlight w:val="lightGray"/>
              </w:rPr>
            </w:pPr>
            <w:r w:rsidRPr="00256C2E">
              <w:rPr>
                <w:rFonts w:ascii="MS Gothic" w:eastAsia="MS Gothic" w:hAnsi="MS Gothic" w:cs="MS Gothic" w:hint="eastAsia"/>
                <w:color w:val="000000"/>
                <w:w w:val="16"/>
                <w:szCs w:val="20"/>
                <w:shd w:val="solid" w:color="000000" w:fill="000000"/>
                <w:fitText w:val="72" w:id="-962405876"/>
                <w14:textFill>
                  <w14:solidFill>
                    <w14:srgbClr w14:val="000000">
                      <w14:alpha w14:val="100000"/>
                    </w14:srgbClr>
                  </w14:solidFill>
                </w14:textFill>
              </w:rPr>
              <w:t xml:space="preserve">　</w:t>
            </w:r>
            <w:r w:rsidRPr="00256C2E">
              <w:rPr>
                <w:color w:val="000000"/>
                <w:w w:val="16"/>
                <w:szCs w:val="20"/>
                <w:shd w:val="solid" w:color="000000" w:fill="000000"/>
                <w:fitText w:val="72" w:id="-962405876"/>
                <w14:textFill>
                  <w14:solidFill>
                    <w14:srgbClr w14:val="000000">
                      <w14:alpha w14:val="100000"/>
                    </w14:srgbClr>
                  </w14:solidFill>
                </w14:textFill>
              </w:rPr>
              <w:t>|</w:t>
            </w:r>
            <w:r w:rsidRPr="00256C2E">
              <w:rPr>
                <w:rFonts w:ascii="MS Gothic" w:eastAsia="MS Gothic" w:hAnsi="MS Gothic" w:cs="MS Gothic" w:hint="eastAsia"/>
                <w:color w:val="000000"/>
                <w:w w:val="16"/>
                <w:szCs w:val="20"/>
                <w:shd w:val="solid" w:color="000000" w:fill="000000"/>
                <w:fitText w:val="72" w:id="-962405876"/>
                <w14:textFill>
                  <w14:solidFill>
                    <w14:srgbClr w14:val="000000">
                      <w14:alpha w14:val="100000"/>
                    </w14:srgbClr>
                  </w14:solidFill>
                </w14:textFill>
              </w:rPr>
              <w:t xml:space="preserve">　</w:t>
            </w:r>
            <w:r w:rsidR="00FB6BA8" w:rsidRPr="00256C2E">
              <w:rPr>
                <w:szCs w:val="20"/>
                <w:vertAlign w:val="superscript"/>
              </w:rPr>
              <w:t>5</w:t>
            </w:r>
          </w:p>
        </w:tc>
      </w:tr>
    </w:tbl>
    <w:p w14:paraId="3BA60CF8" w14:textId="4B9D266C" w:rsidR="008600A3" w:rsidRPr="00AE74F3" w:rsidRDefault="008600A3" w:rsidP="00A32DE2">
      <w:pPr>
        <w:pStyle w:val="FooterTableFigure"/>
        <w:keepNext/>
        <w:keepLines/>
      </w:pPr>
      <w:r w:rsidRPr="00AE74F3">
        <w:t xml:space="preserve">CDP = confirmed disability progression; EDSS = Expanded Disability Status Scale; ICER = incremental cost-effectiveness ratio; </w:t>
      </w:r>
      <w:r w:rsidR="00A27FFC" w:rsidRPr="00AE74F3">
        <w:t xml:space="preserve">Incr = incremental; </w:t>
      </w:r>
      <w:r w:rsidRPr="00AE74F3">
        <w:t>ITC = indirect treatments comparison; MS = multiple sclerosis; NDIS = National Disability Insurance Scheme; NMA = network meta-analysis; QALY = quality-adjusted life year; RCT = randomised controlled trial; RRMS = relapsing remitting multiple sclerosis; SPMS = secondary progressive multiple sclerosis; STC = simulated treatment comparison.</w:t>
      </w:r>
    </w:p>
    <w:p w14:paraId="45998D12" w14:textId="361007F1" w:rsidR="008600A3" w:rsidRDefault="008600A3" w:rsidP="00A32DE2">
      <w:pPr>
        <w:pStyle w:val="FooterTableFigure"/>
        <w:keepLines/>
        <w:spacing w:after="0"/>
      </w:pPr>
      <w:r w:rsidRPr="00AE74F3">
        <w:t>Source: Table 120</w:t>
      </w:r>
      <w:r w:rsidR="00F67385">
        <w:t xml:space="preserve"> </w:t>
      </w:r>
      <w:r w:rsidRPr="00AE74F3">
        <w:t>of the submission.</w:t>
      </w:r>
    </w:p>
    <w:p w14:paraId="2C2B5BD7" w14:textId="77777777" w:rsidR="001B3BCD" w:rsidRPr="009A6D58" w:rsidRDefault="001B3BCD" w:rsidP="00256C2E">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66F22F8" w14:textId="60CD9315" w:rsidR="001B3BCD" w:rsidRPr="009A6D58" w:rsidRDefault="001B3BCD" w:rsidP="00256C2E">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1B3BCD">
        <w:rPr>
          <w:rFonts w:ascii="Arial Narrow" w:hAnsi="Arial Narrow"/>
          <w:i/>
          <w:sz w:val="18"/>
          <w:szCs w:val="18"/>
        </w:rPr>
        <w:t>$155,000 to &lt; $255,000</w:t>
      </w:r>
    </w:p>
    <w:p w14:paraId="409D5218" w14:textId="1ACAEC79" w:rsidR="001B3BCD" w:rsidRPr="009A6D58" w:rsidRDefault="001B3BCD" w:rsidP="00256C2E">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1B3BCD">
        <w:rPr>
          <w:rFonts w:ascii="Arial Narrow" w:hAnsi="Arial Narrow"/>
          <w:i/>
          <w:sz w:val="18"/>
          <w:szCs w:val="18"/>
        </w:rPr>
        <w:t>$15,000 to &lt; $25,000</w:t>
      </w:r>
    </w:p>
    <w:p w14:paraId="6E633FED" w14:textId="36F09937" w:rsidR="001B3BCD" w:rsidRDefault="001B3BCD" w:rsidP="00256C2E">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FB6BA8" w:rsidRPr="00FB6BA8">
        <w:rPr>
          <w:rFonts w:ascii="Arial Narrow" w:hAnsi="Arial Narrow"/>
          <w:i/>
          <w:sz w:val="18"/>
          <w:szCs w:val="18"/>
        </w:rPr>
        <w:t>$45,000 to &lt; $55,000</w:t>
      </w:r>
    </w:p>
    <w:p w14:paraId="709865CC" w14:textId="6990A728" w:rsidR="001B3BCD" w:rsidRDefault="001B3BCD" w:rsidP="00256C2E">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FB6BA8" w:rsidRPr="00FB6BA8">
        <w:rPr>
          <w:rFonts w:ascii="Arial Narrow" w:hAnsi="Arial Narrow"/>
          <w:i/>
          <w:sz w:val="18"/>
          <w:szCs w:val="18"/>
        </w:rPr>
        <w:t>$</w:t>
      </w:r>
      <w:r w:rsidR="00FB6BA8">
        <w:rPr>
          <w:rFonts w:ascii="Arial Narrow" w:hAnsi="Arial Narrow"/>
          <w:i/>
          <w:sz w:val="18"/>
          <w:szCs w:val="18"/>
        </w:rPr>
        <w:t>9</w:t>
      </w:r>
      <w:r w:rsidR="00FB6BA8" w:rsidRPr="00FB6BA8">
        <w:rPr>
          <w:rFonts w:ascii="Arial Narrow" w:hAnsi="Arial Narrow"/>
          <w:i/>
          <w:sz w:val="18"/>
          <w:szCs w:val="18"/>
        </w:rPr>
        <w:t>5,000 to &lt; $</w:t>
      </w:r>
      <w:r w:rsidR="00FB6BA8">
        <w:rPr>
          <w:rFonts w:ascii="Arial Narrow" w:hAnsi="Arial Narrow"/>
          <w:i/>
          <w:sz w:val="18"/>
          <w:szCs w:val="18"/>
        </w:rPr>
        <w:t>11</w:t>
      </w:r>
      <w:r w:rsidR="00FB6BA8" w:rsidRPr="00FB6BA8">
        <w:rPr>
          <w:rFonts w:ascii="Arial Narrow" w:hAnsi="Arial Narrow"/>
          <w:i/>
          <w:sz w:val="18"/>
          <w:szCs w:val="18"/>
        </w:rPr>
        <w:t>5,000</w:t>
      </w:r>
    </w:p>
    <w:p w14:paraId="2186494F" w14:textId="113F6F69" w:rsidR="001B3BCD" w:rsidRDefault="001B3BCD" w:rsidP="00256C2E">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FB6BA8" w:rsidRPr="00FB6BA8">
        <w:rPr>
          <w:rFonts w:ascii="Arial Narrow" w:hAnsi="Arial Narrow"/>
          <w:i/>
          <w:sz w:val="18"/>
          <w:szCs w:val="18"/>
        </w:rPr>
        <w:t>$5,000 to &lt; $</w:t>
      </w:r>
      <w:r w:rsidR="00FB6BA8">
        <w:rPr>
          <w:rFonts w:ascii="Arial Narrow" w:hAnsi="Arial Narrow"/>
          <w:i/>
          <w:sz w:val="18"/>
          <w:szCs w:val="18"/>
        </w:rPr>
        <w:t>1</w:t>
      </w:r>
      <w:r w:rsidR="00FB6BA8" w:rsidRPr="00FB6BA8">
        <w:rPr>
          <w:rFonts w:ascii="Arial Narrow" w:hAnsi="Arial Narrow"/>
          <w:i/>
          <w:sz w:val="18"/>
          <w:szCs w:val="18"/>
        </w:rPr>
        <w:t>5,000</w:t>
      </w:r>
    </w:p>
    <w:p w14:paraId="37B71B77" w14:textId="08E4D9AB" w:rsidR="001B3BCD" w:rsidRDefault="001B3BCD" w:rsidP="00256C2E">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FB6BA8" w:rsidRPr="00FB6BA8">
        <w:rPr>
          <w:rFonts w:ascii="Arial Narrow" w:hAnsi="Arial Narrow"/>
          <w:i/>
          <w:sz w:val="18"/>
          <w:szCs w:val="18"/>
        </w:rPr>
        <w:t>$</w:t>
      </w:r>
      <w:r w:rsidR="00FB6BA8">
        <w:rPr>
          <w:rFonts w:ascii="Arial Narrow" w:hAnsi="Arial Narrow"/>
          <w:i/>
          <w:sz w:val="18"/>
          <w:szCs w:val="18"/>
        </w:rPr>
        <w:t>3</w:t>
      </w:r>
      <w:r w:rsidR="00FB6BA8" w:rsidRPr="00FB6BA8">
        <w:rPr>
          <w:rFonts w:ascii="Arial Narrow" w:hAnsi="Arial Narrow"/>
          <w:i/>
          <w:sz w:val="18"/>
          <w:szCs w:val="18"/>
        </w:rPr>
        <w:t>5,000 to &lt; $</w:t>
      </w:r>
      <w:r w:rsidR="00FB6BA8">
        <w:rPr>
          <w:rFonts w:ascii="Arial Narrow" w:hAnsi="Arial Narrow"/>
          <w:i/>
          <w:sz w:val="18"/>
          <w:szCs w:val="18"/>
        </w:rPr>
        <w:t>4</w:t>
      </w:r>
      <w:r w:rsidR="00FB6BA8" w:rsidRPr="00FB6BA8">
        <w:rPr>
          <w:rFonts w:ascii="Arial Narrow" w:hAnsi="Arial Narrow"/>
          <w:i/>
          <w:sz w:val="18"/>
          <w:szCs w:val="18"/>
        </w:rPr>
        <w:t>5,000</w:t>
      </w:r>
    </w:p>
    <w:p w14:paraId="17EA6D2B" w14:textId="1C1867BC" w:rsidR="001B3BCD" w:rsidRPr="00AE74F3" w:rsidRDefault="001B3BCD" w:rsidP="00256C2E">
      <w:pPr>
        <w:spacing w:after="120"/>
      </w:pPr>
      <w:r>
        <w:rPr>
          <w:rFonts w:ascii="Arial Narrow" w:hAnsi="Arial Narrow"/>
          <w:i/>
          <w:sz w:val="18"/>
          <w:szCs w:val="18"/>
          <w:vertAlign w:val="superscript"/>
        </w:rPr>
        <w:t>7</w:t>
      </w:r>
      <w:r>
        <w:rPr>
          <w:rFonts w:ascii="Arial Narrow" w:hAnsi="Arial Narrow"/>
          <w:i/>
          <w:sz w:val="18"/>
          <w:szCs w:val="18"/>
        </w:rPr>
        <w:t xml:space="preserve"> </w:t>
      </w:r>
      <w:r w:rsidR="00FB6BA8" w:rsidRPr="00FB6BA8">
        <w:rPr>
          <w:rFonts w:ascii="Arial Narrow" w:hAnsi="Arial Narrow"/>
          <w:i/>
          <w:sz w:val="18"/>
          <w:szCs w:val="18"/>
        </w:rPr>
        <w:t>$</w:t>
      </w:r>
      <w:r w:rsidR="00FB6BA8">
        <w:rPr>
          <w:rFonts w:ascii="Arial Narrow" w:hAnsi="Arial Narrow"/>
          <w:i/>
          <w:sz w:val="18"/>
          <w:szCs w:val="18"/>
        </w:rPr>
        <w:t>0</w:t>
      </w:r>
      <w:r w:rsidR="00FB6BA8" w:rsidRPr="00FB6BA8">
        <w:rPr>
          <w:rFonts w:ascii="Arial Narrow" w:hAnsi="Arial Narrow"/>
          <w:i/>
          <w:sz w:val="18"/>
          <w:szCs w:val="18"/>
        </w:rPr>
        <w:t xml:space="preserve"> to &lt; $5,000</w:t>
      </w:r>
    </w:p>
    <w:p w14:paraId="2EC5BFFC" w14:textId="7AC7601D" w:rsidR="008600A3" w:rsidRPr="00AE74F3" w:rsidRDefault="008600A3" w:rsidP="008600A3">
      <w:pPr>
        <w:pStyle w:val="3-BodyText"/>
      </w:pPr>
      <w:bookmarkStart w:id="66" w:name="_Ref159502753"/>
      <w:r w:rsidRPr="00AE74F3">
        <w:lastRenderedPageBreak/>
        <w:t xml:space="preserve">The submission claimed that ofatumumab </w:t>
      </w:r>
      <w:r w:rsidR="007962A7" w:rsidRPr="00AE74F3">
        <w:t>wa</w:t>
      </w:r>
      <w:r w:rsidRPr="00AE74F3">
        <w:t xml:space="preserve">s dominant (less expensive and better outcomes) compared to fingolimod, however </w:t>
      </w:r>
      <w:r w:rsidR="000F1847" w:rsidRPr="00AE74F3">
        <w:t xml:space="preserve">the evaluation and the ESC considered </w:t>
      </w:r>
      <w:r w:rsidRPr="00AE74F3">
        <w:t xml:space="preserve">this </w:t>
      </w:r>
      <w:r w:rsidR="007962A7" w:rsidRPr="00AE74F3">
        <w:t>wa</w:t>
      </w:r>
      <w:r w:rsidRPr="00AE74F3">
        <w:t>s associated with a high degree of uncertainty due to the following factors:</w:t>
      </w:r>
      <w:bookmarkEnd w:id="66"/>
    </w:p>
    <w:p w14:paraId="67FFF766" w14:textId="39DBD53E" w:rsidR="00DF3436" w:rsidRPr="00AE74F3" w:rsidRDefault="00DF3436" w:rsidP="008600A3">
      <w:pPr>
        <w:pStyle w:val="ListParagraph"/>
        <w:ind w:left="1134"/>
      </w:pPr>
      <w:r w:rsidRPr="00AE74F3">
        <w:t>The claim of superiority was not adequately supported, which would preclude a cost-effectiveness or cost-utility analysis;</w:t>
      </w:r>
    </w:p>
    <w:p w14:paraId="6EA98D34" w14:textId="4DA7F39F" w:rsidR="002D4688" w:rsidRPr="00AE74F3" w:rsidRDefault="002D4688" w:rsidP="002D4688">
      <w:pPr>
        <w:pStyle w:val="ListParagraph"/>
        <w:ind w:left="1134"/>
      </w:pPr>
      <w:r w:rsidRPr="00AE74F3">
        <w:t>Switching between DMTs was not accounted for in the model</w:t>
      </w:r>
      <w:r w:rsidR="0027770D">
        <w:t xml:space="preserve">, which </w:t>
      </w:r>
      <w:r w:rsidRPr="00AE74F3">
        <w:t>was not an accurate reflection of the current clinical management for MS</w:t>
      </w:r>
      <w:r w:rsidR="00472B76">
        <w:t xml:space="preserve">. </w:t>
      </w:r>
      <w:r w:rsidR="00DF1E6B" w:rsidRPr="00DF1E6B">
        <w:t xml:space="preserve">The pre-PBAC response stated that </w:t>
      </w:r>
      <w:r w:rsidR="00DF1E6B">
        <w:t>a sensitivity analysis that attempted to address this issue, in</w:t>
      </w:r>
      <w:r w:rsidR="00DF1E6B" w:rsidRPr="00DF1E6B">
        <w:t xml:space="preserve"> which patients persisted on a high-efficacy (ofatumumab) or mid-efficacy tier treatment (fingolimod) until progression to SPMS or death, resulted in an ICER of </w:t>
      </w:r>
      <w:r w:rsidR="0072407A" w:rsidRPr="0072407A">
        <w:t>$5,000</w:t>
      </w:r>
      <w:r w:rsidR="00E631E8">
        <w:t> </w:t>
      </w:r>
      <w:r w:rsidR="0072407A" w:rsidRPr="0072407A">
        <w:t xml:space="preserve">to &lt; $15,000 </w:t>
      </w:r>
      <w:r w:rsidR="00DF1E6B" w:rsidRPr="00DF1E6B">
        <w:t>/QALY</w:t>
      </w:r>
      <w:r w:rsidRPr="00AE74F3">
        <w:t xml:space="preserve">; </w:t>
      </w:r>
    </w:p>
    <w:p w14:paraId="05C3349F" w14:textId="2BD433A7" w:rsidR="00A65CC1" w:rsidRPr="00AE74F3" w:rsidRDefault="00A65CC1" w:rsidP="00A65CC1">
      <w:pPr>
        <w:pStyle w:val="ListParagraph"/>
        <w:ind w:left="1134"/>
      </w:pPr>
      <w:r w:rsidRPr="00AE74F3">
        <w:t xml:space="preserve">The EDSS health state costs </w:t>
      </w:r>
      <w:r w:rsidR="008A24FE" w:rsidRPr="00AE74F3">
        <w:t xml:space="preserve">applied in the model were the same for RRMS and SPMS except for </w:t>
      </w:r>
      <w:r w:rsidRPr="00AE74F3">
        <w:t>DMT costs</w:t>
      </w:r>
      <w:r w:rsidR="008A24FE" w:rsidRPr="00AE74F3">
        <w:t>, which were removed</w:t>
      </w:r>
      <w:r w:rsidRPr="00AE74F3">
        <w:t xml:space="preserve"> for patients with RRMS </w:t>
      </w:r>
      <w:r w:rsidR="008A24FE" w:rsidRPr="00AE74F3">
        <w:t xml:space="preserve">(to avoid double-counting) </w:t>
      </w:r>
      <w:r w:rsidRPr="00AE74F3">
        <w:t xml:space="preserve">but included for patients with SPMS. Consequently, the model assumed that when patients move from RRMS to SPMS they </w:t>
      </w:r>
      <w:r w:rsidR="000F1847" w:rsidRPr="00AE74F3">
        <w:t>receive</w:t>
      </w:r>
      <w:r w:rsidRPr="00AE74F3">
        <w:t xml:space="preserve"> DMTs which contributed a large proportion of the SPMS EDSS health state cost but inappropriately no efficacy benefit was applied for this treatment cost incurred, which favoured ofatumumab</w:t>
      </w:r>
      <w:r w:rsidR="00F550A7">
        <w:t xml:space="preserve">. The pre-PBAC response stated that an indicative sensitivity analysis that removed drug cost for the SPMS health states resulted in an ICER of </w:t>
      </w:r>
      <w:r w:rsidR="0072407A" w:rsidRPr="0072407A">
        <w:t xml:space="preserve">$5,000 to &lt; $15,000 </w:t>
      </w:r>
      <w:r w:rsidR="00F550A7">
        <w:t>/QALY</w:t>
      </w:r>
      <w:r w:rsidR="00E3088F">
        <w:t>. No sensitivity analys</w:t>
      </w:r>
      <w:r w:rsidR="00FE2633">
        <w:t>e</w:t>
      </w:r>
      <w:r w:rsidR="00E3088F">
        <w:t>s w</w:t>
      </w:r>
      <w:r w:rsidR="00FE2633">
        <w:t xml:space="preserve">ere </w:t>
      </w:r>
      <w:r w:rsidR="00E3088F">
        <w:t>conducted that included both the cost and efficacy of DMTs (i.e. siponimod) in the SPMS health state</w:t>
      </w:r>
      <w:r w:rsidRPr="00AE74F3">
        <w:t>;</w:t>
      </w:r>
    </w:p>
    <w:p w14:paraId="2CC67DD2" w14:textId="5F92F1FD" w:rsidR="00A65CC1" w:rsidRPr="00AE74F3" w:rsidRDefault="00A65CC1" w:rsidP="00A65CC1">
      <w:pPr>
        <w:pStyle w:val="ListParagraph"/>
        <w:ind w:left="1134"/>
      </w:pPr>
      <w:r w:rsidRPr="00AE74F3">
        <w:t xml:space="preserve">Drug costs were a key driver of the model and the model had </w:t>
      </w:r>
      <w:r w:rsidR="00472B76">
        <w:t>multiple</w:t>
      </w:r>
      <w:r w:rsidR="00472B76" w:rsidRPr="00AE74F3">
        <w:t xml:space="preserve"> </w:t>
      </w:r>
      <w:r w:rsidRPr="00AE74F3">
        <w:t>issues related to ofatumumab costs that favoured ofatumumab:</w:t>
      </w:r>
    </w:p>
    <w:p w14:paraId="55D5B4C2" w14:textId="102FCABD" w:rsidR="00A65CC1" w:rsidRPr="00AE74F3" w:rsidRDefault="00A65CC1" w:rsidP="00A65CC1">
      <w:pPr>
        <w:pStyle w:val="ListParagraph"/>
        <w:numPr>
          <w:ilvl w:val="1"/>
          <w:numId w:val="3"/>
        </w:numPr>
        <w:ind w:left="1418" w:hanging="284"/>
      </w:pPr>
      <w:r w:rsidRPr="00AE74F3">
        <w:t>It was assumed that patients receiving ofatumumab received 14 (years 1) and 12 (years 2+) doses per year</w:t>
      </w:r>
      <w:r w:rsidR="00DA07A5" w:rsidRPr="00AE74F3">
        <w:t xml:space="preserve"> based on monthly dosing, per the Product Information. However</w:t>
      </w:r>
      <w:r w:rsidRPr="00AE74F3">
        <w:t xml:space="preserve">, the PBAC had previously found it appropriate to include 15 (year 1) and 13 doses (year 2+) per year in line with ASCLEPIOS I/II </w:t>
      </w:r>
      <w:r w:rsidR="0043727D" w:rsidRPr="00AE74F3">
        <w:t xml:space="preserve">which used a four-weekly dosing schedule </w:t>
      </w:r>
      <w:r w:rsidRPr="00AE74F3">
        <w:t>(paragraph 6.52, ofatumumab PSD, March</w:t>
      </w:r>
      <w:r w:rsidR="00E631E8">
        <w:t> </w:t>
      </w:r>
      <w:r w:rsidRPr="00AE74F3">
        <w:t>2021 PBAC meeting). The inclusion of 15 (year 1) and 13 (year 2+) doses of ofatumumab annually resulted in ofatumumab no longer being dominant over fingolimod;</w:t>
      </w:r>
      <w:r w:rsidR="0087159F" w:rsidRPr="00AE74F3">
        <w:t xml:space="preserve"> </w:t>
      </w:r>
    </w:p>
    <w:p w14:paraId="02845DA8" w14:textId="69782A7A" w:rsidR="00A65CC1" w:rsidRDefault="004436AC" w:rsidP="00A65CC1">
      <w:pPr>
        <w:pStyle w:val="ListParagraph"/>
        <w:numPr>
          <w:ilvl w:val="1"/>
          <w:numId w:val="3"/>
        </w:numPr>
        <w:ind w:left="1418" w:hanging="284"/>
      </w:pPr>
      <w:r w:rsidRPr="00AE74F3">
        <w:t>The h</w:t>
      </w:r>
      <w:r w:rsidR="00A65CC1" w:rsidRPr="00AE74F3">
        <w:t xml:space="preserve">alf cycle correction </w:t>
      </w:r>
      <w:r w:rsidRPr="00AE74F3">
        <w:t xml:space="preserve">did not </w:t>
      </w:r>
      <w:r w:rsidR="00A65CC1" w:rsidRPr="00AE74F3">
        <w:t xml:space="preserve">appropriately </w:t>
      </w:r>
      <w:r w:rsidRPr="00AE74F3">
        <w:t>account for loading doses</w:t>
      </w:r>
      <w:r w:rsidR="00A65CC1" w:rsidRPr="00AE74F3">
        <w:t xml:space="preserve">. The </w:t>
      </w:r>
      <w:r w:rsidR="00DA07A5" w:rsidRPr="00AE74F3">
        <w:t xml:space="preserve">cycle length was one year and the </w:t>
      </w:r>
      <w:r w:rsidR="00A65CC1" w:rsidRPr="00AE74F3">
        <w:t xml:space="preserve">model assumed only 7 doses </w:t>
      </w:r>
      <w:r w:rsidR="0043727D" w:rsidRPr="00AE74F3">
        <w:t xml:space="preserve">of </w:t>
      </w:r>
      <w:r w:rsidR="00A65CC1" w:rsidRPr="00AE74F3">
        <w:t>ofatumumab were used in year 1 (</w:t>
      </w:r>
      <w:r w:rsidR="0043727D" w:rsidRPr="00AE74F3">
        <w:t xml:space="preserve">half of the 14 doses in year 1 to account for the </w:t>
      </w:r>
      <w:r w:rsidR="00A65CC1" w:rsidRPr="00AE74F3">
        <w:t>first six months</w:t>
      </w:r>
      <w:r w:rsidR="0043727D" w:rsidRPr="00AE74F3">
        <w:t xml:space="preserve"> of treatment</w:t>
      </w:r>
      <w:r w:rsidR="00A65CC1" w:rsidRPr="00AE74F3">
        <w:t>) when 8 doses should be used (3 loading doses by week 4, then 1 dose every month till six months)</w:t>
      </w:r>
      <w:r w:rsidR="00DA07A5" w:rsidRPr="00AE74F3">
        <w:t>, based on the monthly dosing schedule in the Product Information</w:t>
      </w:r>
      <w:r w:rsidR="0043727D" w:rsidRPr="00AE74F3">
        <w:t xml:space="preserve"> (or nine doses based on the dosing used in the clinical trial)</w:t>
      </w:r>
      <w:r w:rsidR="00A65CC1" w:rsidRPr="00AE74F3">
        <w:t>. The inclusion of 8 doses in Year 1 (first 6 months) resulted in ofatumumab no longer being dominant over fingolimod</w:t>
      </w:r>
      <w:r w:rsidR="006739D7" w:rsidRPr="00AE74F3">
        <w:t xml:space="preserve">; </w:t>
      </w:r>
      <w:r w:rsidR="00472B76" w:rsidRPr="00AE74F3">
        <w:t>and</w:t>
      </w:r>
    </w:p>
    <w:p w14:paraId="1256990C" w14:textId="59878053" w:rsidR="00472B76" w:rsidRDefault="00472B76" w:rsidP="00472B76">
      <w:pPr>
        <w:pStyle w:val="ListParagraph"/>
        <w:numPr>
          <w:ilvl w:val="1"/>
          <w:numId w:val="3"/>
        </w:numPr>
        <w:ind w:left="1418" w:hanging="284"/>
      </w:pPr>
      <w:r>
        <w:lastRenderedPageBreak/>
        <w:t>T</w:t>
      </w:r>
      <w:r w:rsidRPr="00472B76">
        <w:t>he submission considered it likely that the price of fingolimod will be reduced further due to price disclosure. While the submission’s base case model found ofatumumab to be dominant over fingolimod, this result may change if fingolimod were to undergo further price reductions.</w:t>
      </w:r>
    </w:p>
    <w:p w14:paraId="41D8846F" w14:textId="3AA9E69C" w:rsidR="008600A3" w:rsidRPr="00AE74F3" w:rsidRDefault="008600A3" w:rsidP="008600A3">
      <w:pPr>
        <w:pStyle w:val="ListParagraph"/>
        <w:ind w:left="1134"/>
      </w:pPr>
      <w:r w:rsidRPr="00AE74F3">
        <w:t xml:space="preserve">The following assumptions regarding the disease progression of patients with RRMS </w:t>
      </w:r>
      <w:r w:rsidRPr="00AE74F3">
        <w:rPr>
          <w:rFonts w:cs="Calibri"/>
        </w:rPr>
        <w:t xml:space="preserve">in the model may </w:t>
      </w:r>
      <w:r w:rsidR="0058736B" w:rsidRPr="00AE74F3">
        <w:rPr>
          <w:rFonts w:cs="Calibri"/>
        </w:rPr>
        <w:t>also</w:t>
      </w:r>
      <w:r w:rsidR="0045520B" w:rsidRPr="00AE74F3">
        <w:rPr>
          <w:rFonts w:cs="Calibri"/>
        </w:rPr>
        <w:t xml:space="preserve"> </w:t>
      </w:r>
      <w:r w:rsidRPr="00AE74F3">
        <w:rPr>
          <w:rFonts w:cs="Calibri"/>
        </w:rPr>
        <w:t>have contributed to the uncertainty of the results</w:t>
      </w:r>
      <w:r w:rsidRPr="00AE74F3">
        <w:t>:</w:t>
      </w:r>
    </w:p>
    <w:p w14:paraId="2A5D63E0" w14:textId="75247024" w:rsidR="008600A3" w:rsidRPr="00AE74F3" w:rsidRDefault="008600A3" w:rsidP="008600A3">
      <w:pPr>
        <w:pStyle w:val="ListParagraph"/>
        <w:numPr>
          <w:ilvl w:val="1"/>
          <w:numId w:val="3"/>
        </w:numPr>
        <w:ind w:left="1418" w:hanging="284"/>
      </w:pPr>
      <w:r w:rsidRPr="00AE74F3">
        <w:t xml:space="preserve">The model used </w:t>
      </w:r>
      <w:r w:rsidR="00A34B44" w:rsidRPr="00AE74F3">
        <w:t xml:space="preserve">the point estimates for ARR and time to 3mCDP </w:t>
      </w:r>
      <w:r w:rsidRPr="00AE74F3">
        <w:t xml:space="preserve">from the two-step indirect comparison. These figures were associated with considerable uncertainty due to the two step ITC process. The 95% CIs for ARR and </w:t>
      </w:r>
      <w:r w:rsidR="000B3E59" w:rsidRPr="00AE74F3">
        <w:t xml:space="preserve">time to </w:t>
      </w:r>
      <w:r w:rsidRPr="00AE74F3">
        <w:t>3mCDP were used in sensitivity analyses conducted during the evaluation which found that it was possible for fingolimod to be dominant over ofatumumab</w:t>
      </w:r>
      <w:r w:rsidR="005A5D4B" w:rsidRPr="00AE74F3">
        <w:t xml:space="preserve">. While the PSCR stated this scenario was highly unlikely, the ESC considered that it highlighted the </w:t>
      </w:r>
      <w:r w:rsidR="000E758B" w:rsidRPr="00AE74F3">
        <w:t>uncertainty</w:t>
      </w:r>
      <w:r w:rsidR="005A5D4B" w:rsidRPr="00AE74F3">
        <w:t xml:space="preserve"> with the clinical data informing the model, which w</w:t>
      </w:r>
      <w:r w:rsidR="000E758B" w:rsidRPr="00AE74F3">
        <w:t>ere</w:t>
      </w:r>
      <w:r w:rsidR="005A5D4B" w:rsidRPr="00AE74F3">
        <w:t xml:space="preserve"> derived from a two-step indirect comparison</w:t>
      </w:r>
      <w:r w:rsidRPr="00AE74F3">
        <w:t>;</w:t>
      </w:r>
    </w:p>
    <w:p w14:paraId="5BCD6223" w14:textId="5A21F298" w:rsidR="008600A3" w:rsidRPr="00AE74F3" w:rsidRDefault="005C48F9" w:rsidP="008600A3">
      <w:pPr>
        <w:pStyle w:val="ListParagraph"/>
        <w:numPr>
          <w:ilvl w:val="1"/>
          <w:numId w:val="3"/>
        </w:numPr>
        <w:ind w:left="1418" w:hanging="284"/>
      </w:pPr>
      <w:r w:rsidRPr="00AE74F3">
        <w:t xml:space="preserve">The progression from RRMS to SPMS </w:t>
      </w:r>
      <w:r w:rsidR="005E19BC" w:rsidRPr="00AE74F3">
        <w:t xml:space="preserve">was dependent on EDSS but not in a progressive manner with a higher likelihood of progression for patients in the EDSS </w:t>
      </w:r>
      <w:r w:rsidR="009979F3" w:rsidRPr="00AE74F3">
        <w:t xml:space="preserve">5 health state than patients in the EDSS 6, EDSS 7 or EDSS 8 health state; </w:t>
      </w:r>
    </w:p>
    <w:p w14:paraId="713AC9C7" w14:textId="37931BB6" w:rsidR="008600A3" w:rsidRPr="00AE74F3" w:rsidRDefault="009A6978" w:rsidP="008600A3">
      <w:pPr>
        <w:pStyle w:val="ListParagraph"/>
        <w:numPr>
          <w:ilvl w:val="1"/>
          <w:numId w:val="3"/>
        </w:numPr>
        <w:ind w:left="1418" w:hanging="284"/>
      </w:pPr>
      <w:r w:rsidRPr="00AE74F3">
        <w:t xml:space="preserve">The </w:t>
      </w:r>
      <w:r w:rsidR="008600A3" w:rsidRPr="00AE74F3">
        <w:t xml:space="preserve">model used FREEDOMS </w:t>
      </w:r>
      <w:r w:rsidR="000B3E59" w:rsidRPr="00AE74F3">
        <w:t xml:space="preserve">time to </w:t>
      </w:r>
      <w:r w:rsidR="008600A3" w:rsidRPr="00AE74F3">
        <w:t>3mCDP data</w:t>
      </w:r>
      <w:r w:rsidRPr="00AE74F3">
        <w:t xml:space="preserve"> to inform </w:t>
      </w:r>
      <w:r w:rsidR="00385525" w:rsidRPr="00AE74F3">
        <w:t>EDSS progression</w:t>
      </w:r>
      <w:r w:rsidR="0011534D" w:rsidRPr="00AE74F3">
        <w:t>.</w:t>
      </w:r>
      <w:r w:rsidR="008600A3" w:rsidRPr="00AE74F3">
        <w:t xml:space="preserve"> </w:t>
      </w:r>
      <w:r w:rsidR="00385525" w:rsidRPr="00AE74F3">
        <w:t>U</w:t>
      </w:r>
      <w:r w:rsidR="008600A3" w:rsidRPr="00AE74F3">
        <w:t xml:space="preserve">se of </w:t>
      </w:r>
      <w:r w:rsidR="0011534D" w:rsidRPr="00AE74F3">
        <w:t xml:space="preserve">time to 6mCDP </w:t>
      </w:r>
      <w:r w:rsidR="008600A3" w:rsidRPr="00AE74F3">
        <w:t>data from Samjoo 2023 resulted in ofatumumab no longer being dominant over fingolimod</w:t>
      </w:r>
      <w:r w:rsidR="0045520B" w:rsidRPr="00AE74F3">
        <w:t>;</w:t>
      </w:r>
    </w:p>
    <w:p w14:paraId="0D01606A" w14:textId="77777777" w:rsidR="004C2425" w:rsidRPr="00AE74F3" w:rsidRDefault="004C2425" w:rsidP="004C2425">
      <w:pPr>
        <w:pStyle w:val="ListParagraph"/>
        <w:numPr>
          <w:ilvl w:val="1"/>
          <w:numId w:val="3"/>
        </w:numPr>
        <w:ind w:left="1418" w:hanging="284"/>
      </w:pPr>
      <w:r w:rsidRPr="00AE74F3">
        <w:t xml:space="preserve">The available trial data could not fully inform the transition probabilities necessary to complete the disease progression up to EDSS score of 9 because the trials did not have sufficient follow-up to report progression for EDSS scores of 6 or more. Therefore, an annual probability of disease progression of 10% was used for RRMS EDSS scores of 6-8 with no EDSS regression. Also, patients with RRMS EDSS score of 9 were automatically assumed to move to SPMS; and </w:t>
      </w:r>
    </w:p>
    <w:p w14:paraId="607C4B56" w14:textId="012895A4" w:rsidR="004C2425" w:rsidRPr="00AE74F3" w:rsidRDefault="004C2425" w:rsidP="004C2425">
      <w:pPr>
        <w:pStyle w:val="ListParagraph"/>
        <w:numPr>
          <w:ilvl w:val="1"/>
          <w:numId w:val="3"/>
        </w:numPr>
        <w:ind w:left="1418" w:hanging="284"/>
      </w:pPr>
      <w:r w:rsidRPr="00AE74F3">
        <w:t xml:space="preserve">The model assumed that patients can only enter the model with EDSS 0 to 5, whereas this is not a requirement for initiating PBS listed ofatumumab (or fingolimod). </w:t>
      </w:r>
    </w:p>
    <w:p w14:paraId="65D4D832" w14:textId="7C4C834C" w:rsidR="008600A3" w:rsidRDefault="00193BB8" w:rsidP="008600A3">
      <w:pPr>
        <w:pStyle w:val="3-BodyText"/>
      </w:pPr>
      <w:bookmarkStart w:id="67" w:name="_Ref154655788"/>
      <w:r>
        <w:t xml:space="preserve">The ESC noted that, </w:t>
      </w:r>
      <w:r w:rsidR="008600A3" w:rsidRPr="00AE74F3">
        <w:t xml:space="preserve">in </w:t>
      </w:r>
      <w:r w:rsidR="00F322E0" w:rsidRPr="00AE74F3">
        <w:t>a sensitivity analysis using the upper 95% CI for the HR for time to 3mCDP for ofatumumab versus placebo (0.665) and lower 95% CI for fingolimod versus placebo (0.57) based on the submission’s ITC, the results of the economic analysis turned around, such that fingolimod dominate</w:t>
      </w:r>
      <w:r w:rsidR="00851ECE" w:rsidRPr="00AE74F3">
        <w:t>d</w:t>
      </w:r>
      <w:r w:rsidR="00F322E0" w:rsidRPr="00AE74F3">
        <w:t xml:space="preserve"> ofatumumab (ofatumumab costs $</w:t>
      </w:r>
      <w:r w:rsidR="00A121F0" w:rsidRPr="002943DF">
        <w:rPr>
          <w:color w:val="000000"/>
          <w:w w:val="15"/>
          <w:shd w:val="solid" w:color="000000" w:fill="000000"/>
          <w:fitText w:val="-20" w:id="-962405875"/>
          <w14:textFill>
            <w14:solidFill>
              <w14:srgbClr w14:val="000000">
                <w14:alpha w14:val="100000"/>
              </w14:srgbClr>
            </w14:solidFill>
          </w14:textFill>
        </w:rPr>
        <w:t xml:space="preserve">|  </w:t>
      </w:r>
      <w:r w:rsidR="00A121F0" w:rsidRPr="002943DF">
        <w:rPr>
          <w:color w:val="000000"/>
          <w:spacing w:val="-69"/>
          <w:w w:val="15"/>
          <w:shd w:val="solid" w:color="000000" w:fill="000000"/>
          <w:fitText w:val="-20" w:id="-962405875"/>
          <w14:textFill>
            <w14:solidFill>
              <w14:srgbClr w14:val="000000">
                <w14:alpha w14:val="100000"/>
              </w14:srgbClr>
            </w14:solidFill>
          </w14:textFill>
        </w:rPr>
        <w:t>|</w:t>
      </w:r>
      <w:r w:rsidR="00F322E0" w:rsidRPr="00AE74F3">
        <w:t xml:space="preserve"> more and provides 0.14 fewer QALYs).</w:t>
      </w:r>
      <w:r w:rsidR="008600A3" w:rsidRPr="00AE74F3">
        <w:t xml:space="preserve"> </w:t>
      </w:r>
      <w:bookmarkEnd w:id="67"/>
    </w:p>
    <w:p w14:paraId="4ACAEB74" w14:textId="67A2C5E6" w:rsidR="006B7F2A" w:rsidRPr="00AE74F3" w:rsidRDefault="0027770D" w:rsidP="008600A3">
      <w:pPr>
        <w:pStyle w:val="3-BodyText"/>
      </w:pPr>
      <w:r>
        <w:t xml:space="preserve">The pre-PBAC response stated that some of the key issues raised by ESC (e.g. </w:t>
      </w:r>
      <w:r w:rsidR="00F550A7">
        <w:t xml:space="preserve">use of </w:t>
      </w:r>
      <w:r>
        <w:t xml:space="preserve">subsequent DMT treatments, </w:t>
      </w:r>
      <w:r w:rsidRPr="006B7F2A">
        <w:t xml:space="preserve">DMT costs in SPMS health states and </w:t>
      </w:r>
      <w:r>
        <w:t xml:space="preserve">the </w:t>
      </w:r>
      <w:r w:rsidRPr="006B7F2A">
        <w:t xml:space="preserve">number of ofatumumab doses) </w:t>
      </w:r>
      <w:r>
        <w:t xml:space="preserve">were tested in sensitivity analyses </w:t>
      </w:r>
      <w:r w:rsidRPr="006B7F2A">
        <w:t xml:space="preserve">and resulted in </w:t>
      </w:r>
      <w:r w:rsidR="00F550A7">
        <w:t>‘</w:t>
      </w:r>
      <w:r w:rsidRPr="006B7F2A">
        <w:t>low</w:t>
      </w:r>
      <w:r w:rsidR="00F550A7">
        <w:t>’</w:t>
      </w:r>
      <w:r w:rsidRPr="006B7F2A">
        <w:t xml:space="preserve"> ICER values</w:t>
      </w:r>
      <w:r w:rsidR="00F550A7">
        <w:t xml:space="preserve">, and that the majority of univariate sensitivity analyses resulted in </w:t>
      </w:r>
      <w:r w:rsidR="00472B76">
        <w:t xml:space="preserve">ICERs less than </w:t>
      </w:r>
      <w:r w:rsidR="0072407A" w:rsidRPr="0072407A">
        <w:t>$25,000 to &lt; $35,000</w:t>
      </w:r>
      <w:r w:rsidR="00472B76">
        <w:t xml:space="preserve">/QALY. However, the PBAC considered there were other </w:t>
      </w:r>
      <w:r>
        <w:t xml:space="preserve">substantial </w:t>
      </w:r>
      <w:r w:rsidR="00472B76">
        <w:t xml:space="preserve">issues </w:t>
      </w:r>
      <w:r>
        <w:t xml:space="preserve">(raised in </w:t>
      </w:r>
      <w:r w:rsidR="004F5B8B">
        <w:t>p</w:t>
      </w:r>
      <w:r>
        <w:t xml:space="preserve">aragraph </w:t>
      </w:r>
      <w:r>
        <w:fldChar w:fldCharType="begin" w:fldLock="1"/>
      </w:r>
      <w:r>
        <w:instrText xml:space="preserve"> REF _Ref159502753 \r \h </w:instrText>
      </w:r>
      <w:r>
        <w:fldChar w:fldCharType="separate"/>
      </w:r>
      <w:r w:rsidR="00416916">
        <w:t>6.79</w:t>
      </w:r>
      <w:r>
        <w:fldChar w:fldCharType="end"/>
      </w:r>
      <w:r>
        <w:t xml:space="preserve">) </w:t>
      </w:r>
      <w:r w:rsidR="00472B76">
        <w:t xml:space="preserve">that were </w:t>
      </w:r>
      <w:r w:rsidR="00FE2633" w:rsidRPr="00A81726">
        <w:rPr>
          <w:lang w:val="en-GB" w:eastAsia="en-US"/>
        </w:rPr>
        <w:t xml:space="preserve">not </w:t>
      </w:r>
      <w:r w:rsidR="00FE2633">
        <w:rPr>
          <w:lang w:val="en-GB" w:eastAsia="en-US"/>
        </w:rPr>
        <w:t xml:space="preserve">able to be tested in </w:t>
      </w:r>
      <w:r w:rsidR="00FE2633" w:rsidRPr="00A81726">
        <w:rPr>
          <w:lang w:val="en-GB" w:eastAsia="en-US"/>
        </w:rPr>
        <w:lastRenderedPageBreak/>
        <w:t xml:space="preserve">sensitivity analyses </w:t>
      </w:r>
      <w:r w:rsidR="00472B76">
        <w:t xml:space="preserve">(e.g. </w:t>
      </w:r>
      <w:r>
        <w:t xml:space="preserve">some of the </w:t>
      </w:r>
      <w:r w:rsidRPr="0027770D">
        <w:t xml:space="preserve">transition probabilities applied in the model </w:t>
      </w:r>
      <w:r>
        <w:t>appeared to be</w:t>
      </w:r>
      <w:r w:rsidRPr="0027770D">
        <w:t xml:space="preserve"> outdated</w:t>
      </w:r>
      <w:r>
        <w:t>/</w:t>
      </w:r>
      <w:r w:rsidRPr="0027770D">
        <w:t>did not reflect clinical practice</w:t>
      </w:r>
      <w:r w:rsidR="00E3088F">
        <w:t xml:space="preserve"> and some of the assumptions regarding disease progression in</w:t>
      </w:r>
      <w:r w:rsidR="00E3088F" w:rsidRPr="00E3088F">
        <w:t xml:space="preserve"> patients with RRMS</w:t>
      </w:r>
      <w:r w:rsidR="00FE2633">
        <w:t xml:space="preserve"> were uncertain</w:t>
      </w:r>
      <w:r w:rsidR="00472B76">
        <w:t>)</w:t>
      </w:r>
      <w:r w:rsidR="00FE2633">
        <w:t xml:space="preserve">. </w:t>
      </w:r>
      <w:r w:rsidR="00A32DE2">
        <w:t>Further</w:t>
      </w:r>
      <w:r w:rsidR="00FE2633">
        <w:rPr>
          <w:lang w:val="en-GB" w:eastAsia="en-US"/>
        </w:rPr>
        <w:t xml:space="preserve">, </w:t>
      </w:r>
      <w:r w:rsidR="00845548">
        <w:rPr>
          <w:lang w:val="en-GB" w:eastAsia="en-US"/>
        </w:rPr>
        <w:t xml:space="preserve">the PBAC considered </w:t>
      </w:r>
      <w:r w:rsidR="00FE2633">
        <w:rPr>
          <w:lang w:val="en-GB" w:eastAsia="en-US"/>
        </w:rPr>
        <w:t>the uncertainties with the clinical data were highlighted by a</w:t>
      </w:r>
      <w:r w:rsidR="00FE2633" w:rsidRPr="00A81726">
        <w:rPr>
          <w:lang w:val="en-GB" w:eastAsia="en-US"/>
        </w:rPr>
        <w:t xml:space="preserve"> sensitivity analysis </w:t>
      </w:r>
      <w:r w:rsidR="00FE2633">
        <w:rPr>
          <w:lang w:val="en-GB" w:eastAsia="en-US"/>
        </w:rPr>
        <w:t xml:space="preserve">that </w:t>
      </w:r>
      <w:r w:rsidR="00FE2633" w:rsidRPr="00A81726">
        <w:rPr>
          <w:lang w:val="en-GB" w:eastAsia="en-US"/>
        </w:rPr>
        <w:t>result</w:t>
      </w:r>
      <w:r w:rsidR="00FE2633">
        <w:rPr>
          <w:lang w:val="en-GB" w:eastAsia="en-US"/>
        </w:rPr>
        <w:t>ed</w:t>
      </w:r>
      <w:r w:rsidR="00FE2633" w:rsidRPr="00A81726">
        <w:rPr>
          <w:lang w:val="en-GB" w:eastAsia="en-US"/>
        </w:rPr>
        <w:t xml:space="preserve"> in fingolimod becoming dominant (</w:t>
      </w:r>
      <w:r w:rsidR="00FE2633">
        <w:rPr>
          <w:lang w:val="en-GB" w:eastAsia="en-US"/>
        </w:rPr>
        <w:t xml:space="preserve">when the </w:t>
      </w:r>
      <w:r w:rsidR="00FE2633" w:rsidRPr="00A81726">
        <w:rPr>
          <w:lang w:val="en-GB" w:eastAsia="en-US"/>
        </w:rPr>
        <w:t>trial-based upper/lower bounds of the 95% confidence intervals</w:t>
      </w:r>
      <w:r w:rsidR="00FE2633">
        <w:rPr>
          <w:lang w:val="en-GB" w:eastAsia="en-US"/>
        </w:rPr>
        <w:t xml:space="preserve"> were used</w:t>
      </w:r>
      <w:r w:rsidR="00FE2633" w:rsidRPr="00A81726">
        <w:rPr>
          <w:lang w:val="en-GB" w:eastAsia="en-US"/>
        </w:rPr>
        <w:t>)</w:t>
      </w:r>
      <w:r w:rsidR="00472B76">
        <w:t xml:space="preserve">. </w:t>
      </w:r>
      <w:r w:rsidR="00FE2633">
        <w:t>Overall</w:t>
      </w:r>
      <w:r w:rsidR="00472B76">
        <w:t xml:space="preserve">, the </w:t>
      </w:r>
      <w:r w:rsidR="00472B76" w:rsidRPr="00472B76">
        <w:t xml:space="preserve">PBAC considered </w:t>
      </w:r>
      <w:r w:rsidR="00CC246A">
        <w:t xml:space="preserve">the </w:t>
      </w:r>
      <w:r w:rsidR="00472B76" w:rsidRPr="00472B76">
        <w:t>cost-utility analysis</w:t>
      </w:r>
      <w:r w:rsidR="00CC246A">
        <w:t xml:space="preserve"> was not informative</w:t>
      </w:r>
      <w:r w:rsidR="00472B76" w:rsidRPr="00472B76">
        <w:t xml:space="preserve"> given the claim of superior comparative efficacy was not adequately supported</w:t>
      </w:r>
      <w:r>
        <w:t xml:space="preserve"> by the data</w:t>
      </w:r>
      <w:r w:rsidR="00472B76" w:rsidRPr="00472B76">
        <w:t>.</w:t>
      </w:r>
    </w:p>
    <w:p w14:paraId="3176E296" w14:textId="77777777" w:rsidR="008600A3" w:rsidRPr="004F43A8" w:rsidRDefault="008600A3" w:rsidP="008600A3">
      <w:pPr>
        <w:pStyle w:val="4-SubsectionHeading"/>
      </w:pPr>
      <w:bookmarkStart w:id="68" w:name="_Toc156817846"/>
      <w:r w:rsidRPr="004F43A8">
        <w:t>Drug cost/patient/year</w:t>
      </w:r>
      <w:bookmarkEnd w:id="68"/>
    </w:p>
    <w:p w14:paraId="38DF67F7" w14:textId="663C7E98" w:rsidR="008600A3" w:rsidRPr="004F43A8" w:rsidRDefault="008600A3" w:rsidP="008600A3">
      <w:pPr>
        <w:pStyle w:val="3-BodyText"/>
      </w:pPr>
      <w:r w:rsidRPr="004F43A8">
        <w:fldChar w:fldCharType="begin" w:fldLock="1"/>
      </w:r>
      <w:r w:rsidRPr="004F43A8">
        <w:instrText xml:space="preserve"> REF _Ref153036451 \h </w:instrText>
      </w:r>
      <w:r w:rsidRPr="004F43A8">
        <w:fldChar w:fldCharType="separate"/>
      </w:r>
      <w:r w:rsidR="00416916" w:rsidRPr="004F43A8">
        <w:t xml:space="preserve">Table </w:t>
      </w:r>
      <w:r w:rsidR="00416916">
        <w:rPr>
          <w:noProof/>
        </w:rPr>
        <w:t>14</w:t>
      </w:r>
      <w:r w:rsidRPr="004F43A8">
        <w:fldChar w:fldCharType="end"/>
      </w:r>
      <w:r w:rsidRPr="004F43A8">
        <w:t xml:space="preserve"> presents the drug patient costs per year for ofatumumab and fingolimod based on inputs and assumptions from the relevant trial data, the economic </w:t>
      </w:r>
      <w:proofErr w:type="gramStart"/>
      <w:r w:rsidRPr="004F43A8">
        <w:t>model</w:t>
      </w:r>
      <w:proofErr w:type="gramEnd"/>
      <w:r w:rsidRPr="004F43A8">
        <w:t xml:space="preserve"> and financial estimates.</w:t>
      </w:r>
    </w:p>
    <w:p w14:paraId="6DA42F8A" w14:textId="2109355F" w:rsidR="008600A3" w:rsidRPr="004F43A8" w:rsidRDefault="008600A3" w:rsidP="008600A3">
      <w:pPr>
        <w:pStyle w:val="Caption"/>
        <w:rPr>
          <w:rStyle w:val="CommentReference"/>
          <w:b/>
          <w:szCs w:val="24"/>
        </w:rPr>
      </w:pPr>
      <w:bookmarkStart w:id="69" w:name="_Ref153036451"/>
      <w:r w:rsidRPr="004F43A8">
        <w:t xml:space="preserve">Table </w:t>
      </w:r>
      <w:r w:rsidR="002943DF">
        <w:fldChar w:fldCharType="begin" w:fldLock="1"/>
      </w:r>
      <w:r w:rsidR="002943DF">
        <w:instrText xml:space="preserve"> SEQ T</w:instrText>
      </w:r>
      <w:r w:rsidR="002943DF">
        <w:instrText xml:space="preserve">able \* ARABIC </w:instrText>
      </w:r>
      <w:r w:rsidR="002943DF">
        <w:fldChar w:fldCharType="separate"/>
      </w:r>
      <w:r w:rsidR="00416916">
        <w:rPr>
          <w:noProof/>
        </w:rPr>
        <w:t>14</w:t>
      </w:r>
      <w:r w:rsidR="002943DF">
        <w:rPr>
          <w:noProof/>
        </w:rPr>
        <w:fldChar w:fldCharType="end"/>
      </w:r>
      <w:bookmarkEnd w:id="69"/>
      <w:r w:rsidRPr="004F43A8">
        <w:t>:</w:t>
      </w:r>
      <w:r w:rsidRPr="004F43A8">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Drug cost per patient for proposed and comparator drugs"/>
      </w:tblPr>
      <w:tblGrid>
        <w:gridCol w:w="1282"/>
        <w:gridCol w:w="1547"/>
        <w:gridCol w:w="1562"/>
        <w:gridCol w:w="1273"/>
        <w:gridCol w:w="1277"/>
        <w:gridCol w:w="981"/>
        <w:gridCol w:w="1095"/>
      </w:tblGrid>
      <w:tr w:rsidR="008600A3" w:rsidRPr="004F43A8" w14:paraId="438E6FBF" w14:textId="77777777" w:rsidTr="00CE58B5">
        <w:trPr>
          <w:jc w:val="center"/>
        </w:trPr>
        <w:tc>
          <w:tcPr>
            <w:tcW w:w="711" w:type="pct"/>
            <w:shd w:val="clear" w:color="auto" w:fill="auto"/>
            <w:vAlign w:val="center"/>
          </w:tcPr>
          <w:p w14:paraId="4EC0C5E8" w14:textId="77777777" w:rsidR="008600A3" w:rsidRPr="004F43A8" w:rsidRDefault="008600A3" w:rsidP="00CE58B5">
            <w:pPr>
              <w:keepNext/>
              <w:jc w:val="left"/>
              <w:rPr>
                <w:rFonts w:ascii="Arial Narrow" w:hAnsi="Arial Narrow"/>
                <w:b/>
                <w:sz w:val="20"/>
              </w:rPr>
            </w:pPr>
          </w:p>
        </w:tc>
        <w:tc>
          <w:tcPr>
            <w:tcW w:w="858" w:type="pct"/>
            <w:shd w:val="clear" w:color="auto" w:fill="auto"/>
            <w:vAlign w:val="center"/>
          </w:tcPr>
          <w:p w14:paraId="54752A06"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Ofatumumab</w:t>
            </w:r>
          </w:p>
          <w:p w14:paraId="2DDA12BB"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Trial dose and duration</w:t>
            </w:r>
          </w:p>
        </w:tc>
        <w:tc>
          <w:tcPr>
            <w:tcW w:w="866" w:type="pct"/>
            <w:shd w:val="clear" w:color="auto" w:fill="auto"/>
            <w:vAlign w:val="center"/>
          </w:tcPr>
          <w:p w14:paraId="220D4EA7"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Ofatumumab</w:t>
            </w:r>
          </w:p>
          <w:p w14:paraId="738F116A"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model</w:t>
            </w:r>
          </w:p>
        </w:tc>
        <w:tc>
          <w:tcPr>
            <w:tcW w:w="706" w:type="pct"/>
            <w:shd w:val="clear" w:color="auto" w:fill="auto"/>
            <w:vAlign w:val="center"/>
          </w:tcPr>
          <w:p w14:paraId="529C0AEA"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Ofatumumab</w:t>
            </w:r>
          </w:p>
          <w:p w14:paraId="475B9324"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Financial estimates</w:t>
            </w:r>
          </w:p>
        </w:tc>
        <w:tc>
          <w:tcPr>
            <w:tcW w:w="708" w:type="pct"/>
            <w:shd w:val="clear" w:color="auto" w:fill="auto"/>
            <w:vAlign w:val="center"/>
          </w:tcPr>
          <w:p w14:paraId="1F28A7A5"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Fingolimod</w:t>
            </w:r>
          </w:p>
          <w:p w14:paraId="75B41711"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Trial dose and duration</w:t>
            </w:r>
          </w:p>
        </w:tc>
        <w:tc>
          <w:tcPr>
            <w:tcW w:w="544" w:type="pct"/>
            <w:shd w:val="clear" w:color="auto" w:fill="auto"/>
            <w:vAlign w:val="center"/>
          </w:tcPr>
          <w:p w14:paraId="18E5D4E0"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Fingolimod</w:t>
            </w:r>
          </w:p>
          <w:p w14:paraId="442445DB"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model</w:t>
            </w:r>
          </w:p>
        </w:tc>
        <w:tc>
          <w:tcPr>
            <w:tcW w:w="607" w:type="pct"/>
            <w:vAlign w:val="center"/>
          </w:tcPr>
          <w:p w14:paraId="3E98AA0A"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Fingolimod</w:t>
            </w:r>
          </w:p>
          <w:p w14:paraId="01C0266A" w14:textId="77777777" w:rsidR="008600A3" w:rsidRPr="004F43A8" w:rsidRDefault="008600A3" w:rsidP="00CE58B5">
            <w:pPr>
              <w:keepNext/>
              <w:jc w:val="center"/>
              <w:rPr>
                <w:rFonts w:ascii="Arial Narrow" w:hAnsi="Arial Narrow"/>
                <w:b/>
                <w:sz w:val="20"/>
              </w:rPr>
            </w:pPr>
            <w:r w:rsidRPr="004F43A8">
              <w:rPr>
                <w:rFonts w:ascii="Arial Narrow" w:hAnsi="Arial Narrow"/>
                <w:b/>
                <w:sz w:val="20"/>
              </w:rPr>
              <w:t>Financial estimates</w:t>
            </w:r>
          </w:p>
        </w:tc>
      </w:tr>
      <w:tr w:rsidR="008600A3" w:rsidRPr="004F43A8" w14:paraId="0ABE2E07" w14:textId="77777777" w:rsidTr="00CE58B5">
        <w:trPr>
          <w:jc w:val="center"/>
        </w:trPr>
        <w:tc>
          <w:tcPr>
            <w:tcW w:w="711" w:type="pct"/>
            <w:shd w:val="clear" w:color="auto" w:fill="auto"/>
            <w:vAlign w:val="center"/>
          </w:tcPr>
          <w:p w14:paraId="4A61D7EB" w14:textId="77777777" w:rsidR="008600A3" w:rsidRPr="004F43A8" w:rsidRDefault="008600A3" w:rsidP="00CE58B5">
            <w:pPr>
              <w:keepNext/>
              <w:jc w:val="left"/>
              <w:rPr>
                <w:rFonts w:ascii="Arial Narrow" w:hAnsi="Arial Narrow"/>
                <w:sz w:val="20"/>
              </w:rPr>
            </w:pPr>
            <w:r w:rsidRPr="004F43A8">
              <w:rPr>
                <w:rFonts w:ascii="Arial Narrow" w:hAnsi="Arial Narrow"/>
                <w:sz w:val="20"/>
              </w:rPr>
              <w:t>Mean dose</w:t>
            </w:r>
          </w:p>
        </w:tc>
        <w:tc>
          <w:tcPr>
            <w:tcW w:w="858" w:type="pct"/>
            <w:shd w:val="clear" w:color="auto" w:fill="auto"/>
            <w:vAlign w:val="center"/>
          </w:tcPr>
          <w:p w14:paraId="26A52192" w14:textId="0322E4DF" w:rsidR="008600A3" w:rsidRPr="005F098D" w:rsidRDefault="008600A3" w:rsidP="00CE58B5">
            <w:pPr>
              <w:keepNext/>
              <w:jc w:val="center"/>
              <w:rPr>
                <w:rFonts w:ascii="Arial Narrow" w:hAnsi="Arial Narrow"/>
                <w:bCs/>
                <w:sz w:val="20"/>
              </w:rPr>
            </w:pPr>
            <w:r w:rsidRPr="005F098D">
              <w:rPr>
                <w:rFonts w:ascii="Arial Narrow" w:hAnsi="Arial Narrow"/>
                <w:bCs/>
                <w:sz w:val="20"/>
              </w:rPr>
              <w:t>20mg doses on weeks 0,1,2 and 4 and every 4 weeks thereafter</w:t>
            </w:r>
          </w:p>
        </w:tc>
        <w:tc>
          <w:tcPr>
            <w:tcW w:w="866" w:type="pct"/>
            <w:shd w:val="clear" w:color="auto" w:fill="auto"/>
            <w:vAlign w:val="center"/>
          </w:tcPr>
          <w:p w14:paraId="2805B7A8"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20mg doses on weeks 0,1,2 and 4 and 20mg monthly thereafter</w:t>
            </w:r>
          </w:p>
        </w:tc>
        <w:tc>
          <w:tcPr>
            <w:tcW w:w="706" w:type="pct"/>
            <w:vMerge w:val="restart"/>
            <w:shd w:val="clear" w:color="auto" w:fill="auto"/>
            <w:vAlign w:val="center"/>
          </w:tcPr>
          <w:p w14:paraId="7E6364CB"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Scripts based on market share approach from 2021 ofatumumab submission (supplementary analysis).</w:t>
            </w:r>
          </w:p>
        </w:tc>
        <w:tc>
          <w:tcPr>
            <w:tcW w:w="1252" w:type="pct"/>
            <w:gridSpan w:val="2"/>
            <w:shd w:val="clear" w:color="auto" w:fill="auto"/>
            <w:vAlign w:val="center"/>
          </w:tcPr>
          <w:p w14:paraId="461ECBDD"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0.5mg daily</w:t>
            </w:r>
          </w:p>
        </w:tc>
        <w:tc>
          <w:tcPr>
            <w:tcW w:w="607" w:type="pct"/>
            <w:vAlign w:val="center"/>
          </w:tcPr>
          <w:p w14:paraId="267FAA8A"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NA</w:t>
            </w:r>
          </w:p>
        </w:tc>
      </w:tr>
      <w:tr w:rsidR="008600A3" w:rsidRPr="004F43A8" w14:paraId="7AB387C7" w14:textId="77777777" w:rsidTr="00CE58B5">
        <w:trPr>
          <w:jc w:val="center"/>
        </w:trPr>
        <w:tc>
          <w:tcPr>
            <w:tcW w:w="711" w:type="pct"/>
            <w:shd w:val="clear" w:color="auto" w:fill="auto"/>
            <w:vAlign w:val="center"/>
          </w:tcPr>
          <w:p w14:paraId="3CF8775E" w14:textId="77777777" w:rsidR="008600A3" w:rsidRPr="004F43A8" w:rsidRDefault="008600A3" w:rsidP="00CE58B5">
            <w:pPr>
              <w:keepNext/>
              <w:jc w:val="left"/>
              <w:rPr>
                <w:rFonts w:ascii="Arial Narrow" w:hAnsi="Arial Narrow"/>
                <w:sz w:val="20"/>
              </w:rPr>
            </w:pPr>
            <w:r w:rsidRPr="004F43A8">
              <w:rPr>
                <w:rFonts w:ascii="Arial Narrow" w:hAnsi="Arial Narrow"/>
                <w:sz w:val="20"/>
              </w:rPr>
              <w:t xml:space="preserve">Number of injections /packs over 2 years </w:t>
            </w:r>
          </w:p>
        </w:tc>
        <w:tc>
          <w:tcPr>
            <w:tcW w:w="858" w:type="pct"/>
            <w:shd w:val="clear" w:color="auto" w:fill="auto"/>
            <w:vAlign w:val="center"/>
          </w:tcPr>
          <w:p w14:paraId="23082D2A" w14:textId="77777777" w:rsidR="008600A3" w:rsidRPr="008E1608" w:rsidRDefault="008600A3" w:rsidP="00CE58B5">
            <w:pPr>
              <w:keepNext/>
              <w:jc w:val="center"/>
              <w:rPr>
                <w:rFonts w:ascii="Arial Narrow" w:hAnsi="Arial Narrow"/>
                <w:bCs/>
                <w:sz w:val="20"/>
              </w:rPr>
            </w:pPr>
            <w:r w:rsidRPr="008E1608">
              <w:rPr>
                <w:rFonts w:ascii="Arial Narrow" w:hAnsi="Arial Narrow"/>
                <w:bCs/>
                <w:sz w:val="20"/>
              </w:rPr>
              <w:t>28 injections:</w:t>
            </w:r>
          </w:p>
          <w:p w14:paraId="0BB959D6" w14:textId="77777777" w:rsidR="008600A3" w:rsidRPr="008E1608" w:rsidRDefault="008600A3" w:rsidP="00CE58B5">
            <w:pPr>
              <w:keepNext/>
              <w:jc w:val="center"/>
              <w:rPr>
                <w:rFonts w:ascii="Arial Narrow" w:hAnsi="Arial Narrow"/>
                <w:bCs/>
                <w:sz w:val="20"/>
              </w:rPr>
            </w:pPr>
            <w:r w:rsidRPr="008E1608">
              <w:rPr>
                <w:rFonts w:ascii="Arial Narrow" w:hAnsi="Arial Narrow"/>
                <w:bCs/>
                <w:sz w:val="20"/>
              </w:rPr>
              <w:t>15 in year 1</w:t>
            </w:r>
          </w:p>
          <w:p w14:paraId="60B81559" w14:textId="77777777" w:rsidR="008600A3" w:rsidRPr="008E1608" w:rsidRDefault="008600A3" w:rsidP="00CE58B5">
            <w:pPr>
              <w:keepNext/>
              <w:jc w:val="center"/>
              <w:rPr>
                <w:rFonts w:ascii="Arial Narrow" w:hAnsi="Arial Narrow"/>
                <w:bCs/>
                <w:sz w:val="20"/>
              </w:rPr>
            </w:pPr>
            <w:r w:rsidRPr="008E1608">
              <w:rPr>
                <w:rFonts w:ascii="Arial Narrow" w:hAnsi="Arial Narrow"/>
                <w:bCs/>
                <w:sz w:val="20"/>
              </w:rPr>
              <w:t>13 in year 2</w:t>
            </w:r>
          </w:p>
        </w:tc>
        <w:tc>
          <w:tcPr>
            <w:tcW w:w="866" w:type="pct"/>
            <w:shd w:val="clear" w:color="auto" w:fill="auto"/>
            <w:vAlign w:val="center"/>
          </w:tcPr>
          <w:p w14:paraId="1117D06D" w14:textId="77777777" w:rsidR="008600A3" w:rsidRPr="008E1608" w:rsidRDefault="008600A3" w:rsidP="00CE58B5">
            <w:pPr>
              <w:keepNext/>
              <w:jc w:val="center"/>
              <w:rPr>
                <w:rFonts w:ascii="Arial Narrow" w:hAnsi="Arial Narrow"/>
                <w:bCs/>
                <w:sz w:val="20"/>
              </w:rPr>
            </w:pPr>
            <w:r w:rsidRPr="008E1608">
              <w:rPr>
                <w:rFonts w:ascii="Arial Narrow" w:hAnsi="Arial Narrow"/>
                <w:bCs/>
                <w:sz w:val="20"/>
              </w:rPr>
              <w:t>26 injections:</w:t>
            </w:r>
          </w:p>
          <w:p w14:paraId="59A397F3" w14:textId="77777777" w:rsidR="008600A3" w:rsidRPr="008E1608" w:rsidRDefault="008600A3" w:rsidP="00CE58B5">
            <w:pPr>
              <w:keepNext/>
              <w:jc w:val="center"/>
              <w:rPr>
                <w:rFonts w:ascii="Arial Narrow" w:hAnsi="Arial Narrow"/>
                <w:bCs/>
                <w:sz w:val="20"/>
              </w:rPr>
            </w:pPr>
            <w:r w:rsidRPr="008E1608">
              <w:rPr>
                <w:rFonts w:ascii="Arial Narrow" w:hAnsi="Arial Narrow"/>
                <w:bCs/>
                <w:sz w:val="20"/>
              </w:rPr>
              <w:t>14 in year 1,</w:t>
            </w:r>
          </w:p>
          <w:p w14:paraId="74092183" w14:textId="77777777" w:rsidR="008600A3" w:rsidRPr="008E1608" w:rsidRDefault="008600A3" w:rsidP="00CE58B5">
            <w:pPr>
              <w:keepNext/>
              <w:jc w:val="center"/>
              <w:rPr>
                <w:rFonts w:ascii="Arial Narrow" w:hAnsi="Arial Narrow"/>
                <w:bCs/>
                <w:sz w:val="20"/>
              </w:rPr>
            </w:pPr>
            <w:r w:rsidRPr="008E1608">
              <w:rPr>
                <w:rFonts w:ascii="Arial Narrow" w:hAnsi="Arial Narrow"/>
                <w:bCs/>
                <w:sz w:val="20"/>
              </w:rPr>
              <w:t>12 in year 2</w:t>
            </w:r>
          </w:p>
        </w:tc>
        <w:tc>
          <w:tcPr>
            <w:tcW w:w="706" w:type="pct"/>
            <w:vMerge/>
            <w:shd w:val="clear" w:color="auto" w:fill="auto"/>
            <w:vAlign w:val="center"/>
          </w:tcPr>
          <w:p w14:paraId="1D578F6F" w14:textId="77777777" w:rsidR="008600A3" w:rsidRPr="005F098D" w:rsidRDefault="008600A3" w:rsidP="00CE58B5">
            <w:pPr>
              <w:keepNext/>
              <w:jc w:val="center"/>
              <w:rPr>
                <w:rFonts w:ascii="Arial Narrow" w:hAnsi="Arial Narrow"/>
                <w:b/>
                <w:sz w:val="20"/>
              </w:rPr>
            </w:pPr>
          </w:p>
        </w:tc>
        <w:tc>
          <w:tcPr>
            <w:tcW w:w="1252" w:type="pct"/>
            <w:gridSpan w:val="2"/>
            <w:shd w:val="clear" w:color="auto" w:fill="auto"/>
            <w:vAlign w:val="center"/>
          </w:tcPr>
          <w:p w14:paraId="43265E14"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13.04 packs per year = 26.08 over 2 years</w:t>
            </w:r>
          </w:p>
        </w:tc>
        <w:tc>
          <w:tcPr>
            <w:tcW w:w="607" w:type="pct"/>
            <w:vAlign w:val="center"/>
          </w:tcPr>
          <w:p w14:paraId="31F40D6B"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NA</w:t>
            </w:r>
          </w:p>
        </w:tc>
      </w:tr>
      <w:tr w:rsidR="008600A3" w:rsidRPr="004F43A8" w14:paraId="4F4E7A16" w14:textId="77777777" w:rsidTr="00CE58B5">
        <w:trPr>
          <w:jc w:val="center"/>
        </w:trPr>
        <w:tc>
          <w:tcPr>
            <w:tcW w:w="711" w:type="pct"/>
            <w:shd w:val="clear" w:color="auto" w:fill="auto"/>
            <w:vAlign w:val="center"/>
          </w:tcPr>
          <w:p w14:paraId="546CC930" w14:textId="3CE0F67A" w:rsidR="008600A3" w:rsidRPr="004F43A8" w:rsidRDefault="00A074AA" w:rsidP="00CE58B5">
            <w:pPr>
              <w:keepNext/>
              <w:jc w:val="left"/>
              <w:rPr>
                <w:rFonts w:ascii="Arial Narrow" w:hAnsi="Arial Narrow"/>
                <w:sz w:val="20"/>
              </w:rPr>
            </w:pPr>
            <w:r>
              <w:rPr>
                <w:rFonts w:ascii="Arial Narrow" w:hAnsi="Arial Narrow"/>
                <w:sz w:val="20"/>
              </w:rPr>
              <w:t>Annual c</w:t>
            </w:r>
            <w:r w:rsidR="008600A3" w:rsidRPr="004F43A8">
              <w:rPr>
                <w:rFonts w:ascii="Arial Narrow" w:hAnsi="Arial Narrow"/>
                <w:sz w:val="20"/>
              </w:rPr>
              <w:t>ost, Year 1</w:t>
            </w:r>
          </w:p>
        </w:tc>
        <w:tc>
          <w:tcPr>
            <w:tcW w:w="858" w:type="pct"/>
            <w:shd w:val="clear" w:color="auto" w:fill="auto"/>
            <w:vAlign w:val="center"/>
          </w:tcPr>
          <w:p w14:paraId="6C6F25DA" w14:textId="6271CD00" w:rsidR="008600A3" w:rsidRPr="005F098D" w:rsidRDefault="008600A3" w:rsidP="00CE58B5">
            <w:pPr>
              <w:keepNext/>
              <w:jc w:val="center"/>
              <w:rPr>
                <w:rFonts w:ascii="Arial Narrow" w:hAnsi="Arial Narrow"/>
                <w:bCs/>
                <w:sz w:val="20"/>
              </w:rPr>
            </w:pPr>
            <w:r w:rsidRPr="005F098D">
              <w:rPr>
                <w:rFonts w:ascii="Arial Narrow" w:hAnsi="Arial Narrow"/>
                <w:bCs/>
                <w:sz w:val="20"/>
              </w:rPr>
              <w:t>$</w:t>
            </w:r>
            <w:r w:rsidR="00A121F0" w:rsidRPr="00A121F0">
              <w:rPr>
                <w:rFonts w:ascii="Arial Narrow" w:hAnsi="Arial Narrow"/>
                <w:bCs/>
                <w:color w:val="000000"/>
                <w:sz w:val="20"/>
                <w:shd w:val="solid" w:color="000000" w:fill="000000"/>
                <w14:textFill>
                  <w14:solidFill>
                    <w14:srgbClr w14:val="000000">
                      <w14:alpha w14:val="100000"/>
                    </w14:srgbClr>
                  </w14:solidFill>
                </w14:textFill>
              </w:rPr>
              <w:t>|</w:t>
            </w:r>
          </w:p>
        </w:tc>
        <w:tc>
          <w:tcPr>
            <w:tcW w:w="866" w:type="pct"/>
            <w:shd w:val="clear" w:color="auto" w:fill="auto"/>
            <w:vAlign w:val="center"/>
          </w:tcPr>
          <w:p w14:paraId="7F0C2037" w14:textId="0A5E1554" w:rsidR="008600A3" w:rsidRPr="005F098D" w:rsidRDefault="008600A3" w:rsidP="00CE58B5">
            <w:pPr>
              <w:keepNext/>
              <w:jc w:val="center"/>
              <w:rPr>
                <w:rFonts w:ascii="Arial Narrow" w:hAnsi="Arial Narrow"/>
                <w:bCs/>
                <w:sz w:val="20"/>
              </w:rPr>
            </w:pPr>
            <w:r w:rsidRPr="005F098D">
              <w:rPr>
                <w:rFonts w:ascii="Arial Narrow" w:hAnsi="Arial Narrow"/>
                <w:bCs/>
                <w:sz w:val="20"/>
              </w:rPr>
              <w:t>$</w:t>
            </w:r>
            <w:r w:rsidR="00A121F0" w:rsidRPr="00A121F0">
              <w:rPr>
                <w:rFonts w:ascii="Arial Narrow" w:hAnsi="Arial Narrow"/>
                <w:bCs/>
                <w:color w:val="000000"/>
                <w:sz w:val="20"/>
                <w:shd w:val="solid" w:color="000000" w:fill="000000"/>
                <w14:textFill>
                  <w14:solidFill>
                    <w14:srgbClr w14:val="000000">
                      <w14:alpha w14:val="100000"/>
                    </w14:srgbClr>
                  </w14:solidFill>
                </w14:textFill>
              </w:rPr>
              <w:t>|</w:t>
            </w:r>
          </w:p>
        </w:tc>
        <w:tc>
          <w:tcPr>
            <w:tcW w:w="706" w:type="pct"/>
            <w:vMerge/>
            <w:shd w:val="clear" w:color="auto" w:fill="auto"/>
            <w:vAlign w:val="center"/>
          </w:tcPr>
          <w:p w14:paraId="0F3CE049" w14:textId="77777777" w:rsidR="008600A3" w:rsidRPr="005F098D" w:rsidRDefault="008600A3" w:rsidP="00CE58B5">
            <w:pPr>
              <w:keepNext/>
              <w:jc w:val="center"/>
              <w:rPr>
                <w:rFonts w:ascii="Arial Narrow" w:hAnsi="Arial Narrow"/>
                <w:bCs/>
                <w:sz w:val="20"/>
              </w:rPr>
            </w:pPr>
          </w:p>
        </w:tc>
        <w:tc>
          <w:tcPr>
            <w:tcW w:w="1252" w:type="pct"/>
            <w:gridSpan w:val="2"/>
            <w:shd w:val="clear" w:color="auto" w:fill="auto"/>
            <w:vAlign w:val="center"/>
          </w:tcPr>
          <w:p w14:paraId="2D74FF34"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$14,029</w:t>
            </w:r>
          </w:p>
        </w:tc>
        <w:tc>
          <w:tcPr>
            <w:tcW w:w="607" w:type="pct"/>
            <w:vAlign w:val="center"/>
          </w:tcPr>
          <w:p w14:paraId="7C6F2795"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NA</w:t>
            </w:r>
          </w:p>
        </w:tc>
      </w:tr>
      <w:tr w:rsidR="008600A3" w:rsidRPr="004F43A8" w14:paraId="50F751EA" w14:textId="77777777" w:rsidTr="00CE58B5">
        <w:trPr>
          <w:jc w:val="center"/>
        </w:trPr>
        <w:tc>
          <w:tcPr>
            <w:tcW w:w="711" w:type="pct"/>
            <w:shd w:val="clear" w:color="auto" w:fill="auto"/>
            <w:vAlign w:val="center"/>
          </w:tcPr>
          <w:p w14:paraId="10AE7AAF" w14:textId="32A0C57B" w:rsidR="008600A3" w:rsidRPr="004F43A8" w:rsidRDefault="00A074AA" w:rsidP="00CE58B5">
            <w:pPr>
              <w:keepNext/>
              <w:jc w:val="left"/>
              <w:rPr>
                <w:rFonts w:ascii="Arial Narrow" w:hAnsi="Arial Narrow"/>
                <w:sz w:val="20"/>
              </w:rPr>
            </w:pPr>
            <w:r>
              <w:rPr>
                <w:rFonts w:ascii="Arial Narrow" w:hAnsi="Arial Narrow"/>
                <w:sz w:val="20"/>
              </w:rPr>
              <w:t>Annual c</w:t>
            </w:r>
            <w:r w:rsidR="008600A3" w:rsidRPr="004F43A8">
              <w:rPr>
                <w:rFonts w:ascii="Arial Narrow" w:hAnsi="Arial Narrow"/>
                <w:sz w:val="20"/>
              </w:rPr>
              <w:t>ost, Year 2+</w:t>
            </w:r>
          </w:p>
        </w:tc>
        <w:tc>
          <w:tcPr>
            <w:tcW w:w="858" w:type="pct"/>
            <w:shd w:val="clear" w:color="auto" w:fill="auto"/>
            <w:vAlign w:val="center"/>
          </w:tcPr>
          <w:p w14:paraId="10A53324" w14:textId="2652EE77" w:rsidR="008600A3" w:rsidRPr="005F098D" w:rsidRDefault="008600A3" w:rsidP="00CE58B5">
            <w:pPr>
              <w:keepNext/>
              <w:jc w:val="center"/>
              <w:rPr>
                <w:rFonts w:ascii="Arial Narrow" w:hAnsi="Arial Narrow"/>
                <w:sz w:val="20"/>
              </w:rPr>
            </w:pPr>
            <w:r w:rsidRPr="005F098D">
              <w:rPr>
                <w:rFonts w:ascii="Arial Narrow" w:hAnsi="Arial Narrow"/>
                <w:sz w:val="20"/>
              </w:rPr>
              <w:t>$</w:t>
            </w:r>
            <w:r w:rsidR="00A121F0" w:rsidRPr="00A121F0">
              <w:rPr>
                <w:rFonts w:ascii="Arial Narrow" w:hAnsi="Arial Narrow"/>
                <w:color w:val="000000"/>
                <w:sz w:val="20"/>
                <w:shd w:val="solid" w:color="000000" w:fill="000000"/>
                <w14:textFill>
                  <w14:solidFill>
                    <w14:srgbClr w14:val="000000">
                      <w14:alpha w14:val="100000"/>
                    </w14:srgbClr>
                  </w14:solidFill>
                </w14:textFill>
              </w:rPr>
              <w:t>|</w:t>
            </w:r>
          </w:p>
        </w:tc>
        <w:tc>
          <w:tcPr>
            <w:tcW w:w="866" w:type="pct"/>
            <w:shd w:val="clear" w:color="auto" w:fill="auto"/>
            <w:vAlign w:val="center"/>
          </w:tcPr>
          <w:p w14:paraId="2CA79BF5" w14:textId="35E5934E" w:rsidR="008600A3" w:rsidRPr="005F098D" w:rsidRDefault="008600A3" w:rsidP="00CE58B5">
            <w:pPr>
              <w:keepNext/>
              <w:jc w:val="center"/>
              <w:rPr>
                <w:rFonts w:ascii="Arial Narrow" w:hAnsi="Arial Narrow"/>
                <w:bCs/>
                <w:sz w:val="20"/>
              </w:rPr>
            </w:pPr>
            <w:r w:rsidRPr="005F098D">
              <w:rPr>
                <w:rFonts w:ascii="Arial Narrow" w:hAnsi="Arial Narrow"/>
                <w:bCs/>
                <w:sz w:val="20"/>
              </w:rPr>
              <w:t>$</w:t>
            </w:r>
            <w:r w:rsidR="00A121F0" w:rsidRPr="00A121F0">
              <w:rPr>
                <w:rFonts w:ascii="Arial Narrow" w:hAnsi="Arial Narrow"/>
                <w:bCs/>
                <w:color w:val="000000"/>
                <w:sz w:val="20"/>
                <w:shd w:val="solid" w:color="000000" w:fill="000000"/>
                <w14:textFill>
                  <w14:solidFill>
                    <w14:srgbClr w14:val="000000">
                      <w14:alpha w14:val="100000"/>
                    </w14:srgbClr>
                  </w14:solidFill>
                </w14:textFill>
              </w:rPr>
              <w:t>|</w:t>
            </w:r>
          </w:p>
        </w:tc>
        <w:tc>
          <w:tcPr>
            <w:tcW w:w="706" w:type="pct"/>
            <w:vMerge/>
            <w:shd w:val="clear" w:color="auto" w:fill="auto"/>
            <w:vAlign w:val="center"/>
          </w:tcPr>
          <w:p w14:paraId="3516E277" w14:textId="77777777" w:rsidR="008600A3" w:rsidRPr="005F098D" w:rsidRDefault="008600A3" w:rsidP="00CE58B5">
            <w:pPr>
              <w:keepNext/>
              <w:jc w:val="center"/>
              <w:rPr>
                <w:rFonts w:ascii="Arial Narrow" w:hAnsi="Arial Narrow"/>
                <w:sz w:val="20"/>
              </w:rPr>
            </w:pPr>
          </w:p>
        </w:tc>
        <w:tc>
          <w:tcPr>
            <w:tcW w:w="1252" w:type="pct"/>
            <w:gridSpan w:val="2"/>
            <w:shd w:val="clear" w:color="auto" w:fill="auto"/>
            <w:vAlign w:val="center"/>
          </w:tcPr>
          <w:p w14:paraId="49FACE9D" w14:textId="77777777" w:rsidR="008600A3" w:rsidRPr="005F098D" w:rsidRDefault="008600A3" w:rsidP="00CE58B5">
            <w:pPr>
              <w:keepNext/>
              <w:jc w:val="center"/>
              <w:rPr>
                <w:rFonts w:ascii="Arial Narrow" w:hAnsi="Arial Narrow"/>
                <w:bCs/>
                <w:sz w:val="20"/>
              </w:rPr>
            </w:pPr>
            <w:r w:rsidRPr="005F098D">
              <w:rPr>
                <w:rFonts w:ascii="Arial Narrow" w:hAnsi="Arial Narrow"/>
                <w:bCs/>
                <w:sz w:val="20"/>
              </w:rPr>
              <w:t>$13,852</w:t>
            </w:r>
          </w:p>
        </w:tc>
        <w:tc>
          <w:tcPr>
            <w:tcW w:w="607" w:type="pct"/>
            <w:vAlign w:val="center"/>
          </w:tcPr>
          <w:p w14:paraId="35D53FA4" w14:textId="77777777" w:rsidR="008600A3" w:rsidRPr="005F098D" w:rsidRDefault="008600A3" w:rsidP="00CE58B5">
            <w:pPr>
              <w:keepNext/>
              <w:jc w:val="center"/>
              <w:rPr>
                <w:rFonts w:ascii="Arial Narrow" w:hAnsi="Arial Narrow"/>
                <w:sz w:val="20"/>
              </w:rPr>
            </w:pPr>
            <w:r w:rsidRPr="005F098D">
              <w:rPr>
                <w:rFonts w:ascii="Arial Narrow" w:hAnsi="Arial Narrow"/>
                <w:sz w:val="20"/>
              </w:rPr>
              <w:t>NA</w:t>
            </w:r>
          </w:p>
        </w:tc>
      </w:tr>
    </w:tbl>
    <w:p w14:paraId="3B0E67F5" w14:textId="77777777" w:rsidR="008600A3" w:rsidRDefault="008600A3" w:rsidP="008600A3">
      <w:pPr>
        <w:pStyle w:val="FooterTableFigure"/>
      </w:pPr>
      <w:r w:rsidRPr="004F43A8">
        <w:t>NA = not applicable</w:t>
      </w:r>
    </w:p>
    <w:p w14:paraId="32B6F5B3" w14:textId="2011DC35" w:rsidR="008600A3" w:rsidRPr="004F43A8" w:rsidRDefault="008600A3" w:rsidP="008600A3">
      <w:pPr>
        <w:pStyle w:val="FooterTableFigure"/>
      </w:pPr>
      <w:r w:rsidRPr="004F43A8">
        <w:t>Source: Table 111 of the submission.</w:t>
      </w:r>
    </w:p>
    <w:p w14:paraId="2FFCA9BF" w14:textId="4F9F91F8" w:rsidR="008600A3" w:rsidRPr="004F43A8" w:rsidRDefault="008600A3" w:rsidP="008600A3">
      <w:pPr>
        <w:pStyle w:val="3-BodyText"/>
        <w:rPr>
          <w:snapToGrid/>
        </w:rPr>
      </w:pPr>
      <w:r w:rsidRPr="004F43A8">
        <w:rPr>
          <w:snapToGrid/>
        </w:rPr>
        <w:t xml:space="preserve">Previously, the PBAC noted that the number of injections of ofatumumab used in the cost-minimisation </w:t>
      </w:r>
      <w:r w:rsidR="00A81726">
        <w:rPr>
          <w:snapToGrid/>
        </w:rPr>
        <w:t xml:space="preserve">analysis </w:t>
      </w:r>
      <w:r w:rsidRPr="004F43A8">
        <w:rPr>
          <w:snapToGrid/>
        </w:rPr>
        <w:t>was inconsistent with the ASCLEPIOS I and II trials, which had a dosing frequency of every 4 weeks (13 doses per year) as opposed to the monthly frequency (12 doses per year) [for years 2+]. Previously the PBAC previously found it appropriate to include 15 (year 1) and 13 doses (year 2+) per year in line with ASCLEPIOS I/II (paragraph 6.52, ofatumumab PSD, March 2021 PBAC meeting).</w:t>
      </w:r>
    </w:p>
    <w:p w14:paraId="0B08D670" w14:textId="77777777" w:rsidR="008600A3" w:rsidRPr="004F43A8" w:rsidRDefault="008600A3" w:rsidP="008600A3">
      <w:pPr>
        <w:pStyle w:val="4-SubsectionHeading"/>
      </w:pPr>
      <w:bookmarkStart w:id="70" w:name="_Toc156817847"/>
      <w:r w:rsidRPr="004F43A8">
        <w:t>Estimated PBS usage &amp; financial implications</w:t>
      </w:r>
      <w:bookmarkEnd w:id="70"/>
    </w:p>
    <w:p w14:paraId="6D173631" w14:textId="7A61F662" w:rsidR="008600A3" w:rsidRPr="00AE74F3" w:rsidRDefault="008600A3" w:rsidP="008600A3">
      <w:pPr>
        <w:pStyle w:val="3-BodyText"/>
      </w:pPr>
      <w:r w:rsidRPr="00AE74F3">
        <w:t xml:space="preserve">This submission </w:t>
      </w:r>
      <w:r w:rsidR="00193BB8">
        <w:t>was</w:t>
      </w:r>
      <w:r w:rsidRPr="00AE74F3">
        <w:t xml:space="preserve"> not considered by DUSC.</w:t>
      </w:r>
    </w:p>
    <w:p w14:paraId="22C83CE0" w14:textId="30687853" w:rsidR="00A131D2" w:rsidRPr="00AE74F3" w:rsidRDefault="008600A3" w:rsidP="0007744B">
      <w:pPr>
        <w:pStyle w:val="3-BodyText"/>
      </w:pPr>
      <w:r w:rsidRPr="00AE74F3">
        <w:t xml:space="preserve">The submission </w:t>
      </w:r>
      <w:r w:rsidR="00193BB8">
        <w:t>stated</w:t>
      </w:r>
      <w:r w:rsidRPr="00AE74F3">
        <w:t xml:space="preserve"> that no changes to the current PBS restriction or PBS price for ofatumumab </w:t>
      </w:r>
      <w:r w:rsidR="00193BB8">
        <w:t>were</w:t>
      </w:r>
      <w:r w:rsidRPr="00AE74F3">
        <w:t xml:space="preserve"> requested and there are no foreseen price changes for ofatumumab in the near future and as such, there would be no direct impact to the subsidised usage or costs for ofatumumab. </w:t>
      </w:r>
    </w:p>
    <w:p w14:paraId="2E86D5C9" w14:textId="30CC7949" w:rsidR="008600A3" w:rsidRPr="00AE74F3" w:rsidRDefault="008600A3" w:rsidP="0007744B">
      <w:pPr>
        <w:pStyle w:val="3-BodyText"/>
      </w:pPr>
      <w:r w:rsidRPr="00AE74F3">
        <w:t xml:space="preserve">For completeness, the estimated extent of ofatumumab use and associated costs over the next </w:t>
      </w:r>
      <w:r w:rsidR="008E00E5">
        <w:t>six</w:t>
      </w:r>
      <w:r w:rsidRPr="00AE74F3">
        <w:t xml:space="preserve"> years at current pric</w:t>
      </w:r>
      <w:r w:rsidR="007C6306" w:rsidRPr="00AE74F3">
        <w:t>es</w:t>
      </w:r>
      <w:r w:rsidRPr="00AE74F3">
        <w:t xml:space="preserve"> were presented in the submission. </w:t>
      </w:r>
      <w:r w:rsidR="00285B4D" w:rsidRPr="00AE74F3">
        <w:t xml:space="preserve">The submission </w:t>
      </w:r>
      <w:r w:rsidR="00285B4D" w:rsidRPr="00AE74F3">
        <w:lastRenderedPageBreak/>
        <w:t xml:space="preserve">stated that, as ofatumumab was listed on the PBS in </w:t>
      </w:r>
      <w:r w:rsidR="00667882" w:rsidRPr="00AE74F3">
        <w:t>October</w:t>
      </w:r>
      <w:r w:rsidR="00285B4D" w:rsidRPr="00AE74F3">
        <w:t xml:space="preserve"> 2021, only 19 months of utilisation data were available, and therefore the submission used the estimate</w:t>
      </w:r>
      <w:r w:rsidR="007C6306" w:rsidRPr="00AE74F3">
        <w:t xml:space="preserve">d script numbers from </w:t>
      </w:r>
      <w:r w:rsidR="00285B4D" w:rsidRPr="00AE74F3">
        <w:t>the March 2021 submission</w:t>
      </w:r>
      <w:r w:rsidR="00667882" w:rsidRPr="00AE74F3">
        <w:t>.</w:t>
      </w:r>
      <w:r w:rsidR="007C6306" w:rsidRPr="00AE74F3">
        <w:t xml:space="preserve"> Specifically, the submission used </w:t>
      </w:r>
      <w:r w:rsidR="00BD2A1F" w:rsidRPr="00AE74F3">
        <w:t xml:space="preserve">script numbers from </w:t>
      </w:r>
      <w:r w:rsidR="007C6306" w:rsidRPr="00AE74F3">
        <w:t>a</w:t>
      </w:r>
      <w:r w:rsidR="00BD2A1F" w:rsidRPr="00AE74F3">
        <w:t xml:space="preserve"> supplementary analysis </w:t>
      </w:r>
      <w:r w:rsidR="007C6306" w:rsidRPr="00AE74F3">
        <w:t>in the March 2021 submission that only</w:t>
      </w:r>
      <w:r w:rsidR="00BD2A1F" w:rsidRPr="00AE74F3">
        <w:t xml:space="preserve"> included RRMS medicines considered to be in the ‘higher efficacy tier’ in the market share approach.</w:t>
      </w:r>
    </w:p>
    <w:p w14:paraId="5A4CBBE7" w14:textId="497DD28E" w:rsidR="008600A3" w:rsidRPr="00AE74F3" w:rsidRDefault="008600A3" w:rsidP="008600A3">
      <w:pPr>
        <w:pStyle w:val="3-BodyText"/>
      </w:pPr>
      <w:r w:rsidRPr="00AE74F3">
        <w:fldChar w:fldCharType="begin" w:fldLock="1"/>
      </w:r>
      <w:r w:rsidRPr="00AE74F3">
        <w:instrText xml:space="preserve"> REF _Ref153037793 \h </w:instrText>
      </w:r>
      <w:r w:rsidR="005F098D" w:rsidRPr="00AE74F3">
        <w:instrText xml:space="preserve"> \* MERGEFORMAT </w:instrText>
      </w:r>
      <w:r w:rsidRPr="00AE74F3">
        <w:fldChar w:fldCharType="separate"/>
      </w:r>
      <w:r w:rsidR="00416916" w:rsidRPr="00AE74F3">
        <w:t xml:space="preserve">Table </w:t>
      </w:r>
      <w:r w:rsidR="00416916">
        <w:rPr>
          <w:noProof/>
        </w:rPr>
        <w:t>15</w:t>
      </w:r>
      <w:r w:rsidRPr="00AE74F3">
        <w:fldChar w:fldCharType="end"/>
      </w:r>
      <w:r w:rsidRPr="00AE74F3">
        <w:t xml:space="preserve"> presents the estimated extent of ofatumumab costs on the PBS/RPBS.</w:t>
      </w:r>
    </w:p>
    <w:p w14:paraId="4CD17777" w14:textId="40F047D2" w:rsidR="008600A3" w:rsidRPr="00AE74F3" w:rsidRDefault="008600A3" w:rsidP="002A7A6F">
      <w:pPr>
        <w:pStyle w:val="Caption"/>
        <w:tabs>
          <w:tab w:val="left" w:pos="1134"/>
        </w:tabs>
      </w:pPr>
      <w:bookmarkStart w:id="71" w:name="_Ref153037793"/>
      <w:r w:rsidRPr="00AE74F3">
        <w:t xml:space="preserve">Table </w:t>
      </w:r>
      <w:r w:rsidR="002943DF">
        <w:fldChar w:fldCharType="begin" w:fldLock="1"/>
      </w:r>
      <w:r w:rsidR="002943DF">
        <w:instrText xml:space="preserve"> SEQ Table \* ARABIC </w:instrText>
      </w:r>
      <w:r w:rsidR="002943DF">
        <w:fldChar w:fldCharType="separate"/>
      </w:r>
      <w:r w:rsidR="00416916">
        <w:rPr>
          <w:noProof/>
        </w:rPr>
        <w:t>15</w:t>
      </w:r>
      <w:r w:rsidR="002943DF">
        <w:rPr>
          <w:noProof/>
        </w:rPr>
        <w:fldChar w:fldCharType="end"/>
      </w:r>
      <w:bookmarkEnd w:id="71"/>
      <w:r w:rsidRPr="00AE74F3">
        <w:t>:</w:t>
      </w:r>
      <w:r w:rsidR="00A1277B" w:rsidRPr="00AE74F3">
        <w:t xml:space="preserve"> </w:t>
      </w:r>
      <w:r w:rsidRPr="00AE74F3">
        <w:t>Estimated extent of ofatumumab costs on the PBS / RPBS in Year 1 – 6, based on ofatumumab effective price</w:t>
      </w:r>
    </w:p>
    <w:tbl>
      <w:tblPr>
        <w:tblStyle w:val="TableGrid"/>
        <w:tblW w:w="5000" w:type="pct"/>
        <w:tblLayout w:type="fixed"/>
        <w:tblLook w:val="04A0" w:firstRow="1" w:lastRow="0" w:firstColumn="1" w:lastColumn="0" w:noHBand="0" w:noVBand="1"/>
        <w:tblCaption w:val="Table 15: Estimated extent of ofatumumab costs on the PBS / RPBS in Year 1 – 6, based on ofatumumab effective price"/>
      </w:tblPr>
      <w:tblGrid>
        <w:gridCol w:w="1838"/>
        <w:gridCol w:w="1277"/>
        <w:gridCol w:w="1134"/>
        <w:gridCol w:w="1134"/>
        <w:gridCol w:w="1277"/>
        <w:gridCol w:w="1134"/>
        <w:gridCol w:w="1223"/>
      </w:tblGrid>
      <w:tr w:rsidR="008600A3" w:rsidRPr="00AE74F3" w14:paraId="5CCE4159" w14:textId="77777777" w:rsidTr="00CE58B5">
        <w:tc>
          <w:tcPr>
            <w:tcW w:w="1019" w:type="pct"/>
          </w:tcPr>
          <w:p w14:paraId="1AE0F550" w14:textId="77777777" w:rsidR="008600A3" w:rsidRPr="00AE74F3" w:rsidRDefault="008600A3" w:rsidP="002A7A6F">
            <w:pPr>
              <w:pStyle w:val="PBACTabletext"/>
              <w:rPr>
                <w:b/>
                <w:bCs/>
              </w:rPr>
            </w:pPr>
            <w:r w:rsidRPr="00AE74F3">
              <w:rPr>
                <w:b/>
                <w:bCs/>
              </w:rPr>
              <w:t>Year</w:t>
            </w:r>
          </w:p>
        </w:tc>
        <w:tc>
          <w:tcPr>
            <w:tcW w:w="708" w:type="pct"/>
            <w:vAlign w:val="center"/>
          </w:tcPr>
          <w:p w14:paraId="432FB2D0" w14:textId="034C9FB2" w:rsidR="008600A3" w:rsidRPr="00AE74F3" w:rsidRDefault="008600A3" w:rsidP="002A7A6F">
            <w:pPr>
              <w:pStyle w:val="PBACTabletext"/>
              <w:jc w:val="center"/>
              <w:rPr>
                <w:b/>
                <w:bCs/>
              </w:rPr>
            </w:pPr>
            <w:r w:rsidRPr="00AE74F3">
              <w:rPr>
                <w:b/>
                <w:bCs/>
              </w:rPr>
              <w:t xml:space="preserve">Year 1 </w:t>
            </w:r>
          </w:p>
        </w:tc>
        <w:tc>
          <w:tcPr>
            <w:tcW w:w="629" w:type="pct"/>
            <w:vAlign w:val="center"/>
          </w:tcPr>
          <w:p w14:paraId="17EBAA9C" w14:textId="77777777" w:rsidR="008600A3" w:rsidRPr="00AE74F3" w:rsidRDefault="008600A3" w:rsidP="002A7A6F">
            <w:pPr>
              <w:pStyle w:val="PBACTabletext"/>
              <w:jc w:val="center"/>
              <w:rPr>
                <w:b/>
                <w:bCs/>
              </w:rPr>
            </w:pPr>
            <w:r w:rsidRPr="00AE74F3">
              <w:rPr>
                <w:b/>
                <w:bCs/>
              </w:rPr>
              <w:t>Year 2</w:t>
            </w:r>
          </w:p>
        </w:tc>
        <w:tc>
          <w:tcPr>
            <w:tcW w:w="629" w:type="pct"/>
            <w:vAlign w:val="center"/>
          </w:tcPr>
          <w:p w14:paraId="46FCDC5E" w14:textId="77777777" w:rsidR="008600A3" w:rsidRPr="00AE74F3" w:rsidRDefault="008600A3" w:rsidP="002A7A6F">
            <w:pPr>
              <w:pStyle w:val="PBACTabletext"/>
              <w:jc w:val="center"/>
              <w:rPr>
                <w:b/>
                <w:bCs/>
              </w:rPr>
            </w:pPr>
            <w:r w:rsidRPr="00AE74F3">
              <w:rPr>
                <w:b/>
                <w:bCs/>
              </w:rPr>
              <w:t>Year 3</w:t>
            </w:r>
          </w:p>
        </w:tc>
        <w:tc>
          <w:tcPr>
            <w:tcW w:w="708" w:type="pct"/>
            <w:vAlign w:val="center"/>
          </w:tcPr>
          <w:p w14:paraId="6D9ED6BD" w14:textId="77777777" w:rsidR="008600A3" w:rsidRPr="00AE74F3" w:rsidRDefault="008600A3" w:rsidP="002A7A6F">
            <w:pPr>
              <w:pStyle w:val="PBACTabletext"/>
              <w:jc w:val="center"/>
              <w:rPr>
                <w:b/>
                <w:bCs/>
              </w:rPr>
            </w:pPr>
            <w:r w:rsidRPr="00AE74F3">
              <w:rPr>
                <w:b/>
                <w:bCs/>
              </w:rPr>
              <w:t>Year 4</w:t>
            </w:r>
          </w:p>
        </w:tc>
        <w:tc>
          <w:tcPr>
            <w:tcW w:w="629" w:type="pct"/>
            <w:vAlign w:val="center"/>
          </w:tcPr>
          <w:p w14:paraId="01A113A4" w14:textId="77777777" w:rsidR="008600A3" w:rsidRPr="00AE74F3" w:rsidRDefault="008600A3" w:rsidP="002A7A6F">
            <w:pPr>
              <w:pStyle w:val="PBACTabletext"/>
              <w:jc w:val="center"/>
              <w:rPr>
                <w:b/>
                <w:bCs/>
              </w:rPr>
            </w:pPr>
            <w:r w:rsidRPr="00AE74F3">
              <w:rPr>
                <w:b/>
                <w:bCs/>
              </w:rPr>
              <w:t>Year 5</w:t>
            </w:r>
          </w:p>
        </w:tc>
        <w:tc>
          <w:tcPr>
            <w:tcW w:w="678" w:type="pct"/>
            <w:vAlign w:val="center"/>
          </w:tcPr>
          <w:p w14:paraId="1B7B1B2D" w14:textId="77777777" w:rsidR="008600A3" w:rsidRPr="00AE74F3" w:rsidRDefault="008600A3" w:rsidP="002A7A6F">
            <w:pPr>
              <w:pStyle w:val="PBACTabletext"/>
              <w:jc w:val="center"/>
              <w:rPr>
                <w:b/>
                <w:bCs/>
              </w:rPr>
            </w:pPr>
            <w:r w:rsidRPr="00AE74F3">
              <w:rPr>
                <w:b/>
                <w:bCs/>
              </w:rPr>
              <w:t>Year 6</w:t>
            </w:r>
          </w:p>
        </w:tc>
      </w:tr>
      <w:tr w:rsidR="008600A3" w:rsidRPr="00AE74F3" w14:paraId="7BB45AF6" w14:textId="77777777" w:rsidTr="00CE58B5">
        <w:tc>
          <w:tcPr>
            <w:tcW w:w="5000" w:type="pct"/>
            <w:gridSpan w:val="7"/>
          </w:tcPr>
          <w:p w14:paraId="6FADDAEB" w14:textId="217C8DFD" w:rsidR="008600A3" w:rsidRPr="00AE74F3" w:rsidRDefault="008600A3" w:rsidP="002A7A6F">
            <w:pPr>
              <w:pStyle w:val="PBACTabletext"/>
              <w:rPr>
                <w:b/>
                <w:bCs/>
              </w:rPr>
            </w:pPr>
            <w:r w:rsidRPr="00AE74F3">
              <w:rPr>
                <w:b/>
                <w:bCs/>
              </w:rPr>
              <w:t>Script</w:t>
            </w:r>
            <w:r w:rsidR="007C6306" w:rsidRPr="00AE74F3">
              <w:rPr>
                <w:b/>
                <w:bCs/>
              </w:rPr>
              <w:t xml:space="preserve"> number</w:t>
            </w:r>
            <w:r w:rsidRPr="00AE74F3">
              <w:rPr>
                <w:b/>
                <w:bCs/>
              </w:rPr>
              <w:t>s based on March 2021 ofatumumab submission supplementary analysis</w:t>
            </w:r>
          </w:p>
        </w:tc>
      </w:tr>
      <w:tr w:rsidR="008600A3" w:rsidRPr="00AE74F3" w14:paraId="6101E773" w14:textId="77777777" w:rsidTr="00CE58B5">
        <w:tc>
          <w:tcPr>
            <w:tcW w:w="1019" w:type="pct"/>
          </w:tcPr>
          <w:p w14:paraId="5112774B" w14:textId="77777777" w:rsidR="008600A3" w:rsidRPr="00AE74F3" w:rsidRDefault="008600A3" w:rsidP="002A7A6F">
            <w:pPr>
              <w:pStyle w:val="PBACTabletext"/>
            </w:pPr>
            <w:r w:rsidRPr="00AE74F3">
              <w:t xml:space="preserve">Initiating scripts </w:t>
            </w:r>
            <w:r w:rsidRPr="00AE74F3">
              <w:rPr>
                <w:vertAlign w:val="superscript"/>
              </w:rPr>
              <w:t>a</w:t>
            </w:r>
          </w:p>
        </w:tc>
        <w:tc>
          <w:tcPr>
            <w:tcW w:w="708" w:type="pct"/>
          </w:tcPr>
          <w:p w14:paraId="4C774FB0" w14:textId="4F573606" w:rsidR="008600A3" w:rsidRPr="0072407A" w:rsidRDefault="00A121F0" w:rsidP="002A7A6F">
            <w:pPr>
              <w:pStyle w:val="PBACTabletext"/>
              <w:jc w:val="center"/>
              <w:rPr>
                <w:highlight w:val="lightGray"/>
              </w:rPr>
            </w:pPr>
            <w:r w:rsidRPr="00A121F0">
              <w:rPr>
                <w:rFonts w:hint="eastAsia"/>
                <w:color w:val="000000"/>
                <w:w w:val="15"/>
                <w:shd w:val="solid" w:color="000000" w:fill="000000"/>
                <w:fitText w:val="36" w:id="-962405874"/>
                <w14:textFill>
                  <w14:solidFill>
                    <w14:srgbClr w14:val="000000">
                      <w14:alpha w14:val="100000"/>
                    </w14:srgbClr>
                  </w14:solidFill>
                </w14:textFill>
              </w:rPr>
              <w:t xml:space="preserve">　</w:t>
            </w:r>
            <w:r w:rsidRPr="00A121F0">
              <w:rPr>
                <w:color w:val="000000"/>
                <w:w w:val="15"/>
                <w:shd w:val="solid" w:color="000000" w:fill="000000"/>
                <w:fitText w:val="36" w:id="-962405874"/>
                <w14:textFill>
                  <w14:solidFill>
                    <w14:srgbClr w14:val="000000">
                      <w14:alpha w14:val="100000"/>
                    </w14:srgbClr>
                  </w14:solidFill>
                </w14:textFill>
              </w:rPr>
              <w:t>|</w:t>
            </w:r>
            <w:r w:rsidRPr="00A121F0">
              <w:rPr>
                <w:rFonts w:hint="eastAsia"/>
                <w:color w:val="000000"/>
                <w:spacing w:val="-29"/>
                <w:w w:val="15"/>
                <w:shd w:val="solid" w:color="000000" w:fill="000000"/>
                <w:fitText w:val="36" w:id="-962405874"/>
                <w14:textFill>
                  <w14:solidFill>
                    <w14:srgbClr w14:val="000000">
                      <w14:alpha w14:val="100000"/>
                    </w14:srgbClr>
                  </w14:solidFill>
                </w14:textFill>
              </w:rPr>
              <w:t xml:space="preserve">　</w:t>
            </w:r>
            <w:r w:rsidR="0072407A" w:rsidRPr="0072407A">
              <w:rPr>
                <w:vertAlign w:val="superscript"/>
              </w:rPr>
              <w:t>1</w:t>
            </w:r>
          </w:p>
        </w:tc>
        <w:tc>
          <w:tcPr>
            <w:tcW w:w="629" w:type="pct"/>
          </w:tcPr>
          <w:p w14:paraId="1838EBCE" w14:textId="1264B823" w:rsidR="008600A3" w:rsidRPr="0072407A" w:rsidRDefault="00A121F0" w:rsidP="002A7A6F">
            <w:pPr>
              <w:pStyle w:val="PBACTabletext"/>
              <w:jc w:val="center"/>
              <w:rPr>
                <w:highlight w:val="lightGray"/>
              </w:rPr>
            </w:pPr>
            <w:r w:rsidRPr="00A121F0">
              <w:rPr>
                <w:rFonts w:hint="eastAsia"/>
                <w:color w:val="000000"/>
                <w:w w:val="24"/>
                <w:shd w:val="solid" w:color="000000" w:fill="000000"/>
                <w:fitText w:val="108" w:id="-962405873"/>
                <w14:textFill>
                  <w14:solidFill>
                    <w14:srgbClr w14:val="000000">
                      <w14:alpha w14:val="100000"/>
                    </w14:srgbClr>
                  </w14:solidFill>
                </w14:textFill>
              </w:rPr>
              <w:t xml:space="preserve">　</w:t>
            </w:r>
            <w:r w:rsidRPr="00A121F0">
              <w:rPr>
                <w:color w:val="000000"/>
                <w:w w:val="24"/>
                <w:shd w:val="solid" w:color="000000" w:fill="000000"/>
                <w:fitText w:val="108" w:id="-962405873"/>
                <w14:textFill>
                  <w14:solidFill>
                    <w14:srgbClr w14:val="000000">
                      <w14:alpha w14:val="100000"/>
                    </w14:srgbClr>
                  </w14:solidFill>
                </w14:textFill>
              </w:rPr>
              <w:t>|</w:t>
            </w:r>
            <w:r w:rsidRPr="00A121F0">
              <w:rPr>
                <w:rFonts w:hint="eastAsia"/>
                <w:color w:val="000000"/>
                <w:spacing w:val="4"/>
                <w:w w:val="24"/>
                <w:shd w:val="solid" w:color="000000" w:fill="000000"/>
                <w:fitText w:val="108" w:id="-962405873"/>
                <w14:textFill>
                  <w14:solidFill>
                    <w14:srgbClr w14:val="000000">
                      <w14:alpha w14:val="100000"/>
                    </w14:srgbClr>
                  </w14:solidFill>
                </w14:textFill>
              </w:rPr>
              <w:t xml:space="preserve">　</w:t>
            </w:r>
            <w:r w:rsidR="0072407A" w:rsidRPr="0072407A">
              <w:rPr>
                <w:vertAlign w:val="superscript"/>
              </w:rPr>
              <w:t>1</w:t>
            </w:r>
          </w:p>
        </w:tc>
        <w:tc>
          <w:tcPr>
            <w:tcW w:w="629" w:type="pct"/>
          </w:tcPr>
          <w:p w14:paraId="5ABB01A5" w14:textId="0FEA1E1E" w:rsidR="008600A3" w:rsidRPr="0072407A" w:rsidRDefault="00A121F0" w:rsidP="002A7A6F">
            <w:pPr>
              <w:pStyle w:val="PBACTabletext"/>
              <w:jc w:val="center"/>
              <w:rPr>
                <w:highlight w:val="lightGray"/>
              </w:rPr>
            </w:pPr>
            <w:r w:rsidRPr="00A121F0">
              <w:rPr>
                <w:rFonts w:hint="eastAsia"/>
                <w:color w:val="000000"/>
                <w:w w:val="24"/>
                <w:shd w:val="solid" w:color="000000" w:fill="000000"/>
                <w:fitText w:val="108" w:id="-962405872"/>
                <w14:textFill>
                  <w14:solidFill>
                    <w14:srgbClr w14:val="000000">
                      <w14:alpha w14:val="100000"/>
                    </w14:srgbClr>
                  </w14:solidFill>
                </w14:textFill>
              </w:rPr>
              <w:t xml:space="preserve">　</w:t>
            </w:r>
            <w:r w:rsidRPr="00A121F0">
              <w:rPr>
                <w:color w:val="000000"/>
                <w:w w:val="24"/>
                <w:shd w:val="solid" w:color="000000" w:fill="000000"/>
                <w:fitText w:val="108" w:id="-962405872"/>
                <w14:textFill>
                  <w14:solidFill>
                    <w14:srgbClr w14:val="000000">
                      <w14:alpha w14:val="100000"/>
                    </w14:srgbClr>
                  </w14:solidFill>
                </w14:textFill>
              </w:rPr>
              <w:t>|</w:t>
            </w:r>
            <w:r w:rsidRPr="00A121F0">
              <w:rPr>
                <w:rFonts w:hint="eastAsia"/>
                <w:color w:val="000000"/>
                <w:spacing w:val="4"/>
                <w:w w:val="24"/>
                <w:shd w:val="solid" w:color="000000" w:fill="000000"/>
                <w:fitText w:val="108" w:id="-962405872"/>
                <w14:textFill>
                  <w14:solidFill>
                    <w14:srgbClr w14:val="000000">
                      <w14:alpha w14:val="100000"/>
                    </w14:srgbClr>
                  </w14:solidFill>
                </w14:textFill>
              </w:rPr>
              <w:t xml:space="preserve">　</w:t>
            </w:r>
            <w:r w:rsidR="0072407A" w:rsidRPr="0072407A">
              <w:rPr>
                <w:vertAlign w:val="superscript"/>
              </w:rPr>
              <w:t>1</w:t>
            </w:r>
          </w:p>
        </w:tc>
        <w:tc>
          <w:tcPr>
            <w:tcW w:w="708" w:type="pct"/>
          </w:tcPr>
          <w:p w14:paraId="533AFF8A" w14:textId="76293549" w:rsidR="008600A3" w:rsidRPr="0072407A" w:rsidRDefault="00A121F0" w:rsidP="002A7A6F">
            <w:pPr>
              <w:pStyle w:val="PBACTabletext"/>
              <w:jc w:val="center"/>
              <w:rPr>
                <w:highlight w:val="lightGray"/>
              </w:rPr>
            </w:pPr>
            <w:r w:rsidRPr="00A121F0">
              <w:rPr>
                <w:rFonts w:hint="eastAsia"/>
                <w:color w:val="000000"/>
                <w:w w:val="15"/>
                <w:shd w:val="solid" w:color="000000" w:fill="000000"/>
                <w:fitText w:val="36" w:id="-962405888"/>
                <w14:textFill>
                  <w14:solidFill>
                    <w14:srgbClr w14:val="000000">
                      <w14:alpha w14:val="100000"/>
                    </w14:srgbClr>
                  </w14:solidFill>
                </w14:textFill>
              </w:rPr>
              <w:t xml:space="preserve">　</w:t>
            </w:r>
            <w:r w:rsidRPr="00A121F0">
              <w:rPr>
                <w:color w:val="000000"/>
                <w:w w:val="15"/>
                <w:shd w:val="solid" w:color="000000" w:fill="000000"/>
                <w:fitText w:val="36" w:id="-962405888"/>
                <w14:textFill>
                  <w14:solidFill>
                    <w14:srgbClr w14:val="000000">
                      <w14:alpha w14:val="100000"/>
                    </w14:srgbClr>
                  </w14:solidFill>
                </w14:textFill>
              </w:rPr>
              <w:t>|</w:t>
            </w:r>
            <w:r w:rsidRPr="00A121F0">
              <w:rPr>
                <w:rFonts w:hint="eastAsia"/>
                <w:color w:val="000000"/>
                <w:spacing w:val="-29"/>
                <w:w w:val="15"/>
                <w:shd w:val="solid" w:color="000000" w:fill="000000"/>
                <w:fitText w:val="36" w:id="-962405888"/>
                <w14:textFill>
                  <w14:solidFill>
                    <w14:srgbClr w14:val="000000">
                      <w14:alpha w14:val="100000"/>
                    </w14:srgbClr>
                  </w14:solidFill>
                </w14:textFill>
              </w:rPr>
              <w:t xml:space="preserve">　</w:t>
            </w:r>
            <w:r w:rsidR="0072407A" w:rsidRPr="0072407A">
              <w:rPr>
                <w:vertAlign w:val="superscript"/>
              </w:rPr>
              <w:t>1</w:t>
            </w:r>
          </w:p>
        </w:tc>
        <w:tc>
          <w:tcPr>
            <w:tcW w:w="629" w:type="pct"/>
          </w:tcPr>
          <w:p w14:paraId="196A40DB" w14:textId="600E281C" w:rsidR="008600A3" w:rsidRPr="0072407A" w:rsidRDefault="00A121F0" w:rsidP="002A7A6F">
            <w:pPr>
              <w:pStyle w:val="PBACTabletext"/>
              <w:jc w:val="center"/>
              <w:rPr>
                <w:highlight w:val="lightGray"/>
              </w:rPr>
            </w:pPr>
            <w:r w:rsidRPr="00A121F0">
              <w:rPr>
                <w:rFonts w:hint="eastAsia"/>
                <w:color w:val="000000"/>
                <w:w w:val="24"/>
                <w:shd w:val="solid" w:color="000000" w:fill="000000"/>
                <w:fitText w:val="108" w:id="-962405887"/>
                <w14:textFill>
                  <w14:solidFill>
                    <w14:srgbClr w14:val="000000">
                      <w14:alpha w14:val="100000"/>
                    </w14:srgbClr>
                  </w14:solidFill>
                </w14:textFill>
              </w:rPr>
              <w:t xml:space="preserve">　</w:t>
            </w:r>
            <w:r w:rsidRPr="00A121F0">
              <w:rPr>
                <w:color w:val="000000"/>
                <w:w w:val="24"/>
                <w:shd w:val="solid" w:color="000000" w:fill="000000"/>
                <w:fitText w:val="108" w:id="-962405887"/>
                <w14:textFill>
                  <w14:solidFill>
                    <w14:srgbClr w14:val="000000">
                      <w14:alpha w14:val="100000"/>
                    </w14:srgbClr>
                  </w14:solidFill>
                </w14:textFill>
              </w:rPr>
              <w:t>|</w:t>
            </w:r>
            <w:r w:rsidRPr="00A121F0">
              <w:rPr>
                <w:rFonts w:hint="eastAsia"/>
                <w:color w:val="000000"/>
                <w:spacing w:val="4"/>
                <w:w w:val="24"/>
                <w:shd w:val="solid" w:color="000000" w:fill="000000"/>
                <w:fitText w:val="108" w:id="-962405887"/>
                <w14:textFill>
                  <w14:solidFill>
                    <w14:srgbClr w14:val="000000">
                      <w14:alpha w14:val="100000"/>
                    </w14:srgbClr>
                  </w14:solidFill>
                </w14:textFill>
              </w:rPr>
              <w:t xml:space="preserve">　</w:t>
            </w:r>
            <w:r w:rsidR="0072407A" w:rsidRPr="0072407A">
              <w:rPr>
                <w:vertAlign w:val="superscript"/>
              </w:rPr>
              <w:t>1</w:t>
            </w:r>
          </w:p>
        </w:tc>
        <w:tc>
          <w:tcPr>
            <w:tcW w:w="678" w:type="pct"/>
          </w:tcPr>
          <w:p w14:paraId="1C46BE5E" w14:textId="165CDE0D" w:rsidR="008600A3" w:rsidRPr="0072407A" w:rsidRDefault="00A121F0" w:rsidP="002A7A6F">
            <w:pPr>
              <w:pStyle w:val="PBACTabletext"/>
              <w:jc w:val="center"/>
              <w:rPr>
                <w:highlight w:val="lightGray"/>
              </w:rPr>
            </w:pPr>
            <w:r w:rsidRPr="00A121F0">
              <w:rPr>
                <w:rFonts w:hint="eastAsia"/>
                <w:color w:val="000000"/>
                <w:w w:val="18"/>
                <w:shd w:val="solid" w:color="000000" w:fill="000000"/>
                <w:fitText w:val="84" w:id="-962405886"/>
                <w14:textFill>
                  <w14:solidFill>
                    <w14:srgbClr w14:val="000000">
                      <w14:alpha w14:val="100000"/>
                    </w14:srgbClr>
                  </w14:solidFill>
                </w14:textFill>
              </w:rPr>
              <w:t xml:space="preserve">　</w:t>
            </w:r>
            <w:r w:rsidRPr="00A121F0">
              <w:rPr>
                <w:color w:val="000000"/>
                <w:w w:val="18"/>
                <w:shd w:val="solid" w:color="000000" w:fill="000000"/>
                <w:fitText w:val="84" w:id="-962405886"/>
                <w14:textFill>
                  <w14:solidFill>
                    <w14:srgbClr w14:val="000000">
                      <w14:alpha w14:val="100000"/>
                    </w14:srgbClr>
                  </w14:solidFill>
                </w14:textFill>
              </w:rPr>
              <w:t>|</w:t>
            </w:r>
            <w:r w:rsidRPr="00A121F0">
              <w:rPr>
                <w:rFonts w:hint="eastAsia"/>
                <w:color w:val="000000"/>
                <w:spacing w:val="4"/>
                <w:w w:val="18"/>
                <w:shd w:val="solid" w:color="000000" w:fill="000000"/>
                <w:fitText w:val="84" w:id="-962405886"/>
                <w14:textFill>
                  <w14:solidFill>
                    <w14:srgbClr w14:val="000000">
                      <w14:alpha w14:val="100000"/>
                    </w14:srgbClr>
                  </w14:solidFill>
                </w14:textFill>
              </w:rPr>
              <w:t xml:space="preserve">　</w:t>
            </w:r>
            <w:r w:rsidR="0072407A" w:rsidRPr="0072407A">
              <w:rPr>
                <w:vertAlign w:val="superscript"/>
              </w:rPr>
              <w:t>1</w:t>
            </w:r>
          </w:p>
        </w:tc>
      </w:tr>
      <w:tr w:rsidR="008600A3" w:rsidRPr="00AE74F3" w14:paraId="4962CBC2" w14:textId="77777777" w:rsidTr="00CE58B5">
        <w:tc>
          <w:tcPr>
            <w:tcW w:w="1019" w:type="pct"/>
          </w:tcPr>
          <w:p w14:paraId="211915AC" w14:textId="77777777" w:rsidR="008600A3" w:rsidRPr="00AE74F3" w:rsidRDefault="008600A3" w:rsidP="002A7A6F">
            <w:pPr>
              <w:pStyle w:val="PBACTabletext"/>
            </w:pPr>
            <w:r w:rsidRPr="00AE74F3">
              <w:t xml:space="preserve">Continuing scripts </w:t>
            </w:r>
            <w:r w:rsidRPr="00AE74F3">
              <w:rPr>
                <w:vertAlign w:val="superscript"/>
              </w:rPr>
              <w:t>a</w:t>
            </w:r>
          </w:p>
        </w:tc>
        <w:tc>
          <w:tcPr>
            <w:tcW w:w="708" w:type="pct"/>
          </w:tcPr>
          <w:p w14:paraId="5A613ABA" w14:textId="774C4038" w:rsidR="008600A3" w:rsidRPr="0072407A" w:rsidRDefault="00A121F0" w:rsidP="002A7A6F">
            <w:pPr>
              <w:pStyle w:val="PBACTabletext"/>
              <w:jc w:val="center"/>
              <w:rPr>
                <w:sz w:val="19"/>
                <w:szCs w:val="19"/>
                <w:highlight w:val="lightGray"/>
              </w:rPr>
            </w:pPr>
            <w:r w:rsidRPr="00A121F0">
              <w:rPr>
                <w:rFonts w:hint="eastAsia"/>
                <w:color w:val="000000"/>
                <w:w w:val="15"/>
                <w:shd w:val="solid" w:color="000000" w:fill="000000"/>
                <w:fitText w:val="36" w:id="-962405885"/>
                <w14:textFill>
                  <w14:solidFill>
                    <w14:srgbClr w14:val="000000">
                      <w14:alpha w14:val="100000"/>
                    </w14:srgbClr>
                  </w14:solidFill>
                </w14:textFill>
              </w:rPr>
              <w:t xml:space="preserve">　</w:t>
            </w:r>
            <w:r w:rsidRPr="00A121F0">
              <w:rPr>
                <w:color w:val="000000"/>
                <w:w w:val="15"/>
                <w:shd w:val="solid" w:color="000000" w:fill="000000"/>
                <w:fitText w:val="36" w:id="-962405885"/>
                <w14:textFill>
                  <w14:solidFill>
                    <w14:srgbClr w14:val="000000">
                      <w14:alpha w14:val="100000"/>
                    </w14:srgbClr>
                  </w14:solidFill>
                </w14:textFill>
              </w:rPr>
              <w:t>|</w:t>
            </w:r>
            <w:r w:rsidRPr="00A121F0">
              <w:rPr>
                <w:rFonts w:hint="eastAsia"/>
                <w:color w:val="000000"/>
                <w:spacing w:val="-29"/>
                <w:w w:val="15"/>
                <w:shd w:val="solid" w:color="000000" w:fill="000000"/>
                <w:fitText w:val="36" w:id="-962405885"/>
                <w14:textFill>
                  <w14:solidFill>
                    <w14:srgbClr w14:val="000000">
                      <w14:alpha w14:val="100000"/>
                    </w14:srgbClr>
                  </w14:solidFill>
                </w14:textFill>
              </w:rPr>
              <w:t xml:space="preserve">　</w:t>
            </w:r>
            <w:r w:rsidR="0072407A">
              <w:rPr>
                <w:vertAlign w:val="superscript"/>
              </w:rPr>
              <w:t>2</w:t>
            </w:r>
          </w:p>
        </w:tc>
        <w:tc>
          <w:tcPr>
            <w:tcW w:w="629" w:type="pct"/>
          </w:tcPr>
          <w:p w14:paraId="5F16EA34" w14:textId="2187B9A8" w:rsidR="008600A3" w:rsidRPr="0072407A" w:rsidRDefault="00A121F0" w:rsidP="002A7A6F">
            <w:pPr>
              <w:pStyle w:val="PBACTabletext"/>
              <w:jc w:val="center"/>
              <w:rPr>
                <w:sz w:val="19"/>
                <w:szCs w:val="19"/>
                <w:highlight w:val="lightGray"/>
              </w:rPr>
            </w:pPr>
            <w:r w:rsidRPr="00A121F0">
              <w:rPr>
                <w:rFonts w:hint="eastAsia"/>
                <w:color w:val="000000"/>
                <w:w w:val="24"/>
                <w:shd w:val="solid" w:color="000000" w:fill="000000"/>
                <w:fitText w:val="108" w:id="-962405884"/>
                <w14:textFill>
                  <w14:solidFill>
                    <w14:srgbClr w14:val="000000">
                      <w14:alpha w14:val="100000"/>
                    </w14:srgbClr>
                  </w14:solidFill>
                </w14:textFill>
              </w:rPr>
              <w:t xml:space="preserve">　</w:t>
            </w:r>
            <w:r w:rsidRPr="00A121F0">
              <w:rPr>
                <w:color w:val="000000"/>
                <w:w w:val="24"/>
                <w:shd w:val="solid" w:color="000000" w:fill="000000"/>
                <w:fitText w:val="108" w:id="-962405884"/>
                <w14:textFill>
                  <w14:solidFill>
                    <w14:srgbClr w14:val="000000">
                      <w14:alpha w14:val="100000"/>
                    </w14:srgbClr>
                  </w14:solidFill>
                </w14:textFill>
              </w:rPr>
              <w:t>|</w:t>
            </w:r>
            <w:r w:rsidRPr="00A121F0">
              <w:rPr>
                <w:rFonts w:hint="eastAsia"/>
                <w:color w:val="000000"/>
                <w:spacing w:val="4"/>
                <w:w w:val="24"/>
                <w:shd w:val="solid" w:color="000000" w:fill="000000"/>
                <w:fitText w:val="108" w:id="-962405884"/>
                <w14:textFill>
                  <w14:solidFill>
                    <w14:srgbClr w14:val="000000">
                      <w14:alpha w14:val="100000"/>
                    </w14:srgbClr>
                  </w14:solidFill>
                </w14:textFill>
              </w:rPr>
              <w:t xml:space="preserve">　</w:t>
            </w:r>
            <w:r w:rsidR="0072407A">
              <w:rPr>
                <w:vertAlign w:val="superscript"/>
              </w:rPr>
              <w:t>3</w:t>
            </w:r>
          </w:p>
        </w:tc>
        <w:tc>
          <w:tcPr>
            <w:tcW w:w="629" w:type="pct"/>
          </w:tcPr>
          <w:p w14:paraId="0D23B7AB" w14:textId="12289EE9" w:rsidR="008600A3" w:rsidRPr="0072407A" w:rsidRDefault="00A121F0" w:rsidP="002A7A6F">
            <w:pPr>
              <w:pStyle w:val="PBACTabletext"/>
              <w:jc w:val="center"/>
              <w:rPr>
                <w:sz w:val="19"/>
                <w:szCs w:val="19"/>
                <w:highlight w:val="lightGray"/>
              </w:rPr>
            </w:pPr>
            <w:r w:rsidRPr="00A121F0">
              <w:rPr>
                <w:rFonts w:hint="eastAsia"/>
                <w:color w:val="000000"/>
                <w:w w:val="24"/>
                <w:shd w:val="solid" w:color="000000" w:fill="000000"/>
                <w:fitText w:val="108" w:id="-962405883"/>
                <w14:textFill>
                  <w14:solidFill>
                    <w14:srgbClr w14:val="000000">
                      <w14:alpha w14:val="100000"/>
                    </w14:srgbClr>
                  </w14:solidFill>
                </w14:textFill>
              </w:rPr>
              <w:t xml:space="preserve">　</w:t>
            </w:r>
            <w:r w:rsidRPr="00A121F0">
              <w:rPr>
                <w:color w:val="000000"/>
                <w:w w:val="24"/>
                <w:shd w:val="solid" w:color="000000" w:fill="000000"/>
                <w:fitText w:val="108" w:id="-962405883"/>
                <w14:textFill>
                  <w14:solidFill>
                    <w14:srgbClr w14:val="000000">
                      <w14:alpha w14:val="100000"/>
                    </w14:srgbClr>
                  </w14:solidFill>
                </w14:textFill>
              </w:rPr>
              <w:t>|</w:t>
            </w:r>
            <w:r w:rsidRPr="00A121F0">
              <w:rPr>
                <w:rFonts w:hint="eastAsia"/>
                <w:color w:val="000000"/>
                <w:spacing w:val="4"/>
                <w:w w:val="24"/>
                <w:shd w:val="solid" w:color="000000" w:fill="000000"/>
                <w:fitText w:val="108" w:id="-962405883"/>
                <w14:textFill>
                  <w14:solidFill>
                    <w14:srgbClr w14:val="000000">
                      <w14:alpha w14:val="100000"/>
                    </w14:srgbClr>
                  </w14:solidFill>
                </w14:textFill>
              </w:rPr>
              <w:t xml:space="preserve">　</w:t>
            </w:r>
            <w:r w:rsidR="0072407A">
              <w:rPr>
                <w:vertAlign w:val="superscript"/>
              </w:rPr>
              <w:t>3</w:t>
            </w:r>
          </w:p>
        </w:tc>
        <w:tc>
          <w:tcPr>
            <w:tcW w:w="708" w:type="pct"/>
          </w:tcPr>
          <w:p w14:paraId="2E49C861" w14:textId="44823C26" w:rsidR="008600A3" w:rsidRPr="0072407A" w:rsidRDefault="00A121F0" w:rsidP="002A7A6F">
            <w:pPr>
              <w:pStyle w:val="PBACTabletext"/>
              <w:jc w:val="center"/>
              <w:rPr>
                <w:sz w:val="19"/>
                <w:szCs w:val="19"/>
                <w:highlight w:val="lightGray"/>
              </w:rPr>
            </w:pPr>
            <w:r w:rsidRPr="00A121F0">
              <w:rPr>
                <w:rFonts w:hint="eastAsia"/>
                <w:color w:val="000000"/>
                <w:w w:val="15"/>
                <w:shd w:val="solid" w:color="000000" w:fill="000000"/>
                <w:fitText w:val="36" w:id="-962405882"/>
                <w14:textFill>
                  <w14:solidFill>
                    <w14:srgbClr w14:val="000000">
                      <w14:alpha w14:val="100000"/>
                    </w14:srgbClr>
                  </w14:solidFill>
                </w14:textFill>
              </w:rPr>
              <w:t xml:space="preserve">　</w:t>
            </w:r>
            <w:r w:rsidRPr="00A121F0">
              <w:rPr>
                <w:color w:val="000000"/>
                <w:w w:val="15"/>
                <w:shd w:val="solid" w:color="000000" w:fill="000000"/>
                <w:fitText w:val="36" w:id="-962405882"/>
                <w14:textFill>
                  <w14:solidFill>
                    <w14:srgbClr w14:val="000000">
                      <w14:alpha w14:val="100000"/>
                    </w14:srgbClr>
                  </w14:solidFill>
                </w14:textFill>
              </w:rPr>
              <w:t>|</w:t>
            </w:r>
            <w:r w:rsidRPr="00A121F0">
              <w:rPr>
                <w:rFonts w:hint="eastAsia"/>
                <w:color w:val="000000"/>
                <w:spacing w:val="-29"/>
                <w:w w:val="15"/>
                <w:shd w:val="solid" w:color="000000" w:fill="000000"/>
                <w:fitText w:val="36" w:id="-962405882"/>
                <w14:textFill>
                  <w14:solidFill>
                    <w14:srgbClr w14:val="000000">
                      <w14:alpha w14:val="100000"/>
                    </w14:srgbClr>
                  </w14:solidFill>
                </w14:textFill>
              </w:rPr>
              <w:t xml:space="preserve">　</w:t>
            </w:r>
            <w:r w:rsidR="0072407A">
              <w:rPr>
                <w:vertAlign w:val="superscript"/>
              </w:rPr>
              <w:t>4</w:t>
            </w:r>
          </w:p>
        </w:tc>
        <w:tc>
          <w:tcPr>
            <w:tcW w:w="629" w:type="pct"/>
          </w:tcPr>
          <w:p w14:paraId="5F98FFFC" w14:textId="36A3006B" w:rsidR="008600A3" w:rsidRPr="0072407A" w:rsidRDefault="00A121F0" w:rsidP="002A7A6F">
            <w:pPr>
              <w:pStyle w:val="PBACTabletext"/>
              <w:jc w:val="center"/>
              <w:rPr>
                <w:sz w:val="19"/>
                <w:szCs w:val="19"/>
                <w:highlight w:val="lightGray"/>
              </w:rPr>
            </w:pPr>
            <w:r w:rsidRPr="00A121F0">
              <w:rPr>
                <w:rFonts w:hint="eastAsia"/>
                <w:color w:val="000000"/>
                <w:w w:val="24"/>
                <w:shd w:val="solid" w:color="000000" w:fill="000000"/>
                <w:fitText w:val="108" w:id="-962405881"/>
                <w14:textFill>
                  <w14:solidFill>
                    <w14:srgbClr w14:val="000000">
                      <w14:alpha w14:val="100000"/>
                    </w14:srgbClr>
                  </w14:solidFill>
                </w14:textFill>
              </w:rPr>
              <w:t xml:space="preserve">　</w:t>
            </w:r>
            <w:r w:rsidRPr="00A121F0">
              <w:rPr>
                <w:color w:val="000000"/>
                <w:w w:val="24"/>
                <w:shd w:val="solid" w:color="000000" w:fill="000000"/>
                <w:fitText w:val="108" w:id="-962405881"/>
                <w14:textFill>
                  <w14:solidFill>
                    <w14:srgbClr w14:val="000000">
                      <w14:alpha w14:val="100000"/>
                    </w14:srgbClr>
                  </w14:solidFill>
                </w14:textFill>
              </w:rPr>
              <w:t>|</w:t>
            </w:r>
            <w:r w:rsidRPr="00A121F0">
              <w:rPr>
                <w:rFonts w:hint="eastAsia"/>
                <w:color w:val="000000"/>
                <w:spacing w:val="4"/>
                <w:w w:val="24"/>
                <w:shd w:val="solid" w:color="000000" w:fill="000000"/>
                <w:fitText w:val="108" w:id="-962405881"/>
                <w14:textFill>
                  <w14:solidFill>
                    <w14:srgbClr w14:val="000000">
                      <w14:alpha w14:val="100000"/>
                    </w14:srgbClr>
                  </w14:solidFill>
                </w14:textFill>
              </w:rPr>
              <w:t xml:space="preserve">　</w:t>
            </w:r>
            <w:r w:rsidR="0072407A">
              <w:rPr>
                <w:vertAlign w:val="superscript"/>
              </w:rPr>
              <w:t>5</w:t>
            </w:r>
          </w:p>
        </w:tc>
        <w:tc>
          <w:tcPr>
            <w:tcW w:w="678" w:type="pct"/>
          </w:tcPr>
          <w:p w14:paraId="0BA16315" w14:textId="7E80FD4E" w:rsidR="008600A3" w:rsidRPr="0072407A" w:rsidRDefault="00A121F0" w:rsidP="002A7A6F">
            <w:pPr>
              <w:pStyle w:val="PBACTabletext"/>
              <w:jc w:val="center"/>
              <w:rPr>
                <w:sz w:val="19"/>
                <w:szCs w:val="19"/>
                <w:highlight w:val="lightGray"/>
              </w:rPr>
            </w:pPr>
            <w:r w:rsidRPr="00A121F0">
              <w:rPr>
                <w:rFonts w:hint="eastAsia"/>
                <w:color w:val="000000"/>
                <w:w w:val="18"/>
                <w:shd w:val="solid" w:color="000000" w:fill="000000"/>
                <w:fitText w:val="84" w:id="-962405880"/>
                <w14:textFill>
                  <w14:solidFill>
                    <w14:srgbClr w14:val="000000">
                      <w14:alpha w14:val="100000"/>
                    </w14:srgbClr>
                  </w14:solidFill>
                </w14:textFill>
              </w:rPr>
              <w:t xml:space="preserve">　</w:t>
            </w:r>
            <w:r w:rsidRPr="00A121F0">
              <w:rPr>
                <w:color w:val="000000"/>
                <w:w w:val="18"/>
                <w:shd w:val="solid" w:color="000000" w:fill="000000"/>
                <w:fitText w:val="84" w:id="-962405880"/>
                <w14:textFill>
                  <w14:solidFill>
                    <w14:srgbClr w14:val="000000">
                      <w14:alpha w14:val="100000"/>
                    </w14:srgbClr>
                  </w14:solidFill>
                </w14:textFill>
              </w:rPr>
              <w:t>|</w:t>
            </w:r>
            <w:r w:rsidRPr="00A121F0">
              <w:rPr>
                <w:rFonts w:hint="eastAsia"/>
                <w:color w:val="000000"/>
                <w:spacing w:val="4"/>
                <w:w w:val="18"/>
                <w:shd w:val="solid" w:color="000000" w:fill="000000"/>
                <w:fitText w:val="84" w:id="-962405880"/>
                <w14:textFill>
                  <w14:solidFill>
                    <w14:srgbClr w14:val="000000">
                      <w14:alpha w14:val="100000"/>
                    </w14:srgbClr>
                  </w14:solidFill>
                </w14:textFill>
              </w:rPr>
              <w:t xml:space="preserve">　</w:t>
            </w:r>
            <w:r w:rsidR="0072407A">
              <w:rPr>
                <w:vertAlign w:val="superscript"/>
              </w:rPr>
              <w:t>5</w:t>
            </w:r>
          </w:p>
        </w:tc>
      </w:tr>
      <w:tr w:rsidR="008600A3" w:rsidRPr="00AE74F3" w14:paraId="14F49C79" w14:textId="77777777" w:rsidTr="00CE58B5">
        <w:tc>
          <w:tcPr>
            <w:tcW w:w="1019" w:type="pct"/>
          </w:tcPr>
          <w:p w14:paraId="6E2FB4FB" w14:textId="77777777" w:rsidR="008600A3" w:rsidRPr="00AE74F3" w:rsidRDefault="008600A3" w:rsidP="002A7A6F">
            <w:pPr>
              <w:pStyle w:val="PBACTabletext"/>
            </w:pPr>
            <w:r w:rsidRPr="00AE74F3">
              <w:t xml:space="preserve">Total scripts </w:t>
            </w:r>
            <w:r w:rsidRPr="00AE74F3">
              <w:rPr>
                <w:vertAlign w:val="superscript"/>
              </w:rPr>
              <w:t>b</w:t>
            </w:r>
          </w:p>
        </w:tc>
        <w:tc>
          <w:tcPr>
            <w:tcW w:w="708" w:type="pct"/>
          </w:tcPr>
          <w:p w14:paraId="373EE36A" w14:textId="0188D765" w:rsidR="008600A3" w:rsidRPr="0072407A" w:rsidRDefault="00A121F0" w:rsidP="002A7A6F">
            <w:pPr>
              <w:pStyle w:val="PBACTabletext"/>
              <w:jc w:val="center"/>
              <w:rPr>
                <w:sz w:val="19"/>
                <w:szCs w:val="19"/>
                <w:highlight w:val="lightGray"/>
              </w:rPr>
            </w:pPr>
            <w:r w:rsidRPr="00A121F0">
              <w:rPr>
                <w:rFonts w:hint="eastAsia"/>
                <w:color w:val="000000"/>
                <w:w w:val="15"/>
                <w:shd w:val="solid" w:color="000000" w:fill="000000"/>
                <w:fitText w:val="36" w:id="-962405879"/>
                <w14:textFill>
                  <w14:solidFill>
                    <w14:srgbClr w14:val="000000">
                      <w14:alpha w14:val="100000"/>
                    </w14:srgbClr>
                  </w14:solidFill>
                </w14:textFill>
              </w:rPr>
              <w:t xml:space="preserve">　</w:t>
            </w:r>
            <w:r w:rsidRPr="00A121F0">
              <w:rPr>
                <w:color w:val="000000"/>
                <w:w w:val="15"/>
                <w:shd w:val="solid" w:color="000000" w:fill="000000"/>
                <w:fitText w:val="36" w:id="-962405879"/>
                <w14:textFill>
                  <w14:solidFill>
                    <w14:srgbClr w14:val="000000">
                      <w14:alpha w14:val="100000"/>
                    </w14:srgbClr>
                  </w14:solidFill>
                </w14:textFill>
              </w:rPr>
              <w:t>|</w:t>
            </w:r>
            <w:r w:rsidRPr="00A121F0">
              <w:rPr>
                <w:rFonts w:hint="eastAsia"/>
                <w:color w:val="000000"/>
                <w:spacing w:val="-29"/>
                <w:w w:val="15"/>
                <w:shd w:val="solid" w:color="000000" w:fill="000000"/>
                <w:fitText w:val="36" w:id="-962405879"/>
                <w14:textFill>
                  <w14:solidFill>
                    <w14:srgbClr w14:val="000000">
                      <w14:alpha w14:val="100000"/>
                    </w14:srgbClr>
                  </w14:solidFill>
                </w14:textFill>
              </w:rPr>
              <w:t xml:space="preserve">　</w:t>
            </w:r>
            <w:r w:rsidR="0072407A">
              <w:rPr>
                <w:vertAlign w:val="superscript"/>
              </w:rPr>
              <w:t>2</w:t>
            </w:r>
          </w:p>
        </w:tc>
        <w:tc>
          <w:tcPr>
            <w:tcW w:w="629" w:type="pct"/>
          </w:tcPr>
          <w:p w14:paraId="02A73872" w14:textId="5F3E26B3" w:rsidR="008600A3" w:rsidRPr="0072407A" w:rsidRDefault="00A121F0" w:rsidP="002A7A6F">
            <w:pPr>
              <w:pStyle w:val="PBACTabletext"/>
              <w:jc w:val="center"/>
              <w:rPr>
                <w:sz w:val="19"/>
                <w:szCs w:val="19"/>
                <w:highlight w:val="lightGray"/>
              </w:rPr>
            </w:pPr>
            <w:r w:rsidRPr="00A121F0">
              <w:rPr>
                <w:rFonts w:hint="eastAsia"/>
                <w:color w:val="000000"/>
                <w:w w:val="24"/>
                <w:shd w:val="solid" w:color="000000" w:fill="000000"/>
                <w:fitText w:val="108" w:id="-962405878"/>
                <w14:textFill>
                  <w14:solidFill>
                    <w14:srgbClr w14:val="000000">
                      <w14:alpha w14:val="100000"/>
                    </w14:srgbClr>
                  </w14:solidFill>
                </w14:textFill>
              </w:rPr>
              <w:t xml:space="preserve">　</w:t>
            </w:r>
            <w:r w:rsidRPr="00A121F0">
              <w:rPr>
                <w:color w:val="000000"/>
                <w:w w:val="24"/>
                <w:shd w:val="solid" w:color="000000" w:fill="000000"/>
                <w:fitText w:val="108" w:id="-962405878"/>
                <w14:textFill>
                  <w14:solidFill>
                    <w14:srgbClr w14:val="000000">
                      <w14:alpha w14:val="100000"/>
                    </w14:srgbClr>
                  </w14:solidFill>
                </w14:textFill>
              </w:rPr>
              <w:t>|</w:t>
            </w:r>
            <w:r w:rsidRPr="00A121F0">
              <w:rPr>
                <w:rFonts w:hint="eastAsia"/>
                <w:color w:val="000000"/>
                <w:spacing w:val="4"/>
                <w:w w:val="24"/>
                <w:shd w:val="solid" w:color="000000" w:fill="000000"/>
                <w:fitText w:val="108" w:id="-962405878"/>
                <w14:textFill>
                  <w14:solidFill>
                    <w14:srgbClr w14:val="000000">
                      <w14:alpha w14:val="100000"/>
                    </w14:srgbClr>
                  </w14:solidFill>
                </w14:textFill>
              </w:rPr>
              <w:t xml:space="preserve">　</w:t>
            </w:r>
            <w:r w:rsidR="0072407A">
              <w:rPr>
                <w:vertAlign w:val="superscript"/>
              </w:rPr>
              <w:t>3</w:t>
            </w:r>
          </w:p>
        </w:tc>
        <w:tc>
          <w:tcPr>
            <w:tcW w:w="629" w:type="pct"/>
          </w:tcPr>
          <w:p w14:paraId="642D2635" w14:textId="4758C846" w:rsidR="008600A3" w:rsidRPr="0072407A" w:rsidRDefault="00A121F0" w:rsidP="002A7A6F">
            <w:pPr>
              <w:pStyle w:val="PBACTabletext"/>
              <w:jc w:val="center"/>
              <w:rPr>
                <w:sz w:val="19"/>
                <w:szCs w:val="19"/>
                <w:highlight w:val="lightGray"/>
              </w:rPr>
            </w:pPr>
            <w:r w:rsidRPr="00A121F0">
              <w:rPr>
                <w:rFonts w:hint="eastAsia"/>
                <w:color w:val="000000"/>
                <w:w w:val="24"/>
                <w:shd w:val="solid" w:color="000000" w:fill="000000"/>
                <w:fitText w:val="108" w:id="-962405877"/>
                <w14:textFill>
                  <w14:solidFill>
                    <w14:srgbClr w14:val="000000">
                      <w14:alpha w14:val="100000"/>
                    </w14:srgbClr>
                  </w14:solidFill>
                </w14:textFill>
              </w:rPr>
              <w:t xml:space="preserve">　</w:t>
            </w:r>
            <w:r w:rsidRPr="00A121F0">
              <w:rPr>
                <w:color w:val="000000"/>
                <w:w w:val="24"/>
                <w:shd w:val="solid" w:color="000000" w:fill="000000"/>
                <w:fitText w:val="108" w:id="-962405877"/>
                <w14:textFill>
                  <w14:solidFill>
                    <w14:srgbClr w14:val="000000">
                      <w14:alpha w14:val="100000"/>
                    </w14:srgbClr>
                  </w14:solidFill>
                </w14:textFill>
              </w:rPr>
              <w:t>|</w:t>
            </w:r>
            <w:r w:rsidRPr="00A121F0">
              <w:rPr>
                <w:rFonts w:hint="eastAsia"/>
                <w:color w:val="000000"/>
                <w:spacing w:val="4"/>
                <w:w w:val="24"/>
                <w:shd w:val="solid" w:color="000000" w:fill="000000"/>
                <w:fitText w:val="108" w:id="-962405877"/>
                <w14:textFill>
                  <w14:solidFill>
                    <w14:srgbClr w14:val="000000">
                      <w14:alpha w14:val="100000"/>
                    </w14:srgbClr>
                  </w14:solidFill>
                </w14:textFill>
              </w:rPr>
              <w:t xml:space="preserve">　</w:t>
            </w:r>
            <w:r w:rsidR="0072407A">
              <w:rPr>
                <w:vertAlign w:val="superscript"/>
              </w:rPr>
              <w:t>4</w:t>
            </w:r>
          </w:p>
        </w:tc>
        <w:tc>
          <w:tcPr>
            <w:tcW w:w="708" w:type="pct"/>
          </w:tcPr>
          <w:p w14:paraId="331FB352" w14:textId="348FBCD5" w:rsidR="008600A3" w:rsidRPr="0072407A" w:rsidRDefault="00A121F0" w:rsidP="002A7A6F">
            <w:pPr>
              <w:pStyle w:val="PBACTabletext"/>
              <w:jc w:val="center"/>
              <w:rPr>
                <w:sz w:val="19"/>
                <w:szCs w:val="19"/>
                <w:highlight w:val="lightGray"/>
              </w:rPr>
            </w:pPr>
            <w:r w:rsidRPr="00A121F0">
              <w:rPr>
                <w:rFonts w:hint="eastAsia"/>
                <w:color w:val="000000"/>
                <w:w w:val="15"/>
                <w:shd w:val="solid" w:color="000000" w:fill="000000"/>
                <w:fitText w:val="36" w:id="-962405876"/>
                <w14:textFill>
                  <w14:solidFill>
                    <w14:srgbClr w14:val="000000">
                      <w14:alpha w14:val="100000"/>
                    </w14:srgbClr>
                  </w14:solidFill>
                </w14:textFill>
              </w:rPr>
              <w:t xml:space="preserve">　</w:t>
            </w:r>
            <w:r w:rsidRPr="00A121F0">
              <w:rPr>
                <w:color w:val="000000"/>
                <w:w w:val="15"/>
                <w:shd w:val="solid" w:color="000000" w:fill="000000"/>
                <w:fitText w:val="36" w:id="-962405876"/>
                <w14:textFill>
                  <w14:solidFill>
                    <w14:srgbClr w14:val="000000">
                      <w14:alpha w14:val="100000"/>
                    </w14:srgbClr>
                  </w14:solidFill>
                </w14:textFill>
              </w:rPr>
              <w:t>|</w:t>
            </w:r>
            <w:r w:rsidRPr="00A121F0">
              <w:rPr>
                <w:rFonts w:hint="eastAsia"/>
                <w:color w:val="000000"/>
                <w:spacing w:val="-29"/>
                <w:w w:val="15"/>
                <w:shd w:val="solid" w:color="000000" w:fill="000000"/>
                <w:fitText w:val="36" w:id="-962405876"/>
                <w14:textFill>
                  <w14:solidFill>
                    <w14:srgbClr w14:val="000000">
                      <w14:alpha w14:val="100000"/>
                    </w14:srgbClr>
                  </w14:solidFill>
                </w14:textFill>
              </w:rPr>
              <w:t xml:space="preserve">　</w:t>
            </w:r>
            <w:r w:rsidR="0072407A">
              <w:rPr>
                <w:vertAlign w:val="superscript"/>
              </w:rPr>
              <w:t>4</w:t>
            </w:r>
          </w:p>
        </w:tc>
        <w:tc>
          <w:tcPr>
            <w:tcW w:w="629" w:type="pct"/>
          </w:tcPr>
          <w:p w14:paraId="622F2921" w14:textId="5458FE9F" w:rsidR="008600A3" w:rsidRPr="0072407A" w:rsidRDefault="00A121F0" w:rsidP="002A7A6F">
            <w:pPr>
              <w:pStyle w:val="PBACTabletext"/>
              <w:jc w:val="center"/>
              <w:rPr>
                <w:sz w:val="19"/>
                <w:szCs w:val="19"/>
                <w:highlight w:val="lightGray"/>
              </w:rPr>
            </w:pPr>
            <w:r w:rsidRPr="00A121F0">
              <w:rPr>
                <w:rFonts w:hint="eastAsia"/>
                <w:color w:val="000000"/>
                <w:w w:val="24"/>
                <w:shd w:val="solid" w:color="000000" w:fill="000000"/>
                <w:fitText w:val="108" w:id="-962405875"/>
                <w14:textFill>
                  <w14:solidFill>
                    <w14:srgbClr w14:val="000000">
                      <w14:alpha w14:val="100000"/>
                    </w14:srgbClr>
                  </w14:solidFill>
                </w14:textFill>
              </w:rPr>
              <w:t xml:space="preserve">　</w:t>
            </w:r>
            <w:r w:rsidRPr="00A121F0">
              <w:rPr>
                <w:color w:val="000000"/>
                <w:w w:val="24"/>
                <w:shd w:val="solid" w:color="000000" w:fill="000000"/>
                <w:fitText w:val="108" w:id="-962405875"/>
                <w14:textFill>
                  <w14:solidFill>
                    <w14:srgbClr w14:val="000000">
                      <w14:alpha w14:val="100000"/>
                    </w14:srgbClr>
                  </w14:solidFill>
                </w14:textFill>
              </w:rPr>
              <w:t>|</w:t>
            </w:r>
            <w:r w:rsidRPr="00A121F0">
              <w:rPr>
                <w:rFonts w:hint="eastAsia"/>
                <w:color w:val="000000"/>
                <w:spacing w:val="4"/>
                <w:w w:val="24"/>
                <w:shd w:val="solid" w:color="000000" w:fill="000000"/>
                <w:fitText w:val="108" w:id="-962405875"/>
                <w14:textFill>
                  <w14:solidFill>
                    <w14:srgbClr w14:val="000000">
                      <w14:alpha w14:val="100000"/>
                    </w14:srgbClr>
                  </w14:solidFill>
                </w14:textFill>
              </w:rPr>
              <w:t xml:space="preserve">　</w:t>
            </w:r>
            <w:r w:rsidR="0072407A">
              <w:rPr>
                <w:vertAlign w:val="superscript"/>
              </w:rPr>
              <w:t>5</w:t>
            </w:r>
          </w:p>
        </w:tc>
        <w:tc>
          <w:tcPr>
            <w:tcW w:w="678" w:type="pct"/>
          </w:tcPr>
          <w:p w14:paraId="4649B6BF" w14:textId="12D05AEC" w:rsidR="008600A3" w:rsidRPr="0072407A" w:rsidRDefault="00A121F0" w:rsidP="002A7A6F">
            <w:pPr>
              <w:pStyle w:val="PBACTabletext"/>
              <w:jc w:val="center"/>
              <w:rPr>
                <w:sz w:val="19"/>
                <w:szCs w:val="19"/>
                <w:highlight w:val="lightGray"/>
              </w:rPr>
            </w:pPr>
            <w:r w:rsidRPr="00A121F0">
              <w:rPr>
                <w:rFonts w:hint="eastAsia"/>
                <w:color w:val="000000"/>
                <w:w w:val="18"/>
                <w:shd w:val="solid" w:color="000000" w:fill="000000"/>
                <w:fitText w:val="84" w:id="-962405874"/>
                <w14:textFill>
                  <w14:solidFill>
                    <w14:srgbClr w14:val="000000">
                      <w14:alpha w14:val="100000"/>
                    </w14:srgbClr>
                  </w14:solidFill>
                </w14:textFill>
              </w:rPr>
              <w:t xml:space="preserve">　</w:t>
            </w:r>
            <w:r w:rsidRPr="00A121F0">
              <w:rPr>
                <w:color w:val="000000"/>
                <w:w w:val="18"/>
                <w:shd w:val="solid" w:color="000000" w:fill="000000"/>
                <w:fitText w:val="84" w:id="-962405874"/>
                <w14:textFill>
                  <w14:solidFill>
                    <w14:srgbClr w14:val="000000">
                      <w14:alpha w14:val="100000"/>
                    </w14:srgbClr>
                  </w14:solidFill>
                </w14:textFill>
              </w:rPr>
              <w:t>|</w:t>
            </w:r>
            <w:r w:rsidRPr="00A121F0">
              <w:rPr>
                <w:rFonts w:hint="eastAsia"/>
                <w:color w:val="000000"/>
                <w:spacing w:val="4"/>
                <w:w w:val="18"/>
                <w:shd w:val="solid" w:color="000000" w:fill="000000"/>
                <w:fitText w:val="84" w:id="-962405874"/>
                <w14:textFill>
                  <w14:solidFill>
                    <w14:srgbClr w14:val="000000">
                      <w14:alpha w14:val="100000"/>
                    </w14:srgbClr>
                  </w14:solidFill>
                </w14:textFill>
              </w:rPr>
              <w:t xml:space="preserve">　</w:t>
            </w:r>
            <w:r w:rsidR="0072407A">
              <w:rPr>
                <w:vertAlign w:val="superscript"/>
              </w:rPr>
              <w:t>5</w:t>
            </w:r>
          </w:p>
        </w:tc>
      </w:tr>
      <w:tr w:rsidR="008600A3" w:rsidRPr="00AE74F3" w14:paraId="7B0C0FC2" w14:textId="77777777" w:rsidTr="00CE58B5">
        <w:tc>
          <w:tcPr>
            <w:tcW w:w="5000" w:type="pct"/>
            <w:gridSpan w:val="7"/>
          </w:tcPr>
          <w:p w14:paraId="072394B1" w14:textId="52E11E09" w:rsidR="008600A3" w:rsidRPr="00AE74F3" w:rsidRDefault="008600A3" w:rsidP="002A7A6F">
            <w:pPr>
              <w:pStyle w:val="PBACTabletext"/>
              <w:rPr>
                <w:b/>
                <w:bCs/>
              </w:rPr>
            </w:pPr>
            <w:r w:rsidRPr="00AE74F3">
              <w:rPr>
                <w:b/>
                <w:bCs/>
              </w:rPr>
              <w:t xml:space="preserve">Costs based on the </w:t>
            </w:r>
            <w:r w:rsidR="00A131D2" w:rsidRPr="00AE74F3">
              <w:rPr>
                <w:b/>
                <w:bCs/>
              </w:rPr>
              <w:t xml:space="preserve">current </w:t>
            </w:r>
            <w:r w:rsidRPr="00AE74F3">
              <w:rPr>
                <w:b/>
                <w:bCs/>
              </w:rPr>
              <w:t>ofatumumab effective price</w:t>
            </w:r>
            <w:r w:rsidRPr="00AE74F3">
              <w:rPr>
                <w:vertAlign w:val="superscript"/>
              </w:rPr>
              <w:t xml:space="preserve"> </w:t>
            </w:r>
          </w:p>
        </w:tc>
      </w:tr>
      <w:tr w:rsidR="008600A3" w:rsidRPr="00AE74F3" w14:paraId="3D2BC665" w14:textId="77777777" w:rsidTr="00CE58B5">
        <w:tc>
          <w:tcPr>
            <w:tcW w:w="1019" w:type="pct"/>
          </w:tcPr>
          <w:p w14:paraId="2C1F671C" w14:textId="61AC1A3E" w:rsidR="008600A3" w:rsidRPr="00AE74F3" w:rsidRDefault="008600A3" w:rsidP="002A7A6F">
            <w:pPr>
              <w:pStyle w:val="PBACTabletext"/>
              <w:rPr>
                <w:b/>
                <w:bCs/>
              </w:rPr>
            </w:pPr>
            <w:r w:rsidRPr="00AE74F3">
              <w:rPr>
                <w:b/>
                <w:bCs/>
              </w:rPr>
              <w:t>Net cost PBS / RPBS</w:t>
            </w:r>
          </w:p>
        </w:tc>
        <w:tc>
          <w:tcPr>
            <w:tcW w:w="708" w:type="pct"/>
          </w:tcPr>
          <w:p w14:paraId="4BC36EB2" w14:textId="7FF5EE87" w:rsidR="008600A3" w:rsidRPr="0072407A" w:rsidRDefault="00A121F0" w:rsidP="002A7A6F">
            <w:pPr>
              <w:pStyle w:val="PBACTabletext"/>
              <w:jc w:val="center"/>
              <w:rPr>
                <w:b/>
                <w:bCs/>
                <w:sz w:val="19"/>
                <w:szCs w:val="19"/>
                <w:highlight w:val="lightGray"/>
              </w:rPr>
            </w:pPr>
            <w:r w:rsidRPr="00A121F0">
              <w:rPr>
                <w:rFonts w:hint="eastAsia"/>
                <w:b/>
                <w:bCs/>
                <w:color w:val="000000"/>
                <w:w w:val="18"/>
                <w:shd w:val="solid" w:color="000000" w:fill="000000"/>
                <w:fitText w:val="84" w:id="-962405873"/>
                <w14:textFill>
                  <w14:solidFill>
                    <w14:srgbClr w14:val="000000">
                      <w14:alpha w14:val="100000"/>
                    </w14:srgbClr>
                  </w14:solidFill>
                </w14:textFill>
              </w:rPr>
              <w:t xml:space="preserve">　</w:t>
            </w:r>
            <w:r w:rsidRPr="00A121F0">
              <w:rPr>
                <w:b/>
                <w:bCs/>
                <w:color w:val="000000"/>
                <w:w w:val="18"/>
                <w:shd w:val="solid" w:color="000000" w:fill="000000"/>
                <w:fitText w:val="84" w:id="-962405873"/>
                <w14:textFill>
                  <w14:solidFill>
                    <w14:srgbClr w14:val="000000">
                      <w14:alpha w14:val="100000"/>
                    </w14:srgbClr>
                  </w14:solidFill>
                </w14:textFill>
              </w:rPr>
              <w:t>|</w:t>
            </w:r>
            <w:r w:rsidRPr="00A121F0">
              <w:rPr>
                <w:rFonts w:hint="eastAsia"/>
                <w:b/>
                <w:bCs/>
                <w:color w:val="000000"/>
                <w:spacing w:val="3"/>
                <w:w w:val="18"/>
                <w:shd w:val="solid" w:color="000000" w:fill="000000"/>
                <w:fitText w:val="84" w:id="-962405873"/>
                <w14:textFill>
                  <w14:solidFill>
                    <w14:srgbClr w14:val="000000">
                      <w14:alpha w14:val="100000"/>
                    </w14:srgbClr>
                  </w14:solidFill>
                </w14:textFill>
              </w:rPr>
              <w:t xml:space="preserve">　</w:t>
            </w:r>
            <w:r w:rsidR="008E1608">
              <w:rPr>
                <w:vertAlign w:val="superscript"/>
              </w:rPr>
              <w:t>6</w:t>
            </w:r>
          </w:p>
        </w:tc>
        <w:tc>
          <w:tcPr>
            <w:tcW w:w="629" w:type="pct"/>
          </w:tcPr>
          <w:p w14:paraId="237A6E1E" w14:textId="0EBD921F" w:rsidR="008600A3" w:rsidRPr="0072407A" w:rsidRDefault="00A121F0" w:rsidP="002A7A6F">
            <w:pPr>
              <w:pStyle w:val="PBACTabletext"/>
              <w:jc w:val="center"/>
              <w:rPr>
                <w:b/>
                <w:bCs/>
                <w:sz w:val="19"/>
                <w:szCs w:val="19"/>
                <w:highlight w:val="lightGray"/>
              </w:rPr>
            </w:pPr>
            <w:r w:rsidRPr="00A121F0">
              <w:rPr>
                <w:b/>
                <w:bCs/>
                <w:color w:val="000000"/>
                <w:spacing w:val="76"/>
                <w:shd w:val="solid" w:color="000000" w:fill="000000"/>
                <w:fitText w:val="168" w:id="-962405872"/>
                <w14:textFill>
                  <w14:solidFill>
                    <w14:srgbClr w14:val="000000">
                      <w14:alpha w14:val="100000"/>
                    </w14:srgbClr>
                  </w14:solidFill>
                </w14:textFill>
              </w:rPr>
              <w:t>|</w:t>
            </w:r>
            <w:r w:rsidRPr="00A121F0">
              <w:rPr>
                <w:b/>
                <w:bCs/>
                <w:color w:val="000000"/>
                <w:spacing w:val="1"/>
                <w:shd w:val="solid" w:color="000000" w:fill="000000"/>
                <w:fitText w:val="168" w:id="-962405872"/>
                <w14:textFill>
                  <w14:solidFill>
                    <w14:srgbClr w14:val="000000">
                      <w14:alpha w14:val="100000"/>
                    </w14:srgbClr>
                  </w14:solidFill>
                </w14:textFill>
              </w:rPr>
              <w:t>|</w:t>
            </w:r>
            <w:r w:rsidR="008E1608">
              <w:rPr>
                <w:vertAlign w:val="superscript"/>
              </w:rPr>
              <w:t>7</w:t>
            </w:r>
          </w:p>
        </w:tc>
        <w:tc>
          <w:tcPr>
            <w:tcW w:w="629" w:type="pct"/>
          </w:tcPr>
          <w:p w14:paraId="2ADF4B5E" w14:textId="2D31F540" w:rsidR="008600A3" w:rsidRPr="0072407A" w:rsidRDefault="00A121F0" w:rsidP="002A7A6F">
            <w:pPr>
              <w:pStyle w:val="PBACTabletext"/>
              <w:jc w:val="center"/>
              <w:rPr>
                <w:b/>
                <w:bCs/>
                <w:sz w:val="19"/>
                <w:szCs w:val="19"/>
                <w:highlight w:val="lightGray"/>
              </w:rPr>
            </w:pPr>
            <w:r w:rsidRPr="00A121F0">
              <w:rPr>
                <w:b/>
                <w:bCs/>
                <w:color w:val="000000"/>
                <w:spacing w:val="76"/>
                <w:shd w:val="solid" w:color="000000" w:fill="000000"/>
                <w:fitText w:val="168" w:id="-962405888"/>
                <w14:textFill>
                  <w14:solidFill>
                    <w14:srgbClr w14:val="000000">
                      <w14:alpha w14:val="100000"/>
                    </w14:srgbClr>
                  </w14:solidFill>
                </w14:textFill>
              </w:rPr>
              <w:t>|</w:t>
            </w:r>
            <w:r w:rsidRPr="00A121F0">
              <w:rPr>
                <w:b/>
                <w:bCs/>
                <w:color w:val="000000"/>
                <w:spacing w:val="1"/>
                <w:shd w:val="solid" w:color="000000" w:fill="000000"/>
                <w:fitText w:val="168" w:id="-962405888"/>
                <w14:textFill>
                  <w14:solidFill>
                    <w14:srgbClr w14:val="000000">
                      <w14:alpha w14:val="100000"/>
                    </w14:srgbClr>
                  </w14:solidFill>
                </w14:textFill>
              </w:rPr>
              <w:t>|</w:t>
            </w:r>
            <w:r w:rsidR="008E1608">
              <w:rPr>
                <w:vertAlign w:val="superscript"/>
              </w:rPr>
              <w:t>8</w:t>
            </w:r>
          </w:p>
        </w:tc>
        <w:tc>
          <w:tcPr>
            <w:tcW w:w="708" w:type="pct"/>
          </w:tcPr>
          <w:p w14:paraId="535B2027" w14:textId="2FC861F0" w:rsidR="008600A3" w:rsidRPr="0072407A" w:rsidRDefault="00A121F0" w:rsidP="002A7A6F">
            <w:pPr>
              <w:pStyle w:val="PBACTabletext"/>
              <w:jc w:val="center"/>
              <w:rPr>
                <w:b/>
                <w:bCs/>
                <w:sz w:val="19"/>
                <w:szCs w:val="19"/>
                <w:highlight w:val="lightGray"/>
              </w:rPr>
            </w:pPr>
            <w:r w:rsidRPr="00A121F0">
              <w:rPr>
                <w:rFonts w:hint="eastAsia"/>
                <w:b/>
                <w:bCs/>
                <w:color w:val="000000"/>
                <w:w w:val="18"/>
                <w:shd w:val="solid" w:color="000000" w:fill="000000"/>
                <w:fitText w:val="84" w:id="-962405887"/>
                <w14:textFill>
                  <w14:solidFill>
                    <w14:srgbClr w14:val="000000">
                      <w14:alpha w14:val="100000"/>
                    </w14:srgbClr>
                  </w14:solidFill>
                </w14:textFill>
              </w:rPr>
              <w:t xml:space="preserve">　</w:t>
            </w:r>
            <w:r w:rsidRPr="00A121F0">
              <w:rPr>
                <w:b/>
                <w:bCs/>
                <w:color w:val="000000"/>
                <w:w w:val="18"/>
                <w:shd w:val="solid" w:color="000000" w:fill="000000"/>
                <w:fitText w:val="84" w:id="-962405887"/>
                <w14:textFill>
                  <w14:solidFill>
                    <w14:srgbClr w14:val="000000">
                      <w14:alpha w14:val="100000"/>
                    </w14:srgbClr>
                  </w14:solidFill>
                </w14:textFill>
              </w:rPr>
              <w:t>|</w:t>
            </w:r>
            <w:r w:rsidRPr="00A121F0">
              <w:rPr>
                <w:rFonts w:hint="eastAsia"/>
                <w:b/>
                <w:bCs/>
                <w:color w:val="000000"/>
                <w:spacing w:val="3"/>
                <w:w w:val="18"/>
                <w:shd w:val="solid" w:color="000000" w:fill="000000"/>
                <w:fitText w:val="84" w:id="-962405887"/>
                <w14:textFill>
                  <w14:solidFill>
                    <w14:srgbClr w14:val="000000">
                      <w14:alpha w14:val="100000"/>
                    </w14:srgbClr>
                  </w14:solidFill>
                </w14:textFill>
              </w:rPr>
              <w:t xml:space="preserve">　</w:t>
            </w:r>
            <w:r w:rsidR="008E1608">
              <w:rPr>
                <w:vertAlign w:val="superscript"/>
              </w:rPr>
              <w:t>9</w:t>
            </w:r>
          </w:p>
        </w:tc>
        <w:tc>
          <w:tcPr>
            <w:tcW w:w="629" w:type="pct"/>
          </w:tcPr>
          <w:p w14:paraId="69ED4B30" w14:textId="5E908AAD" w:rsidR="008600A3" w:rsidRPr="0072407A" w:rsidRDefault="00A121F0" w:rsidP="002A7A6F">
            <w:pPr>
              <w:pStyle w:val="PBACTabletext"/>
              <w:jc w:val="center"/>
              <w:rPr>
                <w:b/>
                <w:bCs/>
                <w:sz w:val="19"/>
                <w:szCs w:val="19"/>
                <w:highlight w:val="lightGray"/>
              </w:rPr>
            </w:pPr>
            <w:r w:rsidRPr="00A121F0">
              <w:rPr>
                <w:b/>
                <w:bCs/>
                <w:color w:val="000000"/>
                <w:spacing w:val="100"/>
                <w:shd w:val="solid" w:color="000000" w:fill="000000"/>
                <w:fitText w:val="192" w:id="-962405886"/>
                <w14:textFill>
                  <w14:solidFill>
                    <w14:srgbClr w14:val="000000">
                      <w14:alpha w14:val="100000"/>
                    </w14:srgbClr>
                  </w14:solidFill>
                </w14:textFill>
              </w:rPr>
              <w:t>|</w:t>
            </w:r>
            <w:r w:rsidRPr="00A121F0">
              <w:rPr>
                <w:b/>
                <w:bCs/>
                <w:color w:val="000000"/>
                <w:spacing w:val="1"/>
                <w:shd w:val="solid" w:color="000000" w:fill="000000"/>
                <w:fitText w:val="192" w:id="-962405886"/>
                <w14:textFill>
                  <w14:solidFill>
                    <w14:srgbClr w14:val="000000">
                      <w14:alpha w14:val="100000"/>
                    </w14:srgbClr>
                  </w14:solidFill>
                </w14:textFill>
              </w:rPr>
              <w:t>|</w:t>
            </w:r>
            <w:r w:rsidR="008E1608">
              <w:rPr>
                <w:vertAlign w:val="superscript"/>
              </w:rPr>
              <w:t>10</w:t>
            </w:r>
          </w:p>
        </w:tc>
        <w:tc>
          <w:tcPr>
            <w:tcW w:w="678" w:type="pct"/>
          </w:tcPr>
          <w:p w14:paraId="4F6A542B" w14:textId="2FC68BD5" w:rsidR="008600A3" w:rsidRPr="0072407A" w:rsidRDefault="00A121F0" w:rsidP="002A7A6F">
            <w:pPr>
              <w:pStyle w:val="PBACTabletext"/>
              <w:jc w:val="center"/>
              <w:rPr>
                <w:b/>
                <w:bCs/>
                <w:sz w:val="19"/>
                <w:szCs w:val="19"/>
                <w:highlight w:val="lightGray"/>
              </w:rPr>
            </w:pPr>
            <w:r w:rsidRPr="00A121F0">
              <w:rPr>
                <w:b/>
                <w:bCs/>
                <w:color w:val="000000"/>
                <w:spacing w:val="64"/>
                <w:shd w:val="solid" w:color="000000" w:fill="000000"/>
                <w:fitText w:val="156" w:id="-962405885"/>
                <w14:textFill>
                  <w14:solidFill>
                    <w14:srgbClr w14:val="000000">
                      <w14:alpha w14:val="100000"/>
                    </w14:srgbClr>
                  </w14:solidFill>
                </w14:textFill>
              </w:rPr>
              <w:t>|</w:t>
            </w:r>
            <w:r w:rsidRPr="00A121F0">
              <w:rPr>
                <w:b/>
                <w:bCs/>
                <w:color w:val="000000"/>
                <w:spacing w:val="1"/>
                <w:shd w:val="solid" w:color="000000" w:fill="000000"/>
                <w:fitText w:val="156" w:id="-962405885"/>
                <w14:textFill>
                  <w14:solidFill>
                    <w14:srgbClr w14:val="000000">
                      <w14:alpha w14:val="100000"/>
                    </w14:srgbClr>
                  </w14:solidFill>
                </w14:textFill>
              </w:rPr>
              <w:t>|</w:t>
            </w:r>
            <w:r w:rsidR="008E1608">
              <w:rPr>
                <w:vertAlign w:val="superscript"/>
              </w:rPr>
              <w:t>10</w:t>
            </w:r>
          </w:p>
        </w:tc>
      </w:tr>
    </w:tbl>
    <w:p w14:paraId="655F0BC4" w14:textId="77777777" w:rsidR="008600A3" w:rsidRPr="00AE74F3" w:rsidRDefault="008600A3" w:rsidP="002A7A6F">
      <w:pPr>
        <w:pStyle w:val="FooterTableFigure"/>
        <w:keepNext/>
        <w:keepLines/>
      </w:pPr>
      <w:r w:rsidRPr="00AE74F3">
        <w:rPr>
          <w:vertAlign w:val="superscript"/>
        </w:rPr>
        <w:t>a</w:t>
      </w:r>
      <w:r w:rsidRPr="00AE74F3">
        <w:t xml:space="preserve"> Disaggregation into initiation and continuation was performed in the submission based on the usage split from the base case analysis. </w:t>
      </w:r>
    </w:p>
    <w:p w14:paraId="0A53527F" w14:textId="1178B98E" w:rsidR="008600A3" w:rsidRPr="00AE74F3" w:rsidRDefault="008600A3" w:rsidP="002A7A6F">
      <w:pPr>
        <w:pStyle w:val="FooterTableFigure"/>
        <w:keepNext/>
        <w:keepLines/>
      </w:pPr>
      <w:r w:rsidRPr="00AE74F3">
        <w:rPr>
          <w:vertAlign w:val="superscript"/>
        </w:rPr>
        <w:t>b</w:t>
      </w:r>
      <w:r w:rsidRPr="00AE74F3">
        <w:t xml:space="preserve"> Total scripts based on </w:t>
      </w:r>
      <w:bookmarkStart w:id="72" w:name="_Hlk153038600"/>
      <w:r w:rsidRPr="00AE74F3">
        <w:t xml:space="preserve">March 2021 ofatumumab submission sensitivity analysis (supplementary analysis) </w:t>
      </w:r>
      <w:bookmarkEnd w:id="72"/>
      <w:r w:rsidRPr="00AE74F3">
        <w:t>which included only RRMS medicines considered ‘higher efficacy tier’ in the market share approach used to derive ofatumumab script estimates The high</w:t>
      </w:r>
      <w:r w:rsidR="005B331C">
        <w:t>-</w:t>
      </w:r>
      <w:r w:rsidRPr="00AE74F3">
        <w:t>efficacy tier excluded ABCR and other low cost therapies. (ABCR includes Avonex (Interferon beta-1a), Betaseron (Interferon beta-1b), Copaxone (glatiramer acetate) and Rebif (Interferon beta-1a); low cost therapies included dimethyl fumarate and teriflunomide.)</w:t>
      </w:r>
    </w:p>
    <w:p w14:paraId="3C7A7602" w14:textId="153680A9" w:rsidR="008600A3" w:rsidRDefault="008600A3" w:rsidP="002A7A6F">
      <w:pPr>
        <w:pStyle w:val="FooterTableFigure"/>
        <w:keepNext/>
        <w:keepLines/>
        <w:spacing w:after="0"/>
      </w:pPr>
      <w:r w:rsidRPr="00AE74F3">
        <w:t>Source: Tables 123, 124</w:t>
      </w:r>
      <w:r w:rsidR="00F67385">
        <w:t xml:space="preserve"> </w:t>
      </w:r>
      <w:r w:rsidRPr="00AE74F3">
        <w:t xml:space="preserve">of the submission, Kesimpta_Section 4_workbook November 2023 deadline.xlsx” </w:t>
      </w:r>
    </w:p>
    <w:p w14:paraId="6572B2A0" w14:textId="77777777"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rPr>
        <w:t xml:space="preserve">The redacted values correspond to the following ranges: </w:t>
      </w:r>
    </w:p>
    <w:p w14:paraId="7C3B9020" w14:textId="2562884C"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1</w:t>
      </w:r>
      <w:r w:rsidRPr="00FB6BA8">
        <w:rPr>
          <w:rFonts w:ascii="Arial Narrow" w:hAnsi="Arial Narrow" w:cstheme="minorHAnsi"/>
          <w:bCs/>
          <w:i/>
          <w:iCs/>
          <w:sz w:val="18"/>
          <w:szCs w:val="18"/>
        </w:rPr>
        <w:t xml:space="preserve"> 500 to &lt; 5,000</w:t>
      </w:r>
    </w:p>
    <w:p w14:paraId="14152113" w14:textId="6E3145B8"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2</w:t>
      </w:r>
      <w:r w:rsidRPr="00FB6BA8">
        <w:rPr>
          <w:rFonts w:ascii="Arial Narrow" w:hAnsi="Arial Narrow" w:cstheme="minorHAnsi"/>
          <w:bCs/>
          <w:i/>
          <w:iCs/>
          <w:sz w:val="18"/>
          <w:szCs w:val="18"/>
        </w:rPr>
        <w:t xml:space="preserve"> 20,000 to &lt; 30,000</w:t>
      </w:r>
    </w:p>
    <w:p w14:paraId="09A29CB7" w14:textId="02DB3E42"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3</w:t>
      </w:r>
      <w:r w:rsidRPr="00FB6BA8">
        <w:rPr>
          <w:rFonts w:ascii="Arial Narrow" w:hAnsi="Arial Narrow" w:cstheme="minorHAnsi"/>
          <w:bCs/>
          <w:i/>
          <w:iCs/>
          <w:sz w:val="18"/>
          <w:szCs w:val="18"/>
        </w:rPr>
        <w:t xml:space="preserve"> 30,000 to &lt; 40,000</w:t>
      </w:r>
    </w:p>
    <w:p w14:paraId="7E565E5C" w14:textId="3A15C8C5"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4</w:t>
      </w:r>
      <w:r w:rsidRPr="00FB6BA8">
        <w:rPr>
          <w:rFonts w:ascii="Arial Narrow" w:hAnsi="Arial Narrow" w:cstheme="minorHAnsi"/>
          <w:bCs/>
          <w:i/>
          <w:iCs/>
          <w:sz w:val="18"/>
          <w:szCs w:val="18"/>
        </w:rPr>
        <w:t xml:space="preserve"> 40,000 to &lt; 50,000</w:t>
      </w:r>
    </w:p>
    <w:p w14:paraId="4AB434B2" w14:textId="7D78C71C"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5</w:t>
      </w:r>
      <w:r w:rsidRPr="00FB6BA8">
        <w:rPr>
          <w:rFonts w:ascii="Arial Narrow" w:hAnsi="Arial Narrow" w:cstheme="minorHAnsi"/>
          <w:bCs/>
          <w:i/>
          <w:iCs/>
          <w:sz w:val="18"/>
          <w:szCs w:val="18"/>
        </w:rPr>
        <w:t xml:space="preserve"> 50,000 to &lt; 60,000</w:t>
      </w:r>
    </w:p>
    <w:p w14:paraId="53D83BBE" w14:textId="25BCC1CC" w:rsidR="0072407A" w:rsidRPr="00FB6BA8" w:rsidRDefault="0072407A"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6</w:t>
      </w:r>
      <w:r w:rsidRPr="00FB6BA8">
        <w:rPr>
          <w:rFonts w:ascii="Arial Narrow" w:hAnsi="Arial Narrow" w:cstheme="minorHAnsi"/>
          <w:bCs/>
          <w:i/>
          <w:iCs/>
          <w:sz w:val="18"/>
          <w:szCs w:val="18"/>
        </w:rPr>
        <w:t xml:space="preserve"> $30 million to &lt; $40 million</w:t>
      </w:r>
    </w:p>
    <w:p w14:paraId="3B6BE536" w14:textId="6CA77F8C" w:rsidR="008E1608" w:rsidRPr="00FB6BA8" w:rsidRDefault="008E1608"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7</w:t>
      </w:r>
      <w:r w:rsidRPr="00FB6BA8">
        <w:rPr>
          <w:rFonts w:ascii="Arial Narrow" w:hAnsi="Arial Narrow" w:cstheme="minorHAnsi"/>
          <w:bCs/>
          <w:i/>
          <w:iCs/>
          <w:sz w:val="18"/>
          <w:szCs w:val="18"/>
        </w:rPr>
        <w:t xml:space="preserve"> $40 million to &lt; $50 million</w:t>
      </w:r>
    </w:p>
    <w:p w14:paraId="12656F7F" w14:textId="341D1D99" w:rsidR="008E1608" w:rsidRPr="00FB6BA8" w:rsidRDefault="008E1608"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8</w:t>
      </w:r>
      <w:r w:rsidRPr="00FB6BA8">
        <w:rPr>
          <w:rFonts w:ascii="Arial Narrow" w:hAnsi="Arial Narrow" w:cstheme="minorHAnsi"/>
          <w:bCs/>
          <w:i/>
          <w:iCs/>
          <w:sz w:val="18"/>
          <w:szCs w:val="18"/>
        </w:rPr>
        <w:t xml:space="preserve"> $50 million to &lt; $60 million</w:t>
      </w:r>
    </w:p>
    <w:p w14:paraId="243B408D" w14:textId="7909F0EC" w:rsidR="008E1608" w:rsidRPr="00FB6BA8" w:rsidRDefault="008E1608" w:rsidP="002A7A6F">
      <w:pPr>
        <w:keepNext/>
        <w:keepLines/>
        <w:jc w:val="left"/>
        <w:rPr>
          <w:rFonts w:ascii="Arial Narrow" w:hAnsi="Arial Narrow" w:cstheme="minorHAnsi"/>
          <w:bCs/>
          <w:i/>
          <w:iCs/>
          <w:sz w:val="18"/>
          <w:szCs w:val="18"/>
        </w:rPr>
      </w:pPr>
      <w:r w:rsidRPr="00FB6BA8">
        <w:rPr>
          <w:rFonts w:ascii="Arial Narrow" w:hAnsi="Arial Narrow" w:cstheme="minorHAnsi"/>
          <w:bCs/>
          <w:i/>
          <w:iCs/>
          <w:sz w:val="18"/>
          <w:szCs w:val="18"/>
          <w:vertAlign w:val="superscript"/>
        </w:rPr>
        <w:t>9</w:t>
      </w:r>
      <w:r w:rsidRPr="00FB6BA8">
        <w:rPr>
          <w:rFonts w:ascii="Arial Narrow" w:hAnsi="Arial Narrow" w:cstheme="minorHAnsi"/>
          <w:bCs/>
          <w:i/>
          <w:iCs/>
          <w:sz w:val="18"/>
          <w:szCs w:val="18"/>
        </w:rPr>
        <w:t xml:space="preserve"> $60 million to &lt; $70 million</w:t>
      </w:r>
    </w:p>
    <w:p w14:paraId="5C6EC1C2" w14:textId="2D680710" w:rsidR="0072407A" w:rsidRPr="00AE74F3" w:rsidRDefault="008E1608" w:rsidP="002A7A6F">
      <w:pPr>
        <w:pStyle w:val="FooterTableFigure"/>
      </w:pPr>
      <w:r w:rsidRPr="00FB6BA8">
        <w:rPr>
          <w:rFonts w:cstheme="minorHAnsi"/>
          <w:bCs/>
          <w:i/>
          <w:iCs/>
          <w:szCs w:val="18"/>
          <w:vertAlign w:val="superscript"/>
        </w:rPr>
        <w:t>10</w:t>
      </w:r>
      <w:r w:rsidRPr="00FB6BA8">
        <w:rPr>
          <w:rFonts w:cstheme="minorHAnsi"/>
          <w:bCs/>
          <w:i/>
          <w:iCs/>
          <w:szCs w:val="18"/>
        </w:rPr>
        <w:t xml:space="preserve"> $70 million to &lt; $80 million</w:t>
      </w:r>
    </w:p>
    <w:p w14:paraId="2717154A" w14:textId="179B324A" w:rsidR="0047702A" w:rsidRPr="00AE74F3" w:rsidRDefault="008600A3" w:rsidP="008600A3">
      <w:pPr>
        <w:pStyle w:val="3-BodyText"/>
      </w:pPr>
      <w:r w:rsidRPr="00AE74F3">
        <w:t xml:space="preserve">The submission noted that fingolimod underwent a price </w:t>
      </w:r>
      <w:r w:rsidR="00BC3F8F">
        <w:t>reduction</w:t>
      </w:r>
      <w:r w:rsidRPr="00AE74F3">
        <w:t xml:space="preserve"> in December 2022 and could be subject to further price </w:t>
      </w:r>
      <w:r w:rsidR="00BC3F8F">
        <w:t>reductions</w:t>
      </w:r>
      <w:r w:rsidRPr="00AE74F3">
        <w:t xml:space="preserve">, and that there would be a price impact </w:t>
      </w:r>
      <w:r w:rsidR="008E00E5">
        <w:t>on</w:t>
      </w:r>
      <w:r w:rsidRPr="00AE74F3">
        <w:t xml:space="preserve"> ofatumumab if a new product is listed </w:t>
      </w:r>
      <w:r w:rsidR="008E00E5" w:rsidRPr="00AE74F3">
        <w:t xml:space="preserve">in F1 </w:t>
      </w:r>
      <w:r w:rsidRPr="00AE74F3">
        <w:t>on the PBS (likely using fingolimod as the lowest cost comparator</w:t>
      </w:r>
      <w:r w:rsidR="0047702A" w:rsidRPr="00AE74F3">
        <w:t xml:space="preserve">, see paragraph </w:t>
      </w:r>
      <w:r w:rsidR="0047702A" w:rsidRPr="00AE74F3">
        <w:fldChar w:fldCharType="begin" w:fldLock="1"/>
      </w:r>
      <w:r w:rsidR="0047702A" w:rsidRPr="00AE74F3">
        <w:instrText xml:space="preserve"> REF _Ref153196561 \r \h </w:instrText>
      </w:r>
      <w:r w:rsidR="005F098D" w:rsidRPr="00AE74F3">
        <w:instrText xml:space="preserve"> \* MERGEFORMAT </w:instrText>
      </w:r>
      <w:r w:rsidR="0047702A" w:rsidRPr="00AE74F3">
        <w:fldChar w:fldCharType="separate"/>
      </w:r>
      <w:r w:rsidR="00416916">
        <w:t>1.5</w:t>
      </w:r>
      <w:r w:rsidR="0047702A" w:rsidRPr="00AE74F3">
        <w:fldChar w:fldCharType="end"/>
      </w:r>
      <w:r w:rsidRPr="00AE74F3">
        <w:t>).</w:t>
      </w:r>
      <w:r w:rsidR="006D6FEA" w:rsidRPr="00AE74F3">
        <w:t xml:space="preserve"> </w:t>
      </w:r>
      <w:r w:rsidR="0038185D" w:rsidRPr="00AE74F3">
        <w:t>However</w:t>
      </w:r>
      <w:r w:rsidR="008A24FE" w:rsidRPr="00AE74F3">
        <w:t>,</w:t>
      </w:r>
      <w:r w:rsidR="0038185D" w:rsidRPr="00AE74F3">
        <w:t xml:space="preserve"> </w:t>
      </w:r>
      <w:r w:rsidRPr="00AE74F3">
        <w:t xml:space="preserve">the timing and magnitude of any such price </w:t>
      </w:r>
      <w:r w:rsidR="00BC3F8F">
        <w:t>reduction</w:t>
      </w:r>
      <w:r w:rsidR="00797F77" w:rsidRPr="00AE74F3">
        <w:t xml:space="preserve"> wa</w:t>
      </w:r>
      <w:r w:rsidRPr="00AE74F3">
        <w:t xml:space="preserve">s unknown and the financial impact figures presented are based on the current price of ofatumumab. </w:t>
      </w:r>
    </w:p>
    <w:p w14:paraId="6BF32E8A" w14:textId="0BDE18EF" w:rsidR="00901901" w:rsidRPr="00AE74F3" w:rsidRDefault="00AE74F3" w:rsidP="00901901">
      <w:pPr>
        <w:ind w:left="709"/>
        <w:contextualSpacing/>
        <w:rPr>
          <w:rFonts w:asciiTheme="minorHAnsi" w:hAnsiTheme="minorHAnsi"/>
          <w:i/>
          <w:iCs/>
          <w:snapToGrid w:val="0"/>
        </w:rPr>
      </w:pPr>
      <w:bookmarkStart w:id="73" w:name="_Hlk103937430"/>
      <w:bookmarkEnd w:id="1"/>
      <w:bookmarkEnd w:id="2"/>
      <w:bookmarkEnd w:id="3"/>
      <w:bookmarkEnd w:id="4"/>
      <w:bookmarkEnd w:id="5"/>
      <w:r w:rsidRPr="00AE74F3">
        <w:rPr>
          <w:rFonts w:asciiTheme="minorHAnsi" w:hAnsiTheme="minorHAnsi"/>
          <w:i/>
          <w:iCs/>
          <w:snapToGrid w:val="0"/>
        </w:rPr>
        <w:t>For more detail on PBAC’s view, see section 7 PBAC outcome.</w:t>
      </w:r>
    </w:p>
    <w:bookmarkEnd w:id="73"/>
    <w:p w14:paraId="149AA307" w14:textId="77777777" w:rsidR="00DD640C" w:rsidRPr="00DD640C" w:rsidRDefault="00DD640C" w:rsidP="00DD640C">
      <w:pPr>
        <w:keepNext/>
        <w:numPr>
          <w:ilvl w:val="0"/>
          <w:numId w:val="1"/>
        </w:numPr>
        <w:spacing w:before="240" w:after="120"/>
        <w:jc w:val="left"/>
        <w:outlineLvl w:val="0"/>
        <w:rPr>
          <w:rFonts w:asciiTheme="minorHAnsi" w:hAnsiTheme="minorHAnsi"/>
          <w:b/>
          <w:snapToGrid w:val="0"/>
          <w:sz w:val="32"/>
          <w:szCs w:val="32"/>
        </w:rPr>
      </w:pPr>
      <w:r w:rsidRPr="00DD640C">
        <w:rPr>
          <w:rFonts w:asciiTheme="minorHAnsi" w:hAnsiTheme="minorHAnsi"/>
          <w:b/>
          <w:snapToGrid w:val="0"/>
          <w:sz w:val="32"/>
          <w:szCs w:val="32"/>
        </w:rPr>
        <w:t>PBAC Outcome</w:t>
      </w:r>
    </w:p>
    <w:p w14:paraId="49D5B09C" w14:textId="3EAF2CD1" w:rsidR="00A35B11" w:rsidRDefault="00FC61BC" w:rsidP="00D75F00">
      <w:pPr>
        <w:widowControl w:val="0"/>
        <w:numPr>
          <w:ilvl w:val="1"/>
          <w:numId w:val="1"/>
        </w:numPr>
        <w:spacing w:after="120"/>
        <w:rPr>
          <w:rFonts w:asciiTheme="minorHAnsi" w:hAnsiTheme="minorHAnsi"/>
          <w:snapToGrid w:val="0"/>
          <w:lang w:val="en-GB" w:eastAsia="en-US"/>
        </w:rPr>
      </w:pPr>
      <w:r w:rsidRPr="00FC61BC">
        <w:rPr>
          <w:rFonts w:asciiTheme="minorHAnsi" w:hAnsiTheme="minorHAnsi"/>
          <w:snapToGrid w:val="0"/>
          <w:lang w:val="en-GB" w:eastAsia="en-US"/>
        </w:rPr>
        <w:t xml:space="preserve">The PBAC did not recommend separating the current higher efficacy disease modifying therapies (DMT) tier into two distinct efficacy tiers </w:t>
      </w:r>
      <w:r w:rsidR="00A72591" w:rsidRPr="00A72591">
        <w:rPr>
          <w:rFonts w:asciiTheme="minorHAnsi" w:hAnsiTheme="minorHAnsi"/>
          <w:snapToGrid w:val="0"/>
          <w:lang w:val="en-GB" w:eastAsia="en-US"/>
        </w:rPr>
        <w:t xml:space="preserve">on the basis that the clinical evidence presented did not adequately support </w:t>
      </w:r>
      <w:r w:rsidR="00D25876">
        <w:rPr>
          <w:rFonts w:asciiTheme="minorHAnsi" w:hAnsiTheme="minorHAnsi"/>
          <w:snapToGrid w:val="0"/>
          <w:lang w:val="en-GB" w:eastAsia="en-US"/>
        </w:rPr>
        <w:t>the</w:t>
      </w:r>
      <w:r w:rsidR="006D5FBD">
        <w:rPr>
          <w:rFonts w:asciiTheme="minorHAnsi" w:hAnsiTheme="minorHAnsi"/>
          <w:snapToGrid w:val="0"/>
          <w:lang w:val="en-GB" w:eastAsia="en-US"/>
        </w:rPr>
        <w:t xml:space="preserve"> submission’s</w:t>
      </w:r>
      <w:r w:rsidR="00A72591" w:rsidRPr="00A72591">
        <w:rPr>
          <w:rFonts w:asciiTheme="minorHAnsi" w:hAnsiTheme="minorHAnsi"/>
          <w:snapToGrid w:val="0"/>
          <w:lang w:val="en-GB" w:eastAsia="en-US"/>
        </w:rPr>
        <w:t xml:space="preserve"> </w:t>
      </w:r>
      <w:r w:rsidR="00E3088F">
        <w:rPr>
          <w:rFonts w:asciiTheme="minorHAnsi" w:hAnsiTheme="minorHAnsi"/>
          <w:snapToGrid w:val="0"/>
          <w:lang w:val="en-GB" w:eastAsia="en-US"/>
        </w:rPr>
        <w:t>underlying</w:t>
      </w:r>
      <w:r w:rsidR="006B7F2A">
        <w:rPr>
          <w:rFonts w:asciiTheme="minorHAnsi" w:hAnsiTheme="minorHAnsi"/>
          <w:snapToGrid w:val="0"/>
          <w:lang w:val="en-GB" w:eastAsia="en-US"/>
        </w:rPr>
        <w:t xml:space="preserve"> </w:t>
      </w:r>
      <w:r w:rsidR="00A72591" w:rsidRPr="00A72591">
        <w:rPr>
          <w:rFonts w:asciiTheme="minorHAnsi" w:hAnsiTheme="minorHAnsi"/>
          <w:snapToGrid w:val="0"/>
          <w:lang w:val="en-GB" w:eastAsia="en-US"/>
        </w:rPr>
        <w:t xml:space="preserve">claim </w:t>
      </w:r>
      <w:r w:rsidR="006D5FBD">
        <w:rPr>
          <w:rFonts w:asciiTheme="minorHAnsi" w:hAnsiTheme="minorHAnsi"/>
          <w:snapToGrid w:val="0"/>
          <w:lang w:val="en-GB" w:eastAsia="en-US"/>
        </w:rPr>
        <w:t xml:space="preserve">that </w:t>
      </w:r>
      <w:r w:rsidR="006D5FBD" w:rsidRPr="00A72591">
        <w:rPr>
          <w:rFonts w:asciiTheme="minorHAnsi" w:hAnsiTheme="minorHAnsi"/>
          <w:snapToGrid w:val="0"/>
          <w:lang w:val="en-GB" w:eastAsia="en-US"/>
        </w:rPr>
        <w:t xml:space="preserve">ofatumumab </w:t>
      </w:r>
      <w:r w:rsidR="006D5FBD">
        <w:rPr>
          <w:rFonts w:asciiTheme="minorHAnsi" w:hAnsiTheme="minorHAnsi"/>
          <w:snapToGrid w:val="0"/>
          <w:lang w:val="en-GB" w:eastAsia="en-US"/>
        </w:rPr>
        <w:t>(proposed as a high-efficacy tier DMT) has</w:t>
      </w:r>
      <w:r w:rsidR="00A72591" w:rsidRPr="00A72591">
        <w:rPr>
          <w:rFonts w:asciiTheme="minorHAnsi" w:hAnsiTheme="minorHAnsi"/>
          <w:snapToGrid w:val="0"/>
          <w:lang w:val="en-GB" w:eastAsia="en-US"/>
        </w:rPr>
        <w:t xml:space="preserve"> superior comparative effectiveness versus fingolimod </w:t>
      </w:r>
      <w:r w:rsidR="00A72591">
        <w:rPr>
          <w:rFonts w:asciiTheme="minorHAnsi" w:hAnsiTheme="minorHAnsi"/>
          <w:snapToGrid w:val="0"/>
          <w:lang w:val="en-GB" w:eastAsia="en-US"/>
        </w:rPr>
        <w:t>(</w:t>
      </w:r>
      <w:r w:rsidR="00A72591" w:rsidRPr="00A72591">
        <w:rPr>
          <w:rFonts w:asciiTheme="minorHAnsi" w:hAnsiTheme="minorHAnsi"/>
          <w:snapToGrid w:val="0"/>
          <w:lang w:val="en-GB" w:eastAsia="en-US"/>
        </w:rPr>
        <w:t xml:space="preserve">as a proxy for the </w:t>
      </w:r>
      <w:r w:rsidR="00A72591">
        <w:rPr>
          <w:rFonts w:asciiTheme="minorHAnsi" w:hAnsiTheme="minorHAnsi"/>
          <w:snapToGrid w:val="0"/>
          <w:lang w:val="en-GB" w:eastAsia="en-US"/>
        </w:rPr>
        <w:t xml:space="preserve">proposed </w:t>
      </w:r>
      <w:r w:rsidR="00A72591" w:rsidRPr="00A72591">
        <w:rPr>
          <w:rFonts w:asciiTheme="minorHAnsi" w:hAnsiTheme="minorHAnsi"/>
          <w:snapToGrid w:val="0"/>
          <w:lang w:val="en-GB" w:eastAsia="en-US"/>
        </w:rPr>
        <w:t>mid-</w:t>
      </w:r>
      <w:r w:rsidR="00A72591">
        <w:rPr>
          <w:rFonts w:asciiTheme="minorHAnsi" w:hAnsiTheme="minorHAnsi"/>
          <w:snapToGrid w:val="0"/>
          <w:lang w:val="en-GB" w:eastAsia="en-US"/>
        </w:rPr>
        <w:t xml:space="preserve">efficacy </w:t>
      </w:r>
      <w:r w:rsidR="00A72591" w:rsidRPr="00A72591">
        <w:rPr>
          <w:rFonts w:asciiTheme="minorHAnsi" w:hAnsiTheme="minorHAnsi"/>
          <w:snapToGrid w:val="0"/>
          <w:lang w:val="en-GB" w:eastAsia="en-US"/>
        </w:rPr>
        <w:t>tier DMTs</w:t>
      </w:r>
      <w:r w:rsidR="00A72591">
        <w:rPr>
          <w:rFonts w:asciiTheme="minorHAnsi" w:hAnsiTheme="minorHAnsi"/>
          <w:snapToGrid w:val="0"/>
          <w:lang w:val="en-GB" w:eastAsia="en-US"/>
        </w:rPr>
        <w:t xml:space="preserve">). </w:t>
      </w:r>
      <w:r w:rsidR="002337C1">
        <w:rPr>
          <w:rFonts w:asciiTheme="minorHAnsi" w:hAnsiTheme="minorHAnsi"/>
          <w:snapToGrid w:val="0"/>
          <w:lang w:val="en-GB" w:eastAsia="en-US"/>
        </w:rPr>
        <w:lastRenderedPageBreak/>
        <w:t xml:space="preserve">In the absence of </w:t>
      </w:r>
      <w:r w:rsidR="002337C1" w:rsidRPr="002337C1">
        <w:rPr>
          <w:rFonts w:asciiTheme="minorHAnsi" w:hAnsiTheme="minorHAnsi"/>
          <w:snapToGrid w:val="0"/>
          <w:lang w:val="en-GB" w:eastAsia="en-US"/>
        </w:rPr>
        <w:t xml:space="preserve">direct comparative evidence </w:t>
      </w:r>
      <w:r w:rsidR="002337C1">
        <w:rPr>
          <w:rFonts w:asciiTheme="minorHAnsi" w:hAnsiTheme="minorHAnsi"/>
          <w:snapToGrid w:val="0"/>
          <w:lang w:val="en-GB" w:eastAsia="en-US"/>
        </w:rPr>
        <w:t>or</w:t>
      </w:r>
      <w:r w:rsidR="002337C1" w:rsidRPr="002337C1">
        <w:rPr>
          <w:rFonts w:asciiTheme="minorHAnsi" w:hAnsiTheme="minorHAnsi"/>
          <w:snapToGrid w:val="0"/>
          <w:lang w:val="en-GB" w:eastAsia="en-US"/>
        </w:rPr>
        <w:t xml:space="preserve"> randomised controlled trials </w:t>
      </w:r>
      <w:r w:rsidR="002337C1">
        <w:rPr>
          <w:rFonts w:asciiTheme="minorHAnsi" w:hAnsiTheme="minorHAnsi"/>
          <w:snapToGrid w:val="0"/>
          <w:lang w:val="en-GB" w:eastAsia="en-US"/>
        </w:rPr>
        <w:t>with</w:t>
      </w:r>
      <w:r w:rsidR="002337C1" w:rsidRPr="002337C1">
        <w:rPr>
          <w:rFonts w:asciiTheme="minorHAnsi" w:hAnsiTheme="minorHAnsi"/>
          <w:snapToGrid w:val="0"/>
          <w:lang w:val="en-GB" w:eastAsia="en-US"/>
        </w:rPr>
        <w:t xml:space="preserve"> a common reference </w:t>
      </w:r>
      <w:r w:rsidR="002337C1">
        <w:rPr>
          <w:rFonts w:asciiTheme="minorHAnsi" w:hAnsiTheme="minorHAnsi"/>
          <w:snapToGrid w:val="0"/>
          <w:lang w:val="en-GB" w:eastAsia="en-US"/>
        </w:rPr>
        <w:t xml:space="preserve">arm, the submission </w:t>
      </w:r>
      <w:r w:rsidR="00A35B11">
        <w:rPr>
          <w:rFonts w:asciiTheme="minorHAnsi" w:hAnsiTheme="minorHAnsi"/>
          <w:snapToGrid w:val="0"/>
          <w:lang w:val="en-GB" w:eastAsia="en-US"/>
        </w:rPr>
        <w:t>included a two-step indirect comparison</w:t>
      </w:r>
      <w:r w:rsidR="0046527F">
        <w:rPr>
          <w:rFonts w:asciiTheme="minorHAnsi" w:hAnsiTheme="minorHAnsi"/>
          <w:snapToGrid w:val="0"/>
          <w:lang w:val="en-GB" w:eastAsia="en-US"/>
        </w:rPr>
        <w:t>;</w:t>
      </w:r>
      <w:r w:rsidR="00A35B11">
        <w:rPr>
          <w:rFonts w:asciiTheme="minorHAnsi" w:hAnsiTheme="minorHAnsi"/>
          <w:snapToGrid w:val="0"/>
          <w:lang w:val="en-GB" w:eastAsia="en-US"/>
        </w:rPr>
        <w:t xml:space="preserve"> however</w:t>
      </w:r>
      <w:r w:rsidR="0046527F">
        <w:rPr>
          <w:rFonts w:asciiTheme="minorHAnsi" w:hAnsiTheme="minorHAnsi"/>
          <w:snapToGrid w:val="0"/>
          <w:lang w:val="en-GB" w:eastAsia="en-US"/>
        </w:rPr>
        <w:t>,</w:t>
      </w:r>
      <w:r w:rsidR="00A35B11">
        <w:rPr>
          <w:rFonts w:asciiTheme="minorHAnsi" w:hAnsiTheme="minorHAnsi"/>
          <w:snapToGrid w:val="0"/>
          <w:lang w:val="en-GB" w:eastAsia="en-US"/>
        </w:rPr>
        <w:t xml:space="preserve"> the PBAC considered there were </w:t>
      </w:r>
      <w:r w:rsidR="00A35B11" w:rsidRPr="00FC61BC">
        <w:rPr>
          <w:rFonts w:asciiTheme="minorHAnsi" w:hAnsiTheme="minorHAnsi"/>
          <w:snapToGrid w:val="0"/>
          <w:lang w:val="en-GB" w:eastAsia="en-US"/>
        </w:rPr>
        <w:t>substantial transitivity issues between the studies included</w:t>
      </w:r>
      <w:r w:rsidR="008D57C3">
        <w:rPr>
          <w:rFonts w:asciiTheme="minorHAnsi" w:hAnsiTheme="minorHAnsi"/>
          <w:snapToGrid w:val="0"/>
          <w:lang w:val="en-GB" w:eastAsia="en-US"/>
        </w:rPr>
        <w:t xml:space="preserve"> in this comparison. The PBAC further considered the </w:t>
      </w:r>
      <w:r w:rsidR="008D57C3" w:rsidRPr="00FC61BC">
        <w:rPr>
          <w:rFonts w:asciiTheme="minorHAnsi" w:hAnsiTheme="minorHAnsi"/>
          <w:snapToGrid w:val="0"/>
          <w:lang w:val="en-GB" w:eastAsia="en-US"/>
        </w:rPr>
        <w:t xml:space="preserve">unanchored adjusted comparisons </w:t>
      </w:r>
      <w:r w:rsidR="008D57C3">
        <w:rPr>
          <w:rFonts w:asciiTheme="minorHAnsi" w:hAnsiTheme="minorHAnsi"/>
          <w:snapToGrid w:val="0"/>
          <w:lang w:val="en-GB" w:eastAsia="en-US"/>
        </w:rPr>
        <w:t xml:space="preserve">presented were associated with an unknown amount of bias and did not sufficiently address the transitivity issues between the </w:t>
      </w:r>
      <w:r w:rsidR="000F1071">
        <w:rPr>
          <w:rFonts w:asciiTheme="minorHAnsi" w:hAnsiTheme="minorHAnsi"/>
          <w:snapToGrid w:val="0"/>
          <w:lang w:val="en-GB" w:eastAsia="en-US"/>
        </w:rPr>
        <w:t>studie</w:t>
      </w:r>
      <w:r w:rsidR="008D57C3">
        <w:rPr>
          <w:rFonts w:asciiTheme="minorHAnsi" w:hAnsiTheme="minorHAnsi"/>
          <w:snapToGrid w:val="0"/>
          <w:lang w:val="en-GB" w:eastAsia="en-US"/>
        </w:rPr>
        <w:t>s.</w:t>
      </w:r>
      <w:r w:rsidR="0046527F" w:rsidRPr="0046527F">
        <w:rPr>
          <w:rFonts w:asciiTheme="minorHAnsi" w:hAnsiTheme="minorHAnsi"/>
          <w:snapToGrid w:val="0"/>
          <w:lang w:val="en-GB" w:eastAsia="en-US"/>
        </w:rPr>
        <w:t xml:space="preserve"> </w:t>
      </w:r>
      <w:r w:rsidR="0046527F">
        <w:rPr>
          <w:rFonts w:asciiTheme="minorHAnsi" w:hAnsiTheme="minorHAnsi"/>
          <w:snapToGrid w:val="0"/>
          <w:lang w:val="en-GB" w:eastAsia="en-US"/>
        </w:rPr>
        <w:t>Overall, t</w:t>
      </w:r>
      <w:r w:rsidR="0046527F" w:rsidRPr="00FC61BC">
        <w:rPr>
          <w:rFonts w:asciiTheme="minorHAnsi" w:hAnsiTheme="minorHAnsi"/>
          <w:snapToGrid w:val="0"/>
          <w:lang w:val="en-GB" w:eastAsia="en-US"/>
        </w:rPr>
        <w:t>he PBAC considered the clinical evidence</w:t>
      </w:r>
      <w:r w:rsidR="0046527F">
        <w:rPr>
          <w:rFonts w:asciiTheme="minorHAnsi" w:hAnsiTheme="minorHAnsi"/>
          <w:snapToGrid w:val="0"/>
          <w:lang w:val="en-GB" w:eastAsia="en-US"/>
        </w:rPr>
        <w:t xml:space="preserve"> </w:t>
      </w:r>
      <w:r w:rsidR="0046527F" w:rsidRPr="00FC61BC">
        <w:rPr>
          <w:rFonts w:asciiTheme="minorHAnsi" w:hAnsiTheme="minorHAnsi"/>
          <w:snapToGrid w:val="0"/>
          <w:lang w:val="en-GB" w:eastAsia="en-US"/>
        </w:rPr>
        <w:t>was not sufficiently reliable for the purposes of establishing superiority</w:t>
      </w:r>
      <w:r w:rsidR="0046527F">
        <w:rPr>
          <w:rFonts w:asciiTheme="minorHAnsi" w:hAnsiTheme="minorHAnsi"/>
          <w:snapToGrid w:val="0"/>
          <w:lang w:val="en-GB" w:eastAsia="en-US"/>
        </w:rPr>
        <w:t>.</w:t>
      </w:r>
    </w:p>
    <w:p w14:paraId="6507C65E" w14:textId="76520133" w:rsidR="008A73D3" w:rsidRPr="008A73D3" w:rsidRDefault="00E77798" w:rsidP="00E22F00">
      <w:pPr>
        <w:widowControl w:val="0"/>
        <w:numPr>
          <w:ilvl w:val="1"/>
          <w:numId w:val="1"/>
        </w:numPr>
        <w:spacing w:after="120"/>
        <w:rPr>
          <w:rFonts w:asciiTheme="minorHAnsi" w:hAnsiTheme="minorHAnsi"/>
          <w:snapToGrid w:val="0"/>
          <w:lang w:val="en-GB" w:eastAsia="en-US"/>
        </w:rPr>
      </w:pPr>
      <w:r w:rsidRPr="008A73D3">
        <w:rPr>
          <w:rFonts w:asciiTheme="minorHAnsi" w:hAnsiTheme="minorHAnsi"/>
        </w:rPr>
        <w:t xml:space="preserve">The PBAC considered the nominated comparator of fingolimod was reasonable, </w:t>
      </w:r>
      <w:r w:rsidR="008A73D3" w:rsidRPr="008A73D3">
        <w:rPr>
          <w:rFonts w:asciiTheme="minorHAnsi" w:hAnsiTheme="minorHAnsi"/>
        </w:rPr>
        <w:t>noting the submission used this as a proxy for the other DMTs proposed to make up the mid-efficacy tier (i.e. cladribine and ozanimod).</w:t>
      </w:r>
    </w:p>
    <w:p w14:paraId="5304D89C" w14:textId="2870F1E1" w:rsidR="00E77798" w:rsidRPr="00E77798" w:rsidRDefault="00E77798" w:rsidP="004F2F38">
      <w:pPr>
        <w:pStyle w:val="3-BodyText"/>
        <w:rPr>
          <w:lang w:val="en-GB" w:eastAsia="en-US"/>
        </w:rPr>
      </w:pPr>
      <w:r w:rsidRPr="008A73D3">
        <w:rPr>
          <w:rFonts w:ascii="Calibri" w:hAnsi="Calibri"/>
          <w:snapToGrid/>
          <w:lang w:val="en-GB" w:eastAsia="en-US"/>
        </w:rPr>
        <w:t>The PBAC</w:t>
      </w:r>
      <w:r w:rsidRPr="00E77798">
        <w:rPr>
          <w:rFonts w:ascii="Calibri" w:hAnsi="Calibri"/>
          <w:snapToGrid/>
          <w:lang w:val="en-GB" w:eastAsia="en-US"/>
        </w:rPr>
        <w:t xml:space="preserve"> noted there was no direct comparative </w:t>
      </w:r>
      <w:r w:rsidR="00A32DE2" w:rsidRPr="00E77798">
        <w:rPr>
          <w:rFonts w:ascii="Calibri" w:hAnsi="Calibri"/>
          <w:snapToGrid/>
          <w:lang w:val="en-GB" w:eastAsia="en-US"/>
        </w:rPr>
        <w:t>evidence,</w:t>
      </w:r>
      <w:r w:rsidR="00A950DA">
        <w:rPr>
          <w:rFonts w:ascii="Calibri" w:hAnsi="Calibri"/>
          <w:snapToGrid/>
          <w:lang w:val="en-GB" w:eastAsia="en-US"/>
        </w:rPr>
        <w:t xml:space="preserve"> and the available randomised controlled trials did not share a common reference arm. I</w:t>
      </w:r>
      <w:r w:rsidRPr="00E77798">
        <w:rPr>
          <w:rFonts w:ascii="Calibri" w:hAnsi="Calibri"/>
          <w:snapToGrid/>
          <w:lang w:val="en-GB" w:eastAsia="en-US"/>
        </w:rPr>
        <w:t>nstead</w:t>
      </w:r>
      <w:r w:rsidR="00BC3F8F">
        <w:rPr>
          <w:rFonts w:ascii="Calibri" w:hAnsi="Calibri"/>
          <w:snapToGrid/>
          <w:lang w:val="en-GB" w:eastAsia="en-US"/>
        </w:rPr>
        <w:t>,</w:t>
      </w:r>
      <w:r w:rsidRPr="00E77798">
        <w:rPr>
          <w:rFonts w:ascii="Calibri" w:hAnsi="Calibri"/>
          <w:snapToGrid/>
          <w:lang w:val="en-GB" w:eastAsia="en-US"/>
        </w:rPr>
        <w:t xml:space="preserve"> the submission relied on</w:t>
      </w:r>
      <w:r>
        <w:rPr>
          <w:rFonts w:ascii="Calibri" w:hAnsi="Calibri"/>
          <w:snapToGrid/>
          <w:lang w:val="en-GB" w:eastAsia="en-US"/>
        </w:rPr>
        <w:t>:</w:t>
      </w:r>
    </w:p>
    <w:p w14:paraId="3B8B7EF4" w14:textId="17B918F4" w:rsidR="00E77798" w:rsidRPr="00E77798" w:rsidRDefault="00E77798" w:rsidP="004D4DA4">
      <w:pPr>
        <w:pStyle w:val="3-BodyText"/>
        <w:numPr>
          <w:ilvl w:val="0"/>
          <w:numId w:val="22"/>
        </w:numPr>
        <w:ind w:left="1134"/>
        <w:rPr>
          <w:lang w:val="en-GB" w:eastAsia="en-US"/>
        </w:rPr>
      </w:pPr>
      <w:r w:rsidRPr="00E77798">
        <w:rPr>
          <w:lang w:val="en-GB" w:eastAsia="en-US"/>
        </w:rPr>
        <w:t>an indirect comparison using a Bucher two-step approach (using teriflunomide and placebo as common comparators)</w:t>
      </w:r>
      <w:r w:rsidR="008A73D3">
        <w:rPr>
          <w:lang w:val="en-GB" w:eastAsia="en-US"/>
        </w:rPr>
        <w:t>. H</w:t>
      </w:r>
      <w:r w:rsidRPr="00E77798">
        <w:rPr>
          <w:lang w:val="en-GB" w:eastAsia="en-US"/>
        </w:rPr>
        <w:t>owever</w:t>
      </w:r>
      <w:r w:rsidR="00FC61BC">
        <w:rPr>
          <w:lang w:val="en-GB" w:eastAsia="en-US"/>
        </w:rPr>
        <w:t>,</w:t>
      </w:r>
      <w:r w:rsidRPr="00E77798">
        <w:rPr>
          <w:lang w:val="en-GB" w:eastAsia="en-US"/>
        </w:rPr>
        <w:t xml:space="preserve"> the </w:t>
      </w:r>
      <w:r>
        <w:rPr>
          <w:lang w:val="en-GB" w:eastAsia="en-US"/>
        </w:rPr>
        <w:t xml:space="preserve">PBAC </w:t>
      </w:r>
      <w:r w:rsidRPr="00E77798">
        <w:rPr>
          <w:lang w:val="en-GB" w:eastAsia="en-US"/>
        </w:rPr>
        <w:t xml:space="preserve">considered that there were substantial transitivity issues between the included studies (e.g. differences in </w:t>
      </w:r>
      <w:r w:rsidR="008E00E5">
        <w:rPr>
          <w:lang w:val="en-GB" w:eastAsia="en-US"/>
        </w:rPr>
        <w:t xml:space="preserve">the </w:t>
      </w:r>
      <w:r w:rsidRPr="00E77798">
        <w:rPr>
          <w:lang w:val="en-GB" w:eastAsia="en-US"/>
        </w:rPr>
        <w:t>proportion of patients with prior DMT use</w:t>
      </w:r>
      <w:r w:rsidR="00FC61BC">
        <w:rPr>
          <w:lang w:val="en-GB" w:eastAsia="en-US"/>
        </w:rPr>
        <w:t>,</w:t>
      </w:r>
      <w:r w:rsidRPr="00E77798">
        <w:rPr>
          <w:lang w:val="en-GB" w:eastAsia="en-US"/>
        </w:rPr>
        <w:t xml:space="preserve"> types of prior DMT used</w:t>
      </w:r>
      <w:r w:rsidR="00FC61BC">
        <w:rPr>
          <w:lang w:val="en-GB" w:eastAsia="en-US"/>
        </w:rPr>
        <w:t>,</w:t>
      </w:r>
      <w:r w:rsidRPr="00E77798">
        <w:rPr>
          <w:lang w:val="en-GB" w:eastAsia="en-US"/>
        </w:rPr>
        <w:t xml:space="preserve"> number of relapses in the previous year </w:t>
      </w:r>
      <w:r w:rsidR="008E00E5">
        <w:rPr>
          <w:lang w:val="en-GB" w:eastAsia="en-US"/>
        </w:rPr>
        <w:t xml:space="preserve">and </w:t>
      </w:r>
      <w:r w:rsidRPr="00E77798">
        <w:rPr>
          <w:lang w:val="en-GB" w:eastAsia="en-US"/>
        </w:rPr>
        <w:t>time since onset of MS symptoms)</w:t>
      </w:r>
      <w:r w:rsidR="006D5FBD">
        <w:rPr>
          <w:lang w:val="en-GB" w:eastAsia="en-US"/>
        </w:rPr>
        <w:t xml:space="preserve">. </w:t>
      </w:r>
      <w:r w:rsidR="006D5FBD" w:rsidRPr="006D5FBD">
        <w:rPr>
          <w:lang w:val="en-GB" w:eastAsia="en-US"/>
        </w:rPr>
        <w:t>Further, the included trials were conducted over a wide time period</w:t>
      </w:r>
      <w:r w:rsidR="002337C1">
        <w:rPr>
          <w:lang w:val="en-GB" w:eastAsia="en-US"/>
        </w:rPr>
        <w:t xml:space="preserve"> (e.g. </w:t>
      </w:r>
      <w:r w:rsidR="002337C1" w:rsidRPr="002337C1">
        <w:rPr>
          <w:lang w:val="en-GB" w:eastAsia="en-US"/>
        </w:rPr>
        <w:t xml:space="preserve">the ofatumumab trials were conducted between 2016 and 2019, </w:t>
      </w:r>
      <w:r w:rsidR="002337C1">
        <w:rPr>
          <w:lang w:val="en-GB" w:eastAsia="en-US"/>
        </w:rPr>
        <w:t xml:space="preserve">while </w:t>
      </w:r>
      <w:r w:rsidR="002337C1" w:rsidRPr="002337C1">
        <w:rPr>
          <w:lang w:val="en-GB" w:eastAsia="en-US"/>
        </w:rPr>
        <w:t>the fingolimod trials were conducted between 2006 and 2011</w:t>
      </w:r>
      <w:r w:rsidR="002337C1">
        <w:rPr>
          <w:lang w:val="en-GB" w:eastAsia="en-US"/>
        </w:rPr>
        <w:t>)</w:t>
      </w:r>
      <w:r w:rsidR="006D5FBD" w:rsidRPr="006D5FBD">
        <w:rPr>
          <w:lang w:val="en-GB" w:eastAsia="en-US"/>
        </w:rPr>
        <w:t xml:space="preserve">. This </w:t>
      </w:r>
      <w:r w:rsidR="003223A9">
        <w:rPr>
          <w:lang w:val="en-GB" w:eastAsia="en-US"/>
        </w:rPr>
        <w:t>i</w:t>
      </w:r>
      <w:r w:rsidR="006D5FBD" w:rsidRPr="006D5FBD">
        <w:rPr>
          <w:lang w:val="en-GB" w:eastAsia="en-US"/>
        </w:rPr>
        <w:t xml:space="preserve">s likely to have reduced the comparability of the trials due to the evolution of the treatment of MS (i.e. introduction of high-efficacy DMTs) and the diagnosis of MS (e.g. changes in the McDonald diagnostic criteria) during this period. The </w:t>
      </w:r>
      <w:r w:rsidR="006D5FBD">
        <w:rPr>
          <w:lang w:val="en-GB" w:eastAsia="en-US"/>
        </w:rPr>
        <w:t xml:space="preserve">PBAC </w:t>
      </w:r>
      <w:r w:rsidR="006D5FBD" w:rsidRPr="006D5FBD">
        <w:rPr>
          <w:lang w:val="en-GB" w:eastAsia="en-US"/>
        </w:rPr>
        <w:t>considered that the transitivity issues were evidenced by the differences between the ARR rates in the two common reference arms</w:t>
      </w:r>
      <w:r w:rsidR="006D5FBD">
        <w:rPr>
          <w:lang w:val="en-GB" w:eastAsia="en-US"/>
        </w:rPr>
        <w:t>. Overall, t</w:t>
      </w:r>
      <w:r w:rsidRPr="00E77798">
        <w:rPr>
          <w:lang w:val="en-GB" w:eastAsia="en-US"/>
        </w:rPr>
        <w:t xml:space="preserve">he </w:t>
      </w:r>
      <w:r>
        <w:rPr>
          <w:lang w:val="en-GB" w:eastAsia="en-US"/>
        </w:rPr>
        <w:t>PBAC</w:t>
      </w:r>
      <w:r w:rsidRPr="00E77798">
        <w:rPr>
          <w:lang w:val="en-GB" w:eastAsia="en-US"/>
        </w:rPr>
        <w:t xml:space="preserve"> considered that the indirect comparison had a high risk of bias and </w:t>
      </w:r>
      <w:r>
        <w:rPr>
          <w:lang w:val="en-GB" w:eastAsia="en-US"/>
        </w:rPr>
        <w:t>was</w:t>
      </w:r>
      <w:r w:rsidRPr="00E77798">
        <w:rPr>
          <w:lang w:val="en-GB" w:eastAsia="en-US"/>
        </w:rPr>
        <w:t xml:space="preserve"> not sufficiently reliable to support a claim of superiority. </w:t>
      </w:r>
    </w:p>
    <w:p w14:paraId="719236C5" w14:textId="2D3052D5" w:rsidR="00E77798" w:rsidRPr="00E77798" w:rsidRDefault="00E77798" w:rsidP="004D4DA4">
      <w:pPr>
        <w:pStyle w:val="3-BodyText"/>
        <w:numPr>
          <w:ilvl w:val="0"/>
          <w:numId w:val="22"/>
        </w:numPr>
        <w:ind w:left="1134"/>
        <w:rPr>
          <w:lang w:val="en-GB" w:eastAsia="en-US"/>
        </w:rPr>
      </w:pPr>
      <w:r w:rsidRPr="00E77798">
        <w:rPr>
          <w:lang w:val="en-GB" w:eastAsia="en-US"/>
        </w:rPr>
        <w:t>Unanchored inverse probability of treatment weighting (IPTW) and simulated treatment comparison (STC) analyses.</w:t>
      </w:r>
      <w:r w:rsidR="0000535C">
        <w:rPr>
          <w:lang w:val="en-GB" w:eastAsia="en-US"/>
        </w:rPr>
        <w:t xml:space="preserve"> T</w:t>
      </w:r>
      <w:r w:rsidRPr="00E77798">
        <w:rPr>
          <w:lang w:val="en-GB" w:eastAsia="en-US"/>
        </w:rPr>
        <w:t xml:space="preserve">he </w:t>
      </w:r>
      <w:r>
        <w:rPr>
          <w:lang w:val="en-GB" w:eastAsia="en-US"/>
        </w:rPr>
        <w:t>PBAC</w:t>
      </w:r>
      <w:r w:rsidRPr="00E77798">
        <w:rPr>
          <w:lang w:val="en-GB" w:eastAsia="en-US"/>
        </w:rPr>
        <w:t xml:space="preserve"> considered these were associated with an unknown amount of bias due to the potential for missing observed or unobserved effect modifiers and/or prognostic variables</w:t>
      </w:r>
      <w:r w:rsidR="00571F25">
        <w:rPr>
          <w:lang w:val="en-GB" w:eastAsia="en-US"/>
        </w:rPr>
        <w:t xml:space="preserve"> </w:t>
      </w:r>
      <w:r w:rsidR="00571F25" w:rsidRPr="00AE74F3">
        <w:t>(including the type of prior DMT and the time at which each trial was conducted)</w:t>
      </w:r>
      <w:r w:rsidRPr="00E77798">
        <w:rPr>
          <w:lang w:val="en-GB" w:eastAsia="en-US"/>
        </w:rPr>
        <w:t xml:space="preserve">. </w:t>
      </w:r>
    </w:p>
    <w:p w14:paraId="40D83965" w14:textId="7C0236A3" w:rsidR="00571F25" w:rsidRPr="0099183D" w:rsidRDefault="00571F25" w:rsidP="00E77798">
      <w:pPr>
        <w:pStyle w:val="3-BodyText"/>
        <w:rPr>
          <w:lang w:val="en-GB" w:eastAsia="en-US"/>
        </w:rPr>
      </w:pPr>
      <w:r>
        <w:rPr>
          <w:lang w:val="en-GB" w:eastAsia="en-US"/>
        </w:rPr>
        <w:t xml:space="preserve">Further, the PBAC noted that a </w:t>
      </w:r>
      <w:r w:rsidRPr="00571F25">
        <w:rPr>
          <w:lang w:val="en-GB" w:eastAsia="en-US"/>
        </w:rPr>
        <w:t xml:space="preserve">statistically significant difference was not consistently observed across all approaches. For example, the time to </w:t>
      </w:r>
      <w:r w:rsidR="00825FEF" w:rsidRPr="00825FEF">
        <w:rPr>
          <w:lang w:val="en-GB" w:eastAsia="en-US"/>
        </w:rPr>
        <w:t>3-month confirmed disease progression (3mCDP)</w:t>
      </w:r>
      <w:r w:rsidRPr="00571F25">
        <w:rPr>
          <w:lang w:val="en-GB" w:eastAsia="en-US"/>
        </w:rPr>
        <w:t xml:space="preserve"> results using </w:t>
      </w:r>
      <w:r w:rsidR="00A35B11">
        <w:rPr>
          <w:lang w:val="en-GB" w:eastAsia="en-US"/>
        </w:rPr>
        <w:t xml:space="preserve">the </w:t>
      </w:r>
      <w:r w:rsidRPr="00571F25">
        <w:rPr>
          <w:lang w:val="en-GB" w:eastAsia="en-US"/>
        </w:rPr>
        <w:t xml:space="preserve">OR rather than </w:t>
      </w:r>
      <w:r w:rsidR="00A35B11">
        <w:rPr>
          <w:lang w:val="en-GB" w:eastAsia="en-US"/>
        </w:rPr>
        <w:t xml:space="preserve">the </w:t>
      </w:r>
      <w:r w:rsidRPr="00571F25">
        <w:rPr>
          <w:lang w:val="en-GB" w:eastAsia="en-US"/>
        </w:rPr>
        <w:t xml:space="preserve">HR </w:t>
      </w:r>
      <w:r w:rsidR="002337C1" w:rsidRPr="00571F25">
        <w:rPr>
          <w:lang w:val="en-GB" w:eastAsia="en-US"/>
        </w:rPr>
        <w:t xml:space="preserve">were not statistically significantly different between ofatumumab and fingolimod </w:t>
      </w:r>
      <w:r w:rsidRPr="00571F25">
        <w:rPr>
          <w:lang w:val="en-GB" w:eastAsia="en-US"/>
        </w:rPr>
        <w:t>(OR = 0.6</w:t>
      </w:r>
      <w:r w:rsidR="00A35B11">
        <w:rPr>
          <w:lang w:val="en-GB" w:eastAsia="en-US"/>
        </w:rPr>
        <w:t>7</w:t>
      </w:r>
      <w:r w:rsidRPr="00571F25">
        <w:rPr>
          <w:lang w:val="en-GB" w:eastAsia="en-US"/>
        </w:rPr>
        <w:t>, 95%</w:t>
      </w:r>
      <w:r w:rsidR="00A35B11">
        <w:rPr>
          <w:lang w:val="en-GB" w:eastAsia="en-US"/>
        </w:rPr>
        <w:t> </w:t>
      </w:r>
      <w:r w:rsidRPr="00571F25">
        <w:rPr>
          <w:lang w:val="en-GB" w:eastAsia="en-US"/>
        </w:rPr>
        <w:t>CI</w:t>
      </w:r>
      <w:r w:rsidR="00E3088F">
        <w:rPr>
          <w:lang w:val="en-GB" w:eastAsia="en-US"/>
        </w:rPr>
        <w:t>:</w:t>
      </w:r>
      <w:r w:rsidR="00A35B11">
        <w:rPr>
          <w:lang w:val="en-GB" w:eastAsia="en-US"/>
        </w:rPr>
        <w:t> </w:t>
      </w:r>
      <w:r w:rsidRPr="00571F25">
        <w:rPr>
          <w:lang w:val="en-GB" w:eastAsia="en-US"/>
        </w:rPr>
        <w:t>0.42, 1.06, p = 0.0</w:t>
      </w:r>
      <w:r w:rsidR="00A35B11">
        <w:rPr>
          <w:lang w:val="en-GB" w:eastAsia="en-US"/>
        </w:rPr>
        <w:t>9</w:t>
      </w:r>
      <w:r w:rsidR="002337C1">
        <w:rPr>
          <w:lang w:val="en-GB" w:eastAsia="en-US"/>
        </w:rPr>
        <w:t>, while HR = 0</w:t>
      </w:r>
      <w:r w:rsidR="002337C1" w:rsidRPr="002337C1">
        <w:rPr>
          <w:lang w:val="en-GB" w:eastAsia="en-US"/>
        </w:rPr>
        <w:t>.6</w:t>
      </w:r>
      <w:r w:rsidR="00A35B11">
        <w:rPr>
          <w:lang w:val="en-GB" w:eastAsia="en-US"/>
        </w:rPr>
        <w:t>4, 95% CI:</w:t>
      </w:r>
      <w:r w:rsidR="002337C1" w:rsidRPr="002337C1">
        <w:rPr>
          <w:lang w:val="en-GB" w:eastAsia="en-US"/>
        </w:rPr>
        <w:t xml:space="preserve"> 0.41, 0.98</w:t>
      </w:r>
      <w:r w:rsidR="00A35B11">
        <w:rPr>
          <w:lang w:val="en-GB" w:eastAsia="en-US"/>
        </w:rPr>
        <w:t>,</w:t>
      </w:r>
      <w:r w:rsidR="002337C1" w:rsidRPr="002337C1">
        <w:rPr>
          <w:lang w:val="en-GB" w:eastAsia="en-US"/>
        </w:rPr>
        <w:t xml:space="preserve"> p=0.04</w:t>
      </w:r>
      <w:r w:rsidRPr="00571F25">
        <w:rPr>
          <w:lang w:val="en-GB" w:eastAsia="en-US"/>
        </w:rPr>
        <w:t xml:space="preserve">). </w:t>
      </w:r>
      <w:r w:rsidR="0000535C">
        <w:rPr>
          <w:lang w:val="en-GB" w:eastAsia="en-US"/>
        </w:rPr>
        <w:t>In addition</w:t>
      </w:r>
      <w:r w:rsidRPr="00571F25">
        <w:rPr>
          <w:lang w:val="en-GB" w:eastAsia="en-US"/>
        </w:rPr>
        <w:t xml:space="preserve">, the proportion </w:t>
      </w:r>
      <w:r w:rsidR="00A72591">
        <w:rPr>
          <w:lang w:val="en-GB" w:eastAsia="en-US"/>
        </w:rPr>
        <w:t xml:space="preserve">of patients </w:t>
      </w:r>
      <w:r w:rsidR="00E321BA">
        <w:rPr>
          <w:lang w:val="en-GB" w:eastAsia="en-US"/>
        </w:rPr>
        <w:t xml:space="preserve">who were </w:t>
      </w:r>
      <w:r w:rsidRPr="00571F25">
        <w:rPr>
          <w:lang w:val="en-GB" w:eastAsia="en-US"/>
        </w:rPr>
        <w:t>relapse free</w:t>
      </w:r>
      <w:r w:rsidR="00A72591">
        <w:rPr>
          <w:lang w:val="en-GB" w:eastAsia="en-US"/>
        </w:rPr>
        <w:t xml:space="preserve"> </w:t>
      </w:r>
      <w:r w:rsidRPr="00571F25">
        <w:rPr>
          <w:lang w:val="en-GB" w:eastAsia="en-US"/>
        </w:rPr>
        <w:t>w</w:t>
      </w:r>
      <w:r w:rsidR="00A72591">
        <w:rPr>
          <w:lang w:val="en-GB" w:eastAsia="en-US"/>
        </w:rPr>
        <w:t>as</w:t>
      </w:r>
      <w:r w:rsidRPr="00571F25">
        <w:rPr>
          <w:lang w:val="en-GB" w:eastAsia="en-US"/>
        </w:rPr>
        <w:t xml:space="preserve"> not statistically significantly different between </w:t>
      </w:r>
      <w:r w:rsidRPr="00571F25">
        <w:rPr>
          <w:lang w:val="en-GB" w:eastAsia="en-US"/>
        </w:rPr>
        <w:lastRenderedPageBreak/>
        <w:t>ofatumumab and fingolimod based on results presented in the March 2021 ofatumumab submission</w:t>
      </w:r>
      <w:r w:rsidR="00A72591">
        <w:rPr>
          <w:lang w:val="en-GB" w:eastAsia="en-US"/>
        </w:rPr>
        <w:t xml:space="preserve"> </w:t>
      </w:r>
      <w:r w:rsidR="00A72591" w:rsidRPr="00571F25">
        <w:rPr>
          <w:lang w:val="en-GB" w:eastAsia="en-US"/>
        </w:rPr>
        <w:t>(OR = 1.498, 95% CI: 0.973, 2.</w:t>
      </w:r>
      <w:r w:rsidR="00A72591" w:rsidRPr="0099183D">
        <w:rPr>
          <w:lang w:val="en-GB" w:eastAsia="en-US"/>
        </w:rPr>
        <w:t>306; p-value = 0.0667)</w:t>
      </w:r>
      <w:r w:rsidRPr="0099183D">
        <w:rPr>
          <w:lang w:val="en-GB" w:eastAsia="en-US"/>
        </w:rPr>
        <w:t>.</w:t>
      </w:r>
    </w:p>
    <w:p w14:paraId="6124A896" w14:textId="73966984" w:rsidR="0099183D" w:rsidRPr="0099183D" w:rsidRDefault="00686F4A" w:rsidP="0099183D">
      <w:pPr>
        <w:pStyle w:val="3-BodyText"/>
        <w:rPr>
          <w:lang w:val="en-GB" w:eastAsia="en-US"/>
        </w:rPr>
      </w:pPr>
      <w:r w:rsidRPr="0099183D">
        <w:rPr>
          <w:lang w:val="en-GB" w:eastAsia="en-US"/>
        </w:rPr>
        <w:t xml:space="preserve">Overall, the PBAC considered that the claim that ofatumumab is superior </w:t>
      </w:r>
      <w:r w:rsidR="00E3088F">
        <w:rPr>
          <w:lang w:val="en-GB" w:eastAsia="en-US"/>
        </w:rPr>
        <w:t>to</w:t>
      </w:r>
      <w:r w:rsidR="00E321BA" w:rsidRPr="0099183D">
        <w:rPr>
          <w:lang w:val="en-GB" w:eastAsia="en-US"/>
        </w:rPr>
        <w:t xml:space="preserve"> fingolimod </w:t>
      </w:r>
      <w:r w:rsidRPr="0099183D">
        <w:rPr>
          <w:lang w:val="en-GB" w:eastAsia="en-US"/>
        </w:rPr>
        <w:t>in terms of clinical effectiveness was not adequately supported by the data.</w:t>
      </w:r>
      <w:r w:rsidR="0099183D" w:rsidRPr="0099183D">
        <w:rPr>
          <w:lang w:val="en-GB" w:eastAsia="en-US"/>
        </w:rPr>
        <w:t xml:space="preserve"> The PBAC recalled </w:t>
      </w:r>
      <w:r w:rsidR="001465DA">
        <w:rPr>
          <w:lang w:val="en-GB" w:eastAsia="en-US"/>
        </w:rPr>
        <w:t xml:space="preserve">that </w:t>
      </w:r>
      <w:r w:rsidR="0099183D" w:rsidRPr="0099183D">
        <w:rPr>
          <w:lang w:val="en-GB" w:eastAsia="en-US"/>
        </w:rPr>
        <w:t xml:space="preserve">ofatumumab was recommended </w:t>
      </w:r>
      <w:r w:rsidR="00D55FD4">
        <w:rPr>
          <w:lang w:val="en-GB" w:eastAsia="en-US"/>
        </w:rPr>
        <w:t xml:space="preserve">(in March 2021) </w:t>
      </w:r>
      <w:r w:rsidR="0099183D" w:rsidRPr="0099183D">
        <w:rPr>
          <w:lang w:val="en-GB" w:eastAsia="en-US"/>
        </w:rPr>
        <w:t xml:space="preserve">for listing on the basis </w:t>
      </w:r>
      <w:r w:rsidR="001465DA">
        <w:rPr>
          <w:lang w:val="en-GB" w:eastAsia="en-US"/>
        </w:rPr>
        <w:t>of</w:t>
      </w:r>
      <w:r w:rsidR="00D55FD4">
        <w:rPr>
          <w:lang w:val="en-GB" w:eastAsia="en-US"/>
        </w:rPr>
        <w:t xml:space="preserve"> </w:t>
      </w:r>
      <w:r w:rsidR="00D55FD4" w:rsidRPr="0099183D">
        <w:rPr>
          <w:lang w:val="en-GB" w:eastAsia="en-US"/>
        </w:rPr>
        <w:t>non-inferior</w:t>
      </w:r>
      <w:r w:rsidR="001465DA">
        <w:rPr>
          <w:lang w:val="en-GB" w:eastAsia="en-US"/>
        </w:rPr>
        <w:t>ity versus</w:t>
      </w:r>
      <w:r w:rsidR="0099183D" w:rsidRPr="0099183D">
        <w:rPr>
          <w:lang w:val="en-GB" w:eastAsia="en-US"/>
        </w:rPr>
        <w:t xml:space="preserve"> fingolimod</w:t>
      </w:r>
      <w:r w:rsidR="00D55FD4">
        <w:rPr>
          <w:lang w:val="en-GB" w:eastAsia="en-US"/>
        </w:rPr>
        <w:t xml:space="preserve"> and considered that the additional analyses presented in the submission were not sufficient to support a change to this previous conclusion. </w:t>
      </w:r>
    </w:p>
    <w:p w14:paraId="323326C7" w14:textId="0D9ABE85" w:rsidR="00E77798" w:rsidRPr="00E77798" w:rsidRDefault="00571F25" w:rsidP="00E77798">
      <w:pPr>
        <w:pStyle w:val="3-BodyText"/>
        <w:rPr>
          <w:lang w:val="en-GB" w:eastAsia="en-US"/>
        </w:rPr>
      </w:pPr>
      <w:r w:rsidRPr="0099183D">
        <w:rPr>
          <w:lang w:val="en-GB" w:eastAsia="en-US"/>
        </w:rPr>
        <w:t>In addition,</w:t>
      </w:r>
      <w:r w:rsidR="00E77798" w:rsidRPr="0099183D">
        <w:rPr>
          <w:lang w:val="en-GB" w:eastAsia="en-US"/>
        </w:rPr>
        <w:t xml:space="preserve"> the PBAC considered that the proposed classification of ofatumumab, alemtuzumab, ocrelizumab and natalizumab as ‘high-efficacy tier’ DMTs and fingolimod, cladribine and ozanimod</w:t>
      </w:r>
      <w:r w:rsidR="00E77798" w:rsidRPr="00E77798">
        <w:rPr>
          <w:lang w:val="en-GB" w:eastAsia="en-US"/>
        </w:rPr>
        <w:t xml:space="preserve"> as ‘mid-efficacy</w:t>
      </w:r>
      <w:r w:rsidR="00416916">
        <w:rPr>
          <w:lang w:val="en-GB" w:eastAsia="en-US"/>
        </w:rPr>
        <w:t xml:space="preserve"> tier</w:t>
      </w:r>
      <w:r w:rsidR="00E77798" w:rsidRPr="00E77798">
        <w:rPr>
          <w:lang w:val="en-GB" w:eastAsia="en-US"/>
        </w:rPr>
        <w:t xml:space="preserve">’ DMTs appeared arbitrary. </w:t>
      </w:r>
      <w:r w:rsidR="00193BB8">
        <w:rPr>
          <w:lang w:val="en-GB" w:eastAsia="en-US"/>
        </w:rPr>
        <w:t>The PBAC considered that i</w:t>
      </w:r>
      <w:r w:rsidR="00E77798" w:rsidRPr="00E77798">
        <w:rPr>
          <w:lang w:val="en-GB" w:eastAsia="en-US"/>
        </w:rPr>
        <w:t xml:space="preserve">t was unclear why the top five drugs (i.e. with highest efficacy for the outcome of </w:t>
      </w:r>
      <w:r w:rsidR="00825FEF" w:rsidRPr="000A07E8">
        <w:t>annualised relapse rate</w:t>
      </w:r>
      <w:r w:rsidR="00825FEF">
        <w:t xml:space="preserve"> (</w:t>
      </w:r>
      <w:r w:rsidR="00825FEF" w:rsidRPr="00E77798">
        <w:rPr>
          <w:lang w:val="en-GB" w:eastAsia="en-US"/>
        </w:rPr>
        <w:t>ARR</w:t>
      </w:r>
      <w:r w:rsidR="00825FEF">
        <w:rPr>
          <w:lang w:val="en-GB" w:eastAsia="en-US"/>
        </w:rPr>
        <w:t xml:space="preserve">)) </w:t>
      </w:r>
      <w:r w:rsidR="00E77798" w:rsidRPr="00E77798">
        <w:rPr>
          <w:lang w:val="en-GB" w:eastAsia="en-US"/>
        </w:rPr>
        <w:t xml:space="preserve">in the Samjoo 2023 network meta-analysis were allocated to the high-efficacy tier, noting fingolimod was ‘ranked’ sixth. Further, the </w:t>
      </w:r>
      <w:r w:rsidR="00825FEF" w:rsidRPr="00E77798">
        <w:rPr>
          <w:lang w:val="en-GB" w:eastAsia="en-US"/>
        </w:rPr>
        <w:t xml:space="preserve">ARR </w:t>
      </w:r>
      <w:r w:rsidR="00E77798" w:rsidRPr="00E77798">
        <w:rPr>
          <w:lang w:val="en-GB" w:eastAsia="en-US"/>
        </w:rPr>
        <w:t xml:space="preserve">results for ofatumumab </w:t>
      </w:r>
      <w:r w:rsidR="00825FEF" w:rsidRPr="00E77798">
        <w:rPr>
          <w:lang w:val="en-GB" w:eastAsia="en-US"/>
        </w:rPr>
        <w:t xml:space="preserve">versus placebo </w:t>
      </w:r>
      <w:r w:rsidR="00825FEF">
        <w:rPr>
          <w:lang w:val="en-GB" w:eastAsia="en-US"/>
        </w:rPr>
        <w:t>were similar to those for f</w:t>
      </w:r>
      <w:r w:rsidR="00E77798" w:rsidRPr="00E77798">
        <w:rPr>
          <w:lang w:val="en-GB" w:eastAsia="en-US"/>
        </w:rPr>
        <w:t xml:space="preserve">ingolimod </w:t>
      </w:r>
      <w:r w:rsidR="00825FEF" w:rsidRPr="00E77798">
        <w:rPr>
          <w:lang w:val="en-GB" w:eastAsia="en-US"/>
        </w:rPr>
        <w:t xml:space="preserve">versus placebo </w:t>
      </w:r>
      <w:r w:rsidR="00193BB8">
        <w:rPr>
          <w:lang w:val="en-GB" w:eastAsia="en-US"/>
        </w:rPr>
        <w:t xml:space="preserve">with overlapping 95% confidence intervals </w:t>
      </w:r>
      <w:r w:rsidR="00E77798" w:rsidRPr="00E77798">
        <w:rPr>
          <w:lang w:val="en-GB" w:eastAsia="en-US"/>
        </w:rPr>
        <w:t xml:space="preserve">(ofatumumab </w:t>
      </w:r>
      <w:r w:rsidR="005823F6">
        <w:rPr>
          <w:lang w:val="en-GB" w:eastAsia="en-US"/>
        </w:rPr>
        <w:t xml:space="preserve">RR: </w:t>
      </w:r>
      <w:r w:rsidR="00E77798" w:rsidRPr="00E77798">
        <w:rPr>
          <w:lang w:val="en-GB" w:eastAsia="en-US"/>
        </w:rPr>
        <w:t>0.30 (95% CI: 0.22, 0.41); fingolimod</w:t>
      </w:r>
      <w:r w:rsidR="005823F6">
        <w:rPr>
          <w:lang w:val="en-GB" w:eastAsia="en-US"/>
        </w:rPr>
        <w:t xml:space="preserve"> RR:</w:t>
      </w:r>
      <w:r w:rsidR="00E77798" w:rsidRPr="00E77798">
        <w:rPr>
          <w:lang w:val="en-GB" w:eastAsia="en-US"/>
        </w:rPr>
        <w:t xml:space="preserve"> 0.42 (95% CI 0.35, 0.50).</w:t>
      </w:r>
      <w:r w:rsidR="00193BB8">
        <w:rPr>
          <w:lang w:val="en-GB" w:eastAsia="en-US"/>
        </w:rPr>
        <w:t xml:space="preserve"> Overall, the PBAC considered the proposed new high- and mid-efficacy tiers were not </w:t>
      </w:r>
      <w:r>
        <w:rPr>
          <w:lang w:val="en-GB" w:eastAsia="en-US"/>
        </w:rPr>
        <w:t>adequately supported by the evidence presented</w:t>
      </w:r>
      <w:r w:rsidR="00193BB8">
        <w:rPr>
          <w:lang w:val="en-GB" w:eastAsia="en-US"/>
        </w:rPr>
        <w:t xml:space="preserve">. </w:t>
      </w:r>
    </w:p>
    <w:p w14:paraId="020B028F" w14:textId="3B213076" w:rsidR="00890451" w:rsidRPr="00670CF9" w:rsidRDefault="00686F4A" w:rsidP="00890451">
      <w:pPr>
        <w:pStyle w:val="3-BodyText"/>
        <w:rPr>
          <w:lang w:val="en-GB" w:eastAsia="en-US"/>
        </w:rPr>
      </w:pPr>
      <w:r w:rsidRPr="00686F4A">
        <w:rPr>
          <w:lang w:val="en-GB" w:eastAsia="en-US"/>
        </w:rPr>
        <w:t xml:space="preserve">The PBAC </w:t>
      </w:r>
      <w:r>
        <w:rPr>
          <w:lang w:val="en-GB" w:eastAsia="en-US"/>
        </w:rPr>
        <w:t xml:space="preserve">recalled that it </w:t>
      </w:r>
      <w:r w:rsidRPr="00686F4A">
        <w:rPr>
          <w:lang w:val="en-GB" w:eastAsia="en-US"/>
        </w:rPr>
        <w:t xml:space="preserve">had previously considered that “the overall adverse event profile [of ofatumumab] was likely comparable to that of any of the other higher tier agents </w:t>
      </w:r>
      <w:r>
        <w:rPr>
          <w:lang w:val="en-GB" w:eastAsia="en-US"/>
        </w:rPr>
        <w:t>[</w:t>
      </w:r>
      <w:r w:rsidRPr="00686F4A">
        <w:rPr>
          <w:lang w:val="en-GB" w:eastAsia="en-US"/>
        </w:rPr>
        <w:t>fingolimod, natalizumab, ocrelizumab and cladribine</w:t>
      </w:r>
      <w:r>
        <w:rPr>
          <w:lang w:val="en-GB" w:eastAsia="en-US"/>
        </w:rPr>
        <w:t xml:space="preserve">] </w:t>
      </w:r>
      <w:r w:rsidRPr="00686F4A">
        <w:rPr>
          <w:lang w:val="en-GB" w:eastAsia="en-US"/>
        </w:rPr>
        <w:t>and that there were no specific signals which would indicate ofatumumab is of inferior safety to these therapies</w:t>
      </w:r>
      <w:r>
        <w:rPr>
          <w:lang w:val="en-GB" w:eastAsia="en-US"/>
        </w:rPr>
        <w:t>”</w:t>
      </w:r>
      <w:r w:rsidRPr="00686F4A">
        <w:rPr>
          <w:lang w:val="en-GB" w:eastAsia="en-US"/>
        </w:rPr>
        <w:t xml:space="preserve"> (paragraph 7.9, ofatumumab PSD, March 2021 PBAC meeting).</w:t>
      </w:r>
      <w:r w:rsidR="00670CF9" w:rsidRPr="00670CF9">
        <w:rPr>
          <w:lang w:val="en-GB" w:eastAsia="en-US"/>
        </w:rPr>
        <w:t xml:space="preserve"> </w:t>
      </w:r>
      <w:r w:rsidR="00670CF9">
        <w:rPr>
          <w:lang w:val="en-GB" w:eastAsia="en-US"/>
        </w:rPr>
        <w:t>Consistent with this previous consideration of ofatumumab, t</w:t>
      </w:r>
      <w:r w:rsidR="00890451" w:rsidRPr="00890451">
        <w:rPr>
          <w:lang w:val="en-GB" w:eastAsia="en-US"/>
        </w:rPr>
        <w:t xml:space="preserve">he PBAC considered that the </w:t>
      </w:r>
      <w:r w:rsidR="00890451">
        <w:rPr>
          <w:lang w:val="en-GB" w:eastAsia="en-US"/>
        </w:rPr>
        <w:t xml:space="preserve">submission’s </w:t>
      </w:r>
      <w:r w:rsidR="00890451" w:rsidRPr="00890451">
        <w:rPr>
          <w:lang w:val="en-GB" w:eastAsia="en-US"/>
        </w:rPr>
        <w:t xml:space="preserve">claim </w:t>
      </w:r>
      <w:r w:rsidR="00890451">
        <w:rPr>
          <w:lang w:val="en-GB" w:eastAsia="en-US"/>
        </w:rPr>
        <w:t xml:space="preserve">that ofatumumab has a different but </w:t>
      </w:r>
      <w:r w:rsidR="00890451" w:rsidRPr="00890451">
        <w:rPr>
          <w:lang w:val="en-GB" w:eastAsia="en-US"/>
        </w:rPr>
        <w:t>non-inferior safety</w:t>
      </w:r>
      <w:r w:rsidR="00890451">
        <w:rPr>
          <w:lang w:val="en-GB" w:eastAsia="en-US"/>
        </w:rPr>
        <w:t xml:space="preserve"> profile </w:t>
      </w:r>
      <w:r w:rsidR="00E3088F">
        <w:rPr>
          <w:lang w:val="en-GB" w:eastAsia="en-US"/>
        </w:rPr>
        <w:t>versus</w:t>
      </w:r>
      <w:r w:rsidR="00890451" w:rsidRPr="00670CF9">
        <w:rPr>
          <w:lang w:val="en-GB" w:eastAsia="en-US"/>
        </w:rPr>
        <w:t xml:space="preserve"> fingolimod was reasonable.</w:t>
      </w:r>
    </w:p>
    <w:p w14:paraId="661830A1" w14:textId="7A62482F" w:rsidR="00193BB8" w:rsidRPr="00670CF9" w:rsidRDefault="00193BB8" w:rsidP="00825FEF">
      <w:pPr>
        <w:widowControl w:val="0"/>
        <w:numPr>
          <w:ilvl w:val="1"/>
          <w:numId w:val="1"/>
        </w:numPr>
        <w:spacing w:after="120"/>
        <w:rPr>
          <w:rFonts w:asciiTheme="minorHAnsi" w:hAnsiTheme="minorHAnsi"/>
          <w:snapToGrid w:val="0"/>
          <w:lang w:val="en-GB" w:eastAsia="en-US"/>
        </w:rPr>
      </w:pPr>
      <w:r w:rsidRPr="00670CF9">
        <w:rPr>
          <w:rFonts w:asciiTheme="minorHAnsi" w:hAnsiTheme="minorHAnsi"/>
          <w:snapToGrid w:val="0"/>
          <w:lang w:val="en-GB" w:eastAsia="en-US"/>
        </w:rPr>
        <w:t xml:space="preserve">The </w:t>
      </w:r>
      <w:r w:rsidR="006E0D42">
        <w:rPr>
          <w:rFonts w:asciiTheme="minorHAnsi" w:hAnsiTheme="minorHAnsi"/>
          <w:snapToGrid w:val="0"/>
          <w:lang w:val="en-GB" w:eastAsia="en-US"/>
        </w:rPr>
        <w:t xml:space="preserve">submission presented a </w:t>
      </w:r>
      <w:r w:rsidR="006E0D42" w:rsidRPr="00670CF9">
        <w:rPr>
          <w:rFonts w:asciiTheme="minorHAnsi" w:hAnsiTheme="minorHAnsi"/>
          <w:snapToGrid w:val="0"/>
          <w:lang w:val="en-GB" w:eastAsia="en-US"/>
        </w:rPr>
        <w:t xml:space="preserve">cost-utility analysis </w:t>
      </w:r>
      <w:r w:rsidR="006E0D42">
        <w:rPr>
          <w:rFonts w:asciiTheme="minorHAnsi" w:hAnsiTheme="minorHAnsi"/>
          <w:snapToGrid w:val="0"/>
          <w:lang w:val="en-GB" w:eastAsia="en-US"/>
        </w:rPr>
        <w:t xml:space="preserve">for ofatumumab versus fingolimod. However, the PBAC </w:t>
      </w:r>
      <w:r w:rsidRPr="00670CF9">
        <w:rPr>
          <w:rFonts w:asciiTheme="minorHAnsi" w:hAnsiTheme="minorHAnsi"/>
          <w:snapToGrid w:val="0"/>
          <w:lang w:val="en-GB" w:eastAsia="en-US"/>
        </w:rPr>
        <w:t xml:space="preserve">considered </w:t>
      </w:r>
      <w:r w:rsidR="00A35B11">
        <w:rPr>
          <w:rFonts w:asciiTheme="minorHAnsi" w:hAnsiTheme="minorHAnsi"/>
          <w:snapToGrid w:val="0"/>
          <w:lang w:val="en-GB" w:eastAsia="en-US"/>
        </w:rPr>
        <w:t>this</w:t>
      </w:r>
      <w:r w:rsidR="00825FEF">
        <w:rPr>
          <w:rFonts w:asciiTheme="minorHAnsi" w:hAnsiTheme="minorHAnsi"/>
          <w:snapToGrid w:val="0"/>
          <w:lang w:val="en-GB" w:eastAsia="en-US"/>
        </w:rPr>
        <w:t xml:space="preserve"> was not </w:t>
      </w:r>
      <w:r w:rsidR="0021315B">
        <w:rPr>
          <w:rFonts w:asciiTheme="minorHAnsi" w:hAnsiTheme="minorHAnsi"/>
          <w:snapToGrid w:val="0"/>
          <w:lang w:val="en-GB" w:eastAsia="en-US"/>
        </w:rPr>
        <w:t>informative</w:t>
      </w:r>
      <w:r w:rsidRPr="00670CF9">
        <w:rPr>
          <w:rFonts w:asciiTheme="minorHAnsi" w:hAnsiTheme="minorHAnsi"/>
          <w:snapToGrid w:val="0"/>
          <w:lang w:val="en-GB" w:eastAsia="en-US"/>
        </w:rPr>
        <w:t xml:space="preserve"> given the claim of superior</w:t>
      </w:r>
      <w:r w:rsidR="00670CF9">
        <w:rPr>
          <w:rFonts w:asciiTheme="minorHAnsi" w:hAnsiTheme="minorHAnsi"/>
          <w:snapToGrid w:val="0"/>
          <w:lang w:val="en-GB" w:eastAsia="en-US"/>
        </w:rPr>
        <w:t xml:space="preserve"> comparative efficacy</w:t>
      </w:r>
      <w:r w:rsidRPr="00670CF9">
        <w:rPr>
          <w:rFonts w:asciiTheme="minorHAnsi" w:hAnsiTheme="minorHAnsi"/>
          <w:snapToGrid w:val="0"/>
          <w:lang w:val="en-GB" w:eastAsia="en-US"/>
        </w:rPr>
        <w:t xml:space="preserve"> was not </w:t>
      </w:r>
      <w:r w:rsidR="00670CF9" w:rsidRPr="00670CF9">
        <w:rPr>
          <w:rFonts w:asciiTheme="minorHAnsi" w:hAnsiTheme="minorHAnsi"/>
          <w:snapToGrid w:val="0"/>
          <w:lang w:val="en-GB" w:eastAsia="en-US"/>
        </w:rPr>
        <w:t xml:space="preserve">adequately </w:t>
      </w:r>
      <w:r w:rsidRPr="00670CF9">
        <w:rPr>
          <w:rFonts w:asciiTheme="minorHAnsi" w:hAnsiTheme="minorHAnsi"/>
          <w:snapToGrid w:val="0"/>
          <w:lang w:val="en-GB" w:eastAsia="en-US"/>
        </w:rPr>
        <w:t xml:space="preserve">supported. </w:t>
      </w:r>
    </w:p>
    <w:p w14:paraId="54EA0D43" w14:textId="381399AC" w:rsidR="00A81726" w:rsidRDefault="005823F6" w:rsidP="00193BB8">
      <w:pPr>
        <w:pStyle w:val="3-BodyText"/>
        <w:rPr>
          <w:lang w:val="en-GB" w:eastAsia="en-US"/>
        </w:rPr>
      </w:pPr>
      <w:r>
        <w:rPr>
          <w:lang w:val="en-GB" w:eastAsia="en-US"/>
        </w:rPr>
        <w:t>Further</w:t>
      </w:r>
      <w:r w:rsidR="00193BB8" w:rsidRPr="00670CF9">
        <w:rPr>
          <w:lang w:val="en-GB" w:eastAsia="en-US"/>
        </w:rPr>
        <w:t xml:space="preserve">, the PBAC noted and agreed with the </w:t>
      </w:r>
      <w:r w:rsidR="00825FEF">
        <w:rPr>
          <w:lang w:val="en-GB" w:eastAsia="en-US"/>
        </w:rPr>
        <w:t xml:space="preserve">other </w:t>
      </w:r>
      <w:r w:rsidR="00193BB8" w:rsidRPr="00670CF9">
        <w:rPr>
          <w:lang w:val="en-GB" w:eastAsia="en-US"/>
        </w:rPr>
        <w:t xml:space="preserve">issues with the economic model that were raised by the </w:t>
      </w:r>
      <w:r w:rsidR="00FF3C59">
        <w:rPr>
          <w:lang w:val="en-GB" w:eastAsia="en-US"/>
        </w:rPr>
        <w:t xml:space="preserve">evaluation and the </w:t>
      </w:r>
      <w:r w:rsidR="00193BB8" w:rsidRPr="00670CF9">
        <w:rPr>
          <w:lang w:val="en-GB" w:eastAsia="en-US"/>
        </w:rPr>
        <w:t>ESC</w:t>
      </w:r>
      <w:r w:rsidR="00A81726">
        <w:rPr>
          <w:lang w:val="en-GB" w:eastAsia="en-US"/>
        </w:rPr>
        <w:t xml:space="preserve"> in </w:t>
      </w:r>
      <w:r w:rsidR="004F5B8B">
        <w:rPr>
          <w:lang w:val="en-GB" w:eastAsia="en-US"/>
        </w:rPr>
        <w:t>p</w:t>
      </w:r>
      <w:r w:rsidR="00FE2633">
        <w:rPr>
          <w:lang w:val="en-GB" w:eastAsia="en-US"/>
        </w:rPr>
        <w:t xml:space="preserve">aragraph </w:t>
      </w:r>
      <w:r w:rsidR="00FE2633">
        <w:rPr>
          <w:lang w:val="en-GB" w:eastAsia="en-US"/>
        </w:rPr>
        <w:fldChar w:fldCharType="begin" w:fldLock="1"/>
      </w:r>
      <w:r w:rsidR="00FE2633">
        <w:rPr>
          <w:lang w:val="en-GB" w:eastAsia="en-US"/>
        </w:rPr>
        <w:instrText xml:space="preserve"> REF _Ref159502753 \r \h </w:instrText>
      </w:r>
      <w:r w:rsidR="00FE2633">
        <w:rPr>
          <w:lang w:val="en-GB" w:eastAsia="en-US"/>
        </w:rPr>
      </w:r>
      <w:r w:rsidR="00FE2633">
        <w:rPr>
          <w:lang w:val="en-GB" w:eastAsia="en-US"/>
        </w:rPr>
        <w:fldChar w:fldCharType="separate"/>
      </w:r>
      <w:r w:rsidR="00416916">
        <w:rPr>
          <w:lang w:val="en-GB" w:eastAsia="en-US"/>
        </w:rPr>
        <w:t>6.79</w:t>
      </w:r>
      <w:r w:rsidR="00FE2633">
        <w:rPr>
          <w:lang w:val="en-GB" w:eastAsia="en-US"/>
        </w:rPr>
        <w:fldChar w:fldCharType="end"/>
      </w:r>
      <w:r w:rsidR="00A81726">
        <w:rPr>
          <w:lang w:val="en-GB" w:eastAsia="en-US"/>
        </w:rPr>
        <w:t xml:space="preserve">. </w:t>
      </w:r>
      <w:r w:rsidR="00FE2633">
        <w:rPr>
          <w:lang w:val="en-GB" w:eastAsia="en-US"/>
        </w:rPr>
        <w:t>While</w:t>
      </w:r>
      <w:r w:rsidR="00FF3C59">
        <w:rPr>
          <w:lang w:val="en-GB" w:eastAsia="en-US"/>
        </w:rPr>
        <w:t xml:space="preserve"> t</w:t>
      </w:r>
      <w:r w:rsidR="00A81726" w:rsidRPr="00A81726">
        <w:rPr>
          <w:lang w:val="en-GB" w:eastAsia="en-US"/>
        </w:rPr>
        <w:t xml:space="preserve">he pre-PBAC response stated that some of the key issues raised by </w:t>
      </w:r>
      <w:r w:rsidR="00E3088F">
        <w:rPr>
          <w:lang w:val="en-GB" w:eastAsia="en-US"/>
        </w:rPr>
        <w:t xml:space="preserve">the </w:t>
      </w:r>
      <w:r w:rsidR="00A81726" w:rsidRPr="00A81726">
        <w:rPr>
          <w:lang w:val="en-GB" w:eastAsia="en-US"/>
        </w:rPr>
        <w:t xml:space="preserve">ESC </w:t>
      </w:r>
      <w:r w:rsidR="00FE2633">
        <w:rPr>
          <w:lang w:val="en-GB" w:eastAsia="en-US"/>
        </w:rPr>
        <w:t>had been</w:t>
      </w:r>
      <w:r w:rsidR="00FF3C59" w:rsidRPr="00A81726">
        <w:rPr>
          <w:lang w:val="en-GB" w:eastAsia="en-US"/>
        </w:rPr>
        <w:t xml:space="preserve"> tested in sensitivity analyses </w:t>
      </w:r>
      <w:r w:rsidR="00A81726" w:rsidRPr="00A81726">
        <w:rPr>
          <w:lang w:val="en-GB" w:eastAsia="en-US"/>
        </w:rPr>
        <w:t>(e.g. use of subsequent DMT treatments, and the number of ofatumumab doses)</w:t>
      </w:r>
      <w:r w:rsidR="00FE2633">
        <w:rPr>
          <w:lang w:val="en-GB" w:eastAsia="en-US"/>
        </w:rPr>
        <w:t xml:space="preserve">, </w:t>
      </w:r>
      <w:r w:rsidR="00A81726" w:rsidRPr="00A81726">
        <w:rPr>
          <w:lang w:val="en-GB" w:eastAsia="en-US"/>
        </w:rPr>
        <w:t xml:space="preserve">the PBAC considered that there were other substantial issues that were not </w:t>
      </w:r>
      <w:r w:rsidR="00FF3C59">
        <w:rPr>
          <w:lang w:val="en-GB" w:eastAsia="en-US"/>
        </w:rPr>
        <w:t xml:space="preserve">able to be tested in </w:t>
      </w:r>
      <w:r w:rsidR="00A81726" w:rsidRPr="00A81726">
        <w:rPr>
          <w:lang w:val="en-GB" w:eastAsia="en-US"/>
        </w:rPr>
        <w:t>sensitivity analyses (e.g. some of the transition probabilities applied in the model appeared to be outdated/did not reflect clinical practice)</w:t>
      </w:r>
      <w:r w:rsidR="00FE2633">
        <w:rPr>
          <w:lang w:val="en-GB" w:eastAsia="en-US"/>
        </w:rPr>
        <w:t>. F</w:t>
      </w:r>
      <w:r w:rsidR="00FF3C59">
        <w:rPr>
          <w:lang w:val="en-GB" w:eastAsia="en-US"/>
        </w:rPr>
        <w:t>urther</w:t>
      </w:r>
      <w:r w:rsidR="004F5B8B">
        <w:rPr>
          <w:lang w:val="en-GB" w:eastAsia="en-US"/>
        </w:rPr>
        <w:t>,</w:t>
      </w:r>
      <w:r w:rsidR="00FF3C59">
        <w:rPr>
          <w:lang w:val="en-GB" w:eastAsia="en-US"/>
        </w:rPr>
        <w:t xml:space="preserve"> the </w:t>
      </w:r>
      <w:r w:rsidR="004F5B8B">
        <w:rPr>
          <w:lang w:val="en-GB" w:eastAsia="en-US"/>
        </w:rPr>
        <w:t xml:space="preserve">PBAC considered the </w:t>
      </w:r>
      <w:r w:rsidR="00FF3C59">
        <w:rPr>
          <w:lang w:val="en-GB" w:eastAsia="en-US"/>
        </w:rPr>
        <w:t>uncertainties with the clinical data were highlighted by a</w:t>
      </w:r>
      <w:r w:rsidR="00A81726" w:rsidRPr="00A81726">
        <w:rPr>
          <w:lang w:val="en-GB" w:eastAsia="en-US"/>
        </w:rPr>
        <w:t xml:space="preserve"> sensitivity analysis </w:t>
      </w:r>
      <w:r w:rsidR="00FF3C59">
        <w:rPr>
          <w:lang w:val="en-GB" w:eastAsia="en-US"/>
        </w:rPr>
        <w:t xml:space="preserve">that </w:t>
      </w:r>
      <w:r w:rsidR="00A81726" w:rsidRPr="00A81726">
        <w:rPr>
          <w:lang w:val="en-GB" w:eastAsia="en-US"/>
        </w:rPr>
        <w:t>result</w:t>
      </w:r>
      <w:r w:rsidR="00FF3C59">
        <w:rPr>
          <w:lang w:val="en-GB" w:eastAsia="en-US"/>
        </w:rPr>
        <w:t>ed</w:t>
      </w:r>
      <w:r w:rsidR="00A81726" w:rsidRPr="00A81726">
        <w:rPr>
          <w:lang w:val="en-GB" w:eastAsia="en-US"/>
        </w:rPr>
        <w:t xml:space="preserve"> in fingolimod becoming dominant (</w:t>
      </w:r>
      <w:r w:rsidR="00FF3C59">
        <w:rPr>
          <w:lang w:val="en-GB" w:eastAsia="en-US"/>
        </w:rPr>
        <w:t xml:space="preserve">when the </w:t>
      </w:r>
      <w:r w:rsidR="00A81726" w:rsidRPr="00A81726">
        <w:rPr>
          <w:lang w:val="en-GB" w:eastAsia="en-US"/>
        </w:rPr>
        <w:t>trial-based upper/lower bounds of the 95% confidence intervals</w:t>
      </w:r>
      <w:r w:rsidR="00FF3C59">
        <w:rPr>
          <w:lang w:val="en-GB" w:eastAsia="en-US"/>
        </w:rPr>
        <w:t xml:space="preserve"> were used</w:t>
      </w:r>
      <w:r w:rsidR="00A81726" w:rsidRPr="00A81726">
        <w:rPr>
          <w:lang w:val="en-GB" w:eastAsia="en-US"/>
        </w:rPr>
        <w:t>)</w:t>
      </w:r>
      <w:r w:rsidR="00FE2633">
        <w:rPr>
          <w:lang w:val="en-GB" w:eastAsia="en-US"/>
        </w:rPr>
        <w:t>.</w:t>
      </w:r>
    </w:p>
    <w:p w14:paraId="0C7A58FC" w14:textId="0E7A5AE0" w:rsidR="00E77798" w:rsidRDefault="00E77798" w:rsidP="00E631E8">
      <w:pPr>
        <w:widowControl w:val="0"/>
        <w:numPr>
          <w:ilvl w:val="1"/>
          <w:numId w:val="1"/>
        </w:numPr>
        <w:spacing w:after="120"/>
        <w:rPr>
          <w:rFonts w:asciiTheme="minorHAnsi" w:hAnsiTheme="minorHAnsi"/>
          <w:bCs/>
          <w:snapToGrid w:val="0"/>
          <w:lang w:val="en-GB" w:eastAsia="en-US"/>
        </w:rPr>
      </w:pPr>
      <w:r w:rsidRPr="00E77798">
        <w:rPr>
          <w:rFonts w:asciiTheme="minorHAnsi" w:hAnsiTheme="minorHAnsi"/>
          <w:bCs/>
          <w:snapToGrid w:val="0"/>
          <w:lang w:val="en-GB" w:eastAsia="en-US"/>
        </w:rPr>
        <w:lastRenderedPageBreak/>
        <w:t>The PBAC noted that this submission is not eligible for an Independent Review as it was not seeking a change to the listing that includes a new indication, objectively different subtype of disease or new population.</w:t>
      </w:r>
    </w:p>
    <w:p w14:paraId="5988084C" w14:textId="77777777" w:rsidR="00DD640C" w:rsidRPr="00525B39" w:rsidRDefault="00DD640C" w:rsidP="00DD640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2203EC10" w14:textId="5F697FC5" w:rsidR="00F67385" w:rsidRPr="004D4DA4" w:rsidRDefault="00DD640C" w:rsidP="004D4DA4">
      <w:pPr>
        <w:rPr>
          <w:bCs/>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0B83F5F6" w14:textId="2208BA41" w:rsidR="00F67385" w:rsidRPr="00061CBE" w:rsidRDefault="00F67385" w:rsidP="00F67385">
      <w:pPr>
        <w:pStyle w:val="2-SectionHeading"/>
        <w:numPr>
          <w:ilvl w:val="0"/>
          <w:numId w:val="0"/>
        </w:numPr>
        <w:ind w:left="720" w:hanging="720"/>
        <w:rPr>
          <w:lang w:val="en-GB"/>
        </w:rPr>
      </w:pPr>
      <w:r>
        <w:t>8</w:t>
      </w:r>
      <w:r w:rsidRPr="00061CBE">
        <w:tab/>
        <w:t>Context for Decision</w:t>
      </w:r>
    </w:p>
    <w:p w14:paraId="607F912B" w14:textId="77777777" w:rsidR="00F67385" w:rsidRPr="00061CBE" w:rsidRDefault="00F67385" w:rsidP="00F67385">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8F0FE4F" w14:textId="5B7BC077" w:rsidR="00F67385" w:rsidRPr="00061CBE" w:rsidRDefault="00F67385" w:rsidP="00F67385">
      <w:pPr>
        <w:pStyle w:val="2-SectionHeading"/>
        <w:numPr>
          <w:ilvl w:val="0"/>
          <w:numId w:val="0"/>
        </w:numPr>
        <w:ind w:left="720" w:hanging="720"/>
      </w:pPr>
      <w:r>
        <w:t>9</w:t>
      </w:r>
      <w:r w:rsidRPr="00061CBE">
        <w:tab/>
        <w:t>Sponsor’s Comment</w:t>
      </w:r>
    </w:p>
    <w:p w14:paraId="19F502FF" w14:textId="77777777" w:rsidR="00F67385" w:rsidRDefault="00F67385" w:rsidP="00F67385">
      <w:pPr>
        <w:ind w:firstLine="720"/>
        <w:rPr>
          <w:bCs/>
        </w:rPr>
      </w:pPr>
      <w:r w:rsidRPr="00061CBE">
        <w:rPr>
          <w:bCs/>
        </w:rPr>
        <w:t>The sponsor had no comment.</w:t>
      </w:r>
    </w:p>
    <w:p w14:paraId="46500140" w14:textId="77777777" w:rsidR="00DD640C" w:rsidRDefault="00DD640C" w:rsidP="00DD640C">
      <w:pPr>
        <w:tabs>
          <w:tab w:val="left" w:pos="1080"/>
        </w:tabs>
        <w:autoSpaceDE w:val="0"/>
        <w:autoSpaceDN w:val="0"/>
        <w:adjustRightInd w:val="0"/>
        <w:rPr>
          <w:rFonts w:asciiTheme="minorHAnsi" w:hAnsiTheme="minorHAnsi" w:cstheme="minorHAnsi"/>
        </w:rPr>
      </w:pPr>
    </w:p>
    <w:sectPr w:rsidR="00DD640C" w:rsidSect="00F9193A">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A470" w14:textId="77777777" w:rsidR="00B06A96" w:rsidRDefault="00B06A96" w:rsidP="00124A51">
      <w:r>
        <w:separator/>
      </w:r>
    </w:p>
    <w:p w14:paraId="35DE56E6" w14:textId="77777777" w:rsidR="00B06A96" w:rsidRDefault="00B06A96"/>
  </w:endnote>
  <w:endnote w:type="continuationSeparator" w:id="0">
    <w:p w14:paraId="181D9883" w14:textId="77777777" w:rsidR="00B06A96" w:rsidRDefault="00B06A96" w:rsidP="00124A51">
      <w:r>
        <w:continuationSeparator/>
      </w:r>
    </w:p>
    <w:p w14:paraId="427085B9" w14:textId="77777777" w:rsidR="00B06A96" w:rsidRDefault="00B06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abon">
    <w:altName w:val="Constantia"/>
    <w:charset w:val="00"/>
    <w:family w:val="roman"/>
    <w:pitch w:val="variable"/>
    <w:sig w:usb0="00000001"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66AE1" w14:textId="77777777" w:rsidR="000B1AE2" w:rsidRDefault="000B1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C2AD1" w14:textId="77777777" w:rsidR="00C814BC" w:rsidRDefault="00C814BC" w:rsidP="00C814BC">
    <w:pPr>
      <w:pStyle w:val="Footer"/>
      <w:keepNext/>
      <w:ind w:left="360"/>
      <w:jc w:val="center"/>
      <w:rPr>
        <w:b/>
      </w:rPr>
    </w:pPr>
    <w:bookmarkStart w:id="76" w:name="_Hlk76375156"/>
  </w:p>
  <w:p w14:paraId="58B4A383" w14:textId="18C8BA34" w:rsidR="00C814BC" w:rsidRPr="00C814BC" w:rsidRDefault="00C814BC" w:rsidP="00C814BC">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Pr>
        <w:b/>
      </w:rPr>
      <w:t>1</w:t>
    </w:r>
    <w:r w:rsidRPr="00836F75">
      <w:rPr>
        <w:b/>
        <w:noProof/>
      </w:rPr>
      <w:fldChar w:fldCharType="end"/>
    </w:r>
    <w:r>
      <w:rPr>
        <w:b/>
        <w:noProof/>
      </w:rPr>
      <w:t xml:space="preserve"> </w:t>
    </w:r>
    <w:bookmarkEnd w:id="7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321A" w14:textId="77777777" w:rsidR="000B1AE2" w:rsidRDefault="000B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F4463" w14:textId="77777777" w:rsidR="00B06A96" w:rsidRDefault="00B06A96" w:rsidP="00124A51">
      <w:r>
        <w:separator/>
      </w:r>
    </w:p>
    <w:p w14:paraId="13DF53EC" w14:textId="77777777" w:rsidR="00B06A96" w:rsidRDefault="00B06A96"/>
  </w:footnote>
  <w:footnote w:type="continuationSeparator" w:id="0">
    <w:p w14:paraId="074B4ECD" w14:textId="77777777" w:rsidR="00B06A96" w:rsidRDefault="00B06A96" w:rsidP="00124A51">
      <w:r>
        <w:continuationSeparator/>
      </w:r>
    </w:p>
    <w:p w14:paraId="6F1AB3B6" w14:textId="77777777" w:rsidR="00B06A96" w:rsidRDefault="00B06A96"/>
  </w:footnote>
  <w:footnote w:id="1">
    <w:p w14:paraId="5746158D" w14:textId="77777777" w:rsidR="00CF4BA9" w:rsidRDefault="00CF4BA9" w:rsidP="00CF4BA9">
      <w:pPr>
        <w:pStyle w:val="FootnoteText"/>
      </w:pPr>
      <w:r>
        <w:rPr>
          <w:rStyle w:val="FootnoteReference"/>
        </w:rPr>
        <w:footnoteRef/>
      </w:r>
      <w:r>
        <w:t xml:space="preserve"> </w:t>
      </w:r>
      <w:r w:rsidRPr="007A0827">
        <w:t>Gelfand JM (2014). Evolving diagnostic criteria for the relapsing-form of multiple sclerosis. Handbook of Clinical Neurology.</w:t>
      </w:r>
      <w:r>
        <w:t xml:space="preserve"> 122:269-290</w:t>
      </w:r>
    </w:p>
  </w:footnote>
  <w:footnote w:id="2">
    <w:p w14:paraId="4B6B462F" w14:textId="02B7123E" w:rsidR="00BF4F41" w:rsidRPr="00933D96" w:rsidRDefault="00BF4F41" w:rsidP="00BF4F41">
      <w:pPr>
        <w:pStyle w:val="FootnoteText"/>
      </w:pPr>
      <w:r>
        <w:rPr>
          <w:rStyle w:val="FootnoteReference"/>
        </w:rPr>
        <w:footnoteRef/>
      </w:r>
      <w:r>
        <w:t xml:space="preserve"> Phillippo D. M., et al. NICE DSU </w:t>
      </w:r>
      <w:r w:rsidR="00422B32">
        <w:t xml:space="preserve">Technical support document 18: Methods for population-adjusted indirect comparisons in submissions to NICE, report by the Decision Support Unit, </w:t>
      </w:r>
      <w:r w:rsidRPr="00933D96">
        <w:t>December 2016</w:t>
      </w:r>
      <w:r w:rsidR="00422B32" w:rsidRPr="00933D96">
        <w:t>.</w:t>
      </w:r>
      <w:r w:rsidRPr="00933D96">
        <w:t xml:space="preserve"> </w:t>
      </w:r>
      <w:hyperlink r:id="rId1" w:history="1">
        <w:r w:rsidRPr="00933D96">
          <w:rPr>
            <w:rStyle w:val="Hyperlink"/>
            <w:color w:val="auto"/>
          </w:rPr>
          <w:t>*TSD18 Population-adjustment-TSD-FINAL.pdf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039" w14:textId="77777777" w:rsidR="000B1AE2" w:rsidRDefault="000B1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0ED6" w14:textId="77777777" w:rsidR="00C814BC" w:rsidRPr="00056684" w:rsidRDefault="00C814BC" w:rsidP="00C814BC">
    <w:pPr>
      <w:pStyle w:val="Header"/>
      <w:ind w:left="360"/>
      <w:rPr>
        <w:rFonts w:asciiTheme="minorHAnsi" w:hAnsiTheme="minorHAnsi"/>
        <w:i/>
        <w:color w:val="808080"/>
      </w:rPr>
    </w:pPr>
    <w:bookmarkStart w:id="74" w:name="_Hlk165280167"/>
    <w:bookmarkStart w:id="75" w:name="_Hlk76375146"/>
    <w:r>
      <w:rPr>
        <w:rFonts w:cs="Calibri"/>
        <w:i/>
        <w:color w:val="808080"/>
      </w:rPr>
      <w:t>Public Summary Document</w:t>
    </w:r>
    <w:bookmarkEnd w:id="74"/>
    <w:r w:rsidRPr="008A68F7">
      <w:rPr>
        <w:rFonts w:cs="Calibri"/>
        <w:i/>
        <w:color w:val="808080"/>
      </w:rPr>
      <w:t xml:space="preserve"> </w:t>
    </w:r>
    <w:r w:rsidRPr="00056684">
      <w:rPr>
        <w:rFonts w:asciiTheme="minorHAnsi" w:hAnsiTheme="minorHAnsi"/>
        <w:i/>
        <w:color w:val="808080"/>
      </w:rPr>
      <w:t xml:space="preserve">– </w:t>
    </w:r>
    <w:r>
      <w:rPr>
        <w:rFonts w:asciiTheme="minorHAnsi" w:hAnsiTheme="minorHAnsi"/>
        <w:i/>
        <w:color w:val="808080"/>
      </w:rPr>
      <w:t>March 2024</w:t>
    </w:r>
    <w:r w:rsidRPr="00056684">
      <w:rPr>
        <w:rFonts w:asciiTheme="minorHAnsi" w:hAnsiTheme="minorHAnsi"/>
        <w:i/>
        <w:color w:val="808080"/>
      </w:rPr>
      <w:t xml:space="preserve"> PBAC Meeting</w:t>
    </w:r>
  </w:p>
  <w:bookmarkEnd w:id="75"/>
  <w:p w14:paraId="68E0BAC0" w14:textId="77777777" w:rsidR="00C814BC" w:rsidRDefault="00C81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C21D" w14:textId="77777777" w:rsidR="000B1AE2" w:rsidRDefault="000B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B8C4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A058F"/>
    <w:multiLevelType w:val="hybridMultilevel"/>
    <w:tmpl w:val="40161E5E"/>
    <w:lvl w:ilvl="0" w:tplc="39C0DE0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1050B"/>
    <w:multiLevelType w:val="hybridMultilevel"/>
    <w:tmpl w:val="4B86D7E4"/>
    <w:lvl w:ilvl="0" w:tplc="F0CE92EC">
      <w:start w:val="1"/>
      <w:numFmt w:val="decimal"/>
      <w:lvlText w:val="%1."/>
      <w:lvlJc w:val="left"/>
      <w:pPr>
        <w:ind w:left="720"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122081"/>
    <w:multiLevelType w:val="hybridMultilevel"/>
    <w:tmpl w:val="5B2060DC"/>
    <w:lvl w:ilvl="0" w:tplc="2C5C35E0">
      <w:numFmt w:val="bullet"/>
      <w:lvlText w:val="•"/>
      <w:lvlJc w:val="left"/>
      <w:pPr>
        <w:ind w:left="1069" w:hanging="360"/>
      </w:pPr>
      <w:rPr>
        <w:rFonts w:ascii="Calibri" w:eastAsia="Times New Roman"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46AD7"/>
    <w:multiLevelType w:val="hybridMultilevel"/>
    <w:tmpl w:val="432A33A4"/>
    <w:lvl w:ilvl="0" w:tplc="A22E5F3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6962B8"/>
    <w:multiLevelType w:val="hybridMultilevel"/>
    <w:tmpl w:val="1472CAA2"/>
    <w:lvl w:ilvl="0" w:tplc="22A6C56E">
      <w:start w:val="1"/>
      <w:numFmt w:val="bullet"/>
      <w:lvlText w:val=""/>
      <w:lvlJc w:val="left"/>
      <w:pPr>
        <w:tabs>
          <w:tab w:val="num" w:pos="720"/>
        </w:tabs>
        <w:ind w:left="720" w:hanging="360"/>
      </w:pPr>
      <w:rPr>
        <w:rFonts w:ascii="Symbol" w:hAnsi="Symbol" w:hint="default"/>
      </w:rPr>
    </w:lvl>
    <w:lvl w:ilvl="1" w:tplc="C58878BC" w:tentative="1">
      <w:start w:val="1"/>
      <w:numFmt w:val="bullet"/>
      <w:lvlText w:val=""/>
      <w:lvlJc w:val="left"/>
      <w:pPr>
        <w:tabs>
          <w:tab w:val="num" w:pos="1440"/>
        </w:tabs>
        <w:ind w:left="1440" w:hanging="360"/>
      </w:pPr>
      <w:rPr>
        <w:rFonts w:ascii="Symbol" w:hAnsi="Symbol" w:hint="default"/>
      </w:rPr>
    </w:lvl>
    <w:lvl w:ilvl="2" w:tplc="5568CEFE" w:tentative="1">
      <w:start w:val="1"/>
      <w:numFmt w:val="bullet"/>
      <w:lvlText w:val=""/>
      <w:lvlJc w:val="left"/>
      <w:pPr>
        <w:tabs>
          <w:tab w:val="num" w:pos="2160"/>
        </w:tabs>
        <w:ind w:left="2160" w:hanging="360"/>
      </w:pPr>
      <w:rPr>
        <w:rFonts w:ascii="Symbol" w:hAnsi="Symbol" w:hint="default"/>
      </w:rPr>
    </w:lvl>
    <w:lvl w:ilvl="3" w:tplc="67408D58" w:tentative="1">
      <w:start w:val="1"/>
      <w:numFmt w:val="bullet"/>
      <w:lvlText w:val=""/>
      <w:lvlJc w:val="left"/>
      <w:pPr>
        <w:tabs>
          <w:tab w:val="num" w:pos="2880"/>
        </w:tabs>
        <w:ind w:left="2880" w:hanging="360"/>
      </w:pPr>
      <w:rPr>
        <w:rFonts w:ascii="Symbol" w:hAnsi="Symbol" w:hint="default"/>
      </w:rPr>
    </w:lvl>
    <w:lvl w:ilvl="4" w:tplc="D980C53E" w:tentative="1">
      <w:start w:val="1"/>
      <w:numFmt w:val="bullet"/>
      <w:lvlText w:val=""/>
      <w:lvlJc w:val="left"/>
      <w:pPr>
        <w:tabs>
          <w:tab w:val="num" w:pos="3600"/>
        </w:tabs>
        <w:ind w:left="3600" w:hanging="360"/>
      </w:pPr>
      <w:rPr>
        <w:rFonts w:ascii="Symbol" w:hAnsi="Symbol" w:hint="default"/>
      </w:rPr>
    </w:lvl>
    <w:lvl w:ilvl="5" w:tplc="84E49E28" w:tentative="1">
      <w:start w:val="1"/>
      <w:numFmt w:val="bullet"/>
      <w:lvlText w:val=""/>
      <w:lvlJc w:val="left"/>
      <w:pPr>
        <w:tabs>
          <w:tab w:val="num" w:pos="4320"/>
        </w:tabs>
        <w:ind w:left="4320" w:hanging="360"/>
      </w:pPr>
      <w:rPr>
        <w:rFonts w:ascii="Symbol" w:hAnsi="Symbol" w:hint="default"/>
      </w:rPr>
    </w:lvl>
    <w:lvl w:ilvl="6" w:tplc="F15E2876" w:tentative="1">
      <w:start w:val="1"/>
      <w:numFmt w:val="bullet"/>
      <w:lvlText w:val=""/>
      <w:lvlJc w:val="left"/>
      <w:pPr>
        <w:tabs>
          <w:tab w:val="num" w:pos="5040"/>
        </w:tabs>
        <w:ind w:left="5040" w:hanging="360"/>
      </w:pPr>
      <w:rPr>
        <w:rFonts w:ascii="Symbol" w:hAnsi="Symbol" w:hint="default"/>
      </w:rPr>
    </w:lvl>
    <w:lvl w:ilvl="7" w:tplc="BFE4FDEA" w:tentative="1">
      <w:start w:val="1"/>
      <w:numFmt w:val="bullet"/>
      <w:lvlText w:val=""/>
      <w:lvlJc w:val="left"/>
      <w:pPr>
        <w:tabs>
          <w:tab w:val="num" w:pos="5760"/>
        </w:tabs>
        <w:ind w:left="5760" w:hanging="360"/>
      </w:pPr>
      <w:rPr>
        <w:rFonts w:ascii="Symbol" w:hAnsi="Symbol" w:hint="default"/>
      </w:rPr>
    </w:lvl>
    <w:lvl w:ilvl="8" w:tplc="AA6699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D67A6"/>
    <w:multiLevelType w:val="hybridMultilevel"/>
    <w:tmpl w:val="1CEE1E86"/>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485E9C10">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698C64C0"/>
    <w:multiLevelType w:val="hybridMultilevel"/>
    <w:tmpl w:val="E6CCB8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04243C"/>
    <w:multiLevelType w:val="hybridMultilevel"/>
    <w:tmpl w:val="7BF86A70"/>
    <w:lvl w:ilvl="0" w:tplc="D3784A20">
      <w:start w:val="1"/>
      <w:numFmt w:val="bullet"/>
      <w:pStyle w:val="PBAC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2526744">
    <w:abstractNumId w:val="18"/>
  </w:num>
  <w:num w:numId="2" w16cid:durableId="1442722558">
    <w:abstractNumId w:val="11"/>
  </w:num>
  <w:num w:numId="3" w16cid:durableId="705326201">
    <w:abstractNumId w:val="12"/>
  </w:num>
  <w:num w:numId="4" w16cid:durableId="304628429">
    <w:abstractNumId w:val="0"/>
  </w:num>
  <w:num w:numId="5" w16cid:durableId="871959721">
    <w:abstractNumId w:val="18"/>
  </w:num>
  <w:num w:numId="6" w16cid:durableId="1316447102">
    <w:abstractNumId w:val="15"/>
  </w:num>
  <w:num w:numId="7" w16cid:durableId="513619691">
    <w:abstractNumId w:val="19"/>
  </w:num>
  <w:num w:numId="8" w16cid:durableId="311912378">
    <w:abstractNumId w:val="5"/>
  </w:num>
  <w:num w:numId="9" w16cid:durableId="1243292454">
    <w:abstractNumId w:val="10"/>
  </w:num>
  <w:num w:numId="10" w16cid:durableId="860625097">
    <w:abstractNumId w:val="2"/>
  </w:num>
  <w:num w:numId="11" w16cid:durableId="469905496">
    <w:abstractNumId w:val="4"/>
  </w:num>
  <w:num w:numId="12" w16cid:durableId="1799102787">
    <w:abstractNumId w:val="1"/>
  </w:num>
  <w:num w:numId="13" w16cid:durableId="1084955825">
    <w:abstractNumId w:val="7"/>
  </w:num>
  <w:num w:numId="14" w16cid:durableId="1564830537">
    <w:abstractNumId w:val="8"/>
  </w:num>
  <w:num w:numId="15" w16cid:durableId="454375481">
    <w:abstractNumId w:val="6"/>
  </w:num>
  <w:num w:numId="16" w16cid:durableId="382756447">
    <w:abstractNumId w:val="17"/>
  </w:num>
  <w:num w:numId="17" w16cid:durableId="235626871">
    <w:abstractNumId w:val="13"/>
  </w:num>
  <w:num w:numId="18" w16cid:durableId="129744317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069393">
    <w:abstractNumId w:val="0"/>
  </w:num>
  <w:num w:numId="20" w16cid:durableId="1629819516">
    <w:abstractNumId w:val="14"/>
  </w:num>
  <w:num w:numId="21" w16cid:durableId="555702243">
    <w:abstractNumId w:val="0"/>
  </w:num>
  <w:num w:numId="22" w16cid:durableId="270088017">
    <w:abstractNumId w:val="16"/>
  </w:num>
  <w:num w:numId="23" w16cid:durableId="820775760">
    <w:abstractNumId w:val="0"/>
  </w:num>
  <w:num w:numId="24" w16cid:durableId="1357006542">
    <w:abstractNumId w:val="0"/>
  </w:num>
  <w:num w:numId="25" w16cid:durableId="504783475">
    <w:abstractNumId w:val="18"/>
  </w:num>
  <w:num w:numId="26" w16cid:durableId="1111514189">
    <w:abstractNumId w:val="18"/>
  </w:num>
  <w:num w:numId="27" w16cid:durableId="1499267975">
    <w:abstractNumId w:val="18"/>
  </w:num>
  <w:num w:numId="28" w16cid:durableId="75633830">
    <w:abstractNumId w:val="18"/>
  </w:num>
  <w:num w:numId="29" w16cid:durableId="2092777492">
    <w:abstractNumId w:val="9"/>
  </w:num>
  <w:num w:numId="30" w16cid:durableId="27610830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37D"/>
    <w:rsid w:val="000004D4"/>
    <w:rsid w:val="00000790"/>
    <w:rsid w:val="0000110B"/>
    <w:rsid w:val="000020F3"/>
    <w:rsid w:val="0000302C"/>
    <w:rsid w:val="00003499"/>
    <w:rsid w:val="0000350B"/>
    <w:rsid w:val="000035AA"/>
    <w:rsid w:val="00003697"/>
    <w:rsid w:val="000039B7"/>
    <w:rsid w:val="00003CAE"/>
    <w:rsid w:val="000052BB"/>
    <w:rsid w:val="0000535C"/>
    <w:rsid w:val="000053E6"/>
    <w:rsid w:val="00005559"/>
    <w:rsid w:val="000056B9"/>
    <w:rsid w:val="0000639A"/>
    <w:rsid w:val="00006DF7"/>
    <w:rsid w:val="000078BE"/>
    <w:rsid w:val="00007BB4"/>
    <w:rsid w:val="00007DA7"/>
    <w:rsid w:val="00011858"/>
    <w:rsid w:val="00013247"/>
    <w:rsid w:val="000138F7"/>
    <w:rsid w:val="0001448B"/>
    <w:rsid w:val="00014A95"/>
    <w:rsid w:val="00015886"/>
    <w:rsid w:val="000162EF"/>
    <w:rsid w:val="00016998"/>
    <w:rsid w:val="00016CBA"/>
    <w:rsid w:val="00017195"/>
    <w:rsid w:val="00017DD4"/>
    <w:rsid w:val="000207C9"/>
    <w:rsid w:val="0002225F"/>
    <w:rsid w:val="00023763"/>
    <w:rsid w:val="00024B96"/>
    <w:rsid w:val="00024EB5"/>
    <w:rsid w:val="000269DB"/>
    <w:rsid w:val="000274B8"/>
    <w:rsid w:val="000312B7"/>
    <w:rsid w:val="00032821"/>
    <w:rsid w:val="00032F48"/>
    <w:rsid w:val="00033393"/>
    <w:rsid w:val="00033863"/>
    <w:rsid w:val="00033E9D"/>
    <w:rsid w:val="00034937"/>
    <w:rsid w:val="00034BE2"/>
    <w:rsid w:val="00035930"/>
    <w:rsid w:val="00035DC0"/>
    <w:rsid w:val="00036829"/>
    <w:rsid w:val="0003726D"/>
    <w:rsid w:val="000372F3"/>
    <w:rsid w:val="00037381"/>
    <w:rsid w:val="000402B2"/>
    <w:rsid w:val="00040895"/>
    <w:rsid w:val="00040EF3"/>
    <w:rsid w:val="000410A0"/>
    <w:rsid w:val="00041C45"/>
    <w:rsid w:val="00042454"/>
    <w:rsid w:val="00042FDA"/>
    <w:rsid w:val="000435EE"/>
    <w:rsid w:val="00043826"/>
    <w:rsid w:val="00043C37"/>
    <w:rsid w:val="00043CA2"/>
    <w:rsid w:val="00044894"/>
    <w:rsid w:val="00045017"/>
    <w:rsid w:val="00045A2B"/>
    <w:rsid w:val="0004698F"/>
    <w:rsid w:val="000469C7"/>
    <w:rsid w:val="00046D64"/>
    <w:rsid w:val="00046F9B"/>
    <w:rsid w:val="00047915"/>
    <w:rsid w:val="0005076B"/>
    <w:rsid w:val="000508C2"/>
    <w:rsid w:val="00051FDD"/>
    <w:rsid w:val="00052470"/>
    <w:rsid w:val="00052C35"/>
    <w:rsid w:val="00052EF2"/>
    <w:rsid w:val="00053223"/>
    <w:rsid w:val="000539D0"/>
    <w:rsid w:val="00054621"/>
    <w:rsid w:val="000546D7"/>
    <w:rsid w:val="000547D4"/>
    <w:rsid w:val="00054A8D"/>
    <w:rsid w:val="00054E0F"/>
    <w:rsid w:val="00054EDA"/>
    <w:rsid w:val="000553BD"/>
    <w:rsid w:val="00056ECF"/>
    <w:rsid w:val="00057F3E"/>
    <w:rsid w:val="000604DF"/>
    <w:rsid w:val="000629CC"/>
    <w:rsid w:val="000653B5"/>
    <w:rsid w:val="00065F1B"/>
    <w:rsid w:val="00066360"/>
    <w:rsid w:val="00066AF8"/>
    <w:rsid w:val="000670E3"/>
    <w:rsid w:val="000700A0"/>
    <w:rsid w:val="0007070E"/>
    <w:rsid w:val="00070821"/>
    <w:rsid w:val="00071248"/>
    <w:rsid w:val="00071A46"/>
    <w:rsid w:val="000720B9"/>
    <w:rsid w:val="000724CD"/>
    <w:rsid w:val="000737F7"/>
    <w:rsid w:val="00073950"/>
    <w:rsid w:val="00074CEF"/>
    <w:rsid w:val="000755EB"/>
    <w:rsid w:val="0007565A"/>
    <w:rsid w:val="000761AB"/>
    <w:rsid w:val="0007672F"/>
    <w:rsid w:val="00076B54"/>
    <w:rsid w:val="0007712D"/>
    <w:rsid w:val="0007726D"/>
    <w:rsid w:val="000774F0"/>
    <w:rsid w:val="00080041"/>
    <w:rsid w:val="000803ED"/>
    <w:rsid w:val="00080909"/>
    <w:rsid w:val="000812CA"/>
    <w:rsid w:val="00081E63"/>
    <w:rsid w:val="0008258D"/>
    <w:rsid w:val="00083E99"/>
    <w:rsid w:val="00084684"/>
    <w:rsid w:val="00084FA8"/>
    <w:rsid w:val="00085382"/>
    <w:rsid w:val="000856C5"/>
    <w:rsid w:val="00085C31"/>
    <w:rsid w:val="000866C0"/>
    <w:rsid w:val="00086757"/>
    <w:rsid w:val="00087400"/>
    <w:rsid w:val="000902D9"/>
    <w:rsid w:val="00090C7E"/>
    <w:rsid w:val="000911AC"/>
    <w:rsid w:val="00091F01"/>
    <w:rsid w:val="00092542"/>
    <w:rsid w:val="00092600"/>
    <w:rsid w:val="0009262B"/>
    <w:rsid w:val="00092AEA"/>
    <w:rsid w:val="00093310"/>
    <w:rsid w:val="000938E0"/>
    <w:rsid w:val="0009445C"/>
    <w:rsid w:val="00095200"/>
    <w:rsid w:val="00095FE5"/>
    <w:rsid w:val="00096284"/>
    <w:rsid w:val="00096C2F"/>
    <w:rsid w:val="000A1BC0"/>
    <w:rsid w:val="000A21A5"/>
    <w:rsid w:val="000A2E29"/>
    <w:rsid w:val="000A2F9E"/>
    <w:rsid w:val="000A33B1"/>
    <w:rsid w:val="000A382A"/>
    <w:rsid w:val="000A3B25"/>
    <w:rsid w:val="000A3E47"/>
    <w:rsid w:val="000A486A"/>
    <w:rsid w:val="000A4A67"/>
    <w:rsid w:val="000A4A75"/>
    <w:rsid w:val="000A4BCB"/>
    <w:rsid w:val="000A4EC7"/>
    <w:rsid w:val="000A522B"/>
    <w:rsid w:val="000A5865"/>
    <w:rsid w:val="000A6039"/>
    <w:rsid w:val="000A7453"/>
    <w:rsid w:val="000A7D08"/>
    <w:rsid w:val="000B0121"/>
    <w:rsid w:val="000B0670"/>
    <w:rsid w:val="000B0BE4"/>
    <w:rsid w:val="000B0E75"/>
    <w:rsid w:val="000B1AE2"/>
    <w:rsid w:val="000B1F3D"/>
    <w:rsid w:val="000B2DCB"/>
    <w:rsid w:val="000B3E59"/>
    <w:rsid w:val="000B3F38"/>
    <w:rsid w:val="000B4158"/>
    <w:rsid w:val="000B4E02"/>
    <w:rsid w:val="000B5CE0"/>
    <w:rsid w:val="000B5D6D"/>
    <w:rsid w:val="000B5EA2"/>
    <w:rsid w:val="000B630F"/>
    <w:rsid w:val="000B680A"/>
    <w:rsid w:val="000B6CAC"/>
    <w:rsid w:val="000B6E90"/>
    <w:rsid w:val="000B7612"/>
    <w:rsid w:val="000B78AE"/>
    <w:rsid w:val="000C036D"/>
    <w:rsid w:val="000C1016"/>
    <w:rsid w:val="000C1A21"/>
    <w:rsid w:val="000C222F"/>
    <w:rsid w:val="000C3689"/>
    <w:rsid w:val="000C3B06"/>
    <w:rsid w:val="000C3DF9"/>
    <w:rsid w:val="000C42CA"/>
    <w:rsid w:val="000C498D"/>
    <w:rsid w:val="000C4CF2"/>
    <w:rsid w:val="000C6057"/>
    <w:rsid w:val="000C66B8"/>
    <w:rsid w:val="000C6713"/>
    <w:rsid w:val="000D0CF6"/>
    <w:rsid w:val="000D1086"/>
    <w:rsid w:val="000D10C8"/>
    <w:rsid w:val="000D1BFC"/>
    <w:rsid w:val="000D1D5D"/>
    <w:rsid w:val="000D2695"/>
    <w:rsid w:val="000D27A8"/>
    <w:rsid w:val="000D281A"/>
    <w:rsid w:val="000D2848"/>
    <w:rsid w:val="000D29B7"/>
    <w:rsid w:val="000D326A"/>
    <w:rsid w:val="000D383C"/>
    <w:rsid w:val="000D4566"/>
    <w:rsid w:val="000D51FB"/>
    <w:rsid w:val="000D5775"/>
    <w:rsid w:val="000D5C75"/>
    <w:rsid w:val="000D5D12"/>
    <w:rsid w:val="000D69D9"/>
    <w:rsid w:val="000D764A"/>
    <w:rsid w:val="000D7CBC"/>
    <w:rsid w:val="000E01FC"/>
    <w:rsid w:val="000E0640"/>
    <w:rsid w:val="000E1029"/>
    <w:rsid w:val="000E135D"/>
    <w:rsid w:val="000E3A56"/>
    <w:rsid w:val="000E3D30"/>
    <w:rsid w:val="000E3EB2"/>
    <w:rsid w:val="000E4C10"/>
    <w:rsid w:val="000E5951"/>
    <w:rsid w:val="000E5A03"/>
    <w:rsid w:val="000E5BDC"/>
    <w:rsid w:val="000E63A4"/>
    <w:rsid w:val="000E758B"/>
    <w:rsid w:val="000F00BA"/>
    <w:rsid w:val="000F1071"/>
    <w:rsid w:val="000F1512"/>
    <w:rsid w:val="000F1847"/>
    <w:rsid w:val="000F1899"/>
    <w:rsid w:val="000F2BA3"/>
    <w:rsid w:val="000F316A"/>
    <w:rsid w:val="000F3538"/>
    <w:rsid w:val="000F37D0"/>
    <w:rsid w:val="000F3C74"/>
    <w:rsid w:val="000F3FBE"/>
    <w:rsid w:val="000F4515"/>
    <w:rsid w:val="000F4BB8"/>
    <w:rsid w:val="000F4FA9"/>
    <w:rsid w:val="000F53FB"/>
    <w:rsid w:val="000F58C5"/>
    <w:rsid w:val="000F7127"/>
    <w:rsid w:val="000F7147"/>
    <w:rsid w:val="000F7B54"/>
    <w:rsid w:val="000F7B82"/>
    <w:rsid w:val="001000B3"/>
    <w:rsid w:val="00100F8A"/>
    <w:rsid w:val="001027CD"/>
    <w:rsid w:val="00103032"/>
    <w:rsid w:val="00103D64"/>
    <w:rsid w:val="0010452E"/>
    <w:rsid w:val="00105115"/>
    <w:rsid w:val="00105905"/>
    <w:rsid w:val="001059B5"/>
    <w:rsid w:val="00105AE2"/>
    <w:rsid w:val="001060C6"/>
    <w:rsid w:val="001069BC"/>
    <w:rsid w:val="00106B80"/>
    <w:rsid w:val="0011032E"/>
    <w:rsid w:val="00110DF7"/>
    <w:rsid w:val="0011163A"/>
    <w:rsid w:val="001129E8"/>
    <w:rsid w:val="0011316E"/>
    <w:rsid w:val="0011348B"/>
    <w:rsid w:val="001139A3"/>
    <w:rsid w:val="00114095"/>
    <w:rsid w:val="0011534D"/>
    <w:rsid w:val="00115982"/>
    <w:rsid w:val="00116C53"/>
    <w:rsid w:val="00121799"/>
    <w:rsid w:val="001221CD"/>
    <w:rsid w:val="001222FC"/>
    <w:rsid w:val="00122B9D"/>
    <w:rsid w:val="00123902"/>
    <w:rsid w:val="00124052"/>
    <w:rsid w:val="001245CB"/>
    <w:rsid w:val="00124A51"/>
    <w:rsid w:val="00124BD1"/>
    <w:rsid w:val="00125C7A"/>
    <w:rsid w:val="00126621"/>
    <w:rsid w:val="00126B1D"/>
    <w:rsid w:val="00127123"/>
    <w:rsid w:val="001272A4"/>
    <w:rsid w:val="001301E9"/>
    <w:rsid w:val="001318E6"/>
    <w:rsid w:val="00131D82"/>
    <w:rsid w:val="00131FB3"/>
    <w:rsid w:val="00132B22"/>
    <w:rsid w:val="001337DF"/>
    <w:rsid w:val="00133D36"/>
    <w:rsid w:val="00133D66"/>
    <w:rsid w:val="00135707"/>
    <w:rsid w:val="001373C3"/>
    <w:rsid w:val="00137645"/>
    <w:rsid w:val="0014015A"/>
    <w:rsid w:val="00140639"/>
    <w:rsid w:val="00140E99"/>
    <w:rsid w:val="00143F67"/>
    <w:rsid w:val="001443E3"/>
    <w:rsid w:val="00145234"/>
    <w:rsid w:val="00145540"/>
    <w:rsid w:val="001456B0"/>
    <w:rsid w:val="001465DA"/>
    <w:rsid w:val="00150922"/>
    <w:rsid w:val="00150F87"/>
    <w:rsid w:val="00151506"/>
    <w:rsid w:val="00151AF3"/>
    <w:rsid w:val="00151E69"/>
    <w:rsid w:val="00151F7B"/>
    <w:rsid w:val="0015333C"/>
    <w:rsid w:val="0015450F"/>
    <w:rsid w:val="001547AB"/>
    <w:rsid w:val="001547B4"/>
    <w:rsid w:val="001559CC"/>
    <w:rsid w:val="00156C8F"/>
    <w:rsid w:val="00156F8F"/>
    <w:rsid w:val="00157130"/>
    <w:rsid w:val="001576B1"/>
    <w:rsid w:val="001601F5"/>
    <w:rsid w:val="0016047B"/>
    <w:rsid w:val="001609E2"/>
    <w:rsid w:val="00160A4C"/>
    <w:rsid w:val="001620B9"/>
    <w:rsid w:val="00162144"/>
    <w:rsid w:val="00162913"/>
    <w:rsid w:val="001632FF"/>
    <w:rsid w:val="00163610"/>
    <w:rsid w:val="00163EFF"/>
    <w:rsid w:val="00163F66"/>
    <w:rsid w:val="0016422D"/>
    <w:rsid w:val="00164449"/>
    <w:rsid w:val="0016478E"/>
    <w:rsid w:val="0016483A"/>
    <w:rsid w:val="00165EC4"/>
    <w:rsid w:val="001661FB"/>
    <w:rsid w:val="001666D1"/>
    <w:rsid w:val="001671A0"/>
    <w:rsid w:val="00167308"/>
    <w:rsid w:val="0016767F"/>
    <w:rsid w:val="00170209"/>
    <w:rsid w:val="00170BCD"/>
    <w:rsid w:val="00171593"/>
    <w:rsid w:val="00172151"/>
    <w:rsid w:val="00172E16"/>
    <w:rsid w:val="0017341A"/>
    <w:rsid w:val="00173494"/>
    <w:rsid w:val="00173565"/>
    <w:rsid w:val="00173A7F"/>
    <w:rsid w:val="00173B07"/>
    <w:rsid w:val="0017465E"/>
    <w:rsid w:val="00174740"/>
    <w:rsid w:val="001751F2"/>
    <w:rsid w:val="001751FA"/>
    <w:rsid w:val="00177B2B"/>
    <w:rsid w:val="00180DA2"/>
    <w:rsid w:val="00181117"/>
    <w:rsid w:val="0018155B"/>
    <w:rsid w:val="00181812"/>
    <w:rsid w:val="00181C10"/>
    <w:rsid w:val="00181D9C"/>
    <w:rsid w:val="00182B3F"/>
    <w:rsid w:val="00183085"/>
    <w:rsid w:val="001837FF"/>
    <w:rsid w:val="00183FB6"/>
    <w:rsid w:val="00184B0E"/>
    <w:rsid w:val="0018505A"/>
    <w:rsid w:val="0018550A"/>
    <w:rsid w:val="001856A6"/>
    <w:rsid w:val="00186BFE"/>
    <w:rsid w:val="0018752F"/>
    <w:rsid w:val="0018795D"/>
    <w:rsid w:val="00190C3C"/>
    <w:rsid w:val="0019166C"/>
    <w:rsid w:val="00193838"/>
    <w:rsid w:val="00193BB8"/>
    <w:rsid w:val="00194AD8"/>
    <w:rsid w:val="00194D46"/>
    <w:rsid w:val="001950CA"/>
    <w:rsid w:val="0019518C"/>
    <w:rsid w:val="00195222"/>
    <w:rsid w:val="00195452"/>
    <w:rsid w:val="00195496"/>
    <w:rsid w:val="00197545"/>
    <w:rsid w:val="001975D8"/>
    <w:rsid w:val="001979EC"/>
    <w:rsid w:val="001A10B8"/>
    <w:rsid w:val="001A178E"/>
    <w:rsid w:val="001A287C"/>
    <w:rsid w:val="001A43FA"/>
    <w:rsid w:val="001A47C5"/>
    <w:rsid w:val="001A5453"/>
    <w:rsid w:val="001A5738"/>
    <w:rsid w:val="001A59FB"/>
    <w:rsid w:val="001A5E9E"/>
    <w:rsid w:val="001A6354"/>
    <w:rsid w:val="001A6366"/>
    <w:rsid w:val="001A6A74"/>
    <w:rsid w:val="001A6DEF"/>
    <w:rsid w:val="001A7122"/>
    <w:rsid w:val="001A7405"/>
    <w:rsid w:val="001A7AE8"/>
    <w:rsid w:val="001B04E5"/>
    <w:rsid w:val="001B204E"/>
    <w:rsid w:val="001B2372"/>
    <w:rsid w:val="001B2C71"/>
    <w:rsid w:val="001B3443"/>
    <w:rsid w:val="001B3BCD"/>
    <w:rsid w:val="001B4D20"/>
    <w:rsid w:val="001B4EAC"/>
    <w:rsid w:val="001B532E"/>
    <w:rsid w:val="001B5688"/>
    <w:rsid w:val="001B6AB0"/>
    <w:rsid w:val="001B7F84"/>
    <w:rsid w:val="001C0BDE"/>
    <w:rsid w:val="001C0F50"/>
    <w:rsid w:val="001C25B5"/>
    <w:rsid w:val="001C2A9B"/>
    <w:rsid w:val="001C3754"/>
    <w:rsid w:val="001C3DD6"/>
    <w:rsid w:val="001C40DA"/>
    <w:rsid w:val="001C4299"/>
    <w:rsid w:val="001C4874"/>
    <w:rsid w:val="001C48D4"/>
    <w:rsid w:val="001C5B4E"/>
    <w:rsid w:val="001C5F94"/>
    <w:rsid w:val="001C6E66"/>
    <w:rsid w:val="001D0E73"/>
    <w:rsid w:val="001D10BF"/>
    <w:rsid w:val="001D1100"/>
    <w:rsid w:val="001D1391"/>
    <w:rsid w:val="001D200C"/>
    <w:rsid w:val="001D2257"/>
    <w:rsid w:val="001D25D7"/>
    <w:rsid w:val="001D2793"/>
    <w:rsid w:val="001D3729"/>
    <w:rsid w:val="001D50B2"/>
    <w:rsid w:val="001D5520"/>
    <w:rsid w:val="001D6A34"/>
    <w:rsid w:val="001D71F4"/>
    <w:rsid w:val="001D7645"/>
    <w:rsid w:val="001E0833"/>
    <w:rsid w:val="001E0E8D"/>
    <w:rsid w:val="001E1E86"/>
    <w:rsid w:val="001E238E"/>
    <w:rsid w:val="001E2483"/>
    <w:rsid w:val="001E26B7"/>
    <w:rsid w:val="001E2B1E"/>
    <w:rsid w:val="001E2CFF"/>
    <w:rsid w:val="001E2F24"/>
    <w:rsid w:val="001E30D4"/>
    <w:rsid w:val="001E34DF"/>
    <w:rsid w:val="001E3ADF"/>
    <w:rsid w:val="001E52EB"/>
    <w:rsid w:val="001E5803"/>
    <w:rsid w:val="001E61D2"/>
    <w:rsid w:val="001E6E26"/>
    <w:rsid w:val="001E717B"/>
    <w:rsid w:val="001E740C"/>
    <w:rsid w:val="001F0250"/>
    <w:rsid w:val="001F0DED"/>
    <w:rsid w:val="001F1235"/>
    <w:rsid w:val="001F1CB3"/>
    <w:rsid w:val="001F38B5"/>
    <w:rsid w:val="001F4081"/>
    <w:rsid w:val="001F46C2"/>
    <w:rsid w:val="001F4C1A"/>
    <w:rsid w:val="001F7361"/>
    <w:rsid w:val="001F7F6E"/>
    <w:rsid w:val="002011B0"/>
    <w:rsid w:val="00202325"/>
    <w:rsid w:val="00203181"/>
    <w:rsid w:val="00203500"/>
    <w:rsid w:val="00203783"/>
    <w:rsid w:val="0020385F"/>
    <w:rsid w:val="00204D05"/>
    <w:rsid w:val="002056FF"/>
    <w:rsid w:val="00205DB1"/>
    <w:rsid w:val="002060A1"/>
    <w:rsid w:val="00206833"/>
    <w:rsid w:val="002068A0"/>
    <w:rsid w:val="00207021"/>
    <w:rsid w:val="0020732F"/>
    <w:rsid w:val="0020771A"/>
    <w:rsid w:val="00207A00"/>
    <w:rsid w:val="00207D00"/>
    <w:rsid w:val="002105C1"/>
    <w:rsid w:val="002116FD"/>
    <w:rsid w:val="0021315B"/>
    <w:rsid w:val="00213EF5"/>
    <w:rsid w:val="00213F40"/>
    <w:rsid w:val="00214CE4"/>
    <w:rsid w:val="00215640"/>
    <w:rsid w:val="00216BF5"/>
    <w:rsid w:val="00216D76"/>
    <w:rsid w:val="002176EF"/>
    <w:rsid w:val="002179F1"/>
    <w:rsid w:val="00217BB1"/>
    <w:rsid w:val="00217DF8"/>
    <w:rsid w:val="0022060A"/>
    <w:rsid w:val="00221397"/>
    <w:rsid w:val="0022299A"/>
    <w:rsid w:val="00222C2D"/>
    <w:rsid w:val="00222E5A"/>
    <w:rsid w:val="00222E85"/>
    <w:rsid w:val="00223B49"/>
    <w:rsid w:val="00223D5A"/>
    <w:rsid w:val="00224A37"/>
    <w:rsid w:val="00224DD4"/>
    <w:rsid w:val="00225AC4"/>
    <w:rsid w:val="00225E2B"/>
    <w:rsid w:val="00226900"/>
    <w:rsid w:val="00227594"/>
    <w:rsid w:val="002278A0"/>
    <w:rsid w:val="00227965"/>
    <w:rsid w:val="00230016"/>
    <w:rsid w:val="002303FA"/>
    <w:rsid w:val="0023067C"/>
    <w:rsid w:val="002309CC"/>
    <w:rsid w:val="002312AA"/>
    <w:rsid w:val="00231900"/>
    <w:rsid w:val="00231BA9"/>
    <w:rsid w:val="0023209F"/>
    <w:rsid w:val="002331B0"/>
    <w:rsid w:val="00233581"/>
    <w:rsid w:val="002337C1"/>
    <w:rsid w:val="00233C01"/>
    <w:rsid w:val="0023413C"/>
    <w:rsid w:val="002344F9"/>
    <w:rsid w:val="002346F0"/>
    <w:rsid w:val="00235D10"/>
    <w:rsid w:val="00236136"/>
    <w:rsid w:val="0023629D"/>
    <w:rsid w:val="0023642B"/>
    <w:rsid w:val="00237255"/>
    <w:rsid w:val="00240BD2"/>
    <w:rsid w:val="00241D16"/>
    <w:rsid w:val="002424AF"/>
    <w:rsid w:val="00243671"/>
    <w:rsid w:val="002439DC"/>
    <w:rsid w:val="00243DA5"/>
    <w:rsid w:val="002441D2"/>
    <w:rsid w:val="00244DC8"/>
    <w:rsid w:val="002458BA"/>
    <w:rsid w:val="00245CE9"/>
    <w:rsid w:val="0024636C"/>
    <w:rsid w:val="00247631"/>
    <w:rsid w:val="00247925"/>
    <w:rsid w:val="00247BD2"/>
    <w:rsid w:val="00250889"/>
    <w:rsid w:val="00251006"/>
    <w:rsid w:val="002524D5"/>
    <w:rsid w:val="00252F4B"/>
    <w:rsid w:val="00253B1D"/>
    <w:rsid w:val="00254DCF"/>
    <w:rsid w:val="0025534B"/>
    <w:rsid w:val="00255BB7"/>
    <w:rsid w:val="00255FC9"/>
    <w:rsid w:val="00256958"/>
    <w:rsid w:val="00256C2E"/>
    <w:rsid w:val="00257115"/>
    <w:rsid w:val="00257541"/>
    <w:rsid w:val="00257A06"/>
    <w:rsid w:val="00257A39"/>
    <w:rsid w:val="00257AC4"/>
    <w:rsid w:val="00257BBE"/>
    <w:rsid w:val="002604EA"/>
    <w:rsid w:val="00261EEF"/>
    <w:rsid w:val="00262A1A"/>
    <w:rsid w:val="00262A87"/>
    <w:rsid w:val="00262BD8"/>
    <w:rsid w:val="00263073"/>
    <w:rsid w:val="002635C7"/>
    <w:rsid w:val="002639FF"/>
    <w:rsid w:val="00263DFE"/>
    <w:rsid w:val="00264D26"/>
    <w:rsid w:val="0026500F"/>
    <w:rsid w:val="0026541B"/>
    <w:rsid w:val="00265BFB"/>
    <w:rsid w:val="0026617F"/>
    <w:rsid w:val="002661DB"/>
    <w:rsid w:val="0026690B"/>
    <w:rsid w:val="00267642"/>
    <w:rsid w:val="00267AEA"/>
    <w:rsid w:val="002700E6"/>
    <w:rsid w:val="0027021A"/>
    <w:rsid w:val="00270D64"/>
    <w:rsid w:val="00272368"/>
    <w:rsid w:val="0027294B"/>
    <w:rsid w:val="00272CA8"/>
    <w:rsid w:val="00273DF1"/>
    <w:rsid w:val="00273EB4"/>
    <w:rsid w:val="00274682"/>
    <w:rsid w:val="00275158"/>
    <w:rsid w:val="002752BF"/>
    <w:rsid w:val="00275C5A"/>
    <w:rsid w:val="002763ED"/>
    <w:rsid w:val="00276935"/>
    <w:rsid w:val="00276B35"/>
    <w:rsid w:val="0027742F"/>
    <w:rsid w:val="002774AC"/>
    <w:rsid w:val="0027770D"/>
    <w:rsid w:val="002779BE"/>
    <w:rsid w:val="00277AE5"/>
    <w:rsid w:val="00281014"/>
    <w:rsid w:val="00281567"/>
    <w:rsid w:val="00281ECD"/>
    <w:rsid w:val="00282F5E"/>
    <w:rsid w:val="00283742"/>
    <w:rsid w:val="00283CA2"/>
    <w:rsid w:val="0028495A"/>
    <w:rsid w:val="00284FDD"/>
    <w:rsid w:val="00285B4D"/>
    <w:rsid w:val="00285BCE"/>
    <w:rsid w:val="0028665D"/>
    <w:rsid w:val="00286B5A"/>
    <w:rsid w:val="00287256"/>
    <w:rsid w:val="0028760D"/>
    <w:rsid w:val="002901B2"/>
    <w:rsid w:val="0029191B"/>
    <w:rsid w:val="00291A3C"/>
    <w:rsid w:val="00292E4B"/>
    <w:rsid w:val="00293456"/>
    <w:rsid w:val="00293B42"/>
    <w:rsid w:val="002943DF"/>
    <w:rsid w:val="00295307"/>
    <w:rsid w:val="0029737B"/>
    <w:rsid w:val="002A0618"/>
    <w:rsid w:val="002A0632"/>
    <w:rsid w:val="002A0993"/>
    <w:rsid w:val="002A14AB"/>
    <w:rsid w:val="002A27B2"/>
    <w:rsid w:val="002A2ADE"/>
    <w:rsid w:val="002A2DEE"/>
    <w:rsid w:val="002A2F50"/>
    <w:rsid w:val="002A5638"/>
    <w:rsid w:val="002A57ED"/>
    <w:rsid w:val="002A5BB6"/>
    <w:rsid w:val="002A70EC"/>
    <w:rsid w:val="002A7943"/>
    <w:rsid w:val="002A7A6F"/>
    <w:rsid w:val="002A7CBF"/>
    <w:rsid w:val="002B05A1"/>
    <w:rsid w:val="002B05DF"/>
    <w:rsid w:val="002B09A4"/>
    <w:rsid w:val="002B0FE6"/>
    <w:rsid w:val="002B126F"/>
    <w:rsid w:val="002B1C1F"/>
    <w:rsid w:val="002B432F"/>
    <w:rsid w:val="002B62B3"/>
    <w:rsid w:val="002B6754"/>
    <w:rsid w:val="002B6CCE"/>
    <w:rsid w:val="002B6FD6"/>
    <w:rsid w:val="002B73BE"/>
    <w:rsid w:val="002B7DF0"/>
    <w:rsid w:val="002C0977"/>
    <w:rsid w:val="002C0B60"/>
    <w:rsid w:val="002C2510"/>
    <w:rsid w:val="002C2775"/>
    <w:rsid w:val="002C27C1"/>
    <w:rsid w:val="002C36E3"/>
    <w:rsid w:val="002C5099"/>
    <w:rsid w:val="002C518C"/>
    <w:rsid w:val="002C581D"/>
    <w:rsid w:val="002C5889"/>
    <w:rsid w:val="002C672C"/>
    <w:rsid w:val="002C71CE"/>
    <w:rsid w:val="002C7CA3"/>
    <w:rsid w:val="002D08F8"/>
    <w:rsid w:val="002D0968"/>
    <w:rsid w:val="002D1C6B"/>
    <w:rsid w:val="002D4451"/>
    <w:rsid w:val="002D4688"/>
    <w:rsid w:val="002D4B9D"/>
    <w:rsid w:val="002D577C"/>
    <w:rsid w:val="002D625B"/>
    <w:rsid w:val="002D6387"/>
    <w:rsid w:val="002D6858"/>
    <w:rsid w:val="002D68A3"/>
    <w:rsid w:val="002D6F65"/>
    <w:rsid w:val="002D7832"/>
    <w:rsid w:val="002E0B87"/>
    <w:rsid w:val="002E1071"/>
    <w:rsid w:val="002E15B9"/>
    <w:rsid w:val="002E176C"/>
    <w:rsid w:val="002E2158"/>
    <w:rsid w:val="002E22B3"/>
    <w:rsid w:val="002E2CF4"/>
    <w:rsid w:val="002E3E57"/>
    <w:rsid w:val="002E3F48"/>
    <w:rsid w:val="002E4F02"/>
    <w:rsid w:val="002E5D01"/>
    <w:rsid w:val="002E6237"/>
    <w:rsid w:val="002E7127"/>
    <w:rsid w:val="002E7474"/>
    <w:rsid w:val="002E7722"/>
    <w:rsid w:val="002E778A"/>
    <w:rsid w:val="002F07BA"/>
    <w:rsid w:val="002F0DA9"/>
    <w:rsid w:val="002F1014"/>
    <w:rsid w:val="002F1413"/>
    <w:rsid w:val="002F14C4"/>
    <w:rsid w:val="002F1E3B"/>
    <w:rsid w:val="002F3760"/>
    <w:rsid w:val="002F4C8F"/>
    <w:rsid w:val="002F5C52"/>
    <w:rsid w:val="002F643C"/>
    <w:rsid w:val="002F6527"/>
    <w:rsid w:val="002F6BF8"/>
    <w:rsid w:val="002F6D2D"/>
    <w:rsid w:val="002F71C0"/>
    <w:rsid w:val="002F74F1"/>
    <w:rsid w:val="00300990"/>
    <w:rsid w:val="00300A45"/>
    <w:rsid w:val="00301017"/>
    <w:rsid w:val="0030155F"/>
    <w:rsid w:val="00302971"/>
    <w:rsid w:val="003039BA"/>
    <w:rsid w:val="003039F6"/>
    <w:rsid w:val="003054A2"/>
    <w:rsid w:val="0030587B"/>
    <w:rsid w:val="00306D98"/>
    <w:rsid w:val="00306DCB"/>
    <w:rsid w:val="0030786C"/>
    <w:rsid w:val="0031031A"/>
    <w:rsid w:val="00310981"/>
    <w:rsid w:val="00310B5D"/>
    <w:rsid w:val="00311D9B"/>
    <w:rsid w:val="00312362"/>
    <w:rsid w:val="003124D9"/>
    <w:rsid w:val="00312594"/>
    <w:rsid w:val="00315498"/>
    <w:rsid w:val="0031596F"/>
    <w:rsid w:val="00316474"/>
    <w:rsid w:val="0032072E"/>
    <w:rsid w:val="00320988"/>
    <w:rsid w:val="00321478"/>
    <w:rsid w:val="00322107"/>
    <w:rsid w:val="00322355"/>
    <w:rsid w:val="00322393"/>
    <w:rsid w:val="003223A9"/>
    <w:rsid w:val="00322846"/>
    <w:rsid w:val="003231F2"/>
    <w:rsid w:val="00326223"/>
    <w:rsid w:val="00326830"/>
    <w:rsid w:val="00326DA7"/>
    <w:rsid w:val="003270E4"/>
    <w:rsid w:val="003309A0"/>
    <w:rsid w:val="00330A8A"/>
    <w:rsid w:val="00330DAA"/>
    <w:rsid w:val="00330F5C"/>
    <w:rsid w:val="00331415"/>
    <w:rsid w:val="00334103"/>
    <w:rsid w:val="00334FA1"/>
    <w:rsid w:val="003358CD"/>
    <w:rsid w:val="00335CBA"/>
    <w:rsid w:val="003366C9"/>
    <w:rsid w:val="003371B0"/>
    <w:rsid w:val="003379C0"/>
    <w:rsid w:val="00337E5D"/>
    <w:rsid w:val="00340DF1"/>
    <w:rsid w:val="00341AFC"/>
    <w:rsid w:val="00341E77"/>
    <w:rsid w:val="00342867"/>
    <w:rsid w:val="00342A21"/>
    <w:rsid w:val="00342EC0"/>
    <w:rsid w:val="0034357C"/>
    <w:rsid w:val="003440CF"/>
    <w:rsid w:val="003442A8"/>
    <w:rsid w:val="00344BA4"/>
    <w:rsid w:val="00345B68"/>
    <w:rsid w:val="0035065A"/>
    <w:rsid w:val="00350B0D"/>
    <w:rsid w:val="003517F9"/>
    <w:rsid w:val="00351BA9"/>
    <w:rsid w:val="003528F2"/>
    <w:rsid w:val="0035311F"/>
    <w:rsid w:val="00353ECE"/>
    <w:rsid w:val="003544AD"/>
    <w:rsid w:val="00354F64"/>
    <w:rsid w:val="0035620E"/>
    <w:rsid w:val="00356609"/>
    <w:rsid w:val="003575BE"/>
    <w:rsid w:val="00360345"/>
    <w:rsid w:val="00361A05"/>
    <w:rsid w:val="00361DA3"/>
    <w:rsid w:val="003623A3"/>
    <w:rsid w:val="003624C4"/>
    <w:rsid w:val="00362630"/>
    <w:rsid w:val="00363B00"/>
    <w:rsid w:val="003654AC"/>
    <w:rsid w:val="0036577D"/>
    <w:rsid w:val="00365A43"/>
    <w:rsid w:val="003662F4"/>
    <w:rsid w:val="00367015"/>
    <w:rsid w:val="00367974"/>
    <w:rsid w:val="00370B30"/>
    <w:rsid w:val="003710CF"/>
    <w:rsid w:val="003728CD"/>
    <w:rsid w:val="00372CA8"/>
    <w:rsid w:val="00372FBA"/>
    <w:rsid w:val="0037358A"/>
    <w:rsid w:val="00373896"/>
    <w:rsid w:val="003745DD"/>
    <w:rsid w:val="003750F6"/>
    <w:rsid w:val="003754A7"/>
    <w:rsid w:val="00375AFE"/>
    <w:rsid w:val="0037609A"/>
    <w:rsid w:val="003760FC"/>
    <w:rsid w:val="00376D17"/>
    <w:rsid w:val="0038180F"/>
    <w:rsid w:val="0038185D"/>
    <w:rsid w:val="00382186"/>
    <w:rsid w:val="0038277B"/>
    <w:rsid w:val="0038365C"/>
    <w:rsid w:val="0038369B"/>
    <w:rsid w:val="00383856"/>
    <w:rsid w:val="00383B78"/>
    <w:rsid w:val="00385525"/>
    <w:rsid w:val="00385A9D"/>
    <w:rsid w:val="00387121"/>
    <w:rsid w:val="00387EED"/>
    <w:rsid w:val="00387FAC"/>
    <w:rsid w:val="003901F5"/>
    <w:rsid w:val="003902B1"/>
    <w:rsid w:val="00390A2D"/>
    <w:rsid w:val="0039179C"/>
    <w:rsid w:val="00391F4B"/>
    <w:rsid w:val="0039223B"/>
    <w:rsid w:val="00392E2C"/>
    <w:rsid w:val="00393969"/>
    <w:rsid w:val="00394031"/>
    <w:rsid w:val="00394921"/>
    <w:rsid w:val="00395226"/>
    <w:rsid w:val="00395790"/>
    <w:rsid w:val="0039658E"/>
    <w:rsid w:val="00396896"/>
    <w:rsid w:val="00396FD0"/>
    <w:rsid w:val="00397FE4"/>
    <w:rsid w:val="003A0C74"/>
    <w:rsid w:val="003A1A7A"/>
    <w:rsid w:val="003A2392"/>
    <w:rsid w:val="003A246E"/>
    <w:rsid w:val="003A2831"/>
    <w:rsid w:val="003A2CE3"/>
    <w:rsid w:val="003A3CB6"/>
    <w:rsid w:val="003A3ED1"/>
    <w:rsid w:val="003A44DB"/>
    <w:rsid w:val="003A4810"/>
    <w:rsid w:val="003A4C14"/>
    <w:rsid w:val="003A5C8F"/>
    <w:rsid w:val="003A67BC"/>
    <w:rsid w:val="003A6EEF"/>
    <w:rsid w:val="003A73CE"/>
    <w:rsid w:val="003B0846"/>
    <w:rsid w:val="003B17EF"/>
    <w:rsid w:val="003B21F5"/>
    <w:rsid w:val="003B2472"/>
    <w:rsid w:val="003B262D"/>
    <w:rsid w:val="003B2F23"/>
    <w:rsid w:val="003B31FE"/>
    <w:rsid w:val="003B3971"/>
    <w:rsid w:val="003B3CFC"/>
    <w:rsid w:val="003B4731"/>
    <w:rsid w:val="003B4C24"/>
    <w:rsid w:val="003B55D1"/>
    <w:rsid w:val="003B5B61"/>
    <w:rsid w:val="003B6408"/>
    <w:rsid w:val="003B6409"/>
    <w:rsid w:val="003B7C39"/>
    <w:rsid w:val="003C0201"/>
    <w:rsid w:val="003C1654"/>
    <w:rsid w:val="003C4222"/>
    <w:rsid w:val="003C4ED0"/>
    <w:rsid w:val="003C5542"/>
    <w:rsid w:val="003C6685"/>
    <w:rsid w:val="003C67B3"/>
    <w:rsid w:val="003C70C9"/>
    <w:rsid w:val="003C727B"/>
    <w:rsid w:val="003C7548"/>
    <w:rsid w:val="003C78B7"/>
    <w:rsid w:val="003C7C15"/>
    <w:rsid w:val="003C7D19"/>
    <w:rsid w:val="003C7D2F"/>
    <w:rsid w:val="003D0C5A"/>
    <w:rsid w:val="003D1828"/>
    <w:rsid w:val="003D1DE4"/>
    <w:rsid w:val="003D1E9A"/>
    <w:rsid w:val="003D2422"/>
    <w:rsid w:val="003D2D43"/>
    <w:rsid w:val="003D3051"/>
    <w:rsid w:val="003D328C"/>
    <w:rsid w:val="003D3332"/>
    <w:rsid w:val="003D39A1"/>
    <w:rsid w:val="003D3FBF"/>
    <w:rsid w:val="003D42A6"/>
    <w:rsid w:val="003D4A30"/>
    <w:rsid w:val="003D4BBA"/>
    <w:rsid w:val="003D611B"/>
    <w:rsid w:val="003D7452"/>
    <w:rsid w:val="003D79BB"/>
    <w:rsid w:val="003D7C98"/>
    <w:rsid w:val="003D7D9D"/>
    <w:rsid w:val="003E0543"/>
    <w:rsid w:val="003E0A45"/>
    <w:rsid w:val="003E3393"/>
    <w:rsid w:val="003E5603"/>
    <w:rsid w:val="003E749E"/>
    <w:rsid w:val="003E7DCE"/>
    <w:rsid w:val="003F0517"/>
    <w:rsid w:val="003F102A"/>
    <w:rsid w:val="003F18B0"/>
    <w:rsid w:val="003F275A"/>
    <w:rsid w:val="003F2843"/>
    <w:rsid w:val="003F2C56"/>
    <w:rsid w:val="003F35E4"/>
    <w:rsid w:val="003F3CE8"/>
    <w:rsid w:val="003F4156"/>
    <w:rsid w:val="003F41D9"/>
    <w:rsid w:val="003F50D3"/>
    <w:rsid w:val="003F5ADF"/>
    <w:rsid w:val="003F63F8"/>
    <w:rsid w:val="003F76AC"/>
    <w:rsid w:val="0040065F"/>
    <w:rsid w:val="004008C7"/>
    <w:rsid w:val="00400B29"/>
    <w:rsid w:val="00400DE8"/>
    <w:rsid w:val="004015D7"/>
    <w:rsid w:val="00402812"/>
    <w:rsid w:val="004031BD"/>
    <w:rsid w:val="00403E31"/>
    <w:rsid w:val="00404C4F"/>
    <w:rsid w:val="0040504B"/>
    <w:rsid w:val="004059F4"/>
    <w:rsid w:val="00406FD7"/>
    <w:rsid w:val="00407FE5"/>
    <w:rsid w:val="004101B0"/>
    <w:rsid w:val="00410326"/>
    <w:rsid w:val="00410708"/>
    <w:rsid w:val="00410EC7"/>
    <w:rsid w:val="00411B39"/>
    <w:rsid w:val="00412408"/>
    <w:rsid w:val="004127A7"/>
    <w:rsid w:val="0041363E"/>
    <w:rsid w:val="00413A1E"/>
    <w:rsid w:val="00413F9C"/>
    <w:rsid w:val="00414476"/>
    <w:rsid w:val="004148BD"/>
    <w:rsid w:val="00414C2E"/>
    <w:rsid w:val="00414D3C"/>
    <w:rsid w:val="004151CF"/>
    <w:rsid w:val="00416364"/>
    <w:rsid w:val="0041654E"/>
    <w:rsid w:val="004165E8"/>
    <w:rsid w:val="00416916"/>
    <w:rsid w:val="00417BF5"/>
    <w:rsid w:val="00417E16"/>
    <w:rsid w:val="0042047F"/>
    <w:rsid w:val="00420AA6"/>
    <w:rsid w:val="00420B9F"/>
    <w:rsid w:val="0042192C"/>
    <w:rsid w:val="00422260"/>
    <w:rsid w:val="00422B32"/>
    <w:rsid w:val="00423668"/>
    <w:rsid w:val="0042413F"/>
    <w:rsid w:val="00425579"/>
    <w:rsid w:val="0043079D"/>
    <w:rsid w:val="004319F8"/>
    <w:rsid w:val="00431E55"/>
    <w:rsid w:val="004321F6"/>
    <w:rsid w:val="00432F42"/>
    <w:rsid w:val="00433044"/>
    <w:rsid w:val="00434088"/>
    <w:rsid w:val="00434581"/>
    <w:rsid w:val="0043492F"/>
    <w:rsid w:val="00434AF7"/>
    <w:rsid w:val="00435104"/>
    <w:rsid w:val="004360C4"/>
    <w:rsid w:val="004366E3"/>
    <w:rsid w:val="0043727D"/>
    <w:rsid w:val="004375B9"/>
    <w:rsid w:val="00437EFB"/>
    <w:rsid w:val="004402BF"/>
    <w:rsid w:val="0044192D"/>
    <w:rsid w:val="004428D0"/>
    <w:rsid w:val="00442AAE"/>
    <w:rsid w:val="00443088"/>
    <w:rsid w:val="004436AC"/>
    <w:rsid w:val="00444185"/>
    <w:rsid w:val="004442C3"/>
    <w:rsid w:val="00444361"/>
    <w:rsid w:val="00444382"/>
    <w:rsid w:val="004443A7"/>
    <w:rsid w:val="0044442C"/>
    <w:rsid w:val="00445941"/>
    <w:rsid w:val="00446387"/>
    <w:rsid w:val="004464EB"/>
    <w:rsid w:val="00446B46"/>
    <w:rsid w:val="00447CE6"/>
    <w:rsid w:val="00447D26"/>
    <w:rsid w:val="00447DFC"/>
    <w:rsid w:val="0045008A"/>
    <w:rsid w:val="004501F4"/>
    <w:rsid w:val="004523FC"/>
    <w:rsid w:val="0045251A"/>
    <w:rsid w:val="0045259C"/>
    <w:rsid w:val="00453784"/>
    <w:rsid w:val="00454CEA"/>
    <w:rsid w:val="0045520B"/>
    <w:rsid w:val="00455D45"/>
    <w:rsid w:val="00456A76"/>
    <w:rsid w:val="00456AD3"/>
    <w:rsid w:val="00457529"/>
    <w:rsid w:val="00460360"/>
    <w:rsid w:val="00461695"/>
    <w:rsid w:val="0046175C"/>
    <w:rsid w:val="0046315A"/>
    <w:rsid w:val="00464595"/>
    <w:rsid w:val="00464C05"/>
    <w:rsid w:val="0046527F"/>
    <w:rsid w:val="004656B3"/>
    <w:rsid w:val="004658B5"/>
    <w:rsid w:val="00471EA5"/>
    <w:rsid w:val="00472345"/>
    <w:rsid w:val="00472A79"/>
    <w:rsid w:val="00472B76"/>
    <w:rsid w:val="00472E19"/>
    <w:rsid w:val="00473F19"/>
    <w:rsid w:val="00475E22"/>
    <w:rsid w:val="00475EDA"/>
    <w:rsid w:val="0047702A"/>
    <w:rsid w:val="00477E2E"/>
    <w:rsid w:val="00480159"/>
    <w:rsid w:val="0048088E"/>
    <w:rsid w:val="00480992"/>
    <w:rsid w:val="00480D6A"/>
    <w:rsid w:val="00480F2B"/>
    <w:rsid w:val="00480FE0"/>
    <w:rsid w:val="00481411"/>
    <w:rsid w:val="0048220B"/>
    <w:rsid w:val="00482720"/>
    <w:rsid w:val="0048287E"/>
    <w:rsid w:val="004835E7"/>
    <w:rsid w:val="004859E1"/>
    <w:rsid w:val="00486432"/>
    <w:rsid w:val="004867E2"/>
    <w:rsid w:val="004907AE"/>
    <w:rsid w:val="004907E8"/>
    <w:rsid w:val="00490B17"/>
    <w:rsid w:val="00491B3A"/>
    <w:rsid w:val="004920C8"/>
    <w:rsid w:val="00492CFD"/>
    <w:rsid w:val="00492F1C"/>
    <w:rsid w:val="004938AF"/>
    <w:rsid w:val="00493BAA"/>
    <w:rsid w:val="00494207"/>
    <w:rsid w:val="00494DD5"/>
    <w:rsid w:val="0049553A"/>
    <w:rsid w:val="004955BC"/>
    <w:rsid w:val="00495DD1"/>
    <w:rsid w:val="004962D2"/>
    <w:rsid w:val="0049760C"/>
    <w:rsid w:val="004A07D6"/>
    <w:rsid w:val="004A0B97"/>
    <w:rsid w:val="004A0DA1"/>
    <w:rsid w:val="004A13D6"/>
    <w:rsid w:val="004A2E7D"/>
    <w:rsid w:val="004A325F"/>
    <w:rsid w:val="004A3664"/>
    <w:rsid w:val="004A38AF"/>
    <w:rsid w:val="004A3DB6"/>
    <w:rsid w:val="004A52E9"/>
    <w:rsid w:val="004A5A9D"/>
    <w:rsid w:val="004A6040"/>
    <w:rsid w:val="004A6597"/>
    <w:rsid w:val="004A698D"/>
    <w:rsid w:val="004A6D29"/>
    <w:rsid w:val="004A7848"/>
    <w:rsid w:val="004A793B"/>
    <w:rsid w:val="004A7B81"/>
    <w:rsid w:val="004B00A6"/>
    <w:rsid w:val="004B1CB4"/>
    <w:rsid w:val="004B2269"/>
    <w:rsid w:val="004B2F18"/>
    <w:rsid w:val="004B3162"/>
    <w:rsid w:val="004B3758"/>
    <w:rsid w:val="004B3DDB"/>
    <w:rsid w:val="004B4133"/>
    <w:rsid w:val="004B44FD"/>
    <w:rsid w:val="004B5601"/>
    <w:rsid w:val="004B5B36"/>
    <w:rsid w:val="004B5CA3"/>
    <w:rsid w:val="004B5CFC"/>
    <w:rsid w:val="004B69C3"/>
    <w:rsid w:val="004B6E9C"/>
    <w:rsid w:val="004B6F79"/>
    <w:rsid w:val="004B774D"/>
    <w:rsid w:val="004C0CE8"/>
    <w:rsid w:val="004C0EEF"/>
    <w:rsid w:val="004C1FAA"/>
    <w:rsid w:val="004C2425"/>
    <w:rsid w:val="004C252C"/>
    <w:rsid w:val="004C2AC2"/>
    <w:rsid w:val="004C4110"/>
    <w:rsid w:val="004C46B0"/>
    <w:rsid w:val="004C4AED"/>
    <w:rsid w:val="004C7291"/>
    <w:rsid w:val="004C72D6"/>
    <w:rsid w:val="004D12DA"/>
    <w:rsid w:val="004D1CEE"/>
    <w:rsid w:val="004D1FDA"/>
    <w:rsid w:val="004D2C2D"/>
    <w:rsid w:val="004D3714"/>
    <w:rsid w:val="004D3F72"/>
    <w:rsid w:val="004D4DA4"/>
    <w:rsid w:val="004D5AC8"/>
    <w:rsid w:val="004D5C53"/>
    <w:rsid w:val="004D6100"/>
    <w:rsid w:val="004D69B5"/>
    <w:rsid w:val="004D7227"/>
    <w:rsid w:val="004D7B5E"/>
    <w:rsid w:val="004E0E7F"/>
    <w:rsid w:val="004E0EB8"/>
    <w:rsid w:val="004E18E9"/>
    <w:rsid w:val="004E1B1F"/>
    <w:rsid w:val="004E29E3"/>
    <w:rsid w:val="004E2ADC"/>
    <w:rsid w:val="004E43B2"/>
    <w:rsid w:val="004E4A8A"/>
    <w:rsid w:val="004E5055"/>
    <w:rsid w:val="004E5A45"/>
    <w:rsid w:val="004E5EE9"/>
    <w:rsid w:val="004E6202"/>
    <w:rsid w:val="004E629E"/>
    <w:rsid w:val="004E73AC"/>
    <w:rsid w:val="004E74D1"/>
    <w:rsid w:val="004E750E"/>
    <w:rsid w:val="004F085D"/>
    <w:rsid w:val="004F1D02"/>
    <w:rsid w:val="004F2679"/>
    <w:rsid w:val="004F29E6"/>
    <w:rsid w:val="004F2F21"/>
    <w:rsid w:val="004F3D17"/>
    <w:rsid w:val="004F3DE5"/>
    <w:rsid w:val="004F43A8"/>
    <w:rsid w:val="004F4BCB"/>
    <w:rsid w:val="004F5B8B"/>
    <w:rsid w:val="004F66CD"/>
    <w:rsid w:val="004F6913"/>
    <w:rsid w:val="004F7865"/>
    <w:rsid w:val="005005B1"/>
    <w:rsid w:val="00500A8C"/>
    <w:rsid w:val="00500D49"/>
    <w:rsid w:val="0050174E"/>
    <w:rsid w:val="00501854"/>
    <w:rsid w:val="00501A0F"/>
    <w:rsid w:val="0050219B"/>
    <w:rsid w:val="00503F17"/>
    <w:rsid w:val="00503F3A"/>
    <w:rsid w:val="005042E7"/>
    <w:rsid w:val="0050493F"/>
    <w:rsid w:val="00505260"/>
    <w:rsid w:val="00506928"/>
    <w:rsid w:val="005077EF"/>
    <w:rsid w:val="00507F00"/>
    <w:rsid w:val="005103CB"/>
    <w:rsid w:val="005111F7"/>
    <w:rsid w:val="005113DD"/>
    <w:rsid w:val="00511AD5"/>
    <w:rsid w:val="00511BC5"/>
    <w:rsid w:val="00511DC7"/>
    <w:rsid w:val="00511E90"/>
    <w:rsid w:val="005142C5"/>
    <w:rsid w:val="005147A9"/>
    <w:rsid w:val="0051501B"/>
    <w:rsid w:val="005152B5"/>
    <w:rsid w:val="00515886"/>
    <w:rsid w:val="00516038"/>
    <w:rsid w:val="005165D0"/>
    <w:rsid w:val="005171FF"/>
    <w:rsid w:val="00520DEE"/>
    <w:rsid w:val="00520EF9"/>
    <w:rsid w:val="0052123C"/>
    <w:rsid w:val="00521319"/>
    <w:rsid w:val="00521F13"/>
    <w:rsid w:val="00521F60"/>
    <w:rsid w:val="00522748"/>
    <w:rsid w:val="00522BC8"/>
    <w:rsid w:val="00522C8B"/>
    <w:rsid w:val="00523C28"/>
    <w:rsid w:val="00525181"/>
    <w:rsid w:val="00526771"/>
    <w:rsid w:val="005269A7"/>
    <w:rsid w:val="00527E5E"/>
    <w:rsid w:val="00527E99"/>
    <w:rsid w:val="00530248"/>
    <w:rsid w:val="0053027A"/>
    <w:rsid w:val="00530AA0"/>
    <w:rsid w:val="00530EA1"/>
    <w:rsid w:val="0053176B"/>
    <w:rsid w:val="005323F3"/>
    <w:rsid w:val="00532B84"/>
    <w:rsid w:val="005341B3"/>
    <w:rsid w:val="00534623"/>
    <w:rsid w:val="00534912"/>
    <w:rsid w:val="00534AFB"/>
    <w:rsid w:val="00535E7C"/>
    <w:rsid w:val="00536C6C"/>
    <w:rsid w:val="00536CE6"/>
    <w:rsid w:val="00536F42"/>
    <w:rsid w:val="00537182"/>
    <w:rsid w:val="00537C4A"/>
    <w:rsid w:val="00540012"/>
    <w:rsid w:val="00541EDD"/>
    <w:rsid w:val="00542474"/>
    <w:rsid w:val="00542743"/>
    <w:rsid w:val="00542C2D"/>
    <w:rsid w:val="00542F64"/>
    <w:rsid w:val="00543356"/>
    <w:rsid w:val="0054417B"/>
    <w:rsid w:val="005448D2"/>
    <w:rsid w:val="00545EE2"/>
    <w:rsid w:val="00547322"/>
    <w:rsid w:val="005477B9"/>
    <w:rsid w:val="005478BD"/>
    <w:rsid w:val="005479E3"/>
    <w:rsid w:val="00547EC0"/>
    <w:rsid w:val="005506B2"/>
    <w:rsid w:val="0055153E"/>
    <w:rsid w:val="00551985"/>
    <w:rsid w:val="00552879"/>
    <w:rsid w:val="00552BD3"/>
    <w:rsid w:val="005532A0"/>
    <w:rsid w:val="00554F0F"/>
    <w:rsid w:val="00555109"/>
    <w:rsid w:val="00555B71"/>
    <w:rsid w:val="005565D0"/>
    <w:rsid w:val="0055687D"/>
    <w:rsid w:val="00556B35"/>
    <w:rsid w:val="0055741A"/>
    <w:rsid w:val="0056067F"/>
    <w:rsid w:val="0056069A"/>
    <w:rsid w:val="005611B7"/>
    <w:rsid w:val="0056135D"/>
    <w:rsid w:val="005618D4"/>
    <w:rsid w:val="00561BF5"/>
    <w:rsid w:val="00561CA4"/>
    <w:rsid w:val="005628BA"/>
    <w:rsid w:val="00562EB9"/>
    <w:rsid w:val="0056347F"/>
    <w:rsid w:val="005644A1"/>
    <w:rsid w:val="00564867"/>
    <w:rsid w:val="00564B5C"/>
    <w:rsid w:val="00565343"/>
    <w:rsid w:val="005654A7"/>
    <w:rsid w:val="00565C79"/>
    <w:rsid w:val="00565DCF"/>
    <w:rsid w:val="00565DF0"/>
    <w:rsid w:val="00566564"/>
    <w:rsid w:val="0056696F"/>
    <w:rsid w:val="00566C83"/>
    <w:rsid w:val="00566E30"/>
    <w:rsid w:val="00567383"/>
    <w:rsid w:val="005700F8"/>
    <w:rsid w:val="00570472"/>
    <w:rsid w:val="00571F25"/>
    <w:rsid w:val="00572269"/>
    <w:rsid w:val="0057244A"/>
    <w:rsid w:val="005724B5"/>
    <w:rsid w:val="00572F26"/>
    <w:rsid w:val="005730A7"/>
    <w:rsid w:val="005750C5"/>
    <w:rsid w:val="005752DE"/>
    <w:rsid w:val="00575D60"/>
    <w:rsid w:val="00575D8D"/>
    <w:rsid w:val="00576784"/>
    <w:rsid w:val="00576839"/>
    <w:rsid w:val="00576972"/>
    <w:rsid w:val="00576EE2"/>
    <w:rsid w:val="00577248"/>
    <w:rsid w:val="0057736B"/>
    <w:rsid w:val="0058041B"/>
    <w:rsid w:val="00581A95"/>
    <w:rsid w:val="00581D83"/>
    <w:rsid w:val="005823F6"/>
    <w:rsid w:val="005831CF"/>
    <w:rsid w:val="00583699"/>
    <w:rsid w:val="0058385A"/>
    <w:rsid w:val="00583D49"/>
    <w:rsid w:val="00583EEE"/>
    <w:rsid w:val="0058452D"/>
    <w:rsid w:val="00585CDD"/>
    <w:rsid w:val="00586876"/>
    <w:rsid w:val="00587058"/>
    <w:rsid w:val="0058736B"/>
    <w:rsid w:val="00587BB7"/>
    <w:rsid w:val="00590489"/>
    <w:rsid w:val="00591957"/>
    <w:rsid w:val="00594137"/>
    <w:rsid w:val="005966AD"/>
    <w:rsid w:val="00596FDC"/>
    <w:rsid w:val="00597BF9"/>
    <w:rsid w:val="005A03C4"/>
    <w:rsid w:val="005A0C11"/>
    <w:rsid w:val="005A1A62"/>
    <w:rsid w:val="005A1ED3"/>
    <w:rsid w:val="005A309A"/>
    <w:rsid w:val="005A373D"/>
    <w:rsid w:val="005A4D8A"/>
    <w:rsid w:val="005A5A16"/>
    <w:rsid w:val="005A5D4B"/>
    <w:rsid w:val="005A7603"/>
    <w:rsid w:val="005A7620"/>
    <w:rsid w:val="005B019F"/>
    <w:rsid w:val="005B0B58"/>
    <w:rsid w:val="005B162C"/>
    <w:rsid w:val="005B331C"/>
    <w:rsid w:val="005B4E53"/>
    <w:rsid w:val="005B5005"/>
    <w:rsid w:val="005B5211"/>
    <w:rsid w:val="005B5857"/>
    <w:rsid w:val="005B5A3D"/>
    <w:rsid w:val="005B6354"/>
    <w:rsid w:val="005B661C"/>
    <w:rsid w:val="005C19C4"/>
    <w:rsid w:val="005C1B83"/>
    <w:rsid w:val="005C25FF"/>
    <w:rsid w:val="005C2D55"/>
    <w:rsid w:val="005C2EC7"/>
    <w:rsid w:val="005C346B"/>
    <w:rsid w:val="005C3766"/>
    <w:rsid w:val="005C48F9"/>
    <w:rsid w:val="005C5ABC"/>
    <w:rsid w:val="005C7898"/>
    <w:rsid w:val="005D03A6"/>
    <w:rsid w:val="005D044D"/>
    <w:rsid w:val="005D0ABD"/>
    <w:rsid w:val="005D18AD"/>
    <w:rsid w:val="005D192F"/>
    <w:rsid w:val="005D26B4"/>
    <w:rsid w:val="005D46D5"/>
    <w:rsid w:val="005D4805"/>
    <w:rsid w:val="005D4F7F"/>
    <w:rsid w:val="005D70F1"/>
    <w:rsid w:val="005D7C3D"/>
    <w:rsid w:val="005D7EC1"/>
    <w:rsid w:val="005E1995"/>
    <w:rsid w:val="005E19BC"/>
    <w:rsid w:val="005E1EFE"/>
    <w:rsid w:val="005E40C6"/>
    <w:rsid w:val="005E6CBC"/>
    <w:rsid w:val="005E72FF"/>
    <w:rsid w:val="005E73C0"/>
    <w:rsid w:val="005E7560"/>
    <w:rsid w:val="005E7D05"/>
    <w:rsid w:val="005F07ED"/>
    <w:rsid w:val="005F098D"/>
    <w:rsid w:val="005F2706"/>
    <w:rsid w:val="005F3101"/>
    <w:rsid w:val="005F3370"/>
    <w:rsid w:val="005F4E1E"/>
    <w:rsid w:val="005F5248"/>
    <w:rsid w:val="005F53B4"/>
    <w:rsid w:val="005F5465"/>
    <w:rsid w:val="005F5C44"/>
    <w:rsid w:val="005F6176"/>
    <w:rsid w:val="005F629D"/>
    <w:rsid w:val="005F6A8F"/>
    <w:rsid w:val="005F6BB7"/>
    <w:rsid w:val="005F7287"/>
    <w:rsid w:val="005F73B3"/>
    <w:rsid w:val="005F7588"/>
    <w:rsid w:val="00600856"/>
    <w:rsid w:val="00601FC2"/>
    <w:rsid w:val="00603DB9"/>
    <w:rsid w:val="00604468"/>
    <w:rsid w:val="006047AC"/>
    <w:rsid w:val="00606A8E"/>
    <w:rsid w:val="00606D5F"/>
    <w:rsid w:val="00606FBA"/>
    <w:rsid w:val="00607669"/>
    <w:rsid w:val="006076F4"/>
    <w:rsid w:val="00607AFD"/>
    <w:rsid w:val="00610183"/>
    <w:rsid w:val="00611460"/>
    <w:rsid w:val="00611B12"/>
    <w:rsid w:val="0061230F"/>
    <w:rsid w:val="00612F97"/>
    <w:rsid w:val="0061345D"/>
    <w:rsid w:val="00613C9E"/>
    <w:rsid w:val="006149F1"/>
    <w:rsid w:val="0061549B"/>
    <w:rsid w:val="00615DA5"/>
    <w:rsid w:val="0061612B"/>
    <w:rsid w:val="00616469"/>
    <w:rsid w:val="00616802"/>
    <w:rsid w:val="00616FBB"/>
    <w:rsid w:val="006174C4"/>
    <w:rsid w:val="00617E12"/>
    <w:rsid w:val="00620BC9"/>
    <w:rsid w:val="00620C25"/>
    <w:rsid w:val="00621283"/>
    <w:rsid w:val="00621477"/>
    <w:rsid w:val="00621ADA"/>
    <w:rsid w:val="006235BC"/>
    <w:rsid w:val="00623F7B"/>
    <w:rsid w:val="006245FF"/>
    <w:rsid w:val="00624814"/>
    <w:rsid w:val="00624BD4"/>
    <w:rsid w:val="0062660B"/>
    <w:rsid w:val="00627839"/>
    <w:rsid w:val="0063121A"/>
    <w:rsid w:val="00631582"/>
    <w:rsid w:val="0063158F"/>
    <w:rsid w:val="00631D6B"/>
    <w:rsid w:val="00632183"/>
    <w:rsid w:val="006330A1"/>
    <w:rsid w:val="00633E74"/>
    <w:rsid w:val="0063479F"/>
    <w:rsid w:val="0063503D"/>
    <w:rsid w:val="006353F0"/>
    <w:rsid w:val="006357B5"/>
    <w:rsid w:val="00635B64"/>
    <w:rsid w:val="00635EAC"/>
    <w:rsid w:val="006364A1"/>
    <w:rsid w:val="0063678E"/>
    <w:rsid w:val="00636DB1"/>
    <w:rsid w:val="00637856"/>
    <w:rsid w:val="00637BFD"/>
    <w:rsid w:val="00637C5C"/>
    <w:rsid w:val="00641029"/>
    <w:rsid w:val="00641393"/>
    <w:rsid w:val="00641C4E"/>
    <w:rsid w:val="00641FB3"/>
    <w:rsid w:val="00642494"/>
    <w:rsid w:val="0064257C"/>
    <w:rsid w:val="00642656"/>
    <w:rsid w:val="00642804"/>
    <w:rsid w:val="006429AD"/>
    <w:rsid w:val="006437BF"/>
    <w:rsid w:val="0064399A"/>
    <w:rsid w:val="00643A13"/>
    <w:rsid w:val="00643AE1"/>
    <w:rsid w:val="006441B4"/>
    <w:rsid w:val="0064434C"/>
    <w:rsid w:val="0064444F"/>
    <w:rsid w:val="00644938"/>
    <w:rsid w:val="00644AD3"/>
    <w:rsid w:val="0064518E"/>
    <w:rsid w:val="00645515"/>
    <w:rsid w:val="00645544"/>
    <w:rsid w:val="006471CC"/>
    <w:rsid w:val="006472FE"/>
    <w:rsid w:val="00647A29"/>
    <w:rsid w:val="0065079F"/>
    <w:rsid w:val="00652A28"/>
    <w:rsid w:val="006533C2"/>
    <w:rsid w:val="006534C5"/>
    <w:rsid w:val="0065379F"/>
    <w:rsid w:val="00653995"/>
    <w:rsid w:val="00653C79"/>
    <w:rsid w:val="0065459C"/>
    <w:rsid w:val="006553F6"/>
    <w:rsid w:val="00656188"/>
    <w:rsid w:val="0065715A"/>
    <w:rsid w:val="00657734"/>
    <w:rsid w:val="006610F1"/>
    <w:rsid w:val="00661159"/>
    <w:rsid w:val="006619B9"/>
    <w:rsid w:val="00661C6B"/>
    <w:rsid w:val="00662379"/>
    <w:rsid w:val="00662999"/>
    <w:rsid w:val="00662D3E"/>
    <w:rsid w:val="00662DE8"/>
    <w:rsid w:val="00663E37"/>
    <w:rsid w:val="00664E2C"/>
    <w:rsid w:val="00665E7A"/>
    <w:rsid w:val="00667882"/>
    <w:rsid w:val="00667BE3"/>
    <w:rsid w:val="00670383"/>
    <w:rsid w:val="00670810"/>
    <w:rsid w:val="00670CF9"/>
    <w:rsid w:val="00671004"/>
    <w:rsid w:val="006721B3"/>
    <w:rsid w:val="00672646"/>
    <w:rsid w:val="006726A1"/>
    <w:rsid w:val="006730EC"/>
    <w:rsid w:val="00673434"/>
    <w:rsid w:val="006739D7"/>
    <w:rsid w:val="0067481D"/>
    <w:rsid w:val="0067492F"/>
    <w:rsid w:val="00674E42"/>
    <w:rsid w:val="00675699"/>
    <w:rsid w:val="00676130"/>
    <w:rsid w:val="0067616F"/>
    <w:rsid w:val="00676563"/>
    <w:rsid w:val="0068006D"/>
    <w:rsid w:val="00680866"/>
    <w:rsid w:val="006813F8"/>
    <w:rsid w:val="00682052"/>
    <w:rsid w:val="00682112"/>
    <w:rsid w:val="00682BA6"/>
    <w:rsid w:val="00683C27"/>
    <w:rsid w:val="0068407E"/>
    <w:rsid w:val="006849DD"/>
    <w:rsid w:val="00684E1F"/>
    <w:rsid w:val="006861FB"/>
    <w:rsid w:val="00686957"/>
    <w:rsid w:val="00686F4A"/>
    <w:rsid w:val="006872BA"/>
    <w:rsid w:val="00687600"/>
    <w:rsid w:val="006906BE"/>
    <w:rsid w:val="00690795"/>
    <w:rsid w:val="00690A8D"/>
    <w:rsid w:val="00691648"/>
    <w:rsid w:val="006917D7"/>
    <w:rsid w:val="00691DC0"/>
    <w:rsid w:val="006934A6"/>
    <w:rsid w:val="0069434C"/>
    <w:rsid w:val="00694F44"/>
    <w:rsid w:val="00695F7E"/>
    <w:rsid w:val="00696EF9"/>
    <w:rsid w:val="00696F51"/>
    <w:rsid w:val="006979A5"/>
    <w:rsid w:val="00697EA5"/>
    <w:rsid w:val="006A016F"/>
    <w:rsid w:val="006A0DF7"/>
    <w:rsid w:val="006A18CC"/>
    <w:rsid w:val="006A1BE1"/>
    <w:rsid w:val="006A386D"/>
    <w:rsid w:val="006A3B57"/>
    <w:rsid w:val="006A3BE0"/>
    <w:rsid w:val="006A4321"/>
    <w:rsid w:val="006A43D9"/>
    <w:rsid w:val="006A44AC"/>
    <w:rsid w:val="006A48F9"/>
    <w:rsid w:val="006A504E"/>
    <w:rsid w:val="006A56AE"/>
    <w:rsid w:val="006A57B6"/>
    <w:rsid w:val="006A638C"/>
    <w:rsid w:val="006A6B99"/>
    <w:rsid w:val="006A7501"/>
    <w:rsid w:val="006A7E5F"/>
    <w:rsid w:val="006B0D48"/>
    <w:rsid w:val="006B17FB"/>
    <w:rsid w:val="006B2102"/>
    <w:rsid w:val="006B261B"/>
    <w:rsid w:val="006B2C90"/>
    <w:rsid w:val="006B2DD0"/>
    <w:rsid w:val="006B30CF"/>
    <w:rsid w:val="006B354E"/>
    <w:rsid w:val="006B35E6"/>
    <w:rsid w:val="006B465A"/>
    <w:rsid w:val="006B6DD0"/>
    <w:rsid w:val="006B7F2A"/>
    <w:rsid w:val="006C0399"/>
    <w:rsid w:val="006C08FF"/>
    <w:rsid w:val="006C1164"/>
    <w:rsid w:val="006C142C"/>
    <w:rsid w:val="006C1DF6"/>
    <w:rsid w:val="006C1FB1"/>
    <w:rsid w:val="006C2A8E"/>
    <w:rsid w:val="006C30E0"/>
    <w:rsid w:val="006C3255"/>
    <w:rsid w:val="006C3F26"/>
    <w:rsid w:val="006C4A47"/>
    <w:rsid w:val="006C4DA1"/>
    <w:rsid w:val="006C50FD"/>
    <w:rsid w:val="006C5B1F"/>
    <w:rsid w:val="006D03F3"/>
    <w:rsid w:val="006D0D17"/>
    <w:rsid w:val="006D0FF7"/>
    <w:rsid w:val="006D249D"/>
    <w:rsid w:val="006D3C7D"/>
    <w:rsid w:val="006D4659"/>
    <w:rsid w:val="006D4722"/>
    <w:rsid w:val="006D4AFD"/>
    <w:rsid w:val="006D5372"/>
    <w:rsid w:val="006D5D5F"/>
    <w:rsid w:val="006D5FAE"/>
    <w:rsid w:val="006D5FBD"/>
    <w:rsid w:val="006D60D7"/>
    <w:rsid w:val="006D68FB"/>
    <w:rsid w:val="006D6FEA"/>
    <w:rsid w:val="006D737E"/>
    <w:rsid w:val="006E07D0"/>
    <w:rsid w:val="006E0D42"/>
    <w:rsid w:val="006E2241"/>
    <w:rsid w:val="006E2868"/>
    <w:rsid w:val="006E4924"/>
    <w:rsid w:val="006E5D7D"/>
    <w:rsid w:val="006E5F99"/>
    <w:rsid w:val="006F0636"/>
    <w:rsid w:val="006F0F48"/>
    <w:rsid w:val="006F1112"/>
    <w:rsid w:val="006F19F3"/>
    <w:rsid w:val="006F25A8"/>
    <w:rsid w:val="006F306C"/>
    <w:rsid w:val="006F39C9"/>
    <w:rsid w:val="006F43E4"/>
    <w:rsid w:val="006F63A5"/>
    <w:rsid w:val="00700AD7"/>
    <w:rsid w:val="00700DB9"/>
    <w:rsid w:val="007012EF"/>
    <w:rsid w:val="0070142B"/>
    <w:rsid w:val="00701698"/>
    <w:rsid w:val="0070276E"/>
    <w:rsid w:val="00702F8F"/>
    <w:rsid w:val="00703108"/>
    <w:rsid w:val="00703ED7"/>
    <w:rsid w:val="007041AE"/>
    <w:rsid w:val="0070595A"/>
    <w:rsid w:val="00706A82"/>
    <w:rsid w:val="00706C0E"/>
    <w:rsid w:val="0070710F"/>
    <w:rsid w:val="007079FC"/>
    <w:rsid w:val="007100E1"/>
    <w:rsid w:val="0071128D"/>
    <w:rsid w:val="00711A36"/>
    <w:rsid w:val="007125D3"/>
    <w:rsid w:val="00714C26"/>
    <w:rsid w:val="0071529C"/>
    <w:rsid w:val="007170DA"/>
    <w:rsid w:val="007172AD"/>
    <w:rsid w:val="007174C2"/>
    <w:rsid w:val="00717546"/>
    <w:rsid w:val="00717785"/>
    <w:rsid w:val="00720801"/>
    <w:rsid w:val="00720A62"/>
    <w:rsid w:val="00720C4A"/>
    <w:rsid w:val="007218DD"/>
    <w:rsid w:val="00721F8F"/>
    <w:rsid w:val="0072283B"/>
    <w:rsid w:val="00722B1B"/>
    <w:rsid w:val="00724024"/>
    <w:rsid w:val="0072407A"/>
    <w:rsid w:val="0072416F"/>
    <w:rsid w:val="0072472B"/>
    <w:rsid w:val="007247D1"/>
    <w:rsid w:val="00724C66"/>
    <w:rsid w:val="00724DA6"/>
    <w:rsid w:val="00726856"/>
    <w:rsid w:val="00727769"/>
    <w:rsid w:val="00727AFD"/>
    <w:rsid w:val="00727C94"/>
    <w:rsid w:val="00731306"/>
    <w:rsid w:val="00731B0A"/>
    <w:rsid w:val="00731EAE"/>
    <w:rsid w:val="00733073"/>
    <w:rsid w:val="0073399B"/>
    <w:rsid w:val="00733D72"/>
    <w:rsid w:val="007344F1"/>
    <w:rsid w:val="0073465D"/>
    <w:rsid w:val="00735033"/>
    <w:rsid w:val="00735328"/>
    <w:rsid w:val="007356EF"/>
    <w:rsid w:val="0073685B"/>
    <w:rsid w:val="00736993"/>
    <w:rsid w:val="007371A8"/>
    <w:rsid w:val="00737617"/>
    <w:rsid w:val="007376C9"/>
    <w:rsid w:val="0073788A"/>
    <w:rsid w:val="007412AC"/>
    <w:rsid w:val="007414A5"/>
    <w:rsid w:val="00741E00"/>
    <w:rsid w:val="00742F31"/>
    <w:rsid w:val="007438B3"/>
    <w:rsid w:val="00743B7B"/>
    <w:rsid w:val="00743BF9"/>
    <w:rsid w:val="00743C4C"/>
    <w:rsid w:val="007440D6"/>
    <w:rsid w:val="007446F5"/>
    <w:rsid w:val="007449BF"/>
    <w:rsid w:val="00744D87"/>
    <w:rsid w:val="007458AF"/>
    <w:rsid w:val="007463FE"/>
    <w:rsid w:val="00746BC0"/>
    <w:rsid w:val="007500F0"/>
    <w:rsid w:val="0075093C"/>
    <w:rsid w:val="007510B4"/>
    <w:rsid w:val="007518AC"/>
    <w:rsid w:val="00752142"/>
    <w:rsid w:val="0075224B"/>
    <w:rsid w:val="007523F9"/>
    <w:rsid w:val="007526B6"/>
    <w:rsid w:val="00753111"/>
    <w:rsid w:val="0075357E"/>
    <w:rsid w:val="00753B29"/>
    <w:rsid w:val="007569AE"/>
    <w:rsid w:val="007573E8"/>
    <w:rsid w:val="0075750F"/>
    <w:rsid w:val="00757BD2"/>
    <w:rsid w:val="00760C4E"/>
    <w:rsid w:val="00760F9E"/>
    <w:rsid w:val="007616E6"/>
    <w:rsid w:val="00762048"/>
    <w:rsid w:val="007627BE"/>
    <w:rsid w:val="007634B3"/>
    <w:rsid w:val="00764F03"/>
    <w:rsid w:val="00765B1A"/>
    <w:rsid w:val="00765DAA"/>
    <w:rsid w:val="00765DC1"/>
    <w:rsid w:val="007663B1"/>
    <w:rsid w:val="0076671C"/>
    <w:rsid w:val="0076688C"/>
    <w:rsid w:val="007675FD"/>
    <w:rsid w:val="00770AF8"/>
    <w:rsid w:val="007731BA"/>
    <w:rsid w:val="00773931"/>
    <w:rsid w:val="00775101"/>
    <w:rsid w:val="00776608"/>
    <w:rsid w:val="0077700F"/>
    <w:rsid w:val="00777335"/>
    <w:rsid w:val="007774E7"/>
    <w:rsid w:val="00777704"/>
    <w:rsid w:val="007801F3"/>
    <w:rsid w:val="007832E8"/>
    <w:rsid w:val="00783A84"/>
    <w:rsid w:val="00783CA5"/>
    <w:rsid w:val="00784259"/>
    <w:rsid w:val="007843F2"/>
    <w:rsid w:val="007846FA"/>
    <w:rsid w:val="00785A9F"/>
    <w:rsid w:val="00785FCA"/>
    <w:rsid w:val="007915F9"/>
    <w:rsid w:val="007925DF"/>
    <w:rsid w:val="0079309E"/>
    <w:rsid w:val="007945D9"/>
    <w:rsid w:val="0079569F"/>
    <w:rsid w:val="007956A1"/>
    <w:rsid w:val="007962A7"/>
    <w:rsid w:val="00796D83"/>
    <w:rsid w:val="00797F77"/>
    <w:rsid w:val="007A00BE"/>
    <w:rsid w:val="007A0827"/>
    <w:rsid w:val="007A08AA"/>
    <w:rsid w:val="007A0A12"/>
    <w:rsid w:val="007A132D"/>
    <w:rsid w:val="007A1345"/>
    <w:rsid w:val="007A259A"/>
    <w:rsid w:val="007A2C93"/>
    <w:rsid w:val="007A2DDB"/>
    <w:rsid w:val="007A3FD5"/>
    <w:rsid w:val="007A70BA"/>
    <w:rsid w:val="007B0784"/>
    <w:rsid w:val="007B0D67"/>
    <w:rsid w:val="007B0D68"/>
    <w:rsid w:val="007B251D"/>
    <w:rsid w:val="007B30A7"/>
    <w:rsid w:val="007B3533"/>
    <w:rsid w:val="007B3BC9"/>
    <w:rsid w:val="007B4801"/>
    <w:rsid w:val="007B4F58"/>
    <w:rsid w:val="007B528D"/>
    <w:rsid w:val="007B63CA"/>
    <w:rsid w:val="007B6DAD"/>
    <w:rsid w:val="007B71D9"/>
    <w:rsid w:val="007B74B7"/>
    <w:rsid w:val="007B77D1"/>
    <w:rsid w:val="007B7BAC"/>
    <w:rsid w:val="007C07C7"/>
    <w:rsid w:val="007C1CD9"/>
    <w:rsid w:val="007C25A5"/>
    <w:rsid w:val="007C2AD0"/>
    <w:rsid w:val="007C32EF"/>
    <w:rsid w:val="007C3367"/>
    <w:rsid w:val="007C361D"/>
    <w:rsid w:val="007C3C04"/>
    <w:rsid w:val="007C4B84"/>
    <w:rsid w:val="007C6306"/>
    <w:rsid w:val="007C670A"/>
    <w:rsid w:val="007C70FF"/>
    <w:rsid w:val="007C7AF7"/>
    <w:rsid w:val="007C7BCB"/>
    <w:rsid w:val="007C7C25"/>
    <w:rsid w:val="007D004F"/>
    <w:rsid w:val="007D035F"/>
    <w:rsid w:val="007D049B"/>
    <w:rsid w:val="007D04B4"/>
    <w:rsid w:val="007D06B2"/>
    <w:rsid w:val="007D0B38"/>
    <w:rsid w:val="007D0E81"/>
    <w:rsid w:val="007D226D"/>
    <w:rsid w:val="007D3B23"/>
    <w:rsid w:val="007D48AF"/>
    <w:rsid w:val="007D4BE9"/>
    <w:rsid w:val="007D5440"/>
    <w:rsid w:val="007D5D88"/>
    <w:rsid w:val="007D607E"/>
    <w:rsid w:val="007D69EB"/>
    <w:rsid w:val="007E128F"/>
    <w:rsid w:val="007E23D2"/>
    <w:rsid w:val="007E36BF"/>
    <w:rsid w:val="007E473E"/>
    <w:rsid w:val="007E4B6B"/>
    <w:rsid w:val="007E5C8D"/>
    <w:rsid w:val="007E6333"/>
    <w:rsid w:val="007F1017"/>
    <w:rsid w:val="007F15A7"/>
    <w:rsid w:val="007F1919"/>
    <w:rsid w:val="007F1B86"/>
    <w:rsid w:val="007F3B6A"/>
    <w:rsid w:val="007F40C1"/>
    <w:rsid w:val="007F4A3F"/>
    <w:rsid w:val="007F4A61"/>
    <w:rsid w:val="007F4E0F"/>
    <w:rsid w:val="007F5255"/>
    <w:rsid w:val="007F56CC"/>
    <w:rsid w:val="007F59E1"/>
    <w:rsid w:val="007F61C2"/>
    <w:rsid w:val="007F6476"/>
    <w:rsid w:val="007F7A45"/>
    <w:rsid w:val="0080064C"/>
    <w:rsid w:val="00801440"/>
    <w:rsid w:val="00802D77"/>
    <w:rsid w:val="008043B6"/>
    <w:rsid w:val="00804B46"/>
    <w:rsid w:val="00805142"/>
    <w:rsid w:val="00805FCE"/>
    <w:rsid w:val="008065E8"/>
    <w:rsid w:val="0080721E"/>
    <w:rsid w:val="00807A8B"/>
    <w:rsid w:val="008102AC"/>
    <w:rsid w:val="008105F0"/>
    <w:rsid w:val="00810615"/>
    <w:rsid w:val="00810994"/>
    <w:rsid w:val="00811383"/>
    <w:rsid w:val="00811FEC"/>
    <w:rsid w:val="00812149"/>
    <w:rsid w:val="0081236E"/>
    <w:rsid w:val="00812CAC"/>
    <w:rsid w:val="0081323A"/>
    <w:rsid w:val="00814796"/>
    <w:rsid w:val="008155F1"/>
    <w:rsid w:val="00815BD3"/>
    <w:rsid w:val="00816181"/>
    <w:rsid w:val="00816361"/>
    <w:rsid w:val="00816470"/>
    <w:rsid w:val="008166EF"/>
    <w:rsid w:val="0081681D"/>
    <w:rsid w:val="00816FEF"/>
    <w:rsid w:val="008171B9"/>
    <w:rsid w:val="00817E61"/>
    <w:rsid w:val="00820318"/>
    <w:rsid w:val="00820A8C"/>
    <w:rsid w:val="00820D61"/>
    <w:rsid w:val="00821137"/>
    <w:rsid w:val="008215FB"/>
    <w:rsid w:val="008217D0"/>
    <w:rsid w:val="008220CC"/>
    <w:rsid w:val="00822739"/>
    <w:rsid w:val="0082298C"/>
    <w:rsid w:val="00822D3B"/>
    <w:rsid w:val="00823174"/>
    <w:rsid w:val="00825243"/>
    <w:rsid w:val="008255E5"/>
    <w:rsid w:val="00825751"/>
    <w:rsid w:val="00825FEF"/>
    <w:rsid w:val="008264EB"/>
    <w:rsid w:val="008268CE"/>
    <w:rsid w:val="008275C3"/>
    <w:rsid w:val="00827B48"/>
    <w:rsid w:val="00827C23"/>
    <w:rsid w:val="00827DA6"/>
    <w:rsid w:val="00831499"/>
    <w:rsid w:val="00832358"/>
    <w:rsid w:val="00832A75"/>
    <w:rsid w:val="00832A99"/>
    <w:rsid w:val="00833B05"/>
    <w:rsid w:val="00833DDC"/>
    <w:rsid w:val="008340FC"/>
    <w:rsid w:val="008362B4"/>
    <w:rsid w:val="0083664E"/>
    <w:rsid w:val="00836EED"/>
    <w:rsid w:val="008406F4"/>
    <w:rsid w:val="0084097B"/>
    <w:rsid w:val="00840CA2"/>
    <w:rsid w:val="00840E25"/>
    <w:rsid w:val="00841A56"/>
    <w:rsid w:val="00842738"/>
    <w:rsid w:val="0084374F"/>
    <w:rsid w:val="008443E0"/>
    <w:rsid w:val="00844A22"/>
    <w:rsid w:val="00845548"/>
    <w:rsid w:val="0084588D"/>
    <w:rsid w:val="00845F33"/>
    <w:rsid w:val="00847178"/>
    <w:rsid w:val="00847703"/>
    <w:rsid w:val="00847DF5"/>
    <w:rsid w:val="00850375"/>
    <w:rsid w:val="0085093C"/>
    <w:rsid w:val="00851ECE"/>
    <w:rsid w:val="00852470"/>
    <w:rsid w:val="00852567"/>
    <w:rsid w:val="0085309D"/>
    <w:rsid w:val="00853DC5"/>
    <w:rsid w:val="00853DFE"/>
    <w:rsid w:val="008542E9"/>
    <w:rsid w:val="00854358"/>
    <w:rsid w:val="0085479F"/>
    <w:rsid w:val="008551EA"/>
    <w:rsid w:val="00855F49"/>
    <w:rsid w:val="008567DC"/>
    <w:rsid w:val="00856897"/>
    <w:rsid w:val="00856E9A"/>
    <w:rsid w:val="0085701F"/>
    <w:rsid w:val="008577FA"/>
    <w:rsid w:val="00860010"/>
    <w:rsid w:val="008600A3"/>
    <w:rsid w:val="0086075D"/>
    <w:rsid w:val="00860B7F"/>
    <w:rsid w:val="00860F48"/>
    <w:rsid w:val="00860F8E"/>
    <w:rsid w:val="00861D5F"/>
    <w:rsid w:val="00862502"/>
    <w:rsid w:val="00862CC1"/>
    <w:rsid w:val="00863547"/>
    <w:rsid w:val="008642A7"/>
    <w:rsid w:val="00865FE6"/>
    <w:rsid w:val="008660D4"/>
    <w:rsid w:val="008668C8"/>
    <w:rsid w:val="00867D72"/>
    <w:rsid w:val="0087102D"/>
    <w:rsid w:val="0087159F"/>
    <w:rsid w:val="00871FA9"/>
    <w:rsid w:val="008724B9"/>
    <w:rsid w:val="008728E9"/>
    <w:rsid w:val="00872EA8"/>
    <w:rsid w:val="0087438B"/>
    <w:rsid w:val="008745EB"/>
    <w:rsid w:val="00874C7E"/>
    <w:rsid w:val="00877163"/>
    <w:rsid w:val="00877C4C"/>
    <w:rsid w:val="008805FD"/>
    <w:rsid w:val="00880AF4"/>
    <w:rsid w:val="00881787"/>
    <w:rsid w:val="00882874"/>
    <w:rsid w:val="00882E3C"/>
    <w:rsid w:val="0088308A"/>
    <w:rsid w:val="00883787"/>
    <w:rsid w:val="008846D5"/>
    <w:rsid w:val="00885040"/>
    <w:rsid w:val="008855E4"/>
    <w:rsid w:val="00885BF6"/>
    <w:rsid w:val="00885D25"/>
    <w:rsid w:val="00886427"/>
    <w:rsid w:val="008868B6"/>
    <w:rsid w:val="00886CD2"/>
    <w:rsid w:val="00887AE1"/>
    <w:rsid w:val="00890451"/>
    <w:rsid w:val="00890F57"/>
    <w:rsid w:val="00891A1E"/>
    <w:rsid w:val="00891E6F"/>
    <w:rsid w:val="00891EC7"/>
    <w:rsid w:val="0089275D"/>
    <w:rsid w:val="00892A36"/>
    <w:rsid w:val="00892A37"/>
    <w:rsid w:val="00892B4B"/>
    <w:rsid w:val="00892D10"/>
    <w:rsid w:val="00892F97"/>
    <w:rsid w:val="00893239"/>
    <w:rsid w:val="00894298"/>
    <w:rsid w:val="00894489"/>
    <w:rsid w:val="008946B6"/>
    <w:rsid w:val="00894CD6"/>
    <w:rsid w:val="008957EB"/>
    <w:rsid w:val="008958D5"/>
    <w:rsid w:val="008963A5"/>
    <w:rsid w:val="00896D5D"/>
    <w:rsid w:val="008979BF"/>
    <w:rsid w:val="008A03F9"/>
    <w:rsid w:val="008A0D2F"/>
    <w:rsid w:val="008A1E33"/>
    <w:rsid w:val="008A2286"/>
    <w:rsid w:val="008A24FE"/>
    <w:rsid w:val="008A2777"/>
    <w:rsid w:val="008A2AA0"/>
    <w:rsid w:val="008A2AFE"/>
    <w:rsid w:val="008A3158"/>
    <w:rsid w:val="008A3363"/>
    <w:rsid w:val="008A3371"/>
    <w:rsid w:val="008A3C3E"/>
    <w:rsid w:val="008A5D14"/>
    <w:rsid w:val="008A73D3"/>
    <w:rsid w:val="008A79DE"/>
    <w:rsid w:val="008B045E"/>
    <w:rsid w:val="008B06E4"/>
    <w:rsid w:val="008B0892"/>
    <w:rsid w:val="008B1757"/>
    <w:rsid w:val="008B1C33"/>
    <w:rsid w:val="008B27B2"/>
    <w:rsid w:val="008B418A"/>
    <w:rsid w:val="008B4AF5"/>
    <w:rsid w:val="008B4B04"/>
    <w:rsid w:val="008B4B6F"/>
    <w:rsid w:val="008B4FEE"/>
    <w:rsid w:val="008B5636"/>
    <w:rsid w:val="008B6527"/>
    <w:rsid w:val="008B6722"/>
    <w:rsid w:val="008B7992"/>
    <w:rsid w:val="008B7D7E"/>
    <w:rsid w:val="008C0227"/>
    <w:rsid w:val="008C0393"/>
    <w:rsid w:val="008C1A61"/>
    <w:rsid w:val="008C2483"/>
    <w:rsid w:val="008C3821"/>
    <w:rsid w:val="008C410A"/>
    <w:rsid w:val="008C4415"/>
    <w:rsid w:val="008C4CC0"/>
    <w:rsid w:val="008C530F"/>
    <w:rsid w:val="008C5610"/>
    <w:rsid w:val="008C5739"/>
    <w:rsid w:val="008C59C5"/>
    <w:rsid w:val="008C7282"/>
    <w:rsid w:val="008C7392"/>
    <w:rsid w:val="008C7ECB"/>
    <w:rsid w:val="008D0610"/>
    <w:rsid w:val="008D0D5B"/>
    <w:rsid w:val="008D0F06"/>
    <w:rsid w:val="008D2D6B"/>
    <w:rsid w:val="008D3355"/>
    <w:rsid w:val="008D3B86"/>
    <w:rsid w:val="008D43FD"/>
    <w:rsid w:val="008D4755"/>
    <w:rsid w:val="008D4C3D"/>
    <w:rsid w:val="008D57C3"/>
    <w:rsid w:val="008D743C"/>
    <w:rsid w:val="008D7637"/>
    <w:rsid w:val="008E00E5"/>
    <w:rsid w:val="008E0D3C"/>
    <w:rsid w:val="008E1608"/>
    <w:rsid w:val="008E1839"/>
    <w:rsid w:val="008E18FF"/>
    <w:rsid w:val="008E1B9E"/>
    <w:rsid w:val="008E1DA0"/>
    <w:rsid w:val="008E32A2"/>
    <w:rsid w:val="008E43BE"/>
    <w:rsid w:val="008E45E2"/>
    <w:rsid w:val="008E4F55"/>
    <w:rsid w:val="008E55AB"/>
    <w:rsid w:val="008E5805"/>
    <w:rsid w:val="008E6CF1"/>
    <w:rsid w:val="008E6F72"/>
    <w:rsid w:val="008F06C4"/>
    <w:rsid w:val="008F120A"/>
    <w:rsid w:val="008F1EC3"/>
    <w:rsid w:val="008F27E0"/>
    <w:rsid w:val="008F2BAA"/>
    <w:rsid w:val="008F4307"/>
    <w:rsid w:val="008F44C1"/>
    <w:rsid w:val="008F48EB"/>
    <w:rsid w:val="008F4F0B"/>
    <w:rsid w:val="008F51B8"/>
    <w:rsid w:val="008F5798"/>
    <w:rsid w:val="008F5F57"/>
    <w:rsid w:val="008F5FAF"/>
    <w:rsid w:val="008F617A"/>
    <w:rsid w:val="00900300"/>
    <w:rsid w:val="009005FD"/>
    <w:rsid w:val="0090099E"/>
    <w:rsid w:val="009009AF"/>
    <w:rsid w:val="00900FB1"/>
    <w:rsid w:val="0090129F"/>
    <w:rsid w:val="009018E7"/>
    <w:rsid w:val="00901901"/>
    <w:rsid w:val="00901A21"/>
    <w:rsid w:val="009046C4"/>
    <w:rsid w:val="00905CB6"/>
    <w:rsid w:val="009062A5"/>
    <w:rsid w:val="00906BE4"/>
    <w:rsid w:val="00907699"/>
    <w:rsid w:val="00910569"/>
    <w:rsid w:val="00910FA7"/>
    <w:rsid w:val="00911272"/>
    <w:rsid w:val="00911339"/>
    <w:rsid w:val="00911CD7"/>
    <w:rsid w:val="00911E01"/>
    <w:rsid w:val="0091276E"/>
    <w:rsid w:val="009135D6"/>
    <w:rsid w:val="00913FE0"/>
    <w:rsid w:val="00914962"/>
    <w:rsid w:val="00914C77"/>
    <w:rsid w:val="0091734B"/>
    <w:rsid w:val="00917730"/>
    <w:rsid w:val="00921168"/>
    <w:rsid w:val="0092172D"/>
    <w:rsid w:val="00921ACB"/>
    <w:rsid w:val="0092293E"/>
    <w:rsid w:val="00922DA8"/>
    <w:rsid w:val="00922E42"/>
    <w:rsid w:val="0092369B"/>
    <w:rsid w:val="00923C7E"/>
    <w:rsid w:val="00924138"/>
    <w:rsid w:val="009245A2"/>
    <w:rsid w:val="00926D5F"/>
    <w:rsid w:val="00931435"/>
    <w:rsid w:val="00931AFA"/>
    <w:rsid w:val="00931B73"/>
    <w:rsid w:val="00931CF2"/>
    <w:rsid w:val="009321AC"/>
    <w:rsid w:val="00932510"/>
    <w:rsid w:val="00933D96"/>
    <w:rsid w:val="0093418E"/>
    <w:rsid w:val="00934988"/>
    <w:rsid w:val="00937089"/>
    <w:rsid w:val="009371E0"/>
    <w:rsid w:val="00937A4F"/>
    <w:rsid w:val="009402E7"/>
    <w:rsid w:val="00941004"/>
    <w:rsid w:val="00941812"/>
    <w:rsid w:val="00942708"/>
    <w:rsid w:val="00942EA0"/>
    <w:rsid w:val="00943F9D"/>
    <w:rsid w:val="0094469E"/>
    <w:rsid w:val="009449D0"/>
    <w:rsid w:val="00944F8A"/>
    <w:rsid w:val="00946BFA"/>
    <w:rsid w:val="0094759F"/>
    <w:rsid w:val="00947ED0"/>
    <w:rsid w:val="009510A2"/>
    <w:rsid w:val="00953257"/>
    <w:rsid w:val="00953319"/>
    <w:rsid w:val="009536CA"/>
    <w:rsid w:val="0095474C"/>
    <w:rsid w:val="00955995"/>
    <w:rsid w:val="00957D92"/>
    <w:rsid w:val="0096004F"/>
    <w:rsid w:val="0096107C"/>
    <w:rsid w:val="00961B19"/>
    <w:rsid w:val="00962AD5"/>
    <w:rsid w:val="00962CB9"/>
    <w:rsid w:val="0096367D"/>
    <w:rsid w:val="00963F5A"/>
    <w:rsid w:val="00964312"/>
    <w:rsid w:val="00965B8A"/>
    <w:rsid w:val="0096637E"/>
    <w:rsid w:val="0097071F"/>
    <w:rsid w:val="009717AC"/>
    <w:rsid w:val="0097299F"/>
    <w:rsid w:val="009738D3"/>
    <w:rsid w:val="00974C51"/>
    <w:rsid w:val="009751C1"/>
    <w:rsid w:val="009759CA"/>
    <w:rsid w:val="0097691B"/>
    <w:rsid w:val="0097789C"/>
    <w:rsid w:val="009811F1"/>
    <w:rsid w:val="0098235E"/>
    <w:rsid w:val="00982A7F"/>
    <w:rsid w:val="00983E57"/>
    <w:rsid w:val="00984958"/>
    <w:rsid w:val="0098588E"/>
    <w:rsid w:val="00985DE2"/>
    <w:rsid w:val="009865B1"/>
    <w:rsid w:val="0098675D"/>
    <w:rsid w:val="009867A5"/>
    <w:rsid w:val="0098696C"/>
    <w:rsid w:val="00987BA4"/>
    <w:rsid w:val="00990597"/>
    <w:rsid w:val="0099183D"/>
    <w:rsid w:val="009926E0"/>
    <w:rsid w:val="00993986"/>
    <w:rsid w:val="0099404A"/>
    <w:rsid w:val="0099451E"/>
    <w:rsid w:val="00996175"/>
    <w:rsid w:val="009963F2"/>
    <w:rsid w:val="0099655F"/>
    <w:rsid w:val="00996574"/>
    <w:rsid w:val="00996892"/>
    <w:rsid w:val="00996B1A"/>
    <w:rsid w:val="0099750C"/>
    <w:rsid w:val="009979F3"/>
    <w:rsid w:val="009A04CA"/>
    <w:rsid w:val="009A0E96"/>
    <w:rsid w:val="009A1458"/>
    <w:rsid w:val="009A18F6"/>
    <w:rsid w:val="009A1B53"/>
    <w:rsid w:val="009A1F8B"/>
    <w:rsid w:val="009A26D0"/>
    <w:rsid w:val="009A27ED"/>
    <w:rsid w:val="009A2DCC"/>
    <w:rsid w:val="009A47EC"/>
    <w:rsid w:val="009A4852"/>
    <w:rsid w:val="009A5370"/>
    <w:rsid w:val="009A54D2"/>
    <w:rsid w:val="009A5ABC"/>
    <w:rsid w:val="009A5D35"/>
    <w:rsid w:val="009A5FE9"/>
    <w:rsid w:val="009A6978"/>
    <w:rsid w:val="009A7F10"/>
    <w:rsid w:val="009B116E"/>
    <w:rsid w:val="009B1C92"/>
    <w:rsid w:val="009B2F52"/>
    <w:rsid w:val="009B30B9"/>
    <w:rsid w:val="009B3439"/>
    <w:rsid w:val="009B39B4"/>
    <w:rsid w:val="009B3E26"/>
    <w:rsid w:val="009B6BC5"/>
    <w:rsid w:val="009B70AF"/>
    <w:rsid w:val="009B71E0"/>
    <w:rsid w:val="009B7C0D"/>
    <w:rsid w:val="009B7CB5"/>
    <w:rsid w:val="009C1271"/>
    <w:rsid w:val="009C16CE"/>
    <w:rsid w:val="009C3706"/>
    <w:rsid w:val="009C3A3A"/>
    <w:rsid w:val="009C4224"/>
    <w:rsid w:val="009C57A3"/>
    <w:rsid w:val="009C6CEA"/>
    <w:rsid w:val="009C7248"/>
    <w:rsid w:val="009C75B9"/>
    <w:rsid w:val="009C7B30"/>
    <w:rsid w:val="009C7B85"/>
    <w:rsid w:val="009C7C2A"/>
    <w:rsid w:val="009C7D0E"/>
    <w:rsid w:val="009D0254"/>
    <w:rsid w:val="009D0737"/>
    <w:rsid w:val="009D1A64"/>
    <w:rsid w:val="009D2267"/>
    <w:rsid w:val="009D3597"/>
    <w:rsid w:val="009D3D98"/>
    <w:rsid w:val="009D40CC"/>
    <w:rsid w:val="009D4B77"/>
    <w:rsid w:val="009D4E27"/>
    <w:rsid w:val="009D5B36"/>
    <w:rsid w:val="009D5B91"/>
    <w:rsid w:val="009D5CA7"/>
    <w:rsid w:val="009D60EE"/>
    <w:rsid w:val="009D653D"/>
    <w:rsid w:val="009D792E"/>
    <w:rsid w:val="009E056F"/>
    <w:rsid w:val="009E0DFE"/>
    <w:rsid w:val="009E1576"/>
    <w:rsid w:val="009E1839"/>
    <w:rsid w:val="009E2412"/>
    <w:rsid w:val="009E31F6"/>
    <w:rsid w:val="009E3FCC"/>
    <w:rsid w:val="009E45E7"/>
    <w:rsid w:val="009E4C07"/>
    <w:rsid w:val="009E6D47"/>
    <w:rsid w:val="009E777F"/>
    <w:rsid w:val="009F1000"/>
    <w:rsid w:val="009F2506"/>
    <w:rsid w:val="009F28A1"/>
    <w:rsid w:val="009F320C"/>
    <w:rsid w:val="009F3ACD"/>
    <w:rsid w:val="009F3C67"/>
    <w:rsid w:val="009F3E81"/>
    <w:rsid w:val="009F455D"/>
    <w:rsid w:val="009F4632"/>
    <w:rsid w:val="009F48B8"/>
    <w:rsid w:val="009F5282"/>
    <w:rsid w:val="009F5ED8"/>
    <w:rsid w:val="009F6120"/>
    <w:rsid w:val="009F6D8F"/>
    <w:rsid w:val="00A00D76"/>
    <w:rsid w:val="00A01184"/>
    <w:rsid w:val="00A01449"/>
    <w:rsid w:val="00A01BA2"/>
    <w:rsid w:val="00A021C3"/>
    <w:rsid w:val="00A027B5"/>
    <w:rsid w:val="00A037C2"/>
    <w:rsid w:val="00A03D43"/>
    <w:rsid w:val="00A0420E"/>
    <w:rsid w:val="00A0430E"/>
    <w:rsid w:val="00A04380"/>
    <w:rsid w:val="00A04786"/>
    <w:rsid w:val="00A04AC0"/>
    <w:rsid w:val="00A05472"/>
    <w:rsid w:val="00A057B8"/>
    <w:rsid w:val="00A05C32"/>
    <w:rsid w:val="00A0653F"/>
    <w:rsid w:val="00A074AA"/>
    <w:rsid w:val="00A07A86"/>
    <w:rsid w:val="00A10A38"/>
    <w:rsid w:val="00A112EE"/>
    <w:rsid w:val="00A11AA9"/>
    <w:rsid w:val="00A11AEF"/>
    <w:rsid w:val="00A11CD0"/>
    <w:rsid w:val="00A121F0"/>
    <w:rsid w:val="00A1277B"/>
    <w:rsid w:val="00A131D2"/>
    <w:rsid w:val="00A13948"/>
    <w:rsid w:val="00A139BC"/>
    <w:rsid w:val="00A1555B"/>
    <w:rsid w:val="00A155C5"/>
    <w:rsid w:val="00A15C2C"/>
    <w:rsid w:val="00A16AD8"/>
    <w:rsid w:val="00A1716B"/>
    <w:rsid w:val="00A2021E"/>
    <w:rsid w:val="00A218E2"/>
    <w:rsid w:val="00A21B58"/>
    <w:rsid w:val="00A21C95"/>
    <w:rsid w:val="00A21CF3"/>
    <w:rsid w:val="00A2209A"/>
    <w:rsid w:val="00A23139"/>
    <w:rsid w:val="00A24813"/>
    <w:rsid w:val="00A26315"/>
    <w:rsid w:val="00A26863"/>
    <w:rsid w:val="00A272CF"/>
    <w:rsid w:val="00A27773"/>
    <w:rsid w:val="00A27AEC"/>
    <w:rsid w:val="00A27FFC"/>
    <w:rsid w:val="00A30998"/>
    <w:rsid w:val="00A316EB"/>
    <w:rsid w:val="00A320DB"/>
    <w:rsid w:val="00A32715"/>
    <w:rsid w:val="00A32924"/>
    <w:rsid w:val="00A32DE2"/>
    <w:rsid w:val="00A334DC"/>
    <w:rsid w:val="00A335F1"/>
    <w:rsid w:val="00A34B44"/>
    <w:rsid w:val="00A35B11"/>
    <w:rsid w:val="00A35D16"/>
    <w:rsid w:val="00A35FDC"/>
    <w:rsid w:val="00A37BCD"/>
    <w:rsid w:val="00A40360"/>
    <w:rsid w:val="00A40D76"/>
    <w:rsid w:val="00A41689"/>
    <w:rsid w:val="00A41AC5"/>
    <w:rsid w:val="00A4210D"/>
    <w:rsid w:val="00A42592"/>
    <w:rsid w:val="00A43464"/>
    <w:rsid w:val="00A438D7"/>
    <w:rsid w:val="00A43C59"/>
    <w:rsid w:val="00A44E5D"/>
    <w:rsid w:val="00A45108"/>
    <w:rsid w:val="00A45D59"/>
    <w:rsid w:val="00A45DED"/>
    <w:rsid w:val="00A477AE"/>
    <w:rsid w:val="00A50555"/>
    <w:rsid w:val="00A5063F"/>
    <w:rsid w:val="00A50ECD"/>
    <w:rsid w:val="00A51205"/>
    <w:rsid w:val="00A518F3"/>
    <w:rsid w:val="00A52304"/>
    <w:rsid w:val="00A52729"/>
    <w:rsid w:val="00A53675"/>
    <w:rsid w:val="00A543B1"/>
    <w:rsid w:val="00A5548A"/>
    <w:rsid w:val="00A562A1"/>
    <w:rsid w:val="00A564D7"/>
    <w:rsid w:val="00A56B07"/>
    <w:rsid w:val="00A56B6A"/>
    <w:rsid w:val="00A578DC"/>
    <w:rsid w:val="00A60F9F"/>
    <w:rsid w:val="00A613E4"/>
    <w:rsid w:val="00A616A0"/>
    <w:rsid w:val="00A62244"/>
    <w:rsid w:val="00A6240D"/>
    <w:rsid w:val="00A640E2"/>
    <w:rsid w:val="00A64D65"/>
    <w:rsid w:val="00A65CC1"/>
    <w:rsid w:val="00A664BB"/>
    <w:rsid w:val="00A66B20"/>
    <w:rsid w:val="00A6725B"/>
    <w:rsid w:val="00A67DF2"/>
    <w:rsid w:val="00A67F28"/>
    <w:rsid w:val="00A70605"/>
    <w:rsid w:val="00A70AB7"/>
    <w:rsid w:val="00A71393"/>
    <w:rsid w:val="00A72576"/>
    <w:rsid w:val="00A72591"/>
    <w:rsid w:val="00A73134"/>
    <w:rsid w:val="00A731D2"/>
    <w:rsid w:val="00A735BD"/>
    <w:rsid w:val="00A7365A"/>
    <w:rsid w:val="00A739D3"/>
    <w:rsid w:val="00A73D60"/>
    <w:rsid w:val="00A76001"/>
    <w:rsid w:val="00A760FF"/>
    <w:rsid w:val="00A777B2"/>
    <w:rsid w:val="00A77E0F"/>
    <w:rsid w:val="00A811F6"/>
    <w:rsid w:val="00A81726"/>
    <w:rsid w:val="00A8187A"/>
    <w:rsid w:val="00A825D4"/>
    <w:rsid w:val="00A828A8"/>
    <w:rsid w:val="00A828F6"/>
    <w:rsid w:val="00A82AB2"/>
    <w:rsid w:val="00A82B73"/>
    <w:rsid w:val="00A832CC"/>
    <w:rsid w:val="00A86E8B"/>
    <w:rsid w:val="00A870FA"/>
    <w:rsid w:val="00A87164"/>
    <w:rsid w:val="00A87E8F"/>
    <w:rsid w:val="00A87EF7"/>
    <w:rsid w:val="00A9131F"/>
    <w:rsid w:val="00A914A9"/>
    <w:rsid w:val="00A9160F"/>
    <w:rsid w:val="00A93072"/>
    <w:rsid w:val="00A938BD"/>
    <w:rsid w:val="00A93953"/>
    <w:rsid w:val="00A94226"/>
    <w:rsid w:val="00A950DA"/>
    <w:rsid w:val="00A959D8"/>
    <w:rsid w:val="00A96440"/>
    <w:rsid w:val="00A96BAA"/>
    <w:rsid w:val="00A96FD2"/>
    <w:rsid w:val="00A97507"/>
    <w:rsid w:val="00A97C29"/>
    <w:rsid w:val="00AA0218"/>
    <w:rsid w:val="00AA0633"/>
    <w:rsid w:val="00AA0B87"/>
    <w:rsid w:val="00AA113D"/>
    <w:rsid w:val="00AA16C3"/>
    <w:rsid w:val="00AA30A0"/>
    <w:rsid w:val="00AA447E"/>
    <w:rsid w:val="00AA5C79"/>
    <w:rsid w:val="00AA6BD5"/>
    <w:rsid w:val="00AA6BD8"/>
    <w:rsid w:val="00AA6C7D"/>
    <w:rsid w:val="00AA7383"/>
    <w:rsid w:val="00AA7FD6"/>
    <w:rsid w:val="00AB042A"/>
    <w:rsid w:val="00AB0BD1"/>
    <w:rsid w:val="00AB0FBE"/>
    <w:rsid w:val="00AB11AD"/>
    <w:rsid w:val="00AB19EF"/>
    <w:rsid w:val="00AB1C21"/>
    <w:rsid w:val="00AB1FEE"/>
    <w:rsid w:val="00AB2495"/>
    <w:rsid w:val="00AB2D34"/>
    <w:rsid w:val="00AB3430"/>
    <w:rsid w:val="00AB37B9"/>
    <w:rsid w:val="00AB3990"/>
    <w:rsid w:val="00AB3A8B"/>
    <w:rsid w:val="00AB3AC6"/>
    <w:rsid w:val="00AB4795"/>
    <w:rsid w:val="00AB4898"/>
    <w:rsid w:val="00AB4AD1"/>
    <w:rsid w:val="00AB5DFB"/>
    <w:rsid w:val="00AB5E07"/>
    <w:rsid w:val="00AB780C"/>
    <w:rsid w:val="00AB7CFA"/>
    <w:rsid w:val="00AC019F"/>
    <w:rsid w:val="00AC0FB4"/>
    <w:rsid w:val="00AC13B9"/>
    <w:rsid w:val="00AC1566"/>
    <w:rsid w:val="00AC1DA8"/>
    <w:rsid w:val="00AC3CB4"/>
    <w:rsid w:val="00AC4B5F"/>
    <w:rsid w:val="00AC4D5F"/>
    <w:rsid w:val="00AC5B42"/>
    <w:rsid w:val="00AC5B48"/>
    <w:rsid w:val="00AC6712"/>
    <w:rsid w:val="00AC741B"/>
    <w:rsid w:val="00AD1450"/>
    <w:rsid w:val="00AD15E8"/>
    <w:rsid w:val="00AD2561"/>
    <w:rsid w:val="00AD356D"/>
    <w:rsid w:val="00AD3817"/>
    <w:rsid w:val="00AD3FD9"/>
    <w:rsid w:val="00AD565F"/>
    <w:rsid w:val="00AD5CD6"/>
    <w:rsid w:val="00AD6502"/>
    <w:rsid w:val="00AD6C75"/>
    <w:rsid w:val="00AD7CF9"/>
    <w:rsid w:val="00AE042B"/>
    <w:rsid w:val="00AE0695"/>
    <w:rsid w:val="00AE0D68"/>
    <w:rsid w:val="00AE15B4"/>
    <w:rsid w:val="00AE19A0"/>
    <w:rsid w:val="00AE3A10"/>
    <w:rsid w:val="00AE3E4E"/>
    <w:rsid w:val="00AE3E7E"/>
    <w:rsid w:val="00AE4718"/>
    <w:rsid w:val="00AE507A"/>
    <w:rsid w:val="00AE5F0F"/>
    <w:rsid w:val="00AE74F3"/>
    <w:rsid w:val="00AE7E53"/>
    <w:rsid w:val="00AF0A2F"/>
    <w:rsid w:val="00AF1315"/>
    <w:rsid w:val="00AF19BF"/>
    <w:rsid w:val="00AF2DC3"/>
    <w:rsid w:val="00AF4CB5"/>
    <w:rsid w:val="00AF4E7F"/>
    <w:rsid w:val="00AF50C0"/>
    <w:rsid w:val="00AF63CC"/>
    <w:rsid w:val="00AF63D0"/>
    <w:rsid w:val="00AF6B0F"/>
    <w:rsid w:val="00AF706F"/>
    <w:rsid w:val="00B00D02"/>
    <w:rsid w:val="00B01338"/>
    <w:rsid w:val="00B016FB"/>
    <w:rsid w:val="00B033DF"/>
    <w:rsid w:val="00B033E5"/>
    <w:rsid w:val="00B0370A"/>
    <w:rsid w:val="00B03873"/>
    <w:rsid w:val="00B03A63"/>
    <w:rsid w:val="00B03BCD"/>
    <w:rsid w:val="00B03DCC"/>
    <w:rsid w:val="00B05AFB"/>
    <w:rsid w:val="00B05D35"/>
    <w:rsid w:val="00B06A96"/>
    <w:rsid w:val="00B0751B"/>
    <w:rsid w:val="00B07802"/>
    <w:rsid w:val="00B10D91"/>
    <w:rsid w:val="00B129A4"/>
    <w:rsid w:val="00B13246"/>
    <w:rsid w:val="00B14437"/>
    <w:rsid w:val="00B156DC"/>
    <w:rsid w:val="00B15811"/>
    <w:rsid w:val="00B17CCC"/>
    <w:rsid w:val="00B201A4"/>
    <w:rsid w:val="00B201CE"/>
    <w:rsid w:val="00B201D1"/>
    <w:rsid w:val="00B213A6"/>
    <w:rsid w:val="00B21938"/>
    <w:rsid w:val="00B235B0"/>
    <w:rsid w:val="00B24DF6"/>
    <w:rsid w:val="00B2546E"/>
    <w:rsid w:val="00B25C0C"/>
    <w:rsid w:val="00B26418"/>
    <w:rsid w:val="00B26C59"/>
    <w:rsid w:val="00B27A61"/>
    <w:rsid w:val="00B30CC9"/>
    <w:rsid w:val="00B31290"/>
    <w:rsid w:val="00B321C3"/>
    <w:rsid w:val="00B3261F"/>
    <w:rsid w:val="00B32ECD"/>
    <w:rsid w:val="00B333AB"/>
    <w:rsid w:val="00B33810"/>
    <w:rsid w:val="00B34FE2"/>
    <w:rsid w:val="00B35166"/>
    <w:rsid w:val="00B357D8"/>
    <w:rsid w:val="00B35A24"/>
    <w:rsid w:val="00B35CBE"/>
    <w:rsid w:val="00B360F4"/>
    <w:rsid w:val="00B36A00"/>
    <w:rsid w:val="00B3792B"/>
    <w:rsid w:val="00B37AC8"/>
    <w:rsid w:val="00B37BFC"/>
    <w:rsid w:val="00B40358"/>
    <w:rsid w:val="00B40619"/>
    <w:rsid w:val="00B41614"/>
    <w:rsid w:val="00B41882"/>
    <w:rsid w:val="00B41D0F"/>
    <w:rsid w:val="00B42851"/>
    <w:rsid w:val="00B429EF"/>
    <w:rsid w:val="00B42C9F"/>
    <w:rsid w:val="00B42F80"/>
    <w:rsid w:val="00B43441"/>
    <w:rsid w:val="00B435CB"/>
    <w:rsid w:val="00B45074"/>
    <w:rsid w:val="00B465EC"/>
    <w:rsid w:val="00B46664"/>
    <w:rsid w:val="00B46B0D"/>
    <w:rsid w:val="00B47C25"/>
    <w:rsid w:val="00B47E44"/>
    <w:rsid w:val="00B505C8"/>
    <w:rsid w:val="00B50837"/>
    <w:rsid w:val="00B50BCF"/>
    <w:rsid w:val="00B50DB8"/>
    <w:rsid w:val="00B50EA1"/>
    <w:rsid w:val="00B521DB"/>
    <w:rsid w:val="00B5303B"/>
    <w:rsid w:val="00B530DE"/>
    <w:rsid w:val="00B53654"/>
    <w:rsid w:val="00B53905"/>
    <w:rsid w:val="00B53DCA"/>
    <w:rsid w:val="00B546DB"/>
    <w:rsid w:val="00B54B5B"/>
    <w:rsid w:val="00B5562E"/>
    <w:rsid w:val="00B55862"/>
    <w:rsid w:val="00B55D65"/>
    <w:rsid w:val="00B56305"/>
    <w:rsid w:val="00B57000"/>
    <w:rsid w:val="00B5747E"/>
    <w:rsid w:val="00B60179"/>
    <w:rsid w:val="00B60939"/>
    <w:rsid w:val="00B60AFD"/>
    <w:rsid w:val="00B60D5B"/>
    <w:rsid w:val="00B610BE"/>
    <w:rsid w:val="00B6117C"/>
    <w:rsid w:val="00B62715"/>
    <w:rsid w:val="00B62A3F"/>
    <w:rsid w:val="00B63400"/>
    <w:rsid w:val="00B6441C"/>
    <w:rsid w:val="00B64EE0"/>
    <w:rsid w:val="00B65611"/>
    <w:rsid w:val="00B66B09"/>
    <w:rsid w:val="00B70327"/>
    <w:rsid w:val="00B706C4"/>
    <w:rsid w:val="00B709C6"/>
    <w:rsid w:val="00B70E8E"/>
    <w:rsid w:val="00B70F93"/>
    <w:rsid w:val="00B71268"/>
    <w:rsid w:val="00B71407"/>
    <w:rsid w:val="00B719A5"/>
    <w:rsid w:val="00B741A2"/>
    <w:rsid w:val="00B741FE"/>
    <w:rsid w:val="00B75978"/>
    <w:rsid w:val="00B76A2C"/>
    <w:rsid w:val="00B76C92"/>
    <w:rsid w:val="00B77253"/>
    <w:rsid w:val="00B80C49"/>
    <w:rsid w:val="00B80EFD"/>
    <w:rsid w:val="00B818A4"/>
    <w:rsid w:val="00B83699"/>
    <w:rsid w:val="00B83739"/>
    <w:rsid w:val="00B83D37"/>
    <w:rsid w:val="00B84117"/>
    <w:rsid w:val="00B84163"/>
    <w:rsid w:val="00B846DC"/>
    <w:rsid w:val="00B858F0"/>
    <w:rsid w:val="00B85AA2"/>
    <w:rsid w:val="00B85F38"/>
    <w:rsid w:val="00B8649C"/>
    <w:rsid w:val="00B8695D"/>
    <w:rsid w:val="00B87F0A"/>
    <w:rsid w:val="00B90249"/>
    <w:rsid w:val="00B90304"/>
    <w:rsid w:val="00B906C2"/>
    <w:rsid w:val="00B90AD5"/>
    <w:rsid w:val="00B91334"/>
    <w:rsid w:val="00B91E84"/>
    <w:rsid w:val="00B92D0B"/>
    <w:rsid w:val="00B93FF0"/>
    <w:rsid w:val="00B94945"/>
    <w:rsid w:val="00B94DD6"/>
    <w:rsid w:val="00B95404"/>
    <w:rsid w:val="00B96529"/>
    <w:rsid w:val="00B965AF"/>
    <w:rsid w:val="00B97587"/>
    <w:rsid w:val="00B9762B"/>
    <w:rsid w:val="00BA044A"/>
    <w:rsid w:val="00BA18FD"/>
    <w:rsid w:val="00BA2A95"/>
    <w:rsid w:val="00BA3030"/>
    <w:rsid w:val="00BA322D"/>
    <w:rsid w:val="00BA63FA"/>
    <w:rsid w:val="00BA643B"/>
    <w:rsid w:val="00BA7842"/>
    <w:rsid w:val="00BB00B3"/>
    <w:rsid w:val="00BB07B6"/>
    <w:rsid w:val="00BB0AA9"/>
    <w:rsid w:val="00BB0BDD"/>
    <w:rsid w:val="00BB176C"/>
    <w:rsid w:val="00BB1C29"/>
    <w:rsid w:val="00BB1FA1"/>
    <w:rsid w:val="00BB2A73"/>
    <w:rsid w:val="00BB31F2"/>
    <w:rsid w:val="00BB389D"/>
    <w:rsid w:val="00BB3A45"/>
    <w:rsid w:val="00BB4ACC"/>
    <w:rsid w:val="00BB5737"/>
    <w:rsid w:val="00BB703E"/>
    <w:rsid w:val="00BB732D"/>
    <w:rsid w:val="00BB7405"/>
    <w:rsid w:val="00BB7A70"/>
    <w:rsid w:val="00BC061F"/>
    <w:rsid w:val="00BC1F52"/>
    <w:rsid w:val="00BC3631"/>
    <w:rsid w:val="00BC3F8F"/>
    <w:rsid w:val="00BC591F"/>
    <w:rsid w:val="00BC6241"/>
    <w:rsid w:val="00BC7D6D"/>
    <w:rsid w:val="00BD09E1"/>
    <w:rsid w:val="00BD1C7C"/>
    <w:rsid w:val="00BD2108"/>
    <w:rsid w:val="00BD2A1F"/>
    <w:rsid w:val="00BD30BC"/>
    <w:rsid w:val="00BD3A16"/>
    <w:rsid w:val="00BD4789"/>
    <w:rsid w:val="00BD531E"/>
    <w:rsid w:val="00BD68A3"/>
    <w:rsid w:val="00BD6938"/>
    <w:rsid w:val="00BD6CF3"/>
    <w:rsid w:val="00BD7F72"/>
    <w:rsid w:val="00BE0ECA"/>
    <w:rsid w:val="00BE140D"/>
    <w:rsid w:val="00BE2180"/>
    <w:rsid w:val="00BE21F2"/>
    <w:rsid w:val="00BE4275"/>
    <w:rsid w:val="00BE44C7"/>
    <w:rsid w:val="00BE4643"/>
    <w:rsid w:val="00BE4BD8"/>
    <w:rsid w:val="00BE5FF5"/>
    <w:rsid w:val="00BE6876"/>
    <w:rsid w:val="00BE68BE"/>
    <w:rsid w:val="00BF0436"/>
    <w:rsid w:val="00BF06AE"/>
    <w:rsid w:val="00BF0F95"/>
    <w:rsid w:val="00BF2350"/>
    <w:rsid w:val="00BF2433"/>
    <w:rsid w:val="00BF2E6E"/>
    <w:rsid w:val="00BF3901"/>
    <w:rsid w:val="00BF4881"/>
    <w:rsid w:val="00BF4F41"/>
    <w:rsid w:val="00BF517D"/>
    <w:rsid w:val="00BF556F"/>
    <w:rsid w:val="00BF61C9"/>
    <w:rsid w:val="00BF621F"/>
    <w:rsid w:val="00BF6454"/>
    <w:rsid w:val="00BF6C94"/>
    <w:rsid w:val="00BF71E3"/>
    <w:rsid w:val="00BF7617"/>
    <w:rsid w:val="00BF7D0B"/>
    <w:rsid w:val="00C00424"/>
    <w:rsid w:val="00C00BB0"/>
    <w:rsid w:val="00C024ED"/>
    <w:rsid w:val="00C03615"/>
    <w:rsid w:val="00C03FB6"/>
    <w:rsid w:val="00C0699A"/>
    <w:rsid w:val="00C06A34"/>
    <w:rsid w:val="00C07655"/>
    <w:rsid w:val="00C07BA5"/>
    <w:rsid w:val="00C10F83"/>
    <w:rsid w:val="00C1179F"/>
    <w:rsid w:val="00C11D16"/>
    <w:rsid w:val="00C11FA2"/>
    <w:rsid w:val="00C1212B"/>
    <w:rsid w:val="00C127B9"/>
    <w:rsid w:val="00C128FA"/>
    <w:rsid w:val="00C12C14"/>
    <w:rsid w:val="00C135BB"/>
    <w:rsid w:val="00C15F04"/>
    <w:rsid w:val="00C166ED"/>
    <w:rsid w:val="00C16DEC"/>
    <w:rsid w:val="00C16E31"/>
    <w:rsid w:val="00C1773D"/>
    <w:rsid w:val="00C17815"/>
    <w:rsid w:val="00C178A7"/>
    <w:rsid w:val="00C179B3"/>
    <w:rsid w:val="00C17E3F"/>
    <w:rsid w:val="00C200AA"/>
    <w:rsid w:val="00C2182C"/>
    <w:rsid w:val="00C237ED"/>
    <w:rsid w:val="00C242D0"/>
    <w:rsid w:val="00C24632"/>
    <w:rsid w:val="00C24778"/>
    <w:rsid w:val="00C25002"/>
    <w:rsid w:val="00C25418"/>
    <w:rsid w:val="00C25D9C"/>
    <w:rsid w:val="00C26A78"/>
    <w:rsid w:val="00C2718E"/>
    <w:rsid w:val="00C2778B"/>
    <w:rsid w:val="00C31649"/>
    <w:rsid w:val="00C31D14"/>
    <w:rsid w:val="00C31D19"/>
    <w:rsid w:val="00C33323"/>
    <w:rsid w:val="00C33E72"/>
    <w:rsid w:val="00C33FA4"/>
    <w:rsid w:val="00C3434C"/>
    <w:rsid w:val="00C35617"/>
    <w:rsid w:val="00C36C2D"/>
    <w:rsid w:val="00C36C56"/>
    <w:rsid w:val="00C37A75"/>
    <w:rsid w:val="00C40385"/>
    <w:rsid w:val="00C41768"/>
    <w:rsid w:val="00C42E4B"/>
    <w:rsid w:val="00C44F4D"/>
    <w:rsid w:val="00C4504B"/>
    <w:rsid w:val="00C456C4"/>
    <w:rsid w:val="00C475AA"/>
    <w:rsid w:val="00C5023E"/>
    <w:rsid w:val="00C5147B"/>
    <w:rsid w:val="00C51668"/>
    <w:rsid w:val="00C51A41"/>
    <w:rsid w:val="00C51F19"/>
    <w:rsid w:val="00C520F0"/>
    <w:rsid w:val="00C526F8"/>
    <w:rsid w:val="00C527C7"/>
    <w:rsid w:val="00C533A2"/>
    <w:rsid w:val="00C539C2"/>
    <w:rsid w:val="00C53C98"/>
    <w:rsid w:val="00C5432B"/>
    <w:rsid w:val="00C552FE"/>
    <w:rsid w:val="00C558C7"/>
    <w:rsid w:val="00C55C21"/>
    <w:rsid w:val="00C566D9"/>
    <w:rsid w:val="00C56FCF"/>
    <w:rsid w:val="00C5708E"/>
    <w:rsid w:val="00C57429"/>
    <w:rsid w:val="00C57B6C"/>
    <w:rsid w:val="00C61408"/>
    <w:rsid w:val="00C61A59"/>
    <w:rsid w:val="00C61E6F"/>
    <w:rsid w:val="00C62654"/>
    <w:rsid w:val="00C62675"/>
    <w:rsid w:val="00C628A6"/>
    <w:rsid w:val="00C630FD"/>
    <w:rsid w:val="00C64344"/>
    <w:rsid w:val="00C650B4"/>
    <w:rsid w:val="00C65108"/>
    <w:rsid w:val="00C65576"/>
    <w:rsid w:val="00C66165"/>
    <w:rsid w:val="00C6713C"/>
    <w:rsid w:val="00C7060A"/>
    <w:rsid w:val="00C70A76"/>
    <w:rsid w:val="00C70F5E"/>
    <w:rsid w:val="00C7151A"/>
    <w:rsid w:val="00C7164B"/>
    <w:rsid w:val="00C717E3"/>
    <w:rsid w:val="00C71F60"/>
    <w:rsid w:val="00C72241"/>
    <w:rsid w:val="00C72493"/>
    <w:rsid w:val="00C7259D"/>
    <w:rsid w:val="00C7498D"/>
    <w:rsid w:val="00C74C03"/>
    <w:rsid w:val="00C750C8"/>
    <w:rsid w:val="00C7560F"/>
    <w:rsid w:val="00C75C70"/>
    <w:rsid w:val="00C75C8C"/>
    <w:rsid w:val="00C762C4"/>
    <w:rsid w:val="00C77961"/>
    <w:rsid w:val="00C77EED"/>
    <w:rsid w:val="00C8003E"/>
    <w:rsid w:val="00C80A0E"/>
    <w:rsid w:val="00C814BC"/>
    <w:rsid w:val="00C8213F"/>
    <w:rsid w:val="00C8303F"/>
    <w:rsid w:val="00C85154"/>
    <w:rsid w:val="00C8552E"/>
    <w:rsid w:val="00C85A70"/>
    <w:rsid w:val="00C8797A"/>
    <w:rsid w:val="00C87D8B"/>
    <w:rsid w:val="00C900B8"/>
    <w:rsid w:val="00C90112"/>
    <w:rsid w:val="00C90197"/>
    <w:rsid w:val="00C90C71"/>
    <w:rsid w:val="00C911C5"/>
    <w:rsid w:val="00C9142F"/>
    <w:rsid w:val="00C91FD1"/>
    <w:rsid w:val="00C9272A"/>
    <w:rsid w:val="00C92EBF"/>
    <w:rsid w:val="00C931CF"/>
    <w:rsid w:val="00C938CF"/>
    <w:rsid w:val="00C94053"/>
    <w:rsid w:val="00C943A0"/>
    <w:rsid w:val="00C9624D"/>
    <w:rsid w:val="00C96661"/>
    <w:rsid w:val="00C968F7"/>
    <w:rsid w:val="00C969DA"/>
    <w:rsid w:val="00CA257E"/>
    <w:rsid w:val="00CA281A"/>
    <w:rsid w:val="00CA2C77"/>
    <w:rsid w:val="00CA41D8"/>
    <w:rsid w:val="00CA444F"/>
    <w:rsid w:val="00CA4548"/>
    <w:rsid w:val="00CA4B2B"/>
    <w:rsid w:val="00CA5245"/>
    <w:rsid w:val="00CA603E"/>
    <w:rsid w:val="00CA63AF"/>
    <w:rsid w:val="00CA6750"/>
    <w:rsid w:val="00CA71F4"/>
    <w:rsid w:val="00CA7B09"/>
    <w:rsid w:val="00CA7B5F"/>
    <w:rsid w:val="00CA7DF3"/>
    <w:rsid w:val="00CB0C62"/>
    <w:rsid w:val="00CB12A5"/>
    <w:rsid w:val="00CB1B1B"/>
    <w:rsid w:val="00CB1CAC"/>
    <w:rsid w:val="00CB1EC5"/>
    <w:rsid w:val="00CB21B5"/>
    <w:rsid w:val="00CB291D"/>
    <w:rsid w:val="00CB2B97"/>
    <w:rsid w:val="00CB2C70"/>
    <w:rsid w:val="00CB2F2A"/>
    <w:rsid w:val="00CB5B1A"/>
    <w:rsid w:val="00CB5D0B"/>
    <w:rsid w:val="00CB6B22"/>
    <w:rsid w:val="00CB6D57"/>
    <w:rsid w:val="00CB7762"/>
    <w:rsid w:val="00CB7F5F"/>
    <w:rsid w:val="00CC1767"/>
    <w:rsid w:val="00CC1B39"/>
    <w:rsid w:val="00CC1BFA"/>
    <w:rsid w:val="00CC246A"/>
    <w:rsid w:val="00CC2818"/>
    <w:rsid w:val="00CC2E9F"/>
    <w:rsid w:val="00CC35EA"/>
    <w:rsid w:val="00CC3848"/>
    <w:rsid w:val="00CC3BC9"/>
    <w:rsid w:val="00CC4376"/>
    <w:rsid w:val="00CC50BD"/>
    <w:rsid w:val="00CC51E9"/>
    <w:rsid w:val="00CC63C8"/>
    <w:rsid w:val="00CC6D5E"/>
    <w:rsid w:val="00CC7D34"/>
    <w:rsid w:val="00CD0200"/>
    <w:rsid w:val="00CD1E34"/>
    <w:rsid w:val="00CD395A"/>
    <w:rsid w:val="00CD3A20"/>
    <w:rsid w:val="00CD3C54"/>
    <w:rsid w:val="00CD3F77"/>
    <w:rsid w:val="00CD4E21"/>
    <w:rsid w:val="00CD696F"/>
    <w:rsid w:val="00CD6ADC"/>
    <w:rsid w:val="00CD7193"/>
    <w:rsid w:val="00CD79F7"/>
    <w:rsid w:val="00CE0DD5"/>
    <w:rsid w:val="00CE2F4C"/>
    <w:rsid w:val="00CE38C8"/>
    <w:rsid w:val="00CE41E6"/>
    <w:rsid w:val="00CE42D2"/>
    <w:rsid w:val="00CE524F"/>
    <w:rsid w:val="00CE58CC"/>
    <w:rsid w:val="00CE5AAB"/>
    <w:rsid w:val="00CE6274"/>
    <w:rsid w:val="00CE65E2"/>
    <w:rsid w:val="00CE6F9D"/>
    <w:rsid w:val="00CE77B6"/>
    <w:rsid w:val="00CF047A"/>
    <w:rsid w:val="00CF0E17"/>
    <w:rsid w:val="00CF1C6E"/>
    <w:rsid w:val="00CF2061"/>
    <w:rsid w:val="00CF2B8D"/>
    <w:rsid w:val="00CF3845"/>
    <w:rsid w:val="00CF3A1B"/>
    <w:rsid w:val="00CF456B"/>
    <w:rsid w:val="00CF4BA9"/>
    <w:rsid w:val="00CF5A22"/>
    <w:rsid w:val="00CF64C3"/>
    <w:rsid w:val="00CF70C8"/>
    <w:rsid w:val="00CF7285"/>
    <w:rsid w:val="00CF7F8F"/>
    <w:rsid w:val="00D0262E"/>
    <w:rsid w:val="00D03679"/>
    <w:rsid w:val="00D03878"/>
    <w:rsid w:val="00D04180"/>
    <w:rsid w:val="00D0584F"/>
    <w:rsid w:val="00D05E3D"/>
    <w:rsid w:val="00D06139"/>
    <w:rsid w:val="00D068AA"/>
    <w:rsid w:val="00D07035"/>
    <w:rsid w:val="00D07087"/>
    <w:rsid w:val="00D07E40"/>
    <w:rsid w:val="00D103F2"/>
    <w:rsid w:val="00D105C0"/>
    <w:rsid w:val="00D10A1B"/>
    <w:rsid w:val="00D110BD"/>
    <w:rsid w:val="00D1206F"/>
    <w:rsid w:val="00D12B78"/>
    <w:rsid w:val="00D13675"/>
    <w:rsid w:val="00D13775"/>
    <w:rsid w:val="00D141E1"/>
    <w:rsid w:val="00D15057"/>
    <w:rsid w:val="00D15100"/>
    <w:rsid w:val="00D15314"/>
    <w:rsid w:val="00D15B48"/>
    <w:rsid w:val="00D1749E"/>
    <w:rsid w:val="00D1769A"/>
    <w:rsid w:val="00D17D6C"/>
    <w:rsid w:val="00D17DDD"/>
    <w:rsid w:val="00D2155B"/>
    <w:rsid w:val="00D220F7"/>
    <w:rsid w:val="00D23D11"/>
    <w:rsid w:val="00D24361"/>
    <w:rsid w:val="00D244B6"/>
    <w:rsid w:val="00D25876"/>
    <w:rsid w:val="00D25B02"/>
    <w:rsid w:val="00D26131"/>
    <w:rsid w:val="00D265A2"/>
    <w:rsid w:val="00D26FC7"/>
    <w:rsid w:val="00D27399"/>
    <w:rsid w:val="00D2754D"/>
    <w:rsid w:val="00D27B27"/>
    <w:rsid w:val="00D30D48"/>
    <w:rsid w:val="00D30D5B"/>
    <w:rsid w:val="00D32EF0"/>
    <w:rsid w:val="00D335F3"/>
    <w:rsid w:val="00D33BE9"/>
    <w:rsid w:val="00D33D46"/>
    <w:rsid w:val="00D33F93"/>
    <w:rsid w:val="00D33FEA"/>
    <w:rsid w:val="00D357FF"/>
    <w:rsid w:val="00D35BF6"/>
    <w:rsid w:val="00D4014D"/>
    <w:rsid w:val="00D4034A"/>
    <w:rsid w:val="00D40DF9"/>
    <w:rsid w:val="00D41CFE"/>
    <w:rsid w:val="00D424C7"/>
    <w:rsid w:val="00D433FC"/>
    <w:rsid w:val="00D43B2A"/>
    <w:rsid w:val="00D43CF1"/>
    <w:rsid w:val="00D43D83"/>
    <w:rsid w:val="00D442E5"/>
    <w:rsid w:val="00D44CF4"/>
    <w:rsid w:val="00D462CA"/>
    <w:rsid w:val="00D472E3"/>
    <w:rsid w:val="00D47575"/>
    <w:rsid w:val="00D5171F"/>
    <w:rsid w:val="00D5243B"/>
    <w:rsid w:val="00D531CA"/>
    <w:rsid w:val="00D533EC"/>
    <w:rsid w:val="00D544B4"/>
    <w:rsid w:val="00D54AC8"/>
    <w:rsid w:val="00D55FD4"/>
    <w:rsid w:val="00D56A95"/>
    <w:rsid w:val="00D56B31"/>
    <w:rsid w:val="00D56DF1"/>
    <w:rsid w:val="00D6076E"/>
    <w:rsid w:val="00D60DD3"/>
    <w:rsid w:val="00D6129C"/>
    <w:rsid w:val="00D61411"/>
    <w:rsid w:val="00D61B16"/>
    <w:rsid w:val="00D6277C"/>
    <w:rsid w:val="00D62B8C"/>
    <w:rsid w:val="00D62C16"/>
    <w:rsid w:val="00D630B5"/>
    <w:rsid w:val="00D63557"/>
    <w:rsid w:val="00D63777"/>
    <w:rsid w:val="00D638AF"/>
    <w:rsid w:val="00D64ECA"/>
    <w:rsid w:val="00D66156"/>
    <w:rsid w:val="00D67844"/>
    <w:rsid w:val="00D70F16"/>
    <w:rsid w:val="00D71854"/>
    <w:rsid w:val="00D72617"/>
    <w:rsid w:val="00D72641"/>
    <w:rsid w:val="00D72F57"/>
    <w:rsid w:val="00D73188"/>
    <w:rsid w:val="00D73F06"/>
    <w:rsid w:val="00D73FC5"/>
    <w:rsid w:val="00D7431C"/>
    <w:rsid w:val="00D747B0"/>
    <w:rsid w:val="00D76A44"/>
    <w:rsid w:val="00D76FCC"/>
    <w:rsid w:val="00D776A9"/>
    <w:rsid w:val="00D77B0A"/>
    <w:rsid w:val="00D8073A"/>
    <w:rsid w:val="00D80D00"/>
    <w:rsid w:val="00D8104C"/>
    <w:rsid w:val="00D815EF"/>
    <w:rsid w:val="00D81949"/>
    <w:rsid w:val="00D81DCB"/>
    <w:rsid w:val="00D81F26"/>
    <w:rsid w:val="00D822E2"/>
    <w:rsid w:val="00D82442"/>
    <w:rsid w:val="00D824CA"/>
    <w:rsid w:val="00D8274B"/>
    <w:rsid w:val="00D82C97"/>
    <w:rsid w:val="00D834AE"/>
    <w:rsid w:val="00D843F2"/>
    <w:rsid w:val="00D85BDD"/>
    <w:rsid w:val="00D86231"/>
    <w:rsid w:val="00D87F7B"/>
    <w:rsid w:val="00D9054D"/>
    <w:rsid w:val="00D906EB"/>
    <w:rsid w:val="00D912AB"/>
    <w:rsid w:val="00D91923"/>
    <w:rsid w:val="00D91CC1"/>
    <w:rsid w:val="00D92B9C"/>
    <w:rsid w:val="00D93753"/>
    <w:rsid w:val="00D94919"/>
    <w:rsid w:val="00D958E4"/>
    <w:rsid w:val="00D964DF"/>
    <w:rsid w:val="00D97707"/>
    <w:rsid w:val="00D97DC8"/>
    <w:rsid w:val="00DA07A5"/>
    <w:rsid w:val="00DA1E08"/>
    <w:rsid w:val="00DA30BA"/>
    <w:rsid w:val="00DA3167"/>
    <w:rsid w:val="00DA317F"/>
    <w:rsid w:val="00DA48EB"/>
    <w:rsid w:val="00DA4C4A"/>
    <w:rsid w:val="00DA4DC3"/>
    <w:rsid w:val="00DA5F58"/>
    <w:rsid w:val="00DA69DF"/>
    <w:rsid w:val="00DA6B32"/>
    <w:rsid w:val="00DA6FE5"/>
    <w:rsid w:val="00DA77A5"/>
    <w:rsid w:val="00DA7D37"/>
    <w:rsid w:val="00DB06CB"/>
    <w:rsid w:val="00DB0E36"/>
    <w:rsid w:val="00DB2094"/>
    <w:rsid w:val="00DB2810"/>
    <w:rsid w:val="00DB3823"/>
    <w:rsid w:val="00DB3DBF"/>
    <w:rsid w:val="00DB484F"/>
    <w:rsid w:val="00DB489E"/>
    <w:rsid w:val="00DB4F7E"/>
    <w:rsid w:val="00DB5591"/>
    <w:rsid w:val="00DB5DA9"/>
    <w:rsid w:val="00DB70CA"/>
    <w:rsid w:val="00DB7F24"/>
    <w:rsid w:val="00DC04F6"/>
    <w:rsid w:val="00DC0690"/>
    <w:rsid w:val="00DC1D65"/>
    <w:rsid w:val="00DC2B32"/>
    <w:rsid w:val="00DC3C57"/>
    <w:rsid w:val="00DC4193"/>
    <w:rsid w:val="00DC5501"/>
    <w:rsid w:val="00DC5760"/>
    <w:rsid w:val="00DC5DE4"/>
    <w:rsid w:val="00DC6D0E"/>
    <w:rsid w:val="00DC7154"/>
    <w:rsid w:val="00DC7569"/>
    <w:rsid w:val="00DC7E8A"/>
    <w:rsid w:val="00DD0F78"/>
    <w:rsid w:val="00DD273C"/>
    <w:rsid w:val="00DD3F28"/>
    <w:rsid w:val="00DD4446"/>
    <w:rsid w:val="00DD4537"/>
    <w:rsid w:val="00DD4872"/>
    <w:rsid w:val="00DD4E15"/>
    <w:rsid w:val="00DD640C"/>
    <w:rsid w:val="00DD6C70"/>
    <w:rsid w:val="00DD7598"/>
    <w:rsid w:val="00DD7783"/>
    <w:rsid w:val="00DD7EC3"/>
    <w:rsid w:val="00DD7FC0"/>
    <w:rsid w:val="00DE02BB"/>
    <w:rsid w:val="00DE2304"/>
    <w:rsid w:val="00DE28DC"/>
    <w:rsid w:val="00DE2ACA"/>
    <w:rsid w:val="00DE3138"/>
    <w:rsid w:val="00DE37F8"/>
    <w:rsid w:val="00DE4273"/>
    <w:rsid w:val="00DE4FCB"/>
    <w:rsid w:val="00DE52F3"/>
    <w:rsid w:val="00DE5D07"/>
    <w:rsid w:val="00DE6697"/>
    <w:rsid w:val="00DE6AA3"/>
    <w:rsid w:val="00DE6E23"/>
    <w:rsid w:val="00DE72A7"/>
    <w:rsid w:val="00DE7757"/>
    <w:rsid w:val="00DE7832"/>
    <w:rsid w:val="00DF066F"/>
    <w:rsid w:val="00DF09A3"/>
    <w:rsid w:val="00DF140B"/>
    <w:rsid w:val="00DF18FC"/>
    <w:rsid w:val="00DF1E6B"/>
    <w:rsid w:val="00DF1E9A"/>
    <w:rsid w:val="00DF2168"/>
    <w:rsid w:val="00DF3436"/>
    <w:rsid w:val="00DF5D2B"/>
    <w:rsid w:val="00DF6341"/>
    <w:rsid w:val="00E00129"/>
    <w:rsid w:val="00E00E37"/>
    <w:rsid w:val="00E00E8E"/>
    <w:rsid w:val="00E01090"/>
    <w:rsid w:val="00E014F0"/>
    <w:rsid w:val="00E0175B"/>
    <w:rsid w:val="00E03C0A"/>
    <w:rsid w:val="00E040A5"/>
    <w:rsid w:val="00E0413D"/>
    <w:rsid w:val="00E0449F"/>
    <w:rsid w:val="00E04C5E"/>
    <w:rsid w:val="00E053D7"/>
    <w:rsid w:val="00E05630"/>
    <w:rsid w:val="00E06D49"/>
    <w:rsid w:val="00E06DBB"/>
    <w:rsid w:val="00E10149"/>
    <w:rsid w:val="00E10A2A"/>
    <w:rsid w:val="00E10CB9"/>
    <w:rsid w:val="00E11340"/>
    <w:rsid w:val="00E11447"/>
    <w:rsid w:val="00E122A1"/>
    <w:rsid w:val="00E1242B"/>
    <w:rsid w:val="00E124CA"/>
    <w:rsid w:val="00E16372"/>
    <w:rsid w:val="00E16AD8"/>
    <w:rsid w:val="00E16C0C"/>
    <w:rsid w:val="00E179CC"/>
    <w:rsid w:val="00E17FFA"/>
    <w:rsid w:val="00E20359"/>
    <w:rsid w:val="00E2056B"/>
    <w:rsid w:val="00E20E4D"/>
    <w:rsid w:val="00E20ED6"/>
    <w:rsid w:val="00E21358"/>
    <w:rsid w:val="00E222BC"/>
    <w:rsid w:val="00E2249B"/>
    <w:rsid w:val="00E225B5"/>
    <w:rsid w:val="00E22894"/>
    <w:rsid w:val="00E22A0D"/>
    <w:rsid w:val="00E22F00"/>
    <w:rsid w:val="00E24050"/>
    <w:rsid w:val="00E244F6"/>
    <w:rsid w:val="00E24AE8"/>
    <w:rsid w:val="00E2572E"/>
    <w:rsid w:val="00E258DB"/>
    <w:rsid w:val="00E27541"/>
    <w:rsid w:val="00E2771E"/>
    <w:rsid w:val="00E27E50"/>
    <w:rsid w:val="00E3023C"/>
    <w:rsid w:val="00E30538"/>
    <w:rsid w:val="00E3088F"/>
    <w:rsid w:val="00E30C9A"/>
    <w:rsid w:val="00E311EF"/>
    <w:rsid w:val="00E3124A"/>
    <w:rsid w:val="00E314AF"/>
    <w:rsid w:val="00E32180"/>
    <w:rsid w:val="00E321BA"/>
    <w:rsid w:val="00E32B9E"/>
    <w:rsid w:val="00E33BD9"/>
    <w:rsid w:val="00E34948"/>
    <w:rsid w:val="00E34EE5"/>
    <w:rsid w:val="00E34EFE"/>
    <w:rsid w:val="00E351F4"/>
    <w:rsid w:val="00E37569"/>
    <w:rsid w:val="00E401B2"/>
    <w:rsid w:val="00E40A10"/>
    <w:rsid w:val="00E40EFF"/>
    <w:rsid w:val="00E4145C"/>
    <w:rsid w:val="00E417A4"/>
    <w:rsid w:val="00E41980"/>
    <w:rsid w:val="00E41E30"/>
    <w:rsid w:val="00E42EE4"/>
    <w:rsid w:val="00E42F73"/>
    <w:rsid w:val="00E431C0"/>
    <w:rsid w:val="00E43D70"/>
    <w:rsid w:val="00E44FF6"/>
    <w:rsid w:val="00E453E2"/>
    <w:rsid w:val="00E466F3"/>
    <w:rsid w:val="00E469B6"/>
    <w:rsid w:val="00E46A29"/>
    <w:rsid w:val="00E46EFF"/>
    <w:rsid w:val="00E47B2C"/>
    <w:rsid w:val="00E47B51"/>
    <w:rsid w:val="00E50C79"/>
    <w:rsid w:val="00E512E9"/>
    <w:rsid w:val="00E51560"/>
    <w:rsid w:val="00E515F9"/>
    <w:rsid w:val="00E51821"/>
    <w:rsid w:val="00E5241F"/>
    <w:rsid w:val="00E528FF"/>
    <w:rsid w:val="00E52F70"/>
    <w:rsid w:val="00E53FC8"/>
    <w:rsid w:val="00E54347"/>
    <w:rsid w:val="00E54BE0"/>
    <w:rsid w:val="00E55424"/>
    <w:rsid w:val="00E55915"/>
    <w:rsid w:val="00E55BB5"/>
    <w:rsid w:val="00E5702C"/>
    <w:rsid w:val="00E576A9"/>
    <w:rsid w:val="00E611DF"/>
    <w:rsid w:val="00E61A8E"/>
    <w:rsid w:val="00E625C6"/>
    <w:rsid w:val="00E631E8"/>
    <w:rsid w:val="00E63664"/>
    <w:rsid w:val="00E64367"/>
    <w:rsid w:val="00E65E79"/>
    <w:rsid w:val="00E66199"/>
    <w:rsid w:val="00E66BA2"/>
    <w:rsid w:val="00E66FF5"/>
    <w:rsid w:val="00E67380"/>
    <w:rsid w:val="00E67416"/>
    <w:rsid w:val="00E677D4"/>
    <w:rsid w:val="00E67F44"/>
    <w:rsid w:val="00E705E4"/>
    <w:rsid w:val="00E70964"/>
    <w:rsid w:val="00E711BD"/>
    <w:rsid w:val="00E718B6"/>
    <w:rsid w:val="00E723BA"/>
    <w:rsid w:val="00E7297F"/>
    <w:rsid w:val="00E72E60"/>
    <w:rsid w:val="00E73581"/>
    <w:rsid w:val="00E73965"/>
    <w:rsid w:val="00E74F80"/>
    <w:rsid w:val="00E757D5"/>
    <w:rsid w:val="00E75EB8"/>
    <w:rsid w:val="00E77149"/>
    <w:rsid w:val="00E77336"/>
    <w:rsid w:val="00E77628"/>
    <w:rsid w:val="00E77798"/>
    <w:rsid w:val="00E81605"/>
    <w:rsid w:val="00E827DF"/>
    <w:rsid w:val="00E833F7"/>
    <w:rsid w:val="00E83BDF"/>
    <w:rsid w:val="00E8442A"/>
    <w:rsid w:val="00E8529E"/>
    <w:rsid w:val="00E86294"/>
    <w:rsid w:val="00E86B47"/>
    <w:rsid w:val="00E86FCC"/>
    <w:rsid w:val="00E871DE"/>
    <w:rsid w:val="00E87891"/>
    <w:rsid w:val="00E87A1D"/>
    <w:rsid w:val="00E9094A"/>
    <w:rsid w:val="00E90BF0"/>
    <w:rsid w:val="00E9106A"/>
    <w:rsid w:val="00E919AF"/>
    <w:rsid w:val="00E91D35"/>
    <w:rsid w:val="00E926A5"/>
    <w:rsid w:val="00E940D7"/>
    <w:rsid w:val="00E94327"/>
    <w:rsid w:val="00E94ACD"/>
    <w:rsid w:val="00E962CC"/>
    <w:rsid w:val="00E9660D"/>
    <w:rsid w:val="00E96B69"/>
    <w:rsid w:val="00E9733E"/>
    <w:rsid w:val="00E978D6"/>
    <w:rsid w:val="00EA108B"/>
    <w:rsid w:val="00EA1416"/>
    <w:rsid w:val="00EA159C"/>
    <w:rsid w:val="00EA17C3"/>
    <w:rsid w:val="00EA1E83"/>
    <w:rsid w:val="00EA2565"/>
    <w:rsid w:val="00EA298F"/>
    <w:rsid w:val="00EA2CAA"/>
    <w:rsid w:val="00EA3864"/>
    <w:rsid w:val="00EA57AB"/>
    <w:rsid w:val="00EA5D62"/>
    <w:rsid w:val="00EA69BC"/>
    <w:rsid w:val="00EA733A"/>
    <w:rsid w:val="00EA7590"/>
    <w:rsid w:val="00EA7F1C"/>
    <w:rsid w:val="00EB15B6"/>
    <w:rsid w:val="00EB288A"/>
    <w:rsid w:val="00EB3D06"/>
    <w:rsid w:val="00EB4916"/>
    <w:rsid w:val="00EB6128"/>
    <w:rsid w:val="00EC00C9"/>
    <w:rsid w:val="00EC066A"/>
    <w:rsid w:val="00EC08AE"/>
    <w:rsid w:val="00EC0DD9"/>
    <w:rsid w:val="00EC135F"/>
    <w:rsid w:val="00EC2649"/>
    <w:rsid w:val="00EC31ED"/>
    <w:rsid w:val="00EC3B7C"/>
    <w:rsid w:val="00EC43C1"/>
    <w:rsid w:val="00EC5836"/>
    <w:rsid w:val="00EC688C"/>
    <w:rsid w:val="00EC6A1E"/>
    <w:rsid w:val="00EC6F28"/>
    <w:rsid w:val="00EC78A3"/>
    <w:rsid w:val="00ED12E3"/>
    <w:rsid w:val="00ED2B95"/>
    <w:rsid w:val="00ED33D7"/>
    <w:rsid w:val="00ED3425"/>
    <w:rsid w:val="00ED3A07"/>
    <w:rsid w:val="00ED4B04"/>
    <w:rsid w:val="00ED5549"/>
    <w:rsid w:val="00ED5662"/>
    <w:rsid w:val="00ED5759"/>
    <w:rsid w:val="00ED57EA"/>
    <w:rsid w:val="00ED5BD4"/>
    <w:rsid w:val="00ED5CE7"/>
    <w:rsid w:val="00ED6584"/>
    <w:rsid w:val="00ED6753"/>
    <w:rsid w:val="00ED6790"/>
    <w:rsid w:val="00ED6CD4"/>
    <w:rsid w:val="00ED6EA9"/>
    <w:rsid w:val="00EE00F7"/>
    <w:rsid w:val="00EE07D3"/>
    <w:rsid w:val="00EE0F34"/>
    <w:rsid w:val="00EE1996"/>
    <w:rsid w:val="00EE1C01"/>
    <w:rsid w:val="00EE22AF"/>
    <w:rsid w:val="00EE2811"/>
    <w:rsid w:val="00EE4597"/>
    <w:rsid w:val="00EE4DEF"/>
    <w:rsid w:val="00EE522D"/>
    <w:rsid w:val="00EE5F93"/>
    <w:rsid w:val="00EE6B10"/>
    <w:rsid w:val="00EE7118"/>
    <w:rsid w:val="00EE7B1E"/>
    <w:rsid w:val="00EF0171"/>
    <w:rsid w:val="00EF138E"/>
    <w:rsid w:val="00EF1B25"/>
    <w:rsid w:val="00EF1DA0"/>
    <w:rsid w:val="00EF1F9E"/>
    <w:rsid w:val="00EF25F8"/>
    <w:rsid w:val="00EF3598"/>
    <w:rsid w:val="00EF3E2A"/>
    <w:rsid w:val="00EF432B"/>
    <w:rsid w:val="00EF4747"/>
    <w:rsid w:val="00EF4BF8"/>
    <w:rsid w:val="00EF4E6F"/>
    <w:rsid w:val="00EF5FBB"/>
    <w:rsid w:val="00EF65EF"/>
    <w:rsid w:val="00EF6F75"/>
    <w:rsid w:val="00EF7FBD"/>
    <w:rsid w:val="00F008CE"/>
    <w:rsid w:val="00F02253"/>
    <w:rsid w:val="00F03C2E"/>
    <w:rsid w:val="00F04A66"/>
    <w:rsid w:val="00F04B4B"/>
    <w:rsid w:val="00F0516C"/>
    <w:rsid w:val="00F064BD"/>
    <w:rsid w:val="00F067A2"/>
    <w:rsid w:val="00F074D0"/>
    <w:rsid w:val="00F07B9E"/>
    <w:rsid w:val="00F07ED8"/>
    <w:rsid w:val="00F1116F"/>
    <w:rsid w:val="00F1263A"/>
    <w:rsid w:val="00F12664"/>
    <w:rsid w:val="00F12AD0"/>
    <w:rsid w:val="00F12DA7"/>
    <w:rsid w:val="00F139C5"/>
    <w:rsid w:val="00F14EFC"/>
    <w:rsid w:val="00F15B77"/>
    <w:rsid w:val="00F16292"/>
    <w:rsid w:val="00F16464"/>
    <w:rsid w:val="00F204C1"/>
    <w:rsid w:val="00F205D8"/>
    <w:rsid w:val="00F21236"/>
    <w:rsid w:val="00F21273"/>
    <w:rsid w:val="00F213A2"/>
    <w:rsid w:val="00F225C8"/>
    <w:rsid w:val="00F22955"/>
    <w:rsid w:val="00F22A4F"/>
    <w:rsid w:val="00F24837"/>
    <w:rsid w:val="00F24FAB"/>
    <w:rsid w:val="00F2567A"/>
    <w:rsid w:val="00F256F3"/>
    <w:rsid w:val="00F2575F"/>
    <w:rsid w:val="00F25EBC"/>
    <w:rsid w:val="00F2619C"/>
    <w:rsid w:val="00F27521"/>
    <w:rsid w:val="00F27565"/>
    <w:rsid w:val="00F310D4"/>
    <w:rsid w:val="00F31219"/>
    <w:rsid w:val="00F31D5A"/>
    <w:rsid w:val="00F322E0"/>
    <w:rsid w:val="00F33975"/>
    <w:rsid w:val="00F33DE9"/>
    <w:rsid w:val="00F34D4D"/>
    <w:rsid w:val="00F350FD"/>
    <w:rsid w:val="00F35E6D"/>
    <w:rsid w:val="00F3619A"/>
    <w:rsid w:val="00F3626E"/>
    <w:rsid w:val="00F40AAA"/>
    <w:rsid w:val="00F40BA7"/>
    <w:rsid w:val="00F40F9D"/>
    <w:rsid w:val="00F41ACD"/>
    <w:rsid w:val="00F42FD5"/>
    <w:rsid w:val="00F4416F"/>
    <w:rsid w:val="00F443C8"/>
    <w:rsid w:val="00F44C5E"/>
    <w:rsid w:val="00F453C2"/>
    <w:rsid w:val="00F46CB6"/>
    <w:rsid w:val="00F4756D"/>
    <w:rsid w:val="00F47DE8"/>
    <w:rsid w:val="00F52DDE"/>
    <w:rsid w:val="00F534B9"/>
    <w:rsid w:val="00F542C1"/>
    <w:rsid w:val="00F54532"/>
    <w:rsid w:val="00F550A7"/>
    <w:rsid w:val="00F550E3"/>
    <w:rsid w:val="00F55E73"/>
    <w:rsid w:val="00F55EDA"/>
    <w:rsid w:val="00F561DF"/>
    <w:rsid w:val="00F566CA"/>
    <w:rsid w:val="00F56C80"/>
    <w:rsid w:val="00F577D0"/>
    <w:rsid w:val="00F57B4A"/>
    <w:rsid w:val="00F60092"/>
    <w:rsid w:val="00F609A0"/>
    <w:rsid w:val="00F61C18"/>
    <w:rsid w:val="00F62007"/>
    <w:rsid w:val="00F63203"/>
    <w:rsid w:val="00F63AF5"/>
    <w:rsid w:val="00F647C0"/>
    <w:rsid w:val="00F64D87"/>
    <w:rsid w:val="00F65790"/>
    <w:rsid w:val="00F65F4B"/>
    <w:rsid w:val="00F67029"/>
    <w:rsid w:val="00F67385"/>
    <w:rsid w:val="00F673E6"/>
    <w:rsid w:val="00F67A69"/>
    <w:rsid w:val="00F67C30"/>
    <w:rsid w:val="00F70438"/>
    <w:rsid w:val="00F70BFF"/>
    <w:rsid w:val="00F70C9D"/>
    <w:rsid w:val="00F7155F"/>
    <w:rsid w:val="00F721D7"/>
    <w:rsid w:val="00F73E08"/>
    <w:rsid w:val="00F74CD9"/>
    <w:rsid w:val="00F753B3"/>
    <w:rsid w:val="00F75A4A"/>
    <w:rsid w:val="00F76DE1"/>
    <w:rsid w:val="00F76E9C"/>
    <w:rsid w:val="00F77C70"/>
    <w:rsid w:val="00F8001D"/>
    <w:rsid w:val="00F805A6"/>
    <w:rsid w:val="00F80952"/>
    <w:rsid w:val="00F80A7B"/>
    <w:rsid w:val="00F80E5D"/>
    <w:rsid w:val="00F81791"/>
    <w:rsid w:val="00F81E78"/>
    <w:rsid w:val="00F82395"/>
    <w:rsid w:val="00F83916"/>
    <w:rsid w:val="00F83C0E"/>
    <w:rsid w:val="00F83F7F"/>
    <w:rsid w:val="00F84C0B"/>
    <w:rsid w:val="00F851CE"/>
    <w:rsid w:val="00F85CDA"/>
    <w:rsid w:val="00F908B1"/>
    <w:rsid w:val="00F91219"/>
    <w:rsid w:val="00F9193A"/>
    <w:rsid w:val="00F92444"/>
    <w:rsid w:val="00F932B3"/>
    <w:rsid w:val="00F9393E"/>
    <w:rsid w:val="00F94B96"/>
    <w:rsid w:val="00F9502B"/>
    <w:rsid w:val="00F968E2"/>
    <w:rsid w:val="00F96BAB"/>
    <w:rsid w:val="00F96EEB"/>
    <w:rsid w:val="00F96FD0"/>
    <w:rsid w:val="00F97A78"/>
    <w:rsid w:val="00FA0186"/>
    <w:rsid w:val="00FA0737"/>
    <w:rsid w:val="00FA0B20"/>
    <w:rsid w:val="00FA0F8E"/>
    <w:rsid w:val="00FA101B"/>
    <w:rsid w:val="00FA1819"/>
    <w:rsid w:val="00FA24E7"/>
    <w:rsid w:val="00FA4B0D"/>
    <w:rsid w:val="00FA5EE6"/>
    <w:rsid w:val="00FA627B"/>
    <w:rsid w:val="00FA6533"/>
    <w:rsid w:val="00FA7956"/>
    <w:rsid w:val="00FA7CBE"/>
    <w:rsid w:val="00FB0824"/>
    <w:rsid w:val="00FB2FCB"/>
    <w:rsid w:val="00FB4815"/>
    <w:rsid w:val="00FB4C9C"/>
    <w:rsid w:val="00FB55A8"/>
    <w:rsid w:val="00FB57AA"/>
    <w:rsid w:val="00FB5A7B"/>
    <w:rsid w:val="00FB6784"/>
    <w:rsid w:val="00FB6BA8"/>
    <w:rsid w:val="00FB76CD"/>
    <w:rsid w:val="00FB7C55"/>
    <w:rsid w:val="00FB7D5B"/>
    <w:rsid w:val="00FC1074"/>
    <w:rsid w:val="00FC1119"/>
    <w:rsid w:val="00FC1884"/>
    <w:rsid w:val="00FC1ABA"/>
    <w:rsid w:val="00FC1B17"/>
    <w:rsid w:val="00FC2A69"/>
    <w:rsid w:val="00FC371D"/>
    <w:rsid w:val="00FC3B5D"/>
    <w:rsid w:val="00FC4357"/>
    <w:rsid w:val="00FC5B28"/>
    <w:rsid w:val="00FC5F0B"/>
    <w:rsid w:val="00FC61BC"/>
    <w:rsid w:val="00FC6FB0"/>
    <w:rsid w:val="00FD05C2"/>
    <w:rsid w:val="00FD0AC1"/>
    <w:rsid w:val="00FD0E9F"/>
    <w:rsid w:val="00FD12FF"/>
    <w:rsid w:val="00FD160F"/>
    <w:rsid w:val="00FD2100"/>
    <w:rsid w:val="00FD4103"/>
    <w:rsid w:val="00FD436C"/>
    <w:rsid w:val="00FD446D"/>
    <w:rsid w:val="00FD4615"/>
    <w:rsid w:val="00FD4F2C"/>
    <w:rsid w:val="00FD6394"/>
    <w:rsid w:val="00FD7EA9"/>
    <w:rsid w:val="00FE036E"/>
    <w:rsid w:val="00FE0D34"/>
    <w:rsid w:val="00FE0E6C"/>
    <w:rsid w:val="00FE1CDC"/>
    <w:rsid w:val="00FE21EB"/>
    <w:rsid w:val="00FE2633"/>
    <w:rsid w:val="00FE2D95"/>
    <w:rsid w:val="00FE32EA"/>
    <w:rsid w:val="00FE3330"/>
    <w:rsid w:val="00FE345C"/>
    <w:rsid w:val="00FE4A0C"/>
    <w:rsid w:val="00FE52AC"/>
    <w:rsid w:val="00FE70C3"/>
    <w:rsid w:val="00FF17F4"/>
    <w:rsid w:val="00FF1A8B"/>
    <w:rsid w:val="00FF2341"/>
    <w:rsid w:val="00FF2AD9"/>
    <w:rsid w:val="00FF309F"/>
    <w:rsid w:val="00FF359F"/>
    <w:rsid w:val="00FF3A88"/>
    <w:rsid w:val="00FF3C59"/>
    <w:rsid w:val="00FF3DCF"/>
    <w:rsid w:val="00FF492C"/>
    <w:rsid w:val="00FF4A21"/>
    <w:rsid w:val="00FF506B"/>
    <w:rsid w:val="00FF5AA3"/>
    <w:rsid w:val="00FF5AD8"/>
    <w:rsid w:val="00FF5FFF"/>
    <w:rsid w:val="00FF7644"/>
    <w:rsid w:val="00FF7E8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aliases w:val="PBAC Heading 1 Numbered"/>
    <w:basedOn w:val="Normal"/>
    <w:next w:val="Normal"/>
    <w:uiPriority w:val="9"/>
    <w:rsid w:val="001B204E"/>
    <w:pPr>
      <w:ind w:left="720" w:hanging="720"/>
      <w:outlineLvl w:val="0"/>
    </w:pPr>
    <w:rPr>
      <w:b/>
      <w:caps/>
      <w:sz w:val="32"/>
    </w:rPr>
  </w:style>
  <w:style w:type="paragraph" w:styleId="Heading2">
    <w:name w:val="heading 2"/>
    <w:aliases w:val="PBAC Heading 2 Numbered"/>
    <w:basedOn w:val="Normal"/>
    <w:next w:val="Normal"/>
    <w:link w:val="Heading2Char"/>
    <w:uiPriority w:val="9"/>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uiPriority w:val="9"/>
    <w:rsid w:val="00124A51"/>
    <w:pPr>
      <w:spacing w:before="240" w:after="60"/>
      <w:outlineLvl w:val="5"/>
    </w:pPr>
    <w:rPr>
      <w:b/>
      <w:bCs/>
      <w:i/>
    </w:rPr>
  </w:style>
  <w:style w:type="paragraph" w:styleId="Heading7">
    <w:name w:val="heading 7"/>
    <w:basedOn w:val="Normal"/>
    <w:next w:val="Normal"/>
    <w:link w:val="Heading7Char"/>
    <w:uiPriority w:val="9"/>
    <w:rsid w:val="00124A51"/>
    <w:pPr>
      <w:keepNext/>
      <w:jc w:val="center"/>
      <w:outlineLvl w:val="6"/>
    </w:pPr>
    <w:rPr>
      <w:b/>
      <w:sz w:val="20"/>
    </w:rPr>
  </w:style>
  <w:style w:type="paragraph" w:styleId="Heading8">
    <w:name w:val="heading 8"/>
    <w:basedOn w:val="Normal"/>
    <w:next w:val="Normal"/>
    <w:link w:val="Heading8Char"/>
    <w:uiPriority w:val="9"/>
    <w:qFormat/>
    <w:rsid w:val="00124A51"/>
    <w:pPr>
      <w:keepNext/>
      <w:jc w:val="right"/>
      <w:outlineLvl w:val="7"/>
    </w:pPr>
    <w:rPr>
      <w:b/>
    </w:rPr>
  </w:style>
  <w:style w:type="paragraph" w:styleId="Heading9">
    <w:name w:val="heading 9"/>
    <w:basedOn w:val="Normal"/>
    <w:next w:val="Normal"/>
    <w:link w:val="Heading9Char"/>
    <w:uiPriority w:val="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BAC Heading 2 Numbered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Conclusion box,Table Grid nm,HealthConsult,MSD Table Grid,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2639FF"/>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124CA"/>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numbering" w:customStyle="1" w:styleId="SectionBi1">
    <w:name w:val="Section Bi1"/>
    <w:uiPriority w:val="99"/>
    <w:rsid w:val="00393969"/>
  </w:style>
  <w:style w:type="paragraph" w:customStyle="1" w:styleId="PBACTabletext">
    <w:name w:val="PBAC Table text"/>
    <w:link w:val="PBACTabletextChar"/>
    <w:qFormat/>
    <w:rsid w:val="00393969"/>
    <w:pPr>
      <w:keepNext/>
      <w:keepLines/>
      <w:suppressLineNumbers/>
      <w:spacing w:after="20"/>
      <w:textboxTightWrap w:val="allLines"/>
    </w:pPr>
    <w:rPr>
      <w:rFonts w:ascii="Arial Narrow" w:hAnsi="Arial Narrow" w:cs="Arial"/>
      <w:szCs w:val="24"/>
      <w:lang w:eastAsia="en-GB"/>
    </w:rPr>
  </w:style>
  <w:style w:type="character" w:customStyle="1" w:styleId="PBACTabletextChar">
    <w:name w:val="PBAC Table text Char"/>
    <w:basedOn w:val="DefaultParagraphFont"/>
    <w:link w:val="PBACTabletext"/>
    <w:rsid w:val="00393969"/>
    <w:rPr>
      <w:rFonts w:ascii="Arial Narrow" w:hAnsi="Arial Narrow" w:cs="Arial"/>
      <w:szCs w:val="24"/>
      <w:lang w:eastAsia="en-GB"/>
    </w:rPr>
  </w:style>
  <w:style w:type="paragraph" w:customStyle="1" w:styleId="PBACTblFignote">
    <w:name w:val="PBAC Tbl/Fig note"/>
    <w:qFormat/>
    <w:rsid w:val="00393969"/>
    <w:pPr>
      <w:keepNext/>
      <w:keepLines/>
      <w:spacing w:after="360"/>
      <w:contextualSpacing/>
      <w:textboxTightWrap w:val="allLines"/>
    </w:pPr>
    <w:rPr>
      <w:rFonts w:ascii="Arial Narrow" w:hAnsi="Arial Narrow" w:cs="Arial"/>
      <w:sz w:val="18"/>
      <w:szCs w:val="24"/>
      <w:lang w:eastAsia="en-GB"/>
    </w:rPr>
  </w:style>
  <w:style w:type="paragraph" w:styleId="FootnoteText">
    <w:name w:val="footnote text"/>
    <w:aliases w:val="Char"/>
    <w:basedOn w:val="Normal"/>
    <w:link w:val="FootnoteTextChar"/>
    <w:uiPriority w:val="99"/>
    <w:semiHidden/>
    <w:unhideWhenUsed/>
    <w:rsid w:val="007731BA"/>
    <w:rPr>
      <w:sz w:val="20"/>
      <w:szCs w:val="20"/>
    </w:rPr>
  </w:style>
  <w:style w:type="character" w:customStyle="1" w:styleId="FootnoteTextChar">
    <w:name w:val="Footnote Text Char"/>
    <w:aliases w:val="Char Char"/>
    <w:basedOn w:val="DefaultParagraphFont"/>
    <w:link w:val="FootnoteText"/>
    <w:uiPriority w:val="99"/>
    <w:semiHidden/>
    <w:rsid w:val="007731BA"/>
    <w:rPr>
      <w:rFonts w:ascii="Calibri" w:hAnsi="Calibri" w:cs="Arial"/>
    </w:rPr>
  </w:style>
  <w:style w:type="character" w:styleId="FootnoteReference">
    <w:name w:val="footnote reference"/>
    <w:basedOn w:val="DefaultParagraphFont"/>
    <w:uiPriority w:val="99"/>
    <w:semiHidden/>
    <w:unhideWhenUsed/>
    <w:rsid w:val="007731BA"/>
    <w:rPr>
      <w:vertAlign w:val="superscript"/>
    </w:rPr>
  </w:style>
  <w:style w:type="character" w:customStyle="1" w:styleId="cf01">
    <w:name w:val="cf01"/>
    <w:basedOn w:val="DefaultParagraphFont"/>
    <w:rsid w:val="00CB6D57"/>
    <w:rPr>
      <w:rFonts w:ascii="Segoe UI" w:hAnsi="Segoe UI" w:cs="Segoe UI" w:hint="default"/>
      <w:sz w:val="18"/>
      <w:szCs w:val="18"/>
    </w:rPr>
  </w:style>
  <w:style w:type="paragraph" w:customStyle="1" w:styleId="PBACH4">
    <w:name w:val="PBAC H4"/>
    <w:basedOn w:val="Heading4"/>
    <w:next w:val="Normal"/>
    <w:qFormat/>
    <w:rsid w:val="00052470"/>
    <w:pPr>
      <w:keepLines/>
      <w:spacing w:after="120"/>
      <w:jc w:val="left"/>
    </w:pPr>
    <w:rPr>
      <w:rFonts w:eastAsiaTheme="majorEastAsia" w:cstheme="majorBidi"/>
      <w:i w:val="0"/>
      <w:iCs/>
      <w:szCs w:val="24"/>
      <w:lang w:eastAsia="en-GB"/>
    </w:rPr>
  </w:style>
  <w:style w:type="paragraph" w:customStyle="1" w:styleId="Tabletextcent">
    <w:name w:val="Table text cent"/>
    <w:basedOn w:val="Normal"/>
    <w:qFormat/>
    <w:rsid w:val="008D0610"/>
    <w:pPr>
      <w:spacing w:before="20" w:after="20"/>
      <w:jc w:val="center"/>
    </w:pPr>
    <w:rPr>
      <w:rFonts w:cs="Times New Roman"/>
      <w:sz w:val="18"/>
      <w:szCs w:val="20"/>
      <w:lang w:val="de-DE"/>
    </w:rPr>
  </w:style>
  <w:style w:type="paragraph" w:customStyle="1" w:styleId="PBACH5">
    <w:name w:val="PBAC H5"/>
    <w:basedOn w:val="Heading5"/>
    <w:next w:val="Normal"/>
    <w:qFormat/>
    <w:rsid w:val="00F2567A"/>
    <w:pPr>
      <w:spacing w:after="120"/>
      <w:jc w:val="left"/>
    </w:pPr>
    <w:rPr>
      <w:bCs w:val="0"/>
      <w:i/>
      <w:iCs w:val="0"/>
      <w:sz w:val="24"/>
      <w:szCs w:val="24"/>
      <w:lang w:eastAsia="en-GB"/>
    </w:rPr>
  </w:style>
  <w:style w:type="paragraph" w:customStyle="1" w:styleId="PBACtablecaption">
    <w:name w:val="PBAC table caption"/>
    <w:basedOn w:val="Normal"/>
    <w:link w:val="PBACtablecaptionChar"/>
    <w:qFormat/>
    <w:rsid w:val="006D4722"/>
    <w:pPr>
      <w:spacing w:before="60" w:after="60"/>
      <w:jc w:val="left"/>
    </w:pPr>
    <w:rPr>
      <w:rFonts w:ascii="Sabon" w:eastAsiaTheme="minorHAnsi" w:hAnsi="Sabon"/>
      <w:b/>
      <w:sz w:val="22"/>
      <w:szCs w:val="22"/>
      <w:lang w:eastAsia="en-US"/>
    </w:rPr>
  </w:style>
  <w:style w:type="character" w:customStyle="1" w:styleId="PBACtablecaptionChar">
    <w:name w:val="PBAC table caption Char"/>
    <w:basedOn w:val="DefaultParagraphFont"/>
    <w:link w:val="PBACtablecaption"/>
    <w:rsid w:val="006D4722"/>
    <w:rPr>
      <w:rFonts w:ascii="Sabon" w:eastAsiaTheme="minorHAnsi" w:hAnsi="Sabon" w:cs="Arial"/>
      <w:b/>
      <w:sz w:val="22"/>
      <w:szCs w:val="22"/>
      <w:lang w:eastAsia="en-US"/>
    </w:rPr>
  </w:style>
  <w:style w:type="paragraph" w:customStyle="1" w:styleId="PBACTableText0">
    <w:name w:val="PBAC Table Text"/>
    <w:basedOn w:val="Normal"/>
    <w:link w:val="PBACTableTextChar0"/>
    <w:qFormat/>
    <w:rsid w:val="006D4722"/>
    <w:pPr>
      <w:spacing w:before="40" w:after="40"/>
      <w:jc w:val="left"/>
    </w:pPr>
    <w:rPr>
      <w:rFonts w:ascii="Arial Narrow" w:hAnsi="Arial Narrow" w:cs="Times New Roman"/>
      <w:sz w:val="20"/>
      <w:szCs w:val="20"/>
      <w:lang w:eastAsia="en-US"/>
    </w:rPr>
  </w:style>
  <w:style w:type="character" w:customStyle="1" w:styleId="PBACTableTextChar0">
    <w:name w:val="PBAC Table Text Char"/>
    <w:basedOn w:val="DefaultParagraphFont"/>
    <w:link w:val="PBACTableText0"/>
    <w:rsid w:val="006D4722"/>
    <w:rPr>
      <w:rFonts w:ascii="Arial Narrow" w:hAnsi="Arial Narrow"/>
      <w:lang w:eastAsia="en-US"/>
    </w:rPr>
  </w:style>
  <w:style w:type="paragraph" w:customStyle="1" w:styleId="PbacTableHeading">
    <w:name w:val="Pbac Table Heading"/>
    <w:basedOn w:val="PBACTableText0"/>
    <w:qFormat/>
    <w:rsid w:val="006D4722"/>
    <w:pPr>
      <w:spacing w:before="0" w:after="80"/>
    </w:pPr>
    <w:rPr>
      <w:rFonts w:eastAsiaTheme="minorHAnsi" w:cs="Arial"/>
      <w:b/>
    </w:rPr>
  </w:style>
  <w:style w:type="table" w:customStyle="1" w:styleId="TableGrid2">
    <w:name w:val="Table Grid2"/>
    <w:basedOn w:val="TableNormal"/>
    <w:next w:val="TableGrid"/>
    <w:uiPriority w:val="39"/>
    <w:rsid w:val="00F96EEB"/>
    <w:pPr>
      <w:tabs>
        <w:tab w:val="left" w:pos="416"/>
        <w:tab w:val="left" w:pos="582"/>
      </w:tabs>
      <w:spacing w:line="360" w:lineRule="auto"/>
      <w:jc w:val="both"/>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6">
    <w:name w:val="PBAC H6"/>
    <w:basedOn w:val="Heading6"/>
    <w:next w:val="Normal"/>
    <w:qFormat/>
    <w:rsid w:val="00FD7EA9"/>
    <w:pPr>
      <w:keepNext/>
      <w:keepLines/>
      <w:spacing w:after="120"/>
      <w:jc w:val="left"/>
    </w:pPr>
    <w:rPr>
      <w:rFonts w:eastAsiaTheme="majorEastAsia" w:cstheme="majorBidi"/>
      <w:b w:val="0"/>
      <w:iCs/>
      <w:szCs w:val="28"/>
      <w:lang w:eastAsia="en-GB"/>
    </w:rPr>
  </w:style>
  <w:style w:type="character" w:customStyle="1" w:styleId="mo">
    <w:name w:val="mo"/>
    <w:basedOn w:val="DefaultParagraphFont"/>
    <w:rsid w:val="00181812"/>
  </w:style>
  <w:style w:type="paragraph" w:customStyle="1" w:styleId="TableFigureFooter">
    <w:name w:val="Table/Figure Footer"/>
    <w:basedOn w:val="Normal"/>
    <w:link w:val="TableFigureFooterChar"/>
    <w:qFormat/>
    <w:rsid w:val="00181812"/>
    <w:pPr>
      <w:keepLines/>
      <w:spacing w:after="24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181812"/>
    <w:rPr>
      <w:rFonts w:ascii="Arial Narrow" w:hAnsi="Arial Narrow" w:cs="Arial"/>
      <w:snapToGrid w:val="0"/>
      <w:sz w:val="18"/>
      <w:szCs w:val="22"/>
    </w:rPr>
  </w:style>
  <w:style w:type="paragraph" w:customStyle="1" w:styleId="PBACTablebullet">
    <w:name w:val="PBAC Table bullet"/>
    <w:basedOn w:val="PBACTabletext"/>
    <w:next w:val="PBACTabletext"/>
    <w:qFormat/>
    <w:rsid w:val="00A272CF"/>
    <w:pPr>
      <w:numPr>
        <w:numId w:val="7"/>
      </w:numPr>
    </w:pPr>
  </w:style>
  <w:style w:type="table" w:customStyle="1" w:styleId="TableGrid111">
    <w:name w:val="Table Grid111"/>
    <w:basedOn w:val="TableNormal"/>
    <w:next w:val="TableGrid"/>
    <w:uiPriority w:val="59"/>
    <w:rsid w:val="00A27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2">
    <w:name w:val="PBAC H2#"/>
    <w:basedOn w:val="Heading2"/>
    <w:next w:val="Normal"/>
    <w:autoRedefine/>
    <w:qFormat/>
    <w:rsid w:val="00A272CF"/>
    <w:pPr>
      <w:keepNext/>
      <w:keepLines/>
      <w:numPr>
        <w:ilvl w:val="1"/>
      </w:numPr>
      <w:tabs>
        <w:tab w:val="num" w:pos="851"/>
      </w:tabs>
      <w:spacing w:before="360" w:after="200"/>
      <w:ind w:left="851" w:hanging="851"/>
    </w:pPr>
    <w:rPr>
      <w:rFonts w:asciiTheme="minorHAnsi" w:eastAsiaTheme="majorEastAsia" w:hAnsiTheme="minorHAnsi" w:cstheme="majorBidi"/>
      <w:bCs/>
      <w:i w:val="0"/>
      <w:sz w:val="32"/>
      <w:szCs w:val="26"/>
      <w:lang w:val="en-US" w:eastAsia="en-GB"/>
    </w:rPr>
  </w:style>
  <w:style w:type="paragraph" w:customStyle="1" w:styleId="PBACH3">
    <w:name w:val="PBAC H3#"/>
    <w:basedOn w:val="Heading3"/>
    <w:next w:val="Normal"/>
    <w:qFormat/>
    <w:rsid w:val="00A272CF"/>
    <w:pPr>
      <w:tabs>
        <w:tab w:val="num" w:pos="851"/>
        <w:tab w:val="num" w:pos="993"/>
      </w:tabs>
      <w:spacing w:before="360" w:after="120"/>
      <w:ind w:left="851" w:hanging="851"/>
      <w:jc w:val="left"/>
    </w:pPr>
    <w:rPr>
      <w:b/>
      <w:sz w:val="28"/>
      <w:u w:val="none"/>
      <w:lang w:val="en-US" w:eastAsia="en-GB"/>
    </w:rPr>
  </w:style>
  <w:style w:type="paragraph" w:customStyle="1" w:styleId="PBACtablefooter">
    <w:name w:val="PBAC table footer"/>
    <w:basedOn w:val="PBACTableText0"/>
    <w:link w:val="PBACtablefooterChar"/>
    <w:rsid w:val="00A272CF"/>
    <w:pPr>
      <w:spacing w:before="60" w:after="0"/>
    </w:pPr>
    <w:rPr>
      <w:rFonts w:eastAsiaTheme="minorHAnsi" w:cs="Arial"/>
      <w:sz w:val="18"/>
      <w:szCs w:val="18"/>
    </w:rPr>
  </w:style>
  <w:style w:type="character" w:customStyle="1" w:styleId="PBACtablefooterChar">
    <w:name w:val="PBAC table footer Char"/>
    <w:basedOn w:val="PBACTableTextChar0"/>
    <w:link w:val="PBACtablefooter"/>
    <w:rsid w:val="00A272CF"/>
    <w:rPr>
      <w:rFonts w:ascii="Arial Narrow" w:eastAsiaTheme="minorHAnsi" w:hAnsi="Arial Narrow" w:cs="Arial"/>
      <w:sz w:val="18"/>
      <w:szCs w:val="18"/>
      <w:lang w:eastAsia="en-US"/>
    </w:rPr>
  </w:style>
  <w:style w:type="paragraph" w:customStyle="1" w:styleId="PbacTabletoprow">
    <w:name w:val="Pbac Table top row"/>
    <w:basedOn w:val="PBACTableText0"/>
    <w:rsid w:val="00A272CF"/>
    <w:rPr>
      <w:rFonts w:eastAsiaTheme="minorHAnsi" w:cs="Arial"/>
      <w:b/>
    </w:rPr>
  </w:style>
  <w:style w:type="table" w:customStyle="1" w:styleId="OPTUMTableNormal">
    <w:name w:val="OPTUM Table Normal"/>
    <w:basedOn w:val="TableNormal"/>
    <w:rsid w:val="00A272CF"/>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PBACESText">
    <w:name w:val="PBAC ES Text"/>
    <w:basedOn w:val="Normal"/>
    <w:qFormat/>
    <w:rsid w:val="00B26418"/>
    <w:pPr>
      <w:spacing w:before="60" w:after="160"/>
    </w:pPr>
    <w:rPr>
      <w:sz w:val="22"/>
      <w:lang w:eastAsia="en-GB"/>
    </w:rPr>
  </w:style>
  <w:style w:type="paragraph" w:customStyle="1" w:styleId="3-SubsectionHeading">
    <w:name w:val="3-Subsection Heading"/>
    <w:basedOn w:val="Heading2"/>
    <w:next w:val="Normal"/>
    <w:link w:val="3-SubsectionHeadingChar"/>
    <w:qFormat/>
    <w:rsid w:val="00AE74F3"/>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AE74F3"/>
    <w:rPr>
      <w:rFonts w:asciiTheme="minorHAnsi" w:eastAsiaTheme="majorEastAsia" w:hAnsiTheme="minorHAnsi" w:cstheme="majorBidi"/>
      <w:b/>
      <w:i/>
      <w:snapToGrid/>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500">
      <w:bodyDiv w:val="1"/>
      <w:marLeft w:val="0"/>
      <w:marRight w:val="0"/>
      <w:marTop w:val="0"/>
      <w:marBottom w:val="0"/>
      <w:divBdr>
        <w:top w:val="none" w:sz="0" w:space="0" w:color="auto"/>
        <w:left w:val="none" w:sz="0" w:space="0" w:color="auto"/>
        <w:bottom w:val="none" w:sz="0" w:space="0" w:color="auto"/>
        <w:right w:val="none" w:sz="0" w:space="0" w:color="auto"/>
      </w:divBdr>
    </w:div>
    <w:div w:id="84697014">
      <w:bodyDiv w:val="1"/>
      <w:marLeft w:val="0"/>
      <w:marRight w:val="0"/>
      <w:marTop w:val="0"/>
      <w:marBottom w:val="0"/>
      <w:divBdr>
        <w:top w:val="none" w:sz="0" w:space="0" w:color="auto"/>
        <w:left w:val="none" w:sz="0" w:space="0" w:color="auto"/>
        <w:bottom w:val="none" w:sz="0" w:space="0" w:color="auto"/>
        <w:right w:val="none" w:sz="0" w:space="0" w:color="auto"/>
      </w:divBdr>
    </w:div>
    <w:div w:id="93552048">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13096530">
      <w:bodyDiv w:val="1"/>
      <w:marLeft w:val="0"/>
      <w:marRight w:val="0"/>
      <w:marTop w:val="0"/>
      <w:marBottom w:val="0"/>
      <w:divBdr>
        <w:top w:val="none" w:sz="0" w:space="0" w:color="auto"/>
        <w:left w:val="none" w:sz="0" w:space="0" w:color="auto"/>
        <w:bottom w:val="none" w:sz="0" w:space="0" w:color="auto"/>
        <w:right w:val="none" w:sz="0" w:space="0" w:color="auto"/>
      </w:divBdr>
    </w:div>
    <w:div w:id="622730836">
      <w:bodyDiv w:val="1"/>
      <w:marLeft w:val="0"/>
      <w:marRight w:val="0"/>
      <w:marTop w:val="0"/>
      <w:marBottom w:val="0"/>
      <w:divBdr>
        <w:top w:val="none" w:sz="0" w:space="0" w:color="auto"/>
        <w:left w:val="none" w:sz="0" w:space="0" w:color="auto"/>
        <w:bottom w:val="none" w:sz="0" w:space="0" w:color="auto"/>
        <w:right w:val="none" w:sz="0" w:space="0" w:color="auto"/>
      </w:divBdr>
    </w:div>
    <w:div w:id="674961056">
      <w:bodyDiv w:val="1"/>
      <w:marLeft w:val="0"/>
      <w:marRight w:val="0"/>
      <w:marTop w:val="0"/>
      <w:marBottom w:val="0"/>
      <w:divBdr>
        <w:top w:val="none" w:sz="0" w:space="0" w:color="auto"/>
        <w:left w:val="none" w:sz="0" w:space="0" w:color="auto"/>
        <w:bottom w:val="none" w:sz="0" w:space="0" w:color="auto"/>
        <w:right w:val="none" w:sz="0" w:space="0" w:color="auto"/>
      </w:divBdr>
    </w:div>
    <w:div w:id="679743016">
      <w:bodyDiv w:val="1"/>
      <w:marLeft w:val="0"/>
      <w:marRight w:val="0"/>
      <w:marTop w:val="0"/>
      <w:marBottom w:val="0"/>
      <w:divBdr>
        <w:top w:val="none" w:sz="0" w:space="0" w:color="auto"/>
        <w:left w:val="none" w:sz="0" w:space="0" w:color="auto"/>
        <w:bottom w:val="none" w:sz="0" w:space="0" w:color="auto"/>
        <w:right w:val="none" w:sz="0" w:space="0" w:color="auto"/>
      </w:divBdr>
    </w:div>
    <w:div w:id="812258120">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33111845">
      <w:bodyDiv w:val="1"/>
      <w:marLeft w:val="0"/>
      <w:marRight w:val="0"/>
      <w:marTop w:val="0"/>
      <w:marBottom w:val="0"/>
      <w:divBdr>
        <w:top w:val="none" w:sz="0" w:space="0" w:color="auto"/>
        <w:left w:val="none" w:sz="0" w:space="0" w:color="auto"/>
        <w:bottom w:val="none" w:sz="0" w:space="0" w:color="auto"/>
        <w:right w:val="none" w:sz="0" w:space="0" w:color="auto"/>
      </w:divBdr>
    </w:div>
    <w:div w:id="933709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076">
          <w:marLeft w:val="547"/>
          <w:marRight w:val="0"/>
          <w:marTop w:val="0"/>
          <w:marBottom w:val="120"/>
          <w:divBdr>
            <w:top w:val="none" w:sz="0" w:space="0" w:color="auto"/>
            <w:left w:val="none" w:sz="0" w:space="0" w:color="auto"/>
            <w:bottom w:val="none" w:sz="0" w:space="0" w:color="auto"/>
            <w:right w:val="none" w:sz="0" w:space="0" w:color="auto"/>
          </w:divBdr>
        </w:div>
        <w:div w:id="1002976394">
          <w:marLeft w:val="547"/>
          <w:marRight w:val="0"/>
          <w:marTop w:val="0"/>
          <w:marBottom w:val="120"/>
          <w:divBdr>
            <w:top w:val="none" w:sz="0" w:space="0" w:color="auto"/>
            <w:left w:val="none" w:sz="0" w:space="0" w:color="auto"/>
            <w:bottom w:val="none" w:sz="0" w:space="0" w:color="auto"/>
            <w:right w:val="none" w:sz="0" w:space="0" w:color="auto"/>
          </w:divBdr>
        </w:div>
        <w:div w:id="1386955120">
          <w:marLeft w:val="547"/>
          <w:marRight w:val="0"/>
          <w:marTop w:val="0"/>
          <w:marBottom w:val="120"/>
          <w:divBdr>
            <w:top w:val="none" w:sz="0" w:space="0" w:color="auto"/>
            <w:left w:val="none" w:sz="0" w:space="0" w:color="auto"/>
            <w:bottom w:val="none" w:sz="0" w:space="0" w:color="auto"/>
            <w:right w:val="none" w:sz="0" w:space="0" w:color="auto"/>
          </w:divBdr>
        </w:div>
        <w:div w:id="2081249481">
          <w:marLeft w:val="547"/>
          <w:marRight w:val="0"/>
          <w:marTop w:val="0"/>
          <w:marBottom w:val="120"/>
          <w:divBdr>
            <w:top w:val="none" w:sz="0" w:space="0" w:color="auto"/>
            <w:left w:val="none" w:sz="0" w:space="0" w:color="auto"/>
            <w:bottom w:val="none" w:sz="0" w:space="0" w:color="auto"/>
            <w:right w:val="none" w:sz="0" w:space="0" w:color="auto"/>
          </w:divBdr>
        </w:div>
      </w:divsChild>
    </w:div>
    <w:div w:id="1099908406">
      <w:bodyDiv w:val="1"/>
      <w:marLeft w:val="0"/>
      <w:marRight w:val="0"/>
      <w:marTop w:val="0"/>
      <w:marBottom w:val="0"/>
      <w:divBdr>
        <w:top w:val="none" w:sz="0" w:space="0" w:color="auto"/>
        <w:left w:val="none" w:sz="0" w:space="0" w:color="auto"/>
        <w:bottom w:val="none" w:sz="0" w:space="0" w:color="auto"/>
        <w:right w:val="none" w:sz="0" w:space="0" w:color="auto"/>
      </w:divBdr>
    </w:div>
    <w:div w:id="1159611435">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4317816">
      <w:bodyDiv w:val="1"/>
      <w:marLeft w:val="0"/>
      <w:marRight w:val="0"/>
      <w:marTop w:val="0"/>
      <w:marBottom w:val="0"/>
      <w:divBdr>
        <w:top w:val="none" w:sz="0" w:space="0" w:color="auto"/>
        <w:left w:val="none" w:sz="0" w:space="0" w:color="auto"/>
        <w:bottom w:val="none" w:sz="0" w:space="0" w:color="auto"/>
        <w:right w:val="none" w:sz="0" w:space="0" w:color="auto"/>
      </w:divBdr>
    </w:div>
    <w:div w:id="1278639880">
      <w:bodyDiv w:val="1"/>
      <w:marLeft w:val="0"/>
      <w:marRight w:val="0"/>
      <w:marTop w:val="0"/>
      <w:marBottom w:val="0"/>
      <w:divBdr>
        <w:top w:val="none" w:sz="0" w:space="0" w:color="auto"/>
        <w:left w:val="none" w:sz="0" w:space="0" w:color="auto"/>
        <w:bottom w:val="none" w:sz="0" w:space="0" w:color="auto"/>
        <w:right w:val="none" w:sz="0" w:space="0" w:color="auto"/>
      </w:divBdr>
      <w:divsChild>
        <w:div w:id="1584678412">
          <w:marLeft w:val="547"/>
          <w:marRight w:val="0"/>
          <w:marTop w:val="200"/>
          <w:marBottom w:val="0"/>
          <w:divBdr>
            <w:top w:val="none" w:sz="0" w:space="0" w:color="auto"/>
            <w:left w:val="none" w:sz="0" w:space="0" w:color="auto"/>
            <w:bottom w:val="none" w:sz="0" w:space="0" w:color="auto"/>
            <w:right w:val="none" w:sz="0" w:space="0" w:color="auto"/>
          </w:divBdr>
        </w:div>
        <w:div w:id="91123516">
          <w:marLeft w:val="1080"/>
          <w:marRight w:val="0"/>
          <w:marTop w:val="100"/>
          <w:marBottom w:val="0"/>
          <w:divBdr>
            <w:top w:val="none" w:sz="0" w:space="0" w:color="auto"/>
            <w:left w:val="none" w:sz="0" w:space="0" w:color="auto"/>
            <w:bottom w:val="none" w:sz="0" w:space="0" w:color="auto"/>
            <w:right w:val="none" w:sz="0" w:space="0" w:color="auto"/>
          </w:divBdr>
        </w:div>
        <w:div w:id="1918512018">
          <w:marLeft w:val="1080"/>
          <w:marRight w:val="0"/>
          <w:marTop w:val="100"/>
          <w:marBottom w:val="0"/>
          <w:divBdr>
            <w:top w:val="none" w:sz="0" w:space="0" w:color="auto"/>
            <w:left w:val="none" w:sz="0" w:space="0" w:color="auto"/>
            <w:bottom w:val="none" w:sz="0" w:space="0" w:color="auto"/>
            <w:right w:val="none" w:sz="0" w:space="0" w:color="auto"/>
          </w:divBdr>
        </w:div>
        <w:div w:id="505630767">
          <w:marLeft w:val="1080"/>
          <w:marRight w:val="0"/>
          <w:marTop w:val="100"/>
          <w:marBottom w:val="0"/>
          <w:divBdr>
            <w:top w:val="none" w:sz="0" w:space="0" w:color="auto"/>
            <w:left w:val="none" w:sz="0" w:space="0" w:color="auto"/>
            <w:bottom w:val="none" w:sz="0" w:space="0" w:color="auto"/>
            <w:right w:val="none" w:sz="0" w:space="0" w:color="auto"/>
          </w:divBdr>
        </w:div>
      </w:divsChild>
    </w:div>
    <w:div w:id="1322587973">
      <w:bodyDiv w:val="1"/>
      <w:marLeft w:val="0"/>
      <w:marRight w:val="0"/>
      <w:marTop w:val="0"/>
      <w:marBottom w:val="0"/>
      <w:divBdr>
        <w:top w:val="none" w:sz="0" w:space="0" w:color="auto"/>
        <w:left w:val="none" w:sz="0" w:space="0" w:color="auto"/>
        <w:bottom w:val="none" w:sz="0" w:space="0" w:color="auto"/>
        <w:right w:val="none" w:sz="0" w:space="0" w:color="auto"/>
      </w:divBdr>
    </w:div>
    <w:div w:id="1349990648">
      <w:bodyDiv w:val="1"/>
      <w:marLeft w:val="0"/>
      <w:marRight w:val="0"/>
      <w:marTop w:val="0"/>
      <w:marBottom w:val="0"/>
      <w:divBdr>
        <w:top w:val="none" w:sz="0" w:space="0" w:color="auto"/>
        <w:left w:val="none" w:sz="0" w:space="0" w:color="auto"/>
        <w:bottom w:val="none" w:sz="0" w:space="0" w:color="auto"/>
        <w:right w:val="none" w:sz="0" w:space="0" w:color="auto"/>
      </w:divBdr>
    </w:div>
    <w:div w:id="1425374370">
      <w:bodyDiv w:val="1"/>
      <w:marLeft w:val="0"/>
      <w:marRight w:val="0"/>
      <w:marTop w:val="0"/>
      <w:marBottom w:val="0"/>
      <w:divBdr>
        <w:top w:val="none" w:sz="0" w:space="0" w:color="auto"/>
        <w:left w:val="none" w:sz="0" w:space="0" w:color="auto"/>
        <w:bottom w:val="none" w:sz="0" w:space="0" w:color="auto"/>
        <w:right w:val="none" w:sz="0" w:space="0" w:color="auto"/>
      </w:divBdr>
      <w:divsChild>
        <w:div w:id="373432695">
          <w:marLeft w:val="360"/>
          <w:marRight w:val="0"/>
          <w:marTop w:val="200"/>
          <w:marBottom w:val="0"/>
          <w:divBdr>
            <w:top w:val="none" w:sz="0" w:space="0" w:color="auto"/>
            <w:left w:val="none" w:sz="0" w:space="0" w:color="auto"/>
            <w:bottom w:val="none" w:sz="0" w:space="0" w:color="auto"/>
            <w:right w:val="none" w:sz="0" w:space="0" w:color="auto"/>
          </w:divBdr>
        </w:div>
      </w:divsChild>
    </w:div>
    <w:div w:id="1523475659">
      <w:bodyDiv w:val="1"/>
      <w:marLeft w:val="0"/>
      <w:marRight w:val="0"/>
      <w:marTop w:val="0"/>
      <w:marBottom w:val="0"/>
      <w:divBdr>
        <w:top w:val="none" w:sz="0" w:space="0" w:color="auto"/>
        <w:left w:val="none" w:sz="0" w:space="0" w:color="auto"/>
        <w:bottom w:val="none" w:sz="0" w:space="0" w:color="auto"/>
        <w:right w:val="none" w:sz="0" w:space="0" w:color="auto"/>
      </w:divBdr>
    </w:div>
    <w:div w:id="1582249161">
      <w:bodyDiv w:val="1"/>
      <w:marLeft w:val="0"/>
      <w:marRight w:val="0"/>
      <w:marTop w:val="0"/>
      <w:marBottom w:val="0"/>
      <w:divBdr>
        <w:top w:val="none" w:sz="0" w:space="0" w:color="auto"/>
        <w:left w:val="none" w:sz="0" w:space="0" w:color="auto"/>
        <w:bottom w:val="none" w:sz="0" w:space="0" w:color="auto"/>
        <w:right w:val="none" w:sz="0" w:space="0" w:color="auto"/>
      </w:divBdr>
    </w:div>
    <w:div w:id="1593276749">
      <w:bodyDiv w:val="1"/>
      <w:marLeft w:val="0"/>
      <w:marRight w:val="0"/>
      <w:marTop w:val="0"/>
      <w:marBottom w:val="0"/>
      <w:divBdr>
        <w:top w:val="none" w:sz="0" w:space="0" w:color="auto"/>
        <w:left w:val="none" w:sz="0" w:space="0" w:color="auto"/>
        <w:bottom w:val="none" w:sz="0" w:space="0" w:color="auto"/>
        <w:right w:val="none" w:sz="0" w:space="0" w:color="auto"/>
      </w:divBdr>
    </w:div>
    <w:div w:id="1609461687">
      <w:bodyDiv w:val="1"/>
      <w:marLeft w:val="0"/>
      <w:marRight w:val="0"/>
      <w:marTop w:val="0"/>
      <w:marBottom w:val="0"/>
      <w:divBdr>
        <w:top w:val="none" w:sz="0" w:space="0" w:color="auto"/>
        <w:left w:val="none" w:sz="0" w:space="0" w:color="auto"/>
        <w:bottom w:val="none" w:sz="0" w:space="0" w:color="auto"/>
        <w:right w:val="none" w:sz="0" w:space="0" w:color="auto"/>
      </w:divBdr>
    </w:div>
    <w:div w:id="1704401655">
      <w:bodyDiv w:val="1"/>
      <w:marLeft w:val="0"/>
      <w:marRight w:val="0"/>
      <w:marTop w:val="0"/>
      <w:marBottom w:val="0"/>
      <w:divBdr>
        <w:top w:val="none" w:sz="0" w:space="0" w:color="auto"/>
        <w:left w:val="none" w:sz="0" w:space="0" w:color="auto"/>
        <w:bottom w:val="none" w:sz="0" w:space="0" w:color="auto"/>
        <w:right w:val="none" w:sz="0" w:space="0" w:color="auto"/>
      </w:divBdr>
    </w:div>
    <w:div w:id="1740977707">
      <w:bodyDiv w:val="1"/>
      <w:marLeft w:val="0"/>
      <w:marRight w:val="0"/>
      <w:marTop w:val="0"/>
      <w:marBottom w:val="0"/>
      <w:divBdr>
        <w:top w:val="none" w:sz="0" w:space="0" w:color="auto"/>
        <w:left w:val="none" w:sz="0" w:space="0" w:color="auto"/>
        <w:bottom w:val="none" w:sz="0" w:space="0" w:color="auto"/>
        <w:right w:val="none" w:sz="0" w:space="0" w:color="auto"/>
      </w:divBdr>
    </w:div>
    <w:div w:id="1782259017">
      <w:bodyDiv w:val="1"/>
      <w:marLeft w:val="0"/>
      <w:marRight w:val="0"/>
      <w:marTop w:val="0"/>
      <w:marBottom w:val="0"/>
      <w:divBdr>
        <w:top w:val="none" w:sz="0" w:space="0" w:color="auto"/>
        <w:left w:val="none" w:sz="0" w:space="0" w:color="auto"/>
        <w:bottom w:val="none" w:sz="0" w:space="0" w:color="auto"/>
        <w:right w:val="none" w:sz="0" w:space="0" w:color="auto"/>
      </w:divBdr>
    </w:div>
    <w:div w:id="190599260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C:\Users\prsil\Downloads\TSD18%20Population-adjustment-TSD-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AC75E-ABC9-4246-BBA6-AD7CC0FA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13693</Words>
  <Characters>75430</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2024-04-18T05:32:00Z</dcterms:created>
  <dcterms:modified xsi:type="dcterms:W3CDTF">2024-07-17T06:59:00Z</dcterms:modified>
</cp:coreProperties>
</file>