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7161" w14:textId="2E1AFB80" w:rsidR="000D40B9" w:rsidRPr="009E351A" w:rsidRDefault="009E351A" w:rsidP="000D40B9">
      <w:pPr>
        <w:rPr>
          <w:rFonts w:cs="Calibri"/>
          <w:i/>
          <w:iCs/>
          <w:color w:val="FF0000"/>
        </w:rPr>
      </w:pPr>
      <w:bookmarkStart w:id="0" w:name="_Toc156995863"/>
      <w:r w:rsidRPr="009E351A">
        <w:rPr>
          <w:rFonts w:cs="Calibri"/>
          <w:i/>
          <w:iCs/>
          <w:color w:val="FF0000"/>
        </w:rPr>
        <w:t>An addendum has been included at the end of the Public Summary Document (PSD).</w:t>
      </w:r>
    </w:p>
    <w:p w14:paraId="51C6701A" w14:textId="60338652" w:rsidR="00B60939" w:rsidRPr="00006F36" w:rsidRDefault="0064685B" w:rsidP="004A6040">
      <w:pPr>
        <w:pStyle w:val="1-MainHeading"/>
      </w:pPr>
      <w:r w:rsidRPr="00006F36">
        <w:t>5.33</w:t>
      </w:r>
      <w:r w:rsidR="00163F66" w:rsidRPr="00006F36">
        <w:tab/>
      </w:r>
      <w:r w:rsidR="00E42DF8" w:rsidRPr="00006F36">
        <w:t>MIGALASTAT</w:t>
      </w:r>
      <w:r w:rsidR="00163F66" w:rsidRPr="00006F36">
        <w:t>,</w:t>
      </w:r>
      <w:r w:rsidR="00163F66" w:rsidRPr="00006F36">
        <w:br/>
      </w:r>
      <w:r w:rsidRPr="00006F36">
        <w:rPr>
          <w:rFonts w:ascii="Calibri" w:hAnsi="Calibri" w:cs="Calibri"/>
          <w:color w:val="000000"/>
        </w:rPr>
        <w:t>Capsule containing migalastat hydrochloride 150 mg</w:t>
      </w:r>
      <w:r w:rsidRPr="00006F36">
        <w:rPr>
          <w:rFonts w:ascii="Arial" w:hAnsi="Arial" w:cs="Arial"/>
          <w:color w:val="000000"/>
        </w:rPr>
        <w:br/>
      </w:r>
      <w:r w:rsidR="00D97990" w:rsidRPr="00006F36">
        <w:t>Galafold</w:t>
      </w:r>
      <w:r w:rsidR="00B60939" w:rsidRPr="00006F36">
        <w:t>®</w:t>
      </w:r>
      <w:r w:rsidR="004A6040" w:rsidRPr="00006F36">
        <w:t>,</w:t>
      </w:r>
      <w:r w:rsidR="004A6040" w:rsidRPr="00006F36">
        <w:br/>
      </w:r>
      <w:r w:rsidR="00A04072" w:rsidRPr="00006F36">
        <w:t>Amicus Therapeutics</w:t>
      </w:r>
      <w:r w:rsidRPr="00006F36">
        <w:t xml:space="preserve"> Pty Ltd</w:t>
      </w:r>
      <w:bookmarkEnd w:id="0"/>
    </w:p>
    <w:p w14:paraId="11C00795" w14:textId="3DFB6D23" w:rsidR="00B50DB8" w:rsidRPr="00006F36" w:rsidRDefault="00B50DB8" w:rsidP="004A6040">
      <w:pPr>
        <w:pStyle w:val="2-SectionHeading"/>
      </w:pPr>
      <w:bookmarkStart w:id="1" w:name="_Toc156995865"/>
      <w:r w:rsidRPr="00006F36">
        <w:t xml:space="preserve">Purpose of </w:t>
      </w:r>
      <w:r w:rsidR="00CD7193" w:rsidRPr="00006F36">
        <w:t>s</w:t>
      </w:r>
      <w:r w:rsidR="00BB3A45" w:rsidRPr="00006F36">
        <w:t>ubmission</w:t>
      </w:r>
      <w:bookmarkEnd w:id="1"/>
    </w:p>
    <w:p w14:paraId="3A4930AB" w14:textId="77777777" w:rsidR="00D12810" w:rsidRDefault="007170DA" w:rsidP="00505AF1">
      <w:pPr>
        <w:pStyle w:val="3-BodyText"/>
      </w:pPr>
      <w:r w:rsidRPr="00006F36">
        <w:t xml:space="preserve">The </w:t>
      </w:r>
      <w:r w:rsidR="00594F20" w:rsidRPr="00006F36">
        <w:t xml:space="preserve">Category 2 </w:t>
      </w:r>
      <w:r w:rsidRPr="00006F36">
        <w:t xml:space="preserve">submission </w:t>
      </w:r>
      <w:r w:rsidR="00471092" w:rsidRPr="00006F36">
        <w:t xml:space="preserve">requested the PBAC </w:t>
      </w:r>
      <w:r w:rsidR="00AC26B6" w:rsidRPr="00006F36">
        <w:t>re</w:t>
      </w:r>
      <w:r w:rsidR="00471092" w:rsidRPr="00006F36">
        <w:t>consider its previous recommendation to list migalastat as a General Schedule Authority Required (Written) listing for the treatment of Fabry disease</w:t>
      </w:r>
      <w:r w:rsidR="00765F40" w:rsidRPr="00006F36">
        <w:t xml:space="preserve"> and to request an amendment to the restriction criteria to be consistent with international clinical guidelines for Fabry disease</w:t>
      </w:r>
      <w:r w:rsidR="00471092" w:rsidRPr="00006F36">
        <w:t>.</w:t>
      </w:r>
    </w:p>
    <w:p w14:paraId="6B4AB6C2" w14:textId="69353BEF" w:rsidR="005C25FF" w:rsidRPr="00006F36" w:rsidRDefault="005C25FF" w:rsidP="00505AF1">
      <w:pPr>
        <w:pStyle w:val="2-SectionHeading"/>
      </w:pPr>
      <w:bookmarkStart w:id="2" w:name="_Toc156995866"/>
      <w:r w:rsidRPr="00006F36">
        <w:t>Background</w:t>
      </w:r>
      <w:bookmarkEnd w:id="2"/>
    </w:p>
    <w:p w14:paraId="2C521D6D" w14:textId="78CF03EE" w:rsidR="005C25FF" w:rsidRPr="00006F36" w:rsidRDefault="005C25FF" w:rsidP="004A6040">
      <w:pPr>
        <w:pStyle w:val="4-SubsectionHeading"/>
      </w:pPr>
      <w:bookmarkStart w:id="3" w:name="_Toc22897638"/>
      <w:bookmarkStart w:id="4" w:name="_Toc156995867"/>
      <w:r w:rsidRPr="00006F36">
        <w:t>Registration status</w:t>
      </w:r>
      <w:bookmarkEnd w:id="3"/>
      <w:bookmarkEnd w:id="4"/>
    </w:p>
    <w:p w14:paraId="477331C9" w14:textId="77777777" w:rsidR="00D12810" w:rsidRDefault="00A55482" w:rsidP="00A55482">
      <w:pPr>
        <w:pStyle w:val="3-BodyText"/>
      </w:pPr>
      <w:r w:rsidRPr="00006F36">
        <w:t xml:space="preserve">Migalastat was TGA registered on 11 August 2017 for the long-term treatment of adult and adolescent patients 16 years and older with a confirmed diagnosis of Fabry disease (alpha-galactosidase A </w:t>
      </w:r>
      <w:r w:rsidR="008F4946" w:rsidRPr="00006F36">
        <w:t>(</w:t>
      </w:r>
      <w:r w:rsidR="005A1BAC" w:rsidRPr="00006F36">
        <w:rPr>
          <w:szCs w:val="22"/>
        </w:rPr>
        <w:t xml:space="preserve">α-Gal A) </w:t>
      </w:r>
      <w:r w:rsidRPr="00006F36">
        <w:t>deficiency) and who have an amenable mutation. The TGA registration was updated on 15 November 2022 to include adult and adolescent patients 12 years and older</w:t>
      </w:r>
      <w:r w:rsidR="00006F36">
        <w:t>.</w:t>
      </w:r>
    </w:p>
    <w:p w14:paraId="3E2A6EAB" w14:textId="24DCD8BB" w:rsidR="005C25FF" w:rsidRPr="00006F36" w:rsidRDefault="005C25FF" w:rsidP="004E18E9">
      <w:pPr>
        <w:pStyle w:val="4-SubsectionHeading"/>
      </w:pPr>
      <w:bookmarkStart w:id="5" w:name="_Toc22897639"/>
      <w:bookmarkStart w:id="6" w:name="_Toc156995868"/>
      <w:r w:rsidRPr="00006F36">
        <w:t>Previous PBAC consideration</w:t>
      </w:r>
      <w:bookmarkEnd w:id="5"/>
      <w:bookmarkEnd w:id="6"/>
    </w:p>
    <w:p w14:paraId="2F115136" w14:textId="05AA6DB2" w:rsidR="00442AC3" w:rsidRPr="00006F36" w:rsidRDefault="00442AC3" w:rsidP="00442AC3">
      <w:pPr>
        <w:pStyle w:val="3-BodyText"/>
      </w:pPr>
      <w:bookmarkStart w:id="7" w:name="_Hlk156563623"/>
      <w:bookmarkStart w:id="8" w:name="_Hlk156563602"/>
      <w:r w:rsidRPr="00006F36">
        <w:t xml:space="preserve">The PBAC previously considered migalastat in March 2017, July 2017, November 2017 and </w:t>
      </w:r>
      <w:r w:rsidR="00F10E54" w:rsidRPr="00006F36">
        <w:t>December 2022</w:t>
      </w:r>
      <w:r w:rsidRPr="00006F36">
        <w:t xml:space="preserve">. </w:t>
      </w:r>
      <w:r w:rsidR="00AC26B6" w:rsidRPr="00006F36">
        <w:t>Subsequent to the November 2017 consideration, migalastat was included on the Life Savings Drug Program (LSDP). The December 2022 consideration was on the basis of a referral from the LSDP Expert Panel (EP) who advised that Fabry disease no longer met the requirements for inclusion on the LSDP</w:t>
      </w:r>
      <w:bookmarkEnd w:id="7"/>
      <w:r w:rsidR="00AC26B6" w:rsidRPr="00006F36">
        <w:t xml:space="preserve">. </w:t>
      </w:r>
      <w:bookmarkEnd w:id="8"/>
      <w:r w:rsidRPr="00006F36">
        <w:t xml:space="preserve">A summary of each consideration is provided in </w:t>
      </w:r>
      <w:r w:rsidR="007E11F4" w:rsidRPr="00006F36">
        <w:fldChar w:fldCharType="begin" w:fldLock="1"/>
      </w:r>
      <w:r w:rsidR="007E11F4" w:rsidRPr="00006F36">
        <w:instrText xml:space="preserve"> REF _Ref151368737 \h </w:instrText>
      </w:r>
      <w:r w:rsidR="007E11F4" w:rsidRPr="00006F36">
        <w:fldChar w:fldCharType="separate"/>
      </w:r>
      <w:r w:rsidR="00F42C5D" w:rsidRPr="00006F36">
        <w:t xml:space="preserve">Table </w:t>
      </w:r>
      <w:r w:rsidR="00F42C5D">
        <w:rPr>
          <w:noProof/>
        </w:rPr>
        <w:t>1</w:t>
      </w:r>
      <w:r w:rsidR="007E11F4" w:rsidRPr="00006F36">
        <w:fldChar w:fldCharType="end"/>
      </w:r>
      <w:r w:rsidRPr="00006F36">
        <w:t>.</w:t>
      </w:r>
    </w:p>
    <w:p w14:paraId="46656294" w14:textId="78540D4F" w:rsidR="00442AC3" w:rsidRPr="00006F36" w:rsidRDefault="007E11F4" w:rsidP="00E73AB0">
      <w:pPr>
        <w:pStyle w:val="Caption"/>
      </w:pPr>
      <w:bookmarkStart w:id="9" w:name="_Ref151368737"/>
      <w:bookmarkStart w:id="10" w:name="_Hlk117519581"/>
      <w:r w:rsidRPr="00006F36">
        <w:lastRenderedPageBreak/>
        <w:t xml:space="preserve">Table </w:t>
      </w:r>
      <w:r w:rsidR="008C634B">
        <w:fldChar w:fldCharType="begin" w:fldLock="1"/>
      </w:r>
      <w:r w:rsidR="008C634B">
        <w:instrText xml:space="preserve"> SEQ Table \* ARABIC </w:instrText>
      </w:r>
      <w:r w:rsidR="008C634B">
        <w:fldChar w:fldCharType="separate"/>
      </w:r>
      <w:r w:rsidR="00F42C5D">
        <w:rPr>
          <w:noProof/>
        </w:rPr>
        <w:t>1</w:t>
      </w:r>
      <w:r w:rsidR="008C634B">
        <w:rPr>
          <w:noProof/>
        </w:rPr>
        <w:fldChar w:fldCharType="end"/>
      </w:r>
      <w:bookmarkEnd w:id="9"/>
      <w:r w:rsidR="00442AC3" w:rsidRPr="00006F36">
        <w:t>: Previous PBAC considerations of migalastat</w:t>
      </w:r>
    </w:p>
    <w:bookmarkEnd w:id="10"/>
    <w:tbl>
      <w:tblPr>
        <w:tblStyle w:val="TableGrid"/>
        <w:tblW w:w="0" w:type="auto"/>
        <w:tblLook w:val="04A0" w:firstRow="1" w:lastRow="0" w:firstColumn="1" w:lastColumn="0" w:noHBand="0" w:noVBand="1"/>
        <w:tblCaption w:val="Table 1: Previous PBAC considerations of migalastat"/>
      </w:tblPr>
      <w:tblGrid>
        <w:gridCol w:w="964"/>
        <w:gridCol w:w="2150"/>
        <w:gridCol w:w="1843"/>
        <w:gridCol w:w="1984"/>
        <w:gridCol w:w="2076"/>
      </w:tblGrid>
      <w:tr w:rsidR="00F10E54" w:rsidRPr="00006F36" w14:paraId="7FBEA308" w14:textId="2ED82E52" w:rsidTr="003709C5">
        <w:tc>
          <w:tcPr>
            <w:tcW w:w="964" w:type="dxa"/>
            <w:tcBorders>
              <w:top w:val="single" w:sz="4" w:space="0" w:color="auto"/>
              <w:left w:val="single" w:sz="4" w:space="0" w:color="auto"/>
              <w:bottom w:val="single" w:sz="4" w:space="0" w:color="auto"/>
              <w:right w:val="single" w:sz="4" w:space="0" w:color="auto"/>
            </w:tcBorders>
            <w:vAlign w:val="center"/>
          </w:tcPr>
          <w:p w14:paraId="3A839910" w14:textId="77777777" w:rsidR="00F10E54" w:rsidRPr="00006F36" w:rsidRDefault="00F10E54" w:rsidP="00E73AB0">
            <w:pPr>
              <w:pStyle w:val="3-BodyText"/>
              <w:keepNext/>
              <w:keepLines/>
              <w:numPr>
                <w:ilvl w:val="0"/>
                <w:numId w:val="0"/>
              </w:numPr>
              <w:spacing w:after="0"/>
              <w:jc w:val="left"/>
              <w:rPr>
                <w:rFonts w:ascii="Arial Narrow" w:hAnsi="Arial Narrow"/>
                <w:sz w:val="20"/>
                <w:szCs w:val="18"/>
              </w:rPr>
            </w:pPr>
          </w:p>
        </w:tc>
        <w:tc>
          <w:tcPr>
            <w:tcW w:w="2150" w:type="dxa"/>
            <w:tcBorders>
              <w:top w:val="single" w:sz="4" w:space="0" w:color="auto"/>
              <w:left w:val="single" w:sz="4" w:space="0" w:color="auto"/>
              <w:bottom w:val="single" w:sz="4" w:space="0" w:color="auto"/>
              <w:right w:val="single" w:sz="4" w:space="0" w:color="auto"/>
            </w:tcBorders>
            <w:vAlign w:val="center"/>
            <w:hideMark/>
          </w:tcPr>
          <w:p w14:paraId="6593D7B9" w14:textId="227E6FA1" w:rsidR="00F10E54" w:rsidRPr="00006F36" w:rsidRDefault="00F10E54" w:rsidP="00E73AB0">
            <w:pPr>
              <w:pStyle w:val="3-BodyText"/>
              <w:keepNext/>
              <w:keepLines/>
              <w:numPr>
                <w:ilvl w:val="0"/>
                <w:numId w:val="0"/>
              </w:numPr>
              <w:spacing w:after="0"/>
              <w:jc w:val="center"/>
              <w:rPr>
                <w:rFonts w:ascii="Arial Narrow" w:hAnsi="Arial Narrow"/>
                <w:b/>
                <w:bCs/>
                <w:sz w:val="20"/>
                <w:szCs w:val="18"/>
              </w:rPr>
            </w:pPr>
            <w:r w:rsidRPr="00006F36">
              <w:rPr>
                <w:rFonts w:ascii="Arial Narrow" w:hAnsi="Arial Narrow"/>
                <w:b/>
                <w:bCs/>
                <w:sz w:val="20"/>
                <w:szCs w:val="18"/>
              </w:rPr>
              <w:t>March 2017</w:t>
            </w:r>
          </w:p>
          <w:p w14:paraId="73C7B709" w14:textId="77777777" w:rsidR="00F10E54" w:rsidRPr="00006F36" w:rsidRDefault="00F10E54" w:rsidP="00E73AB0">
            <w:pPr>
              <w:pStyle w:val="3-BodyText"/>
              <w:keepNext/>
              <w:keepLines/>
              <w:numPr>
                <w:ilvl w:val="0"/>
                <w:numId w:val="0"/>
              </w:numPr>
              <w:spacing w:after="0"/>
              <w:jc w:val="center"/>
              <w:rPr>
                <w:rFonts w:ascii="Arial Narrow" w:hAnsi="Arial Narrow"/>
                <w:b/>
                <w:bCs/>
                <w:sz w:val="20"/>
                <w:szCs w:val="18"/>
              </w:rPr>
            </w:pPr>
            <w:r w:rsidRPr="00006F36">
              <w:rPr>
                <w:rFonts w:ascii="Arial Narrow" w:hAnsi="Arial Narrow"/>
                <w:b/>
                <w:bCs/>
                <w:sz w:val="20"/>
                <w:szCs w:val="18"/>
              </w:rPr>
              <w:t>(major submission)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C5C483" w14:textId="678D3E7D" w:rsidR="00F10E54" w:rsidRPr="00006F36" w:rsidRDefault="00F10E54" w:rsidP="00E73AB0">
            <w:pPr>
              <w:pStyle w:val="3-BodyText"/>
              <w:keepNext/>
              <w:keepLines/>
              <w:numPr>
                <w:ilvl w:val="0"/>
                <w:numId w:val="0"/>
              </w:numPr>
              <w:spacing w:after="0"/>
              <w:jc w:val="center"/>
              <w:rPr>
                <w:rFonts w:ascii="Arial Narrow" w:hAnsi="Arial Narrow"/>
                <w:b/>
                <w:bCs/>
                <w:sz w:val="20"/>
                <w:szCs w:val="18"/>
              </w:rPr>
            </w:pPr>
            <w:r w:rsidRPr="00006F36">
              <w:rPr>
                <w:rFonts w:ascii="Arial Narrow" w:hAnsi="Arial Narrow"/>
                <w:b/>
                <w:bCs/>
                <w:sz w:val="20"/>
                <w:szCs w:val="18"/>
              </w:rPr>
              <w:t>July 2017</w:t>
            </w:r>
          </w:p>
          <w:p w14:paraId="7110B353" w14:textId="77777777" w:rsidR="00F10E54" w:rsidRPr="00006F36" w:rsidRDefault="00F10E54" w:rsidP="00E73AB0">
            <w:pPr>
              <w:pStyle w:val="3-BodyText"/>
              <w:keepNext/>
              <w:keepLines/>
              <w:numPr>
                <w:ilvl w:val="0"/>
                <w:numId w:val="0"/>
              </w:numPr>
              <w:spacing w:after="0"/>
              <w:jc w:val="center"/>
              <w:rPr>
                <w:rFonts w:ascii="Arial Narrow" w:hAnsi="Arial Narrow"/>
                <w:b/>
                <w:bCs/>
                <w:sz w:val="20"/>
                <w:szCs w:val="18"/>
              </w:rPr>
            </w:pPr>
            <w:r w:rsidRPr="00006F36">
              <w:rPr>
                <w:rFonts w:ascii="Arial Narrow" w:hAnsi="Arial Narrow"/>
                <w:b/>
                <w:bCs/>
                <w:sz w:val="20"/>
                <w:szCs w:val="18"/>
              </w:rPr>
              <w:t>(minor submission)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8BC59E9" w14:textId="30A33ACC" w:rsidR="00F10E54" w:rsidRPr="00006F36" w:rsidRDefault="00F10E54" w:rsidP="00E73AB0">
            <w:pPr>
              <w:pStyle w:val="3-BodyText"/>
              <w:keepNext/>
              <w:keepLines/>
              <w:numPr>
                <w:ilvl w:val="0"/>
                <w:numId w:val="0"/>
              </w:numPr>
              <w:spacing w:after="0"/>
              <w:jc w:val="center"/>
              <w:rPr>
                <w:rFonts w:ascii="Arial Narrow" w:hAnsi="Arial Narrow"/>
                <w:b/>
                <w:bCs/>
                <w:sz w:val="20"/>
                <w:szCs w:val="18"/>
              </w:rPr>
            </w:pPr>
            <w:r w:rsidRPr="00006F36">
              <w:rPr>
                <w:rFonts w:ascii="Arial Narrow" w:hAnsi="Arial Narrow"/>
                <w:b/>
                <w:bCs/>
                <w:sz w:val="20"/>
                <w:szCs w:val="18"/>
              </w:rPr>
              <w:t>November 2017</w:t>
            </w:r>
          </w:p>
          <w:p w14:paraId="5CD202B4" w14:textId="77777777" w:rsidR="00F10E54" w:rsidRPr="00006F36" w:rsidRDefault="00F10E54" w:rsidP="00E73AB0">
            <w:pPr>
              <w:pStyle w:val="3-BodyText"/>
              <w:keepNext/>
              <w:keepLines/>
              <w:numPr>
                <w:ilvl w:val="0"/>
                <w:numId w:val="0"/>
              </w:numPr>
              <w:spacing w:after="0"/>
              <w:jc w:val="center"/>
              <w:rPr>
                <w:rFonts w:ascii="Arial Narrow" w:hAnsi="Arial Narrow"/>
                <w:b/>
                <w:bCs/>
                <w:sz w:val="20"/>
                <w:szCs w:val="18"/>
              </w:rPr>
            </w:pPr>
            <w:r w:rsidRPr="00006F36">
              <w:rPr>
                <w:rFonts w:ascii="Arial Narrow" w:hAnsi="Arial Narrow"/>
                <w:b/>
                <w:bCs/>
                <w:sz w:val="20"/>
                <w:szCs w:val="18"/>
              </w:rPr>
              <w:t>(minor submission)</w:t>
            </w:r>
          </w:p>
        </w:tc>
        <w:tc>
          <w:tcPr>
            <w:tcW w:w="2076" w:type="dxa"/>
            <w:tcBorders>
              <w:top w:val="single" w:sz="4" w:space="0" w:color="auto"/>
              <w:left w:val="single" w:sz="4" w:space="0" w:color="auto"/>
              <w:bottom w:val="single" w:sz="4" w:space="0" w:color="auto"/>
              <w:right w:val="single" w:sz="4" w:space="0" w:color="auto"/>
            </w:tcBorders>
            <w:vAlign w:val="center"/>
          </w:tcPr>
          <w:p w14:paraId="3675D941" w14:textId="2DA8615E" w:rsidR="00F10E54" w:rsidRPr="00006F36" w:rsidRDefault="00F10E54" w:rsidP="00E73AB0">
            <w:pPr>
              <w:pStyle w:val="3-BodyText"/>
              <w:keepNext/>
              <w:keepLines/>
              <w:numPr>
                <w:ilvl w:val="0"/>
                <w:numId w:val="0"/>
              </w:numPr>
              <w:spacing w:after="0"/>
              <w:jc w:val="center"/>
              <w:rPr>
                <w:rFonts w:ascii="Arial Narrow" w:hAnsi="Arial Narrow"/>
                <w:b/>
                <w:bCs/>
                <w:sz w:val="20"/>
                <w:szCs w:val="18"/>
              </w:rPr>
            </w:pPr>
            <w:r w:rsidRPr="00006F36">
              <w:rPr>
                <w:rFonts w:ascii="Arial Narrow" w:hAnsi="Arial Narrow"/>
                <w:b/>
                <w:bCs/>
                <w:sz w:val="20"/>
                <w:szCs w:val="18"/>
              </w:rPr>
              <w:t>December 2022 (referral from LSDP</w:t>
            </w:r>
            <w:r w:rsidR="00AC26B6" w:rsidRPr="00006F36">
              <w:rPr>
                <w:rFonts w:ascii="Arial Narrow" w:hAnsi="Arial Narrow"/>
                <w:b/>
                <w:bCs/>
                <w:sz w:val="20"/>
                <w:szCs w:val="18"/>
              </w:rPr>
              <w:t xml:space="preserve"> EP</w:t>
            </w:r>
            <w:r w:rsidRPr="00006F36">
              <w:rPr>
                <w:rFonts w:ascii="Arial Narrow" w:hAnsi="Arial Narrow"/>
                <w:b/>
                <w:bCs/>
                <w:sz w:val="20"/>
                <w:szCs w:val="18"/>
              </w:rPr>
              <w:t>)</w:t>
            </w:r>
          </w:p>
        </w:tc>
      </w:tr>
      <w:tr w:rsidR="00E73AB0" w:rsidRPr="00006F36" w14:paraId="4DDECBC6" w14:textId="53B5B2BB" w:rsidTr="00483DD8">
        <w:tc>
          <w:tcPr>
            <w:tcW w:w="964" w:type="dxa"/>
            <w:tcBorders>
              <w:top w:val="single" w:sz="4" w:space="0" w:color="auto"/>
              <w:left w:val="single" w:sz="4" w:space="0" w:color="auto"/>
              <w:bottom w:val="single" w:sz="4" w:space="0" w:color="auto"/>
              <w:right w:val="single" w:sz="4" w:space="0" w:color="auto"/>
            </w:tcBorders>
            <w:vAlign w:val="center"/>
            <w:hideMark/>
          </w:tcPr>
          <w:p w14:paraId="4F815C79" w14:textId="77777777" w:rsidR="00E73AB0" w:rsidRPr="00006F36" w:rsidRDefault="00E73AB0" w:rsidP="00E73AB0">
            <w:pPr>
              <w:pStyle w:val="3-BodyText"/>
              <w:keepNext/>
              <w:keepLines/>
              <w:numPr>
                <w:ilvl w:val="0"/>
                <w:numId w:val="0"/>
              </w:numPr>
              <w:spacing w:after="0"/>
              <w:jc w:val="left"/>
              <w:rPr>
                <w:rFonts w:ascii="Arial Narrow" w:hAnsi="Arial Narrow"/>
                <w:sz w:val="20"/>
                <w:szCs w:val="18"/>
              </w:rPr>
            </w:pPr>
            <w:r w:rsidRPr="00006F36">
              <w:rPr>
                <w:rFonts w:ascii="Arial Narrow" w:hAnsi="Arial Narrow"/>
                <w:sz w:val="20"/>
                <w:szCs w:val="18"/>
              </w:rPr>
              <w:t>Clinical evidence</w:t>
            </w:r>
          </w:p>
        </w:tc>
        <w:tc>
          <w:tcPr>
            <w:tcW w:w="3993" w:type="dxa"/>
            <w:gridSpan w:val="2"/>
            <w:tcBorders>
              <w:top w:val="single" w:sz="4" w:space="0" w:color="auto"/>
              <w:left w:val="single" w:sz="4" w:space="0" w:color="auto"/>
              <w:bottom w:val="single" w:sz="4" w:space="0" w:color="auto"/>
              <w:right w:val="single" w:sz="4" w:space="0" w:color="auto"/>
            </w:tcBorders>
            <w:vAlign w:val="center"/>
            <w:hideMark/>
          </w:tcPr>
          <w:p w14:paraId="5792E7B5" w14:textId="77777777" w:rsidR="00E73AB0" w:rsidRPr="00006F36" w:rsidRDefault="00E73AB0" w:rsidP="00E73AB0">
            <w:pPr>
              <w:pStyle w:val="3-BodyText"/>
              <w:keepNext/>
              <w:keepLines/>
              <w:numPr>
                <w:ilvl w:val="0"/>
                <w:numId w:val="0"/>
              </w:numPr>
              <w:spacing w:after="0"/>
              <w:jc w:val="left"/>
              <w:rPr>
                <w:rFonts w:ascii="Arial Narrow" w:hAnsi="Arial Narrow"/>
                <w:sz w:val="20"/>
                <w:szCs w:val="18"/>
              </w:rPr>
            </w:pPr>
            <w:r w:rsidRPr="00006F36">
              <w:rPr>
                <w:rFonts w:ascii="Arial Narrow" w:hAnsi="Arial Narrow"/>
                <w:sz w:val="20"/>
                <w:szCs w:val="18"/>
              </w:rPr>
              <w:t>Migalastat vs ERT in treatment-experienced patients: ATTRACT study (n=52 patients with amenable mutations).</w:t>
            </w:r>
          </w:p>
          <w:p w14:paraId="39CFEEEF" w14:textId="77777777" w:rsidR="00E73AB0" w:rsidRPr="00006F36" w:rsidRDefault="00E73AB0" w:rsidP="00E73AB0">
            <w:pPr>
              <w:pStyle w:val="3-BodyText"/>
              <w:keepNext/>
              <w:keepLines/>
              <w:numPr>
                <w:ilvl w:val="0"/>
                <w:numId w:val="0"/>
              </w:numPr>
              <w:spacing w:after="0"/>
              <w:jc w:val="left"/>
              <w:rPr>
                <w:rFonts w:ascii="Arial Narrow" w:hAnsi="Arial Narrow"/>
                <w:b/>
                <w:bCs/>
                <w:sz w:val="20"/>
                <w:szCs w:val="18"/>
              </w:rPr>
            </w:pPr>
          </w:p>
          <w:p w14:paraId="5920669A" w14:textId="323EAEA0" w:rsidR="00E73AB0" w:rsidRPr="00006F36" w:rsidRDefault="00E73AB0" w:rsidP="00E73AB0">
            <w:pPr>
              <w:pStyle w:val="3-BodyText"/>
              <w:keepNext/>
              <w:keepLines/>
              <w:numPr>
                <w:ilvl w:val="0"/>
                <w:numId w:val="0"/>
              </w:numPr>
              <w:spacing w:after="0"/>
              <w:jc w:val="left"/>
              <w:rPr>
                <w:rFonts w:ascii="Arial Narrow" w:hAnsi="Arial Narrow"/>
                <w:sz w:val="20"/>
                <w:szCs w:val="18"/>
              </w:rPr>
            </w:pPr>
            <w:r w:rsidRPr="00006F36">
              <w:rPr>
                <w:rFonts w:ascii="Arial Narrow" w:hAnsi="Arial Narrow"/>
                <w:sz w:val="20"/>
                <w:szCs w:val="18"/>
              </w:rPr>
              <w:t>Migalastat vs placebo in treatment-naïve patients: FACETS study (n=50 patients with amenable mutations).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B0D0753" w14:textId="5F8F5617" w:rsidR="00E73AB0" w:rsidRPr="00006F36" w:rsidRDefault="00E73AB0" w:rsidP="00E73AB0">
            <w:pPr>
              <w:pStyle w:val="3-BodyText"/>
              <w:keepNext/>
              <w:keepLines/>
              <w:numPr>
                <w:ilvl w:val="0"/>
                <w:numId w:val="0"/>
              </w:numPr>
              <w:spacing w:after="0"/>
              <w:jc w:val="left"/>
              <w:rPr>
                <w:rFonts w:ascii="Arial Narrow" w:hAnsi="Arial Narrow"/>
                <w:sz w:val="20"/>
                <w:szCs w:val="18"/>
              </w:rPr>
            </w:pPr>
            <w:r w:rsidRPr="00006F36">
              <w:rPr>
                <w:rFonts w:ascii="Arial Narrow" w:hAnsi="Arial Narrow"/>
                <w:sz w:val="20"/>
                <w:szCs w:val="18"/>
              </w:rPr>
              <w:t>Some additional longer term data for ATTRACT, FACETS was presented.</w:t>
            </w:r>
          </w:p>
        </w:tc>
        <w:tc>
          <w:tcPr>
            <w:tcW w:w="2076" w:type="dxa"/>
            <w:tcBorders>
              <w:top w:val="single" w:sz="4" w:space="0" w:color="auto"/>
              <w:left w:val="single" w:sz="4" w:space="0" w:color="auto"/>
              <w:bottom w:val="single" w:sz="4" w:space="0" w:color="auto"/>
              <w:right w:val="single" w:sz="4" w:space="0" w:color="auto"/>
            </w:tcBorders>
            <w:vAlign w:val="center"/>
          </w:tcPr>
          <w:p w14:paraId="7C968D5E" w14:textId="733D63A5" w:rsidR="00E73AB0" w:rsidRPr="00006F36" w:rsidRDefault="00966703" w:rsidP="00E73AB0">
            <w:pPr>
              <w:pStyle w:val="3-BodyText"/>
              <w:keepNext/>
              <w:keepLines/>
              <w:numPr>
                <w:ilvl w:val="0"/>
                <w:numId w:val="0"/>
              </w:numPr>
              <w:spacing w:after="0"/>
              <w:jc w:val="left"/>
              <w:rPr>
                <w:rFonts w:ascii="Arial Narrow" w:hAnsi="Arial Narrow"/>
                <w:sz w:val="20"/>
                <w:szCs w:val="18"/>
              </w:rPr>
            </w:pPr>
            <w:r w:rsidRPr="00006F36">
              <w:rPr>
                <w:rFonts w:ascii="Arial Narrow" w:hAnsi="Arial Narrow"/>
                <w:sz w:val="20"/>
                <w:szCs w:val="18"/>
              </w:rPr>
              <w:t>No new evidence presented</w:t>
            </w:r>
            <w:r w:rsidR="009762AF" w:rsidRPr="00006F36">
              <w:rPr>
                <w:rFonts w:ascii="Arial Narrow" w:hAnsi="Arial Narrow"/>
                <w:sz w:val="20"/>
                <w:szCs w:val="18"/>
              </w:rPr>
              <w:t>. The LSDP EP 24 month review did not identify any additional clinical evidence for migalastat.</w:t>
            </w:r>
          </w:p>
        </w:tc>
      </w:tr>
      <w:tr w:rsidR="00E73AB0" w:rsidRPr="00006F36" w14:paraId="50D7D757" w14:textId="554765F1" w:rsidTr="00344372">
        <w:tc>
          <w:tcPr>
            <w:tcW w:w="964" w:type="dxa"/>
            <w:tcBorders>
              <w:top w:val="single" w:sz="4" w:space="0" w:color="auto"/>
              <w:left w:val="single" w:sz="4" w:space="0" w:color="auto"/>
              <w:bottom w:val="single" w:sz="4" w:space="0" w:color="auto"/>
              <w:right w:val="single" w:sz="4" w:space="0" w:color="auto"/>
            </w:tcBorders>
            <w:vAlign w:val="center"/>
            <w:hideMark/>
          </w:tcPr>
          <w:p w14:paraId="773C55D9" w14:textId="77777777" w:rsidR="00E73AB0" w:rsidRPr="00006F36" w:rsidRDefault="00E73AB0" w:rsidP="00E73AB0">
            <w:pPr>
              <w:pStyle w:val="3-BodyText"/>
              <w:keepNext/>
              <w:keepLines/>
              <w:numPr>
                <w:ilvl w:val="0"/>
                <w:numId w:val="0"/>
              </w:numPr>
              <w:spacing w:after="0"/>
              <w:jc w:val="left"/>
              <w:rPr>
                <w:rFonts w:ascii="Arial Narrow" w:hAnsi="Arial Narrow"/>
                <w:sz w:val="20"/>
                <w:szCs w:val="18"/>
              </w:rPr>
            </w:pPr>
            <w:r w:rsidRPr="00006F36">
              <w:rPr>
                <w:rFonts w:ascii="Arial Narrow" w:hAnsi="Arial Narrow"/>
                <w:sz w:val="20"/>
                <w:szCs w:val="18"/>
              </w:rPr>
              <w:t xml:space="preserve">Clinical claim </w:t>
            </w:r>
          </w:p>
        </w:tc>
        <w:tc>
          <w:tcPr>
            <w:tcW w:w="5977" w:type="dxa"/>
            <w:gridSpan w:val="3"/>
            <w:tcBorders>
              <w:top w:val="single" w:sz="4" w:space="0" w:color="auto"/>
              <w:left w:val="single" w:sz="4" w:space="0" w:color="auto"/>
              <w:bottom w:val="single" w:sz="4" w:space="0" w:color="auto"/>
              <w:right w:val="single" w:sz="4" w:space="0" w:color="auto"/>
            </w:tcBorders>
            <w:vAlign w:val="center"/>
          </w:tcPr>
          <w:p w14:paraId="6B82F5EB" w14:textId="77777777" w:rsidR="00E73AB0" w:rsidRPr="00006F36" w:rsidRDefault="00E73AB0" w:rsidP="00E73AB0">
            <w:pPr>
              <w:pStyle w:val="3-BodyText"/>
              <w:keepNext/>
              <w:keepLines/>
              <w:numPr>
                <w:ilvl w:val="0"/>
                <w:numId w:val="0"/>
              </w:numPr>
              <w:spacing w:after="0"/>
              <w:jc w:val="left"/>
              <w:rPr>
                <w:rFonts w:ascii="Arial Narrow" w:hAnsi="Arial Narrow"/>
                <w:sz w:val="20"/>
                <w:szCs w:val="18"/>
              </w:rPr>
            </w:pPr>
            <w:r w:rsidRPr="00006F36">
              <w:rPr>
                <w:rFonts w:ascii="Arial Narrow" w:hAnsi="Arial Narrow"/>
                <w:sz w:val="20"/>
                <w:szCs w:val="18"/>
              </w:rPr>
              <w:t>Migalastat is non-inferior in terms of comparative effectiveness and safety over the primary comparator, ERT</w:t>
            </w:r>
          </w:p>
          <w:p w14:paraId="1A212CD0" w14:textId="77777777" w:rsidR="00E73AB0" w:rsidRPr="00006F36" w:rsidRDefault="00E73AB0" w:rsidP="00E73AB0">
            <w:pPr>
              <w:pStyle w:val="3-BodyText"/>
              <w:keepNext/>
              <w:keepLines/>
              <w:numPr>
                <w:ilvl w:val="0"/>
                <w:numId w:val="0"/>
              </w:numPr>
              <w:spacing w:after="0"/>
              <w:jc w:val="left"/>
              <w:rPr>
                <w:rFonts w:ascii="Arial Narrow" w:hAnsi="Arial Narrow"/>
                <w:sz w:val="20"/>
                <w:szCs w:val="18"/>
              </w:rPr>
            </w:pPr>
          </w:p>
          <w:p w14:paraId="3C06181D" w14:textId="7A7E6566" w:rsidR="00E73AB0" w:rsidRPr="00006F36" w:rsidRDefault="00E73AB0" w:rsidP="00E73AB0">
            <w:pPr>
              <w:pStyle w:val="3-BodyText"/>
              <w:keepNext/>
              <w:keepLines/>
              <w:numPr>
                <w:ilvl w:val="0"/>
                <w:numId w:val="0"/>
              </w:numPr>
              <w:spacing w:after="0"/>
              <w:jc w:val="left"/>
              <w:rPr>
                <w:rFonts w:ascii="Arial Narrow" w:hAnsi="Arial Narrow"/>
                <w:sz w:val="20"/>
                <w:szCs w:val="18"/>
              </w:rPr>
            </w:pPr>
            <w:r w:rsidRPr="00006F36">
              <w:rPr>
                <w:rFonts w:ascii="Arial Narrow" w:hAnsi="Arial Narrow"/>
                <w:sz w:val="20"/>
                <w:szCs w:val="18"/>
              </w:rPr>
              <w:t>The PBAC considered that the outcomes of the trials did not provide confidence in the superior effectiveness of migalastat compared to placebo or equivalent effectiveness of migalastat compared to ERT. The PBAC considered…..it was reasonable to accept the claim of non-inferior comparative safety compared to ERT.</w:t>
            </w:r>
          </w:p>
        </w:tc>
        <w:tc>
          <w:tcPr>
            <w:tcW w:w="2076" w:type="dxa"/>
            <w:tcBorders>
              <w:top w:val="single" w:sz="4" w:space="0" w:color="auto"/>
              <w:left w:val="single" w:sz="4" w:space="0" w:color="auto"/>
              <w:bottom w:val="single" w:sz="4" w:space="0" w:color="auto"/>
              <w:right w:val="single" w:sz="4" w:space="0" w:color="auto"/>
            </w:tcBorders>
            <w:vAlign w:val="center"/>
          </w:tcPr>
          <w:p w14:paraId="2F1EA8D7" w14:textId="6B2E0675" w:rsidR="00E73AB0" w:rsidRPr="00006F36" w:rsidRDefault="00E73AB0" w:rsidP="00E73AB0">
            <w:pPr>
              <w:pStyle w:val="3-BodyText"/>
              <w:keepNext/>
              <w:keepLines/>
              <w:numPr>
                <w:ilvl w:val="0"/>
                <w:numId w:val="0"/>
              </w:numPr>
              <w:spacing w:after="0"/>
              <w:jc w:val="left"/>
              <w:rPr>
                <w:rFonts w:ascii="Arial Narrow" w:hAnsi="Arial Narrow"/>
                <w:sz w:val="20"/>
                <w:szCs w:val="18"/>
              </w:rPr>
            </w:pPr>
            <w:r w:rsidRPr="00006F36">
              <w:rPr>
                <w:rFonts w:ascii="Arial Narrow" w:hAnsi="Arial Narrow"/>
                <w:sz w:val="20"/>
                <w:szCs w:val="18"/>
              </w:rPr>
              <w:t xml:space="preserve">Unchanged </w:t>
            </w:r>
          </w:p>
        </w:tc>
      </w:tr>
      <w:tr w:rsidR="00E73AB0" w:rsidRPr="00006F36" w14:paraId="1D280DA6" w14:textId="438A86C5" w:rsidTr="00B672B2">
        <w:tc>
          <w:tcPr>
            <w:tcW w:w="964" w:type="dxa"/>
            <w:tcBorders>
              <w:top w:val="single" w:sz="4" w:space="0" w:color="auto"/>
              <w:left w:val="single" w:sz="4" w:space="0" w:color="auto"/>
              <w:bottom w:val="single" w:sz="4" w:space="0" w:color="auto"/>
              <w:right w:val="single" w:sz="4" w:space="0" w:color="auto"/>
            </w:tcBorders>
            <w:vAlign w:val="center"/>
            <w:hideMark/>
          </w:tcPr>
          <w:p w14:paraId="036D1766" w14:textId="77777777" w:rsidR="00E73AB0" w:rsidRPr="00006F36" w:rsidRDefault="00E73AB0" w:rsidP="00E73AB0">
            <w:pPr>
              <w:pStyle w:val="3-BodyText"/>
              <w:keepNext/>
              <w:keepLines/>
              <w:numPr>
                <w:ilvl w:val="0"/>
                <w:numId w:val="0"/>
              </w:numPr>
              <w:spacing w:after="0"/>
              <w:jc w:val="left"/>
              <w:rPr>
                <w:rFonts w:ascii="Arial Narrow" w:hAnsi="Arial Narrow"/>
                <w:sz w:val="20"/>
                <w:szCs w:val="18"/>
              </w:rPr>
            </w:pPr>
            <w:r w:rsidRPr="00006F36">
              <w:rPr>
                <w:rFonts w:ascii="Arial Narrow" w:hAnsi="Arial Narrow"/>
                <w:sz w:val="20"/>
                <w:szCs w:val="18"/>
              </w:rPr>
              <w:t xml:space="preserve">Economic evaluation </w:t>
            </w:r>
          </w:p>
        </w:tc>
        <w:tc>
          <w:tcPr>
            <w:tcW w:w="5977" w:type="dxa"/>
            <w:gridSpan w:val="3"/>
            <w:tcBorders>
              <w:top w:val="single" w:sz="4" w:space="0" w:color="auto"/>
              <w:left w:val="single" w:sz="4" w:space="0" w:color="auto"/>
              <w:bottom w:val="single" w:sz="4" w:space="0" w:color="auto"/>
              <w:right w:val="single" w:sz="4" w:space="0" w:color="auto"/>
            </w:tcBorders>
            <w:vAlign w:val="center"/>
            <w:hideMark/>
          </w:tcPr>
          <w:p w14:paraId="68519759" w14:textId="1CE4EE85" w:rsidR="00E73AB0" w:rsidRPr="00006F36" w:rsidRDefault="00E73AB0" w:rsidP="00793232">
            <w:pPr>
              <w:autoSpaceDE w:val="0"/>
              <w:autoSpaceDN w:val="0"/>
              <w:adjustRightInd w:val="0"/>
              <w:jc w:val="left"/>
              <w:rPr>
                <w:rFonts w:ascii="Arial Narrow" w:hAnsi="Arial Narrow"/>
                <w:b/>
                <w:bCs/>
                <w:sz w:val="20"/>
                <w:szCs w:val="18"/>
              </w:rPr>
            </w:pPr>
            <w:r w:rsidRPr="00006F36">
              <w:rPr>
                <w:rFonts w:ascii="Arial Narrow" w:hAnsi="Arial Narrow"/>
                <w:sz w:val="20"/>
                <w:szCs w:val="18"/>
              </w:rPr>
              <w:t>Cost minimisation approach</w:t>
            </w:r>
            <w:r w:rsidR="00793232" w:rsidRPr="00006F36">
              <w:rPr>
                <w:rFonts w:ascii="Arial Narrow" w:hAnsi="Arial Narrow"/>
                <w:sz w:val="20"/>
                <w:szCs w:val="18"/>
              </w:rPr>
              <w:t xml:space="preserve">. The equi-effective doses </w:t>
            </w:r>
            <w:r w:rsidR="0078510C" w:rsidRPr="00006F36">
              <w:rPr>
                <w:rFonts w:ascii="Arial Narrow" w:hAnsi="Arial Narrow"/>
                <w:sz w:val="20"/>
                <w:szCs w:val="18"/>
              </w:rPr>
              <w:t>were</w:t>
            </w:r>
            <w:r w:rsidR="00793232" w:rsidRPr="00006F36">
              <w:rPr>
                <w:rFonts w:ascii="Arial Narrow" w:hAnsi="Arial Narrow"/>
                <w:sz w:val="20"/>
                <w:szCs w:val="18"/>
              </w:rPr>
              <w:t xml:space="preserve"> estimated as migalastat 150 mg every other day, and agalsidase alfa 0.2 mg/kg and agalsidase beta 1.0 mg/kg fortnightly based on the product information for the ERT</w:t>
            </w:r>
            <w:r w:rsidR="0078510C" w:rsidRPr="00006F36">
              <w:rPr>
                <w:rFonts w:ascii="Arial Narrow" w:hAnsi="Arial Narrow"/>
                <w:sz w:val="20"/>
                <w:szCs w:val="18"/>
              </w:rPr>
              <w:t>s</w:t>
            </w:r>
            <w:r w:rsidR="00793232" w:rsidRPr="00006F36">
              <w:rPr>
                <w:rFonts w:ascii="Arial Narrow" w:hAnsi="Arial Narrow"/>
                <w:sz w:val="20"/>
                <w:szCs w:val="18"/>
              </w:rPr>
              <w:t xml:space="preserve">. </w:t>
            </w:r>
          </w:p>
        </w:tc>
        <w:tc>
          <w:tcPr>
            <w:tcW w:w="2076" w:type="dxa"/>
            <w:tcBorders>
              <w:top w:val="single" w:sz="4" w:space="0" w:color="auto"/>
              <w:left w:val="single" w:sz="4" w:space="0" w:color="auto"/>
              <w:bottom w:val="single" w:sz="4" w:space="0" w:color="auto"/>
              <w:right w:val="single" w:sz="4" w:space="0" w:color="auto"/>
            </w:tcBorders>
            <w:vAlign w:val="center"/>
          </w:tcPr>
          <w:p w14:paraId="3461108E" w14:textId="323411DA" w:rsidR="00E73AB0" w:rsidRPr="00006F36" w:rsidRDefault="006D0329" w:rsidP="00E73AB0">
            <w:pPr>
              <w:pStyle w:val="3-BodyText"/>
              <w:keepNext/>
              <w:keepLines/>
              <w:numPr>
                <w:ilvl w:val="0"/>
                <w:numId w:val="0"/>
              </w:numPr>
              <w:spacing w:after="0"/>
              <w:jc w:val="left"/>
              <w:rPr>
                <w:rFonts w:ascii="Arial Narrow" w:hAnsi="Arial Narrow"/>
                <w:sz w:val="20"/>
                <w:szCs w:val="18"/>
              </w:rPr>
            </w:pPr>
            <w:r w:rsidRPr="00006F36">
              <w:rPr>
                <w:rFonts w:ascii="Arial Narrow" w:hAnsi="Arial Narrow"/>
                <w:sz w:val="20"/>
                <w:szCs w:val="18"/>
              </w:rPr>
              <w:t>The PBAC considered cost-effectiveness of migalastat would be acceptable</w:t>
            </w:r>
            <w:r w:rsidR="00420DDB" w:rsidRPr="00006F36">
              <w:rPr>
                <w:rFonts w:ascii="Arial Narrow" w:hAnsi="Arial Narrow"/>
                <w:sz w:val="20"/>
                <w:szCs w:val="18"/>
              </w:rPr>
              <w:t xml:space="preserve"> if</w:t>
            </w:r>
            <w:r w:rsidRPr="00006F36">
              <w:rPr>
                <w:rFonts w:ascii="Arial Narrow" w:hAnsi="Arial Narrow"/>
                <w:sz w:val="20"/>
                <w:szCs w:val="18"/>
              </w:rPr>
              <w:t xml:space="preserve"> </w:t>
            </w:r>
            <w:r w:rsidR="00717E12" w:rsidRPr="00006F36">
              <w:rPr>
                <w:rFonts w:ascii="Arial Narrow" w:hAnsi="Arial Narrow"/>
                <w:sz w:val="20"/>
                <w:szCs w:val="18"/>
              </w:rPr>
              <w:t>the cost per patient per year was no higher than the cost of ERT for a patient weighing 45 kg.</w:t>
            </w:r>
          </w:p>
        </w:tc>
      </w:tr>
      <w:tr w:rsidR="00282D96" w:rsidRPr="00006F36" w14:paraId="52D9F41B" w14:textId="25C8E726" w:rsidTr="003A1B28">
        <w:tc>
          <w:tcPr>
            <w:tcW w:w="964" w:type="dxa"/>
            <w:tcBorders>
              <w:top w:val="single" w:sz="4" w:space="0" w:color="auto"/>
              <w:left w:val="single" w:sz="4" w:space="0" w:color="auto"/>
              <w:bottom w:val="single" w:sz="4" w:space="0" w:color="auto"/>
              <w:right w:val="single" w:sz="4" w:space="0" w:color="auto"/>
            </w:tcBorders>
            <w:vAlign w:val="center"/>
            <w:hideMark/>
          </w:tcPr>
          <w:p w14:paraId="24A04FDB" w14:textId="77777777" w:rsidR="00282D96" w:rsidRPr="00006F36" w:rsidRDefault="00282D96" w:rsidP="00E73AB0">
            <w:pPr>
              <w:pStyle w:val="3-BodyText"/>
              <w:keepNext/>
              <w:keepLines/>
              <w:numPr>
                <w:ilvl w:val="0"/>
                <w:numId w:val="0"/>
              </w:numPr>
              <w:spacing w:after="0"/>
              <w:jc w:val="left"/>
              <w:rPr>
                <w:rFonts w:ascii="Arial Narrow" w:hAnsi="Arial Narrow"/>
                <w:sz w:val="20"/>
                <w:szCs w:val="18"/>
              </w:rPr>
            </w:pPr>
            <w:r w:rsidRPr="00006F36">
              <w:rPr>
                <w:rFonts w:ascii="Arial Narrow" w:hAnsi="Arial Narrow"/>
                <w:sz w:val="20"/>
                <w:szCs w:val="18"/>
              </w:rPr>
              <w:t>Cost per patient per year</w:t>
            </w:r>
          </w:p>
        </w:tc>
        <w:tc>
          <w:tcPr>
            <w:tcW w:w="2150" w:type="dxa"/>
            <w:tcBorders>
              <w:top w:val="single" w:sz="4" w:space="0" w:color="auto"/>
              <w:left w:val="single" w:sz="4" w:space="0" w:color="auto"/>
              <w:bottom w:val="single" w:sz="4" w:space="0" w:color="auto"/>
              <w:right w:val="single" w:sz="4" w:space="0" w:color="auto"/>
            </w:tcBorders>
            <w:vAlign w:val="center"/>
            <w:hideMark/>
          </w:tcPr>
          <w:p w14:paraId="35244107" w14:textId="2B153CB0" w:rsidR="00282D96" w:rsidRPr="00006F36" w:rsidRDefault="00282D96" w:rsidP="00E73AB0">
            <w:pPr>
              <w:pStyle w:val="3-BodyText"/>
              <w:keepNext/>
              <w:keepLines/>
              <w:numPr>
                <w:ilvl w:val="0"/>
                <w:numId w:val="0"/>
              </w:numPr>
              <w:spacing w:after="0"/>
              <w:jc w:val="left"/>
              <w:rPr>
                <w:rFonts w:ascii="Arial Narrow" w:hAnsi="Arial Narrow"/>
                <w:sz w:val="20"/>
                <w:szCs w:val="18"/>
              </w:rPr>
            </w:pPr>
            <w:r w:rsidRPr="00006F36">
              <w:rPr>
                <w:rFonts w:ascii="Arial Narrow" w:hAnsi="Arial Narrow"/>
                <w:sz w:val="20"/>
                <w:szCs w:val="18"/>
              </w:rPr>
              <w:t>$</w:t>
            </w:r>
            <w:r w:rsidR="00494449" w:rsidRPr="000D40B9">
              <w:rPr>
                <w:rFonts w:ascii="Arial Narrow" w:hAnsi="Arial Narrow"/>
                <w:color w:val="000000"/>
                <w:spacing w:val="51"/>
                <w:sz w:val="20"/>
                <w:szCs w:val="18"/>
                <w:shd w:val="solid" w:color="000000" w:fill="000000"/>
                <w:fitText w:val="326" w:id="-961871104"/>
                <w14:textFill>
                  <w14:solidFill>
                    <w14:srgbClr w14:val="000000">
                      <w14:alpha w14:val="100000"/>
                    </w14:srgbClr>
                  </w14:solidFill>
                </w14:textFill>
              </w:rPr>
              <w:t>|||</w:t>
            </w:r>
            <w:r w:rsidR="00494449" w:rsidRPr="000D40B9">
              <w:rPr>
                <w:rFonts w:ascii="Arial Narrow" w:hAnsi="Arial Narrow"/>
                <w:color w:val="000000"/>
                <w:spacing w:val="3"/>
                <w:sz w:val="20"/>
                <w:szCs w:val="18"/>
                <w:shd w:val="solid" w:color="000000" w:fill="000000"/>
                <w:fitText w:val="326" w:id="-961871104"/>
                <w14:textFill>
                  <w14:solidFill>
                    <w14:srgbClr w14:val="000000">
                      <w14:alpha w14:val="100000"/>
                    </w14:srgbClr>
                  </w14:solidFill>
                </w14:textFill>
              </w:rPr>
              <w:t>|</w:t>
            </w:r>
            <w:r w:rsidR="00D45D87" w:rsidRPr="00006F36">
              <w:rPr>
                <w:rFonts w:ascii="Arial Narrow" w:hAnsi="Arial Narrow"/>
                <w:sz w:val="20"/>
                <w:szCs w:val="18"/>
              </w:rPr>
              <w:t xml:space="preserve"> (requested</w:t>
            </w:r>
            <w:r w:rsidR="00840E35" w:rsidRPr="00006F36">
              <w:rPr>
                <w:rFonts w:ascii="Arial Narrow" w:hAnsi="Arial Narrow"/>
                <w:sz w:val="20"/>
                <w:szCs w:val="18"/>
              </w:rPr>
              <w:t xml:space="preserve"> by sponsor</w:t>
            </w:r>
            <w:r w:rsidR="00D45D87" w:rsidRPr="00006F36">
              <w:rPr>
                <w:rFonts w:ascii="Arial Narrow" w:hAnsi="Arial Narrow"/>
                <w:sz w:val="20"/>
                <w:szCs w:val="18"/>
              </w:rPr>
              <w:t>)</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795BD3D1" w14:textId="7BCDDC1B" w:rsidR="00282D96" w:rsidRPr="00006F36" w:rsidRDefault="00282D96" w:rsidP="00E73AB0">
            <w:pPr>
              <w:pStyle w:val="3-BodyText"/>
              <w:keepNext/>
              <w:keepLines/>
              <w:numPr>
                <w:ilvl w:val="0"/>
                <w:numId w:val="0"/>
              </w:numPr>
              <w:spacing w:after="0"/>
              <w:jc w:val="left"/>
              <w:rPr>
                <w:rFonts w:ascii="Arial Narrow" w:eastAsiaTheme="minorHAnsi" w:hAnsi="Arial Narrow" w:cstheme="minorBidi"/>
                <w:b/>
                <w:bCs/>
                <w:sz w:val="20"/>
                <w:szCs w:val="18"/>
              </w:rPr>
            </w:pPr>
            <w:r w:rsidRPr="00006F36">
              <w:rPr>
                <w:rFonts w:ascii="Arial Narrow" w:hAnsi="Arial Narrow"/>
                <w:sz w:val="20"/>
                <w:szCs w:val="18"/>
              </w:rPr>
              <w:t>$</w:t>
            </w:r>
            <w:r w:rsidR="00494449" w:rsidRPr="000D40B9">
              <w:rPr>
                <w:rFonts w:ascii="Arial Narrow" w:hAnsi="Arial Narrow"/>
                <w:color w:val="000000"/>
                <w:spacing w:val="51"/>
                <w:sz w:val="20"/>
                <w:szCs w:val="18"/>
                <w:shd w:val="solid" w:color="000000" w:fill="000000"/>
                <w:fitText w:val="326" w:id="-961871103"/>
                <w14:textFill>
                  <w14:solidFill>
                    <w14:srgbClr w14:val="000000">
                      <w14:alpha w14:val="100000"/>
                    </w14:srgbClr>
                  </w14:solidFill>
                </w14:textFill>
              </w:rPr>
              <w:t>|||</w:t>
            </w:r>
            <w:r w:rsidR="00494449" w:rsidRPr="000D40B9">
              <w:rPr>
                <w:rFonts w:ascii="Arial Narrow" w:hAnsi="Arial Narrow"/>
                <w:color w:val="000000"/>
                <w:spacing w:val="3"/>
                <w:sz w:val="20"/>
                <w:szCs w:val="18"/>
                <w:shd w:val="solid" w:color="000000" w:fill="000000"/>
                <w:fitText w:val="326" w:id="-961871103"/>
                <w14:textFill>
                  <w14:solidFill>
                    <w14:srgbClr w14:val="000000">
                      <w14:alpha w14:val="100000"/>
                    </w14:srgbClr>
                  </w14:solidFill>
                </w14:textFill>
              </w:rPr>
              <w:t>|</w:t>
            </w:r>
            <w:r w:rsidR="00D45D87" w:rsidRPr="00006F36">
              <w:rPr>
                <w:rFonts w:ascii="Arial Narrow" w:hAnsi="Arial Narrow"/>
                <w:sz w:val="20"/>
                <w:szCs w:val="18"/>
              </w:rPr>
              <w:t xml:space="preserve"> (requested</w:t>
            </w:r>
            <w:r w:rsidR="00840E35" w:rsidRPr="00006F36">
              <w:rPr>
                <w:rFonts w:ascii="Arial Narrow" w:hAnsi="Arial Narrow"/>
                <w:sz w:val="20"/>
                <w:szCs w:val="18"/>
              </w:rPr>
              <w:t xml:space="preserve"> by sponsor</w:t>
            </w:r>
            <w:r w:rsidR="00D45D87" w:rsidRPr="00006F36">
              <w:rPr>
                <w:rFonts w:ascii="Arial Narrow" w:hAnsi="Arial Narrow"/>
                <w:sz w:val="20"/>
                <w:szCs w:val="18"/>
              </w:rPr>
              <w:t>)</w:t>
            </w:r>
          </w:p>
        </w:tc>
        <w:tc>
          <w:tcPr>
            <w:tcW w:w="2076" w:type="dxa"/>
            <w:tcBorders>
              <w:top w:val="single" w:sz="4" w:space="0" w:color="auto"/>
              <w:left w:val="single" w:sz="4" w:space="0" w:color="auto"/>
              <w:bottom w:val="single" w:sz="4" w:space="0" w:color="auto"/>
              <w:right w:val="single" w:sz="4" w:space="0" w:color="auto"/>
            </w:tcBorders>
            <w:vAlign w:val="center"/>
          </w:tcPr>
          <w:p w14:paraId="27586E1B" w14:textId="137ADC0F" w:rsidR="00282D96" w:rsidRPr="00006F36" w:rsidRDefault="004F6497" w:rsidP="00E73AB0">
            <w:pPr>
              <w:pStyle w:val="3-BodyText"/>
              <w:keepNext/>
              <w:keepLines/>
              <w:numPr>
                <w:ilvl w:val="0"/>
                <w:numId w:val="0"/>
              </w:numPr>
              <w:spacing w:after="0"/>
              <w:jc w:val="left"/>
              <w:rPr>
                <w:rFonts w:ascii="Arial Narrow" w:hAnsi="Arial Narrow"/>
                <w:sz w:val="20"/>
                <w:szCs w:val="18"/>
              </w:rPr>
            </w:pPr>
            <w:r w:rsidRPr="00006F36">
              <w:rPr>
                <w:rFonts w:ascii="Arial Narrow" w:hAnsi="Arial Narrow"/>
                <w:sz w:val="20"/>
                <w:szCs w:val="18"/>
              </w:rPr>
              <w:t>$</w:t>
            </w:r>
            <w:r w:rsidR="00494449" w:rsidRPr="000D40B9">
              <w:rPr>
                <w:rFonts w:ascii="Arial Narrow" w:hAnsi="Arial Narrow"/>
                <w:color w:val="000000"/>
                <w:spacing w:val="51"/>
                <w:sz w:val="20"/>
                <w:szCs w:val="18"/>
                <w:shd w:val="solid" w:color="000000" w:fill="000000"/>
                <w:fitText w:val="326" w:id="-961871102"/>
                <w14:textFill>
                  <w14:solidFill>
                    <w14:srgbClr w14:val="000000">
                      <w14:alpha w14:val="100000"/>
                    </w14:srgbClr>
                  </w14:solidFill>
                </w14:textFill>
              </w:rPr>
              <w:t>|||</w:t>
            </w:r>
            <w:r w:rsidR="00494449" w:rsidRPr="000D40B9">
              <w:rPr>
                <w:rFonts w:ascii="Arial Narrow" w:hAnsi="Arial Narrow"/>
                <w:color w:val="000000"/>
                <w:spacing w:val="3"/>
                <w:sz w:val="20"/>
                <w:szCs w:val="18"/>
                <w:shd w:val="solid" w:color="000000" w:fill="000000"/>
                <w:fitText w:val="326" w:id="-961871102"/>
                <w14:textFill>
                  <w14:solidFill>
                    <w14:srgbClr w14:val="000000">
                      <w14:alpha w14:val="100000"/>
                    </w14:srgbClr>
                  </w14:solidFill>
                </w14:textFill>
              </w:rPr>
              <w:t>|</w:t>
            </w:r>
            <w:r w:rsidR="00F44A77" w:rsidRPr="00006F36">
              <w:rPr>
                <w:rFonts w:ascii="Arial Narrow" w:hAnsi="Arial Narrow"/>
                <w:sz w:val="20"/>
                <w:szCs w:val="18"/>
                <w:vertAlign w:val="superscript"/>
              </w:rPr>
              <w:t>1</w:t>
            </w:r>
            <w:r w:rsidR="00D45D87" w:rsidRPr="00006F36">
              <w:rPr>
                <w:rFonts w:ascii="Arial Narrow" w:hAnsi="Arial Narrow"/>
                <w:sz w:val="20"/>
                <w:szCs w:val="18"/>
              </w:rPr>
              <w:t xml:space="preserve"> </w:t>
            </w:r>
          </w:p>
        </w:tc>
      </w:tr>
      <w:tr w:rsidR="00282D96" w:rsidRPr="00006F36" w14:paraId="66C931B1" w14:textId="459BBDB5" w:rsidTr="008B2FF1">
        <w:tc>
          <w:tcPr>
            <w:tcW w:w="964" w:type="dxa"/>
            <w:tcBorders>
              <w:top w:val="single" w:sz="4" w:space="0" w:color="auto"/>
              <w:left w:val="single" w:sz="4" w:space="0" w:color="auto"/>
              <w:bottom w:val="single" w:sz="4" w:space="0" w:color="auto"/>
              <w:right w:val="single" w:sz="4" w:space="0" w:color="auto"/>
            </w:tcBorders>
            <w:vAlign w:val="center"/>
            <w:hideMark/>
          </w:tcPr>
          <w:p w14:paraId="0E76A154" w14:textId="77777777" w:rsidR="00282D96" w:rsidRPr="00006F36" w:rsidRDefault="00282D96" w:rsidP="00E73AB0">
            <w:pPr>
              <w:pStyle w:val="3-BodyText"/>
              <w:keepNext/>
              <w:keepLines/>
              <w:numPr>
                <w:ilvl w:val="0"/>
                <w:numId w:val="0"/>
              </w:numPr>
              <w:spacing w:after="0"/>
              <w:jc w:val="left"/>
              <w:rPr>
                <w:rFonts w:ascii="Arial Narrow" w:hAnsi="Arial Narrow"/>
                <w:sz w:val="20"/>
                <w:szCs w:val="18"/>
              </w:rPr>
            </w:pPr>
            <w:r w:rsidRPr="00006F36">
              <w:rPr>
                <w:rFonts w:ascii="Arial Narrow" w:hAnsi="Arial Narrow"/>
                <w:sz w:val="20"/>
                <w:szCs w:val="18"/>
              </w:rPr>
              <w:t>Financial estimates</w:t>
            </w:r>
          </w:p>
        </w:tc>
        <w:tc>
          <w:tcPr>
            <w:tcW w:w="2150" w:type="dxa"/>
            <w:tcBorders>
              <w:top w:val="single" w:sz="4" w:space="0" w:color="auto"/>
              <w:left w:val="single" w:sz="4" w:space="0" w:color="auto"/>
              <w:bottom w:val="single" w:sz="4" w:space="0" w:color="auto"/>
              <w:right w:val="single" w:sz="4" w:space="0" w:color="auto"/>
            </w:tcBorders>
            <w:vAlign w:val="center"/>
            <w:hideMark/>
          </w:tcPr>
          <w:p w14:paraId="7817CE1B" w14:textId="5B51837D" w:rsidR="00282D96" w:rsidRPr="00006F36" w:rsidRDefault="00282D96" w:rsidP="00E73AB0">
            <w:pPr>
              <w:pStyle w:val="3-BodyText"/>
              <w:keepNext/>
              <w:keepLines/>
              <w:numPr>
                <w:ilvl w:val="0"/>
                <w:numId w:val="0"/>
              </w:numPr>
              <w:spacing w:after="0"/>
              <w:jc w:val="left"/>
              <w:rPr>
                <w:rFonts w:ascii="Arial Narrow" w:hAnsi="Arial Narrow"/>
                <w:sz w:val="20"/>
                <w:szCs w:val="18"/>
                <w:highlight w:val="yellow"/>
              </w:rPr>
            </w:pPr>
            <w:r w:rsidRPr="00006F36">
              <w:rPr>
                <w:rFonts w:ascii="Arial Narrow" w:hAnsi="Arial Narrow"/>
                <w:sz w:val="20"/>
                <w:szCs w:val="18"/>
              </w:rPr>
              <w:t>10 to 21 treated patients per year</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14:paraId="080C9BFF" w14:textId="6AB6E1D8" w:rsidR="00282D96" w:rsidRPr="00006F36" w:rsidRDefault="00282D96" w:rsidP="00E73AB0">
            <w:pPr>
              <w:pStyle w:val="3-BodyText"/>
              <w:keepNext/>
              <w:keepLines/>
              <w:numPr>
                <w:ilvl w:val="0"/>
                <w:numId w:val="0"/>
              </w:numPr>
              <w:spacing w:after="0"/>
              <w:jc w:val="left"/>
              <w:rPr>
                <w:rFonts w:ascii="Arial Narrow" w:hAnsi="Arial Narrow"/>
                <w:b/>
                <w:bCs/>
                <w:sz w:val="20"/>
                <w:szCs w:val="18"/>
              </w:rPr>
            </w:pPr>
            <w:r w:rsidRPr="00006F36">
              <w:rPr>
                <w:rFonts w:ascii="Arial Narrow" w:hAnsi="Arial Narrow"/>
                <w:sz w:val="20"/>
                <w:szCs w:val="18"/>
              </w:rPr>
              <w:t>Unclear from minutes</w:t>
            </w:r>
          </w:p>
        </w:tc>
        <w:tc>
          <w:tcPr>
            <w:tcW w:w="2076" w:type="dxa"/>
            <w:tcBorders>
              <w:top w:val="single" w:sz="4" w:space="0" w:color="auto"/>
              <w:left w:val="single" w:sz="4" w:space="0" w:color="auto"/>
              <w:bottom w:val="single" w:sz="4" w:space="0" w:color="auto"/>
              <w:right w:val="single" w:sz="4" w:space="0" w:color="auto"/>
            </w:tcBorders>
            <w:vAlign w:val="center"/>
          </w:tcPr>
          <w:p w14:paraId="02C9A658" w14:textId="7BDAE917" w:rsidR="00282D96" w:rsidRPr="00006F36" w:rsidRDefault="00746C3A" w:rsidP="00E73AB0">
            <w:pPr>
              <w:pStyle w:val="3-BodyText"/>
              <w:keepNext/>
              <w:keepLines/>
              <w:numPr>
                <w:ilvl w:val="0"/>
                <w:numId w:val="0"/>
              </w:numPr>
              <w:spacing w:after="0"/>
              <w:jc w:val="left"/>
              <w:rPr>
                <w:rFonts w:ascii="Arial Narrow" w:hAnsi="Arial Narrow"/>
                <w:sz w:val="20"/>
                <w:szCs w:val="18"/>
              </w:rPr>
            </w:pPr>
            <w:r w:rsidRPr="00006F36">
              <w:rPr>
                <w:rFonts w:ascii="Arial Narrow" w:hAnsi="Arial Narrow"/>
                <w:sz w:val="20"/>
                <w:szCs w:val="18"/>
              </w:rPr>
              <w:t xml:space="preserve">40 to 62 </w:t>
            </w:r>
            <w:r w:rsidR="00282D96" w:rsidRPr="00006F36">
              <w:rPr>
                <w:rFonts w:ascii="Arial Narrow" w:hAnsi="Arial Narrow"/>
                <w:sz w:val="20"/>
                <w:szCs w:val="18"/>
              </w:rPr>
              <w:t>treated patients per year</w:t>
            </w:r>
          </w:p>
        </w:tc>
      </w:tr>
      <w:tr w:rsidR="00F10E54" w:rsidRPr="00006F36" w14:paraId="62EBDCC9" w14:textId="3353E9B4" w:rsidTr="003709C5">
        <w:tc>
          <w:tcPr>
            <w:tcW w:w="964" w:type="dxa"/>
            <w:tcBorders>
              <w:top w:val="single" w:sz="4" w:space="0" w:color="auto"/>
              <w:left w:val="single" w:sz="4" w:space="0" w:color="auto"/>
              <w:bottom w:val="single" w:sz="4" w:space="0" w:color="auto"/>
              <w:right w:val="single" w:sz="4" w:space="0" w:color="auto"/>
            </w:tcBorders>
            <w:vAlign w:val="center"/>
            <w:hideMark/>
          </w:tcPr>
          <w:p w14:paraId="4F844C02" w14:textId="77777777" w:rsidR="00F10E54" w:rsidRPr="00006F36" w:rsidRDefault="00F10E54" w:rsidP="00E73AB0">
            <w:pPr>
              <w:pStyle w:val="3-BodyText"/>
              <w:keepNext/>
              <w:keepLines/>
              <w:numPr>
                <w:ilvl w:val="0"/>
                <w:numId w:val="0"/>
              </w:numPr>
              <w:spacing w:after="0"/>
              <w:jc w:val="left"/>
              <w:rPr>
                <w:rFonts w:ascii="Arial Narrow" w:hAnsi="Arial Narrow"/>
                <w:sz w:val="20"/>
                <w:szCs w:val="18"/>
              </w:rPr>
            </w:pPr>
            <w:r w:rsidRPr="00006F36">
              <w:rPr>
                <w:rFonts w:ascii="Arial Narrow" w:hAnsi="Arial Narrow"/>
                <w:sz w:val="20"/>
                <w:szCs w:val="18"/>
              </w:rPr>
              <w:t>Outcome</w:t>
            </w:r>
          </w:p>
        </w:tc>
        <w:tc>
          <w:tcPr>
            <w:tcW w:w="2150" w:type="dxa"/>
            <w:tcBorders>
              <w:top w:val="single" w:sz="4" w:space="0" w:color="auto"/>
              <w:left w:val="single" w:sz="4" w:space="0" w:color="auto"/>
              <w:bottom w:val="single" w:sz="4" w:space="0" w:color="auto"/>
              <w:right w:val="single" w:sz="4" w:space="0" w:color="auto"/>
            </w:tcBorders>
            <w:vAlign w:val="center"/>
            <w:hideMark/>
          </w:tcPr>
          <w:p w14:paraId="2164DA78" w14:textId="18E6A938" w:rsidR="00F10E54" w:rsidRPr="00006F36" w:rsidRDefault="00F10E54" w:rsidP="00E73AB0">
            <w:pPr>
              <w:pStyle w:val="3-BodyText"/>
              <w:keepNext/>
              <w:keepLines/>
              <w:numPr>
                <w:ilvl w:val="0"/>
                <w:numId w:val="0"/>
              </w:numPr>
              <w:spacing w:after="0"/>
              <w:jc w:val="left"/>
              <w:rPr>
                <w:rFonts w:ascii="Arial Narrow" w:hAnsi="Arial Narrow"/>
                <w:b/>
                <w:bCs/>
                <w:sz w:val="20"/>
                <w:szCs w:val="18"/>
              </w:rPr>
            </w:pPr>
            <w:r w:rsidRPr="00006F36">
              <w:rPr>
                <w:rFonts w:ascii="Arial Narrow" w:hAnsi="Arial Narrow"/>
                <w:sz w:val="20"/>
                <w:szCs w:val="18"/>
              </w:rPr>
              <w:t>Deferred pending the outcome of TGA consideration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1DFD18" w14:textId="77777777" w:rsidR="00F10E54" w:rsidRPr="00006F36" w:rsidRDefault="00F10E54" w:rsidP="00E73AB0">
            <w:pPr>
              <w:keepNext/>
              <w:keepLines/>
              <w:widowControl w:val="0"/>
              <w:jc w:val="left"/>
              <w:rPr>
                <w:rFonts w:ascii="Arial Narrow" w:eastAsiaTheme="minorHAnsi" w:hAnsi="Arial Narrow" w:cstheme="minorBidi"/>
                <w:sz w:val="20"/>
                <w:szCs w:val="18"/>
              </w:rPr>
            </w:pPr>
            <w:r w:rsidRPr="00006F36">
              <w:rPr>
                <w:rFonts w:ascii="Arial Narrow" w:eastAsiaTheme="minorHAnsi" w:hAnsi="Arial Narrow" w:cstheme="minorBidi"/>
                <w:sz w:val="20"/>
                <w:szCs w:val="18"/>
              </w:rPr>
              <w:t>The PBAC did not recommend the listing of migalastat for the treatment of Fabry disease. In making this decision, the PBAC was uncertain about the submission’s clinical claim of non-inferior comparative effectiveness compared with ERT.</w:t>
            </w:r>
          </w:p>
        </w:tc>
        <w:tc>
          <w:tcPr>
            <w:tcW w:w="1984" w:type="dxa"/>
            <w:tcBorders>
              <w:top w:val="single" w:sz="4" w:space="0" w:color="auto"/>
              <w:left w:val="single" w:sz="4" w:space="0" w:color="auto"/>
              <w:bottom w:val="single" w:sz="4" w:space="0" w:color="auto"/>
              <w:right w:val="single" w:sz="4" w:space="0" w:color="auto"/>
            </w:tcBorders>
            <w:vAlign w:val="center"/>
          </w:tcPr>
          <w:p w14:paraId="7AC1411D" w14:textId="5432B1C1" w:rsidR="00F10E54" w:rsidRPr="00006F36" w:rsidRDefault="00F10E54" w:rsidP="00E73AB0">
            <w:pPr>
              <w:keepNext/>
              <w:keepLines/>
              <w:widowControl w:val="0"/>
              <w:jc w:val="left"/>
              <w:rPr>
                <w:rFonts w:ascii="Arial Narrow" w:hAnsi="Arial Narrow" w:cstheme="minorBidi"/>
                <w:b/>
                <w:bCs/>
                <w:sz w:val="20"/>
                <w:szCs w:val="20"/>
              </w:rPr>
            </w:pPr>
            <w:r w:rsidRPr="00006F36">
              <w:rPr>
                <w:rFonts w:ascii="Arial Narrow" w:hAnsi="Arial Narrow"/>
                <w:bCs/>
                <w:snapToGrid w:val="0"/>
                <w:sz w:val="20"/>
                <w:szCs w:val="20"/>
                <w:lang w:eastAsia="en-US"/>
              </w:rPr>
              <w:t>The PBAC did not recommend the listing of migalastat for the treatment of Fabry disease. In making this decision the PBAC considered that the submission’s clinical claim of non-inferior comparative effectiveness compared with ERT remained uncertain and could not be supported.</w:t>
            </w:r>
          </w:p>
        </w:tc>
        <w:tc>
          <w:tcPr>
            <w:tcW w:w="2076" w:type="dxa"/>
            <w:tcBorders>
              <w:top w:val="single" w:sz="4" w:space="0" w:color="auto"/>
              <w:left w:val="single" w:sz="4" w:space="0" w:color="auto"/>
              <w:bottom w:val="single" w:sz="4" w:space="0" w:color="auto"/>
              <w:right w:val="single" w:sz="4" w:space="0" w:color="auto"/>
            </w:tcBorders>
            <w:vAlign w:val="center"/>
          </w:tcPr>
          <w:p w14:paraId="35396191" w14:textId="4A7A4274" w:rsidR="00F10E54" w:rsidRPr="00006F36" w:rsidRDefault="00AB60DE" w:rsidP="00E73AB0">
            <w:pPr>
              <w:keepNext/>
              <w:keepLines/>
              <w:widowControl w:val="0"/>
              <w:jc w:val="left"/>
              <w:rPr>
                <w:rFonts w:ascii="Arial Narrow" w:hAnsi="Arial Narrow"/>
                <w:bCs/>
                <w:snapToGrid w:val="0"/>
                <w:sz w:val="20"/>
                <w:szCs w:val="20"/>
                <w:lang w:eastAsia="en-US"/>
              </w:rPr>
            </w:pPr>
            <w:r w:rsidRPr="00006F36">
              <w:rPr>
                <w:rFonts w:ascii="Arial Narrow" w:hAnsi="Arial Narrow"/>
                <w:bCs/>
                <w:snapToGrid w:val="0"/>
                <w:sz w:val="20"/>
                <w:szCs w:val="20"/>
                <w:lang w:eastAsia="en-US"/>
              </w:rPr>
              <w:t xml:space="preserve">The PBAC recommended the Authority Required listing of migalastat on the PBS for the treatment of Fabry disease in patients aged 16 years of age and older who have an amenable mutation. </w:t>
            </w:r>
          </w:p>
        </w:tc>
      </w:tr>
    </w:tbl>
    <w:p w14:paraId="0C77EEC6" w14:textId="77777777" w:rsidR="00D12810" w:rsidRDefault="001C2385" w:rsidP="00E73AB0">
      <w:pPr>
        <w:pStyle w:val="3-BodyText"/>
        <w:keepNext/>
        <w:keepLines/>
        <w:numPr>
          <w:ilvl w:val="0"/>
          <w:numId w:val="0"/>
        </w:numPr>
        <w:spacing w:after="0"/>
        <w:rPr>
          <w:rFonts w:ascii="Arial Narrow" w:hAnsi="Arial Narrow"/>
          <w:sz w:val="18"/>
          <w:szCs w:val="18"/>
        </w:rPr>
      </w:pPr>
      <w:r w:rsidRPr="00006F36">
        <w:rPr>
          <w:rFonts w:ascii="Arial Narrow" w:hAnsi="Arial Narrow"/>
          <w:sz w:val="18"/>
          <w:szCs w:val="18"/>
        </w:rPr>
        <w:t>Source: Table 1, migalastat PSD, December 2022 PBAC meeting</w:t>
      </w:r>
    </w:p>
    <w:p w14:paraId="0D81F08D" w14:textId="21DA3278" w:rsidR="00442AC3" w:rsidRPr="00006F36" w:rsidRDefault="004B69B9" w:rsidP="00E73AB0">
      <w:pPr>
        <w:pStyle w:val="3-BodyText"/>
        <w:keepNext/>
        <w:keepLines/>
        <w:numPr>
          <w:ilvl w:val="0"/>
          <w:numId w:val="0"/>
        </w:numPr>
        <w:spacing w:after="0"/>
        <w:rPr>
          <w:rFonts w:ascii="Arial Narrow" w:hAnsi="Arial Narrow"/>
          <w:sz w:val="18"/>
          <w:szCs w:val="18"/>
        </w:rPr>
      </w:pPr>
      <w:r>
        <w:rPr>
          <w:rFonts w:ascii="Arial Narrow" w:hAnsi="Arial Narrow"/>
          <w:sz w:val="18"/>
          <w:szCs w:val="18"/>
        </w:rPr>
        <w:t xml:space="preserve">Abbreviations: </w:t>
      </w:r>
      <w:r w:rsidR="009762AF" w:rsidRPr="00006F36">
        <w:rPr>
          <w:rFonts w:ascii="Arial Narrow" w:hAnsi="Arial Narrow"/>
          <w:sz w:val="18"/>
          <w:szCs w:val="18"/>
        </w:rPr>
        <w:t xml:space="preserve">EP = expert panel; </w:t>
      </w:r>
      <w:r w:rsidR="00442AC3" w:rsidRPr="00006F36">
        <w:rPr>
          <w:rFonts w:ascii="Arial Narrow" w:hAnsi="Arial Narrow"/>
          <w:sz w:val="18"/>
          <w:szCs w:val="18"/>
        </w:rPr>
        <w:t xml:space="preserve">ERT = enzyme replacement therapy, </w:t>
      </w:r>
      <w:r w:rsidR="009762AF" w:rsidRPr="00006F36">
        <w:rPr>
          <w:rFonts w:ascii="Arial Narrow" w:hAnsi="Arial Narrow"/>
          <w:sz w:val="18"/>
          <w:szCs w:val="18"/>
        </w:rPr>
        <w:t xml:space="preserve">LSDP = live saving drugs program; </w:t>
      </w:r>
      <w:r w:rsidR="004D2686" w:rsidRPr="00006F36">
        <w:rPr>
          <w:rFonts w:ascii="Arial Narrow" w:hAnsi="Arial Narrow"/>
          <w:sz w:val="18"/>
          <w:szCs w:val="18"/>
        </w:rPr>
        <w:t xml:space="preserve">PBAC = pharmaceutical benefits advisory committee; PBS = pharmaceutical benefits scheme; </w:t>
      </w:r>
      <w:r w:rsidR="00442AC3" w:rsidRPr="00006F36">
        <w:rPr>
          <w:rFonts w:ascii="Arial Narrow" w:hAnsi="Arial Narrow"/>
          <w:sz w:val="18"/>
          <w:szCs w:val="18"/>
        </w:rPr>
        <w:t>PSD = Public Summary Document</w:t>
      </w:r>
    </w:p>
    <w:p w14:paraId="7562697C" w14:textId="7D2810AC" w:rsidR="00F44A77" w:rsidRPr="00006F36" w:rsidRDefault="004B69B9" w:rsidP="004B69B9">
      <w:pPr>
        <w:pStyle w:val="3-BodyText"/>
        <w:keepNext/>
        <w:keepLines/>
        <w:numPr>
          <w:ilvl w:val="0"/>
          <w:numId w:val="0"/>
        </w:numPr>
        <w:spacing w:after="0"/>
        <w:ind w:left="720" w:hanging="720"/>
        <w:rPr>
          <w:rFonts w:ascii="Arial Narrow" w:hAnsi="Arial Narrow"/>
          <w:sz w:val="18"/>
          <w:szCs w:val="18"/>
        </w:rPr>
      </w:pPr>
      <w:r w:rsidRPr="004B69B9">
        <w:rPr>
          <w:rFonts w:ascii="Arial Narrow" w:hAnsi="Arial Narrow"/>
          <w:sz w:val="18"/>
          <w:szCs w:val="18"/>
          <w:vertAlign w:val="superscript"/>
        </w:rPr>
        <w:t xml:space="preserve">1 </w:t>
      </w:r>
      <w:r w:rsidR="00F44A77" w:rsidRPr="00006F36">
        <w:rPr>
          <w:rFonts w:ascii="Arial Narrow" w:hAnsi="Arial Narrow"/>
          <w:sz w:val="18"/>
          <w:szCs w:val="18"/>
        </w:rPr>
        <w:t>Calculated as $</w:t>
      </w:r>
      <w:r w:rsidR="00494449" w:rsidRPr="00D12810">
        <w:rPr>
          <w:rFonts w:ascii="Arial Narrow" w:hAnsi="Arial Narrow"/>
          <w:color w:val="000000"/>
          <w:spacing w:val="75"/>
          <w:sz w:val="18"/>
          <w:szCs w:val="18"/>
          <w:shd w:val="solid" w:color="000000" w:fill="000000"/>
          <w:fitText w:val="268" w:id="-961871101"/>
          <w14:textFill>
            <w14:solidFill>
              <w14:srgbClr w14:val="000000">
                <w14:alpha w14:val="100000"/>
              </w14:srgbClr>
            </w14:solidFill>
          </w14:textFill>
        </w:rPr>
        <w:t>|</w:t>
      </w:r>
      <w:r w:rsidR="00D12810" w:rsidRPr="00D12810">
        <w:rPr>
          <w:rFonts w:ascii="Arial Narrow" w:hAnsi="Arial Narrow"/>
          <w:color w:val="000000"/>
          <w:spacing w:val="75"/>
          <w:sz w:val="18"/>
          <w:szCs w:val="18"/>
          <w:shd w:val="solid" w:color="000000" w:fill="000000"/>
          <w:fitText w:val="268" w:id="-961871101"/>
          <w14:textFill>
            <w14:solidFill>
              <w14:srgbClr w14:val="000000">
                <w14:alpha w14:val="100000"/>
              </w14:srgbClr>
            </w14:solidFill>
          </w14:textFill>
        </w:rPr>
        <w:t xml:space="preserve"> </w:t>
      </w:r>
      <w:r w:rsidR="00494449" w:rsidRPr="00D12810">
        <w:rPr>
          <w:rFonts w:ascii="Arial Narrow" w:hAnsi="Arial Narrow"/>
          <w:color w:val="000000"/>
          <w:spacing w:val="1"/>
          <w:sz w:val="18"/>
          <w:szCs w:val="18"/>
          <w:shd w:val="solid" w:color="000000" w:fill="000000"/>
          <w:fitText w:val="268" w:id="-961871101"/>
          <w14:textFill>
            <w14:solidFill>
              <w14:srgbClr w14:val="000000">
                <w14:alpha w14:val="100000"/>
              </w14:srgbClr>
            </w14:solidFill>
          </w14:textFill>
        </w:rPr>
        <w:t>|</w:t>
      </w:r>
      <w:r w:rsidR="00F44A77" w:rsidRPr="00006F36">
        <w:rPr>
          <w:rFonts w:ascii="Arial Narrow" w:hAnsi="Arial Narrow"/>
          <w:sz w:val="18"/>
          <w:szCs w:val="18"/>
        </w:rPr>
        <w:t xml:space="preserve"> (current LSDP price)/28x365.25</w:t>
      </w:r>
    </w:p>
    <w:p w14:paraId="4CF6096B" w14:textId="77777777" w:rsidR="00442AC3" w:rsidRPr="00006F36" w:rsidRDefault="00442AC3" w:rsidP="00442AC3">
      <w:pPr>
        <w:rPr>
          <w:rFonts w:ascii="Arial Narrow" w:hAnsi="Arial Narrow"/>
          <w:i/>
          <w:sz w:val="18"/>
          <w:szCs w:val="18"/>
        </w:rPr>
      </w:pPr>
    </w:p>
    <w:p w14:paraId="47D3213F" w14:textId="1DC0681C" w:rsidR="00C55FD9" w:rsidRPr="00006F36" w:rsidRDefault="00C55FD9" w:rsidP="002E4F02">
      <w:pPr>
        <w:pStyle w:val="3-BodyText"/>
      </w:pPr>
      <w:r w:rsidRPr="00006F36">
        <w:t xml:space="preserve">At the December 2022 PBAC meeting, </w:t>
      </w:r>
      <w:r w:rsidR="007E7C5D" w:rsidRPr="00006F36">
        <w:t xml:space="preserve">the PBAC recalled its previous consideration that the cost of migalastat should not be greater than the cost of the form of agalsidase which has the lowest cost to the Commonwealth, with a further significant price reduction reflective of the uncertainty around the claim of non-inferiority to </w:t>
      </w:r>
      <w:r w:rsidR="005D289E" w:rsidRPr="00006F36">
        <w:lastRenderedPageBreak/>
        <w:t>[</w:t>
      </w:r>
      <w:r w:rsidR="001625CD" w:rsidRPr="00006F36">
        <w:t>enzyme replacement therapy</w:t>
      </w:r>
      <w:r w:rsidR="005D289E" w:rsidRPr="00006F36">
        <w:t>]</w:t>
      </w:r>
      <w:r w:rsidR="001625CD" w:rsidRPr="00006F36">
        <w:t xml:space="preserve"> </w:t>
      </w:r>
      <w:r w:rsidR="007E7C5D" w:rsidRPr="00006F36">
        <w:t xml:space="preserve">ERT. The PBAC noted the cost per patient for the ERTs is highly variable due to the use of weight-based dosing and that migalastat was more costly than the ERTs at the lower end of the range of likely patient weights. Therefore, the PBAC considered migalastat would be appropriate for PBS listing at a price that ensured it was less expensive than the lowest cost available ERT on the LSDP for Fabry disease for all patients aged 16 years of age and older, and that this could be achieved with a cost per patient per year no higher than the cost of ERT for a patient weighing 45 kg </w:t>
      </w:r>
      <w:r w:rsidRPr="00006F36">
        <w:t>(</w:t>
      </w:r>
      <w:r w:rsidR="00E61FE9" w:rsidRPr="00006F36">
        <w:t>Paragraph 5.</w:t>
      </w:r>
      <w:r w:rsidR="007E7C5D" w:rsidRPr="00006F36">
        <w:t>6</w:t>
      </w:r>
      <w:r w:rsidR="00E61FE9" w:rsidRPr="00006F36">
        <w:t xml:space="preserve">, </w:t>
      </w:r>
      <w:r w:rsidR="006012CE" w:rsidRPr="00006F36">
        <w:t xml:space="preserve">migalastat </w:t>
      </w:r>
      <w:r w:rsidR="0011622F" w:rsidRPr="0011622F">
        <w:t>Public Summary Document</w:t>
      </w:r>
      <w:r w:rsidR="0011622F" w:rsidRPr="0011622F" w:rsidDel="0011622F">
        <w:t xml:space="preserve"> </w:t>
      </w:r>
      <w:r w:rsidR="006012CE" w:rsidRPr="00006F36">
        <w:t>(PSD), December 2022 PBAC meeting).</w:t>
      </w:r>
    </w:p>
    <w:p w14:paraId="29051944" w14:textId="77777777" w:rsidR="00D12810" w:rsidRDefault="00F37172" w:rsidP="00F37172">
      <w:pPr>
        <w:pStyle w:val="4-SubsectionHeading"/>
      </w:pPr>
      <w:bookmarkStart w:id="11" w:name="_Toc156995869"/>
      <w:r w:rsidRPr="00006F36">
        <w:t>LSDP EP consideration</w:t>
      </w:r>
      <w:bookmarkEnd w:id="11"/>
    </w:p>
    <w:p w14:paraId="623D92FB" w14:textId="700FCBAA" w:rsidR="00F37172" w:rsidRPr="00006F36" w:rsidRDefault="00F37172" w:rsidP="00F37172">
      <w:pPr>
        <w:pStyle w:val="3-BodyText"/>
      </w:pPr>
      <w:r w:rsidRPr="00006F36">
        <w:t>The LSDP EP completed a review of Fabry disease in October 2020 and the EP evaluation overview was provided to the PBAC</w:t>
      </w:r>
      <w:r w:rsidR="00E35DB3" w:rsidRPr="00006F36">
        <w:t xml:space="preserve"> at the December 2022 meeting</w:t>
      </w:r>
      <w:r w:rsidRPr="00006F36">
        <w:t>. Migalastat was not included in the protocol for the review as it had only recently become available on the LSDP at the time of protocol development.</w:t>
      </w:r>
    </w:p>
    <w:p w14:paraId="7D2CEC45" w14:textId="77777777" w:rsidR="00D12810" w:rsidRDefault="00F37172" w:rsidP="00F37172">
      <w:pPr>
        <w:pStyle w:val="3-BodyText"/>
      </w:pPr>
      <w:r w:rsidRPr="00006F36">
        <w:t>The LSDP EP completed a 24-month review of the listing of migalastat on the LSDP and the overview of the review was provided to the PBAC</w:t>
      </w:r>
      <w:r w:rsidR="00275474" w:rsidRPr="00006F36">
        <w:t xml:space="preserve"> at the December 2022 meeting</w:t>
      </w:r>
      <w:r w:rsidRPr="00006F36">
        <w:t>. As part of this review, the EP discussed the sponsor’s request to allow use of migalastat as a first line treatment (i.e., removal of the requirement for 12 months of ERT prior to accessing migalastat). The sponsor of migalastat provided a response to a draft version of the review and this was provided to the PBAC</w:t>
      </w:r>
      <w:r w:rsidR="00E35DB3" w:rsidRPr="00006F36">
        <w:t xml:space="preserve"> at the December 2022 meeting</w:t>
      </w:r>
      <w:r w:rsidR="00006F36">
        <w:t>.</w:t>
      </w:r>
    </w:p>
    <w:p w14:paraId="6D7EEC85" w14:textId="77777777" w:rsidR="00D12810" w:rsidRDefault="00F37172" w:rsidP="00F37172">
      <w:pPr>
        <w:pStyle w:val="3-BodyText"/>
      </w:pPr>
      <w:r w:rsidRPr="00006F36">
        <w:t>The LSDP EP further considered the sponsor</w:t>
      </w:r>
      <w:r w:rsidR="00263067" w:rsidRPr="00006F36">
        <w:t>’s</w:t>
      </w:r>
      <w:r w:rsidRPr="00006F36">
        <w:t xml:space="preserve"> request to amend the criteria for migalastat at its June 2022 meeting. The minutes of the meeting were provided to the sponsor and the PBAC</w:t>
      </w:r>
      <w:r w:rsidR="00E35DB3" w:rsidRPr="00006F36">
        <w:t xml:space="preserve"> at the December 2022 meeting</w:t>
      </w:r>
      <w:r w:rsidRPr="00006F36">
        <w:t>. The Fabry Australia Treatment Review White Paper referred to by the LSDP EP as part of its consideration is available on the Fabry Australia website</w:t>
      </w:r>
      <w:r w:rsidRPr="00006F36">
        <w:rPr>
          <w:rStyle w:val="FootnoteReference"/>
        </w:rPr>
        <w:footnoteReference w:id="2"/>
      </w:r>
      <w:r w:rsidRPr="00006F36">
        <w:t xml:space="preserve">. </w:t>
      </w:r>
      <w:r w:rsidR="00D35D05" w:rsidRPr="00006F36">
        <w:t xml:space="preserve">A version of this White Paper </w:t>
      </w:r>
      <w:r w:rsidR="00D0603A" w:rsidRPr="00006F36">
        <w:t>has recently been published as Nicholls 2024</w:t>
      </w:r>
      <w:r w:rsidR="00D0603A" w:rsidRPr="00006F36">
        <w:rPr>
          <w:rStyle w:val="FootnoteReference"/>
        </w:rPr>
        <w:footnoteReference w:id="3"/>
      </w:r>
      <w:r w:rsidR="00006F36">
        <w:t>.</w:t>
      </w:r>
    </w:p>
    <w:p w14:paraId="09A57F39" w14:textId="3F7102A3" w:rsidR="00494449" w:rsidRDefault="00494449">
      <w:pPr>
        <w:jc w:val="left"/>
        <w:rPr>
          <w:rFonts w:asciiTheme="minorHAnsi" w:hAnsiTheme="minorHAnsi"/>
          <w:snapToGrid w:val="0"/>
        </w:rPr>
      </w:pPr>
      <w:r>
        <w:br w:type="page"/>
      </w:r>
    </w:p>
    <w:p w14:paraId="76E4EF3C" w14:textId="02D68B8C" w:rsidR="00B60939" w:rsidRPr="00006F36" w:rsidRDefault="00B50DB8" w:rsidP="004E18E9">
      <w:pPr>
        <w:pStyle w:val="2-SectionHeading"/>
      </w:pPr>
      <w:bookmarkStart w:id="12" w:name="_Toc156995870"/>
      <w:r w:rsidRPr="00006F36">
        <w:lastRenderedPageBreak/>
        <w:t>Requested listing</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062"/>
        <w:gridCol w:w="812"/>
        <w:gridCol w:w="811"/>
        <w:gridCol w:w="812"/>
        <w:gridCol w:w="1831"/>
      </w:tblGrid>
      <w:tr w:rsidR="00046D64" w:rsidRPr="00006F36" w14:paraId="73E16E29" w14:textId="77777777" w:rsidTr="001863B5">
        <w:trPr>
          <w:cantSplit/>
          <w:trHeight w:val="20"/>
        </w:trPr>
        <w:tc>
          <w:tcPr>
            <w:tcW w:w="2689" w:type="dxa"/>
            <w:vAlign w:val="center"/>
          </w:tcPr>
          <w:p w14:paraId="4660296B" w14:textId="77777777" w:rsidR="00046D64" w:rsidRPr="00006F36" w:rsidRDefault="00046D64" w:rsidP="00A2021E">
            <w:pPr>
              <w:keepLines/>
              <w:rPr>
                <w:rFonts w:ascii="Arial Narrow" w:hAnsi="Arial Narrow"/>
                <w:b/>
                <w:bCs/>
                <w:sz w:val="20"/>
                <w:szCs w:val="20"/>
              </w:rPr>
            </w:pPr>
            <w:bookmarkStart w:id="13" w:name="_Hlk104809055"/>
            <w:r w:rsidRPr="00006F36">
              <w:rPr>
                <w:rFonts w:ascii="Arial Narrow" w:hAnsi="Arial Narrow"/>
                <w:b/>
                <w:bCs/>
                <w:sz w:val="20"/>
                <w:szCs w:val="20"/>
              </w:rPr>
              <w:t>MEDICINAL PRODUCT</w:t>
            </w:r>
          </w:p>
          <w:p w14:paraId="7221C2FD" w14:textId="77777777" w:rsidR="00046D64" w:rsidRPr="00006F36" w:rsidRDefault="00046D64" w:rsidP="00A2021E">
            <w:pPr>
              <w:keepLines/>
              <w:rPr>
                <w:rFonts w:ascii="Arial Narrow" w:hAnsi="Arial Narrow"/>
                <w:b/>
                <w:sz w:val="20"/>
                <w:szCs w:val="20"/>
              </w:rPr>
            </w:pPr>
            <w:r w:rsidRPr="00006F36">
              <w:rPr>
                <w:rFonts w:ascii="Arial Narrow" w:hAnsi="Arial Narrow"/>
                <w:b/>
                <w:bCs/>
                <w:sz w:val="20"/>
                <w:szCs w:val="20"/>
              </w:rPr>
              <w:t>medicinal product pack</w:t>
            </w:r>
          </w:p>
        </w:tc>
        <w:tc>
          <w:tcPr>
            <w:tcW w:w="2062" w:type="dxa"/>
            <w:vAlign w:val="center"/>
          </w:tcPr>
          <w:p w14:paraId="14424AF1" w14:textId="54369E4C" w:rsidR="00046D64" w:rsidRPr="00006F36" w:rsidRDefault="00C61A59" w:rsidP="00C61A59">
            <w:pPr>
              <w:pStyle w:val="TableText0"/>
              <w:rPr>
                <w:b/>
                <w:bCs w:val="0"/>
                <w:szCs w:val="20"/>
              </w:rPr>
            </w:pPr>
            <w:r w:rsidRPr="00006F36">
              <w:rPr>
                <w:b/>
                <w:bCs w:val="0"/>
                <w:snapToGrid w:val="0"/>
              </w:rPr>
              <w:t xml:space="preserve">Dispensed Price for Max. Qty </w:t>
            </w:r>
          </w:p>
        </w:tc>
        <w:tc>
          <w:tcPr>
            <w:tcW w:w="812" w:type="dxa"/>
            <w:vAlign w:val="center"/>
          </w:tcPr>
          <w:p w14:paraId="4E41A9BC" w14:textId="0E3A90D0" w:rsidR="00046D64" w:rsidRPr="00006F36" w:rsidRDefault="00046D64" w:rsidP="00A2021E">
            <w:pPr>
              <w:keepLines/>
              <w:jc w:val="center"/>
              <w:rPr>
                <w:rFonts w:ascii="Arial Narrow" w:hAnsi="Arial Narrow"/>
                <w:b/>
                <w:sz w:val="20"/>
                <w:szCs w:val="20"/>
              </w:rPr>
            </w:pPr>
            <w:r w:rsidRPr="00006F36">
              <w:rPr>
                <w:rFonts w:ascii="Arial Narrow" w:hAnsi="Arial Narrow"/>
                <w:b/>
                <w:sz w:val="20"/>
                <w:szCs w:val="20"/>
              </w:rPr>
              <w:t>Max. qty packs</w:t>
            </w:r>
          </w:p>
        </w:tc>
        <w:tc>
          <w:tcPr>
            <w:tcW w:w="811" w:type="dxa"/>
            <w:vAlign w:val="center"/>
          </w:tcPr>
          <w:p w14:paraId="48197540" w14:textId="77777777" w:rsidR="00046D64" w:rsidRPr="00006F36" w:rsidRDefault="00046D64" w:rsidP="00A2021E">
            <w:pPr>
              <w:keepLines/>
              <w:jc w:val="center"/>
              <w:rPr>
                <w:rFonts w:ascii="Arial Narrow" w:hAnsi="Arial Narrow"/>
                <w:b/>
                <w:sz w:val="20"/>
                <w:szCs w:val="20"/>
              </w:rPr>
            </w:pPr>
            <w:r w:rsidRPr="00006F36">
              <w:rPr>
                <w:rFonts w:ascii="Arial Narrow" w:hAnsi="Arial Narrow"/>
                <w:b/>
                <w:sz w:val="20"/>
                <w:szCs w:val="20"/>
              </w:rPr>
              <w:t>Max. qty units</w:t>
            </w:r>
          </w:p>
        </w:tc>
        <w:tc>
          <w:tcPr>
            <w:tcW w:w="812" w:type="dxa"/>
            <w:vAlign w:val="center"/>
          </w:tcPr>
          <w:p w14:paraId="13B3FDEE" w14:textId="77777777" w:rsidR="00046D64" w:rsidRPr="00006F36" w:rsidRDefault="00046D64" w:rsidP="00A2021E">
            <w:pPr>
              <w:keepLines/>
              <w:jc w:val="center"/>
              <w:rPr>
                <w:rFonts w:ascii="Arial Narrow" w:hAnsi="Arial Narrow"/>
                <w:b/>
                <w:sz w:val="20"/>
                <w:szCs w:val="20"/>
              </w:rPr>
            </w:pPr>
            <w:r w:rsidRPr="00006F36">
              <w:rPr>
                <w:rFonts w:ascii="Arial Narrow" w:hAnsi="Arial Narrow"/>
                <w:b/>
                <w:sz w:val="20"/>
                <w:szCs w:val="20"/>
              </w:rPr>
              <w:t>№.of</w:t>
            </w:r>
          </w:p>
          <w:p w14:paraId="7B215997" w14:textId="77777777" w:rsidR="00046D64" w:rsidRPr="00006F36" w:rsidRDefault="00046D64" w:rsidP="00A2021E">
            <w:pPr>
              <w:keepLines/>
              <w:jc w:val="center"/>
              <w:rPr>
                <w:rFonts w:ascii="Arial Narrow" w:hAnsi="Arial Narrow"/>
                <w:b/>
                <w:sz w:val="20"/>
                <w:szCs w:val="20"/>
              </w:rPr>
            </w:pPr>
            <w:r w:rsidRPr="00006F36">
              <w:rPr>
                <w:rFonts w:ascii="Arial Narrow" w:hAnsi="Arial Narrow"/>
                <w:b/>
                <w:sz w:val="20"/>
                <w:szCs w:val="20"/>
              </w:rPr>
              <w:t>Rpts</w:t>
            </w:r>
          </w:p>
        </w:tc>
        <w:tc>
          <w:tcPr>
            <w:tcW w:w="1831" w:type="dxa"/>
            <w:vAlign w:val="center"/>
          </w:tcPr>
          <w:p w14:paraId="4976F6A8" w14:textId="77777777" w:rsidR="00046D64" w:rsidRPr="00006F36" w:rsidRDefault="00046D64" w:rsidP="00A2021E">
            <w:pPr>
              <w:keepLines/>
              <w:rPr>
                <w:rFonts w:ascii="Arial Narrow" w:hAnsi="Arial Narrow"/>
                <w:b/>
                <w:sz w:val="20"/>
                <w:szCs w:val="20"/>
              </w:rPr>
            </w:pPr>
            <w:r w:rsidRPr="00006F36">
              <w:rPr>
                <w:rFonts w:ascii="Arial Narrow" w:hAnsi="Arial Narrow"/>
                <w:b/>
                <w:sz w:val="20"/>
                <w:szCs w:val="20"/>
              </w:rPr>
              <w:t>Available brands</w:t>
            </w:r>
          </w:p>
        </w:tc>
      </w:tr>
      <w:tr w:rsidR="00046D64" w:rsidRPr="00006F36" w14:paraId="40C1AD8E" w14:textId="77777777" w:rsidTr="00A2021E">
        <w:trPr>
          <w:cantSplit/>
          <w:trHeight w:val="20"/>
        </w:trPr>
        <w:tc>
          <w:tcPr>
            <w:tcW w:w="9017" w:type="dxa"/>
            <w:gridSpan w:val="6"/>
            <w:vAlign w:val="center"/>
          </w:tcPr>
          <w:p w14:paraId="2A4C00A6" w14:textId="46991BCA" w:rsidR="00046D64" w:rsidRPr="00006F36" w:rsidRDefault="00273F30" w:rsidP="00A2021E">
            <w:pPr>
              <w:pStyle w:val="TableText0"/>
              <w:rPr>
                <w:rFonts w:cs="Arial"/>
                <w:szCs w:val="20"/>
              </w:rPr>
            </w:pPr>
            <w:r w:rsidRPr="00006F36">
              <w:t>MIGALASTAT</w:t>
            </w:r>
          </w:p>
        </w:tc>
      </w:tr>
      <w:tr w:rsidR="002C36E3" w:rsidRPr="00006F36" w14:paraId="1DC2CC67" w14:textId="77777777" w:rsidTr="001863B5">
        <w:trPr>
          <w:cantSplit/>
          <w:trHeight w:val="20"/>
        </w:trPr>
        <w:tc>
          <w:tcPr>
            <w:tcW w:w="2689" w:type="dxa"/>
            <w:vAlign w:val="center"/>
          </w:tcPr>
          <w:p w14:paraId="612C04D7" w14:textId="7089880A" w:rsidR="002C36E3" w:rsidRPr="00006F36" w:rsidRDefault="00023CD8" w:rsidP="002C36E3">
            <w:pPr>
              <w:keepLines/>
              <w:rPr>
                <w:rFonts w:ascii="Arial Narrow" w:hAnsi="Arial Narrow"/>
                <w:color w:val="0066FF"/>
                <w:sz w:val="20"/>
                <w:szCs w:val="20"/>
              </w:rPr>
            </w:pPr>
            <w:r w:rsidRPr="00006F36">
              <w:rPr>
                <w:rFonts w:ascii="Arial Narrow" w:hAnsi="Arial Narrow"/>
                <w:sz w:val="20"/>
                <w:szCs w:val="20"/>
              </w:rPr>
              <w:t>Migalastat 123 mg capsules, 14</w:t>
            </w:r>
          </w:p>
        </w:tc>
        <w:tc>
          <w:tcPr>
            <w:tcW w:w="2062" w:type="dxa"/>
          </w:tcPr>
          <w:p w14:paraId="768CBFE8" w14:textId="2F7F3D76" w:rsidR="002C36E3" w:rsidRPr="00006F36" w:rsidRDefault="001863B5" w:rsidP="002C36E3">
            <w:pPr>
              <w:pStyle w:val="TableText0"/>
              <w:jc w:val="center"/>
            </w:pPr>
            <w:r w:rsidRPr="00006F36">
              <w:t xml:space="preserve">Published </w:t>
            </w:r>
            <w:r w:rsidR="002C36E3" w:rsidRPr="00006F36">
              <w:t>$</w:t>
            </w:r>
            <w:r w:rsidR="00FA7679" w:rsidRPr="00006F36">
              <w:t>28,075.98</w:t>
            </w:r>
          </w:p>
          <w:p w14:paraId="70C2874A" w14:textId="671CC4FE" w:rsidR="002C36E3" w:rsidRPr="00006F36" w:rsidRDefault="001863B5" w:rsidP="002C36E3">
            <w:pPr>
              <w:pStyle w:val="TableText0"/>
              <w:jc w:val="center"/>
              <w:rPr>
                <w:szCs w:val="20"/>
              </w:rPr>
            </w:pPr>
            <w:r w:rsidRPr="00006F36">
              <w:t xml:space="preserve">Effective </w:t>
            </w:r>
            <w:r w:rsidR="002C36E3" w:rsidRPr="00006F36">
              <w:t>$</w:t>
            </w:r>
            <w:r w:rsidR="00494449" w:rsidRPr="00494449">
              <w:rPr>
                <w:color w:val="000000"/>
                <w:shd w:val="solid" w:color="000000" w:fill="000000"/>
                <w14:textFill>
                  <w14:solidFill>
                    <w14:srgbClr w14:val="000000">
                      <w14:alpha w14:val="100000"/>
                    </w14:srgbClr>
                  </w14:solidFill>
                </w14:textFill>
              </w:rPr>
              <w:t>|</w:t>
            </w:r>
          </w:p>
        </w:tc>
        <w:tc>
          <w:tcPr>
            <w:tcW w:w="812" w:type="dxa"/>
            <w:vAlign w:val="center"/>
          </w:tcPr>
          <w:p w14:paraId="71CD2441" w14:textId="40B814F9" w:rsidR="002C36E3" w:rsidRPr="00006F36" w:rsidRDefault="00A93519" w:rsidP="002C36E3">
            <w:pPr>
              <w:keepLines/>
              <w:jc w:val="center"/>
              <w:rPr>
                <w:rFonts w:ascii="Arial Narrow" w:hAnsi="Arial Narrow"/>
                <w:sz w:val="20"/>
                <w:szCs w:val="20"/>
              </w:rPr>
            </w:pPr>
            <w:r w:rsidRPr="00006F36">
              <w:rPr>
                <w:rFonts w:ascii="Arial Narrow" w:hAnsi="Arial Narrow"/>
                <w:sz w:val="20"/>
              </w:rPr>
              <w:t>1</w:t>
            </w:r>
          </w:p>
        </w:tc>
        <w:tc>
          <w:tcPr>
            <w:tcW w:w="811" w:type="dxa"/>
            <w:vAlign w:val="center"/>
          </w:tcPr>
          <w:p w14:paraId="65F4D3E9" w14:textId="636F2EE1" w:rsidR="002C36E3" w:rsidRPr="00006F36" w:rsidRDefault="00A93519" w:rsidP="002C36E3">
            <w:pPr>
              <w:keepLines/>
              <w:jc w:val="center"/>
              <w:rPr>
                <w:rFonts w:ascii="Arial Narrow" w:hAnsi="Arial Narrow"/>
                <w:sz w:val="20"/>
                <w:szCs w:val="20"/>
              </w:rPr>
            </w:pPr>
            <w:r w:rsidRPr="00006F36">
              <w:rPr>
                <w:rFonts w:ascii="Arial Narrow" w:hAnsi="Arial Narrow"/>
                <w:sz w:val="20"/>
              </w:rPr>
              <w:t>14</w:t>
            </w:r>
          </w:p>
        </w:tc>
        <w:tc>
          <w:tcPr>
            <w:tcW w:w="812" w:type="dxa"/>
            <w:vAlign w:val="center"/>
          </w:tcPr>
          <w:p w14:paraId="7C728D0C" w14:textId="5F41DA03" w:rsidR="002C36E3" w:rsidRPr="00006F36" w:rsidRDefault="00A93519" w:rsidP="002C36E3">
            <w:pPr>
              <w:keepLines/>
              <w:jc w:val="center"/>
              <w:rPr>
                <w:rFonts w:ascii="Arial Narrow" w:hAnsi="Arial Narrow"/>
                <w:sz w:val="20"/>
                <w:szCs w:val="20"/>
              </w:rPr>
            </w:pPr>
            <w:r w:rsidRPr="00006F36">
              <w:rPr>
                <w:rFonts w:ascii="Arial Narrow" w:hAnsi="Arial Narrow"/>
                <w:sz w:val="20"/>
              </w:rPr>
              <w:t>5</w:t>
            </w:r>
          </w:p>
        </w:tc>
        <w:tc>
          <w:tcPr>
            <w:tcW w:w="1831" w:type="dxa"/>
            <w:vAlign w:val="center"/>
          </w:tcPr>
          <w:p w14:paraId="519A0BC8" w14:textId="32A55676" w:rsidR="002C36E3" w:rsidRPr="00006F36" w:rsidRDefault="00023CD8" w:rsidP="002C36E3">
            <w:pPr>
              <w:keepLines/>
              <w:rPr>
                <w:rFonts w:ascii="Arial Narrow" w:hAnsi="Arial Narrow"/>
                <w:color w:val="0066FF"/>
                <w:sz w:val="20"/>
                <w:szCs w:val="20"/>
              </w:rPr>
            </w:pPr>
            <w:r w:rsidRPr="00006F36">
              <w:rPr>
                <w:rFonts w:ascii="Arial Narrow" w:hAnsi="Arial Narrow"/>
                <w:sz w:val="20"/>
                <w:szCs w:val="20"/>
              </w:rPr>
              <w:t>Galafold</w:t>
            </w:r>
          </w:p>
        </w:tc>
      </w:tr>
      <w:bookmarkEnd w:id="13"/>
    </w:tbl>
    <w:p w14:paraId="210B3796" w14:textId="12D5EEC6" w:rsidR="00046D64" w:rsidRPr="00006F36" w:rsidRDefault="00046D64" w:rsidP="004B1C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3A4C14" w:rsidRPr="00006F36" w14:paraId="3EE8ABAE" w14:textId="77777777" w:rsidTr="003A4C14">
        <w:trPr>
          <w:cantSplit/>
          <w:trHeight w:val="20"/>
        </w:trPr>
        <w:tc>
          <w:tcPr>
            <w:tcW w:w="5000" w:type="pct"/>
          </w:tcPr>
          <w:p w14:paraId="3B622315" w14:textId="0C1AE7DA" w:rsidR="003A4C14" w:rsidRPr="00006F36" w:rsidRDefault="003A4C14" w:rsidP="002C36E3">
            <w:pPr>
              <w:pStyle w:val="TableText0"/>
              <w:keepLines/>
            </w:pPr>
            <w:bookmarkStart w:id="14" w:name="_Hlk104809470"/>
            <w:r w:rsidRPr="00006F36">
              <w:rPr>
                <w:b/>
              </w:rPr>
              <w:t xml:space="preserve">Category / Program: </w:t>
            </w:r>
            <w:r w:rsidRPr="00006F36">
              <w:t>General Schedule</w:t>
            </w:r>
          </w:p>
        </w:tc>
      </w:tr>
      <w:tr w:rsidR="003A4C14" w:rsidRPr="00006F36" w14:paraId="09416ED3" w14:textId="77777777" w:rsidTr="003A4C14">
        <w:trPr>
          <w:cantSplit/>
          <w:trHeight w:val="20"/>
        </w:trPr>
        <w:tc>
          <w:tcPr>
            <w:tcW w:w="5000" w:type="pct"/>
          </w:tcPr>
          <w:p w14:paraId="7D2ED8D5" w14:textId="739ED437" w:rsidR="003A4C14" w:rsidRPr="00006F36" w:rsidRDefault="003A4C14" w:rsidP="002C36E3">
            <w:pPr>
              <w:pStyle w:val="TableText0"/>
              <w:keepLines/>
              <w:rPr>
                <w:b/>
              </w:rPr>
            </w:pPr>
            <w:r w:rsidRPr="00006F36">
              <w:rPr>
                <w:b/>
              </w:rPr>
              <w:t xml:space="preserve">Prescriber type: </w:t>
            </w:r>
            <w:r w:rsidRPr="00006F36">
              <w:fldChar w:fldCharType="begin" w:fldLock="1">
                <w:ffData>
                  <w:name w:val="Check1"/>
                  <w:enabled/>
                  <w:calcOnExit w:val="0"/>
                  <w:checkBox>
                    <w:sizeAuto/>
                    <w:default w:val="0"/>
                  </w:checkBox>
                </w:ffData>
              </w:fldChar>
            </w:r>
            <w:r w:rsidRPr="00006F36">
              <w:instrText xml:space="preserve"> FORMCHECKBOX </w:instrText>
            </w:r>
            <w:r w:rsidR="00177590">
              <w:fldChar w:fldCharType="separate"/>
            </w:r>
            <w:r w:rsidRPr="00006F36">
              <w:fldChar w:fldCharType="end"/>
            </w:r>
            <w:r w:rsidRPr="00006F36">
              <w:t xml:space="preserve">Dental </w:t>
            </w:r>
            <w:r w:rsidR="00125C2F" w:rsidRPr="00006F36">
              <w:fldChar w:fldCharType="begin" w:fldLock="1">
                <w:ffData>
                  <w:name w:val=""/>
                  <w:enabled/>
                  <w:calcOnExit w:val="0"/>
                  <w:checkBox>
                    <w:sizeAuto/>
                    <w:default w:val="1"/>
                  </w:checkBox>
                </w:ffData>
              </w:fldChar>
            </w:r>
            <w:r w:rsidR="00125C2F" w:rsidRPr="00006F36">
              <w:instrText xml:space="preserve"> FORMCHECKBOX </w:instrText>
            </w:r>
            <w:r w:rsidR="00177590">
              <w:fldChar w:fldCharType="separate"/>
            </w:r>
            <w:r w:rsidR="00125C2F" w:rsidRPr="00006F36">
              <w:fldChar w:fldCharType="end"/>
            </w:r>
            <w:r w:rsidRPr="00006F36">
              <w:t xml:space="preserve">Medical Practitioners </w:t>
            </w:r>
            <w:r w:rsidRPr="00006F36">
              <w:fldChar w:fldCharType="begin" w:fldLock="1">
                <w:ffData>
                  <w:name w:val="Check3"/>
                  <w:enabled/>
                  <w:calcOnExit w:val="0"/>
                  <w:checkBox>
                    <w:sizeAuto/>
                    <w:default w:val="0"/>
                  </w:checkBox>
                </w:ffData>
              </w:fldChar>
            </w:r>
            <w:r w:rsidRPr="00006F36">
              <w:instrText xml:space="preserve"> FORMCHECKBOX </w:instrText>
            </w:r>
            <w:r w:rsidR="00177590">
              <w:fldChar w:fldCharType="separate"/>
            </w:r>
            <w:r w:rsidRPr="00006F36">
              <w:fldChar w:fldCharType="end"/>
            </w:r>
            <w:r w:rsidRPr="00006F36">
              <w:t xml:space="preserve">Nurse practitioners </w:t>
            </w:r>
            <w:r w:rsidRPr="00006F36">
              <w:fldChar w:fldCharType="begin" w:fldLock="1">
                <w:ffData>
                  <w:name w:val=""/>
                  <w:enabled/>
                  <w:calcOnExit w:val="0"/>
                  <w:checkBox>
                    <w:sizeAuto/>
                    <w:default w:val="0"/>
                  </w:checkBox>
                </w:ffData>
              </w:fldChar>
            </w:r>
            <w:r w:rsidRPr="00006F36">
              <w:instrText xml:space="preserve"> FORMCHECKBOX </w:instrText>
            </w:r>
            <w:r w:rsidR="00177590">
              <w:fldChar w:fldCharType="separate"/>
            </w:r>
            <w:r w:rsidRPr="00006F36">
              <w:fldChar w:fldCharType="end"/>
            </w:r>
            <w:r w:rsidRPr="00006F36">
              <w:t xml:space="preserve">Optometrists </w:t>
            </w:r>
            <w:r w:rsidRPr="00006F36">
              <w:fldChar w:fldCharType="begin" w:fldLock="1">
                <w:ffData>
                  <w:name w:val="Check5"/>
                  <w:enabled/>
                  <w:calcOnExit w:val="0"/>
                  <w:checkBox>
                    <w:sizeAuto/>
                    <w:default w:val="0"/>
                  </w:checkBox>
                </w:ffData>
              </w:fldChar>
            </w:r>
            <w:r w:rsidRPr="00006F36">
              <w:instrText xml:space="preserve"> FORMCHECKBOX </w:instrText>
            </w:r>
            <w:r w:rsidR="00177590">
              <w:fldChar w:fldCharType="separate"/>
            </w:r>
            <w:r w:rsidRPr="00006F36">
              <w:fldChar w:fldCharType="end"/>
            </w:r>
          </w:p>
        </w:tc>
      </w:tr>
      <w:tr w:rsidR="003A4C14" w:rsidRPr="00006F36" w14:paraId="070CFDD2" w14:textId="77777777" w:rsidTr="003A4C14">
        <w:trPr>
          <w:cantSplit/>
          <w:trHeight w:val="20"/>
        </w:trPr>
        <w:tc>
          <w:tcPr>
            <w:tcW w:w="5000" w:type="pct"/>
          </w:tcPr>
          <w:p w14:paraId="3320A955" w14:textId="4F126D65" w:rsidR="003A4C14" w:rsidRPr="00006F36" w:rsidRDefault="003A4C14" w:rsidP="002C36E3">
            <w:pPr>
              <w:pStyle w:val="TableText0"/>
              <w:keepLines/>
              <w:rPr>
                <w:rFonts w:eastAsia="Times New Roman"/>
              </w:rPr>
            </w:pPr>
            <w:r w:rsidRPr="00006F36">
              <w:rPr>
                <w:b/>
              </w:rPr>
              <w:t xml:space="preserve">Restriction type: </w:t>
            </w:r>
            <w:r w:rsidR="00125C2F" w:rsidRPr="00006F36">
              <w:rPr>
                <w:rFonts w:eastAsia="Times New Roman"/>
              </w:rPr>
              <w:fldChar w:fldCharType="begin" w:fldLock="1">
                <w:ffData>
                  <w:name w:val=""/>
                  <w:enabled/>
                  <w:calcOnExit w:val="0"/>
                  <w:checkBox>
                    <w:sizeAuto/>
                    <w:default w:val="1"/>
                  </w:checkBox>
                </w:ffData>
              </w:fldChar>
            </w:r>
            <w:r w:rsidR="00125C2F" w:rsidRPr="00006F36">
              <w:rPr>
                <w:rFonts w:eastAsia="Times New Roman"/>
              </w:rPr>
              <w:instrText xml:space="preserve"> FORMCHECKBOX </w:instrText>
            </w:r>
            <w:r w:rsidR="00177590">
              <w:rPr>
                <w:rFonts w:eastAsia="Times New Roman"/>
              </w:rPr>
            </w:r>
            <w:r w:rsidR="00177590">
              <w:rPr>
                <w:rFonts w:eastAsia="Times New Roman"/>
              </w:rPr>
              <w:fldChar w:fldCharType="separate"/>
            </w:r>
            <w:r w:rsidR="00125C2F" w:rsidRPr="00006F36">
              <w:rPr>
                <w:rFonts w:eastAsia="Times New Roman"/>
              </w:rPr>
              <w:fldChar w:fldCharType="end"/>
            </w:r>
            <w:r w:rsidRPr="00006F36">
              <w:rPr>
                <w:rFonts w:eastAsia="Times New Roman"/>
              </w:rPr>
              <w:t>Authority Required (in writing only via post/HPOS upload)</w:t>
            </w:r>
            <w:r w:rsidR="00D12810">
              <w:rPr>
                <w:rFonts w:eastAsia="Times New Roman"/>
              </w:rPr>
              <w:t xml:space="preserve"> </w:t>
            </w:r>
          </w:p>
        </w:tc>
      </w:tr>
      <w:tr w:rsidR="003A4C14" w:rsidRPr="00006F36" w14:paraId="5BFE3347" w14:textId="77777777" w:rsidTr="003A4C14">
        <w:trPr>
          <w:cantSplit/>
          <w:trHeight w:val="20"/>
        </w:trPr>
        <w:tc>
          <w:tcPr>
            <w:tcW w:w="5000" w:type="pct"/>
            <w:vAlign w:val="center"/>
            <w:hideMark/>
          </w:tcPr>
          <w:p w14:paraId="3296BDDA" w14:textId="7ADACDA4" w:rsidR="003A4C14" w:rsidRPr="00006F36" w:rsidRDefault="003A4C14" w:rsidP="002C36E3">
            <w:pPr>
              <w:pStyle w:val="TableText0"/>
              <w:keepLines/>
            </w:pPr>
            <w:r w:rsidRPr="00006F36">
              <w:rPr>
                <w:b/>
              </w:rPr>
              <w:t>Indication:</w:t>
            </w:r>
            <w:r w:rsidRPr="00006F36">
              <w:t xml:space="preserve"> </w:t>
            </w:r>
            <w:r w:rsidR="00A90F83" w:rsidRPr="00006F36">
              <w:t xml:space="preserve">Fabry disease </w:t>
            </w:r>
          </w:p>
        </w:tc>
      </w:tr>
      <w:tr w:rsidR="003A4C14" w:rsidRPr="00006F36" w14:paraId="7A6417F7" w14:textId="77777777" w:rsidTr="003A4C14">
        <w:trPr>
          <w:cantSplit/>
          <w:trHeight w:val="20"/>
        </w:trPr>
        <w:tc>
          <w:tcPr>
            <w:tcW w:w="5000" w:type="pct"/>
            <w:vAlign w:val="center"/>
            <w:hideMark/>
          </w:tcPr>
          <w:p w14:paraId="655B4B49" w14:textId="5C3B4662" w:rsidR="003A4C14" w:rsidRPr="00006F36" w:rsidRDefault="003A4C14" w:rsidP="002C36E3">
            <w:pPr>
              <w:pStyle w:val="TableText0"/>
              <w:keepLines/>
            </w:pPr>
            <w:r w:rsidRPr="00006F36">
              <w:rPr>
                <w:b/>
              </w:rPr>
              <w:t>Treatment Phase:</w:t>
            </w:r>
            <w:r w:rsidRPr="00006F36">
              <w:t xml:space="preserve"> </w:t>
            </w:r>
            <w:r w:rsidR="00552450" w:rsidRPr="00006F36">
              <w:rPr>
                <w:bCs w:val="0"/>
              </w:rPr>
              <w:t>Initiation treatment</w:t>
            </w:r>
          </w:p>
        </w:tc>
      </w:tr>
      <w:tr w:rsidR="003A4C14" w:rsidRPr="00006F36" w14:paraId="3ABBD2EC" w14:textId="77777777" w:rsidTr="003A4C14">
        <w:trPr>
          <w:cantSplit/>
          <w:trHeight w:val="20"/>
        </w:trPr>
        <w:tc>
          <w:tcPr>
            <w:tcW w:w="5000" w:type="pct"/>
            <w:vAlign w:val="center"/>
            <w:hideMark/>
          </w:tcPr>
          <w:p w14:paraId="5D485398" w14:textId="77777777" w:rsidR="003A4C14" w:rsidRPr="00006F36" w:rsidRDefault="003A4C14" w:rsidP="002C36E3">
            <w:pPr>
              <w:pStyle w:val="TableText0"/>
              <w:keepLines/>
            </w:pPr>
            <w:r w:rsidRPr="00006F36">
              <w:rPr>
                <w:b/>
              </w:rPr>
              <w:t>Clinical criteria:</w:t>
            </w:r>
          </w:p>
        </w:tc>
      </w:tr>
      <w:tr w:rsidR="003A4C14" w:rsidRPr="00006F36" w14:paraId="26BA494C" w14:textId="77777777" w:rsidTr="003A4C14">
        <w:trPr>
          <w:cantSplit/>
          <w:trHeight w:val="20"/>
        </w:trPr>
        <w:tc>
          <w:tcPr>
            <w:tcW w:w="5000" w:type="pct"/>
            <w:vAlign w:val="center"/>
            <w:hideMark/>
          </w:tcPr>
          <w:p w14:paraId="2265F252" w14:textId="77777777" w:rsidR="00913460" w:rsidRPr="00006F36" w:rsidRDefault="00913460" w:rsidP="00913460">
            <w:pPr>
              <w:pStyle w:val="PBACTabletext"/>
              <w:rPr>
                <w:bCs/>
              </w:rPr>
            </w:pPr>
            <w:r w:rsidRPr="00006F36">
              <w:rPr>
                <w:color w:val="333333"/>
              </w:rPr>
              <w:t xml:space="preserve">Patient must have at least one of (i) documented specific deficiency of alpha- galactosidase enzyme activity in </w:t>
            </w:r>
            <w:r w:rsidRPr="00006F36">
              <w:t>blood or white cells, (ii)</w:t>
            </w:r>
            <w:r w:rsidRPr="00006F36">
              <w:rPr>
                <w:b/>
                <w:bCs/>
              </w:rPr>
              <w:t xml:space="preserve"> </w:t>
            </w:r>
            <w:r w:rsidRPr="00006F36">
              <w:t>presence of genetic mutations known to result in deficiency of alpha-galactosidase enzyme activity.</w:t>
            </w:r>
          </w:p>
          <w:p w14:paraId="3C0E07A2" w14:textId="77777777" w:rsidR="00913460" w:rsidRPr="00006F36" w:rsidRDefault="00913460" w:rsidP="00913460">
            <w:pPr>
              <w:pStyle w:val="PBACTabletext"/>
              <w:keepNext w:val="0"/>
              <w:keepLines w:val="0"/>
              <w:rPr>
                <w:b/>
                <w:bCs/>
                <w:color w:val="333333"/>
              </w:rPr>
            </w:pPr>
            <w:r w:rsidRPr="00006F36">
              <w:rPr>
                <w:b/>
                <w:bCs/>
                <w:color w:val="333333"/>
              </w:rPr>
              <w:t>AND</w:t>
            </w:r>
          </w:p>
          <w:p w14:paraId="0147B583" w14:textId="77777777" w:rsidR="00913460" w:rsidRPr="00006F36" w:rsidRDefault="00913460" w:rsidP="00913460">
            <w:pPr>
              <w:pStyle w:val="PBACTabletext"/>
              <w:keepNext w:val="0"/>
              <w:keepLines w:val="0"/>
              <w:rPr>
                <w:b/>
                <w:bCs/>
                <w:color w:val="333333"/>
              </w:rPr>
            </w:pPr>
            <w:r w:rsidRPr="00006F36">
              <w:rPr>
                <w:color w:val="333333"/>
              </w:rPr>
              <w:t>Patient must have a documented migalastat amenable GLA gene variant with an eGFR of at least 30 mL/min/1.73 m².</w:t>
            </w:r>
          </w:p>
          <w:p w14:paraId="59A5F415" w14:textId="77777777" w:rsidR="00913460" w:rsidRPr="00006F36" w:rsidRDefault="00913460" w:rsidP="00913460">
            <w:pPr>
              <w:pStyle w:val="PBACTabletext"/>
              <w:keepNext w:val="0"/>
              <w:keepLines w:val="0"/>
              <w:rPr>
                <w:color w:val="333333"/>
              </w:rPr>
            </w:pPr>
            <w:r w:rsidRPr="00006F36">
              <w:rPr>
                <w:b/>
                <w:bCs/>
                <w:color w:val="333333"/>
              </w:rPr>
              <w:t>AND</w:t>
            </w:r>
          </w:p>
          <w:p w14:paraId="4E91B2C1" w14:textId="77777777" w:rsidR="00913460" w:rsidRPr="00006F36" w:rsidRDefault="00913460" w:rsidP="00947AB2">
            <w:pPr>
              <w:pStyle w:val="PBACTabletext"/>
              <w:keepNext w:val="0"/>
              <w:keepLines w:val="0"/>
              <w:numPr>
                <w:ilvl w:val="0"/>
                <w:numId w:val="8"/>
              </w:numPr>
            </w:pPr>
            <w:r w:rsidRPr="00006F36">
              <w:rPr>
                <w:color w:val="333333"/>
              </w:rPr>
              <w:t>Patient must be male</w:t>
            </w:r>
            <w:r w:rsidRPr="00006F36">
              <w:t xml:space="preserve">, with non-classical Fabry disease, and have Fabry related renal disease confirmed by at least one of the following: (i) abnormal albumin (&gt; 20µg/min), as determined by 2 separate samples at least 24 hours apart, (ii) abnormal protein excretion (&gt;150mg/24 hours), (iii) albumin: creatinine ratio greater than upper limit of normal in 2 separate samples at least 24 hours apart, (iv) renal disease due to long-term accumulation of glycosphingolipids in the kidneys. </w:t>
            </w:r>
            <w:r w:rsidRPr="00006F36">
              <w:rPr>
                <w:b/>
                <w:bCs/>
              </w:rPr>
              <w:t>OR</w:t>
            </w:r>
          </w:p>
          <w:p w14:paraId="1A6860D4" w14:textId="77777777" w:rsidR="00D12810" w:rsidRDefault="00913460" w:rsidP="00947AB2">
            <w:pPr>
              <w:pStyle w:val="PBACTabletext"/>
              <w:keepNext w:val="0"/>
              <w:keepLines w:val="0"/>
              <w:numPr>
                <w:ilvl w:val="0"/>
                <w:numId w:val="8"/>
              </w:numPr>
              <w:rPr>
                <w:b/>
                <w:bCs/>
              </w:rPr>
            </w:pPr>
            <w:r w:rsidRPr="00006F36">
              <w:t xml:space="preserve">Patient must be female, with non-classical Fabry disease, have Fabry related renal disease confirmed by at least one of the following: (i) proteinuria &gt;300mg/24 hours with clinical evidence of progression, (ii) renal disease due to long-term accumulation of glycosphingolipids in the kidneys. </w:t>
            </w:r>
            <w:r w:rsidRPr="00006F36">
              <w:rPr>
                <w:b/>
                <w:bCs/>
              </w:rPr>
              <w:t>OR</w:t>
            </w:r>
          </w:p>
          <w:p w14:paraId="3A81DFCA" w14:textId="3944AB32" w:rsidR="00913460" w:rsidRPr="00006F36" w:rsidRDefault="00913460" w:rsidP="00947AB2">
            <w:pPr>
              <w:pStyle w:val="PBACTabletext"/>
              <w:keepNext w:val="0"/>
              <w:keepLines w:val="0"/>
              <w:numPr>
                <w:ilvl w:val="0"/>
                <w:numId w:val="8"/>
              </w:numPr>
            </w:pPr>
            <w:r w:rsidRPr="00006F36">
              <w:t xml:space="preserve">Patient must have non-classical Fabry disease, and Fabry-related cardiac disease confirmed by at least one of the following: (i) Left ventricular hypertrophy, as evidenced by cardiac MRI or echocardiogram data, in the absence of hypertension, (ii) Significant life-threatening arrhythmia or conduction defect. </w:t>
            </w:r>
            <w:r w:rsidRPr="00006F36">
              <w:rPr>
                <w:b/>
                <w:bCs/>
              </w:rPr>
              <w:t>OR</w:t>
            </w:r>
          </w:p>
          <w:p w14:paraId="2373164F" w14:textId="77777777" w:rsidR="00913460" w:rsidRPr="00006F36" w:rsidRDefault="00913460" w:rsidP="00947AB2">
            <w:pPr>
              <w:pStyle w:val="PBACTabletext"/>
              <w:keepNext w:val="0"/>
              <w:keepLines w:val="0"/>
              <w:numPr>
                <w:ilvl w:val="0"/>
                <w:numId w:val="8"/>
              </w:numPr>
            </w:pPr>
            <w:r w:rsidRPr="00006F36">
              <w:t xml:space="preserve">Patient must have non-classical Fabry disease, and have ischaemic vascular disease as shown on objective testing with no other cause or risk factors identified. </w:t>
            </w:r>
            <w:r w:rsidRPr="00006F36">
              <w:rPr>
                <w:b/>
                <w:bCs/>
              </w:rPr>
              <w:t>OR</w:t>
            </w:r>
          </w:p>
          <w:p w14:paraId="112BAAF2" w14:textId="5AF958E4" w:rsidR="00913460" w:rsidRPr="00006F36" w:rsidRDefault="00913460" w:rsidP="00947AB2">
            <w:pPr>
              <w:pStyle w:val="PBACTabletext"/>
              <w:keepNext w:val="0"/>
              <w:keepLines w:val="0"/>
              <w:numPr>
                <w:ilvl w:val="0"/>
                <w:numId w:val="8"/>
              </w:numPr>
            </w:pPr>
            <w:r w:rsidRPr="00006F36">
              <w:t xml:space="preserve">Patient must have non-classical Fabry </w:t>
            </w:r>
            <w:r w:rsidR="008D4433" w:rsidRPr="00006F36">
              <w:t>disease and</w:t>
            </w:r>
            <w:r w:rsidRPr="00006F36">
              <w:t xml:space="preserve"> have uncontrolled chronic pain despite the use of maximum doses of appropriate analgesia and antiepileptic medications for peripheral neuropathy. </w:t>
            </w:r>
            <w:r w:rsidRPr="00006F36">
              <w:rPr>
                <w:b/>
                <w:bCs/>
              </w:rPr>
              <w:t>OR</w:t>
            </w:r>
          </w:p>
          <w:p w14:paraId="5349BC03" w14:textId="77777777" w:rsidR="00913460" w:rsidRPr="00006F36" w:rsidRDefault="00913460" w:rsidP="00947AB2">
            <w:pPr>
              <w:pStyle w:val="PBACTabletext"/>
              <w:keepNext w:val="0"/>
              <w:keepLines w:val="0"/>
              <w:numPr>
                <w:ilvl w:val="0"/>
                <w:numId w:val="8"/>
              </w:numPr>
            </w:pPr>
            <w:r w:rsidRPr="00006F36">
              <w:t xml:space="preserve">Patient must be male, with classical Fabry disease. </w:t>
            </w:r>
            <w:r w:rsidRPr="00006F36">
              <w:rPr>
                <w:b/>
                <w:bCs/>
              </w:rPr>
              <w:t>OR</w:t>
            </w:r>
          </w:p>
          <w:p w14:paraId="7F0A4A05" w14:textId="77777777" w:rsidR="00D12810" w:rsidRDefault="00913460" w:rsidP="00947AB2">
            <w:pPr>
              <w:pStyle w:val="PBACTabletext"/>
              <w:keepNext w:val="0"/>
              <w:keepLines w:val="0"/>
              <w:numPr>
                <w:ilvl w:val="0"/>
                <w:numId w:val="8"/>
              </w:numPr>
              <w:rPr>
                <w:lang w:eastAsia="en-AU"/>
              </w:rPr>
            </w:pPr>
            <w:r w:rsidRPr="00006F36">
              <w:t xml:space="preserve">Patient must be female, with classical Fabry disease, and have </w:t>
            </w:r>
            <w:r w:rsidRPr="00006F36">
              <w:rPr>
                <w:lang w:eastAsia="en-AU"/>
              </w:rPr>
              <w:t xml:space="preserve">evidence of injury to the kidney, heart or central nervous system that is attributable to Fabry disease. </w:t>
            </w:r>
            <w:r w:rsidRPr="00006F36">
              <w:rPr>
                <w:b/>
                <w:bCs/>
                <w:lang w:eastAsia="en-AU"/>
              </w:rPr>
              <w:t>OR</w:t>
            </w:r>
          </w:p>
          <w:p w14:paraId="1A0AADCD" w14:textId="31575951" w:rsidR="003A4C14" w:rsidRPr="00006F36" w:rsidRDefault="00913460" w:rsidP="00947AB2">
            <w:pPr>
              <w:pStyle w:val="PBACTabletext"/>
              <w:keepNext w:val="0"/>
              <w:keepLines w:val="0"/>
              <w:numPr>
                <w:ilvl w:val="0"/>
                <w:numId w:val="8"/>
              </w:numPr>
            </w:pPr>
            <w:r w:rsidRPr="00006F36">
              <w:t>Patient must be female, with classical Fabry disease, and have significant symptoms from Fabry disease that are affecting their quality of life</w:t>
            </w:r>
          </w:p>
        </w:tc>
      </w:tr>
      <w:tr w:rsidR="003A4C14" w:rsidRPr="00006F36" w14:paraId="1E0CC9FB" w14:textId="77777777" w:rsidTr="003A4C14">
        <w:trPr>
          <w:cantSplit/>
          <w:trHeight w:val="20"/>
        </w:trPr>
        <w:tc>
          <w:tcPr>
            <w:tcW w:w="5000" w:type="pct"/>
            <w:vAlign w:val="center"/>
            <w:hideMark/>
          </w:tcPr>
          <w:p w14:paraId="6E11057F" w14:textId="7F37C297" w:rsidR="003A4C14" w:rsidRPr="00006F36" w:rsidRDefault="003A4C14" w:rsidP="002C36E3">
            <w:pPr>
              <w:pStyle w:val="TableText0"/>
              <w:keepLines/>
            </w:pPr>
            <w:r w:rsidRPr="00006F36">
              <w:rPr>
                <w:b/>
              </w:rPr>
              <w:t>Treatment criteria:</w:t>
            </w:r>
            <w:r w:rsidR="00242943" w:rsidRPr="00006F36">
              <w:rPr>
                <w:b/>
              </w:rPr>
              <w:t xml:space="preserve"> </w:t>
            </w:r>
            <w:r w:rsidR="00242943" w:rsidRPr="00006F36">
              <w:rPr>
                <w:rFonts w:cs="Arial Narrow"/>
              </w:rPr>
              <w:t>Must be treated by a physician with expertise in the management of Fabry disease</w:t>
            </w:r>
          </w:p>
        </w:tc>
      </w:tr>
      <w:tr w:rsidR="00DA4625" w:rsidRPr="00006F36" w14:paraId="7499D438" w14:textId="77777777" w:rsidTr="003A4C14">
        <w:trPr>
          <w:cantSplit/>
          <w:trHeight w:val="20"/>
        </w:trPr>
        <w:tc>
          <w:tcPr>
            <w:tcW w:w="5000" w:type="pct"/>
            <w:vAlign w:val="center"/>
            <w:hideMark/>
          </w:tcPr>
          <w:p w14:paraId="06292C6C" w14:textId="41F85633" w:rsidR="00DA4625" w:rsidRPr="00006F36" w:rsidRDefault="00DA4625" w:rsidP="00DA4625">
            <w:pPr>
              <w:pStyle w:val="TableText0"/>
              <w:keepLines/>
            </w:pPr>
            <w:r w:rsidRPr="00006F36">
              <w:rPr>
                <w:b/>
                <w:color w:val="333333"/>
              </w:rPr>
              <w:t xml:space="preserve">Population criteria: </w:t>
            </w:r>
            <w:r w:rsidRPr="00006F36">
              <w:t>Patient must be at least 12 years of age.</w:t>
            </w:r>
          </w:p>
        </w:tc>
      </w:tr>
      <w:tr w:rsidR="00DA4625" w:rsidRPr="00006F36" w14:paraId="53BCD500" w14:textId="77777777" w:rsidTr="003A4C14">
        <w:trPr>
          <w:cantSplit/>
          <w:trHeight w:val="20"/>
        </w:trPr>
        <w:tc>
          <w:tcPr>
            <w:tcW w:w="5000" w:type="pct"/>
            <w:vAlign w:val="center"/>
          </w:tcPr>
          <w:p w14:paraId="0625D84C" w14:textId="77777777" w:rsidR="00D12810" w:rsidRDefault="00DA4625" w:rsidP="00DA4625">
            <w:pPr>
              <w:pStyle w:val="PBACTabletext"/>
              <w:keepNext w:val="0"/>
              <w:keepLines w:val="0"/>
              <w:rPr>
                <w:color w:val="333333"/>
              </w:rPr>
            </w:pPr>
            <w:r w:rsidRPr="00006F36">
              <w:rPr>
                <w:b/>
                <w:bCs/>
                <w:color w:val="333333"/>
              </w:rPr>
              <w:t>Prescribing Instructions:</w:t>
            </w:r>
          </w:p>
          <w:p w14:paraId="38E56768" w14:textId="48C69A9A" w:rsidR="00DA4625" w:rsidRPr="00006F36" w:rsidRDefault="00DA4625" w:rsidP="00DA4625">
            <w:pPr>
              <w:pStyle w:val="TableText0"/>
              <w:keepLines/>
              <w:rPr>
                <w:color w:val="0066FF"/>
              </w:rPr>
            </w:pPr>
            <w:r w:rsidRPr="00006F36">
              <w:rPr>
                <w:color w:val="333333"/>
              </w:rPr>
              <w:t xml:space="preserve">If hypertension is present in patients with Fabry-related cardiac disease, the prescriber must treat it optimally for at least 6 months prior to submitting PBS application. </w:t>
            </w:r>
          </w:p>
        </w:tc>
      </w:tr>
      <w:bookmarkEnd w:id="14"/>
    </w:tbl>
    <w:p w14:paraId="22BAEBD6" w14:textId="77777777" w:rsidR="00046D64" w:rsidRPr="00006F36" w:rsidRDefault="00046D64" w:rsidP="004B1C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FA31BF" w:rsidRPr="00006F36" w14:paraId="70FD8FAC" w14:textId="77777777" w:rsidTr="00E840ED">
        <w:trPr>
          <w:cantSplit/>
          <w:trHeight w:val="20"/>
        </w:trPr>
        <w:tc>
          <w:tcPr>
            <w:tcW w:w="5000" w:type="pct"/>
          </w:tcPr>
          <w:p w14:paraId="1AE8D344" w14:textId="77777777" w:rsidR="00FA31BF" w:rsidRPr="00006F36" w:rsidRDefault="00FA31BF" w:rsidP="00E840ED">
            <w:pPr>
              <w:pStyle w:val="TableText0"/>
              <w:keepLines/>
            </w:pPr>
            <w:r w:rsidRPr="00006F36">
              <w:rPr>
                <w:b/>
              </w:rPr>
              <w:lastRenderedPageBreak/>
              <w:t xml:space="preserve">Category / Program: </w:t>
            </w:r>
            <w:r w:rsidRPr="00006F36">
              <w:t>General Schedule</w:t>
            </w:r>
          </w:p>
        </w:tc>
      </w:tr>
      <w:tr w:rsidR="00FA31BF" w:rsidRPr="00006F36" w14:paraId="527A9B94" w14:textId="77777777" w:rsidTr="00E840ED">
        <w:trPr>
          <w:cantSplit/>
          <w:trHeight w:val="20"/>
        </w:trPr>
        <w:tc>
          <w:tcPr>
            <w:tcW w:w="5000" w:type="pct"/>
          </w:tcPr>
          <w:p w14:paraId="4A7DAD9F" w14:textId="77777777" w:rsidR="00FA31BF" w:rsidRPr="00006F36" w:rsidRDefault="00FA31BF" w:rsidP="00E840ED">
            <w:pPr>
              <w:pStyle w:val="TableText0"/>
              <w:keepLines/>
              <w:rPr>
                <w:b/>
              </w:rPr>
            </w:pPr>
            <w:r w:rsidRPr="00006F36">
              <w:rPr>
                <w:b/>
              </w:rPr>
              <w:t xml:space="preserve">Prescriber type: </w:t>
            </w:r>
            <w:r w:rsidRPr="00006F36">
              <w:fldChar w:fldCharType="begin" w:fldLock="1">
                <w:ffData>
                  <w:name w:val="Check1"/>
                  <w:enabled/>
                  <w:calcOnExit w:val="0"/>
                  <w:checkBox>
                    <w:sizeAuto/>
                    <w:default w:val="0"/>
                  </w:checkBox>
                </w:ffData>
              </w:fldChar>
            </w:r>
            <w:r w:rsidRPr="00006F36">
              <w:instrText xml:space="preserve"> FORMCHECKBOX </w:instrText>
            </w:r>
            <w:r w:rsidR="00177590">
              <w:fldChar w:fldCharType="separate"/>
            </w:r>
            <w:r w:rsidRPr="00006F36">
              <w:fldChar w:fldCharType="end"/>
            </w:r>
            <w:r w:rsidRPr="00006F36">
              <w:t xml:space="preserve">Dental </w:t>
            </w:r>
            <w:r w:rsidRPr="00006F36">
              <w:fldChar w:fldCharType="begin" w:fldLock="1">
                <w:ffData>
                  <w:name w:val=""/>
                  <w:enabled/>
                  <w:calcOnExit w:val="0"/>
                  <w:checkBox>
                    <w:sizeAuto/>
                    <w:default w:val="1"/>
                  </w:checkBox>
                </w:ffData>
              </w:fldChar>
            </w:r>
            <w:r w:rsidRPr="00006F36">
              <w:instrText xml:space="preserve"> FORMCHECKBOX </w:instrText>
            </w:r>
            <w:r w:rsidR="00177590">
              <w:fldChar w:fldCharType="separate"/>
            </w:r>
            <w:r w:rsidRPr="00006F36">
              <w:fldChar w:fldCharType="end"/>
            </w:r>
            <w:r w:rsidRPr="00006F36">
              <w:t xml:space="preserve">Medical Practitioners </w:t>
            </w:r>
            <w:r w:rsidRPr="00006F36">
              <w:fldChar w:fldCharType="begin" w:fldLock="1">
                <w:ffData>
                  <w:name w:val="Check3"/>
                  <w:enabled/>
                  <w:calcOnExit w:val="0"/>
                  <w:checkBox>
                    <w:sizeAuto/>
                    <w:default w:val="0"/>
                  </w:checkBox>
                </w:ffData>
              </w:fldChar>
            </w:r>
            <w:r w:rsidRPr="00006F36">
              <w:instrText xml:space="preserve"> FORMCHECKBOX </w:instrText>
            </w:r>
            <w:r w:rsidR="00177590">
              <w:fldChar w:fldCharType="separate"/>
            </w:r>
            <w:r w:rsidRPr="00006F36">
              <w:fldChar w:fldCharType="end"/>
            </w:r>
            <w:r w:rsidRPr="00006F36">
              <w:t xml:space="preserve">Nurse practitioners </w:t>
            </w:r>
            <w:r w:rsidRPr="00006F36">
              <w:fldChar w:fldCharType="begin" w:fldLock="1">
                <w:ffData>
                  <w:name w:val=""/>
                  <w:enabled/>
                  <w:calcOnExit w:val="0"/>
                  <w:checkBox>
                    <w:sizeAuto/>
                    <w:default w:val="0"/>
                  </w:checkBox>
                </w:ffData>
              </w:fldChar>
            </w:r>
            <w:r w:rsidRPr="00006F36">
              <w:instrText xml:space="preserve"> FORMCHECKBOX </w:instrText>
            </w:r>
            <w:r w:rsidR="00177590">
              <w:fldChar w:fldCharType="separate"/>
            </w:r>
            <w:r w:rsidRPr="00006F36">
              <w:fldChar w:fldCharType="end"/>
            </w:r>
            <w:r w:rsidRPr="00006F36">
              <w:t xml:space="preserve">Optometrists </w:t>
            </w:r>
            <w:r w:rsidRPr="00006F36">
              <w:fldChar w:fldCharType="begin" w:fldLock="1">
                <w:ffData>
                  <w:name w:val="Check5"/>
                  <w:enabled/>
                  <w:calcOnExit w:val="0"/>
                  <w:checkBox>
                    <w:sizeAuto/>
                    <w:default w:val="0"/>
                  </w:checkBox>
                </w:ffData>
              </w:fldChar>
            </w:r>
            <w:r w:rsidRPr="00006F36">
              <w:instrText xml:space="preserve"> FORMCHECKBOX </w:instrText>
            </w:r>
            <w:r w:rsidR="00177590">
              <w:fldChar w:fldCharType="separate"/>
            </w:r>
            <w:r w:rsidRPr="00006F36">
              <w:fldChar w:fldCharType="end"/>
            </w:r>
          </w:p>
        </w:tc>
      </w:tr>
      <w:tr w:rsidR="00FA31BF" w:rsidRPr="00006F36" w14:paraId="1951BF2D" w14:textId="77777777" w:rsidTr="00E840ED">
        <w:trPr>
          <w:cantSplit/>
          <w:trHeight w:val="20"/>
        </w:trPr>
        <w:tc>
          <w:tcPr>
            <w:tcW w:w="5000" w:type="pct"/>
          </w:tcPr>
          <w:p w14:paraId="44AF6F68" w14:textId="7DE6B75F" w:rsidR="00FA31BF" w:rsidRPr="00006F36" w:rsidRDefault="00FA31BF" w:rsidP="00E840ED">
            <w:pPr>
              <w:pStyle w:val="TableText0"/>
              <w:keepLines/>
              <w:rPr>
                <w:rFonts w:eastAsia="Times New Roman"/>
              </w:rPr>
            </w:pPr>
            <w:r w:rsidRPr="00006F36">
              <w:rPr>
                <w:b/>
              </w:rPr>
              <w:t xml:space="preserve">Restriction type: </w:t>
            </w:r>
            <w:r w:rsidRPr="00006F36">
              <w:rPr>
                <w:rFonts w:eastAsia="Times New Roman"/>
              </w:rPr>
              <w:fldChar w:fldCharType="begin" w:fldLock="1">
                <w:ffData>
                  <w:name w:val=""/>
                  <w:enabled/>
                  <w:calcOnExit w:val="0"/>
                  <w:checkBox>
                    <w:sizeAuto/>
                    <w:default w:val="1"/>
                  </w:checkBox>
                </w:ffData>
              </w:fldChar>
            </w:r>
            <w:r w:rsidRPr="00006F36">
              <w:rPr>
                <w:rFonts w:eastAsia="Times New Roman"/>
              </w:rPr>
              <w:instrText xml:space="preserve"> FORMCHECKBOX </w:instrText>
            </w:r>
            <w:r w:rsidR="00177590">
              <w:rPr>
                <w:rFonts w:eastAsia="Times New Roman"/>
              </w:rPr>
            </w:r>
            <w:r w:rsidR="00177590">
              <w:rPr>
                <w:rFonts w:eastAsia="Times New Roman"/>
              </w:rPr>
              <w:fldChar w:fldCharType="separate"/>
            </w:r>
            <w:r w:rsidRPr="00006F36">
              <w:rPr>
                <w:rFonts w:eastAsia="Times New Roman"/>
              </w:rPr>
              <w:fldChar w:fldCharType="end"/>
            </w:r>
            <w:r w:rsidRPr="00006F36">
              <w:rPr>
                <w:rFonts w:eastAsia="Times New Roman"/>
              </w:rPr>
              <w:t>Authority Required (in writing only via post/HPOS upload)</w:t>
            </w:r>
            <w:r w:rsidR="00D12810">
              <w:rPr>
                <w:rFonts w:eastAsia="Times New Roman"/>
              </w:rPr>
              <w:t xml:space="preserve"> </w:t>
            </w:r>
          </w:p>
        </w:tc>
      </w:tr>
      <w:tr w:rsidR="00FA31BF" w:rsidRPr="00006F36" w14:paraId="5590CE49" w14:textId="77777777" w:rsidTr="00E840ED">
        <w:trPr>
          <w:cantSplit/>
          <w:trHeight w:val="20"/>
        </w:trPr>
        <w:tc>
          <w:tcPr>
            <w:tcW w:w="5000" w:type="pct"/>
            <w:vAlign w:val="center"/>
            <w:hideMark/>
          </w:tcPr>
          <w:p w14:paraId="4922C29D" w14:textId="77777777" w:rsidR="00FA31BF" w:rsidRPr="00006F36" w:rsidRDefault="00FA31BF" w:rsidP="00E840ED">
            <w:pPr>
              <w:pStyle w:val="TableText0"/>
              <w:keepLines/>
            </w:pPr>
            <w:r w:rsidRPr="00006F36">
              <w:rPr>
                <w:b/>
              </w:rPr>
              <w:t>Indication:</w:t>
            </w:r>
            <w:r w:rsidRPr="00006F36">
              <w:t xml:space="preserve"> Fabry disease </w:t>
            </w:r>
          </w:p>
        </w:tc>
      </w:tr>
      <w:tr w:rsidR="00FA31BF" w:rsidRPr="00006F36" w14:paraId="4512491E" w14:textId="77777777" w:rsidTr="00E840ED">
        <w:trPr>
          <w:cantSplit/>
          <w:trHeight w:val="20"/>
        </w:trPr>
        <w:tc>
          <w:tcPr>
            <w:tcW w:w="5000" w:type="pct"/>
            <w:vAlign w:val="center"/>
            <w:hideMark/>
          </w:tcPr>
          <w:p w14:paraId="2F46AAC6" w14:textId="51AFA47C" w:rsidR="00FA31BF" w:rsidRPr="00006F36" w:rsidRDefault="00FA31BF" w:rsidP="00E840ED">
            <w:pPr>
              <w:pStyle w:val="TableText0"/>
              <w:keepLines/>
            </w:pPr>
            <w:r w:rsidRPr="00006F36">
              <w:rPr>
                <w:b/>
              </w:rPr>
              <w:t>Treatment Phase:</w:t>
            </w:r>
            <w:r w:rsidRPr="00006F36">
              <w:t xml:space="preserve"> </w:t>
            </w:r>
            <w:r w:rsidRPr="00006F36">
              <w:rPr>
                <w:bCs w:val="0"/>
              </w:rPr>
              <w:t>Continuing treatment</w:t>
            </w:r>
          </w:p>
        </w:tc>
      </w:tr>
      <w:tr w:rsidR="00FA31BF" w:rsidRPr="00006F36" w14:paraId="3619C995" w14:textId="77777777" w:rsidTr="00E840ED">
        <w:trPr>
          <w:cantSplit/>
          <w:trHeight w:val="20"/>
        </w:trPr>
        <w:tc>
          <w:tcPr>
            <w:tcW w:w="5000" w:type="pct"/>
            <w:vAlign w:val="center"/>
            <w:hideMark/>
          </w:tcPr>
          <w:p w14:paraId="698BDFE8" w14:textId="77777777" w:rsidR="00FA31BF" w:rsidRPr="00006F36" w:rsidRDefault="00FA31BF" w:rsidP="00E840ED">
            <w:pPr>
              <w:pStyle w:val="TableText0"/>
              <w:keepLines/>
            </w:pPr>
            <w:r w:rsidRPr="00006F36">
              <w:rPr>
                <w:b/>
              </w:rPr>
              <w:t>Clinical criteria:</w:t>
            </w:r>
          </w:p>
        </w:tc>
      </w:tr>
      <w:tr w:rsidR="00FA31BF" w:rsidRPr="00006F36" w14:paraId="79B35249" w14:textId="77777777" w:rsidTr="00E840ED">
        <w:trPr>
          <w:cantSplit/>
          <w:trHeight w:val="20"/>
        </w:trPr>
        <w:tc>
          <w:tcPr>
            <w:tcW w:w="5000" w:type="pct"/>
            <w:vAlign w:val="center"/>
            <w:hideMark/>
          </w:tcPr>
          <w:p w14:paraId="44CCD6B2" w14:textId="77777777" w:rsidR="004575BF" w:rsidRPr="00006F36" w:rsidRDefault="004575BF" w:rsidP="004575BF">
            <w:pPr>
              <w:pStyle w:val="PBACTabletext"/>
              <w:keepNext w:val="0"/>
              <w:keepLines w:val="0"/>
              <w:rPr>
                <w:b/>
                <w:bCs/>
                <w:color w:val="333333"/>
              </w:rPr>
            </w:pPr>
            <w:r w:rsidRPr="00006F36">
              <w:rPr>
                <w:b/>
                <w:bCs/>
                <w:color w:val="333333"/>
              </w:rPr>
              <w:t>Clinical criteria:</w:t>
            </w:r>
          </w:p>
          <w:p w14:paraId="015547F4" w14:textId="77777777" w:rsidR="004575BF" w:rsidRPr="00006F36" w:rsidRDefault="004575BF" w:rsidP="004575BF">
            <w:pPr>
              <w:pStyle w:val="PBACTabletext"/>
              <w:keepNext w:val="0"/>
              <w:keepLines w:val="0"/>
              <w:rPr>
                <w:color w:val="333333"/>
              </w:rPr>
            </w:pPr>
            <w:r w:rsidRPr="00006F36">
              <w:rPr>
                <w:color w:val="333333"/>
              </w:rPr>
              <w:t>Patient must have received prior PBS-subsidised treatment with this drug for this condition.</w:t>
            </w:r>
          </w:p>
          <w:p w14:paraId="3FB61496" w14:textId="77777777" w:rsidR="004575BF" w:rsidRPr="00006F36" w:rsidRDefault="004575BF" w:rsidP="004575BF">
            <w:pPr>
              <w:pStyle w:val="PBACTabletext"/>
              <w:keepNext w:val="0"/>
              <w:keepLines w:val="0"/>
              <w:rPr>
                <w:b/>
                <w:bCs/>
                <w:color w:val="333333"/>
              </w:rPr>
            </w:pPr>
            <w:r w:rsidRPr="00006F36">
              <w:rPr>
                <w:b/>
                <w:bCs/>
                <w:color w:val="333333"/>
              </w:rPr>
              <w:t>AND</w:t>
            </w:r>
          </w:p>
          <w:p w14:paraId="47409A21" w14:textId="77777777" w:rsidR="004575BF" w:rsidRPr="00006F36" w:rsidRDefault="004575BF" w:rsidP="004575BF">
            <w:pPr>
              <w:pStyle w:val="PBACTabletext"/>
              <w:keepNext w:val="0"/>
              <w:keepLines w:val="0"/>
              <w:rPr>
                <w:color w:val="333333"/>
              </w:rPr>
            </w:pPr>
            <w:r w:rsidRPr="00006F36">
              <w:rPr>
                <w:color w:val="333333"/>
              </w:rPr>
              <w:t>Patient must have demonstrated clinical improvement or stabilisation of this condition.</w:t>
            </w:r>
          </w:p>
          <w:p w14:paraId="1465CEEA" w14:textId="77777777" w:rsidR="004575BF" w:rsidRPr="00006F36" w:rsidRDefault="004575BF" w:rsidP="004575BF">
            <w:pPr>
              <w:pStyle w:val="PBACTabletext"/>
              <w:keepNext w:val="0"/>
              <w:keepLines w:val="0"/>
              <w:rPr>
                <w:b/>
                <w:bCs/>
                <w:color w:val="333333"/>
              </w:rPr>
            </w:pPr>
            <w:r w:rsidRPr="00006F36">
              <w:rPr>
                <w:b/>
                <w:bCs/>
                <w:color w:val="333333"/>
              </w:rPr>
              <w:t>AND</w:t>
            </w:r>
          </w:p>
          <w:p w14:paraId="20BFA234" w14:textId="77777777" w:rsidR="004575BF" w:rsidRPr="00006F36" w:rsidRDefault="004575BF" w:rsidP="004575BF">
            <w:pPr>
              <w:pStyle w:val="PBACTabletext"/>
              <w:keepNext w:val="0"/>
              <w:keepLines w:val="0"/>
              <w:rPr>
                <w:b/>
                <w:bCs/>
                <w:color w:val="333333"/>
              </w:rPr>
            </w:pPr>
            <w:r w:rsidRPr="00006F36">
              <w:rPr>
                <w:color w:val="333333"/>
              </w:rPr>
              <w:t>Patient must have not developed another life threatening or severe disease where long term prognosis is unlikely to be influenced by migalastat.</w:t>
            </w:r>
          </w:p>
          <w:p w14:paraId="72BE6B65" w14:textId="77777777" w:rsidR="004575BF" w:rsidRPr="00006F36" w:rsidRDefault="004575BF" w:rsidP="004575BF">
            <w:pPr>
              <w:pStyle w:val="PBACTabletext"/>
              <w:keepNext w:val="0"/>
              <w:keepLines w:val="0"/>
              <w:rPr>
                <w:b/>
                <w:bCs/>
                <w:color w:val="333333"/>
              </w:rPr>
            </w:pPr>
            <w:r w:rsidRPr="00006F36">
              <w:rPr>
                <w:b/>
                <w:bCs/>
                <w:color w:val="333333"/>
              </w:rPr>
              <w:t>AND</w:t>
            </w:r>
          </w:p>
          <w:p w14:paraId="6BDC3392" w14:textId="0E2AFEFA" w:rsidR="00FA31BF" w:rsidRPr="00006F36" w:rsidRDefault="004575BF" w:rsidP="004575BF">
            <w:pPr>
              <w:pStyle w:val="TableText0"/>
              <w:keepLines/>
            </w:pPr>
            <w:r w:rsidRPr="00006F36">
              <w:rPr>
                <w:color w:val="333333"/>
              </w:rPr>
              <w:t>The patient must have not developed another medical condition that might reasonably be expected to compromise a response to migalastat.</w:t>
            </w:r>
          </w:p>
        </w:tc>
      </w:tr>
      <w:tr w:rsidR="00FA31BF" w:rsidRPr="00006F36" w14:paraId="1D57B968" w14:textId="77777777" w:rsidTr="00E840ED">
        <w:trPr>
          <w:cantSplit/>
          <w:trHeight w:val="20"/>
        </w:trPr>
        <w:tc>
          <w:tcPr>
            <w:tcW w:w="5000" w:type="pct"/>
            <w:vAlign w:val="center"/>
            <w:hideMark/>
          </w:tcPr>
          <w:p w14:paraId="6F68AA3C" w14:textId="77777777" w:rsidR="00FA31BF" w:rsidRPr="00006F36" w:rsidRDefault="00FA31BF" w:rsidP="00E840ED">
            <w:pPr>
              <w:pStyle w:val="TableText0"/>
              <w:keepLines/>
            </w:pPr>
            <w:r w:rsidRPr="00006F36">
              <w:rPr>
                <w:b/>
              </w:rPr>
              <w:t xml:space="preserve">Treatment criteria: </w:t>
            </w:r>
            <w:r w:rsidRPr="00006F36">
              <w:rPr>
                <w:rFonts w:cs="Arial Narrow"/>
              </w:rPr>
              <w:t>Must be treated by a physician with expertise in the management of Fabry disease</w:t>
            </w:r>
          </w:p>
        </w:tc>
      </w:tr>
    </w:tbl>
    <w:p w14:paraId="562251D4" w14:textId="77777777" w:rsidR="00F7033A" w:rsidRPr="00006F36" w:rsidRDefault="00F7033A" w:rsidP="004B1C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BF22D2" w:rsidRPr="00006F36" w14:paraId="4F6744CA" w14:textId="77777777" w:rsidTr="00E840ED">
        <w:trPr>
          <w:cantSplit/>
          <w:trHeight w:val="20"/>
        </w:trPr>
        <w:tc>
          <w:tcPr>
            <w:tcW w:w="5000" w:type="pct"/>
          </w:tcPr>
          <w:p w14:paraId="0086D35D" w14:textId="77777777" w:rsidR="00BF22D2" w:rsidRPr="00006F36" w:rsidRDefault="00BF22D2" w:rsidP="00E840ED">
            <w:pPr>
              <w:pStyle w:val="TableText0"/>
              <w:keepLines/>
            </w:pPr>
            <w:r w:rsidRPr="00006F36">
              <w:rPr>
                <w:b/>
              </w:rPr>
              <w:t xml:space="preserve">Category / Program: </w:t>
            </w:r>
            <w:r w:rsidRPr="00006F36">
              <w:t>General Schedule</w:t>
            </w:r>
          </w:p>
        </w:tc>
      </w:tr>
      <w:tr w:rsidR="00BF22D2" w:rsidRPr="00006F36" w14:paraId="34AA2BED" w14:textId="77777777" w:rsidTr="00E840ED">
        <w:trPr>
          <w:cantSplit/>
          <w:trHeight w:val="20"/>
        </w:trPr>
        <w:tc>
          <w:tcPr>
            <w:tcW w:w="5000" w:type="pct"/>
          </w:tcPr>
          <w:p w14:paraId="47C6E774" w14:textId="77777777" w:rsidR="00BF22D2" w:rsidRPr="00006F36" w:rsidRDefault="00BF22D2" w:rsidP="00E840ED">
            <w:pPr>
              <w:pStyle w:val="TableText0"/>
              <w:keepLines/>
              <w:rPr>
                <w:b/>
              </w:rPr>
            </w:pPr>
            <w:r w:rsidRPr="00006F36">
              <w:rPr>
                <w:b/>
              </w:rPr>
              <w:t xml:space="preserve">Prescriber type: </w:t>
            </w:r>
            <w:r w:rsidRPr="00006F36">
              <w:fldChar w:fldCharType="begin" w:fldLock="1">
                <w:ffData>
                  <w:name w:val="Check1"/>
                  <w:enabled/>
                  <w:calcOnExit w:val="0"/>
                  <w:checkBox>
                    <w:sizeAuto/>
                    <w:default w:val="0"/>
                  </w:checkBox>
                </w:ffData>
              </w:fldChar>
            </w:r>
            <w:r w:rsidRPr="00006F36">
              <w:instrText xml:space="preserve"> FORMCHECKBOX </w:instrText>
            </w:r>
            <w:r w:rsidR="00177590">
              <w:fldChar w:fldCharType="separate"/>
            </w:r>
            <w:r w:rsidRPr="00006F36">
              <w:fldChar w:fldCharType="end"/>
            </w:r>
            <w:r w:rsidRPr="00006F36">
              <w:t xml:space="preserve">Dental </w:t>
            </w:r>
            <w:r w:rsidRPr="00006F36">
              <w:fldChar w:fldCharType="begin" w:fldLock="1">
                <w:ffData>
                  <w:name w:val=""/>
                  <w:enabled/>
                  <w:calcOnExit w:val="0"/>
                  <w:checkBox>
                    <w:sizeAuto/>
                    <w:default w:val="1"/>
                  </w:checkBox>
                </w:ffData>
              </w:fldChar>
            </w:r>
            <w:r w:rsidRPr="00006F36">
              <w:instrText xml:space="preserve"> FORMCHECKBOX </w:instrText>
            </w:r>
            <w:r w:rsidR="00177590">
              <w:fldChar w:fldCharType="separate"/>
            </w:r>
            <w:r w:rsidRPr="00006F36">
              <w:fldChar w:fldCharType="end"/>
            </w:r>
            <w:r w:rsidRPr="00006F36">
              <w:t xml:space="preserve">Medical Practitioners </w:t>
            </w:r>
            <w:r w:rsidRPr="00006F36">
              <w:fldChar w:fldCharType="begin" w:fldLock="1">
                <w:ffData>
                  <w:name w:val="Check3"/>
                  <w:enabled/>
                  <w:calcOnExit w:val="0"/>
                  <w:checkBox>
                    <w:sizeAuto/>
                    <w:default w:val="0"/>
                  </w:checkBox>
                </w:ffData>
              </w:fldChar>
            </w:r>
            <w:r w:rsidRPr="00006F36">
              <w:instrText xml:space="preserve"> FORMCHECKBOX </w:instrText>
            </w:r>
            <w:r w:rsidR="00177590">
              <w:fldChar w:fldCharType="separate"/>
            </w:r>
            <w:r w:rsidRPr="00006F36">
              <w:fldChar w:fldCharType="end"/>
            </w:r>
            <w:r w:rsidRPr="00006F36">
              <w:t xml:space="preserve">Nurse practitioners </w:t>
            </w:r>
            <w:r w:rsidRPr="00006F36">
              <w:fldChar w:fldCharType="begin" w:fldLock="1">
                <w:ffData>
                  <w:name w:val=""/>
                  <w:enabled/>
                  <w:calcOnExit w:val="0"/>
                  <w:checkBox>
                    <w:sizeAuto/>
                    <w:default w:val="0"/>
                  </w:checkBox>
                </w:ffData>
              </w:fldChar>
            </w:r>
            <w:r w:rsidRPr="00006F36">
              <w:instrText xml:space="preserve"> FORMCHECKBOX </w:instrText>
            </w:r>
            <w:r w:rsidR="00177590">
              <w:fldChar w:fldCharType="separate"/>
            </w:r>
            <w:r w:rsidRPr="00006F36">
              <w:fldChar w:fldCharType="end"/>
            </w:r>
            <w:r w:rsidRPr="00006F36">
              <w:t xml:space="preserve">Optometrists </w:t>
            </w:r>
            <w:r w:rsidRPr="00006F36">
              <w:fldChar w:fldCharType="begin" w:fldLock="1">
                <w:ffData>
                  <w:name w:val="Check5"/>
                  <w:enabled/>
                  <w:calcOnExit w:val="0"/>
                  <w:checkBox>
                    <w:sizeAuto/>
                    <w:default w:val="0"/>
                  </w:checkBox>
                </w:ffData>
              </w:fldChar>
            </w:r>
            <w:r w:rsidRPr="00006F36">
              <w:instrText xml:space="preserve"> FORMCHECKBOX </w:instrText>
            </w:r>
            <w:r w:rsidR="00177590">
              <w:fldChar w:fldCharType="separate"/>
            </w:r>
            <w:r w:rsidRPr="00006F36">
              <w:fldChar w:fldCharType="end"/>
            </w:r>
          </w:p>
        </w:tc>
      </w:tr>
      <w:tr w:rsidR="00BF22D2" w:rsidRPr="00006F36" w14:paraId="38A0C3BC" w14:textId="77777777" w:rsidTr="00E840ED">
        <w:trPr>
          <w:cantSplit/>
          <w:trHeight w:val="20"/>
        </w:trPr>
        <w:tc>
          <w:tcPr>
            <w:tcW w:w="5000" w:type="pct"/>
          </w:tcPr>
          <w:p w14:paraId="7F63F451" w14:textId="35361040" w:rsidR="00BF22D2" w:rsidRPr="00006F36" w:rsidRDefault="00BF22D2" w:rsidP="00E840ED">
            <w:pPr>
              <w:pStyle w:val="TableText0"/>
              <w:keepLines/>
              <w:rPr>
                <w:rFonts w:eastAsia="Times New Roman"/>
              </w:rPr>
            </w:pPr>
            <w:r w:rsidRPr="00006F36">
              <w:rPr>
                <w:b/>
              </w:rPr>
              <w:t xml:space="preserve">Restriction type: </w:t>
            </w:r>
            <w:r w:rsidRPr="00006F36">
              <w:rPr>
                <w:rFonts w:eastAsia="Times New Roman"/>
              </w:rPr>
              <w:fldChar w:fldCharType="begin" w:fldLock="1">
                <w:ffData>
                  <w:name w:val=""/>
                  <w:enabled/>
                  <w:calcOnExit w:val="0"/>
                  <w:checkBox>
                    <w:sizeAuto/>
                    <w:default w:val="1"/>
                  </w:checkBox>
                </w:ffData>
              </w:fldChar>
            </w:r>
            <w:r w:rsidRPr="00006F36">
              <w:rPr>
                <w:rFonts w:eastAsia="Times New Roman"/>
              </w:rPr>
              <w:instrText xml:space="preserve"> FORMCHECKBOX </w:instrText>
            </w:r>
            <w:r w:rsidR="00177590">
              <w:rPr>
                <w:rFonts w:eastAsia="Times New Roman"/>
              </w:rPr>
            </w:r>
            <w:r w:rsidR="00177590">
              <w:rPr>
                <w:rFonts w:eastAsia="Times New Roman"/>
              </w:rPr>
              <w:fldChar w:fldCharType="separate"/>
            </w:r>
            <w:r w:rsidRPr="00006F36">
              <w:rPr>
                <w:rFonts w:eastAsia="Times New Roman"/>
              </w:rPr>
              <w:fldChar w:fldCharType="end"/>
            </w:r>
            <w:r w:rsidRPr="00006F36">
              <w:rPr>
                <w:rFonts w:eastAsia="Times New Roman"/>
              </w:rPr>
              <w:t>Authority Required (in writing only via post/HPOS upload)</w:t>
            </w:r>
            <w:r w:rsidR="00D12810">
              <w:rPr>
                <w:rFonts w:eastAsia="Times New Roman"/>
              </w:rPr>
              <w:t xml:space="preserve"> </w:t>
            </w:r>
          </w:p>
        </w:tc>
      </w:tr>
      <w:tr w:rsidR="00BF22D2" w:rsidRPr="00006F36" w14:paraId="2F4784D7" w14:textId="77777777" w:rsidTr="00E840ED">
        <w:trPr>
          <w:cantSplit/>
          <w:trHeight w:val="20"/>
        </w:trPr>
        <w:tc>
          <w:tcPr>
            <w:tcW w:w="5000" w:type="pct"/>
            <w:vAlign w:val="center"/>
            <w:hideMark/>
          </w:tcPr>
          <w:p w14:paraId="0A81C3F7" w14:textId="77777777" w:rsidR="00BF22D2" w:rsidRPr="00006F36" w:rsidRDefault="00BF22D2" w:rsidP="00E840ED">
            <w:pPr>
              <w:pStyle w:val="TableText0"/>
              <w:keepLines/>
            </w:pPr>
            <w:r w:rsidRPr="00006F36">
              <w:rPr>
                <w:b/>
              </w:rPr>
              <w:t>Indication:</w:t>
            </w:r>
            <w:r w:rsidRPr="00006F36">
              <w:t xml:space="preserve"> Fabry disease </w:t>
            </w:r>
          </w:p>
        </w:tc>
      </w:tr>
      <w:tr w:rsidR="00BF22D2" w:rsidRPr="00006F36" w14:paraId="1329A128" w14:textId="77777777" w:rsidTr="00E840ED">
        <w:trPr>
          <w:cantSplit/>
          <w:trHeight w:val="20"/>
        </w:trPr>
        <w:tc>
          <w:tcPr>
            <w:tcW w:w="5000" w:type="pct"/>
            <w:vAlign w:val="center"/>
            <w:hideMark/>
          </w:tcPr>
          <w:p w14:paraId="65C00917" w14:textId="77D65A02" w:rsidR="00BF22D2" w:rsidRPr="00006F36" w:rsidRDefault="00BF22D2" w:rsidP="00E840ED">
            <w:pPr>
              <w:pStyle w:val="TableText0"/>
              <w:keepLines/>
            </w:pPr>
            <w:r w:rsidRPr="00006F36">
              <w:rPr>
                <w:b/>
              </w:rPr>
              <w:t>Treatment Phase:</w:t>
            </w:r>
            <w:r w:rsidRPr="00006F36">
              <w:t xml:space="preserve"> </w:t>
            </w:r>
            <w:r w:rsidR="00FB6674" w:rsidRPr="00006F36">
              <w:rPr>
                <w:color w:val="333333"/>
              </w:rPr>
              <w:t>Grandfather treatment (transition from LSDP-funded migalastat)</w:t>
            </w:r>
          </w:p>
        </w:tc>
      </w:tr>
      <w:tr w:rsidR="00BF22D2" w:rsidRPr="00006F36" w14:paraId="208D91D8" w14:textId="77777777" w:rsidTr="00E840ED">
        <w:trPr>
          <w:cantSplit/>
          <w:trHeight w:val="20"/>
        </w:trPr>
        <w:tc>
          <w:tcPr>
            <w:tcW w:w="5000" w:type="pct"/>
            <w:vAlign w:val="center"/>
            <w:hideMark/>
          </w:tcPr>
          <w:p w14:paraId="3F18414A" w14:textId="77777777" w:rsidR="00BF22D2" w:rsidRPr="00006F36" w:rsidRDefault="00BF22D2" w:rsidP="00E840ED">
            <w:pPr>
              <w:pStyle w:val="TableText0"/>
              <w:keepLines/>
            </w:pPr>
            <w:r w:rsidRPr="00006F36">
              <w:rPr>
                <w:b/>
              </w:rPr>
              <w:t>Clinical criteria:</w:t>
            </w:r>
          </w:p>
        </w:tc>
      </w:tr>
      <w:tr w:rsidR="00BF22D2" w:rsidRPr="00006F36" w14:paraId="14C3D92A" w14:textId="77777777" w:rsidTr="00E840ED">
        <w:trPr>
          <w:cantSplit/>
          <w:trHeight w:val="20"/>
        </w:trPr>
        <w:tc>
          <w:tcPr>
            <w:tcW w:w="5000" w:type="pct"/>
            <w:vAlign w:val="center"/>
            <w:hideMark/>
          </w:tcPr>
          <w:p w14:paraId="7220DCC3" w14:textId="77777777" w:rsidR="00BF22D2" w:rsidRPr="00006F36" w:rsidRDefault="00BF22D2" w:rsidP="00E840ED">
            <w:pPr>
              <w:pStyle w:val="PBACTabletext"/>
              <w:keepNext w:val="0"/>
              <w:keepLines w:val="0"/>
              <w:rPr>
                <w:b/>
                <w:bCs/>
                <w:color w:val="333333"/>
              </w:rPr>
            </w:pPr>
            <w:r w:rsidRPr="00006F36">
              <w:rPr>
                <w:b/>
                <w:bCs/>
                <w:color w:val="333333"/>
              </w:rPr>
              <w:t>Clinical criteria:</w:t>
            </w:r>
          </w:p>
          <w:p w14:paraId="29E2F763" w14:textId="77777777" w:rsidR="00B24732" w:rsidRPr="00006F36" w:rsidRDefault="00B24732" w:rsidP="00B24732">
            <w:pPr>
              <w:pStyle w:val="PBACTabletext"/>
              <w:keepNext w:val="0"/>
              <w:keepLines w:val="0"/>
              <w:rPr>
                <w:color w:val="333333"/>
              </w:rPr>
            </w:pPr>
            <w:r w:rsidRPr="00006F36">
              <w:rPr>
                <w:color w:val="333333"/>
              </w:rPr>
              <w:t>Patient must have previously received this drug for this condition funded under the Australian Government's Life Saving Drugs Program (LSDP)</w:t>
            </w:r>
          </w:p>
          <w:p w14:paraId="03395EBF" w14:textId="77777777" w:rsidR="00B24732" w:rsidRPr="00006F36" w:rsidRDefault="00B24732" w:rsidP="00B24732">
            <w:pPr>
              <w:pStyle w:val="PBACTabletext"/>
              <w:keepNext w:val="0"/>
              <w:keepLines w:val="0"/>
              <w:rPr>
                <w:b/>
                <w:color w:val="333333"/>
              </w:rPr>
            </w:pPr>
            <w:r w:rsidRPr="00006F36">
              <w:rPr>
                <w:b/>
                <w:color w:val="333333"/>
              </w:rPr>
              <w:t>AND</w:t>
            </w:r>
          </w:p>
          <w:p w14:paraId="4AF46754" w14:textId="77777777" w:rsidR="00B24732" w:rsidRPr="00006F36" w:rsidRDefault="00B24732" w:rsidP="00B24732">
            <w:pPr>
              <w:pStyle w:val="PBACTabletext"/>
              <w:keepNext w:val="0"/>
              <w:keepLines w:val="0"/>
              <w:rPr>
                <w:bCs/>
                <w:color w:val="333333"/>
              </w:rPr>
            </w:pPr>
            <w:r w:rsidRPr="00006F36">
              <w:rPr>
                <w:color w:val="333333"/>
              </w:rPr>
              <w:t>Patient must have at least one of (i) documented specific deficiency of alpha- galactosidase enzyme activity in blood or white cells, (ii)</w:t>
            </w:r>
            <w:r w:rsidRPr="00006F36">
              <w:rPr>
                <w:bCs/>
                <w:color w:val="333333"/>
              </w:rPr>
              <w:t xml:space="preserve"> </w:t>
            </w:r>
            <w:r w:rsidRPr="00006F36">
              <w:rPr>
                <w:color w:val="333333"/>
              </w:rPr>
              <w:t>presence of genetic mutations known to result in deficiency of alpha-galactosidase enzyme activity</w:t>
            </w:r>
            <w:r w:rsidRPr="00006F36">
              <w:rPr>
                <w:bCs/>
                <w:color w:val="333333"/>
              </w:rPr>
              <w:t>.</w:t>
            </w:r>
          </w:p>
          <w:p w14:paraId="1D2CE639" w14:textId="77777777" w:rsidR="00B24732" w:rsidRPr="00006F36" w:rsidRDefault="00B24732" w:rsidP="00B24732">
            <w:pPr>
              <w:pStyle w:val="PBACTabletext"/>
              <w:keepNext w:val="0"/>
              <w:keepLines w:val="0"/>
              <w:rPr>
                <w:b/>
                <w:color w:val="333333"/>
              </w:rPr>
            </w:pPr>
            <w:r w:rsidRPr="00006F36">
              <w:rPr>
                <w:b/>
                <w:color w:val="333333"/>
              </w:rPr>
              <w:t>AND</w:t>
            </w:r>
          </w:p>
          <w:p w14:paraId="703E499F" w14:textId="77777777" w:rsidR="00D12810" w:rsidRDefault="00B24732" w:rsidP="00B24732">
            <w:pPr>
              <w:pStyle w:val="PBACTabletext"/>
              <w:keepNext w:val="0"/>
              <w:keepLines w:val="0"/>
              <w:rPr>
                <w:color w:val="333333"/>
              </w:rPr>
            </w:pPr>
            <w:r w:rsidRPr="00006F36">
              <w:rPr>
                <w:color w:val="333333"/>
              </w:rPr>
              <w:t>Patient must have a documented migalastat amenable GLA gene variant</w:t>
            </w:r>
          </w:p>
          <w:p w14:paraId="453868C4" w14:textId="74E7809F" w:rsidR="00B24732" w:rsidRPr="00006F36" w:rsidRDefault="00B24732" w:rsidP="00B24732">
            <w:pPr>
              <w:pStyle w:val="PBACTabletext"/>
              <w:keepNext w:val="0"/>
              <w:keepLines w:val="0"/>
              <w:rPr>
                <w:b/>
                <w:color w:val="333333"/>
              </w:rPr>
            </w:pPr>
            <w:r w:rsidRPr="00006F36">
              <w:rPr>
                <w:b/>
                <w:color w:val="333333"/>
              </w:rPr>
              <w:t>AND</w:t>
            </w:r>
          </w:p>
          <w:p w14:paraId="47975C7C" w14:textId="030FD402" w:rsidR="00BF22D2" w:rsidRPr="00006F36" w:rsidRDefault="00B24732" w:rsidP="00B24732">
            <w:pPr>
              <w:pStyle w:val="PBACTabletext"/>
              <w:keepNext w:val="0"/>
              <w:keepLines w:val="0"/>
            </w:pPr>
            <w:r w:rsidRPr="00006F36">
              <w:rPr>
                <w:color w:val="333333"/>
              </w:rPr>
              <w:t>Patient must have an eGFR of at least 30 mL/m².</w:t>
            </w:r>
          </w:p>
        </w:tc>
      </w:tr>
      <w:tr w:rsidR="00D94133" w:rsidRPr="00006F36" w14:paraId="3890AC76" w14:textId="77777777" w:rsidTr="00E840ED">
        <w:trPr>
          <w:cantSplit/>
          <w:trHeight w:val="20"/>
        </w:trPr>
        <w:tc>
          <w:tcPr>
            <w:tcW w:w="5000" w:type="pct"/>
            <w:vAlign w:val="center"/>
          </w:tcPr>
          <w:p w14:paraId="01189FD8" w14:textId="77777777" w:rsidR="00D12810" w:rsidRDefault="00D94133" w:rsidP="00D94133">
            <w:pPr>
              <w:pStyle w:val="PBACTabletext"/>
              <w:keepNext w:val="0"/>
              <w:keepLines w:val="0"/>
              <w:rPr>
                <w:color w:val="333333"/>
              </w:rPr>
            </w:pPr>
            <w:r w:rsidRPr="00006F36">
              <w:rPr>
                <w:b/>
                <w:color w:val="333333"/>
              </w:rPr>
              <w:t>Prescribing Instructions:</w:t>
            </w:r>
          </w:p>
          <w:p w14:paraId="096CCBA3" w14:textId="209B4E54" w:rsidR="00D94133" w:rsidRPr="00006F36" w:rsidRDefault="00D94133" w:rsidP="00D94133">
            <w:pPr>
              <w:pStyle w:val="PBACTabletext"/>
              <w:keepNext w:val="0"/>
              <w:keepLines w:val="0"/>
              <w:rPr>
                <w:color w:val="333333"/>
              </w:rPr>
            </w:pPr>
            <w:r w:rsidRPr="00006F36">
              <w:rPr>
                <w:color w:val="333333"/>
              </w:rPr>
              <w:t>If hypertension is present in patients with Fabry-related cardiac disease, the prescriber must treat it optimally for at least 6 months prior to submitting PBS application.</w:t>
            </w:r>
          </w:p>
          <w:p w14:paraId="27D0D96C" w14:textId="77777777" w:rsidR="00D94133" w:rsidRPr="00006F36" w:rsidRDefault="00D94133" w:rsidP="00D94133">
            <w:pPr>
              <w:pStyle w:val="PBACTabletext"/>
              <w:keepNext w:val="0"/>
              <w:keepLines w:val="0"/>
              <w:rPr>
                <w:color w:val="333333"/>
              </w:rPr>
            </w:pPr>
          </w:p>
          <w:p w14:paraId="6C55F479" w14:textId="2DCCE097" w:rsidR="00D94133" w:rsidRPr="00006F36" w:rsidRDefault="00D94133" w:rsidP="00D94133">
            <w:pPr>
              <w:pStyle w:val="PBACTabletext"/>
              <w:keepNext w:val="0"/>
              <w:keepLines w:val="0"/>
              <w:rPr>
                <w:b/>
                <w:bCs/>
                <w:color w:val="333333"/>
              </w:rPr>
            </w:pPr>
            <w:r w:rsidRPr="00006F36">
              <w:rPr>
                <w:color w:val="333333"/>
              </w:rPr>
              <w:t>A patient may qualify for PBS-subsidised treatment under this restriction once only. For continuing PBS-subsidised treatment, a Grandfathered patient must qualify under the Continuing treatment criteria.</w:t>
            </w:r>
          </w:p>
        </w:tc>
      </w:tr>
      <w:tr w:rsidR="00BF22D2" w:rsidRPr="00006F36" w14:paraId="123E7C9F" w14:textId="77777777" w:rsidTr="00E840ED">
        <w:trPr>
          <w:cantSplit/>
          <w:trHeight w:val="20"/>
        </w:trPr>
        <w:tc>
          <w:tcPr>
            <w:tcW w:w="5000" w:type="pct"/>
            <w:vAlign w:val="center"/>
            <w:hideMark/>
          </w:tcPr>
          <w:p w14:paraId="386EEB1D" w14:textId="77777777" w:rsidR="00BF22D2" w:rsidRPr="00006F36" w:rsidRDefault="00BF22D2" w:rsidP="00E840ED">
            <w:pPr>
              <w:pStyle w:val="TableText0"/>
              <w:keepLines/>
            </w:pPr>
            <w:r w:rsidRPr="00006F36">
              <w:rPr>
                <w:b/>
              </w:rPr>
              <w:t xml:space="preserve">Treatment criteria: </w:t>
            </w:r>
            <w:r w:rsidRPr="00006F36">
              <w:rPr>
                <w:rFonts w:cs="Arial Narrow"/>
              </w:rPr>
              <w:t>Must be treated by a physician with expertise in the management of Fabry disease</w:t>
            </w:r>
          </w:p>
        </w:tc>
      </w:tr>
    </w:tbl>
    <w:p w14:paraId="72CE6EC8" w14:textId="77777777" w:rsidR="004575BF" w:rsidRPr="00006F36" w:rsidRDefault="004575BF" w:rsidP="004B1CB4"/>
    <w:p w14:paraId="583DDD86" w14:textId="77777777" w:rsidR="00D12810" w:rsidRDefault="00E81FF9" w:rsidP="00E81FF9">
      <w:pPr>
        <w:pStyle w:val="ExecSumBodyText"/>
        <w:numPr>
          <w:ilvl w:val="1"/>
          <w:numId w:val="1"/>
        </w:numPr>
      </w:pPr>
      <w:r w:rsidRPr="00006F36">
        <w:t xml:space="preserve">The proposed effective price </w:t>
      </w:r>
      <w:r w:rsidR="00597395" w:rsidRPr="00006F36">
        <w:t>was</w:t>
      </w:r>
      <w:r w:rsidRPr="00006F36">
        <w:t xml:space="preserve"> </w:t>
      </w:r>
      <w:r w:rsidR="00494449" w:rsidRPr="00D12810">
        <w:rPr>
          <w:color w:val="000000"/>
          <w:spacing w:val="6"/>
          <w:w w:val="62"/>
          <w:shd w:val="solid" w:color="000000" w:fill="000000"/>
          <w:fitText w:val="481" w:id="-961871100"/>
          <w14:textFill>
            <w14:solidFill>
              <w14:srgbClr w14:val="000000">
                <w14:alpha w14:val="100000"/>
              </w14:srgbClr>
            </w14:solidFill>
          </w14:textFill>
        </w:rPr>
        <w:t>|||</w:t>
      </w:r>
      <w:r w:rsidR="00D12810" w:rsidRPr="00D12810">
        <w:rPr>
          <w:color w:val="000000"/>
          <w:spacing w:val="6"/>
          <w:w w:val="62"/>
          <w:shd w:val="solid" w:color="000000" w:fill="000000"/>
          <w:fitText w:val="481" w:id="-961871100"/>
          <w14:textFill>
            <w14:solidFill>
              <w14:srgbClr w14:val="000000">
                <w14:alpha w14:val="100000"/>
              </w14:srgbClr>
            </w14:solidFill>
          </w14:textFill>
        </w:rPr>
        <w:t xml:space="preserve"> </w:t>
      </w:r>
      <w:r w:rsidR="00494449" w:rsidRPr="00D12810">
        <w:rPr>
          <w:color w:val="000000"/>
          <w:spacing w:val="6"/>
          <w:w w:val="62"/>
          <w:shd w:val="solid" w:color="000000" w:fill="000000"/>
          <w:fitText w:val="481" w:id="-961871100"/>
          <w14:textFill>
            <w14:solidFill>
              <w14:srgbClr w14:val="000000">
                <w14:alpha w14:val="100000"/>
              </w14:srgbClr>
            </w14:solidFill>
          </w14:textFill>
        </w:rPr>
        <w:t>||</w:t>
      </w:r>
      <w:r w:rsidR="00494449" w:rsidRPr="00D12810">
        <w:rPr>
          <w:color w:val="000000"/>
          <w:spacing w:val="1"/>
          <w:w w:val="62"/>
          <w:shd w:val="solid" w:color="000000" w:fill="000000"/>
          <w:fitText w:val="481" w:id="-961871100"/>
          <w14:textFill>
            <w14:solidFill>
              <w14:srgbClr w14:val="000000">
                <w14:alpha w14:val="100000"/>
              </w14:srgbClr>
            </w14:solidFill>
          </w14:textFill>
        </w:rPr>
        <w:t>|</w:t>
      </w:r>
      <w:r w:rsidRPr="00006F36">
        <w:t>% lower than the current LSDP price.</w:t>
      </w:r>
    </w:p>
    <w:p w14:paraId="712B643D" w14:textId="28B8E535" w:rsidR="00E36460" w:rsidRPr="00006F36" w:rsidRDefault="00E36460" w:rsidP="00E36460">
      <w:pPr>
        <w:pStyle w:val="ExecSumBodyText"/>
        <w:numPr>
          <w:ilvl w:val="1"/>
          <w:numId w:val="1"/>
        </w:numPr>
        <w:rPr>
          <w:i/>
          <w:iCs/>
        </w:rPr>
      </w:pPr>
      <w:r w:rsidRPr="00006F36">
        <w:t>The PBAC previous</w:t>
      </w:r>
      <w:r w:rsidR="006F786B" w:rsidRPr="00006F36">
        <w:t>ly</w:t>
      </w:r>
      <w:r w:rsidRPr="00006F36">
        <w:t xml:space="preserve"> noted that the LSDP EP was supportive of the removal of the clinical criteria from the LSDP criteria that patients must previously have had 12 months of ERT treatment or be intolerant to ERT prior to initiating migalastat and that the LSDP previously recommended the initial and continuing restriction criteria be brought into line with current International Clinical Guidelines for Fabry disease as </w:t>
      </w:r>
      <w:r w:rsidRPr="00006F36">
        <w:lastRenderedPageBreak/>
        <w:t>outlined in the Fabry Australia Treatment Review White Paper (Nicholls 2022). (</w:t>
      </w:r>
      <w:r w:rsidR="0078510C" w:rsidRPr="00006F36">
        <w:t>p</w:t>
      </w:r>
      <w:r w:rsidRPr="00006F36">
        <w:t>aragraphs 3.2 and 3.3, migalastat PSD, December 2022 PBAC meeting).</w:t>
      </w:r>
    </w:p>
    <w:p w14:paraId="3105AC70" w14:textId="77777777" w:rsidR="00D12810" w:rsidRDefault="00765079" w:rsidP="00D30D5B">
      <w:pPr>
        <w:pStyle w:val="ExecSumBodyText"/>
        <w:numPr>
          <w:ilvl w:val="1"/>
          <w:numId w:val="1"/>
        </w:numPr>
      </w:pPr>
      <w:r w:rsidRPr="00006F36">
        <w:t>T</w:t>
      </w:r>
      <w:r w:rsidR="00C31E31" w:rsidRPr="00006F36">
        <w:t xml:space="preserve">he proposed restriction </w:t>
      </w:r>
      <w:r w:rsidR="00390C31" w:rsidRPr="00006F36">
        <w:t>represent</w:t>
      </w:r>
      <w:r w:rsidR="001863B5" w:rsidRPr="00006F36">
        <w:t>ed</w:t>
      </w:r>
      <w:r w:rsidR="00390C31" w:rsidRPr="00006F36">
        <w:t xml:space="preserve"> a change from the current LSDP eligibility, which does not </w:t>
      </w:r>
      <w:r w:rsidR="001863B5" w:rsidRPr="00006F36">
        <w:t xml:space="preserve">currently </w:t>
      </w:r>
      <w:r w:rsidR="00390C31" w:rsidRPr="00006F36">
        <w:t xml:space="preserve">differentiate between classical and non-classical (also referred to as </w:t>
      </w:r>
      <w:proofErr w:type="gramStart"/>
      <w:r w:rsidR="00390C31" w:rsidRPr="00006F36">
        <w:t>late-onset</w:t>
      </w:r>
      <w:proofErr w:type="gramEnd"/>
      <w:r w:rsidR="00390C31" w:rsidRPr="00006F36">
        <w:t>) Fabry disease.</w:t>
      </w:r>
      <w:r w:rsidR="00C844D1" w:rsidRPr="00006F36">
        <w:t xml:space="preserve"> </w:t>
      </w:r>
      <w:r w:rsidR="00C97D9D" w:rsidRPr="00006F36">
        <w:t>The proposed definitions for diagnosis for classical and non</w:t>
      </w:r>
      <w:r w:rsidR="00025BFC" w:rsidRPr="00006F36">
        <w:noBreakHyphen/>
      </w:r>
      <w:r w:rsidR="00C97D9D" w:rsidRPr="00006F36">
        <w:t xml:space="preserve">classical Fabry disease are presented in </w:t>
      </w:r>
      <w:r w:rsidR="00E44493" w:rsidRPr="00006F36">
        <w:fldChar w:fldCharType="begin" w:fldLock="1"/>
      </w:r>
      <w:r w:rsidR="00E44493" w:rsidRPr="00006F36">
        <w:instrText xml:space="preserve"> REF _Ref150971409 \h  \* MERGEFORMAT </w:instrText>
      </w:r>
      <w:r w:rsidR="00E44493" w:rsidRPr="00006F36">
        <w:fldChar w:fldCharType="separate"/>
      </w:r>
      <w:r w:rsidR="00F42C5D" w:rsidRPr="00006F36">
        <w:t xml:space="preserve">Figure </w:t>
      </w:r>
      <w:r w:rsidR="00F42C5D">
        <w:t>1</w:t>
      </w:r>
      <w:r w:rsidR="00E44493" w:rsidRPr="00006F36">
        <w:fldChar w:fldCharType="end"/>
      </w:r>
      <w:r w:rsidR="00242677" w:rsidRPr="00006F36">
        <w:t>.</w:t>
      </w:r>
    </w:p>
    <w:p w14:paraId="5F5A97E1" w14:textId="586836A8" w:rsidR="00C97D9D" w:rsidRPr="00006F36" w:rsidRDefault="00E44493" w:rsidP="00E44493">
      <w:pPr>
        <w:pStyle w:val="Caption"/>
        <w:ind w:firstLine="720"/>
      </w:pPr>
      <w:bookmarkStart w:id="15" w:name="_Ref150971409"/>
      <w:r w:rsidRPr="00006F36">
        <w:t xml:space="preserve">Figure </w:t>
      </w:r>
      <w:r w:rsidR="008C634B">
        <w:fldChar w:fldCharType="begin" w:fldLock="1"/>
      </w:r>
      <w:r w:rsidR="008C634B">
        <w:instrText xml:space="preserve"> SEQ Figure \* ARABIC </w:instrText>
      </w:r>
      <w:r w:rsidR="008C634B">
        <w:fldChar w:fldCharType="separate"/>
      </w:r>
      <w:r w:rsidR="00F42C5D">
        <w:rPr>
          <w:noProof/>
        </w:rPr>
        <w:t>1</w:t>
      </w:r>
      <w:r w:rsidR="008C634B">
        <w:rPr>
          <w:noProof/>
        </w:rPr>
        <w:fldChar w:fldCharType="end"/>
      </w:r>
      <w:bookmarkEnd w:id="15"/>
      <w:r w:rsidR="0078510C" w:rsidRPr="00006F36">
        <w:t xml:space="preserve">: </w:t>
      </w:r>
      <w:r w:rsidRPr="00006F36">
        <w:t>Classical and non-classical Fabry disease phenotypes</w:t>
      </w:r>
    </w:p>
    <w:p w14:paraId="5142AC7E" w14:textId="1A313726" w:rsidR="00C97D9D" w:rsidRPr="00006F36" w:rsidRDefault="00E44493" w:rsidP="00E44493">
      <w:pPr>
        <w:pStyle w:val="ExecSumBodyText"/>
        <w:keepNext/>
        <w:keepLines/>
        <w:ind w:firstLine="0"/>
        <w:jc w:val="left"/>
        <w:rPr>
          <w:i/>
          <w:iCs/>
        </w:rPr>
      </w:pPr>
      <w:r w:rsidRPr="00006F36">
        <w:rPr>
          <w:noProof/>
        </w:rPr>
        <w:drawing>
          <wp:inline distT="0" distB="0" distL="0" distR="0" wp14:anchorId="6D1D6F30" wp14:editId="0D6D93A9">
            <wp:extent cx="5280660" cy="2089993"/>
            <wp:effectExtent l="0" t="0" r="0" b="5715"/>
            <wp:docPr id="4" name="Picture 4" descr="Figure 1: Classical and non-classical Fabry disease phenotypes">
              <a:extLst xmlns:a="http://schemas.openxmlformats.org/drawingml/2006/main">
                <a:ext uri="{FF2B5EF4-FFF2-40B4-BE49-F238E27FC236}">
                  <a16:creationId xmlns:a16="http://schemas.microsoft.com/office/drawing/2014/main" id="{01E3FDBE-7FFB-88B9-D57E-4BD8807CD0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Classical and non-classical Fabry disease phenotypes">
                      <a:extLst>
                        <a:ext uri="{FF2B5EF4-FFF2-40B4-BE49-F238E27FC236}">
                          <a16:creationId xmlns:a16="http://schemas.microsoft.com/office/drawing/2014/main" id="{01E3FDBE-7FFB-88B9-D57E-4BD8807CD03D}"/>
                        </a:ext>
                      </a:extLst>
                    </pic:cNvPr>
                    <pic:cNvPicPr>
                      <a:picLocks noChangeAspect="1"/>
                    </pic:cNvPicPr>
                  </pic:nvPicPr>
                  <pic:blipFill>
                    <a:blip r:embed="rId8"/>
                    <a:stretch>
                      <a:fillRect/>
                    </a:stretch>
                  </pic:blipFill>
                  <pic:spPr>
                    <a:xfrm>
                      <a:off x="0" y="0"/>
                      <a:ext cx="5297148" cy="2096519"/>
                    </a:xfrm>
                    <a:prstGeom prst="rect">
                      <a:avLst/>
                    </a:prstGeom>
                  </pic:spPr>
                </pic:pic>
              </a:graphicData>
            </a:graphic>
          </wp:inline>
        </w:drawing>
      </w:r>
    </w:p>
    <w:p w14:paraId="05B9B419" w14:textId="41A06EC8" w:rsidR="00C97D9D" w:rsidRPr="004B69B9" w:rsidRDefault="00E44493" w:rsidP="00E44493">
      <w:pPr>
        <w:pStyle w:val="ExecSumBodyText"/>
        <w:keepNext/>
        <w:keepLines/>
        <w:ind w:firstLine="0"/>
        <w:rPr>
          <w:rFonts w:ascii="Arial Narrow" w:hAnsi="Arial Narrow"/>
          <w:sz w:val="18"/>
          <w:szCs w:val="18"/>
        </w:rPr>
      </w:pPr>
      <w:r w:rsidRPr="004B69B9">
        <w:rPr>
          <w:rFonts w:ascii="Arial Narrow" w:hAnsi="Arial Narrow"/>
          <w:sz w:val="18"/>
          <w:szCs w:val="18"/>
        </w:rPr>
        <w:t>Source: Table 3, p19 of the submission</w:t>
      </w:r>
    </w:p>
    <w:p w14:paraId="3B558FFC" w14:textId="7DD1C6E8" w:rsidR="008021B0" w:rsidRPr="00006F36" w:rsidRDefault="008021B0" w:rsidP="00D30D5B">
      <w:pPr>
        <w:pStyle w:val="ExecSumBodyText"/>
        <w:numPr>
          <w:ilvl w:val="1"/>
          <w:numId w:val="1"/>
        </w:numPr>
      </w:pPr>
      <w:bookmarkStart w:id="16" w:name="_Ref151053850"/>
      <w:r w:rsidRPr="00006F36">
        <w:t>The proposed criteria</w:t>
      </w:r>
      <w:r w:rsidR="000D689A" w:rsidRPr="00006F36">
        <w:t xml:space="preserve"> for initial treatment</w:t>
      </w:r>
      <w:r w:rsidRPr="00006F36">
        <w:t xml:space="preserve"> allow </w:t>
      </w:r>
      <w:r w:rsidR="00777B30" w:rsidRPr="00006F36">
        <w:t xml:space="preserve">male patients with classical Fabry disease </w:t>
      </w:r>
      <w:r w:rsidR="00AE7988" w:rsidRPr="00006F36">
        <w:t xml:space="preserve">to initiate treatment </w:t>
      </w:r>
      <w:r w:rsidR="009B46C0" w:rsidRPr="00006F36">
        <w:t>without any symptoms.</w:t>
      </w:r>
      <w:r w:rsidR="009B46C0" w:rsidRPr="00006F36">
        <w:rPr>
          <w:i/>
          <w:iCs/>
        </w:rPr>
        <w:t xml:space="preserve"> </w:t>
      </w:r>
      <w:r w:rsidR="009B46C0" w:rsidRPr="00006F36">
        <w:t xml:space="preserve">There were </w:t>
      </w:r>
      <w:r w:rsidR="00EC5C72" w:rsidRPr="00006F36">
        <w:t xml:space="preserve">two </w:t>
      </w:r>
      <w:r w:rsidR="009B46C0" w:rsidRPr="00006F36">
        <w:t>issues with the proposed restriction:</w:t>
      </w:r>
      <w:bookmarkEnd w:id="16"/>
    </w:p>
    <w:p w14:paraId="5D2469EB" w14:textId="77777777" w:rsidR="00D12810" w:rsidRDefault="009B46C0" w:rsidP="00947AB2">
      <w:pPr>
        <w:pStyle w:val="ExecSumBodyText"/>
        <w:numPr>
          <w:ilvl w:val="0"/>
          <w:numId w:val="9"/>
        </w:numPr>
        <w:ind w:left="993" w:hanging="284"/>
      </w:pPr>
      <w:r w:rsidRPr="00006F36">
        <w:t xml:space="preserve">The threshold for determining classical Fabry disease </w:t>
      </w:r>
      <w:r w:rsidR="00BC5F7C" w:rsidRPr="00006F36">
        <w:t xml:space="preserve">in males </w:t>
      </w:r>
      <w:r w:rsidR="003F1A8D" w:rsidRPr="00006F36">
        <w:t xml:space="preserve">was </w:t>
      </w:r>
      <w:r w:rsidR="003B1D85" w:rsidRPr="00006F36">
        <w:t xml:space="preserve">proposed </w:t>
      </w:r>
      <w:r w:rsidR="003F1A8D" w:rsidRPr="00006F36">
        <w:t xml:space="preserve">to be </w:t>
      </w:r>
      <w:r w:rsidR="003B1D85" w:rsidRPr="00006F36">
        <w:rPr>
          <w:rFonts w:cstheme="minorHAnsi"/>
        </w:rPr>
        <w:t>≤</w:t>
      </w:r>
      <w:r w:rsidR="003B1D85" w:rsidRPr="00006F36">
        <w:t>5% of the mean reference value</w:t>
      </w:r>
      <w:r w:rsidR="00D80D94" w:rsidRPr="00006F36">
        <w:t xml:space="preserve"> for </w:t>
      </w:r>
      <w:r w:rsidR="005A1BAC" w:rsidRPr="00006F36">
        <w:rPr>
          <w:szCs w:val="22"/>
        </w:rPr>
        <w:t xml:space="preserve">α-Gal A </w:t>
      </w:r>
      <w:r w:rsidR="00D80D94" w:rsidRPr="00006F36">
        <w:t>enzyme activity</w:t>
      </w:r>
      <w:r w:rsidR="00455B83" w:rsidRPr="00006F36">
        <w:t xml:space="preserve"> but inappropriately this was not described in the proposed restriction</w:t>
      </w:r>
      <w:r w:rsidR="003B1D85" w:rsidRPr="00006F36">
        <w:t>. However</w:t>
      </w:r>
      <w:r w:rsidR="00BC34AD" w:rsidRPr="00006F36">
        <w:t>,</w:t>
      </w:r>
      <w:r w:rsidR="003B1D85" w:rsidRPr="00006F36">
        <w:t xml:space="preserve"> </w:t>
      </w:r>
      <w:r w:rsidR="00BC34AD" w:rsidRPr="00006F36">
        <w:t xml:space="preserve">a </w:t>
      </w:r>
      <w:r w:rsidR="00BC5F7C" w:rsidRPr="00006F36">
        <w:t xml:space="preserve">threshold of </w:t>
      </w:r>
      <w:r w:rsidR="00BC5F7C" w:rsidRPr="00006F36">
        <w:rPr>
          <w:rFonts w:cstheme="minorHAnsi"/>
        </w:rPr>
        <w:t>≤</w:t>
      </w:r>
      <w:r w:rsidR="00BC5F7C" w:rsidRPr="00006F36">
        <w:t xml:space="preserve">5% was not universally accepted. For example, </w:t>
      </w:r>
      <w:r w:rsidR="003310EA" w:rsidRPr="00006F36">
        <w:t>UpToDate</w:t>
      </w:r>
      <w:r w:rsidR="00C14DC0" w:rsidRPr="00006F36">
        <w:rPr>
          <w:rStyle w:val="FootnoteReference"/>
        </w:rPr>
        <w:footnoteReference w:id="4"/>
      </w:r>
      <w:r w:rsidR="003310EA" w:rsidRPr="00006F36">
        <w:t xml:space="preserve"> suggest</w:t>
      </w:r>
      <w:r w:rsidR="007E5470" w:rsidRPr="00006F36">
        <w:t>ed</w:t>
      </w:r>
      <w:r w:rsidR="003310EA" w:rsidRPr="00006F36">
        <w:t xml:space="preserve"> that ‘undetectable activity (&lt;3 per</w:t>
      </w:r>
      <w:r w:rsidR="00BD0BB6" w:rsidRPr="00006F36">
        <w:t xml:space="preserve"> </w:t>
      </w:r>
      <w:r w:rsidR="003310EA" w:rsidRPr="00006F36">
        <w:t xml:space="preserve">cent) </w:t>
      </w:r>
      <w:r w:rsidR="00A75C2B" w:rsidRPr="00006F36">
        <w:t>wa</w:t>
      </w:r>
      <w:r w:rsidR="003310EA" w:rsidRPr="00006F36">
        <w:t>s sufficient to diagnose classic Fabry disease</w:t>
      </w:r>
      <w:r w:rsidR="00BB459E" w:rsidRPr="00006F36">
        <w:t>’ in males</w:t>
      </w:r>
      <w:r w:rsidR="00BC34AD" w:rsidRPr="00006F36">
        <w:t>. Similarly</w:t>
      </w:r>
      <w:r w:rsidR="00BB459E" w:rsidRPr="00006F36">
        <w:t xml:space="preserve">, &lt;3% was also the threshold </w:t>
      </w:r>
      <w:r w:rsidR="00783CFB" w:rsidRPr="00006F36">
        <w:t xml:space="preserve">used to </w:t>
      </w:r>
      <w:r w:rsidR="002D1799" w:rsidRPr="00006F36">
        <w:t xml:space="preserve">classify classical Fabry disease </w:t>
      </w:r>
      <w:r w:rsidR="00BB459E" w:rsidRPr="00006F36">
        <w:t xml:space="preserve">in </w:t>
      </w:r>
      <w:r w:rsidR="00783CFB" w:rsidRPr="00006F36">
        <w:t>an expert consensus on practical clinical recommendations and guidance for patients</w:t>
      </w:r>
      <w:r w:rsidR="00783CFB" w:rsidRPr="00006F36">
        <w:rPr>
          <w:i/>
          <w:iCs/>
        </w:rPr>
        <w:t xml:space="preserve"> </w:t>
      </w:r>
      <w:r w:rsidR="00783CFB" w:rsidRPr="00006F36">
        <w:t>with classic Fabry disease (</w:t>
      </w:r>
      <w:r w:rsidR="00BB459E" w:rsidRPr="00006F36">
        <w:t>Germain 2022</w:t>
      </w:r>
      <w:r w:rsidR="00783CFB" w:rsidRPr="00006F36">
        <w:t>)</w:t>
      </w:r>
      <w:r w:rsidR="002D1799" w:rsidRPr="00006F36">
        <w:rPr>
          <w:rStyle w:val="FootnoteReference"/>
        </w:rPr>
        <w:footnoteReference w:id="5"/>
      </w:r>
      <w:r w:rsidR="00BC34AD" w:rsidRPr="00006F36">
        <w:t>.</w:t>
      </w:r>
      <w:r w:rsidR="00FC4BC3" w:rsidRPr="00006F36">
        <w:t xml:space="preserve"> </w:t>
      </w:r>
      <w:r w:rsidR="007F2E6D" w:rsidRPr="00006F36">
        <w:t xml:space="preserve">Michaud </w:t>
      </w:r>
      <w:r w:rsidR="00BC34AD" w:rsidRPr="00006F36">
        <w:t>(</w:t>
      </w:r>
      <w:r w:rsidR="007F2E6D" w:rsidRPr="00006F36">
        <w:t>2020</w:t>
      </w:r>
      <w:r w:rsidR="007F2E6D" w:rsidRPr="00006F36">
        <w:rPr>
          <w:rStyle w:val="FootnoteReference"/>
        </w:rPr>
        <w:footnoteReference w:id="6"/>
      </w:r>
      <w:r w:rsidR="00BC34AD" w:rsidRPr="00006F36">
        <w:t xml:space="preserve">) also used a threshold of &lt;3% when aiming </w:t>
      </w:r>
      <w:r w:rsidR="00AD5612" w:rsidRPr="00006F36">
        <w:t>to summarize</w:t>
      </w:r>
      <w:r w:rsidR="00ED73B0" w:rsidRPr="00006F36">
        <w:t xml:space="preserve"> the </w:t>
      </w:r>
      <w:r w:rsidR="00AD5612" w:rsidRPr="00006F36">
        <w:t xml:space="preserve">clinical manifestations </w:t>
      </w:r>
      <w:r w:rsidR="00CE25FB" w:rsidRPr="00006F36">
        <w:t xml:space="preserve">of Fabry disease </w:t>
      </w:r>
      <w:r w:rsidR="00AD5612" w:rsidRPr="00006F36">
        <w:t xml:space="preserve">and </w:t>
      </w:r>
      <w:r w:rsidR="00CE25FB" w:rsidRPr="00006F36">
        <w:t xml:space="preserve">advice on </w:t>
      </w:r>
      <w:r w:rsidR="00AD5612" w:rsidRPr="00006F36">
        <w:t>how to diagnose Fabry disease</w:t>
      </w:r>
      <w:r w:rsidR="00A91764" w:rsidRPr="00006F36">
        <w:rPr>
          <w:i/>
          <w:iCs/>
        </w:rPr>
        <w:t xml:space="preserve">. </w:t>
      </w:r>
      <w:r w:rsidR="00575923" w:rsidRPr="00006F36">
        <w:t>The ESC considered a threshold of 5% was reasonable and that this should be included in the restriction criteria</w:t>
      </w:r>
      <w:r w:rsidR="00006F36">
        <w:t>.</w:t>
      </w:r>
    </w:p>
    <w:p w14:paraId="7C1A9A06" w14:textId="77777777" w:rsidR="00D12810" w:rsidRDefault="007E5470" w:rsidP="00947AB2">
      <w:pPr>
        <w:pStyle w:val="ExecSumBodyText"/>
        <w:numPr>
          <w:ilvl w:val="0"/>
          <w:numId w:val="9"/>
        </w:numPr>
        <w:ind w:left="993" w:hanging="284"/>
      </w:pPr>
      <w:r w:rsidRPr="00006F36">
        <w:lastRenderedPageBreak/>
        <w:t xml:space="preserve">There was little evidence to support the use of </w:t>
      </w:r>
      <w:r w:rsidR="002C657D" w:rsidRPr="00006F36">
        <w:t xml:space="preserve">Fabry disease specific treatment </w:t>
      </w:r>
      <w:r w:rsidR="00686EE4" w:rsidRPr="00006F36">
        <w:t xml:space="preserve">(i.e. ERT or migalastat) </w:t>
      </w:r>
      <w:r w:rsidR="002C657D" w:rsidRPr="00006F36">
        <w:t xml:space="preserve">in asymptomatic patients. </w:t>
      </w:r>
      <w:r w:rsidR="00710B23" w:rsidRPr="00006F36">
        <w:t xml:space="preserve">According to the </w:t>
      </w:r>
      <w:r w:rsidR="008458BD" w:rsidRPr="00006F36">
        <w:t>European Fabry Working Group consensus document (Biegstraaten 2015)</w:t>
      </w:r>
      <w:r w:rsidR="002B7091" w:rsidRPr="00006F36">
        <w:t>,</w:t>
      </w:r>
      <w:r w:rsidR="00140EB7" w:rsidRPr="00006F36">
        <w:t xml:space="preserve"> which was referenced by </w:t>
      </w:r>
      <w:r w:rsidR="0012574B" w:rsidRPr="00006F36">
        <w:t>Ortiz 2018 and further referenced by Nicholls 2022,</w:t>
      </w:r>
      <w:r w:rsidR="002B7091" w:rsidRPr="00006F36">
        <w:t xml:space="preserve"> </w:t>
      </w:r>
      <w:r w:rsidR="00C25F1D" w:rsidRPr="00006F36">
        <w:t xml:space="preserve">while ERT may be considered in male patients </w:t>
      </w:r>
      <w:r w:rsidR="00BC34AD" w:rsidRPr="00006F36">
        <w:t xml:space="preserve">aged </w:t>
      </w:r>
      <w:r w:rsidR="00C25F1D" w:rsidRPr="00006F36">
        <w:t>16 years or older</w:t>
      </w:r>
      <w:r w:rsidR="00140EB7" w:rsidRPr="00006F36">
        <w:t xml:space="preserve"> with classical Fabry disease</w:t>
      </w:r>
      <w:r w:rsidR="00C25F1D" w:rsidRPr="00006F36">
        <w:t xml:space="preserve"> even if they have no symptoms or clinical signs of organ involvement</w:t>
      </w:r>
      <w:r w:rsidR="00140EB7" w:rsidRPr="00006F36">
        <w:t xml:space="preserve">, this was a Class IIb recommendation in which “usefulness/efficacy is less well established by evidence/opinion”. </w:t>
      </w:r>
      <w:r w:rsidR="0012574B" w:rsidRPr="00006F36">
        <w:t xml:space="preserve">The Canadian </w:t>
      </w:r>
      <w:r w:rsidR="00F71747" w:rsidRPr="00006F36">
        <w:t>Fabry Disease Treatment Guidelines</w:t>
      </w:r>
      <w:r w:rsidR="00A526B5" w:rsidRPr="00006F36">
        <w:rPr>
          <w:rStyle w:val="FootnoteReference"/>
        </w:rPr>
        <w:footnoteReference w:id="7"/>
      </w:r>
      <w:r w:rsidR="00797469" w:rsidRPr="00006F36">
        <w:t xml:space="preserve"> also noted that data </w:t>
      </w:r>
      <w:r w:rsidR="00BE1555" w:rsidRPr="00006F36">
        <w:t>wa</w:t>
      </w:r>
      <w:r w:rsidR="00797469" w:rsidRPr="00006F36">
        <w:t xml:space="preserve">s lacking on the effects of </w:t>
      </w:r>
      <w:r w:rsidR="00621FB0" w:rsidRPr="00006F36">
        <w:t xml:space="preserve">treatment with disease specific therapy before there is detectable evidence of end organ involvement so </w:t>
      </w:r>
      <w:r w:rsidR="00775E31" w:rsidRPr="00006F36">
        <w:t xml:space="preserve">treatment before end organ involvement </w:t>
      </w:r>
      <w:r w:rsidR="00621FB0" w:rsidRPr="00006F36">
        <w:t>could not be recommended</w:t>
      </w:r>
      <w:r w:rsidR="001D4E98" w:rsidRPr="00006F36">
        <w:t xml:space="preserve">, and instead </w:t>
      </w:r>
      <w:r w:rsidR="00C71ECB" w:rsidRPr="00006F36">
        <w:t>regular monitoring for signs of Fabry related organ involvement should be conducted so disease specific therapy, if needed, can be initiated at an early phase in the disease</w:t>
      </w:r>
      <w:r w:rsidR="00621FB0" w:rsidRPr="00006F36">
        <w:t xml:space="preserve">. </w:t>
      </w:r>
      <w:r w:rsidR="00D0603A" w:rsidRPr="00006F36">
        <w:t>The ESC noted the Nicholls 2024 paper stated there is accumulating clinical outcomes data to support initiation of treatment in asymptomatic males with classical Fabry disease</w:t>
      </w:r>
      <w:r w:rsidR="00006F36">
        <w:t>.</w:t>
      </w:r>
    </w:p>
    <w:p w14:paraId="766021B2" w14:textId="77777777" w:rsidR="00D12810" w:rsidRDefault="001832E9" w:rsidP="001832E9">
      <w:pPr>
        <w:pStyle w:val="3-BodyText"/>
      </w:pPr>
      <w:r w:rsidRPr="00006F36">
        <w:t>Given that the proposed criteria for diagnosis in classical male Fabry patients requires only a diagnosis based on genetic status and enzyme activity, it was possible that male patients may be diagnosed prior to 12 years of age. However, migalastat is not indicated for patients aged younger than 12 years and these patients would have to delay treatment until they meet the population criteria of being at least 12 years of age.</w:t>
      </w:r>
    </w:p>
    <w:p w14:paraId="6327B04A" w14:textId="2CDF3FEC" w:rsidR="00D12810" w:rsidRDefault="00FA6351" w:rsidP="00521622">
      <w:pPr>
        <w:pStyle w:val="3-BodyText"/>
      </w:pPr>
      <w:bookmarkStart w:id="17" w:name="_Ref151929083"/>
      <w:r w:rsidRPr="00006F36">
        <w:t xml:space="preserve">The proposed restriction </w:t>
      </w:r>
      <w:r w:rsidR="000D689A" w:rsidRPr="00006F36">
        <w:t xml:space="preserve">for initial treatment </w:t>
      </w:r>
      <w:r w:rsidRPr="00006F36">
        <w:t xml:space="preserve">also allows for female patients with </w:t>
      </w:r>
      <w:r w:rsidR="00B82CA5" w:rsidRPr="00006F36">
        <w:t xml:space="preserve">a likely pathogenic or pathogenic variant in the GLA gene </w:t>
      </w:r>
      <w:r w:rsidR="00A5789C" w:rsidRPr="00006F36">
        <w:t xml:space="preserve">who </w:t>
      </w:r>
      <w:r w:rsidR="00A463E6" w:rsidRPr="00006F36">
        <w:t xml:space="preserve">also </w:t>
      </w:r>
      <w:r w:rsidR="00A5789C" w:rsidRPr="00006F36">
        <w:t xml:space="preserve">exhibit one (or more) Fabry related symptoms including </w:t>
      </w:r>
      <w:r w:rsidR="008A5187" w:rsidRPr="00006F36">
        <w:t>Fabry neuropathic pain, corneal verticillate or angiokeratomas to initiate treatment with migalastat</w:t>
      </w:r>
      <w:r w:rsidR="00A463E6" w:rsidRPr="00006F36">
        <w:t xml:space="preserve"> as a classical Fabry disease patient</w:t>
      </w:r>
      <w:r w:rsidR="008A5187" w:rsidRPr="00006F36">
        <w:t xml:space="preserve">. </w:t>
      </w:r>
      <w:r w:rsidR="004B2D03" w:rsidRPr="00006F36">
        <w:t xml:space="preserve">However, </w:t>
      </w:r>
      <w:r w:rsidR="00922055" w:rsidRPr="00006F36">
        <w:t>Mauhin 2020</w:t>
      </w:r>
      <w:r w:rsidR="00F26C22" w:rsidRPr="00006F36">
        <w:rPr>
          <w:rStyle w:val="FootnoteReference"/>
        </w:rPr>
        <w:footnoteReference w:id="8"/>
      </w:r>
      <w:r w:rsidR="00922055" w:rsidRPr="00006F36">
        <w:t xml:space="preserve"> reported that, among </w:t>
      </w:r>
      <w:r w:rsidR="00AA0D61" w:rsidRPr="00006F36">
        <w:t xml:space="preserve">104 Fabry disease patients in France, while </w:t>
      </w:r>
      <w:r w:rsidR="002638F3" w:rsidRPr="00006F36">
        <w:t>t</w:t>
      </w:r>
      <w:r w:rsidR="00AA0D61" w:rsidRPr="00006F36">
        <w:t>he absence of acroparesthesia or cornea verticillata was sufficient to classify males as having the non</w:t>
      </w:r>
      <w:r w:rsidR="00252D10" w:rsidRPr="00006F36">
        <w:t>-</w:t>
      </w:r>
      <w:r w:rsidR="00AA0D61" w:rsidRPr="00006F36">
        <w:t>classical phenotype, the authors did not identify any criteria that significantly cluster female patients</w:t>
      </w:r>
      <w:r w:rsidR="00BC34AD" w:rsidRPr="00006F36">
        <w:t xml:space="preserve">. Mauhin 2020 </w:t>
      </w:r>
      <w:r w:rsidR="00F70DDA" w:rsidRPr="00006F36">
        <w:t>was unable to classify the 50 female patients in their sample as classical or non-classical</w:t>
      </w:r>
      <w:r w:rsidR="005B2040" w:rsidRPr="00006F36">
        <w:t>. As such</w:t>
      </w:r>
      <w:r w:rsidR="00BC34AD" w:rsidRPr="00006F36">
        <w:t>,</w:t>
      </w:r>
      <w:r w:rsidR="005B2040" w:rsidRPr="00006F36">
        <w:t xml:space="preserve"> it was unclear if </w:t>
      </w:r>
      <w:r w:rsidR="00F34BD9" w:rsidRPr="00006F36">
        <w:t xml:space="preserve">the presence of </w:t>
      </w:r>
      <w:r w:rsidR="005B2040" w:rsidRPr="00006F36">
        <w:t>corneal verticillate was an accurate marker for classical Fabry disease in female patients</w:t>
      </w:r>
      <w:r w:rsidR="00487B39" w:rsidRPr="00006F36">
        <w:t>.</w:t>
      </w:r>
      <w:r w:rsidR="00F75169" w:rsidRPr="00006F36">
        <w:t xml:space="preserve"> </w:t>
      </w:r>
      <w:r w:rsidR="00487B39" w:rsidRPr="00006F36">
        <w:t>I</w:t>
      </w:r>
      <w:r w:rsidR="00713A5E" w:rsidRPr="00006F36">
        <w:t xml:space="preserve">n general, it appears that </w:t>
      </w:r>
      <w:r w:rsidR="00D62A87" w:rsidRPr="00006F36">
        <w:t>differentiating between classical and non</w:t>
      </w:r>
      <w:r w:rsidR="00D85633" w:rsidRPr="00006F36">
        <w:noBreakHyphen/>
      </w:r>
      <w:r w:rsidR="00D62A87" w:rsidRPr="00006F36">
        <w:t xml:space="preserve">classical Fabry disease in females </w:t>
      </w:r>
      <w:r w:rsidR="00713A5E" w:rsidRPr="00006F36">
        <w:t>is more challenging than in males</w:t>
      </w:r>
      <w:r w:rsidR="00B90D4D" w:rsidRPr="00006F36">
        <w:t xml:space="preserve"> as they may exhibit re</w:t>
      </w:r>
      <w:r w:rsidR="00B13412" w:rsidRPr="00006F36">
        <w:t>si</w:t>
      </w:r>
      <w:r w:rsidR="00B90D4D" w:rsidRPr="00006F36">
        <w:t>dual enzyme</w:t>
      </w:r>
      <w:r w:rsidR="00B13412" w:rsidRPr="00006F36">
        <w:t xml:space="preserve"> activity</w:t>
      </w:r>
      <w:r w:rsidR="00935064" w:rsidRPr="00006F36">
        <w:t xml:space="preserve">, and </w:t>
      </w:r>
      <w:r w:rsidR="00487B39" w:rsidRPr="00006F36">
        <w:t xml:space="preserve">as Michaud 2020 noted, </w:t>
      </w:r>
      <w:r w:rsidR="004E6537" w:rsidRPr="00006F36">
        <w:t>“</w:t>
      </w:r>
      <w:r w:rsidR="008D4433">
        <w:t>n</w:t>
      </w:r>
      <w:r w:rsidR="008D4433" w:rsidRPr="00006F36">
        <w:t>europathic</w:t>
      </w:r>
      <w:r w:rsidR="004E6537" w:rsidRPr="00006F36">
        <w:t xml:space="preserve"> pain, angiokeratomas, and/or cornea verticillata are major clinical</w:t>
      </w:r>
      <w:r w:rsidR="004E6537" w:rsidRPr="00006F36">
        <w:rPr>
          <w:i/>
          <w:iCs/>
        </w:rPr>
        <w:t xml:space="preserve"> </w:t>
      </w:r>
      <w:r w:rsidR="004E6537" w:rsidRPr="00006F36">
        <w:lastRenderedPageBreak/>
        <w:t>characteristics for FD diagnosis in its classical form and may be absent in female</w:t>
      </w:r>
      <w:r w:rsidR="00252D10" w:rsidRPr="00006F36">
        <w:t>s</w:t>
      </w:r>
      <w:r w:rsidR="004E6537" w:rsidRPr="00006F36">
        <w:t xml:space="preserve"> with classical FD and with late-onset forms in both sexes”</w:t>
      </w:r>
      <w:bookmarkEnd w:id="17"/>
      <w:r w:rsidR="00006F36">
        <w:t>.</w:t>
      </w:r>
    </w:p>
    <w:p w14:paraId="7B4B6012" w14:textId="77777777" w:rsidR="00D12810" w:rsidRDefault="00ED27CA" w:rsidP="00D30D5B">
      <w:pPr>
        <w:pStyle w:val="ExecSumBodyText"/>
        <w:numPr>
          <w:ilvl w:val="1"/>
          <w:numId w:val="1"/>
        </w:numPr>
      </w:pPr>
      <w:r w:rsidRPr="00006F36">
        <w:t xml:space="preserve">The proposed clinical criteria for </w:t>
      </w:r>
      <w:r w:rsidR="000D689A" w:rsidRPr="00006F36">
        <w:t xml:space="preserve">initial treatment in </w:t>
      </w:r>
      <w:r w:rsidRPr="00006F36">
        <w:t xml:space="preserve">non-classical Fabry patients </w:t>
      </w:r>
      <w:r w:rsidR="000523C6" w:rsidRPr="00006F36">
        <w:t xml:space="preserve">were </w:t>
      </w:r>
      <w:r w:rsidR="00F11785" w:rsidRPr="00006F36">
        <w:t xml:space="preserve">the same as </w:t>
      </w:r>
      <w:r w:rsidR="000D689A" w:rsidRPr="00006F36">
        <w:t xml:space="preserve">the proposed clinical criteria for initial treatment </w:t>
      </w:r>
      <w:r w:rsidR="00A203B7" w:rsidRPr="00006F36">
        <w:t xml:space="preserve">considered at the December 2022 PBAC meeting and </w:t>
      </w:r>
      <w:r w:rsidR="000523C6" w:rsidRPr="00006F36">
        <w:t xml:space="preserve">consistent with the current LSDP </w:t>
      </w:r>
      <w:r w:rsidR="00D3019B" w:rsidRPr="00006F36">
        <w:t xml:space="preserve">treatment </w:t>
      </w:r>
      <w:r w:rsidR="00BF4250" w:rsidRPr="00006F36">
        <w:t>criteria</w:t>
      </w:r>
      <w:r w:rsidR="00585038" w:rsidRPr="00006F36">
        <w:t xml:space="preserve"> for Fabry disease</w:t>
      </w:r>
      <w:r w:rsidR="00A34040">
        <w:t xml:space="preserve">. </w:t>
      </w:r>
      <w:r w:rsidR="00A34040" w:rsidRPr="0048760F">
        <w:t xml:space="preserve">The submission referred to the symptoms </w:t>
      </w:r>
      <w:r w:rsidR="00A34040">
        <w:t xml:space="preserve">included in the proposed clinical criteria </w:t>
      </w:r>
      <w:r w:rsidR="00A34040" w:rsidRPr="0048760F">
        <w:t>as indicative of end organ damage.</w:t>
      </w:r>
      <w:r w:rsidR="00D12810">
        <w:t xml:space="preserve"> </w:t>
      </w:r>
      <w:r w:rsidR="00A34040">
        <w:t>The PBAC considered the intent of the proposed restriction criteria was to identify patients with</w:t>
      </w:r>
      <w:r w:rsidR="00AF4716">
        <w:t xml:space="preserve"> signs/ symptoms</w:t>
      </w:r>
      <w:r w:rsidR="00A34040">
        <w:t xml:space="preserve"> of major organ involvement</w:t>
      </w:r>
      <w:r w:rsidR="00AF4716">
        <w:t xml:space="preserve"> or evidence of </w:t>
      </w:r>
      <w:r w:rsidR="00A34040">
        <w:t xml:space="preserve">injury </w:t>
      </w:r>
      <w:r w:rsidR="00AF4716">
        <w:t xml:space="preserve">to major organs </w:t>
      </w:r>
      <w:r w:rsidR="00A34040">
        <w:t>(described as ‘</w:t>
      </w:r>
      <w:r w:rsidR="00A06F38">
        <w:t xml:space="preserve">end </w:t>
      </w:r>
      <w:r w:rsidR="00A34040">
        <w:t>organ involvement</w:t>
      </w:r>
      <w:r w:rsidR="00AF4716">
        <w:t>/injury</w:t>
      </w:r>
      <w:r w:rsidR="00A34040">
        <w:t>’ herein).</w:t>
      </w:r>
    </w:p>
    <w:p w14:paraId="796F9EA6" w14:textId="04A2F987" w:rsidR="009C6BE9" w:rsidRPr="00006F36" w:rsidRDefault="009C6BE9" w:rsidP="009C6BE9">
      <w:pPr>
        <w:pStyle w:val="ExecSumBodyText"/>
        <w:numPr>
          <w:ilvl w:val="1"/>
          <w:numId w:val="1"/>
        </w:numPr>
      </w:pPr>
      <w:r w:rsidRPr="00006F36">
        <w:t xml:space="preserve">The proposed restrictions allowed the use of migalastat as first line treatment </w:t>
      </w:r>
      <w:r w:rsidR="00EA57A4" w:rsidRPr="00006F36">
        <w:t xml:space="preserve">in </w:t>
      </w:r>
      <w:r w:rsidR="00412CEF" w:rsidRPr="00006F36">
        <w:t xml:space="preserve">ERT naïve Fabry disease </w:t>
      </w:r>
      <w:r w:rsidR="00EA57A4" w:rsidRPr="00006F36">
        <w:t xml:space="preserve">patients with end organ </w:t>
      </w:r>
      <w:r w:rsidR="00A06F38">
        <w:t>involvement/ injury</w:t>
      </w:r>
      <w:r w:rsidR="00A06F38" w:rsidRPr="00006F36">
        <w:t xml:space="preserve"> </w:t>
      </w:r>
      <w:r w:rsidR="00EA57A4" w:rsidRPr="00006F36">
        <w:t>whereas currently on the LSDP, patients must have been treated with ERT for 12 months before initiating migalastat</w:t>
      </w:r>
      <w:r w:rsidR="00E257E8" w:rsidRPr="00006F36">
        <w:t>.</w:t>
      </w:r>
      <w:r w:rsidR="00006899" w:rsidRPr="00006F36">
        <w:t xml:space="preserve"> </w:t>
      </w:r>
      <w:r w:rsidR="00E257E8" w:rsidRPr="00006F36">
        <w:t xml:space="preserve">This </w:t>
      </w:r>
      <w:r w:rsidR="00006899" w:rsidRPr="00006F36">
        <w:t>was consistent with the PBAC’s previous considerations (paragraph 5.10, migalastat PSD, December 2022</w:t>
      </w:r>
      <w:r w:rsidR="00E51A84" w:rsidRPr="00006F36">
        <w:t xml:space="preserve"> PBAC meeting</w:t>
      </w:r>
      <w:r w:rsidR="00006899" w:rsidRPr="00006F36">
        <w:t>)</w:t>
      </w:r>
      <w:r w:rsidR="00EA57A4" w:rsidRPr="00006F36">
        <w:t>.</w:t>
      </w:r>
    </w:p>
    <w:p w14:paraId="5512DA54" w14:textId="77777777" w:rsidR="00D12810" w:rsidRDefault="003F585B" w:rsidP="003F585B">
      <w:pPr>
        <w:pStyle w:val="3-BodyText"/>
      </w:pPr>
      <w:r w:rsidRPr="00006F36">
        <w:t xml:space="preserve">The proposed restriction to allow treatment of classical male patients when asymptomatic and classical female patients </w:t>
      </w:r>
      <w:r w:rsidR="00E7150D" w:rsidRPr="00006F36">
        <w:t xml:space="preserve">before they demonstrate </w:t>
      </w:r>
      <w:r w:rsidRPr="00006F36">
        <w:t xml:space="preserve">organ </w:t>
      </w:r>
      <w:r w:rsidR="0053666E" w:rsidRPr="00006F36">
        <w:t xml:space="preserve">involvement </w:t>
      </w:r>
      <w:r w:rsidR="002B2031" w:rsidRPr="00006F36">
        <w:t xml:space="preserve">may </w:t>
      </w:r>
      <w:r w:rsidRPr="00006F36">
        <w:t xml:space="preserve">be considered </w:t>
      </w:r>
      <w:r w:rsidR="002B2031" w:rsidRPr="00006F36">
        <w:t xml:space="preserve">as </w:t>
      </w:r>
      <w:r w:rsidRPr="00006F36">
        <w:t xml:space="preserve">‘early treatment with migalastat’ as at least some of these patients would eventually become eligible under the </w:t>
      </w:r>
      <w:r w:rsidR="0053666E" w:rsidRPr="00006F36">
        <w:t xml:space="preserve">organ involvement </w:t>
      </w:r>
      <w:r w:rsidRPr="00006F36">
        <w:t xml:space="preserve">criteria </w:t>
      </w:r>
      <w:r w:rsidR="00997D54" w:rsidRPr="00006F36">
        <w:t>due to disease progression.</w:t>
      </w:r>
    </w:p>
    <w:p w14:paraId="18245E4F" w14:textId="77777777" w:rsidR="00D12810" w:rsidRDefault="00412CEF" w:rsidP="003F585B">
      <w:pPr>
        <w:pStyle w:val="3-BodyText"/>
        <w:rPr>
          <w:i/>
          <w:iCs/>
        </w:rPr>
      </w:pPr>
      <w:r w:rsidRPr="00006F36">
        <w:t xml:space="preserve">The submission refers to the population of </w:t>
      </w:r>
      <w:r w:rsidR="00B93777" w:rsidRPr="00006F36">
        <w:t xml:space="preserve">classical Fabry disease patients who would be eligible for early treatment with migalastat and </w:t>
      </w:r>
      <w:r w:rsidR="005A626B" w:rsidRPr="00006F36">
        <w:t>ERT naïve patients with</w:t>
      </w:r>
      <w:r w:rsidR="0053666E" w:rsidRPr="00006F36">
        <w:t xml:space="preserve"> evidence of </w:t>
      </w:r>
      <w:r w:rsidR="00FB1863">
        <w:t>organ involvement/injury</w:t>
      </w:r>
      <w:r w:rsidR="005A626B" w:rsidRPr="00006F36">
        <w:t xml:space="preserve"> </w:t>
      </w:r>
      <w:r w:rsidR="008F1925" w:rsidRPr="00006F36">
        <w:t xml:space="preserve">who are treated with migalastat </w:t>
      </w:r>
      <w:r w:rsidR="005A626B" w:rsidRPr="00006F36">
        <w:t>as the extended population</w:t>
      </w:r>
      <w:r w:rsidR="005A626B" w:rsidRPr="00006F36">
        <w:rPr>
          <w:i/>
          <w:iCs/>
        </w:rPr>
        <w:t xml:space="preserve">. </w:t>
      </w:r>
      <w:r w:rsidR="005A626B" w:rsidRPr="00006F36">
        <w:t>This extended population form</w:t>
      </w:r>
      <w:r w:rsidR="008F1925" w:rsidRPr="00006F36">
        <w:t>ed</w:t>
      </w:r>
      <w:r w:rsidR="005A626B" w:rsidRPr="00006F36">
        <w:t xml:space="preserve"> the basis for the </w:t>
      </w:r>
      <w:r w:rsidR="00633601" w:rsidRPr="00006F36">
        <w:t xml:space="preserve">tiers in the </w:t>
      </w:r>
      <w:r w:rsidR="00AF46F5" w:rsidRPr="00006F36">
        <w:t>proposed RSA. This is discussed further in paragraph</w:t>
      </w:r>
      <w:r w:rsidR="00BD427A" w:rsidRPr="00006F36">
        <w:t xml:space="preserve">s </w:t>
      </w:r>
      <w:r w:rsidR="00BD427A" w:rsidRPr="00006F36">
        <w:fldChar w:fldCharType="begin" w:fldLock="1"/>
      </w:r>
      <w:r w:rsidR="00BD427A" w:rsidRPr="00006F36">
        <w:instrText xml:space="preserve"> REF _Ref152086443 \r \h  \* MERGEFORMAT </w:instrText>
      </w:r>
      <w:r w:rsidR="00BD427A" w:rsidRPr="00006F36">
        <w:fldChar w:fldCharType="separate"/>
      </w:r>
      <w:r w:rsidR="00F42C5D">
        <w:t>6.46</w:t>
      </w:r>
      <w:r w:rsidR="00BD427A" w:rsidRPr="00006F36">
        <w:fldChar w:fldCharType="end"/>
      </w:r>
      <w:r w:rsidR="00BD427A" w:rsidRPr="00006F36">
        <w:t xml:space="preserve"> and </w:t>
      </w:r>
      <w:r w:rsidR="00BD427A" w:rsidRPr="00006F36">
        <w:fldChar w:fldCharType="begin" w:fldLock="1"/>
      </w:r>
      <w:r w:rsidR="00BD427A" w:rsidRPr="00006F36">
        <w:instrText xml:space="preserve"> REF _Ref152086446 \r \h  \* MERGEFORMAT </w:instrText>
      </w:r>
      <w:r w:rsidR="00BD427A" w:rsidRPr="00006F36">
        <w:fldChar w:fldCharType="separate"/>
      </w:r>
      <w:r w:rsidR="00F42C5D">
        <w:t>6.47</w:t>
      </w:r>
      <w:r w:rsidR="00BD427A" w:rsidRPr="00006F36">
        <w:fldChar w:fldCharType="end"/>
      </w:r>
      <w:r w:rsidR="00E76969" w:rsidRPr="00006F36">
        <w:t>.</w:t>
      </w:r>
    </w:p>
    <w:p w14:paraId="096A4922" w14:textId="77777777" w:rsidR="00D12810" w:rsidRDefault="00A41B02" w:rsidP="00F17AC8">
      <w:pPr>
        <w:pStyle w:val="ExecSumBodyText"/>
        <w:numPr>
          <w:ilvl w:val="1"/>
          <w:numId w:val="1"/>
        </w:numPr>
      </w:pPr>
      <w:r w:rsidRPr="00006F36">
        <w:t xml:space="preserve">The PBAC </w:t>
      </w:r>
      <w:r w:rsidR="0020394F" w:rsidRPr="00006F36">
        <w:t>previously raised concerns regarding the determination of amenability for migalastat</w:t>
      </w:r>
      <w:r w:rsidR="00670494" w:rsidRPr="00006F36">
        <w:t xml:space="preserve"> using the Galafold Amenability Table (GAT)</w:t>
      </w:r>
      <w:r w:rsidR="003C439B" w:rsidRPr="00006F36">
        <w:t>.</w:t>
      </w:r>
      <w:r w:rsidR="00670494" w:rsidRPr="00006F36">
        <w:t xml:space="preserve"> </w:t>
      </w:r>
      <w:r w:rsidR="003C439B" w:rsidRPr="00006F36">
        <w:t>T</w:t>
      </w:r>
      <w:r w:rsidR="00670494" w:rsidRPr="00006F36">
        <w:t xml:space="preserve">he LSDP EP review </w:t>
      </w:r>
      <w:r w:rsidR="00F4683D" w:rsidRPr="00006F36">
        <w:t xml:space="preserve">stated that GAT may identify patients </w:t>
      </w:r>
      <w:r w:rsidR="00404895" w:rsidRPr="00006F36">
        <w:t xml:space="preserve">with in vitro amenability who are not clinically amenable to </w:t>
      </w:r>
      <w:proofErr w:type="gramStart"/>
      <w:r w:rsidR="00404895" w:rsidRPr="00006F36">
        <w:t>migalastat, and</w:t>
      </w:r>
      <w:proofErr w:type="gramEnd"/>
      <w:r w:rsidR="00404895" w:rsidRPr="00006F36">
        <w:t xml:space="preserve"> suggested </w:t>
      </w:r>
      <w:r w:rsidR="006D77C8" w:rsidRPr="00006F36">
        <w:t xml:space="preserve">that patients have an early review of </w:t>
      </w:r>
      <w:r w:rsidR="003C439B" w:rsidRPr="00006F36">
        <w:t>all clinically relevant information, at around 3 to 6 months.</w:t>
      </w:r>
      <w:r w:rsidR="00FF19E2" w:rsidRPr="00006F36">
        <w:t xml:space="preserve"> </w:t>
      </w:r>
      <w:r w:rsidR="003C439B" w:rsidRPr="00006F36">
        <w:t>T</w:t>
      </w:r>
      <w:r w:rsidR="00FF19E2" w:rsidRPr="00006F36">
        <w:t xml:space="preserve">he pre-PBAC response </w:t>
      </w:r>
      <w:r w:rsidR="00670494" w:rsidRPr="00006F36">
        <w:t xml:space="preserve">claimed </w:t>
      </w:r>
      <w:r w:rsidR="00FF19E2" w:rsidRPr="00006F36">
        <w:t xml:space="preserve">that </w:t>
      </w:r>
      <w:r w:rsidR="00670494" w:rsidRPr="00006F36">
        <w:t xml:space="preserve">the GAT </w:t>
      </w:r>
      <w:r w:rsidR="00657CB8" w:rsidRPr="00006F36">
        <w:t xml:space="preserve">will rule out patients who almost certainly </w:t>
      </w:r>
      <w:r w:rsidR="003714B1" w:rsidRPr="00006F36">
        <w:t xml:space="preserve">would not respond to migalastat </w:t>
      </w:r>
      <w:r w:rsidR="0020394F" w:rsidRPr="00006F36">
        <w:t>(paragraph 4.3, migalastat PSD, December 2022</w:t>
      </w:r>
      <w:r w:rsidR="0050515A" w:rsidRPr="00006F36">
        <w:t xml:space="preserve"> PBAC meeting</w:t>
      </w:r>
      <w:r w:rsidR="0020394F" w:rsidRPr="00006F36">
        <w:t>)</w:t>
      </w:r>
      <w:r w:rsidR="007B7FF8" w:rsidRPr="00006F36">
        <w:t xml:space="preserve">. </w:t>
      </w:r>
      <w:r w:rsidR="003714B1" w:rsidRPr="00006F36">
        <w:t xml:space="preserve">The </w:t>
      </w:r>
      <w:r w:rsidR="008150BF" w:rsidRPr="00006F36">
        <w:t xml:space="preserve">proposed </w:t>
      </w:r>
      <w:r w:rsidR="00BE5FFF" w:rsidRPr="00006F36">
        <w:t xml:space="preserve">number of repeats </w:t>
      </w:r>
      <w:r w:rsidR="00C40677" w:rsidRPr="00006F36">
        <w:t xml:space="preserve">will allow </w:t>
      </w:r>
      <w:r w:rsidR="008150BF" w:rsidRPr="00006F36">
        <w:t xml:space="preserve">initial </w:t>
      </w:r>
      <w:r w:rsidR="00C40677" w:rsidRPr="00006F36">
        <w:t xml:space="preserve">treatment for up to 24 weeks, and the </w:t>
      </w:r>
      <w:r w:rsidR="003714B1" w:rsidRPr="00006F36">
        <w:t xml:space="preserve">proposed continuation criteria </w:t>
      </w:r>
      <w:r w:rsidR="000D4279" w:rsidRPr="00006F36">
        <w:t>require patients to have demonstrated clinical improvement or stabilisation of th</w:t>
      </w:r>
      <w:r w:rsidR="00E51A84" w:rsidRPr="00006F36">
        <w:t>eir</w:t>
      </w:r>
      <w:r w:rsidR="000D4279" w:rsidRPr="00006F36">
        <w:t xml:space="preserve"> condition</w:t>
      </w:r>
      <w:r w:rsidR="00C40677" w:rsidRPr="00006F36">
        <w:t>.</w:t>
      </w:r>
    </w:p>
    <w:p w14:paraId="2947DBE1" w14:textId="4642BD70" w:rsidR="00060569" w:rsidRPr="00060569" w:rsidRDefault="00060569" w:rsidP="00060569">
      <w:pPr>
        <w:pStyle w:val="3-BodyText"/>
        <w:numPr>
          <w:ilvl w:val="0"/>
          <w:numId w:val="0"/>
        </w:numPr>
        <w:ind w:left="720"/>
        <w:rPr>
          <w:i/>
          <w:iCs/>
        </w:rPr>
      </w:pPr>
      <w:r w:rsidRPr="00060569">
        <w:rPr>
          <w:i/>
          <w:iCs/>
        </w:rPr>
        <w:t>For more detail on PBAC’s view, see section 7 PBAC outcome.</w:t>
      </w:r>
    </w:p>
    <w:p w14:paraId="7075B85C" w14:textId="62A47B7B" w:rsidR="00B50DB8" w:rsidRPr="00006F36" w:rsidDel="00195452" w:rsidRDefault="00203181" w:rsidP="004E18E9">
      <w:pPr>
        <w:pStyle w:val="2-SectionHeading"/>
      </w:pPr>
      <w:bookmarkStart w:id="18" w:name="_Toc156995871"/>
      <w:r w:rsidRPr="00006F36" w:rsidDel="00195452">
        <w:t xml:space="preserve">Population and </w:t>
      </w:r>
      <w:r w:rsidR="008E0D3C" w:rsidRPr="00006F36" w:rsidDel="00195452">
        <w:t>d</w:t>
      </w:r>
      <w:r w:rsidRPr="00006F36" w:rsidDel="00195452">
        <w:t>isease</w:t>
      </w:r>
      <w:bookmarkEnd w:id="18"/>
    </w:p>
    <w:p w14:paraId="2E05951A" w14:textId="3F7DD3DE" w:rsidR="00FB0159" w:rsidRPr="00006F36" w:rsidRDefault="00FB0159" w:rsidP="00FB0159">
      <w:pPr>
        <w:pStyle w:val="3-BodyText"/>
        <w:rPr>
          <w:rFonts w:ascii="Arial" w:hAnsi="Arial"/>
          <w:sz w:val="22"/>
        </w:rPr>
      </w:pPr>
      <w:r w:rsidRPr="00006F36">
        <w:t xml:space="preserve">Fabry disease is a rare, X-linked genetic disorder caused by a deficiency in the enzyme α-Gal A. Deficiency of α-Gal A results in accumulation in the body of </w:t>
      </w:r>
      <w:r w:rsidRPr="00006F36">
        <w:lastRenderedPageBreak/>
        <w:t>globotriaosylceramide (</w:t>
      </w:r>
      <w:r w:rsidR="00414DA7" w:rsidRPr="00006F36">
        <w:t xml:space="preserve">also known as </w:t>
      </w:r>
      <w:r w:rsidRPr="00006F36">
        <w:t>GB3 or GL-3) and other related glycosphingolipids. This can cause long-term complications in organs throughout the body including the kidneys, heart and brain.</w:t>
      </w:r>
    </w:p>
    <w:p w14:paraId="31358B34" w14:textId="5E3EA31E" w:rsidR="00B80BB2" w:rsidRPr="00006F36" w:rsidRDefault="00EA11F0" w:rsidP="00B80BB2">
      <w:pPr>
        <w:pStyle w:val="3-BodyText"/>
        <w:rPr>
          <w:rFonts w:ascii="Arial" w:hAnsi="Arial"/>
          <w:sz w:val="22"/>
        </w:rPr>
      </w:pPr>
      <w:r w:rsidRPr="00006F36">
        <w:t>In general, males are mor</w:t>
      </w:r>
      <w:r w:rsidR="00A32A35" w:rsidRPr="00006F36">
        <w:t>e</w:t>
      </w:r>
      <w:r w:rsidRPr="00006F36">
        <w:t xml:space="preserve"> severely affected than females. Females with Fabry disease are heterozygous for the Fabry gene mutation and have a 50 per</w:t>
      </w:r>
      <w:r w:rsidR="00A32A35" w:rsidRPr="00006F36">
        <w:t xml:space="preserve"> </w:t>
      </w:r>
      <w:r w:rsidRPr="00006F36">
        <w:t>cent chance of passing the gene on to daughters or sons</w:t>
      </w:r>
      <w:r w:rsidR="00BF05CB" w:rsidRPr="00006F36">
        <w:t>. Female</w:t>
      </w:r>
      <w:r w:rsidR="00A160B6" w:rsidRPr="00006F36">
        <w:t>s</w:t>
      </w:r>
      <w:r w:rsidR="00BF05CB" w:rsidRPr="00006F36">
        <w:t xml:space="preserve"> have a variable disease course that ranges from asymptomatic disease to a severe phenotype resembling that seen in males. This phenotypic variation may be due in large part to random X-chromosome inactivation, by which some cells will have the X chromosome with the defective gene activated and others will have the X chromosome with the functioning gene activated.</w:t>
      </w:r>
      <w:r w:rsidR="000E64D6" w:rsidRPr="00006F36">
        <w:t xml:space="preserve"> </w:t>
      </w:r>
      <w:r w:rsidR="00BF05CB" w:rsidRPr="00006F36">
        <w:t>(</w:t>
      </w:r>
      <w:r w:rsidR="0077531C" w:rsidRPr="00006F36">
        <w:t>UpToDate 2023</w:t>
      </w:r>
      <w:r w:rsidR="0077531C" w:rsidRPr="00006F36">
        <w:rPr>
          <w:vertAlign w:val="superscript"/>
        </w:rPr>
        <w:footnoteReference w:id="9"/>
      </w:r>
      <w:r w:rsidR="0077531C" w:rsidRPr="00006F36">
        <w:t>)</w:t>
      </w:r>
    </w:p>
    <w:p w14:paraId="67F8485E" w14:textId="77777777" w:rsidR="00D12810" w:rsidRDefault="00986869" w:rsidP="00B80BB2">
      <w:pPr>
        <w:pStyle w:val="3-BodyText"/>
      </w:pPr>
      <w:r w:rsidRPr="00006F36">
        <w:t>Treatment for Fabry disease in Australia is focused on correcting enzyme deficiencies through ERT</w:t>
      </w:r>
      <w:r w:rsidR="002F4F97" w:rsidRPr="00006F36">
        <w:t xml:space="preserve"> or the use of migalastat</w:t>
      </w:r>
      <w:r w:rsidRPr="00006F36">
        <w:t xml:space="preserve">. Migalastat acts directly on α-Gal A to reduce GB3/GL-3 accumulation as a “pharmacologic chaperone” and is administered to patients orally once every other day. ERT is administered via IV infusion once every fortnight. ERT can be used in patients </w:t>
      </w:r>
      <w:r w:rsidR="00DE0C3F" w:rsidRPr="00006F36">
        <w:t xml:space="preserve">of any </w:t>
      </w:r>
      <w:proofErr w:type="gramStart"/>
      <w:r w:rsidR="00DE0C3F" w:rsidRPr="00006F36">
        <w:t>age</w:t>
      </w:r>
      <w:r w:rsidRPr="00006F36">
        <w:t>, and</w:t>
      </w:r>
      <w:proofErr w:type="gramEnd"/>
      <w:r w:rsidRPr="00006F36">
        <w:t xml:space="preserve"> does not depend on amenability to a specific treatment.</w:t>
      </w:r>
    </w:p>
    <w:p w14:paraId="2EBD0694" w14:textId="4D844FDA" w:rsidR="002E6630" w:rsidRPr="00006F36" w:rsidRDefault="00032D33" w:rsidP="004E18E9">
      <w:pPr>
        <w:pStyle w:val="3-BodyText"/>
      </w:pPr>
      <w:bookmarkStart w:id="19" w:name="_Ref152069146"/>
      <w:r w:rsidRPr="00006F36">
        <w:t xml:space="preserve">The submission </w:t>
      </w:r>
      <w:r w:rsidR="001218F6" w:rsidRPr="00006F36">
        <w:t xml:space="preserve">proposed </w:t>
      </w:r>
      <w:r w:rsidRPr="00006F36">
        <w:t xml:space="preserve">that migalastat be available </w:t>
      </w:r>
      <w:r w:rsidR="002E6630" w:rsidRPr="00006F36">
        <w:t xml:space="preserve">as first line treatment </w:t>
      </w:r>
      <w:r w:rsidR="00483BF8" w:rsidRPr="00006F36">
        <w:t xml:space="preserve">in </w:t>
      </w:r>
      <w:r w:rsidR="00433DAA" w:rsidRPr="00006F36">
        <w:t xml:space="preserve">patients </w:t>
      </w:r>
      <w:r w:rsidR="002F7940" w:rsidRPr="00006F36">
        <w:t xml:space="preserve">aged 12 years and above </w:t>
      </w:r>
      <w:r w:rsidR="00433DAA" w:rsidRPr="00006F36">
        <w:t>who have an amenable mutation</w:t>
      </w:r>
      <w:r w:rsidR="00436675" w:rsidRPr="00006F36">
        <w:t xml:space="preserve"> </w:t>
      </w:r>
      <w:r w:rsidR="00EC4689" w:rsidRPr="00006F36">
        <w:t>if they were</w:t>
      </w:r>
      <w:r w:rsidR="002E6630" w:rsidRPr="00006F36">
        <w:t>:</w:t>
      </w:r>
      <w:bookmarkEnd w:id="19"/>
    </w:p>
    <w:p w14:paraId="232D918C" w14:textId="6B4D58CB" w:rsidR="00501FC0" w:rsidRPr="00006F36" w:rsidRDefault="00EC4689" w:rsidP="00947AB2">
      <w:pPr>
        <w:pStyle w:val="3-BodyText"/>
        <w:numPr>
          <w:ilvl w:val="0"/>
          <w:numId w:val="10"/>
        </w:numPr>
        <w:ind w:left="993" w:hanging="284"/>
      </w:pPr>
      <w:r w:rsidRPr="00006F36">
        <w:t>Male patients with classical Fabry disease, with or without any symptoms;</w:t>
      </w:r>
    </w:p>
    <w:p w14:paraId="0D0D3A2C" w14:textId="2D943A15" w:rsidR="00C7125D" w:rsidRPr="00006F36" w:rsidRDefault="00EC4689" w:rsidP="00947AB2">
      <w:pPr>
        <w:pStyle w:val="3-BodyText"/>
        <w:numPr>
          <w:ilvl w:val="0"/>
          <w:numId w:val="10"/>
        </w:numPr>
        <w:ind w:left="993" w:hanging="284"/>
      </w:pPr>
      <w:r w:rsidRPr="00006F36">
        <w:t xml:space="preserve">Female patients with classical Fabry disease if they have </w:t>
      </w:r>
      <w:r w:rsidR="00A8200D" w:rsidRPr="00006F36">
        <w:t xml:space="preserve">evidence of injury to the kidney, heart or central nervous system </w:t>
      </w:r>
      <w:r w:rsidR="00BE568F" w:rsidRPr="00006F36">
        <w:t xml:space="preserve">(CNS) </w:t>
      </w:r>
      <w:r w:rsidR="00A8200D" w:rsidRPr="00006F36">
        <w:t>that is attributable to Fabry disease or have significant symptoms from Fabry disease that are affecting their quality of life; and</w:t>
      </w:r>
    </w:p>
    <w:p w14:paraId="1CC45D1B" w14:textId="77777777" w:rsidR="00D12810" w:rsidRDefault="00C7125D" w:rsidP="00947AB2">
      <w:pPr>
        <w:pStyle w:val="3-BodyText"/>
        <w:numPr>
          <w:ilvl w:val="0"/>
          <w:numId w:val="10"/>
        </w:numPr>
        <w:ind w:left="993" w:hanging="284"/>
      </w:pPr>
      <w:r w:rsidRPr="00006F36">
        <w:t xml:space="preserve">Patients with non-classical Fabry disease and </w:t>
      </w:r>
      <w:r w:rsidR="00594584" w:rsidRPr="00006F36">
        <w:t xml:space="preserve">have </w:t>
      </w:r>
      <w:r w:rsidR="00FB1863">
        <w:t>organ involvement/injury</w:t>
      </w:r>
      <w:r w:rsidR="00F00B68" w:rsidRPr="00006F36">
        <w:t>.</w:t>
      </w:r>
    </w:p>
    <w:p w14:paraId="631D137C" w14:textId="77777777" w:rsidR="00D12810" w:rsidRDefault="00012C66" w:rsidP="00DD10FB">
      <w:pPr>
        <w:pStyle w:val="3-BodyText"/>
      </w:pPr>
      <w:r w:rsidRPr="00006F36">
        <w:t>Implicitly</w:t>
      </w:r>
      <w:r w:rsidR="0065241F" w:rsidRPr="00006F36">
        <w:t xml:space="preserve">, the submission </w:t>
      </w:r>
      <w:r w:rsidR="0042796B" w:rsidRPr="00006F36">
        <w:t xml:space="preserve">proposed </w:t>
      </w:r>
      <w:r w:rsidR="0065241F" w:rsidRPr="00006F36">
        <w:t>that ERT will be</w:t>
      </w:r>
      <w:r w:rsidRPr="00006F36">
        <w:t>come</w:t>
      </w:r>
      <w:r w:rsidR="0065241F" w:rsidRPr="00006F36">
        <w:t xml:space="preserve"> second line therapy in patients aged 12 years or older with classical Fabry disease </w:t>
      </w:r>
      <w:r w:rsidR="00E45C74" w:rsidRPr="00006F36">
        <w:t>who have an amenable mutation, as these patients would be able to access migalastat, but not ERT until the disease has progressed</w:t>
      </w:r>
      <w:r w:rsidRPr="00006F36">
        <w:t xml:space="preserve"> such that they meet the LSDP treatment criteria. This was not consistent with the clinical guidelines summarised by the submission in which ERT and migalastat were both considered first line therapies across several guidelines, including Nicholls 202</w:t>
      </w:r>
      <w:r w:rsidR="00F502E3" w:rsidRPr="00006F36">
        <w:t>4</w:t>
      </w:r>
      <w:r w:rsidRPr="00006F36">
        <w:t>.</w:t>
      </w:r>
    </w:p>
    <w:p w14:paraId="51E5AE96" w14:textId="3434A7FB" w:rsidR="00B50DB8" w:rsidRPr="00006F36" w:rsidRDefault="00B50DB8" w:rsidP="004E18E9">
      <w:pPr>
        <w:pStyle w:val="2-SectionHeading"/>
      </w:pPr>
      <w:bookmarkStart w:id="20" w:name="_Toc156995872"/>
      <w:r w:rsidRPr="00006F36">
        <w:t>Comparator</w:t>
      </w:r>
      <w:bookmarkEnd w:id="20"/>
    </w:p>
    <w:p w14:paraId="18F072CD" w14:textId="77777777" w:rsidR="00D12810" w:rsidRDefault="004B52F7" w:rsidP="00882E3C">
      <w:pPr>
        <w:pStyle w:val="3-BodyText"/>
        <w:rPr>
          <w:snapToGrid/>
        </w:rPr>
      </w:pPr>
      <w:r w:rsidRPr="00006F36">
        <w:rPr>
          <w:snapToGrid/>
        </w:rPr>
        <w:t>No comparator was</w:t>
      </w:r>
      <w:r w:rsidR="00806672" w:rsidRPr="00006F36">
        <w:rPr>
          <w:snapToGrid/>
        </w:rPr>
        <w:t xml:space="preserve"> </w:t>
      </w:r>
      <w:r w:rsidR="00F114EC" w:rsidRPr="00006F36">
        <w:rPr>
          <w:snapToGrid/>
        </w:rPr>
        <w:t xml:space="preserve">explicitly </w:t>
      </w:r>
      <w:r w:rsidRPr="00006F36">
        <w:rPr>
          <w:snapToGrid/>
        </w:rPr>
        <w:t>nominated</w:t>
      </w:r>
      <w:r w:rsidR="00806672" w:rsidRPr="00006F36">
        <w:rPr>
          <w:snapToGrid/>
        </w:rPr>
        <w:t xml:space="preserve"> by the </w:t>
      </w:r>
      <w:r w:rsidR="0050515A" w:rsidRPr="00006F36">
        <w:rPr>
          <w:snapToGrid/>
        </w:rPr>
        <w:t xml:space="preserve">submission </w:t>
      </w:r>
      <w:r w:rsidR="00F114EC" w:rsidRPr="00006F36">
        <w:rPr>
          <w:snapToGrid/>
        </w:rPr>
        <w:t xml:space="preserve">though a claim of non-inferior </w:t>
      </w:r>
      <w:r w:rsidR="00177E3A" w:rsidRPr="00006F36">
        <w:rPr>
          <w:snapToGrid/>
        </w:rPr>
        <w:t>efficacy to ERTs was made</w:t>
      </w:r>
      <w:r w:rsidRPr="00006F36">
        <w:rPr>
          <w:snapToGrid/>
        </w:rPr>
        <w:t>.</w:t>
      </w:r>
      <w:r w:rsidR="008F1DF0" w:rsidRPr="00006F36">
        <w:rPr>
          <w:snapToGrid/>
        </w:rPr>
        <w:t xml:space="preserve"> There is currently no PBS subsidised treatment for Fabry disease. </w:t>
      </w:r>
      <w:r w:rsidR="00E61A9A" w:rsidRPr="00006F36">
        <w:rPr>
          <w:snapToGrid/>
        </w:rPr>
        <w:t>ERT (with a</w:t>
      </w:r>
      <w:r w:rsidR="00CD7B4F" w:rsidRPr="00006F36">
        <w:rPr>
          <w:snapToGrid/>
        </w:rPr>
        <w:t>gal</w:t>
      </w:r>
      <w:r w:rsidR="00577188" w:rsidRPr="00006F36">
        <w:rPr>
          <w:snapToGrid/>
        </w:rPr>
        <w:t xml:space="preserve">sidase alfa or agalsidase beta) </w:t>
      </w:r>
      <w:r w:rsidR="00783E0D" w:rsidRPr="00006F36">
        <w:rPr>
          <w:snapToGrid/>
        </w:rPr>
        <w:t xml:space="preserve">on the LSDP was </w:t>
      </w:r>
      <w:r w:rsidR="00D70060" w:rsidRPr="00006F36">
        <w:rPr>
          <w:snapToGrid/>
        </w:rPr>
        <w:t xml:space="preserve">previously </w:t>
      </w:r>
      <w:r w:rsidR="00D70060" w:rsidRPr="00006F36">
        <w:rPr>
          <w:snapToGrid/>
        </w:rPr>
        <w:lastRenderedPageBreak/>
        <w:t>nominated as the comparator at the March 20</w:t>
      </w:r>
      <w:r w:rsidR="00A8399E" w:rsidRPr="00006F36">
        <w:rPr>
          <w:snapToGrid/>
        </w:rPr>
        <w:t>17 PBAC meeting, which was considered reasonable as ERTs were the treatment most likely replaced by migalastat</w:t>
      </w:r>
      <w:r w:rsidR="00B8637A" w:rsidRPr="00006F36">
        <w:rPr>
          <w:snapToGrid/>
        </w:rPr>
        <w:t xml:space="preserve"> (paragraph 7.2, </w:t>
      </w:r>
      <w:r w:rsidR="00A8620B" w:rsidRPr="00006F36">
        <w:rPr>
          <w:snapToGrid/>
        </w:rPr>
        <w:t>migalastat PSD, March 2017</w:t>
      </w:r>
      <w:r w:rsidR="0050515A" w:rsidRPr="00006F36">
        <w:rPr>
          <w:snapToGrid/>
        </w:rPr>
        <w:t xml:space="preserve"> PBAC meeting</w:t>
      </w:r>
      <w:r w:rsidR="00A8620B" w:rsidRPr="00006F36">
        <w:rPr>
          <w:snapToGrid/>
        </w:rPr>
        <w:t>)</w:t>
      </w:r>
      <w:r w:rsidR="00006F36">
        <w:rPr>
          <w:snapToGrid/>
        </w:rPr>
        <w:t>.</w:t>
      </w:r>
    </w:p>
    <w:p w14:paraId="11AD29E3" w14:textId="77777777" w:rsidR="00D12810" w:rsidRDefault="00A3451B" w:rsidP="00A3451B">
      <w:pPr>
        <w:pStyle w:val="3-BodyText"/>
      </w:pPr>
      <w:bookmarkStart w:id="21" w:name="_Ref151113336"/>
      <w:r w:rsidRPr="00006F36">
        <w:t xml:space="preserve">However, LSDP subsidised ERT is not available for male patients with classical Fabry disease without any symptoms, or in female patients with classical Fabry disease with symptoms that do not meet the </w:t>
      </w:r>
      <w:r w:rsidR="00C27986" w:rsidRPr="00006F36">
        <w:t>definition of end organ</w:t>
      </w:r>
      <w:r w:rsidR="00A06F38">
        <w:t xml:space="preserve"> involvement/ injury</w:t>
      </w:r>
      <w:r w:rsidRPr="00006F36">
        <w:t xml:space="preserve">. As such, in these patients, ERT would not be the appropriate comparator and instead </w:t>
      </w:r>
      <w:r w:rsidR="00D05080" w:rsidRPr="00006F36">
        <w:t>watchful waiting until the patient meets the LSDP treatment criteria</w:t>
      </w:r>
      <w:r w:rsidRPr="00006F36">
        <w:t xml:space="preserve"> would be the most appropriate</w:t>
      </w:r>
      <w:r w:rsidRPr="00006F36">
        <w:rPr>
          <w:i/>
          <w:iCs/>
        </w:rPr>
        <w:t xml:space="preserve"> </w:t>
      </w:r>
      <w:r w:rsidRPr="00006F36">
        <w:t xml:space="preserve">comparator. </w:t>
      </w:r>
      <w:r w:rsidR="00ED27CA" w:rsidRPr="00006F36">
        <w:t xml:space="preserve">That is, in the proposed classical Fabry population, the comparator should be </w:t>
      </w:r>
      <w:r w:rsidR="000D7F26" w:rsidRPr="00006F36">
        <w:t>‘</w:t>
      </w:r>
      <w:r w:rsidR="00ED27CA" w:rsidRPr="00006F36">
        <w:t>delayed treatment</w:t>
      </w:r>
      <w:r w:rsidR="000D7F26" w:rsidRPr="00006F36">
        <w:t>’</w:t>
      </w:r>
      <w:r w:rsidR="00ED27CA" w:rsidRPr="00006F36">
        <w:t xml:space="preserve"> (</w:t>
      </w:r>
      <w:r w:rsidR="006D60B0" w:rsidRPr="00006F36">
        <w:t>i.e.</w:t>
      </w:r>
      <w:r w:rsidR="00FD4992" w:rsidRPr="00006F36">
        <w:t xml:space="preserve"> watchful waiting</w:t>
      </w:r>
      <w:r w:rsidR="006D60B0" w:rsidRPr="00006F36">
        <w:t xml:space="preserve"> </w:t>
      </w:r>
      <w:r w:rsidR="00ED27CA" w:rsidRPr="00006F36">
        <w:t>until LSDP treatment criteria were met)</w:t>
      </w:r>
      <w:r w:rsidR="00A203B7" w:rsidRPr="00006F36">
        <w:t xml:space="preserve"> </w:t>
      </w:r>
      <w:r w:rsidR="00FD4992" w:rsidRPr="00006F36">
        <w:t xml:space="preserve">compared to </w:t>
      </w:r>
      <w:r w:rsidR="00A203B7" w:rsidRPr="00006F36">
        <w:t xml:space="preserve">the intervention </w:t>
      </w:r>
      <w:r w:rsidR="00FD4992" w:rsidRPr="00006F36">
        <w:t xml:space="preserve">of </w:t>
      </w:r>
      <w:r w:rsidR="00A203B7" w:rsidRPr="00006F36">
        <w:t>early treatment</w:t>
      </w:r>
      <w:r w:rsidR="006D60B0" w:rsidRPr="00006F36">
        <w:t xml:space="preserve"> with migalastat</w:t>
      </w:r>
      <w:bookmarkEnd w:id="21"/>
      <w:r w:rsidR="00006F36">
        <w:t>.</w:t>
      </w:r>
    </w:p>
    <w:p w14:paraId="7EFC115C" w14:textId="5B70CE74" w:rsidR="00A13491" w:rsidRPr="00006F36" w:rsidRDefault="00010D9F" w:rsidP="00A3451B">
      <w:pPr>
        <w:pStyle w:val="3-BodyText"/>
      </w:pPr>
      <w:bookmarkStart w:id="22" w:name="_Ref151113338"/>
      <w:r w:rsidRPr="00006F36">
        <w:t>E</w:t>
      </w:r>
      <w:r w:rsidR="00B907CE" w:rsidRPr="00006F36">
        <w:t xml:space="preserve">arly treatment </w:t>
      </w:r>
      <w:r w:rsidR="00012C66" w:rsidRPr="00006F36">
        <w:t>represent</w:t>
      </w:r>
      <w:r w:rsidR="0024466A" w:rsidRPr="00006F36">
        <w:t>s</w:t>
      </w:r>
      <w:r w:rsidR="00012C66" w:rsidRPr="00006F36">
        <w:t xml:space="preserve"> </w:t>
      </w:r>
      <w:r w:rsidR="00080590" w:rsidRPr="00006F36">
        <w:t xml:space="preserve">two </w:t>
      </w:r>
      <w:r w:rsidR="00012C66" w:rsidRPr="00006F36">
        <w:t xml:space="preserve">different treatment regimens in </w:t>
      </w:r>
      <w:r w:rsidR="003C7301" w:rsidRPr="00006F36">
        <w:t>the proposed restrictions</w:t>
      </w:r>
      <w:r w:rsidR="00A13491" w:rsidRPr="00006F36">
        <w:t>:</w:t>
      </w:r>
    </w:p>
    <w:p w14:paraId="3800ED12" w14:textId="77777777" w:rsidR="00D12810" w:rsidRDefault="00A13491" w:rsidP="00947AB2">
      <w:pPr>
        <w:pStyle w:val="3-BodyText"/>
        <w:numPr>
          <w:ilvl w:val="0"/>
          <w:numId w:val="22"/>
        </w:numPr>
        <w:ind w:left="993" w:hanging="284"/>
      </w:pPr>
      <w:r w:rsidRPr="00006F36">
        <w:t>‘Asymptomatic early treatment’, a</w:t>
      </w:r>
      <w:r w:rsidR="00080590" w:rsidRPr="00006F36">
        <w:t xml:space="preserve">n earlier treatment at diagnosis </w:t>
      </w:r>
      <w:r w:rsidR="003C7301" w:rsidRPr="00006F36">
        <w:t>for male classical Fabry disease patients (can be treated when asymptomatic)</w:t>
      </w:r>
      <w:r w:rsidRPr="00006F36">
        <w:t>;</w:t>
      </w:r>
      <w:r w:rsidR="003C7301" w:rsidRPr="00006F36">
        <w:t xml:space="preserve"> </w:t>
      </w:r>
      <w:r w:rsidR="00012C66" w:rsidRPr="00006F36">
        <w:t>and</w:t>
      </w:r>
    </w:p>
    <w:p w14:paraId="38285854" w14:textId="77777777" w:rsidR="00D12810" w:rsidRDefault="00A13491" w:rsidP="00947AB2">
      <w:pPr>
        <w:pStyle w:val="3-BodyText"/>
        <w:numPr>
          <w:ilvl w:val="0"/>
          <w:numId w:val="22"/>
        </w:numPr>
        <w:ind w:left="993" w:hanging="284"/>
      </w:pPr>
      <w:r w:rsidRPr="00006F36">
        <w:t>‘Symptomatic early treatment’, a</w:t>
      </w:r>
      <w:r w:rsidR="00080590" w:rsidRPr="00006F36">
        <w:t xml:space="preserve"> </w:t>
      </w:r>
      <w:r w:rsidR="0091008D" w:rsidRPr="00006F36">
        <w:t xml:space="preserve">more delayed (but still earlier than current </w:t>
      </w:r>
      <w:r w:rsidR="00A230A1" w:rsidRPr="00006F36">
        <w:t xml:space="preserve">requirement for signs of </w:t>
      </w:r>
      <w:r w:rsidR="00FB1863">
        <w:t>organ involvement/injury</w:t>
      </w:r>
      <w:r w:rsidR="0091008D" w:rsidRPr="00006F36">
        <w:t xml:space="preserve">) treatment </w:t>
      </w:r>
      <w:r w:rsidRPr="00006F36">
        <w:t xml:space="preserve">initiation </w:t>
      </w:r>
      <w:r w:rsidR="0091008D" w:rsidRPr="00006F36">
        <w:t xml:space="preserve">for </w:t>
      </w:r>
      <w:r w:rsidR="003C7301" w:rsidRPr="00006F36">
        <w:t>female classical Fabry disease patients (</w:t>
      </w:r>
      <w:r w:rsidR="002C523D" w:rsidRPr="00006F36">
        <w:t xml:space="preserve">must have </w:t>
      </w:r>
      <w:r w:rsidR="007A2814" w:rsidRPr="00006F36">
        <w:t xml:space="preserve">one or more </w:t>
      </w:r>
      <w:r w:rsidR="007F4361" w:rsidRPr="00006F36">
        <w:t>injury to the kidney, heart or CNS attributable to Fabry disease or if Fabry disease symptoms affect quality of life</w:t>
      </w:r>
      <w:r w:rsidR="00982C1F" w:rsidRPr="00006F36">
        <w:t>)</w:t>
      </w:r>
      <w:r w:rsidR="00B907CE" w:rsidRPr="00006F36">
        <w:t>.</w:t>
      </w:r>
    </w:p>
    <w:p w14:paraId="7F9C27C8" w14:textId="16939E30" w:rsidR="00223D5A" w:rsidRPr="00006F36" w:rsidRDefault="00223D5A" w:rsidP="00223D5A">
      <w:pPr>
        <w:pStyle w:val="2-SectionHeading"/>
        <w:numPr>
          <w:ilvl w:val="0"/>
          <w:numId w:val="1"/>
        </w:numPr>
      </w:pPr>
      <w:bookmarkStart w:id="23" w:name="_Toc152064997"/>
      <w:bookmarkStart w:id="24" w:name="_Toc152086168"/>
      <w:bookmarkStart w:id="25" w:name="_Toc156995873"/>
      <w:bookmarkStart w:id="26" w:name="_Toc22897640"/>
      <w:bookmarkEnd w:id="22"/>
      <w:bookmarkEnd w:id="23"/>
      <w:bookmarkEnd w:id="24"/>
      <w:r w:rsidRPr="00006F36">
        <w:t>Consideration of the evidence</w:t>
      </w:r>
      <w:bookmarkEnd w:id="25"/>
    </w:p>
    <w:p w14:paraId="36CC66E0" w14:textId="77777777" w:rsidR="00947AB2" w:rsidRPr="00006F36" w:rsidRDefault="00947AB2" w:rsidP="00947AB2">
      <w:pPr>
        <w:pStyle w:val="4-SubsectionHeading"/>
      </w:pPr>
      <w:bookmarkStart w:id="27" w:name="_Toc156995874"/>
      <w:r w:rsidRPr="00006F36">
        <w:t>Sponsor hearing</w:t>
      </w:r>
    </w:p>
    <w:p w14:paraId="752E91F2" w14:textId="2F6BC44B" w:rsidR="00B51441" w:rsidRPr="00006F36" w:rsidRDefault="00B51441" w:rsidP="00B51441">
      <w:pPr>
        <w:widowControl w:val="0"/>
        <w:numPr>
          <w:ilvl w:val="1"/>
          <w:numId w:val="1"/>
        </w:numPr>
        <w:spacing w:after="120"/>
        <w:rPr>
          <w:rFonts w:asciiTheme="minorHAnsi" w:hAnsiTheme="minorHAnsi"/>
          <w:bCs/>
          <w:snapToGrid w:val="0"/>
        </w:rPr>
      </w:pPr>
      <w:bookmarkStart w:id="28" w:name="_Hlk76382586"/>
      <w:r w:rsidRPr="00006F36">
        <w:rPr>
          <w:rFonts w:asciiTheme="minorHAnsi" w:hAnsiTheme="minorHAnsi"/>
          <w:bCs/>
          <w:snapToGrid w:val="0"/>
        </w:rPr>
        <w:t>The sponsor requested a hearing for this item. The clinician presented clinical case studies and discussed the natural history of the disease</w:t>
      </w:r>
      <w:r w:rsidR="0053666E" w:rsidRPr="00006F36">
        <w:rPr>
          <w:rFonts w:asciiTheme="minorHAnsi" w:hAnsiTheme="minorHAnsi"/>
          <w:bCs/>
          <w:snapToGrid w:val="0"/>
        </w:rPr>
        <w:t xml:space="preserve"> and </w:t>
      </w:r>
      <w:r w:rsidRPr="00006F36">
        <w:rPr>
          <w:rFonts w:asciiTheme="minorHAnsi" w:hAnsiTheme="minorHAnsi"/>
          <w:bCs/>
          <w:snapToGrid w:val="0"/>
        </w:rPr>
        <w:t>how migalastat would be used in practice</w:t>
      </w:r>
      <w:r w:rsidR="0053666E" w:rsidRPr="00006F36">
        <w:rPr>
          <w:rFonts w:asciiTheme="minorHAnsi" w:hAnsiTheme="minorHAnsi"/>
          <w:bCs/>
          <w:snapToGrid w:val="0"/>
        </w:rPr>
        <w:t xml:space="preserve">. </w:t>
      </w:r>
      <w:r w:rsidRPr="00006F36">
        <w:rPr>
          <w:rFonts w:asciiTheme="minorHAnsi" w:hAnsiTheme="minorHAnsi"/>
          <w:bCs/>
          <w:snapToGrid w:val="0"/>
        </w:rPr>
        <w:t xml:space="preserve">The clinician emphasised that (i) </w:t>
      </w:r>
      <w:r w:rsidRPr="00006F36">
        <w:rPr>
          <w:bCs/>
        </w:rPr>
        <w:t>the leading Fabry experts in Australia advocate changing the reimbursement criteria to reflect current clinical evidence; (ii) phenotypic stratification into classic and non-classic disease for treatment initiation will maximise benefit to patients; and (iii) timely treatment (before organ damage) is critical for the best outcomes, especially in classic patients.</w:t>
      </w:r>
      <w:r w:rsidR="0053666E" w:rsidRPr="00006F36">
        <w:rPr>
          <w:bCs/>
        </w:rPr>
        <w:t xml:space="preserve"> In response to the Committee’s question, the clinician noted </w:t>
      </w:r>
      <w:r w:rsidR="0053666E" w:rsidRPr="00006F36">
        <w:t xml:space="preserve">gastrointestinal symptoms are not a criteria on </w:t>
      </w:r>
      <w:r w:rsidR="008D4433" w:rsidRPr="00006F36">
        <w:t>LSDP but</w:t>
      </w:r>
      <w:r w:rsidR="0053666E" w:rsidRPr="00006F36">
        <w:t xml:space="preserve"> are a very important physiological symptom for children and adolescents, in particular, and have significant effect on daily activities</w:t>
      </w:r>
      <w:r w:rsidR="0053666E" w:rsidRPr="00006F36">
        <w:rPr>
          <w:i/>
          <w:iCs/>
        </w:rPr>
        <w:t xml:space="preserve">. </w:t>
      </w:r>
      <w:r w:rsidRPr="00006F36">
        <w:rPr>
          <w:rFonts w:asciiTheme="minorHAnsi" w:hAnsiTheme="minorHAnsi"/>
          <w:bCs/>
          <w:snapToGrid w:val="0"/>
        </w:rPr>
        <w:t>The PBAC considered that the hearing was informative as it provided a clinical perspective on treating this uncommon disease.</w:t>
      </w:r>
    </w:p>
    <w:bookmarkEnd w:id="28"/>
    <w:p w14:paraId="1DDF93F8" w14:textId="77777777" w:rsidR="00947AB2" w:rsidRPr="00006F36" w:rsidRDefault="00947AB2" w:rsidP="00947AB2">
      <w:pPr>
        <w:pStyle w:val="4-SubsectionHeading"/>
      </w:pPr>
      <w:r w:rsidRPr="00006F36">
        <w:t>Consumer comments</w:t>
      </w:r>
    </w:p>
    <w:p w14:paraId="29A713BA" w14:textId="4F95F92C" w:rsidR="00F0014E" w:rsidRPr="00006F36" w:rsidRDefault="00F0014E" w:rsidP="00947AB2">
      <w:pPr>
        <w:widowControl w:val="0"/>
        <w:numPr>
          <w:ilvl w:val="1"/>
          <w:numId w:val="1"/>
        </w:numPr>
        <w:spacing w:after="120"/>
        <w:rPr>
          <w:rFonts w:asciiTheme="minorHAnsi" w:hAnsiTheme="minorHAnsi"/>
          <w:bCs/>
          <w:snapToGrid w:val="0"/>
        </w:rPr>
      </w:pPr>
      <w:r w:rsidRPr="00006F36">
        <w:t>The PBAC noted and welcomed the input from individuals (47), health care professionals (7) and organisations (7) via the Consumer Comments facility on the PBS website.</w:t>
      </w:r>
    </w:p>
    <w:p w14:paraId="3DBDF763" w14:textId="00212113" w:rsidR="00F0014E" w:rsidRPr="00006F36" w:rsidRDefault="008B06BD" w:rsidP="00947AB2">
      <w:pPr>
        <w:widowControl w:val="0"/>
        <w:numPr>
          <w:ilvl w:val="1"/>
          <w:numId w:val="1"/>
        </w:numPr>
        <w:spacing w:after="120"/>
        <w:rPr>
          <w:rFonts w:asciiTheme="minorHAnsi" w:hAnsiTheme="minorHAnsi"/>
          <w:bCs/>
          <w:snapToGrid w:val="0"/>
        </w:rPr>
      </w:pPr>
      <w:r w:rsidRPr="00006F36">
        <w:rPr>
          <w:rFonts w:asciiTheme="minorHAnsi" w:hAnsiTheme="minorHAnsi"/>
          <w:bCs/>
          <w:snapToGrid w:val="0"/>
        </w:rPr>
        <w:lastRenderedPageBreak/>
        <w:t xml:space="preserve">Several health care professionals emphasised </w:t>
      </w:r>
      <w:r w:rsidR="00284D2C" w:rsidRPr="00006F36">
        <w:rPr>
          <w:rFonts w:asciiTheme="minorHAnsi" w:hAnsiTheme="minorHAnsi"/>
          <w:bCs/>
          <w:snapToGrid w:val="0"/>
        </w:rPr>
        <w:t>the effectiveness of migalastat in treating Fabry disease, noting that if diagnosed and treated early, migalastat may prevent disease progression and organ involvement, and lead to increased quality of life and life expectancy. They noted (i) the irreversible nature of the disease; (ii) the need for quick and effective treatment via the PBS; and (iii)</w:t>
      </w:r>
      <w:r w:rsidR="007C27B0" w:rsidRPr="00006F36">
        <w:rPr>
          <w:rFonts w:asciiTheme="minorHAnsi" w:hAnsiTheme="minorHAnsi"/>
          <w:bCs/>
          <w:snapToGrid w:val="0"/>
        </w:rPr>
        <w:t xml:space="preserve"> the lack of medical evidence to support a requirement of 12 months therapy with ERT prior to migalastat</w:t>
      </w:r>
      <w:r w:rsidR="00284D2C" w:rsidRPr="00006F36">
        <w:rPr>
          <w:rFonts w:asciiTheme="minorHAnsi" w:hAnsiTheme="minorHAnsi"/>
          <w:bCs/>
          <w:snapToGrid w:val="0"/>
        </w:rPr>
        <w:t>.</w:t>
      </w:r>
      <w:r w:rsidRPr="00006F36">
        <w:rPr>
          <w:rFonts w:asciiTheme="minorHAnsi" w:hAnsiTheme="minorHAnsi"/>
          <w:bCs/>
          <w:snapToGrid w:val="0"/>
        </w:rPr>
        <w:t xml:space="preserve"> </w:t>
      </w:r>
      <w:r w:rsidR="00284D2C" w:rsidRPr="00006F36">
        <w:rPr>
          <w:rFonts w:asciiTheme="minorHAnsi" w:hAnsiTheme="minorHAnsi"/>
          <w:bCs/>
          <w:snapToGrid w:val="0"/>
        </w:rPr>
        <w:t>The health care professionals also commented on the benefits of oral treatment</w:t>
      </w:r>
      <w:r w:rsidR="008E37BF" w:rsidRPr="00006F36">
        <w:rPr>
          <w:rFonts w:asciiTheme="minorHAnsi" w:hAnsiTheme="minorHAnsi"/>
          <w:bCs/>
          <w:snapToGrid w:val="0"/>
        </w:rPr>
        <w:t xml:space="preserve"> (versus infusion)</w:t>
      </w:r>
      <w:r w:rsidR="00D74996" w:rsidRPr="00006F36">
        <w:rPr>
          <w:rFonts w:asciiTheme="minorHAnsi" w:hAnsiTheme="minorHAnsi"/>
          <w:bCs/>
          <w:snapToGrid w:val="0"/>
        </w:rPr>
        <w:t>,</w:t>
      </w:r>
      <w:r w:rsidR="00284D2C" w:rsidRPr="00006F36">
        <w:rPr>
          <w:rFonts w:asciiTheme="minorHAnsi" w:hAnsiTheme="minorHAnsi"/>
          <w:bCs/>
          <w:snapToGrid w:val="0"/>
        </w:rPr>
        <w:t xml:space="preserve"> but noted the education required relating to administration outside of food consumption and the need for regular clinician oversight.</w:t>
      </w:r>
    </w:p>
    <w:p w14:paraId="15757753" w14:textId="2417396B" w:rsidR="00947AB2" w:rsidRPr="00006F36" w:rsidRDefault="007C27B0" w:rsidP="000B4678">
      <w:pPr>
        <w:widowControl w:val="0"/>
        <w:numPr>
          <w:ilvl w:val="1"/>
          <w:numId w:val="1"/>
        </w:numPr>
        <w:spacing w:after="120"/>
        <w:rPr>
          <w:bCs/>
        </w:rPr>
      </w:pPr>
      <w:r w:rsidRPr="00006F36">
        <w:rPr>
          <w:rFonts w:asciiTheme="minorHAnsi" w:hAnsiTheme="minorHAnsi"/>
          <w:bCs/>
          <w:snapToGrid w:val="0"/>
        </w:rPr>
        <w:t xml:space="preserve">The comments from </w:t>
      </w:r>
      <w:r w:rsidR="008E37BF" w:rsidRPr="00006F36">
        <w:rPr>
          <w:rFonts w:asciiTheme="minorHAnsi" w:hAnsiTheme="minorHAnsi"/>
          <w:bCs/>
          <w:snapToGrid w:val="0"/>
        </w:rPr>
        <w:t>individuals</w:t>
      </w:r>
      <w:r w:rsidR="00E9635C" w:rsidRPr="00006F36">
        <w:rPr>
          <w:rFonts w:asciiTheme="minorHAnsi" w:hAnsiTheme="minorHAnsi"/>
          <w:bCs/>
          <w:snapToGrid w:val="0"/>
        </w:rPr>
        <w:t xml:space="preserve"> to support migalastat listing</w:t>
      </w:r>
      <w:r w:rsidRPr="00006F36">
        <w:rPr>
          <w:rFonts w:asciiTheme="minorHAnsi" w:hAnsiTheme="minorHAnsi"/>
          <w:bCs/>
          <w:snapToGrid w:val="0"/>
        </w:rPr>
        <w:t xml:space="preserve"> were received from Fabry </w:t>
      </w:r>
      <w:r w:rsidR="00E9635C" w:rsidRPr="00006F36">
        <w:rPr>
          <w:rFonts w:asciiTheme="minorHAnsi" w:hAnsiTheme="minorHAnsi"/>
          <w:bCs/>
          <w:snapToGrid w:val="0"/>
        </w:rPr>
        <w:t>d</w:t>
      </w:r>
      <w:r w:rsidRPr="00006F36">
        <w:rPr>
          <w:rFonts w:asciiTheme="minorHAnsi" w:hAnsiTheme="minorHAnsi"/>
          <w:bCs/>
          <w:snapToGrid w:val="0"/>
        </w:rPr>
        <w:t>isease</w:t>
      </w:r>
      <w:r w:rsidR="00E9635C" w:rsidRPr="00006F36">
        <w:rPr>
          <w:rFonts w:asciiTheme="minorHAnsi" w:hAnsiTheme="minorHAnsi"/>
          <w:bCs/>
          <w:snapToGrid w:val="0"/>
        </w:rPr>
        <w:t xml:space="preserve"> patients (both current migalastat patients and those who would like to access the medicine) and family members/carers. </w:t>
      </w:r>
      <w:r w:rsidR="008E37BF" w:rsidRPr="00006F36">
        <w:rPr>
          <w:rFonts w:asciiTheme="minorHAnsi" w:hAnsiTheme="minorHAnsi"/>
          <w:bCs/>
          <w:snapToGrid w:val="0"/>
        </w:rPr>
        <w:t>In addition to t</w:t>
      </w:r>
      <w:r w:rsidR="00E9635C" w:rsidRPr="00006F36">
        <w:rPr>
          <w:rFonts w:asciiTheme="minorHAnsi" w:hAnsiTheme="minorHAnsi"/>
          <w:bCs/>
          <w:snapToGrid w:val="0"/>
        </w:rPr>
        <w:t>he comments</w:t>
      </w:r>
      <w:r w:rsidR="008E37BF" w:rsidRPr="00006F36">
        <w:rPr>
          <w:rFonts w:asciiTheme="minorHAnsi" w:hAnsiTheme="minorHAnsi"/>
          <w:bCs/>
          <w:snapToGrid w:val="0"/>
        </w:rPr>
        <w:t xml:space="preserve"> provided by health care professionals, individual comments</w:t>
      </w:r>
      <w:r w:rsidR="00E9635C" w:rsidRPr="00006F36">
        <w:rPr>
          <w:rFonts w:asciiTheme="minorHAnsi" w:hAnsiTheme="minorHAnsi"/>
          <w:bCs/>
          <w:snapToGrid w:val="0"/>
        </w:rPr>
        <w:t xml:space="preserve"> focused</w:t>
      </w:r>
      <w:r w:rsidR="008E37BF" w:rsidRPr="00006F36">
        <w:rPr>
          <w:rFonts w:asciiTheme="minorHAnsi" w:hAnsiTheme="minorHAnsi"/>
          <w:bCs/>
          <w:snapToGrid w:val="0"/>
        </w:rPr>
        <w:t xml:space="preserve"> on</w:t>
      </w:r>
      <w:r w:rsidR="00E9635C" w:rsidRPr="00006F36">
        <w:rPr>
          <w:rFonts w:asciiTheme="minorHAnsi" w:hAnsiTheme="minorHAnsi"/>
          <w:bCs/>
          <w:snapToGrid w:val="0"/>
        </w:rPr>
        <w:t xml:space="preserve"> </w:t>
      </w:r>
      <w:r w:rsidR="00E9635C" w:rsidRPr="00006F36">
        <w:rPr>
          <w:bCs/>
        </w:rPr>
        <w:t>a</w:t>
      </w:r>
      <w:r w:rsidR="00E9635C" w:rsidRPr="00006F36">
        <w:rPr>
          <w:rFonts w:asciiTheme="minorHAnsi" w:hAnsiTheme="minorHAnsi"/>
          <w:bCs/>
          <w:snapToGrid w:val="0"/>
        </w:rPr>
        <w:t>bility to travel</w:t>
      </w:r>
      <w:r w:rsidR="008E37BF" w:rsidRPr="00006F36">
        <w:rPr>
          <w:bCs/>
        </w:rPr>
        <w:t xml:space="preserve"> and</w:t>
      </w:r>
      <w:r w:rsidR="00E9635C" w:rsidRPr="00006F36">
        <w:rPr>
          <w:bCs/>
        </w:rPr>
        <w:t xml:space="preserve"> </w:t>
      </w:r>
      <w:r w:rsidR="00E9635C" w:rsidRPr="00006F36">
        <w:rPr>
          <w:rFonts w:asciiTheme="minorHAnsi" w:hAnsiTheme="minorHAnsi"/>
          <w:bCs/>
          <w:snapToGrid w:val="0"/>
        </w:rPr>
        <w:t>access in rural/regional areas.</w:t>
      </w:r>
    </w:p>
    <w:p w14:paraId="01A29981" w14:textId="77777777" w:rsidR="00F308B3" w:rsidRPr="00006F36" w:rsidRDefault="00F308B3" w:rsidP="00F308B3">
      <w:pPr>
        <w:widowControl w:val="0"/>
        <w:numPr>
          <w:ilvl w:val="1"/>
          <w:numId w:val="1"/>
        </w:numPr>
        <w:spacing w:after="120"/>
        <w:rPr>
          <w:rFonts w:asciiTheme="minorHAnsi" w:hAnsiTheme="minorHAnsi"/>
          <w:bCs/>
          <w:snapToGrid w:val="0"/>
        </w:rPr>
      </w:pPr>
      <w:r w:rsidRPr="00006F36">
        <w:rPr>
          <w:rFonts w:asciiTheme="minorHAnsi" w:hAnsiTheme="minorHAnsi"/>
          <w:bCs/>
          <w:snapToGrid w:val="0"/>
        </w:rPr>
        <w:t>Comments regarding migalastat for Fabry disease were received from the following organisations:</w:t>
      </w:r>
    </w:p>
    <w:p w14:paraId="55E78E21" w14:textId="77777777" w:rsidR="00F308B3" w:rsidRPr="00006F36" w:rsidRDefault="00F308B3" w:rsidP="00F308B3">
      <w:pPr>
        <w:pStyle w:val="ListParagraph"/>
        <w:widowControl w:val="0"/>
        <w:numPr>
          <w:ilvl w:val="0"/>
          <w:numId w:val="36"/>
        </w:numPr>
        <w:spacing w:after="0"/>
        <w:ind w:left="1276" w:hanging="357"/>
        <w:rPr>
          <w:bCs/>
        </w:rPr>
      </w:pPr>
      <w:r w:rsidRPr="00006F36">
        <w:rPr>
          <w:bCs/>
        </w:rPr>
        <w:t>Fabry Australia</w:t>
      </w:r>
    </w:p>
    <w:p w14:paraId="2F445E88" w14:textId="77777777" w:rsidR="00F308B3" w:rsidRPr="00006F36" w:rsidRDefault="00F308B3" w:rsidP="00F308B3">
      <w:pPr>
        <w:pStyle w:val="ListParagraph"/>
        <w:widowControl w:val="0"/>
        <w:numPr>
          <w:ilvl w:val="0"/>
          <w:numId w:val="36"/>
        </w:numPr>
        <w:spacing w:after="0"/>
        <w:ind w:left="1276" w:hanging="357"/>
        <w:rPr>
          <w:bCs/>
        </w:rPr>
      </w:pPr>
      <w:r w:rsidRPr="00006F36">
        <w:rPr>
          <w:bCs/>
        </w:rPr>
        <w:t>Genetic Alliance Australia</w:t>
      </w:r>
    </w:p>
    <w:p w14:paraId="6CEB64D7" w14:textId="77777777" w:rsidR="00F308B3" w:rsidRPr="00006F36" w:rsidRDefault="00F308B3" w:rsidP="00F308B3">
      <w:pPr>
        <w:pStyle w:val="ListParagraph"/>
        <w:widowControl w:val="0"/>
        <w:numPr>
          <w:ilvl w:val="0"/>
          <w:numId w:val="36"/>
        </w:numPr>
        <w:spacing w:after="0"/>
        <w:ind w:left="1276" w:hanging="357"/>
        <w:rPr>
          <w:bCs/>
        </w:rPr>
      </w:pPr>
      <w:r w:rsidRPr="00006F36">
        <w:rPr>
          <w:bCs/>
        </w:rPr>
        <w:t>National Fabry Disease Foundation in the United States</w:t>
      </w:r>
    </w:p>
    <w:p w14:paraId="1D88795A" w14:textId="77777777" w:rsidR="00F308B3" w:rsidRPr="00006F36" w:rsidRDefault="00F308B3" w:rsidP="00F308B3">
      <w:pPr>
        <w:pStyle w:val="ListParagraph"/>
        <w:widowControl w:val="0"/>
        <w:numPr>
          <w:ilvl w:val="0"/>
          <w:numId w:val="36"/>
        </w:numPr>
        <w:spacing w:after="0"/>
        <w:ind w:left="1276" w:hanging="357"/>
        <w:rPr>
          <w:bCs/>
        </w:rPr>
      </w:pPr>
      <w:r w:rsidRPr="00006F36">
        <w:rPr>
          <w:bCs/>
        </w:rPr>
        <w:t>Australian Pompe Association</w:t>
      </w:r>
    </w:p>
    <w:p w14:paraId="17A4453E" w14:textId="77777777" w:rsidR="00F308B3" w:rsidRPr="00006F36" w:rsidRDefault="00F308B3" w:rsidP="00F308B3">
      <w:pPr>
        <w:pStyle w:val="ListParagraph"/>
        <w:widowControl w:val="0"/>
        <w:numPr>
          <w:ilvl w:val="0"/>
          <w:numId w:val="36"/>
        </w:numPr>
        <w:spacing w:after="0"/>
        <w:ind w:left="1276" w:hanging="357"/>
        <w:rPr>
          <w:bCs/>
        </w:rPr>
      </w:pPr>
      <w:r w:rsidRPr="00006F36">
        <w:rPr>
          <w:bCs/>
        </w:rPr>
        <w:t>Rare Voices</w:t>
      </w:r>
    </w:p>
    <w:p w14:paraId="1401234F" w14:textId="77777777" w:rsidR="00F308B3" w:rsidRPr="00006F36" w:rsidRDefault="00F308B3" w:rsidP="00F308B3">
      <w:pPr>
        <w:pStyle w:val="ListParagraph"/>
        <w:widowControl w:val="0"/>
        <w:numPr>
          <w:ilvl w:val="0"/>
          <w:numId w:val="36"/>
        </w:numPr>
        <w:spacing w:after="0"/>
        <w:ind w:left="1276" w:hanging="357"/>
        <w:rPr>
          <w:bCs/>
        </w:rPr>
      </w:pPr>
      <w:r w:rsidRPr="00006F36">
        <w:rPr>
          <w:bCs/>
        </w:rPr>
        <w:t>Genomics Research Centre Diagnostic Clinic</w:t>
      </w:r>
    </w:p>
    <w:p w14:paraId="0AB441A1" w14:textId="77777777" w:rsidR="00F308B3" w:rsidRPr="00006F36" w:rsidRDefault="00F308B3" w:rsidP="00F308B3">
      <w:pPr>
        <w:pStyle w:val="ListParagraph"/>
        <w:widowControl w:val="0"/>
        <w:numPr>
          <w:ilvl w:val="0"/>
          <w:numId w:val="36"/>
        </w:numPr>
        <w:ind w:left="1276"/>
        <w:rPr>
          <w:bCs/>
        </w:rPr>
      </w:pPr>
      <w:r w:rsidRPr="00006F36">
        <w:rPr>
          <w:bCs/>
        </w:rPr>
        <w:t>Human Genetics Society of Australasia.</w:t>
      </w:r>
    </w:p>
    <w:p w14:paraId="3E982B08" w14:textId="77777777" w:rsidR="00D12810" w:rsidRDefault="00F308B3" w:rsidP="00F308B3">
      <w:pPr>
        <w:widowControl w:val="0"/>
        <w:spacing w:after="120"/>
        <w:ind w:left="720"/>
        <w:rPr>
          <w:rFonts w:asciiTheme="minorHAnsi" w:hAnsiTheme="minorHAnsi"/>
          <w:bCs/>
          <w:snapToGrid w:val="0"/>
        </w:rPr>
      </w:pPr>
      <w:r w:rsidRPr="00006F36">
        <w:rPr>
          <w:rFonts w:asciiTheme="minorHAnsi" w:hAnsiTheme="minorHAnsi"/>
          <w:bCs/>
          <w:snapToGrid w:val="0"/>
        </w:rPr>
        <w:t xml:space="preserve">In addition to the comments raised by health care professionals and </w:t>
      </w:r>
      <w:r w:rsidR="008E37BF" w:rsidRPr="00006F36">
        <w:rPr>
          <w:rFonts w:asciiTheme="minorHAnsi" w:hAnsiTheme="minorHAnsi"/>
          <w:bCs/>
          <w:snapToGrid w:val="0"/>
        </w:rPr>
        <w:t>individuals</w:t>
      </w:r>
      <w:r w:rsidRPr="00006F36">
        <w:rPr>
          <w:rFonts w:asciiTheme="minorHAnsi" w:hAnsiTheme="minorHAnsi"/>
          <w:bCs/>
          <w:snapToGrid w:val="0"/>
        </w:rPr>
        <w:t>, the PBAC noted the</w:t>
      </w:r>
      <w:r w:rsidR="00F12E1E" w:rsidRPr="00006F36">
        <w:rPr>
          <w:rFonts w:asciiTheme="minorHAnsi" w:hAnsiTheme="minorHAnsi"/>
          <w:bCs/>
          <w:snapToGrid w:val="0"/>
        </w:rPr>
        <w:t xml:space="preserve"> organisations’</w:t>
      </w:r>
      <w:r w:rsidRPr="00006F36">
        <w:rPr>
          <w:rFonts w:asciiTheme="minorHAnsi" w:hAnsiTheme="minorHAnsi"/>
          <w:bCs/>
          <w:snapToGrid w:val="0"/>
        </w:rPr>
        <w:t xml:space="preserve"> advice that certainty is required around continuity of access for those patients who have been accessing migalastat on the LSDP, and that listing on the PBS would provide the best mechanism</w:t>
      </w:r>
      <w:r w:rsidR="00F12E1E" w:rsidRPr="00006F36">
        <w:rPr>
          <w:rFonts w:asciiTheme="minorHAnsi" w:hAnsiTheme="minorHAnsi"/>
          <w:bCs/>
          <w:snapToGrid w:val="0"/>
        </w:rPr>
        <w:t xml:space="preserve"> for preventing significant organ damage and subsequent health effects</w:t>
      </w:r>
      <w:r w:rsidRPr="00006F36">
        <w:rPr>
          <w:rFonts w:asciiTheme="minorHAnsi" w:hAnsiTheme="minorHAnsi"/>
          <w:bCs/>
          <w:snapToGrid w:val="0"/>
        </w:rPr>
        <w:t>.</w:t>
      </w:r>
    </w:p>
    <w:p w14:paraId="2818E79B" w14:textId="7ED14D87" w:rsidR="00F308B3" w:rsidRPr="00006F36" w:rsidRDefault="00F308B3" w:rsidP="00F308B3">
      <w:pPr>
        <w:pStyle w:val="3-BodyText"/>
        <w:rPr>
          <w:rFonts w:ascii="Calibri" w:hAnsi="Calibri"/>
          <w:snapToGrid/>
        </w:rPr>
      </w:pPr>
      <w:r w:rsidRPr="00006F36">
        <w:t xml:space="preserve">The PBAC noted that the advice from health care professionals, </w:t>
      </w:r>
      <w:r w:rsidR="00D74996" w:rsidRPr="00006F36">
        <w:t>individuals</w:t>
      </w:r>
      <w:r w:rsidRPr="00006F36">
        <w:t xml:space="preserve"> and organisations was supportive of the evidence provided in the submission.</w:t>
      </w:r>
    </w:p>
    <w:p w14:paraId="609C0765" w14:textId="7A910A35" w:rsidR="00B60939" w:rsidRPr="00006F36" w:rsidRDefault="00B60939" w:rsidP="002E4F02">
      <w:pPr>
        <w:pStyle w:val="4-SubsectionHeading"/>
      </w:pPr>
      <w:r w:rsidRPr="00006F36">
        <w:t xml:space="preserve">Clinical </w:t>
      </w:r>
      <w:r w:rsidR="00D5243B" w:rsidRPr="00006F36">
        <w:t>studies</w:t>
      </w:r>
      <w:bookmarkEnd w:id="26"/>
      <w:bookmarkEnd w:id="27"/>
    </w:p>
    <w:p w14:paraId="67DDA2BC" w14:textId="5678366D" w:rsidR="00FA7A3A" w:rsidRPr="00006F36" w:rsidRDefault="00FA7A3A" w:rsidP="002E4F02">
      <w:pPr>
        <w:pStyle w:val="3-BodyText"/>
      </w:pPr>
      <w:r w:rsidRPr="00006F36">
        <w:t xml:space="preserve">The submission presented </w:t>
      </w:r>
      <w:r w:rsidR="008133C5" w:rsidRPr="00006F36">
        <w:t>the following</w:t>
      </w:r>
      <w:r w:rsidR="00930321" w:rsidRPr="00006F36">
        <w:t xml:space="preserve"> clinical evidence</w:t>
      </w:r>
      <w:r w:rsidR="00D4002D" w:rsidRPr="00006F36">
        <w:t>:</w:t>
      </w:r>
    </w:p>
    <w:p w14:paraId="18129A88" w14:textId="781283E7" w:rsidR="008133C5" w:rsidRPr="00006F36" w:rsidRDefault="005A3103" w:rsidP="00947AB2">
      <w:pPr>
        <w:pStyle w:val="3-BodyText"/>
        <w:numPr>
          <w:ilvl w:val="0"/>
          <w:numId w:val="11"/>
        </w:numPr>
        <w:ind w:left="993" w:hanging="284"/>
      </w:pPr>
      <w:r w:rsidRPr="00006F36">
        <w:t>Results from</w:t>
      </w:r>
      <w:r w:rsidR="008125D4" w:rsidRPr="00006F36">
        <w:t xml:space="preserve"> one head-to-head trial (ATTRACT) comparing migalastat to ERT (</w:t>
      </w:r>
      <w:r w:rsidR="00B173D2" w:rsidRPr="00006F36">
        <w:t>intention to treat (</w:t>
      </w:r>
      <w:r w:rsidR="008125D4" w:rsidRPr="00006F36">
        <w:t>ITT</w:t>
      </w:r>
      <w:r w:rsidR="00B173D2" w:rsidRPr="00006F36">
        <w:t>)</w:t>
      </w:r>
      <w:r w:rsidR="008125D4" w:rsidRPr="00006F36">
        <w:t>, n=60; m</w:t>
      </w:r>
      <w:r w:rsidR="00B173D2" w:rsidRPr="00006F36">
        <w:t xml:space="preserve">odified </w:t>
      </w:r>
      <w:r w:rsidR="008125D4" w:rsidRPr="00006F36">
        <w:t xml:space="preserve">ITT </w:t>
      </w:r>
      <w:r w:rsidR="00B173D2" w:rsidRPr="00006F36">
        <w:t xml:space="preserve">(mITT) </w:t>
      </w:r>
      <w:r w:rsidR="008125D4" w:rsidRPr="00006F36">
        <w:t>amenable, n=52) in treatment-experienced patients, and one head-to-head trial (FACETS) comparing migalastat to placebo (ITT, n=67; mITT amenable, n=50) in treatment-naïve patients. The PBAC has considered the results from these trials previously</w:t>
      </w:r>
      <w:r w:rsidR="00495817" w:rsidRPr="00006F36">
        <w:t xml:space="preserve"> at the March 2017 PBAC meeting</w:t>
      </w:r>
      <w:r w:rsidR="00930321" w:rsidRPr="00006F36">
        <w:t>;</w:t>
      </w:r>
    </w:p>
    <w:p w14:paraId="0D61C02A" w14:textId="754756FE" w:rsidR="005A3103" w:rsidRPr="00006F36" w:rsidRDefault="00215160" w:rsidP="00947AB2">
      <w:pPr>
        <w:pStyle w:val="3-BodyText"/>
        <w:numPr>
          <w:ilvl w:val="0"/>
          <w:numId w:val="11"/>
        </w:numPr>
        <w:ind w:left="993" w:hanging="284"/>
      </w:pPr>
      <w:r w:rsidRPr="00006F36">
        <w:lastRenderedPageBreak/>
        <w:t>Extended long-term outcomes (up to 8.6 years) in patients enrolled in ATTRACT and FACETS</w:t>
      </w:r>
      <w:r w:rsidR="00D4002D" w:rsidRPr="00006F36">
        <w:t xml:space="preserve"> </w:t>
      </w:r>
      <w:r w:rsidR="00857218" w:rsidRPr="00006F36">
        <w:t>(</w:t>
      </w:r>
      <w:r w:rsidR="00480530" w:rsidRPr="00006F36">
        <w:t xml:space="preserve">Bichet 2021 and Hughes 2023) </w:t>
      </w:r>
      <w:r w:rsidR="00D4002D" w:rsidRPr="00006F36">
        <w:t>to support the durability of treatment</w:t>
      </w:r>
      <w:r w:rsidRPr="00006F36">
        <w:t>; and</w:t>
      </w:r>
    </w:p>
    <w:p w14:paraId="34AC1F77" w14:textId="27B2C0B0" w:rsidR="00215160" w:rsidRPr="00006F36" w:rsidRDefault="00681E79" w:rsidP="00947AB2">
      <w:pPr>
        <w:pStyle w:val="3-BodyText"/>
        <w:numPr>
          <w:ilvl w:val="0"/>
          <w:numId w:val="11"/>
        </w:numPr>
        <w:ind w:left="993" w:hanging="284"/>
      </w:pPr>
      <w:r w:rsidRPr="00006F36">
        <w:t xml:space="preserve">A summary of </w:t>
      </w:r>
      <w:r w:rsidR="002A63F0" w:rsidRPr="00006F36">
        <w:t xml:space="preserve">retrospective </w:t>
      </w:r>
      <w:r w:rsidRPr="00006F36">
        <w:t xml:space="preserve">studies </w:t>
      </w:r>
      <w:r w:rsidR="00CA1D9B" w:rsidRPr="00006F36">
        <w:t>(Hughes 2021, Parini 2020, Feriozzi 2020,</w:t>
      </w:r>
      <w:r w:rsidR="00B74621" w:rsidRPr="00006F36">
        <w:t xml:space="preserve"> Germain 2015, Germain 2013</w:t>
      </w:r>
      <w:r w:rsidR="005F5E47" w:rsidRPr="00006F36">
        <w:t>)</w:t>
      </w:r>
      <w:r w:rsidR="00B74621" w:rsidRPr="00006F36">
        <w:t xml:space="preserve"> </w:t>
      </w:r>
      <w:r w:rsidRPr="00006F36">
        <w:t xml:space="preserve">comparing treatment with ERT in Fabry disease patients at different ages and at different stages of disease </w:t>
      </w:r>
      <w:r w:rsidR="00D4002D" w:rsidRPr="00006F36">
        <w:t>to support the use of migalastat</w:t>
      </w:r>
      <w:r w:rsidR="00C16A59" w:rsidRPr="00006F36">
        <w:t xml:space="preserve"> </w:t>
      </w:r>
      <w:r w:rsidR="00755F9F" w:rsidRPr="00006F36">
        <w:t xml:space="preserve">as </w:t>
      </w:r>
      <w:r w:rsidR="00100777" w:rsidRPr="00006F36">
        <w:t>early disease-specific therapy in patients with classical Fabry disease</w:t>
      </w:r>
      <w:r w:rsidR="00D7638E" w:rsidRPr="00006F36">
        <w:t xml:space="preserve">. </w:t>
      </w:r>
      <w:r w:rsidR="0015158F" w:rsidRPr="00006F36">
        <w:t>The evaluation considered that g</w:t>
      </w:r>
      <w:r w:rsidR="00AD4B69" w:rsidRPr="00006F36">
        <w:t xml:space="preserve">iven that the patients in these studies </w:t>
      </w:r>
      <w:r w:rsidR="00B777C8" w:rsidRPr="00006F36">
        <w:t xml:space="preserve">were not treated with </w:t>
      </w:r>
      <w:r w:rsidR="00AD4B69" w:rsidRPr="00006F36">
        <w:t>migalastat there were significant applicability issues.</w:t>
      </w:r>
    </w:p>
    <w:p w14:paraId="141434CA" w14:textId="77777777" w:rsidR="00D12810" w:rsidRDefault="00A73134" w:rsidP="001665B3">
      <w:pPr>
        <w:pStyle w:val="3-BodyText"/>
        <w:rPr>
          <w:snapToGrid/>
        </w:rPr>
      </w:pPr>
      <w:r w:rsidRPr="00006F36">
        <w:rPr>
          <w:snapToGrid/>
        </w:rPr>
        <w:t xml:space="preserve">Details of the </w:t>
      </w:r>
      <w:r w:rsidR="00FF5EBA" w:rsidRPr="00006F36">
        <w:rPr>
          <w:snapToGrid/>
        </w:rPr>
        <w:t xml:space="preserve">included </w:t>
      </w:r>
      <w:r w:rsidRPr="00006F36">
        <w:rPr>
          <w:snapToGrid/>
        </w:rPr>
        <w:t>trials</w:t>
      </w:r>
      <w:r w:rsidR="007D28B3" w:rsidRPr="00006F36">
        <w:rPr>
          <w:snapToGrid/>
        </w:rPr>
        <w:t xml:space="preserve"> </w:t>
      </w:r>
      <w:r w:rsidRPr="00006F36">
        <w:rPr>
          <w:snapToGrid/>
        </w:rPr>
        <w:t xml:space="preserve">presented in the submission are provided in </w:t>
      </w:r>
      <w:r w:rsidR="00696EF9" w:rsidRPr="00006F36">
        <w:rPr>
          <w:snapToGrid/>
        </w:rPr>
        <w:fldChar w:fldCharType="begin" w:fldLock="1"/>
      </w:r>
      <w:r w:rsidR="00696EF9" w:rsidRPr="00006F36">
        <w:rPr>
          <w:snapToGrid/>
        </w:rPr>
        <w:instrText xml:space="preserve"> REF _Ref104803956 \h </w:instrText>
      </w:r>
      <w:r w:rsidR="00696EF9" w:rsidRPr="00006F36">
        <w:rPr>
          <w:snapToGrid/>
        </w:rPr>
      </w:r>
      <w:r w:rsidR="00696EF9" w:rsidRPr="00006F36">
        <w:rPr>
          <w:snapToGrid/>
        </w:rPr>
        <w:fldChar w:fldCharType="separate"/>
      </w:r>
      <w:r w:rsidR="00F42C5D" w:rsidRPr="00006F36">
        <w:t xml:space="preserve">Table </w:t>
      </w:r>
      <w:r w:rsidR="00F42C5D">
        <w:rPr>
          <w:noProof/>
        </w:rPr>
        <w:t>2</w:t>
      </w:r>
      <w:r w:rsidR="00696EF9" w:rsidRPr="00006F36">
        <w:rPr>
          <w:snapToGrid/>
        </w:rPr>
        <w:fldChar w:fldCharType="end"/>
      </w:r>
      <w:r w:rsidRPr="00006F36">
        <w:rPr>
          <w:snapToGrid/>
        </w:rPr>
        <w:t>.</w:t>
      </w:r>
    </w:p>
    <w:p w14:paraId="7DE3A286" w14:textId="6EB79677" w:rsidR="008E0D3C" w:rsidRPr="00006F36" w:rsidRDefault="00696EF9" w:rsidP="002E4F02">
      <w:pPr>
        <w:pStyle w:val="TableFigureHeading"/>
        <w:rPr>
          <w:rStyle w:val="CommentReference"/>
          <w:b/>
          <w:szCs w:val="24"/>
        </w:rPr>
      </w:pPr>
      <w:bookmarkStart w:id="29" w:name="_Ref104803956"/>
      <w:r w:rsidRPr="00006F36">
        <w:t xml:space="preserve">Table </w:t>
      </w:r>
      <w:r w:rsidR="008C634B">
        <w:fldChar w:fldCharType="begin" w:fldLock="1"/>
      </w:r>
      <w:r w:rsidR="008C634B">
        <w:instrText xml:space="preserve"> SEQ Table \* ARABIC </w:instrText>
      </w:r>
      <w:r w:rsidR="008C634B">
        <w:fldChar w:fldCharType="separate"/>
      </w:r>
      <w:r w:rsidR="00F42C5D">
        <w:rPr>
          <w:noProof/>
        </w:rPr>
        <w:t>2</w:t>
      </w:r>
      <w:r w:rsidR="008C634B">
        <w:rPr>
          <w:noProof/>
        </w:rPr>
        <w:fldChar w:fldCharType="end"/>
      </w:r>
      <w:bookmarkEnd w:id="29"/>
      <w:r w:rsidRPr="00006F36">
        <w:t>:</w:t>
      </w:r>
      <w:r w:rsidR="00BC591F" w:rsidRPr="00006F36">
        <w:rPr>
          <w:rStyle w:val="CommentReference"/>
          <w:b/>
          <w:szCs w:val="24"/>
        </w:rPr>
        <w:t xml:space="preserve"> </w:t>
      </w:r>
      <w:r w:rsidR="008E0D3C" w:rsidRPr="00006F36">
        <w:rPr>
          <w:rStyle w:val="CommentReference"/>
          <w:b/>
          <w:szCs w:val="24"/>
        </w:rPr>
        <w:t>Trials</w:t>
      </w:r>
      <w:r w:rsidR="00EF68E2" w:rsidRPr="00006F36">
        <w:rPr>
          <w:rStyle w:val="CommentReference"/>
          <w:b/>
          <w:szCs w:val="24"/>
        </w:rPr>
        <w:t xml:space="preserve"> </w:t>
      </w:r>
      <w:r w:rsidR="008E0D3C" w:rsidRPr="00006F36">
        <w:rPr>
          <w:rStyle w:val="CommentReference"/>
          <w:b/>
          <w:szCs w:val="24"/>
        </w:rPr>
        <w:t>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presented in the submission"/>
      </w:tblPr>
      <w:tblGrid>
        <w:gridCol w:w="1271"/>
        <w:gridCol w:w="5102"/>
        <w:gridCol w:w="2644"/>
      </w:tblGrid>
      <w:tr w:rsidR="008E0D3C" w:rsidRPr="00006F36" w14:paraId="6ACD35C4" w14:textId="77777777" w:rsidTr="009C59B1">
        <w:trPr>
          <w:cantSplit/>
          <w:tblHeader/>
        </w:trPr>
        <w:tc>
          <w:tcPr>
            <w:tcW w:w="705" w:type="pct"/>
            <w:vAlign w:val="center"/>
          </w:tcPr>
          <w:p w14:paraId="20DEEB23" w14:textId="77777777" w:rsidR="008E0D3C" w:rsidRPr="00006F36" w:rsidRDefault="008E0D3C" w:rsidP="009C59B1">
            <w:pPr>
              <w:pStyle w:val="In-tableHeading"/>
              <w:rPr>
                <w:lang w:val="en-AU"/>
              </w:rPr>
            </w:pPr>
            <w:r w:rsidRPr="00006F36">
              <w:rPr>
                <w:lang w:val="en-AU"/>
              </w:rPr>
              <w:t>Trial ID</w:t>
            </w:r>
          </w:p>
        </w:tc>
        <w:tc>
          <w:tcPr>
            <w:tcW w:w="2829" w:type="pct"/>
            <w:vAlign w:val="center"/>
          </w:tcPr>
          <w:p w14:paraId="22EF6C51" w14:textId="77777777" w:rsidR="008E0D3C" w:rsidRPr="00006F36" w:rsidRDefault="008E0D3C" w:rsidP="002E4F02">
            <w:pPr>
              <w:pStyle w:val="In-tableHeading"/>
              <w:rPr>
                <w:lang w:val="en-AU"/>
              </w:rPr>
            </w:pPr>
            <w:r w:rsidRPr="00006F36">
              <w:rPr>
                <w:lang w:val="en-AU"/>
              </w:rPr>
              <w:t>Protocol title/ Publication title</w:t>
            </w:r>
          </w:p>
        </w:tc>
        <w:tc>
          <w:tcPr>
            <w:tcW w:w="1466" w:type="pct"/>
            <w:vAlign w:val="center"/>
          </w:tcPr>
          <w:p w14:paraId="561B27A8" w14:textId="77777777" w:rsidR="008E0D3C" w:rsidRPr="00006F36" w:rsidRDefault="008E0D3C" w:rsidP="002E4F02">
            <w:pPr>
              <w:pStyle w:val="In-tableHeading"/>
              <w:rPr>
                <w:lang w:val="en-AU"/>
              </w:rPr>
            </w:pPr>
            <w:r w:rsidRPr="00006F36">
              <w:rPr>
                <w:lang w:val="en-AU"/>
              </w:rPr>
              <w:t>Publication citation</w:t>
            </w:r>
          </w:p>
        </w:tc>
      </w:tr>
      <w:tr w:rsidR="006647BA" w:rsidRPr="00006F36" w14:paraId="298351BA" w14:textId="77777777" w:rsidTr="009C59B1">
        <w:trPr>
          <w:cantSplit/>
          <w:trHeight w:val="592"/>
        </w:trPr>
        <w:tc>
          <w:tcPr>
            <w:tcW w:w="705" w:type="pct"/>
            <w:vAlign w:val="center"/>
          </w:tcPr>
          <w:p w14:paraId="1668BD80" w14:textId="77777777" w:rsidR="006647BA" w:rsidRPr="00006F36" w:rsidRDefault="006647BA" w:rsidP="009C59B1">
            <w:pPr>
              <w:pStyle w:val="TableText0"/>
            </w:pPr>
            <w:r w:rsidRPr="00006F36">
              <w:t>ATTRACT</w:t>
            </w:r>
          </w:p>
          <w:p w14:paraId="5D9482F5" w14:textId="4B812D9A" w:rsidR="006647BA" w:rsidRPr="00006F36" w:rsidRDefault="006647BA" w:rsidP="009C59B1">
            <w:pPr>
              <w:pStyle w:val="TableText0"/>
              <w:rPr>
                <w:szCs w:val="20"/>
              </w:rPr>
            </w:pPr>
            <w:r w:rsidRPr="00006F36">
              <w:rPr>
                <w:szCs w:val="20"/>
              </w:rPr>
              <w:t>NCT01218659</w:t>
            </w:r>
          </w:p>
        </w:tc>
        <w:tc>
          <w:tcPr>
            <w:tcW w:w="2829" w:type="pct"/>
          </w:tcPr>
          <w:p w14:paraId="2570DA6E" w14:textId="675F7E1B" w:rsidR="006647BA" w:rsidRPr="00006F36" w:rsidRDefault="006647BA" w:rsidP="00C8303F">
            <w:pPr>
              <w:pStyle w:val="TableText0"/>
            </w:pPr>
            <w:r w:rsidRPr="00006F36">
              <w:t>Hughes D, et al. Oral pharmacological chaperone migalastat compared with enzyme replacement therapy in Fabry disease: 18-month results from the randomise phase III ATTRACT study</w:t>
            </w:r>
          </w:p>
        </w:tc>
        <w:tc>
          <w:tcPr>
            <w:tcW w:w="1466" w:type="pct"/>
            <w:vAlign w:val="center"/>
          </w:tcPr>
          <w:p w14:paraId="7578773D" w14:textId="6A648C76" w:rsidR="006647BA" w:rsidRPr="00006F36" w:rsidRDefault="006647BA" w:rsidP="00FF58AC">
            <w:pPr>
              <w:pStyle w:val="TableText0"/>
              <w:rPr>
                <w:rFonts w:ascii="Times" w:hAnsi="Times"/>
              </w:rPr>
            </w:pPr>
            <w:r w:rsidRPr="00006F36">
              <w:t>Journal of Medical</w:t>
            </w:r>
            <w:r w:rsidR="00D12810">
              <w:t xml:space="preserve"> </w:t>
            </w:r>
            <w:r w:rsidRPr="00006F36">
              <w:t xml:space="preserve">Genetics; 2017; 54(4): 288-296 </w:t>
            </w:r>
          </w:p>
        </w:tc>
      </w:tr>
      <w:tr w:rsidR="006647BA" w:rsidRPr="00006F36" w14:paraId="74132A1A" w14:textId="77777777" w:rsidTr="009C59B1">
        <w:trPr>
          <w:cantSplit/>
          <w:trHeight w:val="199"/>
        </w:trPr>
        <w:tc>
          <w:tcPr>
            <w:tcW w:w="705" w:type="pct"/>
            <w:vAlign w:val="center"/>
          </w:tcPr>
          <w:p w14:paraId="0AFCDAFC" w14:textId="77777777" w:rsidR="006647BA" w:rsidRPr="00006F36" w:rsidRDefault="006647BA" w:rsidP="009C59B1">
            <w:pPr>
              <w:pStyle w:val="TableText0"/>
            </w:pPr>
            <w:r w:rsidRPr="00006F36">
              <w:t>FACETS</w:t>
            </w:r>
          </w:p>
          <w:p w14:paraId="30BA87AC" w14:textId="2DE4C0EC" w:rsidR="006647BA" w:rsidRPr="00006F36" w:rsidRDefault="006647BA" w:rsidP="009C59B1">
            <w:pPr>
              <w:pStyle w:val="TableText0"/>
              <w:rPr>
                <w:rFonts w:ascii="Times" w:hAnsi="Times"/>
              </w:rPr>
            </w:pPr>
            <w:r w:rsidRPr="00006F36">
              <w:t>NCT00925301</w:t>
            </w:r>
          </w:p>
        </w:tc>
        <w:tc>
          <w:tcPr>
            <w:tcW w:w="2829" w:type="pct"/>
          </w:tcPr>
          <w:p w14:paraId="7EF3AEBB" w14:textId="49BB184F" w:rsidR="006647BA" w:rsidRPr="00006F36" w:rsidRDefault="006647BA" w:rsidP="00044E6C">
            <w:pPr>
              <w:pStyle w:val="TableText0"/>
              <w:rPr>
                <w:rFonts w:ascii="Times" w:hAnsi="Times"/>
              </w:rPr>
            </w:pPr>
            <w:r w:rsidRPr="00006F36">
              <w:t>Germain, D</w:t>
            </w:r>
            <w:r w:rsidR="00BD0F21" w:rsidRPr="00006F36">
              <w:t xml:space="preserve"> </w:t>
            </w:r>
            <w:r w:rsidRPr="00006F36">
              <w:t>et al</w:t>
            </w:r>
            <w:r w:rsidR="00BD0F21" w:rsidRPr="00006F36">
              <w:t>.</w:t>
            </w:r>
            <w:r w:rsidRPr="00006F36">
              <w:t xml:space="preserve"> Treatment of Fabry’s disease with the pharmacologic chaperone migalastat. </w:t>
            </w:r>
          </w:p>
        </w:tc>
        <w:tc>
          <w:tcPr>
            <w:tcW w:w="1466" w:type="pct"/>
            <w:vAlign w:val="center"/>
          </w:tcPr>
          <w:p w14:paraId="65832AF0" w14:textId="153804D4" w:rsidR="006647BA" w:rsidRPr="00006F36" w:rsidRDefault="006647BA" w:rsidP="00FF58AC">
            <w:pPr>
              <w:pStyle w:val="TableText0"/>
            </w:pPr>
            <w:r w:rsidRPr="00006F36">
              <w:rPr>
                <w:iCs/>
              </w:rPr>
              <w:t>New England Journal of Medicine,</w:t>
            </w:r>
            <w:r w:rsidRPr="00006F36">
              <w:rPr>
                <w:i/>
              </w:rPr>
              <w:t xml:space="preserve"> </w:t>
            </w:r>
            <w:r w:rsidRPr="00006F36">
              <w:t>2016,</w:t>
            </w:r>
            <w:r w:rsidRPr="00006F36">
              <w:rPr>
                <w:i/>
              </w:rPr>
              <w:t xml:space="preserve"> </w:t>
            </w:r>
            <w:r w:rsidRPr="00006F36">
              <w:t xml:space="preserve">375(6), 545-555 </w:t>
            </w:r>
          </w:p>
        </w:tc>
      </w:tr>
    </w:tbl>
    <w:p w14:paraId="51D8173A" w14:textId="431BFB13" w:rsidR="008E0D3C" w:rsidRPr="00006F36" w:rsidRDefault="008E0D3C" w:rsidP="00EC5836">
      <w:pPr>
        <w:pStyle w:val="FooterTableFigure"/>
        <w:rPr>
          <w:sz w:val="20"/>
        </w:rPr>
      </w:pPr>
      <w:r w:rsidRPr="00006F36">
        <w:t xml:space="preserve">Source: </w:t>
      </w:r>
      <w:r w:rsidR="003B5859" w:rsidRPr="00006F36">
        <w:t>Constructed during the evaluation</w:t>
      </w:r>
    </w:p>
    <w:p w14:paraId="57BA947C" w14:textId="77777777" w:rsidR="00D12810" w:rsidRDefault="002F75D7" w:rsidP="00EC5836">
      <w:pPr>
        <w:pStyle w:val="3-BodyText"/>
      </w:pPr>
      <w:r w:rsidRPr="00006F36">
        <w:t xml:space="preserve">Additionally, </w:t>
      </w:r>
      <w:r w:rsidR="00994F3E" w:rsidRPr="00006F36">
        <w:t xml:space="preserve">details of the </w:t>
      </w:r>
      <w:r w:rsidR="0039233E" w:rsidRPr="00006F36">
        <w:t xml:space="preserve">extended long-term </w:t>
      </w:r>
      <w:r w:rsidR="00994F3E" w:rsidRPr="00006F36">
        <w:t xml:space="preserve">studies </w:t>
      </w:r>
      <w:r w:rsidR="0039233E" w:rsidRPr="00006F36">
        <w:t xml:space="preserve">and retrospective studies </w:t>
      </w:r>
      <w:r w:rsidR="00994F3E" w:rsidRPr="00006F36">
        <w:t xml:space="preserve">used to support the </w:t>
      </w:r>
      <w:r w:rsidR="007E11F4" w:rsidRPr="00006F36">
        <w:t xml:space="preserve">submission are provided in </w:t>
      </w:r>
      <w:r w:rsidR="007E11F4" w:rsidRPr="00006F36">
        <w:fldChar w:fldCharType="begin" w:fldLock="1"/>
      </w:r>
      <w:r w:rsidR="007E11F4" w:rsidRPr="00006F36">
        <w:instrText xml:space="preserve"> REF _Ref151368768 \h </w:instrText>
      </w:r>
      <w:r w:rsidR="007E11F4" w:rsidRPr="00006F36">
        <w:fldChar w:fldCharType="separate"/>
      </w:r>
      <w:r w:rsidR="00F42C5D" w:rsidRPr="00006F36">
        <w:t xml:space="preserve">Table </w:t>
      </w:r>
      <w:r w:rsidR="00F42C5D">
        <w:rPr>
          <w:noProof/>
        </w:rPr>
        <w:t>3</w:t>
      </w:r>
      <w:r w:rsidR="007E11F4" w:rsidRPr="00006F36">
        <w:fldChar w:fldCharType="end"/>
      </w:r>
      <w:r w:rsidR="007E11F4" w:rsidRPr="00006F36">
        <w:t>.</w:t>
      </w:r>
    </w:p>
    <w:p w14:paraId="42BF81F3" w14:textId="6639F00A" w:rsidR="007E11F4" w:rsidRPr="00006F36" w:rsidRDefault="007E11F4" w:rsidP="007E11F4">
      <w:pPr>
        <w:pStyle w:val="Caption"/>
      </w:pPr>
      <w:bookmarkStart w:id="30" w:name="_Ref151368768"/>
      <w:r w:rsidRPr="00006F36">
        <w:t xml:space="preserve">Table </w:t>
      </w:r>
      <w:r w:rsidR="008C634B">
        <w:fldChar w:fldCharType="begin" w:fldLock="1"/>
      </w:r>
      <w:r w:rsidR="008C634B">
        <w:instrText xml:space="preserve"> SEQ Table \* ARABIC </w:instrText>
      </w:r>
      <w:r w:rsidR="008C634B">
        <w:fldChar w:fldCharType="separate"/>
      </w:r>
      <w:r w:rsidR="00F42C5D">
        <w:rPr>
          <w:noProof/>
        </w:rPr>
        <w:t>3</w:t>
      </w:r>
      <w:r w:rsidR="008C634B">
        <w:rPr>
          <w:noProof/>
        </w:rPr>
        <w:fldChar w:fldCharType="end"/>
      </w:r>
      <w:bookmarkEnd w:id="30"/>
      <w:r w:rsidR="004B611C" w:rsidRPr="00006F36">
        <w:t xml:space="preserve">: </w:t>
      </w:r>
      <w:r w:rsidR="00801D44" w:rsidRPr="00006F36">
        <w:t xml:space="preserve">Extended long-term studies and retrospective studies </w:t>
      </w:r>
      <w:r w:rsidR="004B611C" w:rsidRPr="00006F36">
        <w:t>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Extended long-term studies and retrospective studies presented in the submission"/>
      </w:tblPr>
      <w:tblGrid>
        <w:gridCol w:w="1271"/>
        <w:gridCol w:w="5102"/>
        <w:gridCol w:w="2644"/>
      </w:tblGrid>
      <w:tr w:rsidR="002F75D7" w:rsidRPr="00006F36" w14:paraId="3D9EAE56" w14:textId="77777777" w:rsidTr="009C59B1">
        <w:trPr>
          <w:cantSplit/>
          <w:trHeight w:val="199"/>
        </w:trPr>
        <w:tc>
          <w:tcPr>
            <w:tcW w:w="705" w:type="pct"/>
            <w:vAlign w:val="center"/>
          </w:tcPr>
          <w:p w14:paraId="104DEAC1" w14:textId="234741ED" w:rsidR="002F75D7" w:rsidRPr="00006F36" w:rsidRDefault="002F75D7" w:rsidP="009C59B1">
            <w:pPr>
              <w:pStyle w:val="TableText0"/>
              <w:rPr>
                <w:b/>
                <w:bCs w:val="0"/>
              </w:rPr>
            </w:pPr>
            <w:r w:rsidRPr="00006F36">
              <w:rPr>
                <w:b/>
                <w:bCs w:val="0"/>
              </w:rPr>
              <w:t>Trial ID</w:t>
            </w:r>
          </w:p>
        </w:tc>
        <w:tc>
          <w:tcPr>
            <w:tcW w:w="2829" w:type="pct"/>
            <w:vAlign w:val="center"/>
          </w:tcPr>
          <w:p w14:paraId="1833B9A5" w14:textId="7FB8F457" w:rsidR="002F75D7" w:rsidRPr="00006F36" w:rsidRDefault="002F75D7" w:rsidP="002F75D7">
            <w:pPr>
              <w:pStyle w:val="TableText0"/>
              <w:rPr>
                <w:b/>
                <w:bCs w:val="0"/>
              </w:rPr>
            </w:pPr>
            <w:r w:rsidRPr="00006F36">
              <w:rPr>
                <w:b/>
                <w:bCs w:val="0"/>
              </w:rPr>
              <w:t>Protocol title/ Publication title</w:t>
            </w:r>
          </w:p>
        </w:tc>
        <w:tc>
          <w:tcPr>
            <w:tcW w:w="1466" w:type="pct"/>
            <w:vAlign w:val="center"/>
          </w:tcPr>
          <w:p w14:paraId="1365A604" w14:textId="7582A63D" w:rsidR="002F75D7" w:rsidRPr="00006F36" w:rsidRDefault="002F75D7" w:rsidP="002F75D7">
            <w:pPr>
              <w:pStyle w:val="TableText0"/>
              <w:rPr>
                <w:b/>
                <w:bCs w:val="0"/>
                <w:iCs/>
              </w:rPr>
            </w:pPr>
            <w:r w:rsidRPr="00006F36">
              <w:rPr>
                <w:b/>
                <w:bCs w:val="0"/>
              </w:rPr>
              <w:t>Publication citation</w:t>
            </w:r>
          </w:p>
        </w:tc>
      </w:tr>
      <w:tr w:rsidR="002F75D7" w:rsidRPr="00006F36" w14:paraId="2E1F5235" w14:textId="77777777" w:rsidTr="009C59B1">
        <w:trPr>
          <w:cantSplit/>
          <w:trHeight w:val="199"/>
        </w:trPr>
        <w:tc>
          <w:tcPr>
            <w:tcW w:w="705" w:type="pct"/>
            <w:vAlign w:val="center"/>
          </w:tcPr>
          <w:p w14:paraId="10864018" w14:textId="77777777" w:rsidR="002F75D7" w:rsidRPr="00006F36" w:rsidRDefault="002F75D7" w:rsidP="009C59B1">
            <w:pPr>
              <w:pStyle w:val="TableText0"/>
            </w:pPr>
            <w:r w:rsidRPr="00006F36">
              <w:t>Bichet 2021</w:t>
            </w:r>
          </w:p>
        </w:tc>
        <w:tc>
          <w:tcPr>
            <w:tcW w:w="2829" w:type="pct"/>
          </w:tcPr>
          <w:p w14:paraId="0955A214" w14:textId="77777777" w:rsidR="002F75D7" w:rsidRPr="00006F36" w:rsidRDefault="002F75D7" w:rsidP="009458CA">
            <w:pPr>
              <w:pStyle w:val="TableText0"/>
            </w:pPr>
            <w:r w:rsidRPr="00006F36">
              <w:t>Bichet D et al. Long-term follow-up of renal function in patients treated with migalastat for Fabry disease.</w:t>
            </w:r>
          </w:p>
        </w:tc>
        <w:tc>
          <w:tcPr>
            <w:tcW w:w="1466" w:type="pct"/>
            <w:vAlign w:val="center"/>
          </w:tcPr>
          <w:p w14:paraId="35378613" w14:textId="77777777" w:rsidR="002F75D7" w:rsidRPr="00006F36" w:rsidRDefault="002F75D7" w:rsidP="009458CA">
            <w:pPr>
              <w:pStyle w:val="TableText0"/>
              <w:rPr>
                <w:iCs/>
              </w:rPr>
            </w:pPr>
            <w:r w:rsidRPr="00006F36">
              <w:rPr>
                <w:iCs/>
              </w:rPr>
              <w:t>Molecular genetics and metabolism reports, 2021, 28, 100786</w:t>
            </w:r>
          </w:p>
        </w:tc>
      </w:tr>
      <w:tr w:rsidR="002F75D7" w:rsidRPr="00006F36" w14:paraId="28BB9D3A" w14:textId="77777777" w:rsidTr="009C59B1">
        <w:trPr>
          <w:cantSplit/>
          <w:trHeight w:val="199"/>
        </w:trPr>
        <w:tc>
          <w:tcPr>
            <w:tcW w:w="705" w:type="pct"/>
            <w:vAlign w:val="center"/>
          </w:tcPr>
          <w:p w14:paraId="02A183CA" w14:textId="77777777" w:rsidR="002F75D7" w:rsidRPr="00006F36" w:rsidRDefault="002F75D7" w:rsidP="009C59B1">
            <w:pPr>
              <w:pStyle w:val="TableText0"/>
            </w:pPr>
            <w:r w:rsidRPr="00006F36">
              <w:t>Hughes 2023</w:t>
            </w:r>
          </w:p>
        </w:tc>
        <w:tc>
          <w:tcPr>
            <w:tcW w:w="2829" w:type="pct"/>
          </w:tcPr>
          <w:p w14:paraId="09498945" w14:textId="77777777" w:rsidR="002F75D7" w:rsidRPr="00006F36" w:rsidRDefault="002F75D7" w:rsidP="009458CA">
            <w:pPr>
              <w:pStyle w:val="TableText0"/>
            </w:pPr>
            <w:r w:rsidRPr="00006F36">
              <w:t xml:space="preserve">Hughes D et al. Long-term multisystemic efficacy of migalastat on Fabry-associated clinical events, including renal, cardiac and cerebrovascular outcomes. </w:t>
            </w:r>
          </w:p>
        </w:tc>
        <w:tc>
          <w:tcPr>
            <w:tcW w:w="1466" w:type="pct"/>
            <w:vAlign w:val="center"/>
          </w:tcPr>
          <w:p w14:paraId="6523C7FA" w14:textId="77777777" w:rsidR="002F75D7" w:rsidRPr="00006F36" w:rsidRDefault="002F75D7" w:rsidP="009458CA">
            <w:pPr>
              <w:pStyle w:val="TableText0"/>
              <w:rPr>
                <w:iCs/>
              </w:rPr>
            </w:pPr>
            <w:r w:rsidRPr="00006F36">
              <w:t>Journal of medical genetics, 2023, 60(7), 722–731.</w:t>
            </w:r>
          </w:p>
        </w:tc>
      </w:tr>
      <w:tr w:rsidR="00875B4C" w:rsidRPr="00006F36" w14:paraId="2662CC56" w14:textId="77777777" w:rsidTr="009C59B1">
        <w:trPr>
          <w:cantSplit/>
          <w:trHeight w:val="199"/>
        </w:trPr>
        <w:tc>
          <w:tcPr>
            <w:tcW w:w="705" w:type="pct"/>
            <w:vAlign w:val="center"/>
          </w:tcPr>
          <w:p w14:paraId="7BD1FA0A" w14:textId="5E731908" w:rsidR="00875B4C" w:rsidRPr="00006F36" w:rsidRDefault="00875B4C" w:rsidP="009C59B1">
            <w:pPr>
              <w:pStyle w:val="TableText0"/>
            </w:pPr>
            <w:r w:rsidRPr="00006F36">
              <w:t>Hughes 2021</w:t>
            </w:r>
          </w:p>
        </w:tc>
        <w:tc>
          <w:tcPr>
            <w:tcW w:w="2829" w:type="pct"/>
          </w:tcPr>
          <w:p w14:paraId="417256EE" w14:textId="2EC2583B" w:rsidR="00875B4C" w:rsidRPr="00006F36" w:rsidRDefault="00F95DDD" w:rsidP="009458CA">
            <w:pPr>
              <w:pStyle w:val="TableText0"/>
            </w:pPr>
            <w:r w:rsidRPr="00006F36">
              <w:t xml:space="preserve">Hughes D et al. </w:t>
            </w:r>
            <w:r w:rsidR="00791B69" w:rsidRPr="00006F36">
              <w:t xml:space="preserve">FOS Study Group. Prompt agalsidase alfa therapy initiation is associated with improved renal and cardiovascular outcomes in a Fabry Outcome Survey analysis. </w:t>
            </w:r>
          </w:p>
        </w:tc>
        <w:tc>
          <w:tcPr>
            <w:tcW w:w="1466" w:type="pct"/>
            <w:vAlign w:val="center"/>
          </w:tcPr>
          <w:p w14:paraId="5A7DC7B2" w14:textId="607071F5" w:rsidR="00875B4C" w:rsidRPr="00006F36" w:rsidRDefault="00912821" w:rsidP="009458CA">
            <w:pPr>
              <w:pStyle w:val="TableText0"/>
            </w:pPr>
            <w:r w:rsidRPr="00006F36">
              <w:t xml:space="preserve">Drug design, development and therapy, </w:t>
            </w:r>
            <w:r w:rsidR="00791B69" w:rsidRPr="00006F36">
              <w:t>2021;15:</w:t>
            </w:r>
            <w:r w:rsidRPr="00006F36">
              <w:t xml:space="preserve"> </w:t>
            </w:r>
            <w:r w:rsidR="00791B69" w:rsidRPr="00006F36">
              <w:t>3561–72.</w:t>
            </w:r>
          </w:p>
        </w:tc>
      </w:tr>
      <w:tr w:rsidR="002F75D7" w:rsidRPr="00006F36" w14:paraId="37E0546C" w14:textId="77777777" w:rsidTr="009C59B1">
        <w:trPr>
          <w:cantSplit/>
          <w:trHeight w:val="199"/>
        </w:trPr>
        <w:tc>
          <w:tcPr>
            <w:tcW w:w="705" w:type="pct"/>
            <w:vAlign w:val="center"/>
          </w:tcPr>
          <w:p w14:paraId="408B7557" w14:textId="77777777" w:rsidR="002F75D7" w:rsidRPr="00006F36" w:rsidRDefault="002F75D7" w:rsidP="009C59B1">
            <w:pPr>
              <w:pStyle w:val="TableText0"/>
            </w:pPr>
            <w:r w:rsidRPr="00006F36">
              <w:t>Parini 2020</w:t>
            </w:r>
          </w:p>
        </w:tc>
        <w:tc>
          <w:tcPr>
            <w:tcW w:w="2829" w:type="pct"/>
          </w:tcPr>
          <w:p w14:paraId="41215815" w14:textId="77777777" w:rsidR="002F75D7" w:rsidRPr="00006F36" w:rsidRDefault="002F75D7" w:rsidP="009458CA">
            <w:pPr>
              <w:pStyle w:val="TableText0"/>
            </w:pPr>
            <w:r w:rsidRPr="00006F36">
              <w:t xml:space="preserve">Parini R et al. Analysis of Renal and Cardiac Outcomes in Male Participants in the Fabry Outcome Survey Starting Agalsidase Alfa Enzyme Replacement Therapy Before and After 18 Years of Age. </w:t>
            </w:r>
          </w:p>
        </w:tc>
        <w:tc>
          <w:tcPr>
            <w:tcW w:w="1466" w:type="pct"/>
            <w:vAlign w:val="center"/>
          </w:tcPr>
          <w:p w14:paraId="373CF06D" w14:textId="77777777" w:rsidR="002F75D7" w:rsidRPr="00006F36" w:rsidRDefault="002F75D7" w:rsidP="009458CA">
            <w:pPr>
              <w:pStyle w:val="TableText0"/>
            </w:pPr>
            <w:r w:rsidRPr="00006F36">
              <w:t xml:space="preserve">Drug design, development and therapy, 2020, 14, 2149–2158. </w:t>
            </w:r>
          </w:p>
        </w:tc>
      </w:tr>
      <w:tr w:rsidR="002F75D7" w:rsidRPr="00006F36" w14:paraId="5C8C9DF7" w14:textId="77777777" w:rsidTr="009C59B1">
        <w:trPr>
          <w:cantSplit/>
          <w:trHeight w:val="199"/>
        </w:trPr>
        <w:tc>
          <w:tcPr>
            <w:tcW w:w="705" w:type="pct"/>
            <w:vAlign w:val="center"/>
          </w:tcPr>
          <w:p w14:paraId="3413905F" w14:textId="77777777" w:rsidR="002F75D7" w:rsidRPr="00006F36" w:rsidRDefault="002F75D7" w:rsidP="009C59B1">
            <w:pPr>
              <w:pStyle w:val="TableText0"/>
            </w:pPr>
            <w:r w:rsidRPr="00006F36">
              <w:t>Feriozzi 2020</w:t>
            </w:r>
          </w:p>
        </w:tc>
        <w:tc>
          <w:tcPr>
            <w:tcW w:w="2829" w:type="pct"/>
          </w:tcPr>
          <w:p w14:paraId="6D965DE2" w14:textId="77777777" w:rsidR="002F75D7" w:rsidRPr="00006F36" w:rsidRDefault="002F75D7" w:rsidP="009458CA">
            <w:pPr>
              <w:pStyle w:val="TableText0"/>
              <w:tabs>
                <w:tab w:val="left" w:pos="1944"/>
              </w:tabs>
            </w:pPr>
            <w:r w:rsidRPr="00006F36">
              <w:t xml:space="preserve">Feriozzi S et al. Effects of baseline left ventricular hypertrophy and decreased renal function on cardiovascular and renal outcomes in patients with Fabry disease treated with agalsidase alfa: a Fabry Outcome Survey study. </w:t>
            </w:r>
          </w:p>
        </w:tc>
        <w:tc>
          <w:tcPr>
            <w:tcW w:w="1466" w:type="pct"/>
            <w:vAlign w:val="center"/>
          </w:tcPr>
          <w:p w14:paraId="3C9C8AFB" w14:textId="77777777" w:rsidR="002F75D7" w:rsidRPr="00006F36" w:rsidRDefault="002F75D7" w:rsidP="009458CA">
            <w:pPr>
              <w:pStyle w:val="TableText0"/>
            </w:pPr>
            <w:r w:rsidRPr="00006F36">
              <w:t>Clinical Therapeutics. 2020;42(12):2321–30</w:t>
            </w:r>
          </w:p>
        </w:tc>
      </w:tr>
      <w:tr w:rsidR="002F75D7" w:rsidRPr="00006F36" w14:paraId="29E62CF4" w14:textId="77777777" w:rsidTr="009C59B1">
        <w:trPr>
          <w:cantSplit/>
          <w:trHeight w:val="199"/>
        </w:trPr>
        <w:tc>
          <w:tcPr>
            <w:tcW w:w="705" w:type="pct"/>
            <w:vAlign w:val="center"/>
          </w:tcPr>
          <w:p w14:paraId="19950452" w14:textId="77777777" w:rsidR="002F75D7" w:rsidRPr="00006F36" w:rsidRDefault="002F75D7" w:rsidP="009C59B1">
            <w:pPr>
              <w:pStyle w:val="TableText0"/>
            </w:pPr>
            <w:r w:rsidRPr="00006F36">
              <w:t>Germain 2015</w:t>
            </w:r>
          </w:p>
        </w:tc>
        <w:tc>
          <w:tcPr>
            <w:tcW w:w="2829" w:type="pct"/>
          </w:tcPr>
          <w:p w14:paraId="04D36D5F" w14:textId="77777777" w:rsidR="002F75D7" w:rsidRPr="00006F36" w:rsidRDefault="002F75D7" w:rsidP="009458CA">
            <w:pPr>
              <w:pStyle w:val="TableText0"/>
            </w:pPr>
            <w:r w:rsidRPr="00006F36">
              <w:t>Germain D et al. Ten-year outcome of enzyme replacement therapy with agalsidase beta in patients with Fabry disease.</w:t>
            </w:r>
          </w:p>
        </w:tc>
        <w:tc>
          <w:tcPr>
            <w:tcW w:w="1466" w:type="pct"/>
            <w:vAlign w:val="center"/>
          </w:tcPr>
          <w:p w14:paraId="3E17961A" w14:textId="77777777" w:rsidR="002F75D7" w:rsidRPr="00006F36" w:rsidRDefault="002F75D7" w:rsidP="009458CA">
            <w:pPr>
              <w:pStyle w:val="TableText0"/>
            </w:pPr>
            <w:r w:rsidRPr="00006F36">
              <w:t>Journal of Medical Genetics 2015, 52(5), 353–358.</w:t>
            </w:r>
          </w:p>
        </w:tc>
      </w:tr>
      <w:tr w:rsidR="002F75D7" w:rsidRPr="00006F36" w14:paraId="78A02FCC" w14:textId="77777777" w:rsidTr="009C59B1">
        <w:trPr>
          <w:cantSplit/>
          <w:trHeight w:val="199"/>
        </w:trPr>
        <w:tc>
          <w:tcPr>
            <w:tcW w:w="705" w:type="pct"/>
            <w:vAlign w:val="center"/>
          </w:tcPr>
          <w:p w14:paraId="7E574762" w14:textId="77777777" w:rsidR="002F75D7" w:rsidRPr="00006F36" w:rsidRDefault="002F75D7" w:rsidP="009C59B1">
            <w:pPr>
              <w:pStyle w:val="TableText0"/>
            </w:pPr>
            <w:r w:rsidRPr="00006F36">
              <w:t>Germain 2013</w:t>
            </w:r>
          </w:p>
        </w:tc>
        <w:tc>
          <w:tcPr>
            <w:tcW w:w="2829" w:type="pct"/>
          </w:tcPr>
          <w:p w14:paraId="755A6406" w14:textId="77777777" w:rsidR="002F75D7" w:rsidRPr="00006F36" w:rsidRDefault="002F75D7" w:rsidP="009458CA">
            <w:pPr>
              <w:pStyle w:val="TableText0"/>
            </w:pPr>
            <w:r w:rsidRPr="00006F36">
              <w:t xml:space="preserve">Germain D et al. Analysis of left ventricular mass in untreated men and in men treated with agalsidase-β: Data from the Fabry Registry. </w:t>
            </w:r>
          </w:p>
        </w:tc>
        <w:tc>
          <w:tcPr>
            <w:tcW w:w="1466" w:type="pct"/>
            <w:vAlign w:val="center"/>
          </w:tcPr>
          <w:p w14:paraId="27BC29E6" w14:textId="77777777" w:rsidR="002F75D7" w:rsidRPr="00006F36" w:rsidRDefault="002F75D7" w:rsidP="009458CA">
            <w:pPr>
              <w:pStyle w:val="TableText0"/>
            </w:pPr>
            <w:r w:rsidRPr="00006F36">
              <w:t>Genetics in Medicine 2013, 15(12), 958–965</w:t>
            </w:r>
          </w:p>
        </w:tc>
      </w:tr>
      <w:tr w:rsidR="002F75D7" w:rsidRPr="00006F36" w14:paraId="1D66259E" w14:textId="77777777" w:rsidTr="009C59B1">
        <w:trPr>
          <w:cantSplit/>
          <w:trHeight w:val="199"/>
        </w:trPr>
        <w:tc>
          <w:tcPr>
            <w:tcW w:w="705" w:type="pct"/>
            <w:vAlign w:val="center"/>
          </w:tcPr>
          <w:p w14:paraId="34569DBF" w14:textId="5E0E6CE6" w:rsidR="002F75D7" w:rsidRPr="00006F36" w:rsidRDefault="002F75D7" w:rsidP="009C59B1">
            <w:pPr>
              <w:pStyle w:val="TableText0"/>
              <w:rPr>
                <w:vertAlign w:val="superscript"/>
              </w:rPr>
            </w:pPr>
            <w:r w:rsidRPr="00006F36">
              <w:t>Warnock 201</w:t>
            </w:r>
            <w:r w:rsidR="000F52F2" w:rsidRPr="00006F36">
              <w:t xml:space="preserve">2 </w:t>
            </w:r>
          </w:p>
        </w:tc>
        <w:tc>
          <w:tcPr>
            <w:tcW w:w="2829" w:type="pct"/>
          </w:tcPr>
          <w:p w14:paraId="79EE6CF1" w14:textId="77777777" w:rsidR="002F75D7" w:rsidRPr="00006F36" w:rsidRDefault="002F75D7" w:rsidP="009458CA">
            <w:pPr>
              <w:pStyle w:val="TableText0"/>
            </w:pPr>
            <w:r w:rsidRPr="00006F36">
              <w:t>Warnock D et al. Renal outcomes of agalsidase beta treatment for Fabry disease: role of proteinuria and timing of treatment initiation</w:t>
            </w:r>
          </w:p>
        </w:tc>
        <w:tc>
          <w:tcPr>
            <w:tcW w:w="1466" w:type="pct"/>
            <w:vAlign w:val="center"/>
          </w:tcPr>
          <w:p w14:paraId="4AD66178" w14:textId="77777777" w:rsidR="002F75D7" w:rsidRPr="00006F36" w:rsidRDefault="002F75D7" w:rsidP="009458CA">
            <w:pPr>
              <w:pStyle w:val="TableText0"/>
            </w:pPr>
            <w:r w:rsidRPr="00006F36">
              <w:t>Nephrology Dialysis transplantation 2012, 27(3), 1042-1049</w:t>
            </w:r>
          </w:p>
        </w:tc>
      </w:tr>
      <w:tr w:rsidR="002F75D7" w:rsidRPr="00006F36" w14:paraId="404E42BA" w14:textId="77777777" w:rsidTr="009C59B1">
        <w:trPr>
          <w:cantSplit/>
          <w:trHeight w:val="199"/>
        </w:trPr>
        <w:tc>
          <w:tcPr>
            <w:tcW w:w="705" w:type="pct"/>
            <w:vAlign w:val="center"/>
          </w:tcPr>
          <w:p w14:paraId="72BDDCE3" w14:textId="6A749E8D" w:rsidR="002F75D7" w:rsidRPr="00006F36" w:rsidRDefault="002F75D7" w:rsidP="009C59B1">
            <w:pPr>
              <w:pStyle w:val="TableText0"/>
              <w:rPr>
                <w:vertAlign w:val="superscript"/>
              </w:rPr>
            </w:pPr>
            <w:r w:rsidRPr="00006F36">
              <w:t>Hopkin 20</w:t>
            </w:r>
            <w:r w:rsidR="00C35804" w:rsidRPr="00006F36">
              <w:t>23</w:t>
            </w:r>
            <w:r w:rsidR="00EE3354" w:rsidRPr="00006F36">
              <w:t xml:space="preserve"> </w:t>
            </w:r>
          </w:p>
        </w:tc>
        <w:tc>
          <w:tcPr>
            <w:tcW w:w="2829" w:type="pct"/>
          </w:tcPr>
          <w:p w14:paraId="78CFDD08" w14:textId="7F64034B" w:rsidR="002F75D7" w:rsidRPr="00006F36" w:rsidRDefault="002F75D7" w:rsidP="001241A9">
            <w:pPr>
              <w:pStyle w:val="TableText0"/>
            </w:pPr>
            <w:r w:rsidRPr="00006F36">
              <w:t xml:space="preserve">Hopkins R et al. </w:t>
            </w:r>
            <w:r w:rsidR="001241A9" w:rsidRPr="00006F36">
              <w:t>Clinical outcomes among young patients with Fabry disease who initiated agalsidase beta treatment before 30 years of age: An analysis from the Fabry Registry</w:t>
            </w:r>
          </w:p>
        </w:tc>
        <w:tc>
          <w:tcPr>
            <w:tcW w:w="1466" w:type="pct"/>
            <w:vAlign w:val="center"/>
          </w:tcPr>
          <w:p w14:paraId="595F83C0" w14:textId="46E80177" w:rsidR="002F75D7" w:rsidRPr="00006F36" w:rsidRDefault="002F75D7" w:rsidP="009458CA">
            <w:pPr>
              <w:pStyle w:val="TableText0"/>
            </w:pPr>
            <w:r w:rsidRPr="00006F36">
              <w:t>Molecular genetics and metabolism</w:t>
            </w:r>
            <w:r w:rsidR="00572678" w:rsidRPr="00006F36">
              <w:t xml:space="preserve"> 2023</w:t>
            </w:r>
            <w:r w:rsidR="009F2173" w:rsidRPr="00006F36">
              <w:t>; 138(2)</w:t>
            </w:r>
            <w:r w:rsidRPr="00006F36">
              <w:t xml:space="preserve">, </w:t>
            </w:r>
            <w:r w:rsidR="009F2173" w:rsidRPr="00006F36">
              <w:t>106967</w:t>
            </w:r>
          </w:p>
        </w:tc>
      </w:tr>
    </w:tbl>
    <w:p w14:paraId="0EF2F49A" w14:textId="043C440C" w:rsidR="002F75D7" w:rsidRPr="00006F36" w:rsidRDefault="00074762" w:rsidP="00074762">
      <w:pPr>
        <w:pStyle w:val="FooterTableFigure"/>
      </w:pPr>
      <w:r w:rsidRPr="00006F36">
        <w:t>Source: Constructed during the evaluation</w:t>
      </w:r>
    </w:p>
    <w:p w14:paraId="2F7E9FCE" w14:textId="77777777" w:rsidR="00D12810" w:rsidRDefault="008F120A" w:rsidP="00EC5836">
      <w:pPr>
        <w:pStyle w:val="3-BodyText"/>
      </w:pPr>
      <w:r w:rsidRPr="00006F36">
        <w:t>The key features of the direct randomised trials</w:t>
      </w:r>
      <w:r w:rsidR="00A2736A" w:rsidRPr="00006F36">
        <w:t xml:space="preserve"> and the </w:t>
      </w:r>
      <w:r w:rsidR="00801D44" w:rsidRPr="00006F36">
        <w:t xml:space="preserve">extended long-term studies and retrospective studies </w:t>
      </w:r>
      <w:r w:rsidRPr="00006F36">
        <w:t>are summarised in</w:t>
      </w:r>
      <w:r w:rsidR="00D6076E" w:rsidRPr="00006F36">
        <w:t xml:space="preserve"> </w:t>
      </w:r>
      <w:r w:rsidR="00D6076E" w:rsidRPr="00006F36">
        <w:fldChar w:fldCharType="begin" w:fldLock="1"/>
      </w:r>
      <w:r w:rsidR="00D6076E" w:rsidRPr="00006F36">
        <w:instrText xml:space="preserve"> REF _Ref104804098 \h  \* MERGEFORMAT </w:instrText>
      </w:r>
      <w:r w:rsidR="00D6076E" w:rsidRPr="00006F36">
        <w:fldChar w:fldCharType="separate"/>
      </w:r>
      <w:r w:rsidR="00F42C5D" w:rsidRPr="00F42C5D">
        <w:t>Table 4</w:t>
      </w:r>
      <w:r w:rsidR="00D6076E" w:rsidRPr="00006F36">
        <w:fldChar w:fldCharType="end"/>
      </w:r>
      <w:r w:rsidR="008E39DE" w:rsidRPr="00006F36">
        <w:t xml:space="preserve"> and </w:t>
      </w:r>
      <w:r w:rsidR="008E39DE" w:rsidRPr="00006F36">
        <w:fldChar w:fldCharType="begin" w:fldLock="1"/>
      </w:r>
      <w:r w:rsidR="008E39DE" w:rsidRPr="00006F36">
        <w:instrText xml:space="preserve"> REF _Ref151369584 \h </w:instrText>
      </w:r>
      <w:r w:rsidR="008E39DE" w:rsidRPr="00006F36">
        <w:fldChar w:fldCharType="separate"/>
      </w:r>
      <w:r w:rsidR="00F42C5D" w:rsidRPr="00006F36">
        <w:t xml:space="preserve">Table </w:t>
      </w:r>
      <w:r w:rsidR="00F42C5D">
        <w:rPr>
          <w:noProof/>
        </w:rPr>
        <w:t>5</w:t>
      </w:r>
      <w:r w:rsidR="008E39DE" w:rsidRPr="00006F36">
        <w:fldChar w:fldCharType="end"/>
      </w:r>
      <w:r w:rsidR="00717FEC" w:rsidRPr="00006F36">
        <w:t>, respectively</w:t>
      </w:r>
      <w:r w:rsidRPr="00006F36">
        <w:t>.</w:t>
      </w:r>
    </w:p>
    <w:p w14:paraId="355E2F15" w14:textId="2BDF459F" w:rsidR="007F1017" w:rsidRPr="00006F36" w:rsidRDefault="00696EF9" w:rsidP="003227A4">
      <w:pPr>
        <w:pStyle w:val="Caption"/>
        <w:rPr>
          <w:rStyle w:val="CommentReference"/>
          <w:rFonts w:eastAsiaTheme="majorEastAsia" w:cstheme="majorBidi"/>
          <w:b/>
          <w:szCs w:val="24"/>
        </w:rPr>
      </w:pPr>
      <w:bookmarkStart w:id="31" w:name="_Ref104804098"/>
      <w:r w:rsidRPr="00006F36">
        <w:rPr>
          <w:rStyle w:val="CommentReference"/>
          <w:rFonts w:eastAsiaTheme="majorEastAsia" w:cstheme="majorBidi"/>
          <w:b/>
          <w:szCs w:val="24"/>
        </w:rPr>
        <w:lastRenderedPageBreak/>
        <w:t xml:space="preserve">Table </w:t>
      </w:r>
      <w:r w:rsidRPr="00006F36">
        <w:rPr>
          <w:rStyle w:val="CommentReference"/>
          <w:rFonts w:eastAsiaTheme="majorEastAsia" w:cstheme="majorBidi"/>
          <w:b/>
          <w:szCs w:val="24"/>
        </w:rPr>
        <w:fldChar w:fldCharType="begin" w:fldLock="1"/>
      </w:r>
      <w:r w:rsidRPr="00006F36">
        <w:rPr>
          <w:rStyle w:val="CommentReference"/>
          <w:rFonts w:eastAsiaTheme="majorEastAsia" w:cstheme="majorBidi"/>
          <w:b/>
          <w:szCs w:val="24"/>
        </w:rPr>
        <w:instrText xml:space="preserve"> SEQ Table \* ARABIC </w:instrText>
      </w:r>
      <w:r w:rsidRPr="00006F36">
        <w:rPr>
          <w:rStyle w:val="CommentReference"/>
          <w:rFonts w:eastAsiaTheme="majorEastAsia" w:cstheme="majorBidi"/>
          <w:b/>
          <w:szCs w:val="24"/>
        </w:rPr>
        <w:fldChar w:fldCharType="separate"/>
      </w:r>
      <w:r w:rsidR="00F42C5D">
        <w:rPr>
          <w:rStyle w:val="CommentReference"/>
          <w:rFonts w:eastAsiaTheme="majorEastAsia" w:cstheme="majorBidi"/>
          <w:b/>
          <w:noProof/>
          <w:szCs w:val="24"/>
        </w:rPr>
        <w:t>4</w:t>
      </w:r>
      <w:r w:rsidRPr="00006F36">
        <w:rPr>
          <w:rStyle w:val="CommentReference"/>
          <w:rFonts w:eastAsiaTheme="majorEastAsia" w:cstheme="majorBidi"/>
          <w:b/>
          <w:szCs w:val="24"/>
        </w:rPr>
        <w:fldChar w:fldCharType="end"/>
      </w:r>
      <w:bookmarkEnd w:id="31"/>
      <w:r w:rsidR="00D6076E" w:rsidRPr="00006F36">
        <w:rPr>
          <w:rStyle w:val="CommentReference"/>
          <w:rFonts w:eastAsiaTheme="majorEastAsia" w:cstheme="majorBidi"/>
          <w:b/>
          <w:szCs w:val="24"/>
        </w:rPr>
        <w:t xml:space="preserve">: </w:t>
      </w:r>
      <w:r w:rsidR="007F1017" w:rsidRPr="00006F36">
        <w:rPr>
          <w:rStyle w:val="CommentReference"/>
          <w:rFonts w:eastAsiaTheme="majorEastAsia" w:cstheme="majorBidi"/>
          <w:b/>
          <w:szCs w:val="24"/>
        </w:rPr>
        <w:t xml:space="preserve">Key features of the </w:t>
      </w:r>
      <w:r w:rsidR="00B76E59" w:rsidRPr="00006F36">
        <w:rPr>
          <w:rStyle w:val="CommentReference"/>
          <w:rFonts w:eastAsiaTheme="majorEastAsia" w:cstheme="majorBidi"/>
          <w:b/>
          <w:szCs w:val="24"/>
        </w:rPr>
        <w:t xml:space="preserve">comparative </w:t>
      </w:r>
      <w:r w:rsidR="007F1017" w:rsidRPr="00006F36">
        <w:rPr>
          <w:rStyle w:val="CommentReference"/>
          <w:rFonts w:eastAsiaTheme="majorEastAsia" w:cstheme="majorBidi"/>
          <w:b/>
          <w:szCs w:val="24"/>
        </w:rPr>
        <w:t>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comparative evidence"/>
      </w:tblPr>
      <w:tblGrid>
        <w:gridCol w:w="994"/>
        <w:gridCol w:w="2124"/>
        <w:gridCol w:w="994"/>
        <w:gridCol w:w="709"/>
        <w:gridCol w:w="2730"/>
        <w:gridCol w:w="1466"/>
      </w:tblGrid>
      <w:tr w:rsidR="00937BCE" w:rsidRPr="00006F36" w14:paraId="7A59978E" w14:textId="77777777" w:rsidTr="00894583">
        <w:tc>
          <w:tcPr>
            <w:tcW w:w="551" w:type="pct"/>
            <w:shd w:val="clear" w:color="auto" w:fill="auto"/>
            <w:vAlign w:val="center"/>
          </w:tcPr>
          <w:p w14:paraId="2CD94AD7" w14:textId="77777777" w:rsidR="00937BCE" w:rsidRPr="00006F36" w:rsidRDefault="00937BCE" w:rsidP="003227A4">
            <w:pPr>
              <w:keepNext/>
              <w:keepLines/>
              <w:jc w:val="left"/>
              <w:rPr>
                <w:rFonts w:ascii="Arial Narrow" w:hAnsi="Arial Narrow"/>
                <w:b/>
                <w:sz w:val="20"/>
              </w:rPr>
            </w:pPr>
            <w:r w:rsidRPr="00006F36">
              <w:rPr>
                <w:rFonts w:ascii="Arial Narrow" w:hAnsi="Arial Narrow"/>
                <w:b/>
                <w:sz w:val="20"/>
              </w:rPr>
              <w:t>Trial</w:t>
            </w:r>
          </w:p>
        </w:tc>
        <w:tc>
          <w:tcPr>
            <w:tcW w:w="1178" w:type="pct"/>
            <w:shd w:val="clear" w:color="auto" w:fill="auto"/>
            <w:vAlign w:val="center"/>
          </w:tcPr>
          <w:p w14:paraId="2718DA9F" w14:textId="49ED1742" w:rsidR="00937BCE" w:rsidRPr="00006F36" w:rsidRDefault="00937BCE" w:rsidP="003227A4">
            <w:pPr>
              <w:keepNext/>
              <w:keepLines/>
              <w:jc w:val="center"/>
              <w:rPr>
                <w:rFonts w:ascii="Arial Narrow" w:hAnsi="Arial Narrow"/>
                <w:b/>
                <w:sz w:val="20"/>
              </w:rPr>
            </w:pPr>
            <w:r w:rsidRPr="00006F36">
              <w:rPr>
                <w:rFonts w:ascii="Arial Narrow" w:hAnsi="Arial Narrow"/>
                <w:b/>
                <w:sz w:val="20"/>
              </w:rPr>
              <w:t>N</w:t>
            </w:r>
          </w:p>
        </w:tc>
        <w:tc>
          <w:tcPr>
            <w:tcW w:w="551" w:type="pct"/>
            <w:shd w:val="clear" w:color="auto" w:fill="auto"/>
            <w:vAlign w:val="center"/>
          </w:tcPr>
          <w:p w14:paraId="7F87C84B" w14:textId="77777777" w:rsidR="00937BCE" w:rsidRPr="00006F36" w:rsidRDefault="00937BCE" w:rsidP="003227A4">
            <w:pPr>
              <w:keepNext/>
              <w:keepLines/>
              <w:jc w:val="center"/>
              <w:rPr>
                <w:rFonts w:ascii="Arial Narrow" w:hAnsi="Arial Narrow"/>
                <w:b/>
                <w:sz w:val="20"/>
              </w:rPr>
            </w:pPr>
            <w:r w:rsidRPr="00006F36">
              <w:rPr>
                <w:rFonts w:ascii="Arial Narrow" w:hAnsi="Arial Narrow"/>
                <w:b/>
                <w:sz w:val="20"/>
              </w:rPr>
              <w:t>Design/ duration</w:t>
            </w:r>
          </w:p>
        </w:tc>
        <w:tc>
          <w:tcPr>
            <w:tcW w:w="393" w:type="pct"/>
            <w:shd w:val="clear" w:color="auto" w:fill="auto"/>
            <w:vAlign w:val="center"/>
          </w:tcPr>
          <w:p w14:paraId="171BF0D7" w14:textId="77777777" w:rsidR="00937BCE" w:rsidRPr="00006F36" w:rsidRDefault="00937BCE" w:rsidP="003227A4">
            <w:pPr>
              <w:keepNext/>
              <w:keepLines/>
              <w:jc w:val="center"/>
              <w:rPr>
                <w:rFonts w:ascii="Arial Narrow" w:hAnsi="Arial Narrow"/>
                <w:b/>
                <w:sz w:val="20"/>
              </w:rPr>
            </w:pPr>
            <w:r w:rsidRPr="00006F36">
              <w:rPr>
                <w:rFonts w:ascii="Arial Narrow" w:hAnsi="Arial Narrow"/>
                <w:b/>
                <w:sz w:val="20"/>
              </w:rPr>
              <w:t>Risk of bias</w:t>
            </w:r>
          </w:p>
        </w:tc>
        <w:tc>
          <w:tcPr>
            <w:tcW w:w="1514" w:type="pct"/>
            <w:shd w:val="clear" w:color="auto" w:fill="auto"/>
            <w:vAlign w:val="center"/>
          </w:tcPr>
          <w:p w14:paraId="25F32ADE" w14:textId="77777777" w:rsidR="00937BCE" w:rsidRPr="00006F36" w:rsidRDefault="00937BCE" w:rsidP="003227A4">
            <w:pPr>
              <w:keepNext/>
              <w:keepLines/>
              <w:jc w:val="center"/>
              <w:rPr>
                <w:rFonts w:ascii="Arial Narrow" w:hAnsi="Arial Narrow"/>
                <w:b/>
                <w:sz w:val="20"/>
              </w:rPr>
            </w:pPr>
            <w:r w:rsidRPr="00006F36">
              <w:rPr>
                <w:rFonts w:ascii="Arial Narrow" w:hAnsi="Arial Narrow"/>
                <w:b/>
                <w:sz w:val="20"/>
              </w:rPr>
              <w:t>Patient population</w:t>
            </w:r>
          </w:p>
        </w:tc>
        <w:tc>
          <w:tcPr>
            <w:tcW w:w="813" w:type="pct"/>
            <w:shd w:val="clear" w:color="auto" w:fill="auto"/>
            <w:vAlign w:val="center"/>
          </w:tcPr>
          <w:p w14:paraId="7CC05A6A" w14:textId="77777777" w:rsidR="00937BCE" w:rsidRPr="00006F36" w:rsidRDefault="00937BCE" w:rsidP="003227A4">
            <w:pPr>
              <w:keepNext/>
              <w:keepLines/>
              <w:jc w:val="center"/>
              <w:rPr>
                <w:rFonts w:ascii="Arial Narrow" w:hAnsi="Arial Narrow"/>
                <w:b/>
                <w:sz w:val="20"/>
              </w:rPr>
            </w:pPr>
            <w:r w:rsidRPr="00006F36">
              <w:rPr>
                <w:rFonts w:ascii="Arial Narrow" w:hAnsi="Arial Narrow"/>
                <w:b/>
                <w:sz w:val="20"/>
              </w:rPr>
              <w:t>Primary outcome</w:t>
            </w:r>
          </w:p>
        </w:tc>
      </w:tr>
      <w:tr w:rsidR="00937BCE" w:rsidRPr="00006F36" w14:paraId="69354590" w14:textId="77777777" w:rsidTr="00894583">
        <w:tc>
          <w:tcPr>
            <w:tcW w:w="5000" w:type="pct"/>
            <w:gridSpan w:val="6"/>
            <w:shd w:val="clear" w:color="auto" w:fill="auto"/>
            <w:vAlign w:val="center"/>
          </w:tcPr>
          <w:p w14:paraId="5A1816F3" w14:textId="77777777" w:rsidR="00937BCE" w:rsidRPr="00006F36" w:rsidRDefault="00937BCE" w:rsidP="003227A4">
            <w:pPr>
              <w:keepNext/>
              <w:keepLines/>
              <w:jc w:val="left"/>
              <w:rPr>
                <w:rFonts w:ascii="Arial Narrow" w:hAnsi="Arial Narrow"/>
                <w:b/>
                <w:sz w:val="20"/>
              </w:rPr>
            </w:pPr>
            <w:r w:rsidRPr="00006F36">
              <w:rPr>
                <w:rFonts w:ascii="Arial Narrow" w:hAnsi="Arial Narrow"/>
                <w:b/>
                <w:sz w:val="20"/>
              </w:rPr>
              <w:t>Migalastat vs. ERT</w:t>
            </w:r>
          </w:p>
        </w:tc>
      </w:tr>
      <w:tr w:rsidR="00937BCE" w:rsidRPr="00006F36" w14:paraId="03B6AEF0" w14:textId="77777777" w:rsidTr="00894583">
        <w:tc>
          <w:tcPr>
            <w:tcW w:w="551" w:type="pct"/>
            <w:shd w:val="clear" w:color="auto" w:fill="auto"/>
            <w:vAlign w:val="center"/>
          </w:tcPr>
          <w:p w14:paraId="3BBA849F" w14:textId="77777777" w:rsidR="00937BCE" w:rsidRPr="00006F36" w:rsidRDefault="00937BCE" w:rsidP="003227A4">
            <w:pPr>
              <w:keepNext/>
              <w:keepLines/>
              <w:jc w:val="left"/>
              <w:rPr>
                <w:rFonts w:ascii="Arial Narrow" w:hAnsi="Arial Narrow"/>
                <w:sz w:val="20"/>
              </w:rPr>
            </w:pPr>
            <w:r w:rsidRPr="00006F36">
              <w:rPr>
                <w:rFonts w:ascii="Arial Narrow" w:hAnsi="Arial Narrow"/>
                <w:sz w:val="20"/>
              </w:rPr>
              <w:t>ATTRACT</w:t>
            </w:r>
          </w:p>
        </w:tc>
        <w:tc>
          <w:tcPr>
            <w:tcW w:w="1178" w:type="pct"/>
            <w:shd w:val="clear" w:color="auto" w:fill="auto"/>
            <w:vAlign w:val="center"/>
          </w:tcPr>
          <w:p w14:paraId="7D7EA365" w14:textId="77777777" w:rsidR="00937BCE" w:rsidRPr="00006F36" w:rsidRDefault="00937BCE" w:rsidP="00947AB2">
            <w:pPr>
              <w:pStyle w:val="ListParagraph"/>
              <w:keepNext/>
              <w:keepLines/>
              <w:widowControl w:val="0"/>
              <w:numPr>
                <w:ilvl w:val="0"/>
                <w:numId w:val="12"/>
              </w:numPr>
              <w:spacing w:after="0"/>
              <w:ind w:left="205" w:hanging="162"/>
              <w:contextualSpacing/>
              <w:jc w:val="left"/>
              <w:rPr>
                <w:rFonts w:ascii="Arial Narrow" w:hAnsi="Arial Narrow"/>
                <w:sz w:val="20"/>
              </w:rPr>
            </w:pPr>
            <w:r w:rsidRPr="00006F36">
              <w:rPr>
                <w:rFonts w:ascii="Arial Narrow" w:hAnsi="Arial Narrow"/>
                <w:sz w:val="20"/>
              </w:rPr>
              <w:t>ITT, N = 60</w:t>
            </w:r>
          </w:p>
          <w:p w14:paraId="7E4F5F83" w14:textId="77777777" w:rsidR="00937BCE" w:rsidRPr="00006F36" w:rsidRDefault="00937BCE" w:rsidP="00947AB2">
            <w:pPr>
              <w:pStyle w:val="ListParagraph"/>
              <w:keepNext/>
              <w:keepLines/>
              <w:widowControl w:val="0"/>
              <w:numPr>
                <w:ilvl w:val="0"/>
                <w:numId w:val="12"/>
              </w:numPr>
              <w:spacing w:after="0"/>
              <w:ind w:left="205" w:hanging="162"/>
              <w:contextualSpacing/>
              <w:jc w:val="left"/>
              <w:rPr>
                <w:rFonts w:ascii="Arial Narrow" w:hAnsi="Arial Narrow"/>
                <w:sz w:val="20"/>
              </w:rPr>
            </w:pPr>
            <w:r w:rsidRPr="00006F36">
              <w:rPr>
                <w:rFonts w:ascii="Arial Narrow" w:hAnsi="Arial Narrow"/>
                <w:sz w:val="20"/>
              </w:rPr>
              <w:t>mITT amenable, N = 52</w:t>
            </w:r>
          </w:p>
        </w:tc>
        <w:tc>
          <w:tcPr>
            <w:tcW w:w="551" w:type="pct"/>
            <w:shd w:val="clear" w:color="auto" w:fill="auto"/>
            <w:vAlign w:val="center"/>
          </w:tcPr>
          <w:p w14:paraId="46100E50" w14:textId="77777777" w:rsidR="00937BCE" w:rsidRPr="00006F36" w:rsidRDefault="00937BCE" w:rsidP="003227A4">
            <w:pPr>
              <w:keepNext/>
              <w:keepLines/>
              <w:jc w:val="center"/>
              <w:rPr>
                <w:rFonts w:ascii="Arial Narrow" w:hAnsi="Arial Narrow"/>
                <w:sz w:val="20"/>
              </w:rPr>
            </w:pPr>
            <w:r w:rsidRPr="00006F36">
              <w:rPr>
                <w:rFonts w:ascii="Arial Narrow" w:hAnsi="Arial Narrow"/>
                <w:sz w:val="20"/>
              </w:rPr>
              <w:t>R, OL, MC</w:t>
            </w:r>
          </w:p>
          <w:p w14:paraId="7101F84A" w14:textId="27C91C54" w:rsidR="00937BCE" w:rsidRPr="00006F36" w:rsidRDefault="00937BCE" w:rsidP="003227A4">
            <w:pPr>
              <w:keepNext/>
              <w:keepLines/>
              <w:jc w:val="center"/>
              <w:rPr>
                <w:rFonts w:ascii="Arial Narrow" w:hAnsi="Arial Narrow"/>
                <w:sz w:val="20"/>
              </w:rPr>
            </w:pPr>
            <w:r w:rsidRPr="00006F36">
              <w:rPr>
                <w:rFonts w:ascii="Arial Narrow" w:hAnsi="Arial Narrow"/>
                <w:sz w:val="20"/>
              </w:rPr>
              <w:t>18 m</w:t>
            </w:r>
            <w:r w:rsidR="00D96349" w:rsidRPr="00006F36">
              <w:rPr>
                <w:rFonts w:ascii="Arial Narrow" w:hAnsi="Arial Narrow"/>
                <w:sz w:val="20"/>
              </w:rPr>
              <w:t>on</w:t>
            </w:r>
            <w:r w:rsidRPr="00006F36">
              <w:rPr>
                <w:rFonts w:ascii="Arial Narrow" w:hAnsi="Arial Narrow"/>
                <w:sz w:val="20"/>
              </w:rPr>
              <w:t>ths</w:t>
            </w:r>
          </w:p>
        </w:tc>
        <w:tc>
          <w:tcPr>
            <w:tcW w:w="393" w:type="pct"/>
            <w:shd w:val="clear" w:color="auto" w:fill="auto"/>
            <w:vAlign w:val="center"/>
          </w:tcPr>
          <w:p w14:paraId="739F17EE" w14:textId="77777777" w:rsidR="00937BCE" w:rsidRPr="00006F36" w:rsidRDefault="00937BCE" w:rsidP="003227A4">
            <w:pPr>
              <w:keepNext/>
              <w:keepLines/>
              <w:jc w:val="center"/>
              <w:rPr>
                <w:rFonts w:ascii="Arial Narrow" w:hAnsi="Arial Narrow"/>
                <w:sz w:val="20"/>
              </w:rPr>
            </w:pPr>
            <w:r w:rsidRPr="00006F36">
              <w:rPr>
                <w:rFonts w:ascii="Arial Narrow" w:hAnsi="Arial Narrow"/>
                <w:sz w:val="20"/>
              </w:rPr>
              <w:t>High</w:t>
            </w:r>
          </w:p>
        </w:tc>
        <w:tc>
          <w:tcPr>
            <w:tcW w:w="1514" w:type="pct"/>
            <w:shd w:val="clear" w:color="auto" w:fill="auto"/>
            <w:vAlign w:val="center"/>
          </w:tcPr>
          <w:p w14:paraId="1805B2C0" w14:textId="0C339D7B" w:rsidR="00937BCE" w:rsidRPr="00006F36" w:rsidRDefault="00937BCE" w:rsidP="003227A4">
            <w:pPr>
              <w:keepNext/>
              <w:keepLines/>
              <w:jc w:val="center"/>
              <w:rPr>
                <w:rFonts w:ascii="Arial Narrow" w:hAnsi="Arial Narrow"/>
                <w:sz w:val="20"/>
              </w:rPr>
            </w:pPr>
            <w:r w:rsidRPr="00006F36">
              <w:rPr>
                <w:rFonts w:ascii="Arial Narrow" w:hAnsi="Arial Narrow"/>
                <w:sz w:val="20"/>
              </w:rPr>
              <w:t>Treatment-experienced patients with Fabry disease and an amenable mutation</w:t>
            </w:r>
            <w:r w:rsidR="00C344C0" w:rsidRPr="00006F36">
              <w:rPr>
                <w:rFonts w:ascii="Arial Narrow" w:hAnsi="Arial Narrow"/>
                <w:sz w:val="20"/>
              </w:rPr>
              <w:t>, a</w:t>
            </w:r>
            <w:r w:rsidRPr="00006F36">
              <w:rPr>
                <w:rFonts w:ascii="Arial Narrow" w:hAnsi="Arial Narrow"/>
                <w:sz w:val="20"/>
              </w:rPr>
              <w:t>ge 16-74 years</w:t>
            </w:r>
          </w:p>
        </w:tc>
        <w:tc>
          <w:tcPr>
            <w:tcW w:w="813" w:type="pct"/>
            <w:shd w:val="clear" w:color="auto" w:fill="auto"/>
            <w:vAlign w:val="center"/>
          </w:tcPr>
          <w:p w14:paraId="2DA73C07" w14:textId="77777777" w:rsidR="00937BCE" w:rsidRPr="00006F36" w:rsidRDefault="00937BCE" w:rsidP="003227A4">
            <w:pPr>
              <w:keepNext/>
              <w:keepLines/>
              <w:jc w:val="center"/>
              <w:rPr>
                <w:rFonts w:ascii="Arial Narrow" w:hAnsi="Arial Narrow"/>
                <w:sz w:val="20"/>
              </w:rPr>
            </w:pPr>
            <w:r w:rsidRPr="00006F36">
              <w:rPr>
                <w:rFonts w:ascii="Arial Narrow" w:hAnsi="Arial Narrow"/>
                <w:sz w:val="20"/>
              </w:rPr>
              <w:t>Annualised change in eGFR</w:t>
            </w:r>
          </w:p>
        </w:tc>
      </w:tr>
      <w:tr w:rsidR="00937BCE" w:rsidRPr="00006F36" w14:paraId="526FEED9" w14:textId="77777777" w:rsidTr="00894583">
        <w:tc>
          <w:tcPr>
            <w:tcW w:w="5000" w:type="pct"/>
            <w:gridSpan w:val="6"/>
            <w:shd w:val="clear" w:color="auto" w:fill="auto"/>
            <w:vAlign w:val="center"/>
          </w:tcPr>
          <w:p w14:paraId="1261F13A" w14:textId="77777777" w:rsidR="00937BCE" w:rsidRPr="00006F36" w:rsidRDefault="00937BCE" w:rsidP="003227A4">
            <w:pPr>
              <w:keepNext/>
              <w:keepLines/>
              <w:jc w:val="left"/>
              <w:rPr>
                <w:rFonts w:ascii="Arial Narrow" w:hAnsi="Arial Narrow"/>
                <w:sz w:val="20"/>
              </w:rPr>
            </w:pPr>
            <w:r w:rsidRPr="00006F36">
              <w:rPr>
                <w:rFonts w:ascii="Arial Narrow" w:hAnsi="Arial Narrow"/>
                <w:b/>
                <w:sz w:val="20"/>
              </w:rPr>
              <w:t>Migalastat vs. placebo</w:t>
            </w:r>
          </w:p>
        </w:tc>
      </w:tr>
      <w:tr w:rsidR="00937BCE" w:rsidRPr="00006F36" w14:paraId="5C4F7721" w14:textId="77777777" w:rsidTr="00894583">
        <w:tc>
          <w:tcPr>
            <w:tcW w:w="551" w:type="pct"/>
            <w:shd w:val="clear" w:color="auto" w:fill="auto"/>
            <w:vAlign w:val="center"/>
          </w:tcPr>
          <w:p w14:paraId="2B2ADE30" w14:textId="77777777" w:rsidR="00937BCE" w:rsidRPr="00006F36" w:rsidRDefault="00937BCE" w:rsidP="003227A4">
            <w:pPr>
              <w:keepNext/>
              <w:keepLines/>
              <w:jc w:val="left"/>
              <w:rPr>
                <w:rFonts w:ascii="Arial Narrow" w:hAnsi="Arial Narrow"/>
                <w:sz w:val="20"/>
              </w:rPr>
            </w:pPr>
            <w:r w:rsidRPr="00006F36">
              <w:rPr>
                <w:rFonts w:ascii="Arial Narrow" w:hAnsi="Arial Narrow"/>
                <w:sz w:val="20"/>
              </w:rPr>
              <w:t>FACETS</w:t>
            </w:r>
          </w:p>
        </w:tc>
        <w:tc>
          <w:tcPr>
            <w:tcW w:w="1178" w:type="pct"/>
            <w:shd w:val="clear" w:color="auto" w:fill="auto"/>
            <w:vAlign w:val="center"/>
          </w:tcPr>
          <w:p w14:paraId="269AABBC" w14:textId="77777777" w:rsidR="00937BCE" w:rsidRPr="00006F36" w:rsidRDefault="00937BCE" w:rsidP="00947AB2">
            <w:pPr>
              <w:pStyle w:val="ListParagraph"/>
              <w:keepNext/>
              <w:keepLines/>
              <w:widowControl w:val="0"/>
              <w:numPr>
                <w:ilvl w:val="0"/>
                <w:numId w:val="12"/>
              </w:numPr>
              <w:spacing w:after="0"/>
              <w:ind w:left="205" w:hanging="162"/>
              <w:contextualSpacing/>
              <w:jc w:val="left"/>
              <w:rPr>
                <w:rFonts w:ascii="Arial Narrow" w:hAnsi="Arial Narrow"/>
                <w:sz w:val="20"/>
              </w:rPr>
            </w:pPr>
            <w:r w:rsidRPr="00006F36">
              <w:rPr>
                <w:rFonts w:ascii="Arial Narrow" w:hAnsi="Arial Narrow"/>
                <w:sz w:val="20"/>
              </w:rPr>
              <w:t>ITT, N = 67</w:t>
            </w:r>
          </w:p>
          <w:p w14:paraId="16BB0C0A" w14:textId="77777777" w:rsidR="00937BCE" w:rsidRPr="00006F36" w:rsidRDefault="00937BCE" w:rsidP="00947AB2">
            <w:pPr>
              <w:pStyle w:val="ListParagraph"/>
              <w:keepNext/>
              <w:keepLines/>
              <w:widowControl w:val="0"/>
              <w:numPr>
                <w:ilvl w:val="0"/>
                <w:numId w:val="12"/>
              </w:numPr>
              <w:spacing w:after="0"/>
              <w:ind w:left="205" w:hanging="162"/>
              <w:contextualSpacing/>
              <w:jc w:val="left"/>
              <w:rPr>
                <w:rFonts w:ascii="Arial Narrow" w:hAnsi="Arial Narrow"/>
                <w:sz w:val="20"/>
              </w:rPr>
            </w:pPr>
            <w:r w:rsidRPr="00006F36">
              <w:rPr>
                <w:rFonts w:ascii="Arial Narrow" w:hAnsi="Arial Narrow"/>
                <w:sz w:val="20"/>
              </w:rPr>
              <w:t>mITT amenable, N = 50</w:t>
            </w:r>
          </w:p>
        </w:tc>
        <w:tc>
          <w:tcPr>
            <w:tcW w:w="551" w:type="pct"/>
            <w:shd w:val="clear" w:color="auto" w:fill="auto"/>
            <w:vAlign w:val="center"/>
          </w:tcPr>
          <w:p w14:paraId="5EE9E4B9" w14:textId="77777777" w:rsidR="00D12810" w:rsidRDefault="00937BCE" w:rsidP="003227A4">
            <w:pPr>
              <w:keepNext/>
              <w:keepLines/>
              <w:jc w:val="center"/>
              <w:rPr>
                <w:rFonts w:ascii="Arial Narrow" w:hAnsi="Arial Narrow"/>
                <w:sz w:val="20"/>
              </w:rPr>
            </w:pPr>
            <w:r w:rsidRPr="00006F36">
              <w:rPr>
                <w:rFonts w:ascii="Arial Narrow" w:hAnsi="Arial Narrow"/>
                <w:sz w:val="20"/>
              </w:rPr>
              <w:t>R, DB, MC</w:t>
            </w:r>
          </w:p>
          <w:p w14:paraId="6F27FAFB" w14:textId="27C580C6" w:rsidR="00937BCE" w:rsidRPr="00006F36" w:rsidRDefault="00937BCE" w:rsidP="003227A4">
            <w:pPr>
              <w:keepNext/>
              <w:keepLines/>
              <w:jc w:val="center"/>
              <w:rPr>
                <w:rFonts w:ascii="Arial Narrow" w:hAnsi="Arial Narrow"/>
                <w:sz w:val="20"/>
              </w:rPr>
            </w:pPr>
            <w:r w:rsidRPr="00006F36">
              <w:rPr>
                <w:rFonts w:ascii="Arial Narrow" w:hAnsi="Arial Narrow"/>
                <w:sz w:val="20"/>
              </w:rPr>
              <w:t>6 m</w:t>
            </w:r>
            <w:r w:rsidR="00D96349" w:rsidRPr="00006F36">
              <w:rPr>
                <w:rFonts w:ascii="Arial Narrow" w:hAnsi="Arial Narrow"/>
                <w:sz w:val="20"/>
              </w:rPr>
              <w:t>on</w:t>
            </w:r>
            <w:r w:rsidRPr="00006F36">
              <w:rPr>
                <w:rFonts w:ascii="Arial Narrow" w:hAnsi="Arial Narrow"/>
                <w:sz w:val="20"/>
              </w:rPr>
              <w:t>ths</w:t>
            </w:r>
          </w:p>
        </w:tc>
        <w:tc>
          <w:tcPr>
            <w:tcW w:w="393" w:type="pct"/>
            <w:shd w:val="clear" w:color="auto" w:fill="auto"/>
            <w:vAlign w:val="center"/>
          </w:tcPr>
          <w:p w14:paraId="6BD4595B" w14:textId="77777777" w:rsidR="00937BCE" w:rsidRPr="00006F36" w:rsidRDefault="00937BCE" w:rsidP="003227A4">
            <w:pPr>
              <w:keepNext/>
              <w:keepLines/>
              <w:jc w:val="center"/>
              <w:rPr>
                <w:rFonts w:ascii="Arial Narrow" w:hAnsi="Arial Narrow"/>
                <w:sz w:val="20"/>
              </w:rPr>
            </w:pPr>
            <w:r w:rsidRPr="00006F36">
              <w:rPr>
                <w:rFonts w:ascii="Arial Narrow" w:hAnsi="Arial Narrow"/>
                <w:sz w:val="20"/>
              </w:rPr>
              <w:t>High</w:t>
            </w:r>
          </w:p>
        </w:tc>
        <w:tc>
          <w:tcPr>
            <w:tcW w:w="1514" w:type="pct"/>
            <w:shd w:val="clear" w:color="auto" w:fill="auto"/>
            <w:vAlign w:val="center"/>
          </w:tcPr>
          <w:p w14:paraId="3ADE5CB2" w14:textId="3C3981A1" w:rsidR="00937BCE" w:rsidRPr="00006F36" w:rsidRDefault="00937BCE" w:rsidP="003227A4">
            <w:pPr>
              <w:keepNext/>
              <w:keepLines/>
              <w:jc w:val="center"/>
              <w:rPr>
                <w:rFonts w:ascii="Arial Narrow" w:hAnsi="Arial Narrow"/>
                <w:sz w:val="20"/>
              </w:rPr>
            </w:pPr>
            <w:r w:rsidRPr="00006F36">
              <w:rPr>
                <w:rFonts w:ascii="Arial Narrow" w:hAnsi="Arial Narrow"/>
                <w:sz w:val="20"/>
              </w:rPr>
              <w:t>Treatment-naïve patients with Fabry disease</w:t>
            </w:r>
            <w:r w:rsidR="00C344C0" w:rsidRPr="00006F36">
              <w:rPr>
                <w:rFonts w:ascii="Arial Narrow" w:hAnsi="Arial Narrow"/>
                <w:sz w:val="20"/>
              </w:rPr>
              <w:t xml:space="preserve"> </w:t>
            </w:r>
            <w:r w:rsidRPr="00006F36">
              <w:rPr>
                <w:rFonts w:ascii="Arial Narrow" w:hAnsi="Arial Narrow"/>
                <w:sz w:val="20"/>
              </w:rPr>
              <w:t>and an amenable mutation</w:t>
            </w:r>
            <w:r w:rsidR="00C344C0" w:rsidRPr="00006F36">
              <w:rPr>
                <w:rFonts w:ascii="Arial Narrow" w:hAnsi="Arial Narrow"/>
                <w:sz w:val="20"/>
              </w:rPr>
              <w:t>, a</w:t>
            </w:r>
            <w:r w:rsidRPr="00006F36">
              <w:rPr>
                <w:rFonts w:ascii="Arial Narrow" w:hAnsi="Arial Narrow"/>
                <w:sz w:val="20"/>
              </w:rPr>
              <w:t>ge 16-74 years</w:t>
            </w:r>
          </w:p>
        </w:tc>
        <w:tc>
          <w:tcPr>
            <w:tcW w:w="813" w:type="pct"/>
            <w:shd w:val="clear" w:color="auto" w:fill="auto"/>
            <w:vAlign w:val="center"/>
          </w:tcPr>
          <w:p w14:paraId="7F96EEAE" w14:textId="5CB79E0E" w:rsidR="00937BCE" w:rsidRPr="00006F36" w:rsidRDefault="00937BCE" w:rsidP="003227A4">
            <w:pPr>
              <w:keepNext/>
              <w:keepLines/>
              <w:jc w:val="center"/>
              <w:rPr>
                <w:rFonts w:ascii="Arial Narrow" w:hAnsi="Arial Narrow"/>
                <w:sz w:val="20"/>
              </w:rPr>
            </w:pPr>
            <w:r w:rsidRPr="00006F36">
              <w:rPr>
                <w:rFonts w:ascii="Arial Narrow" w:hAnsi="Arial Narrow"/>
                <w:sz w:val="20"/>
              </w:rPr>
              <w:t>Patients (%) with &gt; 50% reduction in kidney interstitial capillaries GL3 inclusions</w:t>
            </w:r>
          </w:p>
        </w:tc>
      </w:tr>
    </w:tbl>
    <w:p w14:paraId="51841BC4" w14:textId="77777777" w:rsidR="00D12810" w:rsidRDefault="00045017" w:rsidP="003227A4">
      <w:pPr>
        <w:pStyle w:val="FooterTableFigure"/>
        <w:keepNext/>
        <w:keepLines/>
      </w:pPr>
      <w:r w:rsidRPr="00006F36">
        <w:t xml:space="preserve">Source: </w:t>
      </w:r>
      <w:r w:rsidR="00FF7EDA" w:rsidRPr="00006F36">
        <w:t xml:space="preserve">Table </w:t>
      </w:r>
      <w:r w:rsidR="00921BD5" w:rsidRPr="00006F36">
        <w:t>2, migalastat public summary document, March 2017 PBAC meeting</w:t>
      </w:r>
    </w:p>
    <w:p w14:paraId="1095487C" w14:textId="3511AF21" w:rsidR="00620C25" w:rsidRPr="00006F36" w:rsidRDefault="004B69B9" w:rsidP="000B5821">
      <w:pPr>
        <w:pStyle w:val="FooterTableFigure"/>
        <w:rPr>
          <w:sz w:val="20"/>
        </w:rPr>
      </w:pPr>
      <w:r>
        <w:t xml:space="preserve">Abbreviations: </w:t>
      </w:r>
      <w:r w:rsidR="00620C25" w:rsidRPr="00006F36">
        <w:t xml:space="preserve">DB = double blind; </w:t>
      </w:r>
      <w:r w:rsidR="008063D1" w:rsidRPr="00006F36">
        <w:t xml:space="preserve">eGFR = estimated glomerular filtration rate; </w:t>
      </w:r>
      <w:r w:rsidR="006D60AC" w:rsidRPr="00006F36">
        <w:t xml:space="preserve">ITT = intention to treat; </w:t>
      </w:r>
      <w:r w:rsidR="00620C25" w:rsidRPr="00006F36">
        <w:t xml:space="preserve">MC = multi-centre; </w:t>
      </w:r>
      <w:r w:rsidR="005363D0" w:rsidRPr="00006F36">
        <w:t xml:space="preserve">mITT = modified intention to treat; </w:t>
      </w:r>
      <w:r w:rsidR="00620C25" w:rsidRPr="00006F36">
        <w:t>OL = open label; OS = overall survival; PFS = progression-free survival; R = randomised.</w:t>
      </w:r>
    </w:p>
    <w:p w14:paraId="13A3FD06" w14:textId="3AD2ADF2" w:rsidR="005F2F2E" w:rsidRPr="00006F36" w:rsidRDefault="00B76E59" w:rsidP="003227A4">
      <w:pPr>
        <w:pStyle w:val="Caption"/>
        <w:rPr>
          <w:rFonts w:eastAsiaTheme="majorEastAsia" w:cstheme="majorBidi"/>
          <w:szCs w:val="24"/>
        </w:rPr>
      </w:pPr>
      <w:bookmarkStart w:id="32" w:name="_Ref151369584"/>
      <w:r w:rsidRPr="00006F36">
        <w:lastRenderedPageBreak/>
        <w:t xml:space="preserve">Table </w:t>
      </w:r>
      <w:r w:rsidR="008C634B">
        <w:fldChar w:fldCharType="begin" w:fldLock="1"/>
      </w:r>
      <w:r w:rsidR="008C634B">
        <w:instrText xml:space="preserve"> SEQ Table \* ARABIC </w:instrText>
      </w:r>
      <w:r w:rsidR="008C634B">
        <w:fldChar w:fldCharType="separate"/>
      </w:r>
      <w:r w:rsidR="00F42C5D">
        <w:rPr>
          <w:noProof/>
        </w:rPr>
        <w:t>5</w:t>
      </w:r>
      <w:r w:rsidR="008C634B">
        <w:rPr>
          <w:noProof/>
        </w:rPr>
        <w:fldChar w:fldCharType="end"/>
      </w:r>
      <w:bookmarkEnd w:id="32"/>
      <w:r w:rsidRPr="00006F36">
        <w:rPr>
          <w:rStyle w:val="CommentReference"/>
          <w:rFonts w:eastAsiaTheme="majorEastAsia" w:cstheme="majorBidi"/>
          <w:b/>
          <w:szCs w:val="24"/>
        </w:rPr>
        <w:t xml:space="preserve"> Key features of the </w:t>
      </w:r>
      <w:r w:rsidR="00801D44" w:rsidRPr="00006F36">
        <w:t>extended long-term studies and retrospective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Key features of the extended long-term studies and retrospective studies"/>
      </w:tblPr>
      <w:tblGrid>
        <w:gridCol w:w="708"/>
        <w:gridCol w:w="1133"/>
        <w:gridCol w:w="712"/>
        <w:gridCol w:w="709"/>
        <w:gridCol w:w="3829"/>
        <w:gridCol w:w="1926"/>
      </w:tblGrid>
      <w:tr w:rsidR="00A2736A" w:rsidRPr="00006F36" w14:paraId="3A26E79F" w14:textId="77777777" w:rsidTr="00894583">
        <w:tc>
          <w:tcPr>
            <w:tcW w:w="5000" w:type="pct"/>
            <w:gridSpan w:val="6"/>
            <w:shd w:val="clear" w:color="auto" w:fill="auto"/>
            <w:vAlign w:val="center"/>
          </w:tcPr>
          <w:p w14:paraId="775605BC" w14:textId="77777777" w:rsidR="00A2736A" w:rsidRPr="00006F36" w:rsidRDefault="00A2736A" w:rsidP="003227A4">
            <w:pPr>
              <w:keepNext/>
              <w:keepLines/>
              <w:jc w:val="left"/>
              <w:rPr>
                <w:rFonts w:ascii="Arial Narrow" w:hAnsi="Arial Narrow"/>
                <w:b/>
                <w:bCs/>
                <w:sz w:val="20"/>
              </w:rPr>
            </w:pPr>
            <w:r w:rsidRPr="00006F36">
              <w:rPr>
                <w:rFonts w:ascii="Arial Narrow" w:hAnsi="Arial Narrow"/>
                <w:b/>
                <w:bCs/>
                <w:sz w:val="20"/>
              </w:rPr>
              <w:t>Long term migalastat</w:t>
            </w:r>
          </w:p>
        </w:tc>
      </w:tr>
      <w:tr w:rsidR="00E61A12" w:rsidRPr="00006F36" w14:paraId="63B0EB3F" w14:textId="77777777" w:rsidTr="00894583">
        <w:tc>
          <w:tcPr>
            <w:tcW w:w="393" w:type="pct"/>
            <w:shd w:val="clear" w:color="auto" w:fill="auto"/>
            <w:vAlign w:val="center"/>
          </w:tcPr>
          <w:p w14:paraId="181AF472" w14:textId="60E3C7FD" w:rsidR="00717FEC" w:rsidRPr="00006F36" w:rsidRDefault="00717FEC" w:rsidP="003227A4">
            <w:pPr>
              <w:keepNext/>
              <w:keepLines/>
              <w:jc w:val="left"/>
              <w:rPr>
                <w:rFonts w:ascii="Arial Narrow" w:hAnsi="Arial Narrow"/>
                <w:sz w:val="20"/>
              </w:rPr>
            </w:pPr>
            <w:r w:rsidRPr="00006F36">
              <w:rPr>
                <w:rFonts w:ascii="Arial Narrow" w:hAnsi="Arial Narrow"/>
                <w:b/>
                <w:sz w:val="20"/>
              </w:rPr>
              <w:t>Trial</w:t>
            </w:r>
          </w:p>
        </w:tc>
        <w:tc>
          <w:tcPr>
            <w:tcW w:w="628" w:type="pct"/>
            <w:shd w:val="clear" w:color="auto" w:fill="auto"/>
            <w:vAlign w:val="center"/>
          </w:tcPr>
          <w:p w14:paraId="5D206FF6" w14:textId="4F2A3CB0" w:rsidR="00717FEC" w:rsidRPr="00006F36" w:rsidRDefault="00717FEC" w:rsidP="003227A4">
            <w:pPr>
              <w:keepNext/>
              <w:keepLines/>
              <w:contextualSpacing/>
              <w:jc w:val="left"/>
              <w:rPr>
                <w:rFonts w:ascii="Arial Narrow" w:hAnsi="Arial Narrow"/>
                <w:sz w:val="20"/>
              </w:rPr>
            </w:pPr>
            <w:r w:rsidRPr="00006F36">
              <w:rPr>
                <w:rFonts w:ascii="Arial Narrow" w:hAnsi="Arial Narrow"/>
                <w:b/>
                <w:sz w:val="20"/>
              </w:rPr>
              <w:t>N</w:t>
            </w:r>
          </w:p>
        </w:tc>
        <w:tc>
          <w:tcPr>
            <w:tcW w:w="395" w:type="pct"/>
            <w:shd w:val="clear" w:color="auto" w:fill="auto"/>
            <w:vAlign w:val="center"/>
          </w:tcPr>
          <w:p w14:paraId="40741333" w14:textId="3B37AE75" w:rsidR="00717FEC" w:rsidRPr="00006F36" w:rsidRDefault="00717FEC" w:rsidP="003227A4">
            <w:pPr>
              <w:keepNext/>
              <w:keepLines/>
              <w:jc w:val="center"/>
              <w:rPr>
                <w:rFonts w:ascii="Arial Narrow" w:hAnsi="Arial Narrow"/>
                <w:sz w:val="20"/>
              </w:rPr>
            </w:pPr>
            <w:r w:rsidRPr="00006F36">
              <w:rPr>
                <w:rFonts w:ascii="Arial Narrow" w:hAnsi="Arial Narrow"/>
                <w:b/>
                <w:sz w:val="20"/>
              </w:rPr>
              <w:t>Design/ duration</w:t>
            </w:r>
          </w:p>
        </w:tc>
        <w:tc>
          <w:tcPr>
            <w:tcW w:w="393" w:type="pct"/>
            <w:shd w:val="clear" w:color="auto" w:fill="auto"/>
            <w:vAlign w:val="center"/>
          </w:tcPr>
          <w:p w14:paraId="40115568" w14:textId="622C927F" w:rsidR="00717FEC" w:rsidRPr="00006F36" w:rsidRDefault="00717FEC" w:rsidP="003227A4">
            <w:pPr>
              <w:keepNext/>
              <w:keepLines/>
              <w:jc w:val="center"/>
              <w:rPr>
                <w:rFonts w:ascii="Arial Narrow" w:hAnsi="Arial Narrow"/>
                <w:sz w:val="20"/>
              </w:rPr>
            </w:pPr>
            <w:r w:rsidRPr="00006F36">
              <w:rPr>
                <w:rFonts w:ascii="Arial Narrow" w:hAnsi="Arial Narrow"/>
                <w:b/>
                <w:sz w:val="20"/>
              </w:rPr>
              <w:t>Risk of bias</w:t>
            </w:r>
          </w:p>
        </w:tc>
        <w:tc>
          <w:tcPr>
            <w:tcW w:w="2123" w:type="pct"/>
            <w:shd w:val="clear" w:color="auto" w:fill="auto"/>
            <w:vAlign w:val="center"/>
          </w:tcPr>
          <w:p w14:paraId="7406545D" w14:textId="62FD03BA" w:rsidR="00717FEC" w:rsidRPr="00006F36" w:rsidRDefault="00717FEC" w:rsidP="003227A4">
            <w:pPr>
              <w:keepNext/>
              <w:keepLines/>
              <w:jc w:val="center"/>
              <w:rPr>
                <w:rFonts w:ascii="Arial Narrow" w:hAnsi="Arial Narrow"/>
                <w:sz w:val="20"/>
              </w:rPr>
            </w:pPr>
            <w:r w:rsidRPr="00006F36">
              <w:rPr>
                <w:rFonts w:ascii="Arial Narrow" w:hAnsi="Arial Narrow"/>
                <w:b/>
                <w:sz w:val="20"/>
              </w:rPr>
              <w:t>Patient population</w:t>
            </w:r>
          </w:p>
        </w:tc>
        <w:tc>
          <w:tcPr>
            <w:tcW w:w="1068" w:type="pct"/>
            <w:shd w:val="clear" w:color="auto" w:fill="auto"/>
            <w:vAlign w:val="center"/>
          </w:tcPr>
          <w:p w14:paraId="31DF6EF8" w14:textId="1F84DE80" w:rsidR="00717FEC" w:rsidRPr="00006F36" w:rsidRDefault="00717FEC" w:rsidP="003227A4">
            <w:pPr>
              <w:keepNext/>
              <w:keepLines/>
              <w:jc w:val="center"/>
              <w:rPr>
                <w:rFonts w:ascii="Arial Narrow" w:hAnsi="Arial Narrow"/>
                <w:sz w:val="20"/>
              </w:rPr>
            </w:pPr>
            <w:r w:rsidRPr="00006F36">
              <w:rPr>
                <w:rFonts w:ascii="Arial Narrow" w:hAnsi="Arial Narrow"/>
                <w:b/>
                <w:sz w:val="20"/>
              </w:rPr>
              <w:t>Primary outcome</w:t>
            </w:r>
          </w:p>
        </w:tc>
      </w:tr>
      <w:tr w:rsidR="00E61A12" w:rsidRPr="00006F36" w14:paraId="522B757B" w14:textId="77777777" w:rsidTr="00894583">
        <w:tc>
          <w:tcPr>
            <w:tcW w:w="393" w:type="pct"/>
            <w:shd w:val="clear" w:color="auto" w:fill="auto"/>
            <w:vAlign w:val="center"/>
          </w:tcPr>
          <w:p w14:paraId="01909A8E" w14:textId="77777777" w:rsidR="00717FEC" w:rsidRPr="00006F36" w:rsidRDefault="00717FEC" w:rsidP="003227A4">
            <w:pPr>
              <w:keepNext/>
              <w:keepLines/>
              <w:jc w:val="left"/>
              <w:rPr>
                <w:rFonts w:ascii="Arial Narrow" w:hAnsi="Arial Narrow"/>
                <w:sz w:val="20"/>
              </w:rPr>
            </w:pPr>
            <w:r w:rsidRPr="00006F36">
              <w:rPr>
                <w:rFonts w:ascii="Arial Narrow" w:hAnsi="Arial Narrow"/>
                <w:sz w:val="20"/>
              </w:rPr>
              <w:t>Bichet 2021</w:t>
            </w:r>
          </w:p>
        </w:tc>
        <w:tc>
          <w:tcPr>
            <w:tcW w:w="628" w:type="pct"/>
            <w:shd w:val="clear" w:color="auto" w:fill="auto"/>
            <w:vAlign w:val="center"/>
          </w:tcPr>
          <w:p w14:paraId="2385DA42" w14:textId="77777777" w:rsidR="00717FEC" w:rsidRPr="00006F36" w:rsidRDefault="00717FEC" w:rsidP="003227A4">
            <w:pPr>
              <w:keepNext/>
              <w:keepLines/>
              <w:contextualSpacing/>
              <w:jc w:val="left"/>
              <w:rPr>
                <w:rFonts w:ascii="Arial Narrow" w:hAnsi="Arial Narrow"/>
                <w:sz w:val="20"/>
              </w:rPr>
            </w:pPr>
            <w:r w:rsidRPr="00006F36">
              <w:rPr>
                <w:rFonts w:ascii="Arial Narrow" w:hAnsi="Arial Narrow"/>
                <w:sz w:val="20"/>
              </w:rPr>
              <w:t>78</w:t>
            </w:r>
          </w:p>
        </w:tc>
        <w:tc>
          <w:tcPr>
            <w:tcW w:w="395" w:type="pct"/>
            <w:shd w:val="clear" w:color="auto" w:fill="auto"/>
            <w:vAlign w:val="center"/>
          </w:tcPr>
          <w:p w14:paraId="6112D0F2" w14:textId="450BF817" w:rsidR="00717FEC" w:rsidRPr="00006F36" w:rsidRDefault="00300122" w:rsidP="003227A4">
            <w:pPr>
              <w:keepNext/>
              <w:keepLines/>
              <w:jc w:val="center"/>
              <w:rPr>
                <w:rFonts w:ascii="Arial Narrow" w:hAnsi="Arial Narrow"/>
                <w:sz w:val="20"/>
              </w:rPr>
            </w:pPr>
            <w:r w:rsidRPr="00006F36">
              <w:rPr>
                <w:rFonts w:ascii="Arial Narrow" w:hAnsi="Arial Narrow"/>
                <w:sz w:val="20"/>
              </w:rPr>
              <w:t>OL</w:t>
            </w:r>
            <w:r w:rsidR="003860F6" w:rsidRPr="00006F36">
              <w:rPr>
                <w:rFonts w:ascii="Arial Narrow" w:hAnsi="Arial Narrow"/>
                <w:sz w:val="20"/>
              </w:rPr>
              <w:t>, post hoc</w:t>
            </w:r>
          </w:p>
        </w:tc>
        <w:tc>
          <w:tcPr>
            <w:tcW w:w="393" w:type="pct"/>
            <w:shd w:val="clear" w:color="auto" w:fill="auto"/>
            <w:vAlign w:val="center"/>
          </w:tcPr>
          <w:p w14:paraId="29E6B762" w14:textId="2D132EF7" w:rsidR="00717FEC" w:rsidRPr="00006F36" w:rsidRDefault="00D6692D" w:rsidP="003227A4">
            <w:pPr>
              <w:keepNext/>
              <w:keepLines/>
              <w:jc w:val="center"/>
              <w:rPr>
                <w:rFonts w:ascii="Arial Narrow" w:hAnsi="Arial Narrow"/>
                <w:sz w:val="20"/>
                <w:vertAlign w:val="superscript"/>
              </w:rPr>
            </w:pPr>
            <w:r w:rsidRPr="00006F36">
              <w:rPr>
                <w:rFonts w:ascii="Arial Narrow" w:hAnsi="Arial Narrow"/>
                <w:sz w:val="20"/>
              </w:rPr>
              <w:t>High</w:t>
            </w:r>
            <w:r w:rsidR="00C47B55" w:rsidRPr="00006F36">
              <w:rPr>
                <w:rFonts w:ascii="Arial Narrow" w:hAnsi="Arial Narrow"/>
                <w:sz w:val="20"/>
              </w:rPr>
              <w:t xml:space="preserve"> </w:t>
            </w:r>
            <w:r w:rsidR="00C47B55" w:rsidRPr="00006F36">
              <w:rPr>
                <w:rFonts w:ascii="Arial Narrow" w:hAnsi="Arial Narrow"/>
                <w:sz w:val="20"/>
                <w:vertAlign w:val="superscript"/>
              </w:rPr>
              <w:t>a</w:t>
            </w:r>
          </w:p>
        </w:tc>
        <w:tc>
          <w:tcPr>
            <w:tcW w:w="2123" w:type="pct"/>
            <w:shd w:val="clear" w:color="auto" w:fill="auto"/>
            <w:vAlign w:val="center"/>
          </w:tcPr>
          <w:p w14:paraId="1315F622" w14:textId="23A012FD" w:rsidR="00717FEC" w:rsidRPr="00006F36" w:rsidRDefault="0045097A" w:rsidP="003227A4">
            <w:pPr>
              <w:keepNext/>
              <w:keepLines/>
              <w:jc w:val="center"/>
              <w:rPr>
                <w:rFonts w:ascii="Arial Narrow" w:hAnsi="Arial Narrow"/>
                <w:sz w:val="20"/>
              </w:rPr>
            </w:pPr>
            <w:r w:rsidRPr="00006F36">
              <w:rPr>
                <w:rFonts w:ascii="Arial Narrow" w:hAnsi="Arial Narrow"/>
                <w:sz w:val="20"/>
              </w:rPr>
              <w:t xml:space="preserve">ERT-naïve (n=36 [63.9% female]; mean age 45 years) and ERT-experienced (n=42 [57.2% female]; mean age 50 years) population (aged 16-74 years) with Fabry disease and amenable GLA variants who received migalastat 123 mg every other day for ≥2 years during </w:t>
            </w:r>
            <w:r w:rsidR="00FD2FD9" w:rsidRPr="00006F36">
              <w:rPr>
                <w:rFonts w:ascii="Arial Narrow" w:hAnsi="Arial Narrow"/>
                <w:sz w:val="20"/>
              </w:rPr>
              <w:t>FACETS and ATTRACT trials plus the open label extension studies</w:t>
            </w:r>
            <w:r w:rsidR="001C0C6F" w:rsidRPr="00006F36">
              <w:rPr>
                <w:rFonts w:ascii="Arial Narrow" w:hAnsi="Arial Narrow"/>
                <w:sz w:val="20"/>
              </w:rPr>
              <w:t xml:space="preserve"> </w:t>
            </w:r>
            <w:r w:rsidR="00275D76" w:rsidRPr="00006F36">
              <w:rPr>
                <w:rFonts w:ascii="Arial Narrow" w:hAnsi="Arial Narrow"/>
                <w:sz w:val="20"/>
              </w:rPr>
              <w:t>(AT1001-041 [NCT01458119] and AT1001-042 [NCT02194985]).</w:t>
            </w:r>
          </w:p>
        </w:tc>
        <w:tc>
          <w:tcPr>
            <w:tcW w:w="1068" w:type="pct"/>
            <w:shd w:val="clear" w:color="auto" w:fill="auto"/>
            <w:vAlign w:val="center"/>
          </w:tcPr>
          <w:p w14:paraId="4C902D6C" w14:textId="415B4E4D" w:rsidR="00717FEC" w:rsidRPr="00006F36" w:rsidRDefault="00FD2FD9" w:rsidP="003227A4">
            <w:pPr>
              <w:keepNext/>
              <w:keepLines/>
              <w:jc w:val="center"/>
              <w:rPr>
                <w:rFonts w:ascii="Arial Narrow" w:hAnsi="Arial Narrow"/>
                <w:sz w:val="20"/>
              </w:rPr>
            </w:pPr>
            <w:r w:rsidRPr="00006F36">
              <w:rPr>
                <w:rFonts w:ascii="Arial Narrow" w:hAnsi="Arial Narrow"/>
                <w:sz w:val="20"/>
              </w:rPr>
              <w:t>eGFRCKD-EPI (renal function) (as annualised rate of change) analysed by treatment status, sex, and phenotype.</w:t>
            </w:r>
          </w:p>
        </w:tc>
      </w:tr>
      <w:tr w:rsidR="00E61A12" w:rsidRPr="00006F36" w14:paraId="037118FF" w14:textId="77777777" w:rsidTr="00894583">
        <w:tc>
          <w:tcPr>
            <w:tcW w:w="393" w:type="pct"/>
            <w:shd w:val="clear" w:color="auto" w:fill="auto"/>
            <w:vAlign w:val="center"/>
          </w:tcPr>
          <w:p w14:paraId="6846C314" w14:textId="77777777" w:rsidR="00717FEC" w:rsidRPr="00006F36" w:rsidRDefault="00717FEC" w:rsidP="003227A4">
            <w:pPr>
              <w:keepNext/>
              <w:keepLines/>
              <w:jc w:val="left"/>
              <w:rPr>
                <w:rFonts w:ascii="Arial Narrow" w:hAnsi="Arial Narrow"/>
                <w:sz w:val="20"/>
              </w:rPr>
            </w:pPr>
            <w:r w:rsidRPr="00006F36">
              <w:rPr>
                <w:rFonts w:ascii="Arial Narrow" w:hAnsi="Arial Narrow"/>
                <w:sz w:val="20"/>
              </w:rPr>
              <w:t>Hughes 2023</w:t>
            </w:r>
          </w:p>
        </w:tc>
        <w:tc>
          <w:tcPr>
            <w:tcW w:w="628" w:type="pct"/>
            <w:shd w:val="clear" w:color="auto" w:fill="auto"/>
            <w:vAlign w:val="center"/>
          </w:tcPr>
          <w:p w14:paraId="7DB6B678" w14:textId="44BF0F2C" w:rsidR="00717FEC" w:rsidRPr="00006F36" w:rsidRDefault="004F6749" w:rsidP="003227A4">
            <w:pPr>
              <w:keepNext/>
              <w:keepLines/>
              <w:contextualSpacing/>
              <w:jc w:val="left"/>
              <w:rPr>
                <w:rFonts w:ascii="Arial Narrow" w:hAnsi="Arial Narrow"/>
                <w:sz w:val="20"/>
              </w:rPr>
            </w:pPr>
            <w:r w:rsidRPr="00006F36">
              <w:rPr>
                <w:rFonts w:ascii="Arial Narrow" w:hAnsi="Arial Narrow"/>
                <w:sz w:val="20"/>
              </w:rPr>
              <w:t>97</w:t>
            </w:r>
          </w:p>
        </w:tc>
        <w:tc>
          <w:tcPr>
            <w:tcW w:w="395" w:type="pct"/>
            <w:shd w:val="clear" w:color="auto" w:fill="auto"/>
            <w:vAlign w:val="center"/>
          </w:tcPr>
          <w:p w14:paraId="6583227C" w14:textId="048F9208" w:rsidR="00717FEC" w:rsidRPr="00006F36" w:rsidRDefault="00E475C8" w:rsidP="003227A4">
            <w:pPr>
              <w:keepNext/>
              <w:keepLines/>
              <w:jc w:val="center"/>
              <w:rPr>
                <w:rFonts w:ascii="Arial Narrow" w:hAnsi="Arial Narrow"/>
                <w:sz w:val="20"/>
              </w:rPr>
            </w:pPr>
            <w:r w:rsidRPr="00006F36">
              <w:rPr>
                <w:rFonts w:ascii="Arial Narrow" w:hAnsi="Arial Narrow"/>
                <w:sz w:val="20"/>
              </w:rPr>
              <w:t>OL</w:t>
            </w:r>
            <w:r w:rsidR="001F3FDE" w:rsidRPr="00006F36">
              <w:rPr>
                <w:rFonts w:ascii="Arial Narrow" w:hAnsi="Arial Narrow"/>
                <w:sz w:val="20"/>
              </w:rPr>
              <w:t>, post hoc</w:t>
            </w:r>
          </w:p>
        </w:tc>
        <w:tc>
          <w:tcPr>
            <w:tcW w:w="393" w:type="pct"/>
            <w:shd w:val="clear" w:color="auto" w:fill="auto"/>
            <w:vAlign w:val="center"/>
          </w:tcPr>
          <w:p w14:paraId="72CEE9DA" w14:textId="42217911" w:rsidR="00717FEC" w:rsidRPr="00006F36" w:rsidRDefault="00DB5100" w:rsidP="003227A4">
            <w:pPr>
              <w:keepNext/>
              <w:keepLines/>
              <w:jc w:val="center"/>
              <w:rPr>
                <w:rFonts w:ascii="Arial Narrow" w:hAnsi="Arial Narrow"/>
                <w:sz w:val="20"/>
                <w:vertAlign w:val="superscript"/>
              </w:rPr>
            </w:pPr>
            <w:r w:rsidRPr="00006F36">
              <w:rPr>
                <w:rFonts w:ascii="Arial Narrow" w:hAnsi="Arial Narrow"/>
                <w:sz w:val="20"/>
              </w:rPr>
              <w:t>High</w:t>
            </w:r>
            <w:r w:rsidR="00C47B55" w:rsidRPr="00006F36">
              <w:rPr>
                <w:rFonts w:ascii="Arial Narrow" w:hAnsi="Arial Narrow"/>
                <w:sz w:val="20"/>
              </w:rPr>
              <w:t xml:space="preserve"> </w:t>
            </w:r>
            <w:r w:rsidR="00C47B55" w:rsidRPr="00006F36">
              <w:rPr>
                <w:rFonts w:ascii="Arial Narrow" w:hAnsi="Arial Narrow"/>
                <w:sz w:val="20"/>
                <w:vertAlign w:val="superscript"/>
              </w:rPr>
              <w:t>a</w:t>
            </w:r>
          </w:p>
        </w:tc>
        <w:tc>
          <w:tcPr>
            <w:tcW w:w="2123" w:type="pct"/>
            <w:shd w:val="clear" w:color="auto" w:fill="auto"/>
            <w:vAlign w:val="center"/>
          </w:tcPr>
          <w:p w14:paraId="06EE453D" w14:textId="446DDE43" w:rsidR="00717FEC" w:rsidRPr="00006F36" w:rsidRDefault="00A46588" w:rsidP="003227A4">
            <w:pPr>
              <w:keepNext/>
              <w:keepLines/>
              <w:jc w:val="center"/>
              <w:rPr>
                <w:rFonts w:ascii="Arial Narrow" w:hAnsi="Arial Narrow"/>
                <w:sz w:val="20"/>
              </w:rPr>
            </w:pPr>
            <w:r w:rsidRPr="00006F36">
              <w:rPr>
                <w:rFonts w:ascii="Arial Narrow" w:hAnsi="Arial Narrow"/>
                <w:sz w:val="20"/>
              </w:rPr>
              <w:t>ERT-naïve (n=48 [62.5% female]; mean age 43.1 years) and ERT-experienced (n=49 [61.2% female]; mean 49.5 years population (aged 16-74 years) with Fabry disease and amenable GLA variants who had received migalastat treatment during FACETS and ATTRACT trials plus the open label extension studies</w:t>
            </w:r>
            <w:r w:rsidR="001C0C6F" w:rsidRPr="00006F36">
              <w:rPr>
                <w:rFonts w:ascii="Arial Narrow" w:hAnsi="Arial Narrow"/>
                <w:sz w:val="20"/>
              </w:rPr>
              <w:t xml:space="preserve"> </w:t>
            </w:r>
            <w:r w:rsidR="004773A1" w:rsidRPr="00006F36">
              <w:rPr>
                <w:rFonts w:ascii="Arial Narrow" w:hAnsi="Arial Narrow"/>
                <w:sz w:val="20"/>
              </w:rPr>
              <w:t>(AT1001-041 [NCT01458119] and AT1001-042 [NCT02194985]).</w:t>
            </w:r>
          </w:p>
        </w:tc>
        <w:tc>
          <w:tcPr>
            <w:tcW w:w="1068" w:type="pct"/>
            <w:shd w:val="clear" w:color="auto" w:fill="auto"/>
            <w:vAlign w:val="center"/>
          </w:tcPr>
          <w:p w14:paraId="7DE2DE24" w14:textId="37D9AD1D" w:rsidR="00717FEC" w:rsidRPr="00006F36" w:rsidRDefault="00DB5100" w:rsidP="003227A4">
            <w:pPr>
              <w:keepNext/>
              <w:keepLines/>
              <w:jc w:val="center"/>
              <w:rPr>
                <w:rFonts w:ascii="Arial Narrow" w:hAnsi="Arial Narrow"/>
                <w:sz w:val="20"/>
              </w:rPr>
            </w:pPr>
            <w:r w:rsidRPr="00006F36">
              <w:rPr>
                <w:rFonts w:ascii="Arial Narrow" w:hAnsi="Arial Narrow"/>
                <w:sz w:val="20"/>
              </w:rPr>
              <w:t>Incidence of FACEs (as a composite outcome and separately for renal, cardiac and cerebrovascular events)</w:t>
            </w:r>
            <w:r w:rsidR="00D12810">
              <w:rPr>
                <w:rFonts w:ascii="Arial Narrow" w:hAnsi="Arial Narrow"/>
                <w:sz w:val="20"/>
              </w:rPr>
              <w:t xml:space="preserve"> </w:t>
            </w:r>
            <w:r w:rsidRPr="00006F36">
              <w:rPr>
                <w:rFonts w:ascii="Arial Narrow" w:hAnsi="Arial Narrow"/>
                <w:sz w:val="20"/>
              </w:rPr>
              <w:t>analysed by sex, age, phenotype, and prior treatment status.</w:t>
            </w:r>
          </w:p>
        </w:tc>
      </w:tr>
      <w:tr w:rsidR="00F576CD" w:rsidRPr="00006F36" w14:paraId="03887CCD" w14:textId="77777777" w:rsidTr="00894583">
        <w:tc>
          <w:tcPr>
            <w:tcW w:w="5000" w:type="pct"/>
            <w:gridSpan w:val="6"/>
            <w:shd w:val="clear" w:color="auto" w:fill="auto"/>
            <w:vAlign w:val="center"/>
          </w:tcPr>
          <w:p w14:paraId="3DB929E1" w14:textId="492C1F5C" w:rsidR="00F576CD" w:rsidRPr="00006F36" w:rsidRDefault="00CE2D6B" w:rsidP="003227A4">
            <w:pPr>
              <w:keepNext/>
              <w:keepLines/>
              <w:rPr>
                <w:rFonts w:ascii="Arial Narrow" w:hAnsi="Arial Narrow"/>
                <w:b/>
                <w:bCs/>
                <w:sz w:val="20"/>
              </w:rPr>
            </w:pPr>
            <w:r w:rsidRPr="00006F36">
              <w:rPr>
                <w:rFonts w:ascii="Arial Narrow" w:hAnsi="Arial Narrow"/>
                <w:b/>
                <w:bCs/>
                <w:sz w:val="20"/>
              </w:rPr>
              <w:t xml:space="preserve">ERT observational </w:t>
            </w:r>
            <w:r w:rsidR="00801D44" w:rsidRPr="00006F36">
              <w:rPr>
                <w:rFonts w:ascii="Arial Narrow" w:hAnsi="Arial Narrow"/>
                <w:b/>
                <w:bCs/>
                <w:sz w:val="20"/>
              </w:rPr>
              <w:t xml:space="preserve">retrospective </w:t>
            </w:r>
            <w:r w:rsidRPr="00006F36">
              <w:rPr>
                <w:rFonts w:ascii="Arial Narrow" w:hAnsi="Arial Narrow"/>
                <w:b/>
                <w:bCs/>
                <w:sz w:val="20"/>
              </w:rPr>
              <w:t>studies</w:t>
            </w:r>
          </w:p>
        </w:tc>
      </w:tr>
      <w:tr w:rsidR="00006990" w:rsidRPr="00006F36" w14:paraId="79087A32" w14:textId="77777777" w:rsidTr="00894583">
        <w:tc>
          <w:tcPr>
            <w:tcW w:w="393" w:type="pct"/>
            <w:shd w:val="clear" w:color="auto" w:fill="auto"/>
            <w:vAlign w:val="center"/>
          </w:tcPr>
          <w:p w14:paraId="6E1EA77B" w14:textId="69CD86B9" w:rsidR="00006990" w:rsidRPr="00006F36" w:rsidRDefault="00006990" w:rsidP="003227A4">
            <w:pPr>
              <w:keepNext/>
              <w:keepLines/>
              <w:jc w:val="left"/>
              <w:rPr>
                <w:rFonts w:ascii="Arial Narrow" w:hAnsi="Arial Narrow"/>
                <w:sz w:val="20"/>
              </w:rPr>
            </w:pPr>
            <w:r w:rsidRPr="00006F36">
              <w:rPr>
                <w:rFonts w:ascii="Arial Narrow" w:hAnsi="Arial Narrow"/>
                <w:sz w:val="20"/>
              </w:rPr>
              <w:t>Hughes 2021</w:t>
            </w:r>
          </w:p>
        </w:tc>
        <w:tc>
          <w:tcPr>
            <w:tcW w:w="628" w:type="pct"/>
            <w:shd w:val="clear" w:color="auto" w:fill="auto"/>
            <w:vAlign w:val="center"/>
          </w:tcPr>
          <w:p w14:paraId="1C4DCE19" w14:textId="77777777" w:rsidR="00006990" w:rsidRPr="00006F36" w:rsidRDefault="00006990" w:rsidP="003227A4">
            <w:pPr>
              <w:keepNext/>
              <w:keepLines/>
              <w:widowControl w:val="0"/>
              <w:contextualSpacing/>
              <w:jc w:val="left"/>
              <w:rPr>
                <w:rFonts w:ascii="Arial Narrow" w:hAnsi="Arial Narrow"/>
                <w:sz w:val="20"/>
              </w:rPr>
            </w:pPr>
            <w:r w:rsidRPr="00006F36">
              <w:rPr>
                <w:rFonts w:ascii="Arial Narrow" w:hAnsi="Arial Narrow"/>
                <w:sz w:val="20"/>
              </w:rPr>
              <w:t>Male 1130</w:t>
            </w:r>
          </w:p>
          <w:p w14:paraId="290C1DDC" w14:textId="6FE84316" w:rsidR="00006990" w:rsidRPr="00006F36" w:rsidRDefault="00006990" w:rsidP="003227A4">
            <w:pPr>
              <w:keepNext/>
              <w:keepLines/>
              <w:widowControl w:val="0"/>
              <w:contextualSpacing/>
              <w:jc w:val="left"/>
              <w:rPr>
                <w:rFonts w:ascii="Arial Narrow" w:hAnsi="Arial Narrow"/>
                <w:sz w:val="20"/>
              </w:rPr>
            </w:pPr>
            <w:r w:rsidRPr="00006F36">
              <w:rPr>
                <w:rFonts w:ascii="Arial Narrow" w:hAnsi="Arial Narrow"/>
                <w:sz w:val="20"/>
              </w:rPr>
              <w:t>Female 921</w:t>
            </w:r>
          </w:p>
        </w:tc>
        <w:tc>
          <w:tcPr>
            <w:tcW w:w="395" w:type="pct"/>
            <w:shd w:val="clear" w:color="auto" w:fill="auto"/>
            <w:vAlign w:val="center"/>
          </w:tcPr>
          <w:p w14:paraId="50E24448" w14:textId="736F206D" w:rsidR="00006990" w:rsidRPr="00006F36" w:rsidRDefault="001A3D72" w:rsidP="003227A4">
            <w:pPr>
              <w:keepNext/>
              <w:keepLines/>
              <w:jc w:val="center"/>
              <w:rPr>
                <w:rFonts w:ascii="Arial Narrow" w:hAnsi="Arial Narrow"/>
                <w:sz w:val="20"/>
              </w:rPr>
            </w:pPr>
            <w:r w:rsidRPr="00006F36">
              <w:rPr>
                <w:rFonts w:ascii="Arial Narrow" w:hAnsi="Arial Narrow"/>
                <w:sz w:val="20"/>
              </w:rPr>
              <w:t>OL, Retro</w:t>
            </w:r>
          </w:p>
        </w:tc>
        <w:tc>
          <w:tcPr>
            <w:tcW w:w="393" w:type="pct"/>
            <w:shd w:val="clear" w:color="auto" w:fill="auto"/>
            <w:vAlign w:val="center"/>
          </w:tcPr>
          <w:p w14:paraId="13626350" w14:textId="6E7C74AC" w:rsidR="00006990" w:rsidRPr="00006F36" w:rsidRDefault="00C47B55" w:rsidP="003227A4">
            <w:pPr>
              <w:keepNext/>
              <w:keepLines/>
              <w:jc w:val="center"/>
              <w:rPr>
                <w:rFonts w:ascii="Arial Narrow" w:hAnsi="Arial Narrow"/>
                <w:sz w:val="20"/>
              </w:rPr>
            </w:pPr>
            <w:r w:rsidRPr="00006F36">
              <w:rPr>
                <w:rFonts w:ascii="Arial Narrow" w:hAnsi="Arial Narrow"/>
                <w:sz w:val="20"/>
              </w:rPr>
              <w:t xml:space="preserve">High </w:t>
            </w:r>
            <w:r w:rsidR="005E7417" w:rsidRPr="00006F36">
              <w:rPr>
                <w:rFonts w:ascii="Arial Narrow" w:hAnsi="Arial Narrow"/>
                <w:sz w:val="20"/>
                <w:vertAlign w:val="superscript"/>
              </w:rPr>
              <w:t>b</w:t>
            </w:r>
          </w:p>
        </w:tc>
        <w:tc>
          <w:tcPr>
            <w:tcW w:w="2123" w:type="pct"/>
            <w:shd w:val="clear" w:color="auto" w:fill="auto"/>
            <w:vAlign w:val="center"/>
          </w:tcPr>
          <w:p w14:paraId="4088AFC8" w14:textId="383ACC5B" w:rsidR="00006990" w:rsidRPr="00006F36" w:rsidRDefault="001347BD" w:rsidP="003227A4">
            <w:pPr>
              <w:keepNext/>
              <w:keepLines/>
              <w:jc w:val="center"/>
              <w:rPr>
                <w:rFonts w:ascii="Arial Narrow" w:hAnsi="Arial Narrow"/>
                <w:sz w:val="20"/>
              </w:rPr>
            </w:pPr>
            <w:r w:rsidRPr="00006F36">
              <w:rPr>
                <w:rFonts w:ascii="Arial Narrow" w:hAnsi="Arial Narrow"/>
                <w:sz w:val="20"/>
              </w:rPr>
              <w:t xml:space="preserve">Patients enrolled in FOS </w:t>
            </w:r>
            <w:r w:rsidR="004653AE" w:rsidRPr="00006F36">
              <w:rPr>
                <w:rFonts w:ascii="Arial Narrow" w:hAnsi="Arial Narrow"/>
                <w:sz w:val="20"/>
              </w:rPr>
              <w:t>who had been trea</w:t>
            </w:r>
            <w:r w:rsidR="000222F5" w:rsidRPr="00006F36">
              <w:rPr>
                <w:rFonts w:ascii="Arial Narrow" w:hAnsi="Arial Narrow"/>
                <w:sz w:val="20"/>
              </w:rPr>
              <w:t>ted with agalsidase alfa</w:t>
            </w:r>
          </w:p>
        </w:tc>
        <w:tc>
          <w:tcPr>
            <w:tcW w:w="1068" w:type="pct"/>
            <w:shd w:val="clear" w:color="auto" w:fill="auto"/>
            <w:vAlign w:val="center"/>
          </w:tcPr>
          <w:p w14:paraId="56CC5C94" w14:textId="79499D08" w:rsidR="00006990" w:rsidRPr="00006F36" w:rsidRDefault="00DF23B0" w:rsidP="003227A4">
            <w:pPr>
              <w:keepNext/>
              <w:keepLines/>
              <w:jc w:val="center"/>
              <w:rPr>
                <w:rFonts w:ascii="Arial Narrow" w:hAnsi="Arial Narrow"/>
                <w:sz w:val="20"/>
              </w:rPr>
            </w:pPr>
            <w:r w:rsidRPr="00006F36">
              <w:rPr>
                <w:rFonts w:ascii="Arial Narrow" w:hAnsi="Arial Narrow"/>
                <w:sz w:val="20"/>
              </w:rPr>
              <w:t xml:space="preserve">Probability of cardiovascular </w:t>
            </w:r>
            <w:r w:rsidR="006657E9" w:rsidRPr="00006F36">
              <w:rPr>
                <w:rFonts w:ascii="Arial Narrow" w:hAnsi="Arial Narrow"/>
                <w:sz w:val="20"/>
              </w:rPr>
              <w:t>and renal events</w:t>
            </w:r>
          </w:p>
        </w:tc>
      </w:tr>
      <w:tr w:rsidR="00006990" w:rsidRPr="00006F36" w14:paraId="4F124F6B" w14:textId="77777777" w:rsidTr="00894583">
        <w:tc>
          <w:tcPr>
            <w:tcW w:w="393" w:type="pct"/>
            <w:shd w:val="clear" w:color="auto" w:fill="auto"/>
            <w:vAlign w:val="center"/>
          </w:tcPr>
          <w:p w14:paraId="24D8A350" w14:textId="77777777" w:rsidR="00006990" w:rsidRPr="00006F36" w:rsidRDefault="00006990" w:rsidP="003227A4">
            <w:pPr>
              <w:keepNext/>
              <w:keepLines/>
              <w:jc w:val="left"/>
              <w:rPr>
                <w:rFonts w:ascii="Arial Narrow" w:hAnsi="Arial Narrow"/>
                <w:sz w:val="20"/>
              </w:rPr>
            </w:pPr>
            <w:r w:rsidRPr="00006F36">
              <w:rPr>
                <w:rFonts w:ascii="Arial Narrow" w:hAnsi="Arial Narrow"/>
                <w:sz w:val="20"/>
              </w:rPr>
              <w:t>Parini 2020</w:t>
            </w:r>
          </w:p>
        </w:tc>
        <w:tc>
          <w:tcPr>
            <w:tcW w:w="628" w:type="pct"/>
            <w:shd w:val="clear" w:color="auto" w:fill="auto"/>
            <w:vAlign w:val="center"/>
          </w:tcPr>
          <w:p w14:paraId="25FE0224" w14:textId="3C629110" w:rsidR="00006990" w:rsidRPr="00006F36" w:rsidRDefault="00006990" w:rsidP="003227A4">
            <w:pPr>
              <w:keepNext/>
              <w:keepLines/>
              <w:widowControl w:val="0"/>
              <w:contextualSpacing/>
              <w:jc w:val="left"/>
              <w:rPr>
                <w:rFonts w:ascii="Arial Narrow" w:hAnsi="Arial Narrow"/>
                <w:sz w:val="20"/>
              </w:rPr>
            </w:pPr>
            <w:r w:rsidRPr="00006F36">
              <w:rPr>
                <w:rFonts w:ascii="Arial Narrow" w:hAnsi="Arial Narrow"/>
                <w:sz w:val="20"/>
              </w:rPr>
              <w:t>Male: 560</w:t>
            </w:r>
          </w:p>
        </w:tc>
        <w:tc>
          <w:tcPr>
            <w:tcW w:w="395" w:type="pct"/>
            <w:shd w:val="clear" w:color="auto" w:fill="auto"/>
            <w:vAlign w:val="center"/>
          </w:tcPr>
          <w:p w14:paraId="1CA4DCE5" w14:textId="634766A3" w:rsidR="00006990" w:rsidRPr="00006F36" w:rsidRDefault="005E7417" w:rsidP="003227A4">
            <w:pPr>
              <w:keepNext/>
              <w:keepLines/>
              <w:jc w:val="center"/>
              <w:rPr>
                <w:rFonts w:ascii="Arial Narrow" w:hAnsi="Arial Narrow"/>
                <w:sz w:val="20"/>
              </w:rPr>
            </w:pPr>
            <w:r w:rsidRPr="00006F36">
              <w:rPr>
                <w:rFonts w:ascii="Arial Narrow" w:hAnsi="Arial Narrow"/>
                <w:sz w:val="20"/>
              </w:rPr>
              <w:t>OL, Retro</w:t>
            </w:r>
          </w:p>
        </w:tc>
        <w:tc>
          <w:tcPr>
            <w:tcW w:w="393" w:type="pct"/>
            <w:shd w:val="clear" w:color="auto" w:fill="auto"/>
            <w:vAlign w:val="center"/>
          </w:tcPr>
          <w:p w14:paraId="7BBB1168" w14:textId="66D1158C" w:rsidR="00006990" w:rsidRPr="00006F36" w:rsidRDefault="00C47B55" w:rsidP="003227A4">
            <w:pPr>
              <w:keepNext/>
              <w:keepLines/>
              <w:jc w:val="center"/>
              <w:rPr>
                <w:rFonts w:ascii="Arial Narrow" w:hAnsi="Arial Narrow"/>
                <w:sz w:val="20"/>
              </w:rPr>
            </w:pPr>
            <w:r w:rsidRPr="00006F36">
              <w:rPr>
                <w:rFonts w:ascii="Arial Narrow" w:hAnsi="Arial Narrow"/>
                <w:sz w:val="20"/>
              </w:rPr>
              <w:t xml:space="preserve">High </w:t>
            </w:r>
            <w:r w:rsidR="005E7417" w:rsidRPr="00006F36">
              <w:rPr>
                <w:rFonts w:ascii="Arial Narrow" w:hAnsi="Arial Narrow"/>
                <w:sz w:val="20"/>
                <w:vertAlign w:val="superscript"/>
              </w:rPr>
              <w:t>b</w:t>
            </w:r>
          </w:p>
        </w:tc>
        <w:tc>
          <w:tcPr>
            <w:tcW w:w="2123" w:type="pct"/>
            <w:shd w:val="clear" w:color="auto" w:fill="auto"/>
            <w:vAlign w:val="center"/>
          </w:tcPr>
          <w:p w14:paraId="5297C947" w14:textId="1E378142" w:rsidR="00006990" w:rsidRPr="00006F36" w:rsidRDefault="006657E9" w:rsidP="003227A4">
            <w:pPr>
              <w:keepNext/>
              <w:keepLines/>
              <w:jc w:val="center"/>
              <w:rPr>
                <w:rFonts w:ascii="Arial Narrow" w:hAnsi="Arial Narrow"/>
                <w:sz w:val="20"/>
              </w:rPr>
            </w:pPr>
            <w:r w:rsidRPr="00006F36">
              <w:rPr>
                <w:rFonts w:ascii="Arial Narrow" w:hAnsi="Arial Narrow"/>
                <w:sz w:val="20"/>
              </w:rPr>
              <w:t>Male patients enrolled in FOS</w:t>
            </w:r>
            <w:r w:rsidR="00AC5288" w:rsidRPr="00006F36">
              <w:rPr>
                <w:rFonts w:ascii="Arial Narrow" w:hAnsi="Arial Narrow"/>
                <w:sz w:val="20"/>
              </w:rPr>
              <w:t>, stratified by age of ERT initiation</w:t>
            </w:r>
            <w:r w:rsidR="00D12810">
              <w:rPr>
                <w:rFonts w:ascii="Arial Narrow" w:hAnsi="Arial Narrow"/>
                <w:sz w:val="20"/>
              </w:rPr>
              <w:t xml:space="preserve"> </w:t>
            </w:r>
            <w:r w:rsidR="00D410D0" w:rsidRPr="00006F36">
              <w:rPr>
                <w:rFonts w:ascii="Arial Narrow" w:hAnsi="Arial Narrow"/>
                <w:sz w:val="20"/>
              </w:rPr>
              <w:t>≤18 years</w:t>
            </w:r>
            <w:r w:rsidR="006D2899" w:rsidRPr="00006F36">
              <w:rPr>
                <w:rFonts w:ascii="Arial Narrow" w:hAnsi="Arial Narrow"/>
                <w:sz w:val="20"/>
              </w:rPr>
              <w:t xml:space="preserve"> </w:t>
            </w:r>
            <w:r w:rsidR="00D410D0" w:rsidRPr="00006F36">
              <w:rPr>
                <w:rFonts w:ascii="Arial Narrow" w:hAnsi="Arial Narrow"/>
                <w:sz w:val="20"/>
              </w:rPr>
              <w:t>of age (cohort 1; child), &gt;18 and ≤30 years of age</w:t>
            </w:r>
            <w:r w:rsidR="006D2899" w:rsidRPr="00006F36">
              <w:rPr>
                <w:rFonts w:ascii="Arial Narrow" w:hAnsi="Arial Narrow"/>
                <w:sz w:val="20"/>
              </w:rPr>
              <w:t xml:space="preserve"> </w:t>
            </w:r>
            <w:r w:rsidR="00D410D0" w:rsidRPr="00006F36">
              <w:rPr>
                <w:rFonts w:ascii="Arial Narrow" w:hAnsi="Arial Narrow"/>
                <w:sz w:val="20"/>
              </w:rPr>
              <w:t>(cohort 2; young adult), and &gt;30 years of age (cohort 3;</w:t>
            </w:r>
            <w:r w:rsidR="006D2899" w:rsidRPr="00006F36">
              <w:rPr>
                <w:rFonts w:ascii="Arial Narrow" w:hAnsi="Arial Narrow"/>
                <w:sz w:val="20"/>
              </w:rPr>
              <w:t xml:space="preserve"> </w:t>
            </w:r>
            <w:r w:rsidR="00D410D0" w:rsidRPr="00006F36">
              <w:rPr>
                <w:rFonts w:ascii="Arial Narrow" w:hAnsi="Arial Narrow"/>
                <w:sz w:val="20"/>
              </w:rPr>
              <w:t>adult).</w:t>
            </w:r>
          </w:p>
        </w:tc>
        <w:tc>
          <w:tcPr>
            <w:tcW w:w="1068" w:type="pct"/>
            <w:shd w:val="clear" w:color="auto" w:fill="auto"/>
            <w:vAlign w:val="center"/>
          </w:tcPr>
          <w:p w14:paraId="2411846F" w14:textId="58414882" w:rsidR="00006990" w:rsidRPr="00006F36" w:rsidRDefault="00A1446E" w:rsidP="003227A4">
            <w:pPr>
              <w:keepNext/>
              <w:keepLines/>
              <w:jc w:val="center"/>
              <w:rPr>
                <w:rFonts w:ascii="Arial Narrow" w:hAnsi="Arial Narrow"/>
                <w:sz w:val="20"/>
              </w:rPr>
            </w:pPr>
            <w:r w:rsidRPr="00006F36">
              <w:rPr>
                <w:rFonts w:ascii="Arial Narrow" w:hAnsi="Arial Narrow"/>
                <w:sz w:val="20"/>
              </w:rPr>
              <w:t>Mean annual rates of change in eGFR, proteinuria, and LVMI</w:t>
            </w:r>
          </w:p>
        </w:tc>
      </w:tr>
      <w:tr w:rsidR="00006990" w:rsidRPr="00006F36" w14:paraId="344E2775" w14:textId="77777777" w:rsidTr="00894583">
        <w:tc>
          <w:tcPr>
            <w:tcW w:w="393" w:type="pct"/>
            <w:shd w:val="clear" w:color="auto" w:fill="auto"/>
            <w:vAlign w:val="center"/>
          </w:tcPr>
          <w:p w14:paraId="0C7DA573" w14:textId="77777777" w:rsidR="00006990" w:rsidRPr="00006F36" w:rsidRDefault="00006990" w:rsidP="003227A4">
            <w:pPr>
              <w:keepNext/>
              <w:keepLines/>
              <w:jc w:val="left"/>
              <w:rPr>
                <w:rFonts w:ascii="Arial Narrow" w:hAnsi="Arial Narrow"/>
                <w:sz w:val="20"/>
              </w:rPr>
            </w:pPr>
            <w:r w:rsidRPr="00006F36">
              <w:rPr>
                <w:rFonts w:ascii="Arial Narrow" w:hAnsi="Arial Narrow"/>
                <w:sz w:val="20"/>
              </w:rPr>
              <w:t>Feriozzi 2020</w:t>
            </w:r>
          </w:p>
        </w:tc>
        <w:tc>
          <w:tcPr>
            <w:tcW w:w="628" w:type="pct"/>
            <w:shd w:val="clear" w:color="auto" w:fill="auto"/>
            <w:vAlign w:val="center"/>
          </w:tcPr>
          <w:p w14:paraId="2C63E636" w14:textId="77777777" w:rsidR="00006990" w:rsidRPr="00006F36" w:rsidRDefault="00006990" w:rsidP="003227A4">
            <w:pPr>
              <w:keepNext/>
              <w:keepLines/>
              <w:widowControl w:val="0"/>
              <w:contextualSpacing/>
              <w:jc w:val="left"/>
              <w:rPr>
                <w:rFonts w:ascii="Arial Narrow" w:hAnsi="Arial Narrow"/>
                <w:sz w:val="20"/>
              </w:rPr>
            </w:pPr>
            <w:r w:rsidRPr="00006F36">
              <w:rPr>
                <w:rFonts w:ascii="Arial Narrow" w:hAnsi="Arial Narrow"/>
                <w:sz w:val="20"/>
              </w:rPr>
              <w:t>Male: 269</w:t>
            </w:r>
          </w:p>
          <w:p w14:paraId="4B40DDA1" w14:textId="0F835F77" w:rsidR="00006990" w:rsidRPr="00006F36" w:rsidRDefault="00006990" w:rsidP="003227A4">
            <w:pPr>
              <w:keepNext/>
              <w:keepLines/>
              <w:widowControl w:val="0"/>
              <w:contextualSpacing/>
              <w:jc w:val="left"/>
              <w:rPr>
                <w:rFonts w:ascii="Arial Narrow" w:hAnsi="Arial Narrow"/>
                <w:sz w:val="20"/>
              </w:rPr>
            </w:pPr>
            <w:r w:rsidRPr="00006F36">
              <w:rPr>
                <w:rFonts w:ascii="Arial Narrow" w:hAnsi="Arial Narrow"/>
                <w:sz w:val="20"/>
              </w:rPr>
              <w:t>Female: 291</w:t>
            </w:r>
          </w:p>
        </w:tc>
        <w:tc>
          <w:tcPr>
            <w:tcW w:w="395" w:type="pct"/>
            <w:shd w:val="clear" w:color="auto" w:fill="auto"/>
            <w:vAlign w:val="center"/>
          </w:tcPr>
          <w:p w14:paraId="128353D1" w14:textId="453975A6" w:rsidR="00006990" w:rsidRPr="00006F36" w:rsidRDefault="005E7417" w:rsidP="003227A4">
            <w:pPr>
              <w:keepNext/>
              <w:keepLines/>
              <w:jc w:val="center"/>
              <w:rPr>
                <w:rFonts w:ascii="Arial Narrow" w:hAnsi="Arial Narrow"/>
                <w:sz w:val="20"/>
              </w:rPr>
            </w:pPr>
            <w:r w:rsidRPr="00006F36">
              <w:rPr>
                <w:rFonts w:ascii="Arial Narrow" w:hAnsi="Arial Narrow"/>
                <w:sz w:val="20"/>
              </w:rPr>
              <w:t>OL, Retro</w:t>
            </w:r>
          </w:p>
        </w:tc>
        <w:tc>
          <w:tcPr>
            <w:tcW w:w="393" w:type="pct"/>
            <w:shd w:val="clear" w:color="auto" w:fill="auto"/>
            <w:vAlign w:val="center"/>
          </w:tcPr>
          <w:p w14:paraId="533322BC" w14:textId="24376E38" w:rsidR="00006990" w:rsidRPr="00006F36" w:rsidRDefault="005E7417" w:rsidP="003227A4">
            <w:pPr>
              <w:keepNext/>
              <w:keepLines/>
              <w:jc w:val="center"/>
              <w:rPr>
                <w:rFonts w:ascii="Arial Narrow" w:hAnsi="Arial Narrow"/>
                <w:sz w:val="20"/>
              </w:rPr>
            </w:pPr>
            <w:r w:rsidRPr="00006F36">
              <w:rPr>
                <w:rFonts w:ascii="Arial Narrow" w:hAnsi="Arial Narrow"/>
                <w:sz w:val="20"/>
              </w:rPr>
              <w:t xml:space="preserve">High </w:t>
            </w:r>
            <w:r w:rsidRPr="00006F36">
              <w:rPr>
                <w:rFonts w:ascii="Arial Narrow" w:hAnsi="Arial Narrow"/>
                <w:sz w:val="20"/>
                <w:vertAlign w:val="superscript"/>
              </w:rPr>
              <w:t>b</w:t>
            </w:r>
          </w:p>
        </w:tc>
        <w:tc>
          <w:tcPr>
            <w:tcW w:w="2123" w:type="pct"/>
            <w:shd w:val="clear" w:color="auto" w:fill="auto"/>
            <w:vAlign w:val="center"/>
          </w:tcPr>
          <w:p w14:paraId="6BC86DC5" w14:textId="27554D0C" w:rsidR="00006990" w:rsidRPr="00006F36" w:rsidRDefault="006C0366" w:rsidP="003227A4">
            <w:pPr>
              <w:keepNext/>
              <w:keepLines/>
              <w:jc w:val="center"/>
              <w:rPr>
                <w:rFonts w:ascii="Arial Narrow" w:hAnsi="Arial Narrow"/>
                <w:sz w:val="20"/>
              </w:rPr>
            </w:pPr>
            <w:r w:rsidRPr="00006F36">
              <w:rPr>
                <w:rFonts w:ascii="Arial Narrow" w:hAnsi="Arial Narrow"/>
                <w:sz w:val="20"/>
              </w:rPr>
              <w:t>Patients enrolled in FOS who had been treated with agalsidase alfa</w:t>
            </w:r>
            <w:r w:rsidR="006E4CED" w:rsidRPr="00006F36">
              <w:rPr>
                <w:rFonts w:ascii="Arial Narrow" w:hAnsi="Arial Narrow"/>
                <w:sz w:val="20"/>
              </w:rPr>
              <w:t xml:space="preserve"> during adulthood (age ≥18 years)</w:t>
            </w:r>
            <w:r w:rsidR="00CE19F5" w:rsidRPr="00006F36">
              <w:rPr>
                <w:rFonts w:ascii="Arial Narrow" w:hAnsi="Arial Narrow"/>
                <w:sz w:val="20"/>
              </w:rPr>
              <w:t xml:space="preserve"> who had not experienced dialysis or renal transplant prior to initiation of agalsidase alfa</w:t>
            </w:r>
          </w:p>
        </w:tc>
        <w:tc>
          <w:tcPr>
            <w:tcW w:w="1068" w:type="pct"/>
            <w:shd w:val="clear" w:color="auto" w:fill="auto"/>
            <w:vAlign w:val="center"/>
          </w:tcPr>
          <w:p w14:paraId="032818DA" w14:textId="24AAC8A7" w:rsidR="00006990" w:rsidRPr="00006F36" w:rsidRDefault="00243120" w:rsidP="003227A4">
            <w:pPr>
              <w:keepNext/>
              <w:keepLines/>
              <w:jc w:val="center"/>
              <w:rPr>
                <w:rFonts w:ascii="Arial Narrow" w:hAnsi="Arial Narrow"/>
                <w:sz w:val="20"/>
              </w:rPr>
            </w:pPr>
            <w:r w:rsidRPr="00006F36">
              <w:rPr>
                <w:rFonts w:ascii="Arial Narrow" w:hAnsi="Arial Narrow"/>
                <w:sz w:val="20"/>
              </w:rPr>
              <w:t>Cardiovascular events and markers of disease</w:t>
            </w:r>
            <w:r w:rsidR="00CF6690" w:rsidRPr="00006F36">
              <w:rPr>
                <w:rFonts w:ascii="Arial Narrow" w:hAnsi="Arial Narrow"/>
                <w:sz w:val="20"/>
              </w:rPr>
              <w:t xml:space="preserve"> </w:t>
            </w:r>
            <w:r w:rsidRPr="00006F36">
              <w:rPr>
                <w:rFonts w:ascii="Arial Narrow" w:hAnsi="Arial Narrow"/>
                <w:sz w:val="20"/>
              </w:rPr>
              <w:t>progression</w:t>
            </w:r>
            <w:r w:rsidR="00CF6690" w:rsidRPr="00006F36">
              <w:rPr>
                <w:rFonts w:ascii="Arial Narrow" w:hAnsi="Arial Narrow"/>
                <w:sz w:val="20"/>
              </w:rPr>
              <w:t xml:space="preserve">: </w:t>
            </w:r>
            <w:r w:rsidRPr="00006F36">
              <w:rPr>
                <w:rFonts w:ascii="Arial Narrow" w:hAnsi="Arial Narrow"/>
                <w:sz w:val="20"/>
              </w:rPr>
              <w:t>myocardial infarction, LVH, heart failure, arrhythmia, conduction abnormality, and cardiac surgery.</w:t>
            </w:r>
          </w:p>
        </w:tc>
      </w:tr>
      <w:tr w:rsidR="00006990" w:rsidRPr="00006F36" w14:paraId="1FB0A892" w14:textId="77777777" w:rsidTr="00894583">
        <w:tc>
          <w:tcPr>
            <w:tcW w:w="393" w:type="pct"/>
            <w:shd w:val="clear" w:color="auto" w:fill="auto"/>
            <w:vAlign w:val="center"/>
          </w:tcPr>
          <w:p w14:paraId="354C7931" w14:textId="77777777" w:rsidR="00006990" w:rsidRPr="00006F36" w:rsidRDefault="00006990" w:rsidP="003227A4">
            <w:pPr>
              <w:keepNext/>
              <w:keepLines/>
              <w:jc w:val="left"/>
              <w:rPr>
                <w:rFonts w:ascii="Arial Narrow" w:hAnsi="Arial Narrow"/>
                <w:sz w:val="20"/>
              </w:rPr>
            </w:pPr>
            <w:r w:rsidRPr="00006F36">
              <w:rPr>
                <w:rFonts w:ascii="Arial Narrow" w:hAnsi="Arial Narrow"/>
                <w:sz w:val="20"/>
              </w:rPr>
              <w:t>Germain 2015</w:t>
            </w:r>
          </w:p>
        </w:tc>
        <w:tc>
          <w:tcPr>
            <w:tcW w:w="628" w:type="pct"/>
            <w:shd w:val="clear" w:color="auto" w:fill="auto"/>
            <w:vAlign w:val="center"/>
          </w:tcPr>
          <w:p w14:paraId="79DD4674" w14:textId="77777777" w:rsidR="00006990" w:rsidRPr="00006F36" w:rsidRDefault="00006990" w:rsidP="003227A4">
            <w:pPr>
              <w:keepNext/>
              <w:keepLines/>
              <w:widowControl w:val="0"/>
              <w:contextualSpacing/>
              <w:jc w:val="left"/>
              <w:rPr>
                <w:rFonts w:ascii="Arial Narrow" w:hAnsi="Arial Narrow"/>
                <w:sz w:val="20"/>
              </w:rPr>
            </w:pPr>
            <w:r w:rsidRPr="00006F36">
              <w:rPr>
                <w:rFonts w:ascii="Arial Narrow" w:hAnsi="Arial Narrow"/>
                <w:sz w:val="20"/>
              </w:rPr>
              <w:t>Male: 5</w:t>
            </w:r>
            <w:r w:rsidR="00745CAB" w:rsidRPr="00006F36">
              <w:rPr>
                <w:rFonts w:ascii="Arial Narrow" w:hAnsi="Arial Narrow"/>
                <w:sz w:val="20"/>
              </w:rPr>
              <w:t>0</w:t>
            </w:r>
          </w:p>
          <w:p w14:paraId="51D2146E" w14:textId="1C5B2363" w:rsidR="00745CAB" w:rsidRPr="00006F36" w:rsidRDefault="00745CAB" w:rsidP="003227A4">
            <w:pPr>
              <w:keepNext/>
              <w:keepLines/>
              <w:widowControl w:val="0"/>
              <w:contextualSpacing/>
              <w:jc w:val="left"/>
              <w:rPr>
                <w:rFonts w:ascii="Arial Narrow" w:hAnsi="Arial Narrow"/>
                <w:sz w:val="20"/>
              </w:rPr>
            </w:pPr>
            <w:r w:rsidRPr="00006F36">
              <w:rPr>
                <w:rFonts w:ascii="Arial Narrow" w:hAnsi="Arial Narrow"/>
                <w:sz w:val="20"/>
              </w:rPr>
              <w:t>Female: 2</w:t>
            </w:r>
          </w:p>
        </w:tc>
        <w:tc>
          <w:tcPr>
            <w:tcW w:w="395" w:type="pct"/>
            <w:shd w:val="clear" w:color="auto" w:fill="auto"/>
            <w:vAlign w:val="center"/>
          </w:tcPr>
          <w:p w14:paraId="0366B2AE" w14:textId="3E8D7E66" w:rsidR="00006990" w:rsidRPr="00006F36" w:rsidRDefault="005E7417" w:rsidP="003227A4">
            <w:pPr>
              <w:keepNext/>
              <w:keepLines/>
              <w:jc w:val="center"/>
              <w:rPr>
                <w:rFonts w:ascii="Arial Narrow" w:hAnsi="Arial Narrow"/>
                <w:sz w:val="20"/>
              </w:rPr>
            </w:pPr>
            <w:r w:rsidRPr="00006F36">
              <w:rPr>
                <w:rFonts w:ascii="Arial Narrow" w:hAnsi="Arial Narrow"/>
                <w:sz w:val="20"/>
              </w:rPr>
              <w:t xml:space="preserve">OL, </w:t>
            </w:r>
            <w:r w:rsidR="00600017" w:rsidRPr="00006F36">
              <w:rPr>
                <w:rFonts w:ascii="Arial Narrow" w:hAnsi="Arial Narrow"/>
                <w:sz w:val="20"/>
              </w:rPr>
              <w:t>Retro</w:t>
            </w:r>
          </w:p>
        </w:tc>
        <w:tc>
          <w:tcPr>
            <w:tcW w:w="393" w:type="pct"/>
            <w:shd w:val="clear" w:color="auto" w:fill="auto"/>
            <w:vAlign w:val="center"/>
          </w:tcPr>
          <w:p w14:paraId="15E17436" w14:textId="379C10DD" w:rsidR="00006990" w:rsidRPr="00006F36" w:rsidRDefault="005E7417" w:rsidP="003227A4">
            <w:pPr>
              <w:keepNext/>
              <w:keepLines/>
              <w:jc w:val="center"/>
              <w:rPr>
                <w:rFonts w:ascii="Arial Narrow" w:hAnsi="Arial Narrow"/>
                <w:sz w:val="20"/>
              </w:rPr>
            </w:pPr>
            <w:r w:rsidRPr="00006F36">
              <w:rPr>
                <w:rFonts w:ascii="Arial Narrow" w:hAnsi="Arial Narrow"/>
                <w:sz w:val="20"/>
              </w:rPr>
              <w:t xml:space="preserve">High </w:t>
            </w:r>
            <w:r w:rsidRPr="00006F36">
              <w:rPr>
                <w:rFonts w:ascii="Arial Narrow" w:hAnsi="Arial Narrow"/>
                <w:sz w:val="20"/>
                <w:vertAlign w:val="superscript"/>
              </w:rPr>
              <w:t>b</w:t>
            </w:r>
          </w:p>
        </w:tc>
        <w:tc>
          <w:tcPr>
            <w:tcW w:w="2123" w:type="pct"/>
            <w:shd w:val="clear" w:color="auto" w:fill="auto"/>
            <w:vAlign w:val="center"/>
          </w:tcPr>
          <w:p w14:paraId="0533FB89" w14:textId="3A6B6B4C" w:rsidR="00006990" w:rsidRPr="00006F36" w:rsidRDefault="00745CAB" w:rsidP="003227A4">
            <w:pPr>
              <w:keepNext/>
              <w:keepLines/>
              <w:jc w:val="center"/>
              <w:rPr>
                <w:rFonts w:ascii="Arial Narrow" w:hAnsi="Arial Narrow"/>
                <w:sz w:val="20"/>
                <w:vertAlign w:val="superscript"/>
              </w:rPr>
            </w:pPr>
            <w:r w:rsidRPr="00006F36">
              <w:rPr>
                <w:rFonts w:ascii="Arial Narrow" w:hAnsi="Arial Narrow"/>
                <w:sz w:val="20"/>
              </w:rPr>
              <w:t xml:space="preserve">Patients with classical Fabry disease who were enrolled </w:t>
            </w:r>
            <w:r w:rsidR="00D356AF" w:rsidRPr="00006F36">
              <w:rPr>
                <w:rFonts w:ascii="Arial Narrow" w:hAnsi="Arial Narrow"/>
                <w:sz w:val="20"/>
              </w:rPr>
              <w:t xml:space="preserve">in a </w:t>
            </w:r>
            <w:r w:rsidR="003C1153" w:rsidRPr="00006F36">
              <w:rPr>
                <w:rFonts w:ascii="Arial Narrow" w:hAnsi="Arial Narrow"/>
                <w:sz w:val="20"/>
              </w:rPr>
              <w:t xml:space="preserve">phase 3 </w:t>
            </w:r>
            <w:r w:rsidR="00A51724" w:rsidRPr="00006F36">
              <w:rPr>
                <w:rFonts w:ascii="Arial Narrow" w:hAnsi="Arial Narrow"/>
                <w:sz w:val="20"/>
              </w:rPr>
              <w:t xml:space="preserve">randomized trial of agalsidase alfa versus placebo </w:t>
            </w:r>
            <w:r w:rsidR="00A51724" w:rsidRPr="00006F36">
              <w:rPr>
                <w:rFonts w:ascii="Arial Narrow" w:hAnsi="Arial Narrow"/>
                <w:sz w:val="20"/>
                <w:vertAlign w:val="superscript"/>
              </w:rPr>
              <w:t>c</w:t>
            </w:r>
          </w:p>
        </w:tc>
        <w:tc>
          <w:tcPr>
            <w:tcW w:w="1068" w:type="pct"/>
            <w:shd w:val="clear" w:color="auto" w:fill="auto"/>
            <w:vAlign w:val="center"/>
          </w:tcPr>
          <w:p w14:paraId="364567EC" w14:textId="5529F1AE" w:rsidR="00006990" w:rsidRPr="00006F36" w:rsidRDefault="00AD148D" w:rsidP="003227A4">
            <w:pPr>
              <w:keepNext/>
              <w:keepLines/>
              <w:jc w:val="center"/>
              <w:rPr>
                <w:rFonts w:ascii="Arial Narrow" w:hAnsi="Arial Narrow"/>
                <w:sz w:val="20"/>
              </w:rPr>
            </w:pPr>
            <w:r w:rsidRPr="00006F36">
              <w:rPr>
                <w:rFonts w:ascii="Arial Narrow" w:hAnsi="Arial Narrow"/>
                <w:sz w:val="20"/>
              </w:rPr>
              <w:t xml:space="preserve">Any clinical events, mean slopes for </w:t>
            </w:r>
            <w:r w:rsidR="00866B46" w:rsidRPr="00006F36">
              <w:rPr>
                <w:rFonts w:ascii="Arial Narrow" w:hAnsi="Arial Narrow"/>
                <w:sz w:val="20"/>
              </w:rPr>
              <w:t xml:space="preserve">change in </w:t>
            </w:r>
            <w:r w:rsidRPr="00006F36">
              <w:rPr>
                <w:rFonts w:ascii="Arial Narrow" w:hAnsi="Arial Narrow"/>
                <w:sz w:val="20"/>
              </w:rPr>
              <w:t>eGFR, LPWT and IVST.</w:t>
            </w:r>
          </w:p>
        </w:tc>
      </w:tr>
      <w:tr w:rsidR="00006990" w:rsidRPr="00006F36" w14:paraId="3EFEEA50" w14:textId="77777777" w:rsidTr="00894583">
        <w:tc>
          <w:tcPr>
            <w:tcW w:w="393" w:type="pct"/>
            <w:shd w:val="clear" w:color="auto" w:fill="auto"/>
            <w:vAlign w:val="center"/>
          </w:tcPr>
          <w:p w14:paraId="573FA8BA" w14:textId="77777777" w:rsidR="00006990" w:rsidRPr="00006F36" w:rsidRDefault="00006990" w:rsidP="003227A4">
            <w:pPr>
              <w:keepNext/>
              <w:keepLines/>
              <w:jc w:val="left"/>
              <w:rPr>
                <w:rFonts w:ascii="Arial Narrow" w:hAnsi="Arial Narrow"/>
                <w:sz w:val="20"/>
              </w:rPr>
            </w:pPr>
            <w:r w:rsidRPr="00006F36">
              <w:rPr>
                <w:rFonts w:ascii="Arial Narrow" w:hAnsi="Arial Narrow"/>
                <w:sz w:val="20"/>
              </w:rPr>
              <w:t>Germain 2013</w:t>
            </w:r>
          </w:p>
        </w:tc>
        <w:tc>
          <w:tcPr>
            <w:tcW w:w="628" w:type="pct"/>
            <w:shd w:val="clear" w:color="auto" w:fill="auto"/>
            <w:vAlign w:val="center"/>
          </w:tcPr>
          <w:p w14:paraId="6481D4CB" w14:textId="002794D5" w:rsidR="00006990" w:rsidRPr="00006F36" w:rsidRDefault="000427C2" w:rsidP="003227A4">
            <w:pPr>
              <w:keepNext/>
              <w:keepLines/>
              <w:widowControl w:val="0"/>
              <w:contextualSpacing/>
              <w:jc w:val="left"/>
              <w:rPr>
                <w:rFonts w:ascii="Arial Narrow" w:hAnsi="Arial Narrow"/>
                <w:sz w:val="20"/>
              </w:rPr>
            </w:pPr>
            <w:r w:rsidRPr="00006F36">
              <w:rPr>
                <w:rFonts w:ascii="Arial Narrow" w:hAnsi="Arial Narrow"/>
                <w:sz w:val="20"/>
              </w:rPr>
              <w:t>Treated m</w:t>
            </w:r>
            <w:r w:rsidR="00006990" w:rsidRPr="00006F36">
              <w:rPr>
                <w:rFonts w:ascii="Arial Narrow" w:hAnsi="Arial Narrow"/>
                <w:sz w:val="20"/>
              </w:rPr>
              <w:t>ale: 115</w:t>
            </w:r>
          </w:p>
          <w:p w14:paraId="4038D08C" w14:textId="41054FD4" w:rsidR="000427C2" w:rsidRPr="00006F36" w:rsidRDefault="000427C2" w:rsidP="003227A4">
            <w:pPr>
              <w:keepNext/>
              <w:keepLines/>
              <w:widowControl w:val="0"/>
              <w:contextualSpacing/>
              <w:jc w:val="left"/>
              <w:rPr>
                <w:rFonts w:ascii="Arial Narrow" w:hAnsi="Arial Narrow"/>
                <w:sz w:val="20"/>
              </w:rPr>
            </w:pPr>
            <w:r w:rsidRPr="00006F36">
              <w:rPr>
                <w:rFonts w:ascii="Arial Narrow" w:hAnsi="Arial Narrow"/>
                <w:sz w:val="20"/>
              </w:rPr>
              <w:t>Untreated male: 48</w:t>
            </w:r>
          </w:p>
        </w:tc>
        <w:tc>
          <w:tcPr>
            <w:tcW w:w="395" w:type="pct"/>
            <w:shd w:val="clear" w:color="auto" w:fill="auto"/>
            <w:vAlign w:val="center"/>
          </w:tcPr>
          <w:p w14:paraId="5EA550B1" w14:textId="20BB994F" w:rsidR="00006990" w:rsidRPr="00006F36" w:rsidRDefault="005E7417" w:rsidP="003227A4">
            <w:pPr>
              <w:keepNext/>
              <w:keepLines/>
              <w:jc w:val="center"/>
              <w:rPr>
                <w:rFonts w:ascii="Arial Narrow" w:hAnsi="Arial Narrow"/>
                <w:sz w:val="20"/>
              </w:rPr>
            </w:pPr>
            <w:r w:rsidRPr="00006F36">
              <w:rPr>
                <w:rFonts w:ascii="Arial Narrow" w:hAnsi="Arial Narrow"/>
                <w:sz w:val="20"/>
              </w:rPr>
              <w:t>OL, Retro</w:t>
            </w:r>
          </w:p>
        </w:tc>
        <w:tc>
          <w:tcPr>
            <w:tcW w:w="393" w:type="pct"/>
            <w:shd w:val="clear" w:color="auto" w:fill="auto"/>
            <w:vAlign w:val="center"/>
          </w:tcPr>
          <w:p w14:paraId="07157B3C" w14:textId="793FB4AD" w:rsidR="00006990" w:rsidRPr="00006F36" w:rsidRDefault="005E7417" w:rsidP="003227A4">
            <w:pPr>
              <w:keepNext/>
              <w:keepLines/>
              <w:jc w:val="center"/>
              <w:rPr>
                <w:rFonts w:ascii="Arial Narrow" w:hAnsi="Arial Narrow"/>
                <w:sz w:val="20"/>
              </w:rPr>
            </w:pPr>
            <w:r w:rsidRPr="00006F36">
              <w:rPr>
                <w:rFonts w:ascii="Arial Narrow" w:hAnsi="Arial Narrow"/>
                <w:sz w:val="20"/>
              </w:rPr>
              <w:t xml:space="preserve">High </w:t>
            </w:r>
            <w:r w:rsidRPr="00006F36">
              <w:rPr>
                <w:rFonts w:ascii="Arial Narrow" w:hAnsi="Arial Narrow"/>
                <w:sz w:val="20"/>
                <w:vertAlign w:val="superscript"/>
              </w:rPr>
              <w:t>b</w:t>
            </w:r>
          </w:p>
        </w:tc>
        <w:tc>
          <w:tcPr>
            <w:tcW w:w="2123" w:type="pct"/>
            <w:shd w:val="clear" w:color="auto" w:fill="auto"/>
            <w:vAlign w:val="center"/>
          </w:tcPr>
          <w:p w14:paraId="5E25539C" w14:textId="2700011F" w:rsidR="00006990" w:rsidRPr="00006F36" w:rsidRDefault="00C41DA0" w:rsidP="003227A4">
            <w:pPr>
              <w:keepNext/>
              <w:keepLines/>
              <w:jc w:val="center"/>
              <w:rPr>
                <w:rFonts w:ascii="Arial Narrow" w:hAnsi="Arial Narrow"/>
                <w:sz w:val="20"/>
              </w:rPr>
            </w:pPr>
            <w:r w:rsidRPr="00006F36">
              <w:rPr>
                <w:rFonts w:ascii="Arial Narrow" w:hAnsi="Arial Narrow"/>
                <w:sz w:val="20"/>
              </w:rPr>
              <w:t xml:space="preserve">Longitudinal Fabry registry patients treated with </w:t>
            </w:r>
            <w:r w:rsidR="000427C2" w:rsidRPr="00006F36">
              <w:rPr>
                <w:rFonts w:ascii="Arial Narrow" w:hAnsi="Arial Narrow"/>
                <w:sz w:val="20"/>
              </w:rPr>
              <w:t>agalsidase beta and untreate</w:t>
            </w:r>
            <w:r w:rsidR="00EE68AF" w:rsidRPr="00006F36">
              <w:rPr>
                <w:rFonts w:ascii="Arial Narrow" w:hAnsi="Arial Narrow"/>
                <w:sz w:val="20"/>
              </w:rPr>
              <w:t>d, grouped into quartiles based on left ventricular mass slopes</w:t>
            </w:r>
          </w:p>
        </w:tc>
        <w:tc>
          <w:tcPr>
            <w:tcW w:w="1068" w:type="pct"/>
            <w:shd w:val="clear" w:color="auto" w:fill="auto"/>
            <w:vAlign w:val="center"/>
          </w:tcPr>
          <w:p w14:paraId="590564F5" w14:textId="264084A3" w:rsidR="00006990" w:rsidRPr="00006F36" w:rsidRDefault="00B335CC" w:rsidP="003227A4">
            <w:pPr>
              <w:keepNext/>
              <w:keepLines/>
              <w:jc w:val="center"/>
              <w:rPr>
                <w:rFonts w:ascii="Arial Narrow" w:hAnsi="Arial Narrow"/>
                <w:sz w:val="20"/>
              </w:rPr>
            </w:pPr>
            <w:r w:rsidRPr="00006F36">
              <w:rPr>
                <w:rFonts w:ascii="Arial Narrow" w:hAnsi="Arial Narrow"/>
                <w:sz w:val="20"/>
              </w:rPr>
              <w:t xml:space="preserve">Change in </w:t>
            </w:r>
            <w:r w:rsidR="008B7D9A" w:rsidRPr="00006F36">
              <w:rPr>
                <w:rFonts w:ascii="Arial Narrow" w:hAnsi="Arial Narrow"/>
                <w:sz w:val="20"/>
              </w:rPr>
              <w:t xml:space="preserve">left ventricular mass </w:t>
            </w:r>
            <w:r w:rsidRPr="00006F36">
              <w:rPr>
                <w:rFonts w:ascii="Arial Narrow" w:hAnsi="Arial Narrow"/>
                <w:sz w:val="20"/>
              </w:rPr>
              <w:t>per year</w:t>
            </w:r>
          </w:p>
        </w:tc>
      </w:tr>
      <w:tr w:rsidR="00006990" w:rsidRPr="00006F36" w14:paraId="18EFEA84" w14:textId="77777777" w:rsidTr="00894583">
        <w:tc>
          <w:tcPr>
            <w:tcW w:w="393" w:type="pct"/>
            <w:shd w:val="clear" w:color="auto" w:fill="auto"/>
            <w:vAlign w:val="center"/>
          </w:tcPr>
          <w:p w14:paraId="546FDAB3" w14:textId="480F2F86" w:rsidR="00006990" w:rsidRPr="00006F36" w:rsidRDefault="00006990" w:rsidP="003227A4">
            <w:pPr>
              <w:keepNext/>
              <w:keepLines/>
              <w:jc w:val="left"/>
              <w:rPr>
                <w:rFonts w:ascii="Arial Narrow" w:hAnsi="Arial Narrow"/>
                <w:sz w:val="20"/>
              </w:rPr>
            </w:pPr>
            <w:r w:rsidRPr="00006F36">
              <w:rPr>
                <w:rFonts w:ascii="Arial Narrow" w:hAnsi="Arial Narrow"/>
                <w:sz w:val="20"/>
              </w:rPr>
              <w:t>Warnock 201</w:t>
            </w:r>
            <w:r w:rsidR="002F039F" w:rsidRPr="00006F36">
              <w:rPr>
                <w:rFonts w:ascii="Arial Narrow" w:hAnsi="Arial Narrow"/>
                <w:sz w:val="20"/>
              </w:rPr>
              <w:t>2</w:t>
            </w:r>
          </w:p>
        </w:tc>
        <w:tc>
          <w:tcPr>
            <w:tcW w:w="628" w:type="pct"/>
            <w:shd w:val="clear" w:color="auto" w:fill="auto"/>
            <w:vAlign w:val="center"/>
          </w:tcPr>
          <w:p w14:paraId="68775A4D" w14:textId="77777777" w:rsidR="00006990" w:rsidRPr="00006F36" w:rsidRDefault="00006990" w:rsidP="003227A4">
            <w:pPr>
              <w:keepNext/>
              <w:keepLines/>
              <w:widowControl w:val="0"/>
              <w:contextualSpacing/>
              <w:jc w:val="left"/>
              <w:rPr>
                <w:rFonts w:ascii="Arial Narrow" w:hAnsi="Arial Narrow"/>
                <w:sz w:val="20"/>
              </w:rPr>
            </w:pPr>
            <w:r w:rsidRPr="00006F36">
              <w:rPr>
                <w:rFonts w:ascii="Arial Narrow" w:hAnsi="Arial Narrow"/>
                <w:sz w:val="20"/>
              </w:rPr>
              <w:t>Male:151</w:t>
            </w:r>
          </w:p>
          <w:p w14:paraId="6225E47C" w14:textId="45D035A8" w:rsidR="00006990" w:rsidRPr="00006F36" w:rsidRDefault="00006990" w:rsidP="003227A4">
            <w:pPr>
              <w:keepNext/>
              <w:keepLines/>
              <w:widowControl w:val="0"/>
              <w:contextualSpacing/>
              <w:jc w:val="left"/>
              <w:rPr>
                <w:rFonts w:ascii="Arial Narrow" w:hAnsi="Arial Narrow"/>
                <w:i/>
                <w:iCs/>
                <w:sz w:val="20"/>
              </w:rPr>
            </w:pPr>
            <w:r w:rsidRPr="00006F36">
              <w:rPr>
                <w:rFonts w:ascii="Arial Narrow" w:hAnsi="Arial Narrow"/>
                <w:sz w:val="20"/>
              </w:rPr>
              <w:t>Female: 62</w:t>
            </w:r>
          </w:p>
        </w:tc>
        <w:tc>
          <w:tcPr>
            <w:tcW w:w="395" w:type="pct"/>
            <w:shd w:val="clear" w:color="auto" w:fill="auto"/>
            <w:vAlign w:val="center"/>
          </w:tcPr>
          <w:p w14:paraId="62BB529E" w14:textId="57F51D13" w:rsidR="00006990" w:rsidRPr="00006F36" w:rsidRDefault="005E7417" w:rsidP="003227A4">
            <w:pPr>
              <w:keepNext/>
              <w:keepLines/>
              <w:jc w:val="center"/>
              <w:rPr>
                <w:rFonts w:ascii="Arial Narrow" w:hAnsi="Arial Narrow"/>
                <w:sz w:val="20"/>
              </w:rPr>
            </w:pPr>
            <w:r w:rsidRPr="00006F36">
              <w:rPr>
                <w:rFonts w:ascii="Arial Narrow" w:hAnsi="Arial Narrow"/>
                <w:sz w:val="20"/>
              </w:rPr>
              <w:t>OL, Retro</w:t>
            </w:r>
          </w:p>
        </w:tc>
        <w:tc>
          <w:tcPr>
            <w:tcW w:w="393" w:type="pct"/>
            <w:shd w:val="clear" w:color="auto" w:fill="auto"/>
            <w:vAlign w:val="center"/>
          </w:tcPr>
          <w:p w14:paraId="475D74FA" w14:textId="1C0356D2" w:rsidR="00006990" w:rsidRPr="00006F36" w:rsidRDefault="005E7417" w:rsidP="003227A4">
            <w:pPr>
              <w:keepNext/>
              <w:keepLines/>
              <w:jc w:val="center"/>
              <w:rPr>
                <w:rFonts w:ascii="Arial Narrow" w:hAnsi="Arial Narrow"/>
                <w:sz w:val="20"/>
              </w:rPr>
            </w:pPr>
            <w:r w:rsidRPr="00006F36">
              <w:rPr>
                <w:rFonts w:ascii="Arial Narrow" w:hAnsi="Arial Narrow"/>
                <w:sz w:val="20"/>
              </w:rPr>
              <w:t xml:space="preserve">High </w:t>
            </w:r>
            <w:r w:rsidRPr="00006F36">
              <w:rPr>
                <w:rFonts w:ascii="Arial Narrow" w:hAnsi="Arial Narrow"/>
                <w:sz w:val="20"/>
                <w:vertAlign w:val="superscript"/>
              </w:rPr>
              <w:t>b</w:t>
            </w:r>
          </w:p>
        </w:tc>
        <w:tc>
          <w:tcPr>
            <w:tcW w:w="2123" w:type="pct"/>
            <w:shd w:val="clear" w:color="auto" w:fill="auto"/>
            <w:vAlign w:val="center"/>
          </w:tcPr>
          <w:p w14:paraId="675D8524" w14:textId="5793F538" w:rsidR="00006990" w:rsidRPr="00006F36" w:rsidRDefault="003247AB" w:rsidP="003227A4">
            <w:pPr>
              <w:keepNext/>
              <w:keepLines/>
              <w:jc w:val="center"/>
              <w:rPr>
                <w:rFonts w:ascii="Arial Narrow" w:hAnsi="Arial Narrow"/>
                <w:sz w:val="20"/>
              </w:rPr>
            </w:pPr>
            <w:r w:rsidRPr="00006F36">
              <w:rPr>
                <w:rFonts w:ascii="Arial Narrow" w:hAnsi="Arial Narrow"/>
                <w:sz w:val="20"/>
              </w:rPr>
              <w:t>Fabry Registry who received agalsidase beta at an average dose of 1 mg/kg/2 weeks for at least 2 years.</w:t>
            </w:r>
          </w:p>
        </w:tc>
        <w:tc>
          <w:tcPr>
            <w:tcW w:w="1068" w:type="pct"/>
            <w:shd w:val="clear" w:color="auto" w:fill="auto"/>
            <w:vAlign w:val="center"/>
          </w:tcPr>
          <w:p w14:paraId="09C9AC9E" w14:textId="12828267" w:rsidR="00006990" w:rsidRPr="00006F36" w:rsidRDefault="003247AB" w:rsidP="003227A4">
            <w:pPr>
              <w:keepNext/>
              <w:keepLines/>
              <w:jc w:val="center"/>
              <w:rPr>
                <w:rFonts w:ascii="Arial Narrow" w:hAnsi="Arial Narrow"/>
                <w:sz w:val="20"/>
              </w:rPr>
            </w:pPr>
            <w:r w:rsidRPr="00006F36">
              <w:rPr>
                <w:rFonts w:ascii="Arial Narrow" w:hAnsi="Arial Narrow"/>
                <w:sz w:val="20"/>
              </w:rPr>
              <w:t>Mean eGFR slope</w:t>
            </w:r>
            <w:r w:rsidR="00E62CF4" w:rsidRPr="00006F36">
              <w:rPr>
                <w:rFonts w:ascii="Arial Narrow" w:hAnsi="Arial Narrow"/>
                <w:sz w:val="20"/>
              </w:rPr>
              <w:t xml:space="preserve">, </w:t>
            </w:r>
            <w:r w:rsidR="006C125E" w:rsidRPr="00006F36">
              <w:rPr>
                <w:rFonts w:ascii="Arial Narrow" w:hAnsi="Arial Narrow"/>
                <w:sz w:val="20"/>
              </w:rPr>
              <w:t>renal disease progression</w:t>
            </w:r>
            <w:r w:rsidR="00E62CF4" w:rsidRPr="00006F36">
              <w:rPr>
                <w:rFonts w:ascii="Arial Narrow" w:hAnsi="Arial Narrow"/>
                <w:sz w:val="20"/>
              </w:rPr>
              <w:t xml:space="preserve"> </w:t>
            </w:r>
          </w:p>
        </w:tc>
      </w:tr>
      <w:tr w:rsidR="00006990" w:rsidRPr="00006F36" w14:paraId="17EB5BCA" w14:textId="77777777" w:rsidTr="00894583">
        <w:tc>
          <w:tcPr>
            <w:tcW w:w="393" w:type="pct"/>
            <w:shd w:val="clear" w:color="auto" w:fill="auto"/>
            <w:vAlign w:val="center"/>
          </w:tcPr>
          <w:p w14:paraId="47047782" w14:textId="41B63EFB" w:rsidR="00006990" w:rsidRPr="00006F36" w:rsidRDefault="00006990" w:rsidP="003227A4">
            <w:pPr>
              <w:keepNext/>
              <w:keepLines/>
              <w:jc w:val="left"/>
              <w:rPr>
                <w:rFonts w:ascii="Arial Narrow" w:hAnsi="Arial Narrow"/>
                <w:sz w:val="20"/>
                <w:vertAlign w:val="superscript"/>
              </w:rPr>
            </w:pPr>
            <w:r w:rsidRPr="00006F36">
              <w:rPr>
                <w:rFonts w:ascii="Arial Narrow" w:hAnsi="Arial Narrow"/>
                <w:sz w:val="20"/>
              </w:rPr>
              <w:t>Hopkin</w:t>
            </w:r>
            <w:r w:rsidR="00E905EE" w:rsidRPr="00006F36">
              <w:rPr>
                <w:rFonts w:ascii="Arial Narrow" w:hAnsi="Arial Narrow"/>
                <w:sz w:val="20"/>
              </w:rPr>
              <w:t>s</w:t>
            </w:r>
            <w:r w:rsidRPr="00006F36">
              <w:rPr>
                <w:rFonts w:ascii="Arial Narrow" w:hAnsi="Arial Narrow"/>
                <w:sz w:val="20"/>
              </w:rPr>
              <w:t xml:space="preserve"> </w:t>
            </w:r>
            <w:r w:rsidR="00A73C1F" w:rsidRPr="00006F36">
              <w:rPr>
                <w:rFonts w:ascii="Arial Narrow" w:hAnsi="Arial Narrow"/>
                <w:sz w:val="20"/>
              </w:rPr>
              <w:t>2023</w:t>
            </w:r>
            <w:r w:rsidR="00D12810">
              <w:rPr>
                <w:rFonts w:ascii="Arial Narrow" w:hAnsi="Arial Narrow"/>
                <w:sz w:val="20"/>
              </w:rPr>
              <w:t xml:space="preserve"> </w:t>
            </w:r>
            <w:r w:rsidR="00A73C1F" w:rsidRPr="00006F36">
              <w:rPr>
                <w:rFonts w:ascii="Arial Narrow" w:hAnsi="Arial Narrow"/>
                <w:sz w:val="20"/>
                <w:vertAlign w:val="superscript"/>
              </w:rPr>
              <w:t>d</w:t>
            </w:r>
          </w:p>
        </w:tc>
        <w:tc>
          <w:tcPr>
            <w:tcW w:w="628" w:type="pct"/>
            <w:shd w:val="clear" w:color="auto" w:fill="auto"/>
            <w:vAlign w:val="center"/>
          </w:tcPr>
          <w:p w14:paraId="70BFD840" w14:textId="055B8186" w:rsidR="00006990" w:rsidRPr="00006F36" w:rsidRDefault="00006990" w:rsidP="003227A4">
            <w:pPr>
              <w:keepNext/>
              <w:keepLines/>
              <w:widowControl w:val="0"/>
              <w:contextualSpacing/>
              <w:jc w:val="left"/>
              <w:rPr>
                <w:rFonts w:ascii="Arial Narrow" w:hAnsi="Arial Narrow"/>
                <w:sz w:val="20"/>
              </w:rPr>
            </w:pPr>
            <w:r w:rsidRPr="00006F36">
              <w:rPr>
                <w:rFonts w:ascii="Arial Narrow" w:hAnsi="Arial Narrow"/>
                <w:sz w:val="20"/>
              </w:rPr>
              <w:t xml:space="preserve">Male: </w:t>
            </w:r>
            <w:r w:rsidR="0040611F" w:rsidRPr="00006F36">
              <w:rPr>
                <w:rFonts w:ascii="Arial Narrow" w:hAnsi="Arial Narrow"/>
                <w:sz w:val="20"/>
              </w:rPr>
              <w:t>524</w:t>
            </w:r>
          </w:p>
          <w:p w14:paraId="1169A0DA" w14:textId="4D8314C9" w:rsidR="00006990" w:rsidRPr="00006F36" w:rsidRDefault="00006990" w:rsidP="003227A4">
            <w:pPr>
              <w:keepNext/>
              <w:keepLines/>
              <w:widowControl w:val="0"/>
              <w:contextualSpacing/>
              <w:jc w:val="left"/>
              <w:rPr>
                <w:rFonts w:ascii="Arial Narrow" w:hAnsi="Arial Narrow"/>
                <w:i/>
                <w:iCs/>
                <w:sz w:val="20"/>
              </w:rPr>
            </w:pPr>
            <w:r w:rsidRPr="00006F36">
              <w:rPr>
                <w:rFonts w:ascii="Arial Narrow" w:hAnsi="Arial Narrow"/>
                <w:sz w:val="20"/>
              </w:rPr>
              <w:t xml:space="preserve">Female: </w:t>
            </w:r>
            <w:r w:rsidR="0040611F" w:rsidRPr="00006F36">
              <w:rPr>
                <w:rFonts w:ascii="Arial Narrow" w:hAnsi="Arial Narrow"/>
                <w:sz w:val="20"/>
              </w:rPr>
              <w:t>261</w:t>
            </w:r>
          </w:p>
        </w:tc>
        <w:tc>
          <w:tcPr>
            <w:tcW w:w="395" w:type="pct"/>
            <w:shd w:val="clear" w:color="auto" w:fill="auto"/>
            <w:vAlign w:val="center"/>
          </w:tcPr>
          <w:p w14:paraId="1C4C90E2" w14:textId="716956A3" w:rsidR="00006990" w:rsidRPr="00006F36" w:rsidRDefault="005E7417" w:rsidP="003227A4">
            <w:pPr>
              <w:keepNext/>
              <w:keepLines/>
              <w:jc w:val="center"/>
              <w:rPr>
                <w:rFonts w:ascii="Arial Narrow" w:hAnsi="Arial Narrow"/>
                <w:sz w:val="20"/>
              </w:rPr>
            </w:pPr>
            <w:r w:rsidRPr="00006F36">
              <w:rPr>
                <w:rFonts w:ascii="Arial Narrow" w:hAnsi="Arial Narrow"/>
                <w:sz w:val="20"/>
              </w:rPr>
              <w:t>OL, Retro</w:t>
            </w:r>
          </w:p>
        </w:tc>
        <w:tc>
          <w:tcPr>
            <w:tcW w:w="393" w:type="pct"/>
            <w:shd w:val="clear" w:color="auto" w:fill="auto"/>
            <w:vAlign w:val="center"/>
          </w:tcPr>
          <w:p w14:paraId="405EDEBB" w14:textId="47268770" w:rsidR="00006990" w:rsidRPr="00006F36" w:rsidRDefault="005E7417" w:rsidP="003227A4">
            <w:pPr>
              <w:keepNext/>
              <w:keepLines/>
              <w:jc w:val="center"/>
              <w:rPr>
                <w:rFonts w:ascii="Arial Narrow" w:hAnsi="Arial Narrow"/>
                <w:sz w:val="20"/>
              </w:rPr>
            </w:pPr>
            <w:r w:rsidRPr="00006F36">
              <w:rPr>
                <w:rFonts w:ascii="Arial Narrow" w:hAnsi="Arial Narrow"/>
                <w:sz w:val="20"/>
              </w:rPr>
              <w:t xml:space="preserve">High </w:t>
            </w:r>
            <w:r w:rsidRPr="00006F36">
              <w:rPr>
                <w:rFonts w:ascii="Arial Narrow" w:hAnsi="Arial Narrow"/>
                <w:sz w:val="20"/>
                <w:vertAlign w:val="superscript"/>
              </w:rPr>
              <w:t>b</w:t>
            </w:r>
          </w:p>
        </w:tc>
        <w:tc>
          <w:tcPr>
            <w:tcW w:w="2123" w:type="pct"/>
            <w:shd w:val="clear" w:color="auto" w:fill="auto"/>
            <w:vAlign w:val="center"/>
          </w:tcPr>
          <w:p w14:paraId="1293815B" w14:textId="1A476AC9" w:rsidR="00006990" w:rsidRPr="00006F36" w:rsidRDefault="00C52C22" w:rsidP="003227A4">
            <w:pPr>
              <w:keepNext/>
              <w:keepLines/>
              <w:jc w:val="center"/>
              <w:rPr>
                <w:rFonts w:ascii="Arial Narrow" w:hAnsi="Arial Narrow"/>
                <w:sz w:val="20"/>
              </w:rPr>
            </w:pPr>
            <w:r w:rsidRPr="00006F36">
              <w:rPr>
                <w:rFonts w:ascii="Arial Narrow" w:hAnsi="Arial Narrow"/>
                <w:sz w:val="20"/>
              </w:rPr>
              <w:t>Fabry Registry patients</w:t>
            </w:r>
            <w:r w:rsidR="003A62C9" w:rsidRPr="00006F36">
              <w:rPr>
                <w:rFonts w:ascii="Arial Narrow" w:hAnsi="Arial Narrow"/>
                <w:sz w:val="20"/>
              </w:rPr>
              <w:t xml:space="preserve"> </w:t>
            </w:r>
            <w:r w:rsidR="00494C63" w:rsidRPr="00006F36">
              <w:rPr>
                <w:rFonts w:ascii="Arial Narrow" w:hAnsi="Arial Narrow"/>
                <w:sz w:val="20"/>
              </w:rPr>
              <w:t xml:space="preserve">with </w:t>
            </w:r>
            <w:r w:rsidR="00494C63" w:rsidRPr="00006F36">
              <w:rPr>
                <w:rFonts w:ascii="Arial Narrow" w:hAnsi="Arial Narrow"/>
                <w:i/>
                <w:iCs/>
                <w:sz w:val="20"/>
              </w:rPr>
              <w:t>GLA</w:t>
            </w:r>
            <w:r w:rsidR="00494C63" w:rsidRPr="00006F36">
              <w:rPr>
                <w:rFonts w:ascii="Arial Narrow" w:hAnsi="Arial Narrow"/>
                <w:sz w:val="20"/>
              </w:rPr>
              <w:t xml:space="preserve"> variant </w:t>
            </w:r>
            <w:r w:rsidR="000203D8" w:rsidRPr="00006F36">
              <w:rPr>
                <w:rFonts w:ascii="Arial Narrow" w:hAnsi="Arial Narrow"/>
                <w:sz w:val="20"/>
              </w:rPr>
              <w:t xml:space="preserve">predicted to be associated with classical Fabry disease or unclassified variants </w:t>
            </w:r>
            <w:r w:rsidRPr="00006F36">
              <w:rPr>
                <w:rFonts w:ascii="Arial Narrow" w:hAnsi="Arial Narrow"/>
                <w:sz w:val="20"/>
              </w:rPr>
              <w:t xml:space="preserve">who </w:t>
            </w:r>
            <w:r w:rsidR="00F54A5B" w:rsidRPr="00006F36">
              <w:rPr>
                <w:rFonts w:ascii="Arial Narrow" w:hAnsi="Arial Narrow"/>
                <w:sz w:val="20"/>
              </w:rPr>
              <w:t xml:space="preserve">initiated </w:t>
            </w:r>
            <w:r w:rsidRPr="00006F36">
              <w:rPr>
                <w:rFonts w:ascii="Arial Narrow" w:hAnsi="Arial Narrow"/>
                <w:sz w:val="20"/>
              </w:rPr>
              <w:t xml:space="preserve">agalsidase beta </w:t>
            </w:r>
            <w:r w:rsidR="00F54A5B" w:rsidRPr="00006F36">
              <w:rPr>
                <w:rFonts w:ascii="Arial Narrow" w:hAnsi="Arial Narrow"/>
                <w:sz w:val="20"/>
              </w:rPr>
              <w:t>between 5-30 years of age</w:t>
            </w:r>
          </w:p>
        </w:tc>
        <w:tc>
          <w:tcPr>
            <w:tcW w:w="1068" w:type="pct"/>
            <w:shd w:val="clear" w:color="auto" w:fill="auto"/>
            <w:vAlign w:val="center"/>
          </w:tcPr>
          <w:p w14:paraId="3FD6363B" w14:textId="6C921C76" w:rsidR="00006990" w:rsidRPr="00006F36" w:rsidRDefault="00093470" w:rsidP="003227A4">
            <w:pPr>
              <w:keepNext/>
              <w:keepLines/>
              <w:jc w:val="center"/>
              <w:rPr>
                <w:rFonts w:ascii="Arial Narrow" w:hAnsi="Arial Narrow"/>
                <w:sz w:val="20"/>
              </w:rPr>
            </w:pPr>
            <w:r w:rsidRPr="00006F36">
              <w:rPr>
                <w:rFonts w:ascii="Arial Narrow" w:hAnsi="Arial Narrow"/>
                <w:sz w:val="20"/>
              </w:rPr>
              <w:t>eGFR slopes</w:t>
            </w:r>
            <w:r w:rsidR="002C5AE2" w:rsidRPr="00006F36">
              <w:rPr>
                <w:rFonts w:ascii="Arial Narrow" w:hAnsi="Arial Narrow"/>
                <w:sz w:val="20"/>
              </w:rPr>
              <w:t>, self reported symptoms</w:t>
            </w:r>
          </w:p>
        </w:tc>
      </w:tr>
    </w:tbl>
    <w:p w14:paraId="117DD01F" w14:textId="46367B60" w:rsidR="00850AC7" w:rsidRPr="00006F36" w:rsidRDefault="00850AC7" w:rsidP="00850AC7">
      <w:pPr>
        <w:pStyle w:val="FooterTableFigure"/>
      </w:pPr>
      <w:r w:rsidRPr="00006F36">
        <w:t xml:space="preserve">Source: Table </w:t>
      </w:r>
      <w:r w:rsidR="002D4734" w:rsidRPr="00006F36">
        <w:t>10</w:t>
      </w:r>
      <w:r w:rsidRPr="00006F36">
        <w:t xml:space="preserve">, </w:t>
      </w:r>
      <w:r w:rsidR="002D4734" w:rsidRPr="00006F36">
        <w:t>p 29 of the submission</w:t>
      </w:r>
    </w:p>
    <w:p w14:paraId="7ED5C808" w14:textId="7D1D9AAE" w:rsidR="00E475C8" w:rsidRPr="00006F36" w:rsidRDefault="004B69B9" w:rsidP="00850AC7">
      <w:pPr>
        <w:pStyle w:val="FooterTableFigure"/>
      </w:pPr>
      <w:r>
        <w:t xml:space="preserve">Abbreviations: </w:t>
      </w:r>
      <w:r w:rsidR="003247AB" w:rsidRPr="00006F36">
        <w:t xml:space="preserve">eGFR = estimated glomerular filtration rate; </w:t>
      </w:r>
      <w:r w:rsidR="00C26C6E" w:rsidRPr="00006F36">
        <w:t xml:space="preserve">ERT = enzyme replacement therapy; </w:t>
      </w:r>
      <w:r w:rsidR="004941FD" w:rsidRPr="00006F36">
        <w:t>FACE = Fabry-associated clinical events</w:t>
      </w:r>
      <w:r w:rsidR="00266F5A" w:rsidRPr="00006F36">
        <w:t xml:space="preserve">; </w:t>
      </w:r>
      <w:r w:rsidR="00C91BAC" w:rsidRPr="00006F36">
        <w:t xml:space="preserve">FOS = Fabry Outcome Survey; </w:t>
      </w:r>
      <w:r w:rsidR="00866B46" w:rsidRPr="00006F36">
        <w:t xml:space="preserve">IVST = interventricular septum thickness; LPWT = left ventricular posterior wall thickness; </w:t>
      </w:r>
      <w:r w:rsidR="00243120" w:rsidRPr="00006F36">
        <w:t xml:space="preserve">LVH = left ventricular hypertrophy; </w:t>
      </w:r>
      <w:r w:rsidR="00A1446E" w:rsidRPr="00006F36">
        <w:t>LVMI = left ventricular mass index</w:t>
      </w:r>
      <w:r w:rsidR="00EE704A" w:rsidRPr="00006F36">
        <w:t>ed to height</w:t>
      </w:r>
      <w:r w:rsidR="00A1446E" w:rsidRPr="00006F36">
        <w:t xml:space="preserve">; </w:t>
      </w:r>
      <w:r w:rsidR="00E475C8" w:rsidRPr="00006F36">
        <w:t>OL = Open labe</w:t>
      </w:r>
      <w:r w:rsidR="00266F5A" w:rsidRPr="00006F36">
        <w:t>l</w:t>
      </w:r>
      <w:r w:rsidR="005E7417" w:rsidRPr="00006F36">
        <w:t>, Retro = retrospective</w:t>
      </w:r>
    </w:p>
    <w:p w14:paraId="6DC245CD" w14:textId="77777777" w:rsidR="00D12810" w:rsidRDefault="00C47B55" w:rsidP="00850AC7">
      <w:pPr>
        <w:pStyle w:val="FooterTableFigure"/>
      </w:pPr>
      <w:r w:rsidRPr="00DD78A3">
        <w:rPr>
          <w:vertAlign w:val="superscript"/>
        </w:rPr>
        <w:t>a</w:t>
      </w:r>
      <w:r w:rsidRPr="00006F36">
        <w:t xml:space="preserve"> Considered high risk of bias due to</w:t>
      </w:r>
      <w:r w:rsidR="00E67ED2" w:rsidRPr="00006F36">
        <w:t xml:space="preserve"> being open label and the </w:t>
      </w:r>
      <w:r w:rsidR="00E67ED2" w:rsidRPr="00006F36">
        <w:rPr>
          <w:i/>
          <w:iCs/>
        </w:rPr>
        <w:t>post hoc</w:t>
      </w:r>
      <w:r w:rsidR="00E67ED2" w:rsidRPr="00006F36">
        <w:t xml:space="preserve"> nature of study</w:t>
      </w:r>
      <w:r w:rsidR="004B18DF" w:rsidRPr="00006F36">
        <w:t xml:space="preserve"> as well as lack of a comparator arm, with comparisons being made against </w:t>
      </w:r>
      <w:r w:rsidR="00695D53" w:rsidRPr="00006F36">
        <w:t xml:space="preserve">cohorts from other studies </w:t>
      </w:r>
      <w:r w:rsidR="003F0019" w:rsidRPr="00006F36">
        <w:t>and includes substantial confounding</w:t>
      </w:r>
      <w:r w:rsidR="00E67ED2" w:rsidRPr="00006F36">
        <w:t>.</w:t>
      </w:r>
    </w:p>
    <w:p w14:paraId="09F7A472" w14:textId="77777777" w:rsidR="00D12810" w:rsidRDefault="004B1999" w:rsidP="00850AC7">
      <w:pPr>
        <w:pStyle w:val="FooterTableFigure"/>
      </w:pPr>
      <w:r w:rsidRPr="00DD78A3">
        <w:rPr>
          <w:vertAlign w:val="superscript"/>
        </w:rPr>
        <w:lastRenderedPageBreak/>
        <w:t>b</w:t>
      </w:r>
      <w:r w:rsidR="005E7417" w:rsidRPr="00006F36">
        <w:t xml:space="preserve"> Considered high risk of bias due </w:t>
      </w:r>
      <w:r w:rsidR="003537B5" w:rsidRPr="00006F36">
        <w:t>open label nature of study</w:t>
      </w:r>
      <w:r w:rsidR="00007E7A" w:rsidRPr="00006F36">
        <w:t xml:space="preserve">, the lack of a comparator </w:t>
      </w:r>
      <w:r w:rsidR="004534DC" w:rsidRPr="00006F36">
        <w:t xml:space="preserve">(except for Germain 2013) </w:t>
      </w:r>
      <w:r w:rsidR="00007E7A" w:rsidRPr="00006F36">
        <w:t>and retrospective nature of</w:t>
      </w:r>
      <w:r w:rsidR="00A50C93" w:rsidRPr="00006F36">
        <w:t xml:space="preserve"> allocation of subgroups for comparisons</w:t>
      </w:r>
      <w:r w:rsidR="00007E7A" w:rsidRPr="00006F36">
        <w:t xml:space="preserve">. Further, </w:t>
      </w:r>
      <w:r w:rsidR="005E7417" w:rsidRPr="00006F36">
        <w:t xml:space="preserve">the </w:t>
      </w:r>
      <w:r w:rsidR="00C26C6E" w:rsidRPr="00006F36">
        <w:t xml:space="preserve">intervention being considered (ERT) was not migalastat and the PBAC has not </w:t>
      </w:r>
      <w:r w:rsidR="00064D71" w:rsidRPr="00006F36">
        <w:t>accepted that ERT and migalastat are non-inferior</w:t>
      </w:r>
      <w:r w:rsidR="00A50C93" w:rsidRPr="00006F36">
        <w:t xml:space="preserve"> therefore has potential applicability issues.</w:t>
      </w:r>
    </w:p>
    <w:p w14:paraId="7BD6EACA" w14:textId="50FCB6A4" w:rsidR="00A51724" w:rsidRPr="00006F36" w:rsidRDefault="004B1999" w:rsidP="00DB3C09">
      <w:pPr>
        <w:pStyle w:val="FooterTableFigure"/>
      </w:pPr>
      <w:r w:rsidRPr="00DD78A3">
        <w:rPr>
          <w:vertAlign w:val="superscript"/>
        </w:rPr>
        <w:t>c</w:t>
      </w:r>
      <w:r w:rsidR="00A51724" w:rsidRPr="00006F36">
        <w:t xml:space="preserve"> </w:t>
      </w:r>
      <w:r w:rsidR="00DB3C09" w:rsidRPr="00006F36">
        <w:t>Eng CM et al. (2001) Safety and efficacy of recombinant human alphagalactosidase A—replacement therapy in Fabry’s disease. New England Journal of Medicine;345:9–16</w:t>
      </w:r>
    </w:p>
    <w:p w14:paraId="4F9E5FAD" w14:textId="317BF642" w:rsidR="00A73C1F" w:rsidRPr="00006F36" w:rsidRDefault="00A73C1F" w:rsidP="00DB3C09">
      <w:pPr>
        <w:pStyle w:val="FooterTableFigure"/>
      </w:pPr>
      <w:r w:rsidRPr="00DD78A3">
        <w:rPr>
          <w:vertAlign w:val="superscript"/>
        </w:rPr>
        <w:t>d</w:t>
      </w:r>
      <w:r w:rsidRPr="00006F36">
        <w:t xml:space="preserve"> </w:t>
      </w:r>
      <w:r w:rsidR="004B1999" w:rsidRPr="00006F36">
        <w:t>I</w:t>
      </w:r>
      <w:r w:rsidRPr="00006F36">
        <w:t>ncorrectly referenced as Hopkin 2016 in submission</w:t>
      </w:r>
    </w:p>
    <w:p w14:paraId="4A4FE085" w14:textId="1C5613CC" w:rsidR="00B60939" w:rsidRPr="00006F36" w:rsidRDefault="00B60939" w:rsidP="00EC5836">
      <w:pPr>
        <w:pStyle w:val="4-SubsectionHeading"/>
      </w:pPr>
      <w:bookmarkStart w:id="33" w:name="_Toc22897641"/>
      <w:bookmarkStart w:id="34" w:name="_Toc156995875"/>
      <w:r w:rsidRPr="00006F36">
        <w:t>Comparative effectiveness</w:t>
      </w:r>
      <w:bookmarkEnd w:id="33"/>
      <w:bookmarkEnd w:id="34"/>
    </w:p>
    <w:p w14:paraId="66D22A5D" w14:textId="77777777" w:rsidR="00D12810" w:rsidRDefault="008B7733" w:rsidP="00646F9C">
      <w:pPr>
        <w:pStyle w:val="3-BodyText"/>
      </w:pPr>
      <w:r w:rsidRPr="00006F36">
        <w:t>The PBAC previously considered the results from ATTRACT and FACETS</w:t>
      </w:r>
      <w:r w:rsidR="002541E6" w:rsidRPr="00006F36">
        <w:t xml:space="preserve">. </w:t>
      </w:r>
      <w:r w:rsidR="00646F9C" w:rsidRPr="00006F36">
        <w:t>At the December 2022 PBAC meeting, t</w:t>
      </w:r>
      <w:r w:rsidR="00572DCD" w:rsidRPr="00006F36">
        <w:t>he PBAC</w:t>
      </w:r>
      <w:r w:rsidR="00BA0BD4" w:rsidRPr="00006F36">
        <w:t xml:space="preserve"> </w:t>
      </w:r>
      <w:r w:rsidR="00646F9C" w:rsidRPr="00006F36">
        <w:t xml:space="preserve">recalled that </w:t>
      </w:r>
      <w:r w:rsidR="006344EC" w:rsidRPr="00006F36">
        <w:t xml:space="preserve">it </w:t>
      </w:r>
      <w:r w:rsidR="00BA0BD4" w:rsidRPr="00006F36">
        <w:t xml:space="preserve">had </w:t>
      </w:r>
      <w:r w:rsidR="00646F9C" w:rsidRPr="00006F36">
        <w:t>previously not accepted the claim of non-inferior comparative effectiveness of migalastat compared to ERT in either treatment naïve or treatment experienced patients</w:t>
      </w:r>
      <w:r w:rsidR="006A480B" w:rsidRPr="00006F36">
        <w:t xml:space="preserve"> and</w:t>
      </w:r>
      <w:r w:rsidR="00646F9C" w:rsidRPr="00006F36">
        <w:t xml:space="preserve"> noted there was no additional clinical evidence </w:t>
      </w:r>
      <w:r w:rsidR="00641913" w:rsidRPr="00006F36">
        <w:t>available,</w:t>
      </w:r>
      <w:r w:rsidR="00646F9C" w:rsidRPr="00006F36">
        <w:t xml:space="preserve"> and the claim remained uncertain</w:t>
      </w:r>
      <w:r w:rsidR="00B173D2" w:rsidRPr="00006F36">
        <w:t xml:space="preserve"> </w:t>
      </w:r>
      <w:r w:rsidR="00F00B68" w:rsidRPr="00006F36">
        <w:t>(</w:t>
      </w:r>
      <w:r w:rsidR="00B173D2" w:rsidRPr="00006F36">
        <w:t>p</w:t>
      </w:r>
      <w:r w:rsidR="006A480B" w:rsidRPr="00006F36">
        <w:t xml:space="preserve">aragraph 4.4, </w:t>
      </w:r>
      <w:r w:rsidR="00AC1751" w:rsidRPr="00006F36">
        <w:t>migalastat PSD, December 2022 PBAC meeting).</w:t>
      </w:r>
      <w:r w:rsidR="00646F9C" w:rsidRPr="00006F36">
        <w:t xml:space="preserve"> </w:t>
      </w:r>
      <w:r w:rsidR="00B173D2" w:rsidRPr="00006F36">
        <w:t>N</w:t>
      </w:r>
      <w:r w:rsidR="006344EC" w:rsidRPr="00006F36">
        <w:t xml:space="preserve">o </w:t>
      </w:r>
      <w:r w:rsidR="00AC1751" w:rsidRPr="00006F36">
        <w:t>new comparative evidence was presented</w:t>
      </w:r>
      <w:r w:rsidR="00B173D2" w:rsidRPr="00006F36">
        <w:t>.</w:t>
      </w:r>
    </w:p>
    <w:p w14:paraId="2D410B2C" w14:textId="77777777" w:rsidR="00D12810" w:rsidRDefault="006C2349" w:rsidP="00E35D56">
      <w:pPr>
        <w:pStyle w:val="3-BodyText"/>
      </w:pPr>
      <w:r w:rsidRPr="00006F36">
        <w:t>The submission also include</w:t>
      </w:r>
      <w:r w:rsidR="0076618C" w:rsidRPr="00006F36">
        <w:t xml:space="preserve">d </w:t>
      </w:r>
      <w:r w:rsidR="00217615" w:rsidRPr="00006F36">
        <w:t xml:space="preserve">longer term follow up of patients treated with migalastat </w:t>
      </w:r>
      <w:r w:rsidR="00E705E2" w:rsidRPr="00006F36">
        <w:t>from ATTRACT and FACETS.</w:t>
      </w:r>
      <w:r w:rsidR="00C56E7F" w:rsidRPr="00006F36">
        <w:t xml:space="preserve"> Bichet 2021 reported longer term renal function in </w:t>
      </w:r>
      <w:r w:rsidR="0015084A" w:rsidRPr="00006F36">
        <w:t xml:space="preserve">78 </w:t>
      </w:r>
      <w:r w:rsidR="00C56E7F" w:rsidRPr="00006F36">
        <w:t xml:space="preserve">patients treated with migalastat </w:t>
      </w:r>
      <w:r w:rsidR="00083918" w:rsidRPr="00006F36">
        <w:t xml:space="preserve">for </w:t>
      </w:r>
      <w:r w:rsidR="00BC6E3B" w:rsidRPr="00006F36">
        <w:t xml:space="preserve">two </w:t>
      </w:r>
      <w:r w:rsidR="00E86CB8" w:rsidRPr="00006F36">
        <w:t xml:space="preserve">or more </w:t>
      </w:r>
      <w:r w:rsidR="00083918" w:rsidRPr="00006F36">
        <w:t xml:space="preserve">years </w:t>
      </w:r>
      <w:r w:rsidR="00BC6E3B" w:rsidRPr="00006F36">
        <w:t xml:space="preserve">who were originally enrolled in </w:t>
      </w:r>
      <w:r w:rsidR="00C56E7F" w:rsidRPr="00006F36">
        <w:t>ATTRACT and FACETS</w:t>
      </w:r>
      <w:r w:rsidR="007C0210" w:rsidRPr="00006F36">
        <w:t xml:space="preserve"> </w:t>
      </w:r>
      <w:r w:rsidR="00BC6E3B" w:rsidRPr="00006F36">
        <w:t xml:space="preserve">in </w:t>
      </w:r>
      <w:r w:rsidR="007C0210" w:rsidRPr="00006F36">
        <w:t xml:space="preserve">a </w:t>
      </w:r>
      <w:r w:rsidR="007C0210" w:rsidRPr="00006F36">
        <w:rPr>
          <w:i/>
          <w:iCs/>
        </w:rPr>
        <w:t>post hoc</w:t>
      </w:r>
      <w:r w:rsidR="007C0210" w:rsidRPr="00006F36">
        <w:t xml:space="preserve"> analysis</w:t>
      </w:r>
      <w:r w:rsidR="00BD3013" w:rsidRPr="00006F36">
        <w:t xml:space="preserve">, with a </w:t>
      </w:r>
      <w:r w:rsidR="00471020" w:rsidRPr="00006F36">
        <w:t>median (range) migalastat treatment duration of 7.0 (2.0–8.6) years and 5.1 (2.1–7.2) years for ERT</w:t>
      </w:r>
      <w:r w:rsidR="0058017B" w:rsidRPr="00006F36">
        <w:t xml:space="preserve"> </w:t>
      </w:r>
      <w:r w:rsidR="00471020" w:rsidRPr="00006F36">
        <w:t>naive and ERT experienced patients, respectively.</w:t>
      </w:r>
      <w:r w:rsidR="00C56E7F" w:rsidRPr="00006F36">
        <w:t xml:space="preserve"> </w:t>
      </w:r>
      <w:r w:rsidR="00BC6E3B" w:rsidRPr="00006F36">
        <w:t xml:space="preserve">The results from Bichet 2021 </w:t>
      </w:r>
      <w:r w:rsidR="000B1BAF" w:rsidRPr="00006F36">
        <w:t xml:space="preserve">as well as published </w:t>
      </w:r>
      <w:r w:rsidR="00F06896" w:rsidRPr="00006F36">
        <w:t xml:space="preserve">annualised eGFR rates from </w:t>
      </w:r>
      <w:r w:rsidR="00F35A52" w:rsidRPr="00006F36">
        <w:t xml:space="preserve">a </w:t>
      </w:r>
      <w:r w:rsidR="00F06896" w:rsidRPr="00006F36">
        <w:t xml:space="preserve">natural </w:t>
      </w:r>
      <w:r w:rsidR="00F35A52" w:rsidRPr="00006F36">
        <w:t xml:space="preserve">history study in </w:t>
      </w:r>
      <w:r w:rsidR="00F06896" w:rsidRPr="00006F36">
        <w:t>Fabry disease patients (as reported in Schiffmann 2009</w:t>
      </w:r>
      <w:r w:rsidR="004E2204" w:rsidRPr="00006F36">
        <w:rPr>
          <w:rStyle w:val="FootnoteReference"/>
        </w:rPr>
        <w:footnoteReference w:id="10"/>
      </w:r>
      <w:r w:rsidR="00F06896" w:rsidRPr="00006F36">
        <w:t xml:space="preserve">), ERT (as reported in </w:t>
      </w:r>
      <w:r w:rsidR="00EA50B0" w:rsidRPr="00006F36">
        <w:t>Rombach 2013</w:t>
      </w:r>
      <w:r w:rsidR="008F5046" w:rsidRPr="00006F36">
        <w:rPr>
          <w:rStyle w:val="FootnoteReference"/>
        </w:rPr>
        <w:footnoteReference w:id="11"/>
      </w:r>
      <w:r w:rsidR="00C93491" w:rsidRPr="00006F36">
        <w:t xml:space="preserve"> and Madsen 2019</w:t>
      </w:r>
      <w:r w:rsidR="00C533CB" w:rsidRPr="00006F36">
        <w:rPr>
          <w:rStyle w:val="FootnoteReference"/>
        </w:rPr>
        <w:footnoteReference w:id="12"/>
      </w:r>
      <w:r w:rsidR="00EA50B0" w:rsidRPr="00006F36">
        <w:t xml:space="preserve">) </w:t>
      </w:r>
      <w:r w:rsidR="002B7927" w:rsidRPr="00006F36">
        <w:t xml:space="preserve">and </w:t>
      </w:r>
      <w:r w:rsidR="0050515A" w:rsidRPr="00006F36">
        <w:t xml:space="preserve">a </w:t>
      </w:r>
      <w:r w:rsidR="002B7927" w:rsidRPr="00006F36">
        <w:t xml:space="preserve">healthy </w:t>
      </w:r>
      <w:r w:rsidR="00B47183" w:rsidRPr="00006F36">
        <w:t>Japanese population (Baba 2015</w:t>
      </w:r>
      <w:r w:rsidR="00BA0BF0" w:rsidRPr="00006F36">
        <w:rPr>
          <w:rStyle w:val="FootnoteReference"/>
        </w:rPr>
        <w:footnoteReference w:id="13"/>
      </w:r>
      <w:r w:rsidR="00B47183" w:rsidRPr="00006F36">
        <w:t>)</w:t>
      </w:r>
      <w:r w:rsidR="00A20122" w:rsidRPr="00006F36">
        <w:t>, which were all referenced by Biche</w:t>
      </w:r>
      <w:r w:rsidR="00B46AD1" w:rsidRPr="00006F36">
        <w:t>t</w:t>
      </w:r>
      <w:r w:rsidR="00A20122" w:rsidRPr="00006F36">
        <w:t xml:space="preserve"> 2021 as a comparison,</w:t>
      </w:r>
      <w:r w:rsidR="00B47183" w:rsidRPr="00006F36">
        <w:t xml:space="preserve"> </w:t>
      </w:r>
      <w:r w:rsidR="00BC6E3B" w:rsidRPr="00006F36">
        <w:t>are summarise</w:t>
      </w:r>
      <w:r w:rsidR="00930D55" w:rsidRPr="00006F36">
        <w:t xml:space="preserve">d in </w:t>
      </w:r>
      <w:r w:rsidR="00930D55" w:rsidRPr="00006F36">
        <w:fldChar w:fldCharType="begin" w:fldLock="1"/>
      </w:r>
      <w:r w:rsidR="00930D55" w:rsidRPr="00006F36">
        <w:instrText xml:space="preserve"> REF _Ref151402561 \h </w:instrText>
      </w:r>
      <w:r w:rsidR="00930D55" w:rsidRPr="00006F36">
        <w:fldChar w:fldCharType="separate"/>
      </w:r>
      <w:r w:rsidR="00F42C5D" w:rsidRPr="00006F36">
        <w:t xml:space="preserve">Table </w:t>
      </w:r>
      <w:r w:rsidR="00F42C5D">
        <w:rPr>
          <w:noProof/>
        </w:rPr>
        <w:t>6</w:t>
      </w:r>
      <w:r w:rsidR="00930D55" w:rsidRPr="00006F36">
        <w:fldChar w:fldCharType="end"/>
      </w:r>
      <w:r w:rsidR="00006F36">
        <w:t>.</w:t>
      </w:r>
    </w:p>
    <w:p w14:paraId="7A3C8274" w14:textId="27B0307E" w:rsidR="00930D55" w:rsidRPr="00006F36" w:rsidRDefault="00930D55" w:rsidP="0050515A">
      <w:pPr>
        <w:pStyle w:val="Caption"/>
      </w:pPr>
      <w:bookmarkStart w:id="35" w:name="_Ref151402561"/>
      <w:r w:rsidRPr="00006F36">
        <w:lastRenderedPageBreak/>
        <w:t xml:space="preserve">Table </w:t>
      </w:r>
      <w:r w:rsidR="008C634B">
        <w:fldChar w:fldCharType="begin" w:fldLock="1"/>
      </w:r>
      <w:r w:rsidR="008C634B">
        <w:instrText xml:space="preserve"> SEQ Table \* ARABIC </w:instrText>
      </w:r>
      <w:r w:rsidR="008C634B">
        <w:fldChar w:fldCharType="separate"/>
      </w:r>
      <w:r w:rsidR="00F42C5D">
        <w:rPr>
          <w:noProof/>
        </w:rPr>
        <w:t>6</w:t>
      </w:r>
      <w:r w:rsidR="008C634B">
        <w:rPr>
          <w:noProof/>
        </w:rPr>
        <w:fldChar w:fldCharType="end"/>
      </w:r>
      <w:bookmarkEnd w:id="35"/>
      <w:r w:rsidRPr="00006F36">
        <w:t>: Summary of changes in renal outcomes in patients treated with migalastat for two or more years in Bichet 2021</w:t>
      </w:r>
      <w:r w:rsidR="000B1BAF" w:rsidRPr="00006F36">
        <w:t xml:space="preserve"> and in reference published studies.</w:t>
      </w:r>
    </w:p>
    <w:tbl>
      <w:tblPr>
        <w:tblStyle w:val="TableGrid"/>
        <w:tblW w:w="0" w:type="auto"/>
        <w:tblInd w:w="-5" w:type="dxa"/>
        <w:tblLook w:val="04A0" w:firstRow="1" w:lastRow="0" w:firstColumn="1" w:lastColumn="0" w:noHBand="0" w:noVBand="1"/>
        <w:tblCaption w:val="Table 6: Summary of changes in renal outcomes in patients treated with migalastat for two or more years in Bichet 2021 and in reference published studies."/>
      </w:tblPr>
      <w:tblGrid>
        <w:gridCol w:w="2810"/>
        <w:gridCol w:w="673"/>
        <w:gridCol w:w="1452"/>
        <w:gridCol w:w="1510"/>
        <w:gridCol w:w="1114"/>
        <w:gridCol w:w="1463"/>
      </w:tblGrid>
      <w:tr w:rsidR="00695951" w:rsidRPr="00006F36" w14:paraId="3360F1B3" w14:textId="77777777" w:rsidTr="0050515A">
        <w:trPr>
          <w:trHeight w:val="227"/>
        </w:trPr>
        <w:tc>
          <w:tcPr>
            <w:tcW w:w="2810" w:type="dxa"/>
            <w:vMerge w:val="restart"/>
            <w:vAlign w:val="center"/>
          </w:tcPr>
          <w:p w14:paraId="7530811B" w14:textId="77777777" w:rsidR="00695951" w:rsidRPr="00006F36" w:rsidRDefault="00695951" w:rsidP="000B1BAF">
            <w:pPr>
              <w:pStyle w:val="3-BodyText"/>
              <w:keepNext/>
              <w:keepLines/>
              <w:numPr>
                <w:ilvl w:val="0"/>
                <w:numId w:val="0"/>
              </w:numPr>
              <w:spacing w:after="0"/>
              <w:jc w:val="left"/>
              <w:rPr>
                <w:rFonts w:ascii="Arial Narrow" w:hAnsi="Arial Narrow"/>
                <w:sz w:val="20"/>
                <w:szCs w:val="20"/>
              </w:rPr>
            </w:pPr>
          </w:p>
        </w:tc>
        <w:tc>
          <w:tcPr>
            <w:tcW w:w="673" w:type="dxa"/>
            <w:vMerge w:val="restart"/>
            <w:vAlign w:val="center"/>
          </w:tcPr>
          <w:p w14:paraId="60D5D1EE" w14:textId="67505FE7" w:rsidR="00695951" w:rsidRPr="00006F36" w:rsidRDefault="00695951" w:rsidP="000B1BAF">
            <w:pPr>
              <w:pStyle w:val="3-BodyText"/>
              <w:keepNext/>
              <w:keepLines/>
              <w:numPr>
                <w:ilvl w:val="0"/>
                <w:numId w:val="0"/>
              </w:numPr>
              <w:spacing w:after="0"/>
              <w:jc w:val="center"/>
              <w:rPr>
                <w:rFonts w:ascii="Arial Narrow" w:hAnsi="Arial Narrow"/>
                <w:b/>
                <w:bCs/>
                <w:sz w:val="20"/>
                <w:szCs w:val="20"/>
              </w:rPr>
            </w:pPr>
            <w:r w:rsidRPr="00006F36">
              <w:rPr>
                <w:rFonts w:ascii="Arial Narrow" w:hAnsi="Arial Narrow"/>
                <w:b/>
                <w:bCs/>
                <w:sz w:val="20"/>
                <w:szCs w:val="20"/>
              </w:rPr>
              <w:t>N</w:t>
            </w:r>
          </w:p>
        </w:tc>
        <w:tc>
          <w:tcPr>
            <w:tcW w:w="2962" w:type="dxa"/>
            <w:gridSpan w:val="2"/>
            <w:vAlign w:val="center"/>
          </w:tcPr>
          <w:p w14:paraId="377A38DB" w14:textId="0875DE8A" w:rsidR="00695951" w:rsidRPr="00006F36" w:rsidRDefault="00695951" w:rsidP="000B1BAF">
            <w:pPr>
              <w:pStyle w:val="3-BodyText"/>
              <w:keepNext/>
              <w:keepLines/>
              <w:numPr>
                <w:ilvl w:val="0"/>
                <w:numId w:val="0"/>
              </w:numPr>
              <w:spacing w:after="0"/>
              <w:jc w:val="center"/>
              <w:rPr>
                <w:rFonts w:ascii="Arial Narrow" w:hAnsi="Arial Narrow"/>
                <w:b/>
                <w:bCs/>
                <w:sz w:val="20"/>
                <w:szCs w:val="20"/>
              </w:rPr>
            </w:pPr>
            <w:r w:rsidRPr="00006F36">
              <w:rPr>
                <w:rFonts w:ascii="Arial Narrow" w:hAnsi="Arial Narrow"/>
                <w:b/>
                <w:bCs/>
                <w:sz w:val="20"/>
                <w:szCs w:val="20"/>
              </w:rPr>
              <w:t>Baseline</w:t>
            </w:r>
            <w:r w:rsidR="00326451" w:rsidRPr="00006F36">
              <w:rPr>
                <w:rFonts w:ascii="Arial Narrow" w:hAnsi="Arial Narrow"/>
                <w:b/>
                <w:bCs/>
                <w:sz w:val="20"/>
                <w:szCs w:val="20"/>
              </w:rPr>
              <w:t xml:space="preserve"> eGFR</w:t>
            </w:r>
            <w:r w:rsidR="006253EE" w:rsidRPr="00006F36">
              <w:rPr>
                <w:rFonts w:ascii="Arial Narrow" w:hAnsi="Arial Narrow"/>
                <w:b/>
                <w:bCs/>
                <w:sz w:val="20"/>
                <w:szCs w:val="20"/>
                <w:vertAlign w:val="subscript"/>
              </w:rPr>
              <w:t>CKD-EPI</w:t>
            </w:r>
            <w:r w:rsidR="00930D55" w:rsidRPr="00006F36">
              <w:rPr>
                <w:rFonts w:ascii="Arial Narrow" w:hAnsi="Arial Narrow"/>
                <w:b/>
                <w:bCs/>
                <w:sz w:val="20"/>
                <w:szCs w:val="20"/>
                <w:vertAlign w:val="subscript"/>
              </w:rPr>
              <w:t xml:space="preserve"> </w:t>
            </w:r>
            <w:r w:rsidR="00930D55" w:rsidRPr="00006F36">
              <w:rPr>
                <w:rFonts w:ascii="Arial Narrow" w:hAnsi="Arial Narrow"/>
                <w:b/>
                <w:bCs/>
                <w:sz w:val="20"/>
                <w:szCs w:val="20"/>
              </w:rPr>
              <w:t>(mL/min</w:t>
            </w:r>
            <w:r w:rsidR="00892934" w:rsidRPr="00006F36">
              <w:rPr>
                <w:rFonts w:ascii="Arial Narrow" w:hAnsi="Arial Narrow"/>
                <w:b/>
                <w:bCs/>
                <w:sz w:val="20"/>
                <w:szCs w:val="20"/>
              </w:rPr>
              <w:t>/1.73m</w:t>
            </w:r>
            <w:r w:rsidR="00892934" w:rsidRPr="00006F36">
              <w:rPr>
                <w:rFonts w:ascii="Arial Narrow" w:hAnsi="Arial Narrow"/>
                <w:b/>
                <w:bCs/>
                <w:sz w:val="20"/>
                <w:szCs w:val="20"/>
                <w:vertAlign w:val="superscript"/>
              </w:rPr>
              <w:t>2</w:t>
            </w:r>
            <w:r w:rsidR="00930D55" w:rsidRPr="00006F36">
              <w:rPr>
                <w:rFonts w:ascii="Arial Narrow" w:hAnsi="Arial Narrow"/>
                <w:b/>
                <w:bCs/>
                <w:sz w:val="20"/>
                <w:szCs w:val="20"/>
              </w:rPr>
              <w:t>)</w:t>
            </w:r>
          </w:p>
        </w:tc>
        <w:tc>
          <w:tcPr>
            <w:tcW w:w="2577" w:type="dxa"/>
            <w:gridSpan w:val="2"/>
            <w:vAlign w:val="center"/>
          </w:tcPr>
          <w:p w14:paraId="00540C1A" w14:textId="286B640E" w:rsidR="00695951" w:rsidRPr="00006F36" w:rsidRDefault="00695951" w:rsidP="000B1BAF">
            <w:pPr>
              <w:pStyle w:val="3-BodyText"/>
              <w:keepNext/>
              <w:keepLines/>
              <w:numPr>
                <w:ilvl w:val="0"/>
                <w:numId w:val="0"/>
              </w:numPr>
              <w:spacing w:after="0"/>
              <w:jc w:val="center"/>
              <w:rPr>
                <w:rFonts w:ascii="Arial Narrow" w:hAnsi="Arial Narrow"/>
                <w:b/>
                <w:bCs/>
                <w:sz w:val="20"/>
                <w:szCs w:val="20"/>
              </w:rPr>
            </w:pPr>
            <w:r w:rsidRPr="00006F36">
              <w:rPr>
                <w:rFonts w:ascii="Arial Narrow" w:hAnsi="Arial Narrow"/>
                <w:b/>
                <w:bCs/>
                <w:sz w:val="20"/>
                <w:szCs w:val="20"/>
              </w:rPr>
              <w:t>Annualised rate of change</w:t>
            </w:r>
            <w:r w:rsidR="006253EE" w:rsidRPr="00006F36">
              <w:rPr>
                <w:rFonts w:ascii="Arial Narrow" w:hAnsi="Arial Narrow"/>
                <w:b/>
                <w:bCs/>
                <w:sz w:val="20"/>
                <w:szCs w:val="20"/>
              </w:rPr>
              <w:t xml:space="preserve"> eGFR</w:t>
            </w:r>
            <w:r w:rsidR="006253EE" w:rsidRPr="00006F36">
              <w:rPr>
                <w:rFonts w:ascii="Arial Narrow" w:hAnsi="Arial Narrow"/>
                <w:b/>
                <w:bCs/>
                <w:sz w:val="20"/>
                <w:szCs w:val="20"/>
                <w:vertAlign w:val="subscript"/>
              </w:rPr>
              <w:t>CKD-EPI</w:t>
            </w:r>
            <w:r w:rsidR="00930D55" w:rsidRPr="00006F36">
              <w:rPr>
                <w:rFonts w:ascii="Arial Narrow" w:hAnsi="Arial Narrow"/>
                <w:b/>
                <w:bCs/>
                <w:sz w:val="20"/>
                <w:szCs w:val="20"/>
                <w:vertAlign w:val="subscript"/>
              </w:rPr>
              <w:t xml:space="preserve"> </w:t>
            </w:r>
            <w:r w:rsidR="00930D55" w:rsidRPr="00006F36">
              <w:rPr>
                <w:rFonts w:ascii="Arial Narrow" w:hAnsi="Arial Narrow"/>
                <w:b/>
                <w:bCs/>
                <w:sz w:val="20"/>
                <w:szCs w:val="20"/>
              </w:rPr>
              <w:t>(mL/min</w:t>
            </w:r>
            <w:r w:rsidR="00892934" w:rsidRPr="00006F36">
              <w:rPr>
                <w:rFonts w:ascii="Arial Narrow" w:hAnsi="Arial Narrow"/>
                <w:b/>
                <w:bCs/>
                <w:sz w:val="20"/>
                <w:szCs w:val="20"/>
              </w:rPr>
              <w:t>/1.73m</w:t>
            </w:r>
            <w:r w:rsidR="00892934" w:rsidRPr="00006F36">
              <w:rPr>
                <w:rFonts w:ascii="Arial Narrow" w:hAnsi="Arial Narrow"/>
                <w:b/>
                <w:bCs/>
                <w:sz w:val="20"/>
                <w:szCs w:val="20"/>
                <w:vertAlign w:val="superscript"/>
              </w:rPr>
              <w:t>2</w:t>
            </w:r>
            <w:r w:rsidR="00930D55" w:rsidRPr="00006F36">
              <w:rPr>
                <w:rFonts w:ascii="Arial Narrow" w:hAnsi="Arial Narrow"/>
                <w:b/>
                <w:bCs/>
                <w:sz w:val="20"/>
                <w:szCs w:val="20"/>
              </w:rPr>
              <w:t>)</w:t>
            </w:r>
          </w:p>
        </w:tc>
      </w:tr>
      <w:tr w:rsidR="00E15B35" w:rsidRPr="00006F36" w14:paraId="120BF380" w14:textId="77777777" w:rsidTr="0050515A">
        <w:trPr>
          <w:trHeight w:val="227"/>
        </w:trPr>
        <w:tc>
          <w:tcPr>
            <w:tcW w:w="2810" w:type="dxa"/>
            <w:vMerge/>
            <w:vAlign w:val="center"/>
          </w:tcPr>
          <w:p w14:paraId="292538F8" w14:textId="77777777" w:rsidR="00695951" w:rsidRPr="00006F36" w:rsidRDefault="00695951" w:rsidP="000B1BAF">
            <w:pPr>
              <w:pStyle w:val="3-BodyText"/>
              <w:keepNext/>
              <w:keepLines/>
              <w:numPr>
                <w:ilvl w:val="0"/>
                <w:numId w:val="0"/>
              </w:numPr>
              <w:spacing w:after="0"/>
              <w:jc w:val="left"/>
              <w:rPr>
                <w:rFonts w:ascii="Arial Narrow" w:hAnsi="Arial Narrow"/>
                <w:sz w:val="20"/>
                <w:szCs w:val="20"/>
              </w:rPr>
            </w:pPr>
          </w:p>
        </w:tc>
        <w:tc>
          <w:tcPr>
            <w:tcW w:w="673" w:type="dxa"/>
            <w:vMerge/>
            <w:vAlign w:val="center"/>
          </w:tcPr>
          <w:p w14:paraId="14075B43" w14:textId="77777777" w:rsidR="00695951" w:rsidRPr="00006F36" w:rsidRDefault="00695951" w:rsidP="000B1BAF">
            <w:pPr>
              <w:pStyle w:val="3-BodyText"/>
              <w:keepNext/>
              <w:keepLines/>
              <w:numPr>
                <w:ilvl w:val="0"/>
                <w:numId w:val="0"/>
              </w:numPr>
              <w:spacing w:after="0"/>
              <w:jc w:val="center"/>
              <w:rPr>
                <w:rFonts w:ascii="Arial Narrow" w:hAnsi="Arial Narrow"/>
                <w:b/>
                <w:bCs/>
                <w:sz w:val="20"/>
                <w:szCs w:val="20"/>
              </w:rPr>
            </w:pPr>
          </w:p>
        </w:tc>
        <w:tc>
          <w:tcPr>
            <w:tcW w:w="1452" w:type="dxa"/>
            <w:vAlign w:val="center"/>
          </w:tcPr>
          <w:p w14:paraId="7944D2A8" w14:textId="47DC3445" w:rsidR="00695951" w:rsidRPr="00006F36" w:rsidRDefault="00695951" w:rsidP="000B1BAF">
            <w:pPr>
              <w:pStyle w:val="3-BodyText"/>
              <w:keepNext/>
              <w:keepLines/>
              <w:numPr>
                <w:ilvl w:val="0"/>
                <w:numId w:val="0"/>
              </w:numPr>
              <w:spacing w:after="0"/>
              <w:jc w:val="center"/>
              <w:rPr>
                <w:rFonts w:ascii="Arial Narrow" w:hAnsi="Arial Narrow"/>
                <w:b/>
                <w:bCs/>
                <w:sz w:val="20"/>
                <w:szCs w:val="20"/>
              </w:rPr>
            </w:pPr>
            <w:r w:rsidRPr="00006F36">
              <w:rPr>
                <w:rFonts w:ascii="Arial Narrow" w:hAnsi="Arial Narrow"/>
                <w:b/>
                <w:bCs/>
                <w:sz w:val="20"/>
                <w:szCs w:val="20"/>
              </w:rPr>
              <w:t>Mean (SD)</w:t>
            </w:r>
          </w:p>
        </w:tc>
        <w:tc>
          <w:tcPr>
            <w:tcW w:w="1510" w:type="dxa"/>
            <w:vAlign w:val="center"/>
          </w:tcPr>
          <w:p w14:paraId="797003D5" w14:textId="65CE0B3D" w:rsidR="00695951" w:rsidRPr="00006F36" w:rsidRDefault="00695951" w:rsidP="000B1BAF">
            <w:pPr>
              <w:pStyle w:val="3-BodyText"/>
              <w:keepNext/>
              <w:keepLines/>
              <w:numPr>
                <w:ilvl w:val="0"/>
                <w:numId w:val="0"/>
              </w:numPr>
              <w:spacing w:after="0"/>
              <w:jc w:val="center"/>
              <w:rPr>
                <w:rFonts w:ascii="Arial Narrow" w:hAnsi="Arial Narrow"/>
                <w:b/>
                <w:bCs/>
                <w:sz w:val="20"/>
                <w:szCs w:val="20"/>
              </w:rPr>
            </w:pPr>
            <w:r w:rsidRPr="00006F36">
              <w:rPr>
                <w:rFonts w:ascii="Arial Narrow" w:hAnsi="Arial Narrow"/>
                <w:b/>
                <w:bCs/>
                <w:sz w:val="20"/>
                <w:szCs w:val="20"/>
              </w:rPr>
              <w:t>Median (range)</w:t>
            </w:r>
          </w:p>
        </w:tc>
        <w:tc>
          <w:tcPr>
            <w:tcW w:w="1114" w:type="dxa"/>
            <w:vAlign w:val="center"/>
          </w:tcPr>
          <w:p w14:paraId="60527582" w14:textId="46A3305C" w:rsidR="00695951" w:rsidRPr="00006F36" w:rsidRDefault="00695951" w:rsidP="000B1BAF">
            <w:pPr>
              <w:pStyle w:val="3-BodyText"/>
              <w:keepNext/>
              <w:keepLines/>
              <w:numPr>
                <w:ilvl w:val="0"/>
                <w:numId w:val="0"/>
              </w:numPr>
              <w:spacing w:after="0"/>
              <w:jc w:val="center"/>
              <w:rPr>
                <w:rFonts w:ascii="Arial Narrow" w:hAnsi="Arial Narrow"/>
                <w:b/>
                <w:bCs/>
                <w:sz w:val="20"/>
                <w:szCs w:val="20"/>
              </w:rPr>
            </w:pPr>
            <w:r w:rsidRPr="00006F36">
              <w:rPr>
                <w:rFonts w:ascii="Arial Narrow" w:hAnsi="Arial Narrow"/>
                <w:b/>
                <w:bCs/>
                <w:sz w:val="20"/>
                <w:szCs w:val="20"/>
              </w:rPr>
              <w:t>Mean (SD)</w:t>
            </w:r>
          </w:p>
        </w:tc>
        <w:tc>
          <w:tcPr>
            <w:tcW w:w="1463" w:type="dxa"/>
            <w:vAlign w:val="center"/>
          </w:tcPr>
          <w:p w14:paraId="5672ED71" w14:textId="7D832491" w:rsidR="00695951" w:rsidRPr="00006F36" w:rsidRDefault="00695951" w:rsidP="000B1BAF">
            <w:pPr>
              <w:pStyle w:val="3-BodyText"/>
              <w:keepNext/>
              <w:keepLines/>
              <w:numPr>
                <w:ilvl w:val="0"/>
                <w:numId w:val="0"/>
              </w:numPr>
              <w:spacing w:after="0"/>
              <w:jc w:val="center"/>
              <w:rPr>
                <w:rFonts w:ascii="Arial Narrow" w:hAnsi="Arial Narrow"/>
                <w:b/>
                <w:bCs/>
                <w:sz w:val="20"/>
                <w:szCs w:val="20"/>
              </w:rPr>
            </w:pPr>
            <w:r w:rsidRPr="00006F36">
              <w:rPr>
                <w:rFonts w:ascii="Arial Narrow" w:hAnsi="Arial Narrow"/>
                <w:b/>
                <w:bCs/>
                <w:sz w:val="20"/>
                <w:szCs w:val="20"/>
              </w:rPr>
              <w:t>Median (range)</w:t>
            </w:r>
          </w:p>
        </w:tc>
      </w:tr>
      <w:tr w:rsidR="00695951" w:rsidRPr="00006F36" w14:paraId="0C4C25B4" w14:textId="77777777" w:rsidTr="0050515A">
        <w:trPr>
          <w:trHeight w:val="227"/>
        </w:trPr>
        <w:tc>
          <w:tcPr>
            <w:tcW w:w="9022" w:type="dxa"/>
            <w:gridSpan w:val="6"/>
            <w:vAlign w:val="center"/>
          </w:tcPr>
          <w:p w14:paraId="2F19CFF8" w14:textId="1112DA6B" w:rsidR="00695951" w:rsidRPr="00006F36" w:rsidRDefault="00695951" w:rsidP="000B1BAF">
            <w:pPr>
              <w:pStyle w:val="3-BodyText"/>
              <w:keepNext/>
              <w:keepLines/>
              <w:numPr>
                <w:ilvl w:val="0"/>
                <w:numId w:val="0"/>
              </w:numPr>
              <w:spacing w:after="0"/>
              <w:jc w:val="left"/>
              <w:rPr>
                <w:rFonts w:ascii="Arial Narrow" w:hAnsi="Arial Narrow"/>
                <w:b/>
                <w:bCs/>
                <w:sz w:val="20"/>
                <w:szCs w:val="20"/>
              </w:rPr>
            </w:pPr>
            <w:r w:rsidRPr="00006F36">
              <w:rPr>
                <w:rFonts w:ascii="Arial Narrow" w:hAnsi="Arial Narrow"/>
                <w:b/>
                <w:bCs/>
                <w:sz w:val="20"/>
                <w:szCs w:val="20"/>
              </w:rPr>
              <w:t xml:space="preserve">ERT </w:t>
            </w:r>
            <w:r w:rsidR="00F35A52" w:rsidRPr="00006F36">
              <w:rPr>
                <w:rFonts w:ascii="Arial Narrow" w:hAnsi="Arial Narrow"/>
                <w:b/>
                <w:bCs/>
                <w:sz w:val="20"/>
                <w:szCs w:val="20"/>
              </w:rPr>
              <w:t>n</w:t>
            </w:r>
            <w:r w:rsidRPr="00006F36">
              <w:rPr>
                <w:rFonts w:ascii="Arial Narrow" w:hAnsi="Arial Narrow"/>
                <w:b/>
                <w:bCs/>
                <w:sz w:val="20"/>
                <w:szCs w:val="20"/>
              </w:rPr>
              <w:t>aïve</w:t>
            </w:r>
            <w:r w:rsidR="00471020" w:rsidRPr="00006F36">
              <w:rPr>
                <w:rFonts w:ascii="Arial Narrow" w:hAnsi="Arial Narrow"/>
                <w:b/>
                <w:bCs/>
                <w:sz w:val="20"/>
                <w:szCs w:val="20"/>
              </w:rPr>
              <w:t xml:space="preserve"> (median duration of migalastat treatment </w:t>
            </w:r>
            <w:r w:rsidR="006D4730" w:rsidRPr="00006F36">
              <w:rPr>
                <w:rFonts w:ascii="Arial Narrow" w:hAnsi="Arial Narrow"/>
                <w:b/>
                <w:bCs/>
                <w:sz w:val="20"/>
                <w:szCs w:val="20"/>
              </w:rPr>
              <w:t>7.0 years (range 2.0-8.6)</w:t>
            </w:r>
          </w:p>
        </w:tc>
      </w:tr>
      <w:tr w:rsidR="00930D55" w:rsidRPr="00006F36" w14:paraId="356CF210" w14:textId="77777777" w:rsidTr="0050515A">
        <w:trPr>
          <w:trHeight w:val="227"/>
        </w:trPr>
        <w:tc>
          <w:tcPr>
            <w:tcW w:w="2810" w:type="dxa"/>
            <w:vAlign w:val="center"/>
          </w:tcPr>
          <w:p w14:paraId="604F1E3D" w14:textId="7ED21D94" w:rsidR="00695951" w:rsidRPr="00006F36" w:rsidRDefault="00695951" w:rsidP="000B1BAF">
            <w:pPr>
              <w:pStyle w:val="3-BodyText"/>
              <w:keepNext/>
              <w:keepLines/>
              <w:numPr>
                <w:ilvl w:val="0"/>
                <w:numId w:val="0"/>
              </w:numPr>
              <w:spacing w:after="0"/>
              <w:jc w:val="left"/>
              <w:rPr>
                <w:rFonts w:ascii="Arial Narrow" w:hAnsi="Arial Narrow"/>
                <w:sz w:val="20"/>
                <w:szCs w:val="20"/>
              </w:rPr>
            </w:pPr>
            <w:r w:rsidRPr="00006F36">
              <w:rPr>
                <w:rFonts w:ascii="Arial Narrow" w:hAnsi="Arial Narrow"/>
                <w:sz w:val="20"/>
                <w:szCs w:val="20"/>
              </w:rPr>
              <w:t>Overall</w:t>
            </w:r>
          </w:p>
        </w:tc>
        <w:tc>
          <w:tcPr>
            <w:tcW w:w="673" w:type="dxa"/>
            <w:vAlign w:val="center"/>
          </w:tcPr>
          <w:p w14:paraId="5647FEAC" w14:textId="6C8B8AA4" w:rsidR="00695951" w:rsidRPr="00006F36" w:rsidRDefault="006B00A3"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36</w:t>
            </w:r>
          </w:p>
        </w:tc>
        <w:tc>
          <w:tcPr>
            <w:tcW w:w="1452" w:type="dxa"/>
            <w:vAlign w:val="center"/>
          </w:tcPr>
          <w:p w14:paraId="2301F7A2" w14:textId="0CF7A893" w:rsidR="00695951" w:rsidRPr="00006F36" w:rsidRDefault="00F70ECA"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91.4 (22.4)</w:t>
            </w:r>
          </w:p>
        </w:tc>
        <w:tc>
          <w:tcPr>
            <w:tcW w:w="1510" w:type="dxa"/>
            <w:vAlign w:val="center"/>
          </w:tcPr>
          <w:p w14:paraId="24DC7951" w14:textId="0EB16B43" w:rsidR="00695951" w:rsidRPr="00006F36" w:rsidRDefault="00F70ECA"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92.0 (41.4-125.6)</w:t>
            </w:r>
          </w:p>
        </w:tc>
        <w:tc>
          <w:tcPr>
            <w:tcW w:w="1114" w:type="dxa"/>
            <w:vAlign w:val="center"/>
          </w:tcPr>
          <w:p w14:paraId="1D85D1F4" w14:textId="0E13A2D9" w:rsidR="00695951" w:rsidRPr="00006F36" w:rsidRDefault="0005681D"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-1.6 (3.1)</w:t>
            </w:r>
          </w:p>
        </w:tc>
        <w:tc>
          <w:tcPr>
            <w:tcW w:w="1463" w:type="dxa"/>
            <w:vAlign w:val="center"/>
          </w:tcPr>
          <w:p w14:paraId="31D437C9" w14:textId="06FFBF69" w:rsidR="00695951" w:rsidRPr="00006F36" w:rsidRDefault="0005681D"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-1.1 (-2.6, -0.6)</w:t>
            </w:r>
          </w:p>
        </w:tc>
      </w:tr>
      <w:tr w:rsidR="00930D55" w:rsidRPr="00006F36" w14:paraId="60F674F8" w14:textId="77777777" w:rsidTr="0050515A">
        <w:trPr>
          <w:trHeight w:val="227"/>
        </w:trPr>
        <w:tc>
          <w:tcPr>
            <w:tcW w:w="2810" w:type="dxa"/>
            <w:vAlign w:val="center"/>
          </w:tcPr>
          <w:p w14:paraId="2F8F13B3" w14:textId="7951C7BE" w:rsidR="00695951" w:rsidRPr="00006F36" w:rsidRDefault="00695951" w:rsidP="000B1BAF">
            <w:pPr>
              <w:pStyle w:val="3-BodyText"/>
              <w:keepNext/>
              <w:keepLines/>
              <w:numPr>
                <w:ilvl w:val="0"/>
                <w:numId w:val="0"/>
              </w:numPr>
              <w:spacing w:after="0"/>
              <w:ind w:left="306"/>
              <w:jc w:val="left"/>
              <w:rPr>
                <w:rFonts w:ascii="Arial Narrow" w:hAnsi="Arial Narrow"/>
                <w:sz w:val="20"/>
                <w:szCs w:val="20"/>
              </w:rPr>
            </w:pPr>
            <w:r w:rsidRPr="00006F36">
              <w:rPr>
                <w:rFonts w:ascii="Arial Narrow" w:hAnsi="Arial Narrow"/>
                <w:sz w:val="20"/>
                <w:szCs w:val="20"/>
              </w:rPr>
              <w:t>Male</w:t>
            </w:r>
          </w:p>
        </w:tc>
        <w:tc>
          <w:tcPr>
            <w:tcW w:w="673" w:type="dxa"/>
            <w:vAlign w:val="center"/>
          </w:tcPr>
          <w:p w14:paraId="1EF3833C" w14:textId="06BD0996" w:rsidR="00695951" w:rsidRPr="00006F36" w:rsidRDefault="0005681D"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13</w:t>
            </w:r>
          </w:p>
        </w:tc>
        <w:tc>
          <w:tcPr>
            <w:tcW w:w="1452" w:type="dxa"/>
            <w:vAlign w:val="center"/>
          </w:tcPr>
          <w:p w14:paraId="7EFE5A07" w14:textId="5A613EA9" w:rsidR="00695951" w:rsidRPr="00006F36" w:rsidRDefault="00E52F1B"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510" w:type="dxa"/>
            <w:vAlign w:val="center"/>
          </w:tcPr>
          <w:p w14:paraId="690BF269" w14:textId="29EC467E" w:rsidR="00695951" w:rsidRPr="00006F36" w:rsidRDefault="00E52F1B"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114" w:type="dxa"/>
            <w:vAlign w:val="center"/>
          </w:tcPr>
          <w:p w14:paraId="7ED0B873" w14:textId="131B0D42" w:rsidR="00695951" w:rsidRPr="00006F36" w:rsidRDefault="00AB636E"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-1.8 (2.7)</w:t>
            </w:r>
          </w:p>
        </w:tc>
        <w:tc>
          <w:tcPr>
            <w:tcW w:w="1463" w:type="dxa"/>
            <w:vAlign w:val="center"/>
          </w:tcPr>
          <w:p w14:paraId="28410200" w14:textId="2D788149" w:rsidR="00695951" w:rsidRPr="00006F36" w:rsidRDefault="00AB636E"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-1.0 (-3.8, -0.8)</w:t>
            </w:r>
          </w:p>
        </w:tc>
      </w:tr>
      <w:tr w:rsidR="00930D55" w:rsidRPr="00006F36" w14:paraId="0956C87B" w14:textId="77777777" w:rsidTr="0050515A">
        <w:trPr>
          <w:trHeight w:val="227"/>
        </w:trPr>
        <w:tc>
          <w:tcPr>
            <w:tcW w:w="2810" w:type="dxa"/>
            <w:vAlign w:val="center"/>
          </w:tcPr>
          <w:p w14:paraId="69F2260F" w14:textId="33EE5981" w:rsidR="00695951" w:rsidRPr="00006F36" w:rsidRDefault="00695951" w:rsidP="000B1BAF">
            <w:pPr>
              <w:pStyle w:val="3-BodyText"/>
              <w:keepNext/>
              <w:keepLines/>
              <w:numPr>
                <w:ilvl w:val="0"/>
                <w:numId w:val="0"/>
              </w:numPr>
              <w:spacing w:after="0"/>
              <w:ind w:left="306"/>
              <w:jc w:val="left"/>
              <w:rPr>
                <w:rFonts w:ascii="Arial Narrow" w:hAnsi="Arial Narrow"/>
                <w:sz w:val="20"/>
                <w:szCs w:val="20"/>
              </w:rPr>
            </w:pPr>
            <w:r w:rsidRPr="00006F36">
              <w:rPr>
                <w:rFonts w:ascii="Arial Narrow" w:hAnsi="Arial Narrow"/>
                <w:sz w:val="20"/>
                <w:szCs w:val="20"/>
              </w:rPr>
              <w:t>Female</w:t>
            </w:r>
          </w:p>
        </w:tc>
        <w:tc>
          <w:tcPr>
            <w:tcW w:w="673" w:type="dxa"/>
            <w:vAlign w:val="center"/>
          </w:tcPr>
          <w:p w14:paraId="09AAF0BC" w14:textId="411D0CBE" w:rsidR="00695951" w:rsidRPr="00006F36" w:rsidRDefault="0005681D"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23</w:t>
            </w:r>
          </w:p>
        </w:tc>
        <w:tc>
          <w:tcPr>
            <w:tcW w:w="1452" w:type="dxa"/>
            <w:vAlign w:val="center"/>
          </w:tcPr>
          <w:p w14:paraId="7DE20342" w14:textId="3AA4D700" w:rsidR="00695951" w:rsidRPr="00006F36" w:rsidRDefault="00E52F1B"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510" w:type="dxa"/>
            <w:vAlign w:val="center"/>
          </w:tcPr>
          <w:p w14:paraId="2755661B" w14:textId="7BC5E9D6" w:rsidR="00695951" w:rsidRPr="00006F36" w:rsidRDefault="00E52F1B"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114" w:type="dxa"/>
            <w:vAlign w:val="center"/>
          </w:tcPr>
          <w:p w14:paraId="62A3E632" w14:textId="69BFFB21" w:rsidR="00695951" w:rsidRPr="00006F36" w:rsidRDefault="00AB636E"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-1.4 (3.3)</w:t>
            </w:r>
          </w:p>
        </w:tc>
        <w:tc>
          <w:tcPr>
            <w:tcW w:w="1463" w:type="dxa"/>
            <w:vAlign w:val="center"/>
          </w:tcPr>
          <w:p w14:paraId="44C309AB" w14:textId="6BB8B794" w:rsidR="00695951" w:rsidRPr="00006F36" w:rsidRDefault="00AB636E"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-1.1 (-1.7, -0.6)</w:t>
            </w:r>
          </w:p>
        </w:tc>
      </w:tr>
      <w:tr w:rsidR="00E15B35" w:rsidRPr="00006F36" w14:paraId="6EE402F5" w14:textId="77777777" w:rsidTr="0050515A">
        <w:trPr>
          <w:trHeight w:val="227"/>
        </w:trPr>
        <w:tc>
          <w:tcPr>
            <w:tcW w:w="2810" w:type="dxa"/>
            <w:vAlign w:val="center"/>
          </w:tcPr>
          <w:p w14:paraId="186243E7" w14:textId="156096CB" w:rsidR="009B31D8" w:rsidRPr="00006F36" w:rsidRDefault="009B31D8" w:rsidP="000B1BAF">
            <w:pPr>
              <w:pStyle w:val="3-BodyText"/>
              <w:keepNext/>
              <w:keepLines/>
              <w:numPr>
                <w:ilvl w:val="0"/>
                <w:numId w:val="0"/>
              </w:numPr>
              <w:spacing w:after="0"/>
              <w:ind w:left="306"/>
              <w:jc w:val="left"/>
              <w:rPr>
                <w:rFonts w:ascii="Arial Narrow" w:hAnsi="Arial Narrow"/>
                <w:sz w:val="20"/>
                <w:szCs w:val="20"/>
              </w:rPr>
            </w:pPr>
            <w:r w:rsidRPr="00006F36">
              <w:rPr>
                <w:rFonts w:ascii="Arial Narrow" w:hAnsi="Arial Narrow"/>
                <w:sz w:val="20"/>
                <w:szCs w:val="20"/>
              </w:rPr>
              <w:t>Classical</w:t>
            </w:r>
          </w:p>
        </w:tc>
        <w:tc>
          <w:tcPr>
            <w:tcW w:w="673" w:type="dxa"/>
            <w:vAlign w:val="center"/>
          </w:tcPr>
          <w:p w14:paraId="0CD3BA74" w14:textId="3CC1B1AF" w:rsidR="009B31D8" w:rsidRPr="00006F36" w:rsidRDefault="006B00A3"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10</w:t>
            </w:r>
          </w:p>
        </w:tc>
        <w:tc>
          <w:tcPr>
            <w:tcW w:w="1452" w:type="dxa"/>
            <w:vAlign w:val="center"/>
          </w:tcPr>
          <w:p w14:paraId="31A4BD32" w14:textId="1D92DD91" w:rsidR="009B31D8" w:rsidRPr="00006F36" w:rsidRDefault="00326451"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86.4 (27.5)</w:t>
            </w:r>
          </w:p>
        </w:tc>
        <w:tc>
          <w:tcPr>
            <w:tcW w:w="1510" w:type="dxa"/>
            <w:vAlign w:val="center"/>
          </w:tcPr>
          <w:p w14:paraId="17FB04D4" w14:textId="25165E8E" w:rsidR="009B31D8" w:rsidRPr="00006F36" w:rsidRDefault="00326451"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94.8 (41.4-119.0)</w:t>
            </w:r>
          </w:p>
        </w:tc>
        <w:tc>
          <w:tcPr>
            <w:tcW w:w="1114" w:type="dxa"/>
            <w:vAlign w:val="center"/>
          </w:tcPr>
          <w:p w14:paraId="13F4EE71" w14:textId="3924109F" w:rsidR="009B31D8" w:rsidRPr="00006F36" w:rsidRDefault="00E266EE"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-1.7 (3.0)</w:t>
            </w:r>
          </w:p>
        </w:tc>
        <w:tc>
          <w:tcPr>
            <w:tcW w:w="1463" w:type="dxa"/>
            <w:vAlign w:val="center"/>
          </w:tcPr>
          <w:p w14:paraId="366C2C15" w14:textId="4155525B" w:rsidR="009B31D8" w:rsidRPr="00006F36" w:rsidRDefault="00E266EE"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-0.9 (-4.0, 0.1)</w:t>
            </w:r>
          </w:p>
        </w:tc>
      </w:tr>
      <w:tr w:rsidR="00E15B35" w:rsidRPr="00006F36" w14:paraId="4A4B6B8E" w14:textId="77777777" w:rsidTr="0050515A">
        <w:trPr>
          <w:trHeight w:val="227"/>
        </w:trPr>
        <w:tc>
          <w:tcPr>
            <w:tcW w:w="2810" w:type="dxa"/>
            <w:vAlign w:val="center"/>
          </w:tcPr>
          <w:p w14:paraId="2429E860" w14:textId="145AA163" w:rsidR="009B31D8" w:rsidRPr="00006F36" w:rsidRDefault="009B31D8" w:rsidP="000B1BAF">
            <w:pPr>
              <w:pStyle w:val="3-BodyText"/>
              <w:keepNext/>
              <w:keepLines/>
              <w:numPr>
                <w:ilvl w:val="0"/>
                <w:numId w:val="0"/>
              </w:numPr>
              <w:spacing w:after="0"/>
              <w:ind w:left="306"/>
              <w:jc w:val="left"/>
              <w:rPr>
                <w:rFonts w:ascii="Arial Narrow" w:hAnsi="Arial Narrow"/>
                <w:sz w:val="20"/>
                <w:szCs w:val="20"/>
              </w:rPr>
            </w:pPr>
            <w:r w:rsidRPr="00006F36">
              <w:rPr>
                <w:rFonts w:ascii="Arial Narrow" w:hAnsi="Arial Narrow"/>
                <w:sz w:val="20"/>
                <w:szCs w:val="20"/>
              </w:rPr>
              <w:t>Other</w:t>
            </w:r>
          </w:p>
        </w:tc>
        <w:tc>
          <w:tcPr>
            <w:tcW w:w="673" w:type="dxa"/>
            <w:vAlign w:val="center"/>
          </w:tcPr>
          <w:p w14:paraId="76C46EFB" w14:textId="07B0B662" w:rsidR="009B31D8" w:rsidRPr="00006F36" w:rsidRDefault="006B00A3"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26</w:t>
            </w:r>
          </w:p>
        </w:tc>
        <w:tc>
          <w:tcPr>
            <w:tcW w:w="1452" w:type="dxa"/>
            <w:vAlign w:val="center"/>
          </w:tcPr>
          <w:p w14:paraId="68E297A8" w14:textId="5A3925C2" w:rsidR="009B31D8" w:rsidRPr="00006F36" w:rsidRDefault="00A057FA"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93.3 (20.4)</w:t>
            </w:r>
          </w:p>
        </w:tc>
        <w:tc>
          <w:tcPr>
            <w:tcW w:w="1510" w:type="dxa"/>
            <w:vAlign w:val="center"/>
          </w:tcPr>
          <w:p w14:paraId="57E0E744" w14:textId="07D6091A" w:rsidR="009B31D8" w:rsidRPr="00006F36" w:rsidRDefault="00A057FA"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92.0 (44.6-125.6)</w:t>
            </w:r>
          </w:p>
        </w:tc>
        <w:tc>
          <w:tcPr>
            <w:tcW w:w="1114" w:type="dxa"/>
            <w:vAlign w:val="center"/>
          </w:tcPr>
          <w:p w14:paraId="6A14F05F" w14:textId="63304316" w:rsidR="009B31D8" w:rsidRPr="00006F36" w:rsidRDefault="00E266EE"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-1.5 (3.2)</w:t>
            </w:r>
          </w:p>
        </w:tc>
        <w:tc>
          <w:tcPr>
            <w:tcW w:w="1463" w:type="dxa"/>
            <w:vAlign w:val="center"/>
          </w:tcPr>
          <w:p w14:paraId="40565017" w14:textId="25AAEB6B" w:rsidR="009B31D8" w:rsidRPr="00006F36" w:rsidRDefault="00E266EE"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-1.1 (-2.3, -0.7)</w:t>
            </w:r>
          </w:p>
        </w:tc>
      </w:tr>
      <w:tr w:rsidR="00695951" w:rsidRPr="00006F36" w14:paraId="5D8CE1E2" w14:textId="77777777" w:rsidTr="0050515A">
        <w:trPr>
          <w:trHeight w:val="227"/>
        </w:trPr>
        <w:tc>
          <w:tcPr>
            <w:tcW w:w="9022" w:type="dxa"/>
            <w:gridSpan w:val="6"/>
            <w:vAlign w:val="center"/>
          </w:tcPr>
          <w:p w14:paraId="62D697DD" w14:textId="0A9D507F" w:rsidR="00695951" w:rsidRPr="00006F36" w:rsidRDefault="00695951" w:rsidP="000B1BAF">
            <w:pPr>
              <w:pStyle w:val="3-BodyText"/>
              <w:keepNext/>
              <w:keepLines/>
              <w:numPr>
                <w:ilvl w:val="0"/>
                <w:numId w:val="0"/>
              </w:numPr>
              <w:spacing w:after="0"/>
              <w:jc w:val="left"/>
              <w:rPr>
                <w:rFonts w:ascii="Arial Narrow" w:hAnsi="Arial Narrow"/>
                <w:b/>
                <w:bCs/>
                <w:sz w:val="20"/>
                <w:szCs w:val="20"/>
              </w:rPr>
            </w:pPr>
            <w:r w:rsidRPr="00006F36">
              <w:rPr>
                <w:rFonts w:ascii="Arial Narrow" w:hAnsi="Arial Narrow"/>
                <w:b/>
                <w:bCs/>
                <w:sz w:val="20"/>
                <w:szCs w:val="20"/>
              </w:rPr>
              <w:t>ERT experienced</w:t>
            </w:r>
            <w:r w:rsidR="006D4730" w:rsidRPr="00006F36">
              <w:rPr>
                <w:rFonts w:ascii="Arial Narrow" w:hAnsi="Arial Narrow"/>
                <w:b/>
                <w:bCs/>
                <w:sz w:val="20"/>
                <w:szCs w:val="20"/>
              </w:rPr>
              <w:t xml:space="preserve"> (median duration of migalastat treatment 5.1 years (range 2.1-7.2)</w:t>
            </w:r>
          </w:p>
        </w:tc>
      </w:tr>
      <w:tr w:rsidR="00930D55" w:rsidRPr="00006F36" w14:paraId="08CACE13" w14:textId="77777777" w:rsidTr="0050515A">
        <w:trPr>
          <w:trHeight w:val="227"/>
        </w:trPr>
        <w:tc>
          <w:tcPr>
            <w:tcW w:w="2810" w:type="dxa"/>
            <w:vAlign w:val="center"/>
          </w:tcPr>
          <w:p w14:paraId="00C28AD3" w14:textId="72BDC617" w:rsidR="00695951" w:rsidRPr="00006F36" w:rsidRDefault="00695951" w:rsidP="000B1BAF">
            <w:pPr>
              <w:pStyle w:val="3-BodyText"/>
              <w:keepNext/>
              <w:keepLines/>
              <w:numPr>
                <w:ilvl w:val="0"/>
                <w:numId w:val="0"/>
              </w:numPr>
              <w:spacing w:after="0"/>
              <w:jc w:val="left"/>
              <w:rPr>
                <w:rFonts w:ascii="Arial Narrow" w:hAnsi="Arial Narrow"/>
                <w:sz w:val="20"/>
                <w:szCs w:val="20"/>
              </w:rPr>
            </w:pPr>
            <w:r w:rsidRPr="00006F36">
              <w:rPr>
                <w:rFonts w:ascii="Arial Narrow" w:hAnsi="Arial Narrow"/>
                <w:sz w:val="20"/>
                <w:szCs w:val="20"/>
              </w:rPr>
              <w:t>Overall</w:t>
            </w:r>
          </w:p>
        </w:tc>
        <w:tc>
          <w:tcPr>
            <w:tcW w:w="673" w:type="dxa"/>
            <w:vAlign w:val="center"/>
          </w:tcPr>
          <w:p w14:paraId="42546D76" w14:textId="0D98E54E" w:rsidR="00695951" w:rsidRPr="00006F36" w:rsidRDefault="00E52F1B"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42</w:t>
            </w:r>
          </w:p>
        </w:tc>
        <w:tc>
          <w:tcPr>
            <w:tcW w:w="1452" w:type="dxa"/>
            <w:vAlign w:val="center"/>
          </w:tcPr>
          <w:p w14:paraId="3BF8132C" w14:textId="045B6D98" w:rsidR="00695951" w:rsidRPr="00006F36" w:rsidRDefault="00E52F1B"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89.2 (19.9)</w:t>
            </w:r>
          </w:p>
        </w:tc>
        <w:tc>
          <w:tcPr>
            <w:tcW w:w="1510" w:type="dxa"/>
            <w:vAlign w:val="center"/>
          </w:tcPr>
          <w:p w14:paraId="376252C5" w14:textId="445BFCF1" w:rsidR="00695951" w:rsidRPr="00006F36" w:rsidRDefault="00E52F1B"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88.9 (51.4-131.3)</w:t>
            </w:r>
          </w:p>
        </w:tc>
        <w:tc>
          <w:tcPr>
            <w:tcW w:w="1114" w:type="dxa"/>
            <w:vAlign w:val="center"/>
          </w:tcPr>
          <w:p w14:paraId="370452FB" w14:textId="14306267" w:rsidR="00695951" w:rsidRPr="00006F36" w:rsidRDefault="00AB636E"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-1.6 (3.6)</w:t>
            </w:r>
          </w:p>
        </w:tc>
        <w:tc>
          <w:tcPr>
            <w:tcW w:w="1463" w:type="dxa"/>
            <w:vAlign w:val="center"/>
          </w:tcPr>
          <w:p w14:paraId="3BF0326A" w14:textId="7756470C" w:rsidR="00695951" w:rsidRPr="00006F36" w:rsidRDefault="00A95CD8"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-1.3 (-2.2, -0.5)</w:t>
            </w:r>
          </w:p>
        </w:tc>
      </w:tr>
      <w:tr w:rsidR="00E15B35" w:rsidRPr="00006F36" w14:paraId="53DA6E39" w14:textId="77777777" w:rsidTr="0050515A">
        <w:trPr>
          <w:trHeight w:val="227"/>
        </w:trPr>
        <w:tc>
          <w:tcPr>
            <w:tcW w:w="2810" w:type="dxa"/>
            <w:vAlign w:val="center"/>
          </w:tcPr>
          <w:p w14:paraId="7CEFAE4B" w14:textId="756562A7" w:rsidR="00695951" w:rsidRPr="00006F36" w:rsidRDefault="00695951" w:rsidP="000B1BAF">
            <w:pPr>
              <w:pStyle w:val="3-BodyText"/>
              <w:keepNext/>
              <w:keepLines/>
              <w:numPr>
                <w:ilvl w:val="0"/>
                <w:numId w:val="0"/>
              </w:numPr>
              <w:spacing w:after="0"/>
              <w:ind w:left="306"/>
              <w:jc w:val="left"/>
              <w:rPr>
                <w:rFonts w:ascii="Arial Narrow" w:hAnsi="Arial Narrow"/>
                <w:sz w:val="20"/>
                <w:szCs w:val="20"/>
              </w:rPr>
            </w:pPr>
            <w:r w:rsidRPr="00006F36">
              <w:rPr>
                <w:rFonts w:ascii="Arial Narrow" w:hAnsi="Arial Narrow"/>
                <w:sz w:val="20"/>
                <w:szCs w:val="20"/>
              </w:rPr>
              <w:t>Male</w:t>
            </w:r>
          </w:p>
        </w:tc>
        <w:tc>
          <w:tcPr>
            <w:tcW w:w="673" w:type="dxa"/>
            <w:vAlign w:val="center"/>
          </w:tcPr>
          <w:p w14:paraId="11FE5E52" w14:textId="7D2D40ED" w:rsidR="00695951" w:rsidRPr="00006F36" w:rsidRDefault="00A95CD8"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18</w:t>
            </w:r>
          </w:p>
        </w:tc>
        <w:tc>
          <w:tcPr>
            <w:tcW w:w="1452" w:type="dxa"/>
            <w:vAlign w:val="center"/>
          </w:tcPr>
          <w:p w14:paraId="667538FE" w14:textId="4F36FFCC" w:rsidR="00695951" w:rsidRPr="00006F36" w:rsidRDefault="00E52F1B"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510" w:type="dxa"/>
            <w:vAlign w:val="center"/>
          </w:tcPr>
          <w:p w14:paraId="3A1853DF" w14:textId="7C7AAD38" w:rsidR="00695951" w:rsidRPr="00006F36" w:rsidRDefault="00E52F1B"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114" w:type="dxa"/>
            <w:vAlign w:val="center"/>
          </w:tcPr>
          <w:p w14:paraId="5256658E" w14:textId="7C68B8E8" w:rsidR="00695951" w:rsidRPr="00006F36" w:rsidRDefault="00A95CD8"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-2.6 (4.8)</w:t>
            </w:r>
          </w:p>
        </w:tc>
        <w:tc>
          <w:tcPr>
            <w:tcW w:w="1463" w:type="dxa"/>
            <w:vAlign w:val="center"/>
          </w:tcPr>
          <w:p w14:paraId="5782E6BB" w14:textId="47814712" w:rsidR="00695951" w:rsidRPr="00006F36" w:rsidRDefault="00A95CD8"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-1.4 (-2.6, -0.7)</w:t>
            </w:r>
          </w:p>
        </w:tc>
      </w:tr>
      <w:tr w:rsidR="00E15B35" w:rsidRPr="00006F36" w14:paraId="61470156" w14:textId="77777777" w:rsidTr="0050515A">
        <w:trPr>
          <w:trHeight w:val="227"/>
        </w:trPr>
        <w:tc>
          <w:tcPr>
            <w:tcW w:w="2810" w:type="dxa"/>
            <w:vAlign w:val="center"/>
          </w:tcPr>
          <w:p w14:paraId="7DC355D2" w14:textId="2B436492" w:rsidR="00695951" w:rsidRPr="00006F36" w:rsidRDefault="00695951" w:rsidP="000B1BAF">
            <w:pPr>
              <w:pStyle w:val="3-BodyText"/>
              <w:keepNext/>
              <w:keepLines/>
              <w:numPr>
                <w:ilvl w:val="0"/>
                <w:numId w:val="0"/>
              </w:numPr>
              <w:spacing w:after="0"/>
              <w:ind w:left="306"/>
              <w:jc w:val="left"/>
              <w:rPr>
                <w:rFonts w:ascii="Arial Narrow" w:hAnsi="Arial Narrow"/>
                <w:sz w:val="20"/>
                <w:szCs w:val="20"/>
              </w:rPr>
            </w:pPr>
            <w:r w:rsidRPr="00006F36">
              <w:rPr>
                <w:rFonts w:ascii="Arial Narrow" w:hAnsi="Arial Narrow"/>
                <w:sz w:val="20"/>
                <w:szCs w:val="20"/>
              </w:rPr>
              <w:t>Female</w:t>
            </w:r>
          </w:p>
        </w:tc>
        <w:tc>
          <w:tcPr>
            <w:tcW w:w="673" w:type="dxa"/>
            <w:vAlign w:val="center"/>
          </w:tcPr>
          <w:p w14:paraId="49C066AE" w14:textId="1D574F7B" w:rsidR="00695951" w:rsidRPr="00006F36" w:rsidRDefault="00A95CD8"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24</w:t>
            </w:r>
          </w:p>
        </w:tc>
        <w:tc>
          <w:tcPr>
            <w:tcW w:w="1452" w:type="dxa"/>
            <w:vAlign w:val="center"/>
          </w:tcPr>
          <w:p w14:paraId="752FF1C2" w14:textId="7CCD5801" w:rsidR="00695951" w:rsidRPr="00006F36" w:rsidRDefault="00E52F1B"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510" w:type="dxa"/>
            <w:vAlign w:val="center"/>
          </w:tcPr>
          <w:p w14:paraId="4B5A836E" w14:textId="2046E34B" w:rsidR="00695951" w:rsidRPr="00006F36" w:rsidRDefault="00E52F1B"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114" w:type="dxa"/>
            <w:vAlign w:val="center"/>
          </w:tcPr>
          <w:p w14:paraId="6A70F8C9" w14:textId="6BBB18C4" w:rsidR="00695951" w:rsidRPr="00006F36" w:rsidRDefault="00A95CD8"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-0.8 (2.1)</w:t>
            </w:r>
          </w:p>
        </w:tc>
        <w:tc>
          <w:tcPr>
            <w:tcW w:w="1463" w:type="dxa"/>
            <w:vAlign w:val="center"/>
          </w:tcPr>
          <w:p w14:paraId="0B053175" w14:textId="2A2B7BC4" w:rsidR="00695951" w:rsidRPr="00006F36" w:rsidRDefault="00A95CD8"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-1.1 (-2.1, -0.4)</w:t>
            </w:r>
          </w:p>
        </w:tc>
      </w:tr>
      <w:tr w:rsidR="00E15B35" w:rsidRPr="00006F36" w14:paraId="0F6B5037" w14:textId="77777777" w:rsidTr="0050515A">
        <w:trPr>
          <w:trHeight w:val="227"/>
        </w:trPr>
        <w:tc>
          <w:tcPr>
            <w:tcW w:w="2810" w:type="dxa"/>
            <w:vAlign w:val="center"/>
          </w:tcPr>
          <w:p w14:paraId="7C0B240B" w14:textId="6005B959" w:rsidR="00695951" w:rsidRPr="00006F36" w:rsidRDefault="00290DF2" w:rsidP="000B1BAF">
            <w:pPr>
              <w:pStyle w:val="3-BodyText"/>
              <w:keepNext/>
              <w:keepLines/>
              <w:numPr>
                <w:ilvl w:val="0"/>
                <w:numId w:val="0"/>
              </w:numPr>
              <w:spacing w:after="0"/>
              <w:ind w:left="306"/>
              <w:jc w:val="left"/>
              <w:rPr>
                <w:rFonts w:ascii="Arial Narrow" w:hAnsi="Arial Narrow"/>
                <w:sz w:val="20"/>
                <w:szCs w:val="20"/>
                <w:vertAlign w:val="superscript"/>
              </w:rPr>
            </w:pPr>
            <w:r w:rsidRPr="00006F36">
              <w:rPr>
                <w:rFonts w:ascii="Arial Narrow" w:hAnsi="Arial Narrow"/>
                <w:sz w:val="20"/>
                <w:szCs w:val="20"/>
              </w:rPr>
              <w:t>Multiorgan involvement</w:t>
            </w:r>
            <w:r w:rsidR="00973610" w:rsidRPr="00006F36">
              <w:rPr>
                <w:rFonts w:ascii="Arial Narrow" w:hAnsi="Arial Narrow"/>
                <w:sz w:val="20"/>
                <w:szCs w:val="20"/>
              </w:rPr>
              <w:t xml:space="preserve"> males</w:t>
            </w:r>
            <w:r w:rsidRPr="00006F36">
              <w:rPr>
                <w:rFonts w:ascii="Arial Narrow" w:hAnsi="Arial Narrow"/>
                <w:sz w:val="20"/>
                <w:szCs w:val="20"/>
              </w:rPr>
              <w:t xml:space="preserve"> </w:t>
            </w:r>
            <w:r w:rsidRPr="00006F36">
              <w:rPr>
                <w:rFonts w:ascii="Arial Narrow" w:hAnsi="Arial Narrow"/>
                <w:sz w:val="20"/>
                <w:szCs w:val="20"/>
                <w:vertAlign w:val="superscript"/>
              </w:rPr>
              <w:t>a</w:t>
            </w:r>
          </w:p>
        </w:tc>
        <w:tc>
          <w:tcPr>
            <w:tcW w:w="673" w:type="dxa"/>
            <w:vAlign w:val="center"/>
          </w:tcPr>
          <w:p w14:paraId="5272B81A" w14:textId="7CBE6FA9" w:rsidR="00695951" w:rsidRPr="00006F36" w:rsidRDefault="00973610"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15</w:t>
            </w:r>
          </w:p>
        </w:tc>
        <w:tc>
          <w:tcPr>
            <w:tcW w:w="1452" w:type="dxa"/>
            <w:vAlign w:val="center"/>
          </w:tcPr>
          <w:p w14:paraId="160D8BE6" w14:textId="0B15F1BE" w:rsidR="00695951" w:rsidRPr="00006F36" w:rsidRDefault="00E52F1B"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510" w:type="dxa"/>
            <w:vAlign w:val="center"/>
          </w:tcPr>
          <w:p w14:paraId="20BCB0DA" w14:textId="4EEED0B4" w:rsidR="00695951" w:rsidRPr="00006F36" w:rsidRDefault="00E52F1B"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114" w:type="dxa"/>
            <w:vAlign w:val="center"/>
          </w:tcPr>
          <w:p w14:paraId="01D95AD0" w14:textId="0AF9BD9A" w:rsidR="00695951" w:rsidRPr="00006F36" w:rsidRDefault="00973610"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-2.5 (5.1)</w:t>
            </w:r>
          </w:p>
        </w:tc>
        <w:tc>
          <w:tcPr>
            <w:tcW w:w="1463" w:type="dxa"/>
            <w:vAlign w:val="center"/>
          </w:tcPr>
          <w:p w14:paraId="0A7D9936" w14:textId="524E45D2" w:rsidR="00695951" w:rsidRPr="00006F36" w:rsidRDefault="00984FD6"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-1.3 (-2.6, -0.4)</w:t>
            </w:r>
          </w:p>
        </w:tc>
      </w:tr>
      <w:tr w:rsidR="00E15B35" w:rsidRPr="00006F36" w14:paraId="261B1863" w14:textId="77777777" w:rsidTr="0050515A">
        <w:trPr>
          <w:trHeight w:val="227"/>
        </w:trPr>
        <w:tc>
          <w:tcPr>
            <w:tcW w:w="2810" w:type="dxa"/>
            <w:vAlign w:val="center"/>
          </w:tcPr>
          <w:p w14:paraId="22F0FCCE" w14:textId="653258DF" w:rsidR="00695951" w:rsidRPr="00006F36" w:rsidRDefault="00290DF2" w:rsidP="000B1BAF">
            <w:pPr>
              <w:pStyle w:val="3-BodyText"/>
              <w:keepNext/>
              <w:keepLines/>
              <w:numPr>
                <w:ilvl w:val="0"/>
                <w:numId w:val="0"/>
              </w:numPr>
              <w:spacing w:after="0"/>
              <w:ind w:left="306"/>
              <w:jc w:val="left"/>
              <w:rPr>
                <w:rFonts w:ascii="Arial Narrow" w:hAnsi="Arial Narrow"/>
                <w:sz w:val="20"/>
                <w:szCs w:val="20"/>
              </w:rPr>
            </w:pPr>
            <w:r w:rsidRPr="00006F36">
              <w:rPr>
                <w:rFonts w:ascii="Arial Narrow" w:hAnsi="Arial Narrow"/>
                <w:sz w:val="20"/>
                <w:szCs w:val="20"/>
              </w:rPr>
              <w:t>Other</w:t>
            </w:r>
          </w:p>
        </w:tc>
        <w:tc>
          <w:tcPr>
            <w:tcW w:w="673" w:type="dxa"/>
            <w:vAlign w:val="center"/>
          </w:tcPr>
          <w:p w14:paraId="121F2339" w14:textId="020836D9" w:rsidR="00695951" w:rsidRPr="00006F36" w:rsidRDefault="00973610"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27</w:t>
            </w:r>
          </w:p>
        </w:tc>
        <w:tc>
          <w:tcPr>
            <w:tcW w:w="1452" w:type="dxa"/>
            <w:vAlign w:val="center"/>
          </w:tcPr>
          <w:p w14:paraId="4F96FC43" w14:textId="59303447" w:rsidR="00695951" w:rsidRPr="00006F36" w:rsidRDefault="00E52F1B"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510" w:type="dxa"/>
            <w:vAlign w:val="center"/>
          </w:tcPr>
          <w:p w14:paraId="6E588186" w14:textId="5CC2641F" w:rsidR="00695951" w:rsidRPr="00006F36" w:rsidRDefault="00E52F1B"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114" w:type="dxa"/>
            <w:vAlign w:val="center"/>
          </w:tcPr>
          <w:p w14:paraId="546DD87B" w14:textId="3B43EE97" w:rsidR="00695951" w:rsidRPr="00006F36" w:rsidRDefault="00984FD6"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-1.1 (2.3)</w:t>
            </w:r>
          </w:p>
        </w:tc>
        <w:tc>
          <w:tcPr>
            <w:tcW w:w="1463" w:type="dxa"/>
            <w:vAlign w:val="center"/>
          </w:tcPr>
          <w:p w14:paraId="1516C89E" w14:textId="276476CC" w:rsidR="00695951" w:rsidRPr="00006F36" w:rsidRDefault="00930D55"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-1.3 (-2.2, 0.5)</w:t>
            </w:r>
          </w:p>
        </w:tc>
      </w:tr>
      <w:tr w:rsidR="00D55CDD" w:rsidRPr="00006F36" w14:paraId="7D43B524" w14:textId="77777777" w:rsidTr="0050515A">
        <w:trPr>
          <w:trHeight w:val="227"/>
        </w:trPr>
        <w:tc>
          <w:tcPr>
            <w:tcW w:w="9022" w:type="dxa"/>
            <w:gridSpan w:val="6"/>
            <w:vAlign w:val="center"/>
          </w:tcPr>
          <w:p w14:paraId="1360A26C" w14:textId="7D87C07A" w:rsidR="00D55CDD" w:rsidRPr="00006F36" w:rsidRDefault="00D55CDD" w:rsidP="000B1BAF">
            <w:pPr>
              <w:pStyle w:val="3-BodyText"/>
              <w:keepNext/>
              <w:keepLines/>
              <w:numPr>
                <w:ilvl w:val="0"/>
                <w:numId w:val="0"/>
              </w:numPr>
              <w:spacing w:after="0"/>
              <w:rPr>
                <w:rFonts w:ascii="Arial Narrow" w:hAnsi="Arial Narrow"/>
                <w:b/>
                <w:bCs/>
                <w:sz w:val="20"/>
                <w:szCs w:val="20"/>
              </w:rPr>
            </w:pPr>
            <w:r w:rsidRPr="00006F36">
              <w:rPr>
                <w:rFonts w:ascii="Arial Narrow" w:hAnsi="Arial Narrow"/>
                <w:b/>
                <w:bCs/>
                <w:sz w:val="20"/>
                <w:szCs w:val="20"/>
              </w:rPr>
              <w:t>Published comparator groups</w:t>
            </w:r>
            <w:r w:rsidR="00DC1A95" w:rsidRPr="00006F36">
              <w:rPr>
                <w:rFonts w:ascii="Arial Narrow" w:hAnsi="Arial Narrow"/>
                <w:b/>
                <w:bCs/>
                <w:sz w:val="20"/>
                <w:szCs w:val="20"/>
              </w:rPr>
              <w:t xml:space="preserve"> cited by Bichet 2021</w:t>
            </w:r>
          </w:p>
        </w:tc>
      </w:tr>
      <w:tr w:rsidR="009B0937" w:rsidRPr="00006F36" w14:paraId="223B25C6" w14:textId="77777777" w:rsidTr="0050515A">
        <w:trPr>
          <w:trHeight w:val="227"/>
        </w:trPr>
        <w:tc>
          <w:tcPr>
            <w:tcW w:w="9022" w:type="dxa"/>
            <w:gridSpan w:val="6"/>
            <w:vAlign w:val="center"/>
          </w:tcPr>
          <w:p w14:paraId="7AC63DBB" w14:textId="65013C50" w:rsidR="009B0937" w:rsidRPr="00006F36" w:rsidRDefault="009B0937" w:rsidP="000B1BAF">
            <w:pPr>
              <w:pStyle w:val="3-BodyText"/>
              <w:keepNext/>
              <w:keepLines/>
              <w:numPr>
                <w:ilvl w:val="0"/>
                <w:numId w:val="0"/>
              </w:numPr>
              <w:spacing w:after="0"/>
              <w:rPr>
                <w:rFonts w:ascii="Arial Narrow" w:hAnsi="Arial Narrow"/>
                <w:b/>
                <w:bCs/>
                <w:sz w:val="20"/>
                <w:szCs w:val="20"/>
              </w:rPr>
            </w:pPr>
            <w:r w:rsidRPr="00006F36">
              <w:rPr>
                <w:rFonts w:ascii="Arial Narrow" w:hAnsi="Arial Narrow"/>
                <w:b/>
                <w:bCs/>
                <w:sz w:val="20"/>
                <w:szCs w:val="20"/>
              </w:rPr>
              <w:t>Schiffmann 2009 (untreated Fabry disease patients</w:t>
            </w:r>
            <w:r w:rsidR="009F5306" w:rsidRPr="00006F36">
              <w:rPr>
                <w:rFonts w:ascii="Arial Narrow" w:hAnsi="Arial Narrow"/>
                <w:b/>
                <w:bCs/>
                <w:sz w:val="20"/>
                <w:szCs w:val="20"/>
              </w:rPr>
              <w:t xml:space="preserve">, median follow up </w:t>
            </w:r>
            <w:r w:rsidR="005512CE" w:rsidRPr="00006F36">
              <w:rPr>
                <w:rFonts w:ascii="Arial Narrow" w:hAnsi="Arial Narrow"/>
                <w:b/>
                <w:bCs/>
                <w:sz w:val="20"/>
                <w:szCs w:val="20"/>
              </w:rPr>
              <w:t>5.6 years</w:t>
            </w:r>
            <w:r w:rsidRPr="00006F36">
              <w:rPr>
                <w:rFonts w:ascii="Arial Narrow" w:hAnsi="Arial Narrow"/>
                <w:b/>
                <w:bCs/>
                <w:sz w:val="20"/>
                <w:szCs w:val="20"/>
              </w:rPr>
              <w:t>)</w:t>
            </w:r>
          </w:p>
        </w:tc>
      </w:tr>
      <w:tr w:rsidR="00D55CDD" w:rsidRPr="00006F36" w14:paraId="450BD6BF" w14:textId="77777777" w:rsidTr="0050515A">
        <w:trPr>
          <w:trHeight w:val="227"/>
        </w:trPr>
        <w:tc>
          <w:tcPr>
            <w:tcW w:w="2810" w:type="dxa"/>
            <w:vAlign w:val="center"/>
          </w:tcPr>
          <w:p w14:paraId="5224E1F0" w14:textId="08990113" w:rsidR="00D55CDD" w:rsidRPr="00006F36" w:rsidRDefault="00AE2599" w:rsidP="000B1BAF">
            <w:pPr>
              <w:pStyle w:val="3-BodyText"/>
              <w:keepNext/>
              <w:keepLines/>
              <w:numPr>
                <w:ilvl w:val="0"/>
                <w:numId w:val="0"/>
              </w:numPr>
              <w:spacing w:after="0"/>
              <w:jc w:val="left"/>
              <w:rPr>
                <w:rFonts w:ascii="Arial Narrow" w:hAnsi="Arial Narrow"/>
                <w:sz w:val="20"/>
                <w:szCs w:val="20"/>
              </w:rPr>
            </w:pPr>
            <w:r w:rsidRPr="00006F36">
              <w:rPr>
                <w:rFonts w:ascii="Arial Narrow" w:hAnsi="Arial Narrow"/>
                <w:sz w:val="20"/>
                <w:szCs w:val="20"/>
              </w:rPr>
              <w:t>Male</w:t>
            </w:r>
            <w:r w:rsidR="009B0937" w:rsidRPr="00006F36">
              <w:rPr>
                <w:rFonts w:ascii="Arial Narrow" w:hAnsi="Arial Narrow"/>
                <w:sz w:val="20"/>
                <w:szCs w:val="20"/>
              </w:rPr>
              <w:t xml:space="preserve"> </w:t>
            </w:r>
            <w:r w:rsidR="000D5A46" w:rsidRPr="00006F36">
              <w:rPr>
                <w:rFonts w:ascii="Arial Narrow" w:hAnsi="Arial Narrow"/>
                <w:sz w:val="20"/>
                <w:szCs w:val="20"/>
              </w:rPr>
              <w:t xml:space="preserve">baseline </w:t>
            </w:r>
            <w:r w:rsidR="009B0937" w:rsidRPr="00006F36">
              <w:rPr>
                <w:rFonts w:ascii="Arial Narrow" w:hAnsi="Arial Narrow"/>
                <w:sz w:val="20"/>
                <w:szCs w:val="20"/>
              </w:rPr>
              <w:t xml:space="preserve">eGFR </w:t>
            </w:r>
            <w:r w:rsidR="007D7212" w:rsidRPr="00006F36">
              <w:rPr>
                <w:rFonts w:ascii="Arial Narrow" w:hAnsi="Arial Narrow"/>
                <w:sz w:val="20"/>
                <w:szCs w:val="20"/>
              </w:rPr>
              <w:t>≥60</w:t>
            </w:r>
            <w:r w:rsidR="007D7212" w:rsidRPr="00006F36">
              <w:t xml:space="preserve"> </w:t>
            </w:r>
            <w:r w:rsidR="007D7212" w:rsidRPr="00006F36">
              <w:rPr>
                <w:rFonts w:ascii="Arial Narrow" w:hAnsi="Arial Narrow"/>
                <w:sz w:val="20"/>
                <w:szCs w:val="20"/>
              </w:rPr>
              <w:t>mL/min/1.73m2</w:t>
            </w:r>
          </w:p>
        </w:tc>
        <w:tc>
          <w:tcPr>
            <w:tcW w:w="673" w:type="dxa"/>
            <w:vAlign w:val="center"/>
          </w:tcPr>
          <w:p w14:paraId="6BFC9930" w14:textId="40EF234B" w:rsidR="00D55CDD" w:rsidRPr="00006F36" w:rsidRDefault="00C03DB5"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189</w:t>
            </w:r>
          </w:p>
        </w:tc>
        <w:tc>
          <w:tcPr>
            <w:tcW w:w="1452" w:type="dxa"/>
            <w:vAlign w:val="center"/>
          </w:tcPr>
          <w:p w14:paraId="548DC0F2" w14:textId="613AD7EB" w:rsidR="00D55CDD" w:rsidRPr="00006F36" w:rsidRDefault="00AE2599"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510" w:type="dxa"/>
            <w:vAlign w:val="center"/>
          </w:tcPr>
          <w:p w14:paraId="5D2FDD27" w14:textId="50D65014" w:rsidR="00D55CDD" w:rsidRPr="00006F36" w:rsidRDefault="00AE2599"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114" w:type="dxa"/>
            <w:vAlign w:val="center"/>
          </w:tcPr>
          <w:p w14:paraId="113C997D" w14:textId="77777777" w:rsidR="00D12810" w:rsidRDefault="004135EB"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-3.0</w:t>
            </w:r>
          </w:p>
          <w:p w14:paraId="104407D3" w14:textId="33564FB5" w:rsidR="00D55CDD" w:rsidRPr="00006F36" w:rsidRDefault="004135EB" w:rsidP="000B1BAF">
            <w:pPr>
              <w:pStyle w:val="3-BodyText"/>
              <w:keepNext/>
              <w:keepLines/>
              <w:numPr>
                <w:ilvl w:val="0"/>
                <w:numId w:val="0"/>
              </w:numPr>
              <w:spacing w:after="0"/>
              <w:jc w:val="center"/>
              <w:rPr>
                <w:rFonts w:ascii="Arial Narrow" w:hAnsi="Arial Narrow"/>
                <w:sz w:val="20"/>
                <w:szCs w:val="20"/>
                <w:vertAlign w:val="superscript"/>
              </w:rPr>
            </w:pPr>
            <w:r w:rsidRPr="00006F36">
              <w:rPr>
                <w:rFonts w:ascii="Arial Narrow" w:hAnsi="Arial Narrow"/>
                <w:sz w:val="20"/>
                <w:szCs w:val="20"/>
              </w:rPr>
              <w:t>(</w:t>
            </w:r>
            <w:r w:rsidR="00C95EDF" w:rsidRPr="00006F36">
              <w:rPr>
                <w:rFonts w:ascii="Arial Narrow" w:hAnsi="Arial Narrow"/>
                <w:sz w:val="20"/>
                <w:szCs w:val="20"/>
              </w:rPr>
              <w:t>SEM =</w:t>
            </w:r>
            <w:r w:rsidRPr="00006F36">
              <w:rPr>
                <w:rFonts w:ascii="Arial Narrow" w:hAnsi="Arial Narrow"/>
                <w:sz w:val="20"/>
                <w:szCs w:val="20"/>
              </w:rPr>
              <w:t>0.1)</w:t>
            </w:r>
            <w:r w:rsidR="00C95EDF" w:rsidRPr="00006F36">
              <w:rPr>
                <w:rFonts w:ascii="Arial Narrow" w:hAnsi="Arial Narrow"/>
                <w:sz w:val="20"/>
                <w:szCs w:val="20"/>
              </w:rPr>
              <w:t xml:space="preserve"> </w:t>
            </w:r>
          </w:p>
        </w:tc>
        <w:tc>
          <w:tcPr>
            <w:tcW w:w="1463" w:type="dxa"/>
            <w:vAlign w:val="center"/>
          </w:tcPr>
          <w:p w14:paraId="1CECD749" w14:textId="0F4417A8" w:rsidR="00D55CDD" w:rsidRPr="00006F36" w:rsidRDefault="004135EB"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r>
      <w:tr w:rsidR="00D55CDD" w:rsidRPr="00006F36" w14:paraId="7A0258AF" w14:textId="77777777" w:rsidTr="0050515A">
        <w:trPr>
          <w:trHeight w:val="227"/>
        </w:trPr>
        <w:tc>
          <w:tcPr>
            <w:tcW w:w="2810" w:type="dxa"/>
            <w:vAlign w:val="center"/>
          </w:tcPr>
          <w:p w14:paraId="723A454F" w14:textId="347BF37F" w:rsidR="00D55CDD" w:rsidRPr="00006F36" w:rsidRDefault="00AE2599" w:rsidP="000B1BAF">
            <w:pPr>
              <w:pStyle w:val="3-BodyText"/>
              <w:keepNext/>
              <w:keepLines/>
              <w:numPr>
                <w:ilvl w:val="0"/>
                <w:numId w:val="0"/>
              </w:numPr>
              <w:spacing w:after="0"/>
              <w:ind w:left="23"/>
              <w:jc w:val="left"/>
              <w:rPr>
                <w:rFonts w:ascii="Arial Narrow" w:hAnsi="Arial Narrow"/>
                <w:sz w:val="20"/>
                <w:szCs w:val="20"/>
              </w:rPr>
            </w:pPr>
            <w:r w:rsidRPr="00006F36">
              <w:rPr>
                <w:rFonts w:ascii="Arial Narrow" w:hAnsi="Arial Narrow"/>
                <w:sz w:val="20"/>
                <w:szCs w:val="20"/>
              </w:rPr>
              <w:t>Female</w:t>
            </w:r>
            <w:r w:rsidR="007D7212" w:rsidRPr="00006F36">
              <w:rPr>
                <w:rFonts w:ascii="Arial Narrow" w:hAnsi="Arial Narrow"/>
                <w:sz w:val="20"/>
                <w:szCs w:val="20"/>
              </w:rPr>
              <w:t xml:space="preserve"> </w:t>
            </w:r>
            <w:r w:rsidR="000D5A46" w:rsidRPr="00006F36">
              <w:rPr>
                <w:rFonts w:ascii="Arial Narrow" w:hAnsi="Arial Narrow"/>
                <w:sz w:val="20"/>
                <w:szCs w:val="20"/>
              </w:rPr>
              <w:t xml:space="preserve">baseline </w:t>
            </w:r>
            <w:r w:rsidR="007D7212" w:rsidRPr="00006F36">
              <w:rPr>
                <w:rFonts w:ascii="Arial Narrow" w:hAnsi="Arial Narrow"/>
                <w:sz w:val="20"/>
                <w:szCs w:val="20"/>
              </w:rPr>
              <w:t>eGFR ≥60</w:t>
            </w:r>
            <w:r w:rsidR="007D7212" w:rsidRPr="00006F36">
              <w:t xml:space="preserve"> </w:t>
            </w:r>
            <w:r w:rsidR="007D7212" w:rsidRPr="00006F36">
              <w:rPr>
                <w:rFonts w:ascii="Arial Narrow" w:hAnsi="Arial Narrow"/>
                <w:sz w:val="20"/>
                <w:szCs w:val="20"/>
              </w:rPr>
              <w:t>mL/min/1.73m2</w:t>
            </w:r>
          </w:p>
        </w:tc>
        <w:tc>
          <w:tcPr>
            <w:tcW w:w="673" w:type="dxa"/>
            <w:vAlign w:val="center"/>
          </w:tcPr>
          <w:p w14:paraId="4081E56E" w14:textId="291203C1" w:rsidR="00D55CDD" w:rsidRPr="00006F36" w:rsidRDefault="00C03DB5"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129</w:t>
            </w:r>
          </w:p>
        </w:tc>
        <w:tc>
          <w:tcPr>
            <w:tcW w:w="1452" w:type="dxa"/>
            <w:vAlign w:val="center"/>
          </w:tcPr>
          <w:p w14:paraId="524B7F02" w14:textId="40B2E288" w:rsidR="00D55CDD" w:rsidRPr="00006F36" w:rsidRDefault="00AE2599"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510" w:type="dxa"/>
            <w:vAlign w:val="center"/>
          </w:tcPr>
          <w:p w14:paraId="35544598" w14:textId="2D7FA9E9" w:rsidR="00D55CDD" w:rsidRPr="00006F36" w:rsidRDefault="00AE2599"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114" w:type="dxa"/>
            <w:vAlign w:val="center"/>
          </w:tcPr>
          <w:p w14:paraId="0F28CE1A" w14:textId="77777777" w:rsidR="00D12810" w:rsidRDefault="004135EB"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-0.9</w:t>
            </w:r>
          </w:p>
          <w:p w14:paraId="7CFEB833" w14:textId="5CD915DE" w:rsidR="00D55CDD" w:rsidRPr="00006F36" w:rsidRDefault="004135EB"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w:t>
            </w:r>
            <w:r w:rsidR="00C95EDF" w:rsidRPr="00006F36">
              <w:rPr>
                <w:rFonts w:ascii="Arial Narrow" w:hAnsi="Arial Narrow"/>
                <w:sz w:val="20"/>
                <w:szCs w:val="20"/>
              </w:rPr>
              <w:t xml:space="preserve">SEM = </w:t>
            </w:r>
            <w:r w:rsidRPr="00006F36">
              <w:rPr>
                <w:rFonts w:ascii="Arial Narrow" w:hAnsi="Arial Narrow"/>
                <w:sz w:val="20"/>
                <w:szCs w:val="20"/>
              </w:rPr>
              <w:t>0.9)</w:t>
            </w:r>
          </w:p>
        </w:tc>
        <w:tc>
          <w:tcPr>
            <w:tcW w:w="1463" w:type="dxa"/>
            <w:vAlign w:val="center"/>
          </w:tcPr>
          <w:p w14:paraId="52ED7084" w14:textId="00578A21" w:rsidR="00D55CDD" w:rsidRPr="00006F36" w:rsidRDefault="004135EB"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r>
      <w:tr w:rsidR="007D7212" w:rsidRPr="00006F36" w14:paraId="0CE5D335" w14:textId="77777777" w:rsidTr="0050515A">
        <w:trPr>
          <w:trHeight w:val="227"/>
        </w:trPr>
        <w:tc>
          <w:tcPr>
            <w:tcW w:w="2810" w:type="dxa"/>
            <w:vAlign w:val="center"/>
          </w:tcPr>
          <w:p w14:paraId="47111E85" w14:textId="4DB16049" w:rsidR="007D7212" w:rsidRPr="00006F36" w:rsidRDefault="007D7212" w:rsidP="000B1BAF">
            <w:pPr>
              <w:pStyle w:val="3-BodyText"/>
              <w:keepNext/>
              <w:keepLines/>
              <w:numPr>
                <w:ilvl w:val="0"/>
                <w:numId w:val="0"/>
              </w:numPr>
              <w:spacing w:after="0"/>
              <w:ind w:left="23"/>
              <w:jc w:val="left"/>
              <w:rPr>
                <w:rFonts w:ascii="Arial Narrow" w:hAnsi="Arial Narrow"/>
                <w:sz w:val="20"/>
                <w:szCs w:val="20"/>
              </w:rPr>
            </w:pPr>
            <w:r w:rsidRPr="00006F36">
              <w:rPr>
                <w:rFonts w:ascii="Arial Narrow" w:hAnsi="Arial Narrow"/>
                <w:sz w:val="20"/>
                <w:szCs w:val="20"/>
              </w:rPr>
              <w:t xml:space="preserve">Male </w:t>
            </w:r>
            <w:r w:rsidR="000D5A46" w:rsidRPr="00006F36">
              <w:rPr>
                <w:rFonts w:ascii="Arial Narrow" w:hAnsi="Arial Narrow"/>
                <w:sz w:val="20"/>
                <w:szCs w:val="20"/>
              </w:rPr>
              <w:t xml:space="preserve">baseline </w:t>
            </w:r>
            <w:r w:rsidRPr="00006F36">
              <w:rPr>
                <w:rFonts w:ascii="Arial Narrow" w:hAnsi="Arial Narrow"/>
                <w:sz w:val="20"/>
                <w:szCs w:val="20"/>
              </w:rPr>
              <w:t>eGFR ≥60</w:t>
            </w:r>
            <w:r w:rsidRPr="00006F36">
              <w:t xml:space="preserve"> </w:t>
            </w:r>
            <w:r w:rsidRPr="00006F36">
              <w:rPr>
                <w:rFonts w:ascii="Arial Narrow" w:hAnsi="Arial Narrow"/>
                <w:sz w:val="20"/>
                <w:szCs w:val="20"/>
              </w:rPr>
              <w:t>mL/min/1.73m2</w:t>
            </w:r>
          </w:p>
        </w:tc>
        <w:tc>
          <w:tcPr>
            <w:tcW w:w="673" w:type="dxa"/>
            <w:vAlign w:val="center"/>
          </w:tcPr>
          <w:p w14:paraId="76CCB259" w14:textId="0EE92035" w:rsidR="007D7212" w:rsidRPr="00006F36" w:rsidRDefault="007D7212"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28</w:t>
            </w:r>
          </w:p>
        </w:tc>
        <w:tc>
          <w:tcPr>
            <w:tcW w:w="1452" w:type="dxa"/>
            <w:vAlign w:val="center"/>
          </w:tcPr>
          <w:p w14:paraId="25E2FEF6" w14:textId="67A3D21B" w:rsidR="007D7212" w:rsidRPr="00006F36" w:rsidRDefault="007D7212"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510" w:type="dxa"/>
            <w:vAlign w:val="center"/>
          </w:tcPr>
          <w:p w14:paraId="105BFC4F" w14:textId="77C781B9" w:rsidR="007D7212" w:rsidRPr="00006F36" w:rsidRDefault="007D7212"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114" w:type="dxa"/>
            <w:vAlign w:val="center"/>
          </w:tcPr>
          <w:p w14:paraId="2117D7B3" w14:textId="77777777" w:rsidR="00D12810" w:rsidRDefault="007D7212"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-6.8</w:t>
            </w:r>
          </w:p>
          <w:p w14:paraId="33EB2D7B" w14:textId="2B7776DD" w:rsidR="007D7212" w:rsidRPr="00006F36" w:rsidRDefault="007D7212"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(SEM = 1.5)</w:t>
            </w:r>
          </w:p>
        </w:tc>
        <w:tc>
          <w:tcPr>
            <w:tcW w:w="1463" w:type="dxa"/>
            <w:vAlign w:val="center"/>
          </w:tcPr>
          <w:p w14:paraId="603C85CC" w14:textId="124776C0" w:rsidR="007D7212" w:rsidRPr="00006F36" w:rsidRDefault="007D7212"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r>
      <w:tr w:rsidR="007D7212" w:rsidRPr="00006F36" w14:paraId="3AD12D92" w14:textId="77777777" w:rsidTr="0050515A">
        <w:trPr>
          <w:trHeight w:val="227"/>
        </w:trPr>
        <w:tc>
          <w:tcPr>
            <w:tcW w:w="2810" w:type="dxa"/>
            <w:vAlign w:val="center"/>
          </w:tcPr>
          <w:p w14:paraId="40E62B8E" w14:textId="28C79FCC" w:rsidR="007D7212" w:rsidRPr="00006F36" w:rsidRDefault="007D7212" w:rsidP="000B1BAF">
            <w:pPr>
              <w:pStyle w:val="3-BodyText"/>
              <w:keepNext/>
              <w:keepLines/>
              <w:numPr>
                <w:ilvl w:val="0"/>
                <w:numId w:val="0"/>
              </w:numPr>
              <w:spacing w:after="0"/>
              <w:ind w:left="23"/>
              <w:jc w:val="left"/>
              <w:rPr>
                <w:rFonts w:ascii="Arial Narrow" w:hAnsi="Arial Narrow"/>
                <w:sz w:val="20"/>
                <w:szCs w:val="20"/>
              </w:rPr>
            </w:pPr>
            <w:r w:rsidRPr="00006F36">
              <w:rPr>
                <w:rFonts w:ascii="Arial Narrow" w:hAnsi="Arial Narrow"/>
                <w:sz w:val="20"/>
                <w:szCs w:val="20"/>
              </w:rPr>
              <w:t xml:space="preserve">Female </w:t>
            </w:r>
            <w:r w:rsidR="000D5A46" w:rsidRPr="00006F36">
              <w:rPr>
                <w:rFonts w:ascii="Arial Narrow" w:hAnsi="Arial Narrow"/>
                <w:sz w:val="20"/>
                <w:szCs w:val="20"/>
              </w:rPr>
              <w:t xml:space="preserve">baseline </w:t>
            </w:r>
            <w:r w:rsidRPr="00006F36">
              <w:rPr>
                <w:rFonts w:ascii="Arial Narrow" w:hAnsi="Arial Narrow"/>
                <w:sz w:val="20"/>
                <w:szCs w:val="20"/>
              </w:rPr>
              <w:t>eGFR ≥60</w:t>
            </w:r>
            <w:r w:rsidRPr="00006F36">
              <w:t xml:space="preserve"> </w:t>
            </w:r>
            <w:r w:rsidRPr="00006F36">
              <w:rPr>
                <w:rFonts w:ascii="Arial Narrow" w:hAnsi="Arial Narrow"/>
                <w:sz w:val="20"/>
                <w:szCs w:val="20"/>
              </w:rPr>
              <w:t>mL/min/1.73m2</w:t>
            </w:r>
          </w:p>
        </w:tc>
        <w:tc>
          <w:tcPr>
            <w:tcW w:w="673" w:type="dxa"/>
            <w:vAlign w:val="center"/>
          </w:tcPr>
          <w:p w14:paraId="5921AD64" w14:textId="32461BA5" w:rsidR="007D7212" w:rsidRPr="00006F36" w:rsidRDefault="007D7212"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13</w:t>
            </w:r>
          </w:p>
        </w:tc>
        <w:tc>
          <w:tcPr>
            <w:tcW w:w="1452" w:type="dxa"/>
            <w:vAlign w:val="center"/>
          </w:tcPr>
          <w:p w14:paraId="7C05C81D" w14:textId="19FCC35C" w:rsidR="007D7212" w:rsidRPr="00006F36" w:rsidRDefault="007D7212"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510" w:type="dxa"/>
            <w:vAlign w:val="center"/>
          </w:tcPr>
          <w:p w14:paraId="04DB0B3B" w14:textId="35FF2FFA" w:rsidR="007D7212" w:rsidRPr="00006F36" w:rsidRDefault="007D7212"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 xml:space="preserve">NR </w:t>
            </w:r>
          </w:p>
        </w:tc>
        <w:tc>
          <w:tcPr>
            <w:tcW w:w="1114" w:type="dxa"/>
            <w:vAlign w:val="center"/>
          </w:tcPr>
          <w:p w14:paraId="77B6623B" w14:textId="77777777" w:rsidR="007D7212" w:rsidRPr="00006F36" w:rsidRDefault="007D7212"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-2.1</w:t>
            </w:r>
          </w:p>
          <w:p w14:paraId="624A924D" w14:textId="0A345E8F" w:rsidR="007D7212" w:rsidRPr="00006F36" w:rsidRDefault="007D7212"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(SEM = 1.6)</w:t>
            </w:r>
          </w:p>
        </w:tc>
        <w:tc>
          <w:tcPr>
            <w:tcW w:w="1463" w:type="dxa"/>
            <w:vAlign w:val="center"/>
          </w:tcPr>
          <w:p w14:paraId="61DB72D5" w14:textId="5506FC9D" w:rsidR="007D7212" w:rsidRPr="00006F36" w:rsidRDefault="007D7212"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r>
      <w:tr w:rsidR="00EA50B0" w:rsidRPr="00006F36" w14:paraId="5B528711" w14:textId="77777777" w:rsidTr="0050515A">
        <w:trPr>
          <w:trHeight w:val="227"/>
        </w:trPr>
        <w:tc>
          <w:tcPr>
            <w:tcW w:w="9022" w:type="dxa"/>
            <w:gridSpan w:val="6"/>
            <w:vAlign w:val="center"/>
          </w:tcPr>
          <w:p w14:paraId="74EDA151" w14:textId="15F741F9" w:rsidR="00EA50B0" w:rsidRPr="00006F36" w:rsidRDefault="00EA50B0" w:rsidP="00EA50B0">
            <w:pPr>
              <w:pStyle w:val="3-BodyText"/>
              <w:keepNext/>
              <w:keepLines/>
              <w:numPr>
                <w:ilvl w:val="0"/>
                <w:numId w:val="0"/>
              </w:numPr>
              <w:spacing w:after="0"/>
              <w:rPr>
                <w:rFonts w:ascii="Arial Narrow" w:hAnsi="Arial Narrow"/>
                <w:b/>
                <w:bCs/>
                <w:sz w:val="20"/>
                <w:szCs w:val="20"/>
              </w:rPr>
            </w:pPr>
            <w:r w:rsidRPr="00006F36">
              <w:rPr>
                <w:rFonts w:ascii="Arial Narrow" w:hAnsi="Arial Narrow"/>
                <w:b/>
                <w:bCs/>
                <w:sz w:val="20"/>
                <w:szCs w:val="20"/>
              </w:rPr>
              <w:t>Rombach 2013 (</w:t>
            </w:r>
            <w:r w:rsidR="00B7450B" w:rsidRPr="00006F36">
              <w:rPr>
                <w:rFonts w:ascii="Arial Narrow" w:hAnsi="Arial Narrow"/>
                <w:b/>
                <w:bCs/>
                <w:sz w:val="20"/>
                <w:szCs w:val="20"/>
              </w:rPr>
              <w:t xml:space="preserve">US </w:t>
            </w:r>
            <w:r w:rsidR="008C0923" w:rsidRPr="00006F36">
              <w:rPr>
                <w:rFonts w:ascii="Arial Narrow" w:hAnsi="Arial Narrow"/>
                <w:b/>
                <w:bCs/>
                <w:sz w:val="20"/>
                <w:szCs w:val="20"/>
              </w:rPr>
              <w:t>ERT treated Fabry disease patients</w:t>
            </w:r>
            <w:r w:rsidR="00426900" w:rsidRPr="00006F36">
              <w:rPr>
                <w:rFonts w:ascii="Arial Narrow" w:hAnsi="Arial Narrow"/>
                <w:b/>
                <w:bCs/>
                <w:sz w:val="20"/>
                <w:szCs w:val="20"/>
              </w:rPr>
              <w:t>, median follow up 5.5 years (range 0.51-10</w:t>
            </w:r>
            <w:r w:rsidR="008C0923" w:rsidRPr="00006F36">
              <w:rPr>
                <w:rFonts w:ascii="Arial Narrow" w:hAnsi="Arial Narrow"/>
                <w:b/>
                <w:bCs/>
                <w:sz w:val="20"/>
                <w:szCs w:val="20"/>
              </w:rPr>
              <w:t>)</w:t>
            </w:r>
            <w:r w:rsidR="00426900" w:rsidRPr="00006F36">
              <w:rPr>
                <w:rFonts w:ascii="Arial Narrow" w:hAnsi="Arial Narrow"/>
                <w:b/>
                <w:bCs/>
                <w:sz w:val="20"/>
                <w:szCs w:val="20"/>
              </w:rPr>
              <w:t>)</w:t>
            </w:r>
          </w:p>
        </w:tc>
      </w:tr>
      <w:tr w:rsidR="007D7212" w:rsidRPr="00006F36" w14:paraId="038775A0" w14:textId="77777777" w:rsidTr="0050515A">
        <w:trPr>
          <w:trHeight w:val="227"/>
        </w:trPr>
        <w:tc>
          <w:tcPr>
            <w:tcW w:w="2810" w:type="dxa"/>
            <w:vAlign w:val="center"/>
          </w:tcPr>
          <w:p w14:paraId="08148267" w14:textId="01E74C13" w:rsidR="007D7212" w:rsidRPr="00006F36" w:rsidRDefault="00D80929" w:rsidP="000B1BAF">
            <w:pPr>
              <w:pStyle w:val="3-BodyText"/>
              <w:keepNext/>
              <w:keepLines/>
              <w:numPr>
                <w:ilvl w:val="0"/>
                <w:numId w:val="0"/>
              </w:numPr>
              <w:spacing w:after="0"/>
              <w:ind w:left="306" w:hanging="306"/>
              <w:jc w:val="left"/>
              <w:rPr>
                <w:rFonts w:ascii="Arial Narrow" w:hAnsi="Arial Narrow"/>
                <w:sz w:val="20"/>
                <w:szCs w:val="20"/>
              </w:rPr>
            </w:pPr>
            <w:r w:rsidRPr="00006F36">
              <w:rPr>
                <w:rFonts w:ascii="Arial Narrow" w:hAnsi="Arial Narrow"/>
                <w:sz w:val="20"/>
                <w:szCs w:val="20"/>
              </w:rPr>
              <w:t>Males</w:t>
            </w:r>
          </w:p>
        </w:tc>
        <w:tc>
          <w:tcPr>
            <w:tcW w:w="673" w:type="dxa"/>
            <w:vAlign w:val="center"/>
          </w:tcPr>
          <w:p w14:paraId="15DB5A20" w14:textId="59FB1923" w:rsidR="007D7212" w:rsidRPr="00006F36" w:rsidRDefault="005F437D"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30</w:t>
            </w:r>
          </w:p>
        </w:tc>
        <w:tc>
          <w:tcPr>
            <w:tcW w:w="1452" w:type="dxa"/>
            <w:vAlign w:val="center"/>
          </w:tcPr>
          <w:p w14:paraId="1B1D33A7" w14:textId="25D5D51F" w:rsidR="007D7212" w:rsidRPr="00006F36" w:rsidRDefault="00EF23B1"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88.5 ± 40.6</w:t>
            </w:r>
          </w:p>
        </w:tc>
        <w:tc>
          <w:tcPr>
            <w:tcW w:w="1510" w:type="dxa"/>
            <w:vAlign w:val="center"/>
          </w:tcPr>
          <w:p w14:paraId="4A533FB8" w14:textId="4C2565B9" w:rsidR="007D7212" w:rsidRPr="00006F36" w:rsidRDefault="004F7CBC"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114" w:type="dxa"/>
            <w:vAlign w:val="center"/>
          </w:tcPr>
          <w:p w14:paraId="5847FBB4" w14:textId="77777777" w:rsidR="00D12810" w:rsidRDefault="00EF23B1"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-3.4</w:t>
            </w:r>
          </w:p>
          <w:p w14:paraId="76C05C91" w14:textId="2ABAB895" w:rsidR="007D7212" w:rsidRPr="00006F36" w:rsidRDefault="00EF23B1"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(SE = 0.2)</w:t>
            </w:r>
          </w:p>
        </w:tc>
        <w:tc>
          <w:tcPr>
            <w:tcW w:w="1463" w:type="dxa"/>
            <w:vAlign w:val="center"/>
          </w:tcPr>
          <w:p w14:paraId="4CAC2800" w14:textId="26D86758" w:rsidR="007D7212" w:rsidRPr="00006F36" w:rsidRDefault="004F7CBC"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r>
      <w:tr w:rsidR="007D7212" w:rsidRPr="00006F36" w14:paraId="37D40850" w14:textId="77777777" w:rsidTr="0050515A">
        <w:trPr>
          <w:trHeight w:val="227"/>
        </w:trPr>
        <w:tc>
          <w:tcPr>
            <w:tcW w:w="2810" w:type="dxa"/>
            <w:vAlign w:val="center"/>
          </w:tcPr>
          <w:p w14:paraId="7EB824A2" w14:textId="571F52C5" w:rsidR="007D7212" w:rsidRPr="00006F36" w:rsidRDefault="005F437D" w:rsidP="000B1BAF">
            <w:pPr>
              <w:pStyle w:val="3-BodyText"/>
              <w:keepNext/>
              <w:keepLines/>
              <w:numPr>
                <w:ilvl w:val="0"/>
                <w:numId w:val="0"/>
              </w:numPr>
              <w:spacing w:after="0"/>
              <w:ind w:left="306" w:hanging="306"/>
              <w:jc w:val="left"/>
              <w:rPr>
                <w:rFonts w:ascii="Arial Narrow" w:hAnsi="Arial Narrow"/>
                <w:sz w:val="20"/>
                <w:szCs w:val="20"/>
              </w:rPr>
            </w:pPr>
            <w:r w:rsidRPr="00006F36">
              <w:rPr>
                <w:rFonts w:ascii="Arial Narrow" w:hAnsi="Arial Narrow"/>
                <w:sz w:val="20"/>
                <w:szCs w:val="20"/>
              </w:rPr>
              <w:t>Females</w:t>
            </w:r>
          </w:p>
        </w:tc>
        <w:tc>
          <w:tcPr>
            <w:tcW w:w="673" w:type="dxa"/>
            <w:vAlign w:val="center"/>
          </w:tcPr>
          <w:p w14:paraId="79624CD0" w14:textId="1714E015" w:rsidR="007D7212" w:rsidRPr="00006F36" w:rsidRDefault="000112FE"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27</w:t>
            </w:r>
          </w:p>
        </w:tc>
        <w:tc>
          <w:tcPr>
            <w:tcW w:w="1452" w:type="dxa"/>
            <w:vAlign w:val="center"/>
          </w:tcPr>
          <w:p w14:paraId="4B29D267" w14:textId="5B0A0E27" w:rsidR="007D7212" w:rsidRPr="00006F36" w:rsidRDefault="00B9363E"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86.6 ± 31.3</w:t>
            </w:r>
          </w:p>
        </w:tc>
        <w:tc>
          <w:tcPr>
            <w:tcW w:w="1510" w:type="dxa"/>
            <w:vAlign w:val="center"/>
          </w:tcPr>
          <w:p w14:paraId="1E79A997" w14:textId="3D32618D" w:rsidR="007D7212" w:rsidRPr="00006F36" w:rsidRDefault="004F7CBC"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114" w:type="dxa"/>
            <w:vAlign w:val="center"/>
          </w:tcPr>
          <w:p w14:paraId="1B22A993" w14:textId="77777777" w:rsidR="00D12810" w:rsidRDefault="004F7CBC" w:rsidP="004F7CBC">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-0.8</w:t>
            </w:r>
          </w:p>
          <w:p w14:paraId="3C6BB61C" w14:textId="5C8FFE7B" w:rsidR="004F7CBC" w:rsidRPr="00006F36" w:rsidRDefault="004F7CBC" w:rsidP="004F7CBC">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(SE = 0.3)</w:t>
            </w:r>
          </w:p>
        </w:tc>
        <w:tc>
          <w:tcPr>
            <w:tcW w:w="1463" w:type="dxa"/>
            <w:vAlign w:val="center"/>
          </w:tcPr>
          <w:p w14:paraId="0B36291E" w14:textId="1E225781" w:rsidR="007D7212" w:rsidRPr="00006F36" w:rsidRDefault="004F7CBC"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r>
      <w:tr w:rsidR="00466237" w:rsidRPr="00006F36" w14:paraId="1612136F" w14:textId="77777777" w:rsidTr="0050515A">
        <w:trPr>
          <w:trHeight w:val="227"/>
        </w:trPr>
        <w:tc>
          <w:tcPr>
            <w:tcW w:w="9022" w:type="dxa"/>
            <w:gridSpan w:val="6"/>
            <w:vAlign w:val="center"/>
          </w:tcPr>
          <w:p w14:paraId="4D000D7B" w14:textId="00077D58" w:rsidR="00466237" w:rsidRPr="00006F36" w:rsidRDefault="00466237" w:rsidP="00466237">
            <w:pPr>
              <w:pStyle w:val="3-BodyText"/>
              <w:keepNext/>
              <w:keepLines/>
              <w:numPr>
                <w:ilvl w:val="0"/>
                <w:numId w:val="0"/>
              </w:numPr>
              <w:spacing w:after="0"/>
              <w:rPr>
                <w:rFonts w:ascii="Arial Narrow" w:hAnsi="Arial Narrow"/>
                <w:b/>
                <w:bCs/>
                <w:sz w:val="20"/>
                <w:szCs w:val="20"/>
              </w:rPr>
            </w:pPr>
            <w:r w:rsidRPr="00006F36">
              <w:rPr>
                <w:rFonts w:ascii="Arial Narrow" w:hAnsi="Arial Narrow"/>
                <w:b/>
                <w:bCs/>
                <w:sz w:val="20"/>
                <w:szCs w:val="20"/>
              </w:rPr>
              <w:t>Madsen 2019 (</w:t>
            </w:r>
            <w:r w:rsidR="00B7450B" w:rsidRPr="00006F36">
              <w:rPr>
                <w:rFonts w:ascii="Arial Narrow" w:hAnsi="Arial Narrow"/>
                <w:b/>
                <w:bCs/>
                <w:sz w:val="20"/>
                <w:szCs w:val="20"/>
              </w:rPr>
              <w:t xml:space="preserve">Danish </w:t>
            </w:r>
            <w:r w:rsidRPr="00006F36">
              <w:rPr>
                <w:rFonts w:ascii="Arial Narrow" w:hAnsi="Arial Narrow"/>
                <w:b/>
                <w:bCs/>
                <w:sz w:val="20"/>
                <w:szCs w:val="20"/>
              </w:rPr>
              <w:t>ERT treated Fabry patients</w:t>
            </w:r>
            <w:r w:rsidR="005258E4" w:rsidRPr="00006F36">
              <w:rPr>
                <w:rFonts w:ascii="Arial Narrow" w:hAnsi="Arial Narrow"/>
                <w:b/>
                <w:bCs/>
                <w:sz w:val="20"/>
                <w:szCs w:val="20"/>
              </w:rPr>
              <w:t xml:space="preserve"> with ≥3 </w:t>
            </w:r>
            <w:r w:rsidR="00FE6822" w:rsidRPr="00006F36">
              <w:rPr>
                <w:rFonts w:ascii="Arial Narrow" w:hAnsi="Arial Narrow"/>
                <w:b/>
                <w:bCs/>
                <w:sz w:val="20"/>
                <w:szCs w:val="20"/>
              </w:rPr>
              <w:t>mGFR val</w:t>
            </w:r>
            <w:r w:rsidR="00D14AAA" w:rsidRPr="00006F36">
              <w:rPr>
                <w:rFonts w:ascii="Arial Narrow" w:hAnsi="Arial Narrow"/>
                <w:b/>
                <w:bCs/>
                <w:sz w:val="20"/>
                <w:szCs w:val="20"/>
              </w:rPr>
              <w:t>u</w:t>
            </w:r>
            <w:r w:rsidR="00FE6822" w:rsidRPr="00006F36">
              <w:rPr>
                <w:rFonts w:ascii="Arial Narrow" w:hAnsi="Arial Narrow"/>
                <w:b/>
                <w:bCs/>
                <w:sz w:val="20"/>
                <w:szCs w:val="20"/>
              </w:rPr>
              <w:t>es, median 7 years (range 1-13</w:t>
            </w:r>
            <w:r w:rsidR="0024573B" w:rsidRPr="00006F36">
              <w:rPr>
                <w:rFonts w:ascii="Arial Narrow" w:hAnsi="Arial Narrow"/>
                <w:b/>
                <w:bCs/>
                <w:sz w:val="20"/>
                <w:szCs w:val="20"/>
              </w:rPr>
              <w:t>)</w:t>
            </w:r>
            <w:r w:rsidRPr="00006F36">
              <w:rPr>
                <w:rFonts w:ascii="Arial Narrow" w:hAnsi="Arial Narrow"/>
                <w:b/>
                <w:bCs/>
                <w:sz w:val="20"/>
                <w:szCs w:val="20"/>
              </w:rPr>
              <w:t>)</w:t>
            </w:r>
          </w:p>
        </w:tc>
      </w:tr>
      <w:tr w:rsidR="000B1BAF" w:rsidRPr="00006F36" w14:paraId="6111EBCD" w14:textId="77777777" w:rsidTr="0050515A">
        <w:trPr>
          <w:trHeight w:val="227"/>
        </w:trPr>
        <w:tc>
          <w:tcPr>
            <w:tcW w:w="2810" w:type="dxa"/>
            <w:vAlign w:val="center"/>
          </w:tcPr>
          <w:p w14:paraId="4E804471" w14:textId="2BC8FC57" w:rsidR="000B1BAF" w:rsidRPr="00006F36" w:rsidRDefault="00780831" w:rsidP="000B1BAF">
            <w:pPr>
              <w:pStyle w:val="3-BodyText"/>
              <w:keepNext/>
              <w:keepLines/>
              <w:numPr>
                <w:ilvl w:val="0"/>
                <w:numId w:val="0"/>
              </w:numPr>
              <w:spacing w:after="0"/>
              <w:ind w:left="306" w:hanging="306"/>
              <w:jc w:val="left"/>
              <w:rPr>
                <w:rFonts w:ascii="Arial Narrow" w:hAnsi="Arial Narrow"/>
                <w:sz w:val="20"/>
                <w:szCs w:val="20"/>
              </w:rPr>
            </w:pPr>
            <w:r w:rsidRPr="00006F36">
              <w:rPr>
                <w:rFonts w:ascii="Arial Narrow" w:hAnsi="Arial Narrow"/>
                <w:sz w:val="20"/>
                <w:szCs w:val="20"/>
              </w:rPr>
              <w:t>Males</w:t>
            </w:r>
          </w:p>
        </w:tc>
        <w:tc>
          <w:tcPr>
            <w:tcW w:w="673" w:type="dxa"/>
            <w:vAlign w:val="center"/>
          </w:tcPr>
          <w:p w14:paraId="29CE88F4" w14:textId="4FBC25EB" w:rsidR="000B1BAF" w:rsidRPr="00006F36" w:rsidRDefault="00D14AAA"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20</w:t>
            </w:r>
          </w:p>
        </w:tc>
        <w:tc>
          <w:tcPr>
            <w:tcW w:w="1452" w:type="dxa"/>
            <w:vAlign w:val="center"/>
          </w:tcPr>
          <w:p w14:paraId="7368D3AD" w14:textId="492CD510" w:rsidR="000B1BAF" w:rsidRPr="00006F36" w:rsidRDefault="00780831"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 xml:space="preserve">121 </w:t>
            </w:r>
            <w:r w:rsidR="008D1693" w:rsidRPr="00006F36">
              <w:rPr>
                <w:rFonts w:ascii="Arial Narrow" w:hAnsi="Arial Narrow"/>
                <w:sz w:val="20"/>
                <w:szCs w:val="20"/>
              </w:rPr>
              <w:t>± 6</w:t>
            </w:r>
          </w:p>
        </w:tc>
        <w:tc>
          <w:tcPr>
            <w:tcW w:w="1510" w:type="dxa"/>
            <w:vAlign w:val="center"/>
          </w:tcPr>
          <w:p w14:paraId="178D884A" w14:textId="6B213F97" w:rsidR="000B1BAF" w:rsidRPr="00006F36" w:rsidRDefault="00080886"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114" w:type="dxa"/>
            <w:vAlign w:val="center"/>
          </w:tcPr>
          <w:p w14:paraId="2BB23CDA" w14:textId="22FC458D" w:rsidR="000B1BAF" w:rsidRPr="00006F36" w:rsidRDefault="00080886"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-1.8 ± 0.5</w:t>
            </w:r>
          </w:p>
        </w:tc>
        <w:tc>
          <w:tcPr>
            <w:tcW w:w="1463" w:type="dxa"/>
            <w:vAlign w:val="center"/>
          </w:tcPr>
          <w:p w14:paraId="6FD532FC" w14:textId="1B44C462" w:rsidR="000B1BAF" w:rsidRPr="00006F36" w:rsidRDefault="00D14AAA"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r>
      <w:tr w:rsidR="000B1BAF" w:rsidRPr="00006F36" w14:paraId="54441E4F" w14:textId="77777777" w:rsidTr="0050515A">
        <w:trPr>
          <w:trHeight w:val="227"/>
        </w:trPr>
        <w:tc>
          <w:tcPr>
            <w:tcW w:w="2810" w:type="dxa"/>
            <w:vAlign w:val="center"/>
          </w:tcPr>
          <w:p w14:paraId="078FF3DD" w14:textId="2919C895" w:rsidR="000B1BAF" w:rsidRPr="00006F36" w:rsidRDefault="00780831" w:rsidP="000B1BAF">
            <w:pPr>
              <w:pStyle w:val="3-BodyText"/>
              <w:keepNext/>
              <w:keepLines/>
              <w:numPr>
                <w:ilvl w:val="0"/>
                <w:numId w:val="0"/>
              </w:numPr>
              <w:spacing w:after="0"/>
              <w:ind w:left="306" w:hanging="306"/>
              <w:jc w:val="left"/>
              <w:rPr>
                <w:rFonts w:ascii="Arial Narrow" w:hAnsi="Arial Narrow"/>
                <w:sz w:val="20"/>
                <w:szCs w:val="20"/>
              </w:rPr>
            </w:pPr>
            <w:r w:rsidRPr="00006F36">
              <w:rPr>
                <w:rFonts w:ascii="Arial Narrow" w:hAnsi="Arial Narrow"/>
                <w:sz w:val="20"/>
                <w:szCs w:val="20"/>
              </w:rPr>
              <w:t>Females</w:t>
            </w:r>
          </w:p>
        </w:tc>
        <w:tc>
          <w:tcPr>
            <w:tcW w:w="673" w:type="dxa"/>
            <w:vAlign w:val="center"/>
          </w:tcPr>
          <w:p w14:paraId="388B1757" w14:textId="2EDE4AD6" w:rsidR="000B1BAF" w:rsidRPr="00006F36" w:rsidRDefault="00080886"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32</w:t>
            </w:r>
          </w:p>
        </w:tc>
        <w:tc>
          <w:tcPr>
            <w:tcW w:w="1452" w:type="dxa"/>
            <w:vAlign w:val="center"/>
          </w:tcPr>
          <w:p w14:paraId="4B0B24F8" w14:textId="01DDFFA2" w:rsidR="000B1BAF" w:rsidRPr="00006F36" w:rsidRDefault="00080886"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98 ± 5</w:t>
            </w:r>
          </w:p>
        </w:tc>
        <w:tc>
          <w:tcPr>
            <w:tcW w:w="1510" w:type="dxa"/>
            <w:vAlign w:val="center"/>
          </w:tcPr>
          <w:p w14:paraId="05961910" w14:textId="13F4DD05" w:rsidR="000B1BAF" w:rsidRPr="00006F36" w:rsidRDefault="00080886"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114" w:type="dxa"/>
            <w:vAlign w:val="center"/>
          </w:tcPr>
          <w:p w14:paraId="6A4C1B8E" w14:textId="6A484E6E" w:rsidR="000B1BAF" w:rsidRPr="00006F36" w:rsidRDefault="00080886"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-0.01 ± 0.4</w:t>
            </w:r>
          </w:p>
        </w:tc>
        <w:tc>
          <w:tcPr>
            <w:tcW w:w="1463" w:type="dxa"/>
            <w:vAlign w:val="center"/>
          </w:tcPr>
          <w:p w14:paraId="04C9FEE4" w14:textId="70CDD042" w:rsidR="000B1BAF" w:rsidRPr="00006F36" w:rsidRDefault="00D14AAA"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r>
      <w:tr w:rsidR="009B0BED" w:rsidRPr="00006F36" w14:paraId="3D29D778" w14:textId="77777777" w:rsidTr="0050515A">
        <w:trPr>
          <w:trHeight w:val="227"/>
        </w:trPr>
        <w:tc>
          <w:tcPr>
            <w:tcW w:w="9022" w:type="dxa"/>
            <w:gridSpan w:val="6"/>
            <w:vAlign w:val="center"/>
          </w:tcPr>
          <w:p w14:paraId="2B60D721" w14:textId="0DFF06DB" w:rsidR="009B0BED" w:rsidRPr="00006F36" w:rsidRDefault="009B0BED" w:rsidP="009B0BED">
            <w:pPr>
              <w:pStyle w:val="3-BodyText"/>
              <w:keepNext/>
              <w:keepLines/>
              <w:numPr>
                <w:ilvl w:val="0"/>
                <w:numId w:val="0"/>
              </w:numPr>
              <w:spacing w:after="0"/>
              <w:rPr>
                <w:rFonts w:ascii="Arial Narrow" w:hAnsi="Arial Narrow"/>
                <w:b/>
                <w:bCs/>
                <w:sz w:val="20"/>
                <w:szCs w:val="20"/>
              </w:rPr>
            </w:pPr>
            <w:r w:rsidRPr="00006F36">
              <w:rPr>
                <w:rFonts w:ascii="Arial Narrow" w:hAnsi="Arial Narrow"/>
                <w:b/>
                <w:bCs/>
                <w:sz w:val="20"/>
                <w:szCs w:val="20"/>
              </w:rPr>
              <w:t>Baba 2</w:t>
            </w:r>
            <w:r w:rsidR="002B7927" w:rsidRPr="00006F36">
              <w:rPr>
                <w:rFonts w:ascii="Arial Narrow" w:hAnsi="Arial Narrow"/>
                <w:b/>
                <w:bCs/>
                <w:sz w:val="20"/>
                <w:szCs w:val="20"/>
              </w:rPr>
              <w:t xml:space="preserve">015 </w:t>
            </w:r>
            <w:r w:rsidR="00A810C5" w:rsidRPr="00006F36">
              <w:rPr>
                <w:rFonts w:ascii="Arial Narrow" w:hAnsi="Arial Narrow"/>
                <w:b/>
                <w:bCs/>
                <w:sz w:val="20"/>
                <w:szCs w:val="20"/>
              </w:rPr>
              <w:t xml:space="preserve">(Healthy Japanese cohort who attended medical check up, </w:t>
            </w:r>
            <w:r w:rsidR="00543BE6" w:rsidRPr="00006F36">
              <w:rPr>
                <w:rFonts w:ascii="Arial Narrow" w:hAnsi="Arial Narrow"/>
                <w:b/>
                <w:bCs/>
                <w:sz w:val="20"/>
                <w:szCs w:val="20"/>
              </w:rPr>
              <w:t xml:space="preserve">mean interval for first and last check up </w:t>
            </w:r>
            <w:r w:rsidR="00A8033D" w:rsidRPr="00006F36">
              <w:rPr>
                <w:rFonts w:ascii="Arial Narrow" w:hAnsi="Arial Narrow"/>
                <w:b/>
                <w:bCs/>
                <w:sz w:val="20"/>
                <w:szCs w:val="20"/>
              </w:rPr>
              <w:t>4.19±4.25 years in men and 4.35±2.47 years in women)</w:t>
            </w:r>
          </w:p>
        </w:tc>
      </w:tr>
      <w:tr w:rsidR="00CC0EAD" w:rsidRPr="00006F36" w14:paraId="5DC6516E" w14:textId="77777777" w:rsidTr="0050515A">
        <w:trPr>
          <w:trHeight w:val="227"/>
        </w:trPr>
        <w:tc>
          <w:tcPr>
            <w:tcW w:w="2810" w:type="dxa"/>
            <w:vAlign w:val="center"/>
          </w:tcPr>
          <w:p w14:paraId="3F5FACF9" w14:textId="37614897" w:rsidR="00CC0EAD" w:rsidRPr="00006F36" w:rsidRDefault="00CC0EAD" w:rsidP="000B1BAF">
            <w:pPr>
              <w:pStyle w:val="3-BodyText"/>
              <w:keepNext/>
              <w:keepLines/>
              <w:numPr>
                <w:ilvl w:val="0"/>
                <w:numId w:val="0"/>
              </w:numPr>
              <w:spacing w:after="0"/>
              <w:ind w:left="306" w:hanging="306"/>
              <w:jc w:val="left"/>
              <w:rPr>
                <w:rFonts w:ascii="Arial Narrow" w:hAnsi="Arial Narrow"/>
                <w:sz w:val="20"/>
                <w:szCs w:val="20"/>
              </w:rPr>
            </w:pPr>
            <w:r w:rsidRPr="00006F36">
              <w:rPr>
                <w:rFonts w:ascii="Arial Narrow" w:hAnsi="Arial Narrow"/>
                <w:sz w:val="20"/>
                <w:szCs w:val="20"/>
              </w:rPr>
              <w:t>Overall</w:t>
            </w:r>
          </w:p>
        </w:tc>
        <w:tc>
          <w:tcPr>
            <w:tcW w:w="673" w:type="dxa"/>
            <w:vAlign w:val="center"/>
          </w:tcPr>
          <w:p w14:paraId="547B8FD1" w14:textId="0A66C998" w:rsidR="00CC0EAD" w:rsidRPr="00006F36" w:rsidRDefault="00A20122"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45586</w:t>
            </w:r>
          </w:p>
        </w:tc>
        <w:tc>
          <w:tcPr>
            <w:tcW w:w="1452" w:type="dxa"/>
            <w:vAlign w:val="center"/>
          </w:tcPr>
          <w:p w14:paraId="23492A15" w14:textId="7BDA3726" w:rsidR="00CC0EAD" w:rsidRPr="00006F36" w:rsidRDefault="00A20122"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510" w:type="dxa"/>
            <w:vAlign w:val="center"/>
          </w:tcPr>
          <w:p w14:paraId="48E02359" w14:textId="24E19A94" w:rsidR="00CC0EAD" w:rsidRPr="00006F36" w:rsidRDefault="00A20122"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114" w:type="dxa"/>
            <w:vAlign w:val="center"/>
          </w:tcPr>
          <w:p w14:paraId="59B8DE41" w14:textId="72BEE4E7" w:rsidR="00CC0EAD" w:rsidRPr="00006F36" w:rsidRDefault="00CC0EAD"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-1.07</w:t>
            </w:r>
            <w:r w:rsidR="00847487" w:rsidRPr="00006F36">
              <w:rPr>
                <w:rFonts w:ascii="Arial Narrow" w:hAnsi="Arial Narrow"/>
                <w:sz w:val="20"/>
                <w:szCs w:val="20"/>
              </w:rPr>
              <w:t xml:space="preserve"> (</w:t>
            </w:r>
            <w:r w:rsidRPr="00006F36">
              <w:rPr>
                <w:rFonts w:ascii="Arial Narrow" w:hAnsi="Arial Narrow"/>
                <w:sz w:val="20"/>
                <w:szCs w:val="20"/>
              </w:rPr>
              <w:t>0.43</w:t>
            </w:r>
            <w:r w:rsidR="00847487" w:rsidRPr="00006F36">
              <w:rPr>
                <w:rFonts w:ascii="Arial Narrow" w:hAnsi="Arial Narrow"/>
                <w:sz w:val="20"/>
                <w:szCs w:val="20"/>
              </w:rPr>
              <w:t>)</w:t>
            </w:r>
          </w:p>
        </w:tc>
        <w:tc>
          <w:tcPr>
            <w:tcW w:w="1463" w:type="dxa"/>
            <w:vAlign w:val="center"/>
          </w:tcPr>
          <w:p w14:paraId="2433440C" w14:textId="77777777" w:rsidR="00CC0EAD" w:rsidRPr="00006F36" w:rsidRDefault="00CC0EAD" w:rsidP="000B1BAF">
            <w:pPr>
              <w:pStyle w:val="3-BodyText"/>
              <w:keepNext/>
              <w:keepLines/>
              <w:numPr>
                <w:ilvl w:val="0"/>
                <w:numId w:val="0"/>
              </w:numPr>
              <w:spacing w:after="0"/>
              <w:jc w:val="center"/>
              <w:rPr>
                <w:rFonts w:ascii="Arial Narrow" w:hAnsi="Arial Narrow"/>
                <w:sz w:val="20"/>
                <w:szCs w:val="20"/>
              </w:rPr>
            </w:pPr>
          </w:p>
        </w:tc>
      </w:tr>
      <w:tr w:rsidR="00466237" w:rsidRPr="00006F36" w14:paraId="0F0E0F91" w14:textId="77777777" w:rsidTr="0050515A">
        <w:trPr>
          <w:trHeight w:val="227"/>
        </w:trPr>
        <w:tc>
          <w:tcPr>
            <w:tcW w:w="2810" w:type="dxa"/>
            <w:vAlign w:val="center"/>
          </w:tcPr>
          <w:p w14:paraId="093BDF34" w14:textId="244D1C11" w:rsidR="00466237" w:rsidRPr="00006F36" w:rsidRDefault="00A8033D" w:rsidP="000B1BAF">
            <w:pPr>
              <w:pStyle w:val="3-BodyText"/>
              <w:keepNext/>
              <w:keepLines/>
              <w:numPr>
                <w:ilvl w:val="0"/>
                <w:numId w:val="0"/>
              </w:numPr>
              <w:spacing w:after="0"/>
              <w:ind w:left="306" w:hanging="306"/>
              <w:jc w:val="left"/>
              <w:rPr>
                <w:rFonts w:ascii="Arial Narrow" w:hAnsi="Arial Narrow"/>
                <w:sz w:val="20"/>
                <w:szCs w:val="20"/>
              </w:rPr>
            </w:pPr>
            <w:r w:rsidRPr="00006F36">
              <w:rPr>
                <w:rFonts w:ascii="Arial Narrow" w:hAnsi="Arial Narrow"/>
                <w:sz w:val="20"/>
                <w:szCs w:val="20"/>
              </w:rPr>
              <w:t>Males</w:t>
            </w:r>
          </w:p>
        </w:tc>
        <w:tc>
          <w:tcPr>
            <w:tcW w:w="673" w:type="dxa"/>
            <w:vAlign w:val="center"/>
          </w:tcPr>
          <w:p w14:paraId="58EE81BD" w14:textId="252DC59D" w:rsidR="00466237" w:rsidRPr="00006F36" w:rsidRDefault="00E15B35"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21703</w:t>
            </w:r>
          </w:p>
        </w:tc>
        <w:tc>
          <w:tcPr>
            <w:tcW w:w="1452" w:type="dxa"/>
            <w:vAlign w:val="center"/>
          </w:tcPr>
          <w:p w14:paraId="50F4242C" w14:textId="15824219" w:rsidR="00466237" w:rsidRPr="00006F36" w:rsidRDefault="00A20122"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510" w:type="dxa"/>
            <w:vAlign w:val="center"/>
          </w:tcPr>
          <w:p w14:paraId="411C9722" w14:textId="13768416" w:rsidR="00466237" w:rsidRPr="00006F36" w:rsidRDefault="00A20122"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114" w:type="dxa"/>
            <w:vAlign w:val="center"/>
          </w:tcPr>
          <w:p w14:paraId="00DEC374" w14:textId="2060690E" w:rsidR="00466237" w:rsidRPr="00006F36" w:rsidRDefault="000E204B"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-1.03</w:t>
            </w:r>
            <w:r w:rsidR="00847487" w:rsidRPr="00006F36">
              <w:rPr>
                <w:rFonts w:ascii="Arial Narrow" w:hAnsi="Arial Narrow"/>
                <w:sz w:val="20"/>
                <w:szCs w:val="20"/>
              </w:rPr>
              <w:t xml:space="preserve"> (</w:t>
            </w:r>
            <w:r w:rsidRPr="00006F36">
              <w:rPr>
                <w:rFonts w:ascii="Arial Narrow" w:hAnsi="Arial Narrow"/>
                <w:sz w:val="20"/>
                <w:szCs w:val="20"/>
              </w:rPr>
              <w:t>0.40</w:t>
            </w:r>
            <w:r w:rsidR="00847487" w:rsidRPr="00006F36">
              <w:rPr>
                <w:rFonts w:ascii="Arial Narrow" w:hAnsi="Arial Narrow"/>
                <w:sz w:val="20"/>
                <w:szCs w:val="20"/>
              </w:rPr>
              <w:t>)</w:t>
            </w:r>
          </w:p>
        </w:tc>
        <w:tc>
          <w:tcPr>
            <w:tcW w:w="1463" w:type="dxa"/>
            <w:vAlign w:val="center"/>
          </w:tcPr>
          <w:p w14:paraId="7CFCF348" w14:textId="77777777" w:rsidR="00466237" w:rsidRPr="00006F36" w:rsidRDefault="00466237" w:rsidP="000B1BAF">
            <w:pPr>
              <w:pStyle w:val="3-BodyText"/>
              <w:keepNext/>
              <w:keepLines/>
              <w:numPr>
                <w:ilvl w:val="0"/>
                <w:numId w:val="0"/>
              </w:numPr>
              <w:spacing w:after="0"/>
              <w:jc w:val="center"/>
              <w:rPr>
                <w:rFonts w:ascii="Arial Narrow" w:hAnsi="Arial Narrow"/>
                <w:sz w:val="20"/>
                <w:szCs w:val="20"/>
              </w:rPr>
            </w:pPr>
          </w:p>
        </w:tc>
      </w:tr>
      <w:tr w:rsidR="00466237" w:rsidRPr="00006F36" w14:paraId="56DD2FAF" w14:textId="77777777" w:rsidTr="0050515A">
        <w:trPr>
          <w:trHeight w:val="227"/>
        </w:trPr>
        <w:tc>
          <w:tcPr>
            <w:tcW w:w="2810" w:type="dxa"/>
            <w:vAlign w:val="center"/>
          </w:tcPr>
          <w:p w14:paraId="2977D6D0" w14:textId="5593DE7B" w:rsidR="00466237" w:rsidRPr="00006F36" w:rsidRDefault="00A8033D" w:rsidP="000B1BAF">
            <w:pPr>
              <w:pStyle w:val="3-BodyText"/>
              <w:keepNext/>
              <w:keepLines/>
              <w:numPr>
                <w:ilvl w:val="0"/>
                <w:numId w:val="0"/>
              </w:numPr>
              <w:spacing w:after="0"/>
              <w:ind w:left="306" w:hanging="306"/>
              <w:jc w:val="left"/>
              <w:rPr>
                <w:rFonts w:ascii="Arial Narrow" w:hAnsi="Arial Narrow"/>
                <w:sz w:val="20"/>
                <w:szCs w:val="20"/>
              </w:rPr>
            </w:pPr>
            <w:r w:rsidRPr="00006F36">
              <w:rPr>
                <w:rFonts w:ascii="Arial Narrow" w:hAnsi="Arial Narrow"/>
                <w:sz w:val="20"/>
                <w:szCs w:val="20"/>
              </w:rPr>
              <w:t>Females</w:t>
            </w:r>
          </w:p>
        </w:tc>
        <w:tc>
          <w:tcPr>
            <w:tcW w:w="673" w:type="dxa"/>
            <w:vAlign w:val="center"/>
          </w:tcPr>
          <w:p w14:paraId="7578B8AF" w14:textId="7708D842" w:rsidR="00466237" w:rsidRPr="00006F36" w:rsidRDefault="00A20122"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23883</w:t>
            </w:r>
          </w:p>
        </w:tc>
        <w:tc>
          <w:tcPr>
            <w:tcW w:w="1452" w:type="dxa"/>
            <w:vAlign w:val="center"/>
          </w:tcPr>
          <w:p w14:paraId="33520A96" w14:textId="3106CD95" w:rsidR="00466237" w:rsidRPr="00006F36" w:rsidRDefault="00A20122"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510" w:type="dxa"/>
            <w:vAlign w:val="center"/>
          </w:tcPr>
          <w:p w14:paraId="6D6CDD74" w14:textId="16916E81" w:rsidR="00466237" w:rsidRPr="00006F36" w:rsidRDefault="00A20122"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NR</w:t>
            </w:r>
          </w:p>
        </w:tc>
        <w:tc>
          <w:tcPr>
            <w:tcW w:w="1114" w:type="dxa"/>
            <w:vAlign w:val="center"/>
          </w:tcPr>
          <w:p w14:paraId="0478977E" w14:textId="223F9974" w:rsidR="00466237" w:rsidRPr="00006F36" w:rsidRDefault="000E204B" w:rsidP="000B1BAF">
            <w:pPr>
              <w:pStyle w:val="3-BodyText"/>
              <w:keepNext/>
              <w:keepLines/>
              <w:numPr>
                <w:ilvl w:val="0"/>
                <w:numId w:val="0"/>
              </w:numPr>
              <w:spacing w:after="0"/>
              <w:jc w:val="center"/>
              <w:rPr>
                <w:rFonts w:ascii="Arial Narrow" w:hAnsi="Arial Narrow"/>
                <w:sz w:val="20"/>
                <w:szCs w:val="20"/>
              </w:rPr>
            </w:pPr>
            <w:r w:rsidRPr="00006F36">
              <w:rPr>
                <w:rFonts w:ascii="Arial Narrow" w:hAnsi="Arial Narrow"/>
                <w:sz w:val="20"/>
                <w:szCs w:val="20"/>
              </w:rPr>
              <w:t>-1.11</w:t>
            </w:r>
            <w:r w:rsidR="00847487" w:rsidRPr="00006F36">
              <w:rPr>
                <w:rFonts w:ascii="Arial Narrow" w:hAnsi="Arial Narrow"/>
                <w:sz w:val="20"/>
                <w:szCs w:val="20"/>
              </w:rPr>
              <w:t>(</w:t>
            </w:r>
            <w:r w:rsidRPr="00006F36">
              <w:rPr>
                <w:rFonts w:ascii="Arial Narrow" w:hAnsi="Arial Narrow"/>
                <w:sz w:val="20"/>
                <w:szCs w:val="20"/>
              </w:rPr>
              <w:t>0.44</w:t>
            </w:r>
            <w:r w:rsidR="00847487" w:rsidRPr="00006F36">
              <w:rPr>
                <w:rFonts w:ascii="Arial Narrow" w:hAnsi="Arial Narrow"/>
                <w:sz w:val="20"/>
                <w:szCs w:val="20"/>
              </w:rPr>
              <w:t>)</w:t>
            </w:r>
          </w:p>
        </w:tc>
        <w:tc>
          <w:tcPr>
            <w:tcW w:w="1463" w:type="dxa"/>
            <w:vAlign w:val="center"/>
          </w:tcPr>
          <w:p w14:paraId="21586310" w14:textId="77777777" w:rsidR="00466237" w:rsidRPr="00006F36" w:rsidRDefault="00466237" w:rsidP="000B1BAF">
            <w:pPr>
              <w:pStyle w:val="3-BodyText"/>
              <w:keepNext/>
              <w:keepLines/>
              <w:numPr>
                <w:ilvl w:val="0"/>
                <w:numId w:val="0"/>
              </w:numPr>
              <w:spacing w:after="0"/>
              <w:jc w:val="center"/>
              <w:rPr>
                <w:rFonts w:ascii="Arial Narrow" w:hAnsi="Arial Narrow"/>
                <w:sz w:val="20"/>
                <w:szCs w:val="20"/>
              </w:rPr>
            </w:pPr>
          </w:p>
        </w:tc>
      </w:tr>
    </w:tbl>
    <w:p w14:paraId="6D3A0D33" w14:textId="77777777" w:rsidR="004B69B9" w:rsidRDefault="004B69B9" w:rsidP="004B69B9">
      <w:pPr>
        <w:pStyle w:val="FooterTableFigure"/>
        <w:spacing w:after="0"/>
      </w:pPr>
      <w:r w:rsidRPr="00006F36">
        <w:t>Source: Constructed during evaluation using information from Table 1, Table 2 and Table 4 Bichet 2021, Table 3 Schiffman 2009, Table 2 and p3-4 Rombach 2013, p1529 Madsen 2019, Table 2 and p6-7 Baba 2015.</w:t>
      </w:r>
    </w:p>
    <w:p w14:paraId="7AB1DAE6" w14:textId="0276035C" w:rsidR="00BC6E3B" w:rsidRPr="00006F36" w:rsidRDefault="004B69B9" w:rsidP="004B69B9">
      <w:pPr>
        <w:pStyle w:val="3-BodyText"/>
        <w:keepNext/>
        <w:keepLines/>
        <w:numPr>
          <w:ilvl w:val="0"/>
          <w:numId w:val="0"/>
        </w:numPr>
        <w:spacing w:after="0"/>
        <w:rPr>
          <w:rFonts w:ascii="Arial Narrow" w:hAnsi="Arial Narrow"/>
          <w:sz w:val="18"/>
          <w:szCs w:val="18"/>
        </w:rPr>
      </w:pPr>
      <w:r>
        <w:rPr>
          <w:rFonts w:ascii="Arial Narrow" w:hAnsi="Arial Narrow"/>
          <w:sz w:val="18"/>
          <w:szCs w:val="18"/>
        </w:rPr>
        <w:t xml:space="preserve">Abbreviations: </w:t>
      </w:r>
      <w:r w:rsidR="006253EE" w:rsidRPr="00006F36">
        <w:rPr>
          <w:rFonts w:ascii="Arial Narrow" w:hAnsi="Arial Narrow"/>
          <w:sz w:val="18"/>
          <w:szCs w:val="18"/>
        </w:rPr>
        <w:t>eGFR</w:t>
      </w:r>
      <w:r w:rsidR="006253EE" w:rsidRPr="00006F36">
        <w:rPr>
          <w:rFonts w:ascii="Arial Narrow" w:hAnsi="Arial Narrow"/>
          <w:sz w:val="18"/>
          <w:szCs w:val="18"/>
          <w:vertAlign w:val="subscript"/>
        </w:rPr>
        <w:t xml:space="preserve">CKD-EPI </w:t>
      </w:r>
      <w:r w:rsidR="006253EE" w:rsidRPr="00006F36">
        <w:rPr>
          <w:rFonts w:ascii="Arial Narrow" w:hAnsi="Arial Narrow"/>
          <w:sz w:val="18"/>
          <w:szCs w:val="18"/>
        </w:rPr>
        <w:t xml:space="preserve">= </w:t>
      </w:r>
      <w:r w:rsidR="0075677A" w:rsidRPr="00006F36">
        <w:rPr>
          <w:rFonts w:ascii="Arial Narrow" w:hAnsi="Arial Narrow"/>
          <w:sz w:val="18"/>
          <w:szCs w:val="18"/>
        </w:rPr>
        <w:t>estimated glomerular filtration rate using the Chronic Kidney Disease Epidemiology Collaboration equation</w:t>
      </w:r>
      <w:r w:rsidR="00973610" w:rsidRPr="00006F36">
        <w:rPr>
          <w:rFonts w:ascii="Arial Narrow" w:hAnsi="Arial Narrow"/>
          <w:sz w:val="18"/>
          <w:szCs w:val="18"/>
        </w:rPr>
        <w:t>; ERT = enzyme replacement therapy</w:t>
      </w:r>
      <w:r w:rsidR="00C95EDF" w:rsidRPr="00006F36">
        <w:rPr>
          <w:rFonts w:ascii="Arial Narrow" w:hAnsi="Arial Narrow"/>
          <w:sz w:val="18"/>
          <w:szCs w:val="18"/>
        </w:rPr>
        <w:t>;</w:t>
      </w:r>
      <w:r w:rsidR="007D7212" w:rsidRPr="00006F36">
        <w:rPr>
          <w:rFonts w:ascii="Arial Narrow" w:hAnsi="Arial Narrow"/>
          <w:sz w:val="18"/>
          <w:szCs w:val="18"/>
        </w:rPr>
        <w:t xml:space="preserve"> </w:t>
      </w:r>
      <w:r w:rsidR="00FE6822" w:rsidRPr="00006F36">
        <w:rPr>
          <w:rFonts w:ascii="Arial Narrow" w:hAnsi="Arial Narrow"/>
          <w:sz w:val="18"/>
          <w:szCs w:val="18"/>
        </w:rPr>
        <w:t xml:space="preserve">mGFR = measured glomerular filtration rate; </w:t>
      </w:r>
      <w:r w:rsidR="007D7212" w:rsidRPr="00006F36">
        <w:rPr>
          <w:rFonts w:ascii="Arial Narrow" w:hAnsi="Arial Narrow"/>
          <w:sz w:val="18"/>
          <w:szCs w:val="18"/>
        </w:rPr>
        <w:t>NR = not reported</w:t>
      </w:r>
      <w:r w:rsidR="00D80929" w:rsidRPr="00006F36">
        <w:rPr>
          <w:rFonts w:ascii="Arial Narrow" w:hAnsi="Arial Narrow"/>
          <w:sz w:val="18"/>
          <w:szCs w:val="18"/>
        </w:rPr>
        <w:t>; SE = standard error;</w:t>
      </w:r>
      <w:r w:rsidR="00C95EDF" w:rsidRPr="00006F36">
        <w:rPr>
          <w:rFonts w:ascii="Arial Narrow" w:hAnsi="Arial Narrow"/>
          <w:sz w:val="18"/>
          <w:szCs w:val="18"/>
        </w:rPr>
        <w:t xml:space="preserve"> SEM = standard error of the mean</w:t>
      </w:r>
    </w:p>
    <w:p w14:paraId="028AB459" w14:textId="44F95DCD" w:rsidR="00973610" w:rsidRPr="00006F36" w:rsidRDefault="00973610" w:rsidP="00B378C6">
      <w:pPr>
        <w:pStyle w:val="3-BodyText"/>
        <w:numPr>
          <w:ilvl w:val="0"/>
          <w:numId w:val="0"/>
        </w:numPr>
        <w:spacing w:after="0"/>
        <w:rPr>
          <w:rFonts w:ascii="Arial Narrow" w:hAnsi="Arial Narrow"/>
          <w:sz w:val="18"/>
          <w:szCs w:val="18"/>
        </w:rPr>
      </w:pPr>
      <w:r w:rsidRPr="00DD78A3">
        <w:rPr>
          <w:rFonts w:ascii="Arial Narrow" w:hAnsi="Arial Narrow"/>
          <w:sz w:val="18"/>
          <w:szCs w:val="18"/>
          <w:vertAlign w:val="superscript"/>
        </w:rPr>
        <w:t>a</w:t>
      </w:r>
      <w:r w:rsidRPr="00006F36">
        <w:rPr>
          <w:rFonts w:ascii="Arial Narrow" w:hAnsi="Arial Narrow"/>
          <w:sz w:val="18"/>
          <w:szCs w:val="18"/>
        </w:rPr>
        <w:t xml:space="preserve"> Baseline white blood cell α-Gal A activity in ERT-experienced patients was confounded by ERT and the same classic phenotype definition could not be applied. Instead, male patients with multiorgan involvement were compared with males without multiorgan involvement and females (specified above as “others”).</w:t>
      </w:r>
    </w:p>
    <w:p w14:paraId="2B72484E" w14:textId="77777777" w:rsidR="00D12810" w:rsidRDefault="00166D5E" w:rsidP="00B378C6">
      <w:pPr>
        <w:pStyle w:val="3-BodyText"/>
        <w:keepNext/>
        <w:keepLines/>
        <w:rPr>
          <w:i/>
          <w:iCs/>
          <w:snapToGrid/>
        </w:rPr>
      </w:pPr>
      <w:r w:rsidRPr="00006F36">
        <w:rPr>
          <w:snapToGrid/>
        </w:rPr>
        <w:lastRenderedPageBreak/>
        <w:t xml:space="preserve">The results of Bichet 2021 showed that the </w:t>
      </w:r>
      <w:r w:rsidR="004E00AB" w:rsidRPr="00006F36">
        <w:rPr>
          <w:snapToGrid/>
        </w:rPr>
        <w:t xml:space="preserve">mean </w:t>
      </w:r>
      <w:r w:rsidRPr="00006F36">
        <w:rPr>
          <w:snapToGrid/>
        </w:rPr>
        <w:t xml:space="preserve">annualised </w:t>
      </w:r>
      <w:r w:rsidR="00F35A52" w:rsidRPr="00006F36">
        <w:rPr>
          <w:snapToGrid/>
        </w:rPr>
        <w:t xml:space="preserve">rate of change in </w:t>
      </w:r>
      <w:r w:rsidRPr="00006F36">
        <w:rPr>
          <w:snapToGrid/>
        </w:rPr>
        <w:t>eGFR of patients treated with mig</w:t>
      </w:r>
      <w:r w:rsidR="004E00AB" w:rsidRPr="00006F36">
        <w:rPr>
          <w:snapToGrid/>
        </w:rPr>
        <w:t>alastat</w:t>
      </w:r>
      <w:r w:rsidR="00B72C7D" w:rsidRPr="00006F36">
        <w:rPr>
          <w:snapToGrid/>
        </w:rPr>
        <w:t xml:space="preserve"> for two or more years </w:t>
      </w:r>
      <w:r w:rsidR="004E00AB" w:rsidRPr="00006F36">
        <w:rPr>
          <w:snapToGrid/>
        </w:rPr>
        <w:t xml:space="preserve">ranged between -0.8 to </w:t>
      </w:r>
      <w:r w:rsidR="00F35A52" w:rsidRPr="00006F36">
        <w:rPr>
          <w:snapToGrid/>
        </w:rPr>
        <w:t>-</w:t>
      </w:r>
      <w:r w:rsidR="004E00AB" w:rsidRPr="00006F36">
        <w:rPr>
          <w:snapToGrid/>
        </w:rPr>
        <w:t>2.6 ml/min/1.73m</w:t>
      </w:r>
      <w:r w:rsidR="004E00AB" w:rsidRPr="00006F36">
        <w:rPr>
          <w:snapToGrid/>
          <w:vertAlign w:val="superscript"/>
        </w:rPr>
        <w:t>2</w:t>
      </w:r>
      <w:r w:rsidR="004E00AB" w:rsidRPr="00006F36">
        <w:rPr>
          <w:snapToGrid/>
        </w:rPr>
        <w:t xml:space="preserve">. </w:t>
      </w:r>
      <w:r w:rsidR="00971DF9" w:rsidRPr="00006F36">
        <w:rPr>
          <w:snapToGrid/>
        </w:rPr>
        <w:t>The standard deviation around the</w:t>
      </w:r>
      <w:r w:rsidR="008F3DDE" w:rsidRPr="00006F36">
        <w:rPr>
          <w:snapToGrid/>
        </w:rPr>
        <w:t xml:space="preserve"> mean</w:t>
      </w:r>
      <w:r w:rsidR="00971DF9" w:rsidRPr="00006F36">
        <w:rPr>
          <w:snapToGrid/>
        </w:rPr>
        <w:t xml:space="preserve"> annualised eGFR changes in Bichet 2021 were generally large relative to the point estimates, </w:t>
      </w:r>
      <w:r w:rsidR="008F3DDE" w:rsidRPr="00006F36">
        <w:rPr>
          <w:snapToGrid/>
        </w:rPr>
        <w:t xml:space="preserve">reflective </w:t>
      </w:r>
      <w:r w:rsidR="00971DF9" w:rsidRPr="00006F36">
        <w:rPr>
          <w:snapToGrid/>
        </w:rPr>
        <w:t>of the small sample size.</w:t>
      </w:r>
    </w:p>
    <w:p w14:paraId="49E0CB17" w14:textId="77777777" w:rsidR="00D12810" w:rsidRDefault="007634EE" w:rsidP="00EC5836">
      <w:pPr>
        <w:pStyle w:val="3-BodyText"/>
        <w:rPr>
          <w:i/>
          <w:iCs/>
          <w:snapToGrid/>
        </w:rPr>
      </w:pPr>
      <w:r w:rsidRPr="00006F36">
        <w:rPr>
          <w:snapToGrid/>
        </w:rPr>
        <w:t>The submission claimed that Bichet 2021 concluded that the rate of renal decline observed in patient</w:t>
      </w:r>
      <w:r w:rsidR="00083918" w:rsidRPr="00006F36">
        <w:rPr>
          <w:snapToGrid/>
        </w:rPr>
        <w:t>s</w:t>
      </w:r>
      <w:r w:rsidRPr="00006F36">
        <w:rPr>
          <w:snapToGrid/>
        </w:rPr>
        <w:t xml:space="preserve"> who received two or more years of migalastat </w:t>
      </w:r>
      <w:r w:rsidR="004E3831" w:rsidRPr="00006F36">
        <w:rPr>
          <w:snapToGrid/>
        </w:rPr>
        <w:t>were</w:t>
      </w:r>
      <w:r w:rsidR="00143033" w:rsidRPr="00006F36">
        <w:rPr>
          <w:snapToGrid/>
        </w:rPr>
        <w:t xml:space="preserve"> similar to or lower than ERT treated patients, </w:t>
      </w:r>
      <w:r w:rsidR="004E3831" w:rsidRPr="00006F36">
        <w:rPr>
          <w:snapToGrid/>
        </w:rPr>
        <w:t>lower than untreated historical cohorts and were comparable to the normal rate of decline in age. However</w:t>
      </w:r>
      <w:r w:rsidR="00880F2B" w:rsidRPr="00006F36">
        <w:rPr>
          <w:snapToGrid/>
        </w:rPr>
        <w:t xml:space="preserve">, </w:t>
      </w:r>
      <w:r w:rsidR="00835025" w:rsidRPr="00006F36">
        <w:rPr>
          <w:snapToGrid/>
        </w:rPr>
        <w:t xml:space="preserve">these were all single arm observational studies and any </w:t>
      </w:r>
      <w:r w:rsidR="004E3831" w:rsidRPr="00006F36">
        <w:rPr>
          <w:snapToGrid/>
        </w:rPr>
        <w:t>comparison</w:t>
      </w:r>
      <w:r w:rsidR="00835025" w:rsidRPr="00006F36">
        <w:rPr>
          <w:snapToGrid/>
        </w:rPr>
        <w:t xml:space="preserve"> across</w:t>
      </w:r>
      <w:r w:rsidR="004E3831" w:rsidRPr="00006F36">
        <w:rPr>
          <w:snapToGrid/>
        </w:rPr>
        <w:t xml:space="preserve"> </w:t>
      </w:r>
      <w:r w:rsidR="00835025" w:rsidRPr="00006F36">
        <w:rPr>
          <w:snapToGrid/>
        </w:rPr>
        <w:t xml:space="preserve">study results </w:t>
      </w:r>
      <w:r w:rsidR="004E3831" w:rsidRPr="00006F36">
        <w:rPr>
          <w:snapToGrid/>
        </w:rPr>
        <w:t>would be highly confounded</w:t>
      </w:r>
      <w:r w:rsidR="00804490" w:rsidRPr="00006F36">
        <w:rPr>
          <w:snapToGrid/>
        </w:rPr>
        <w:t xml:space="preserve"> and should be interpreted with caution</w:t>
      </w:r>
      <w:r w:rsidR="00835025" w:rsidRPr="00006F36">
        <w:rPr>
          <w:snapToGrid/>
        </w:rPr>
        <w:t>.</w:t>
      </w:r>
      <w:r w:rsidR="004603FA" w:rsidRPr="00006F36">
        <w:rPr>
          <w:snapToGrid/>
        </w:rPr>
        <w:t xml:space="preserve"> </w:t>
      </w:r>
      <w:r w:rsidR="006C6F77" w:rsidRPr="00006F36">
        <w:rPr>
          <w:snapToGrid/>
        </w:rPr>
        <w:t>Notably</w:t>
      </w:r>
      <w:r w:rsidR="00835025" w:rsidRPr="00006F36">
        <w:rPr>
          <w:snapToGrid/>
        </w:rPr>
        <w:t xml:space="preserve">, </w:t>
      </w:r>
      <w:r w:rsidR="004603FA" w:rsidRPr="00006F36">
        <w:rPr>
          <w:snapToGrid/>
        </w:rPr>
        <w:t>not all the results</w:t>
      </w:r>
      <w:r w:rsidR="00274DEB" w:rsidRPr="00006F36">
        <w:rPr>
          <w:snapToGrid/>
        </w:rPr>
        <w:t xml:space="preserve"> </w:t>
      </w:r>
      <w:r w:rsidR="00EB6727" w:rsidRPr="00006F36">
        <w:rPr>
          <w:snapToGrid/>
        </w:rPr>
        <w:t>were consistent</w:t>
      </w:r>
      <w:r w:rsidR="00804490" w:rsidRPr="00006F36">
        <w:rPr>
          <w:snapToGrid/>
        </w:rPr>
        <w:t>.</w:t>
      </w:r>
      <w:r w:rsidR="00274DEB" w:rsidRPr="00006F36">
        <w:rPr>
          <w:snapToGrid/>
        </w:rPr>
        <w:t xml:space="preserve"> For example, </w:t>
      </w:r>
      <w:r w:rsidR="0064791B" w:rsidRPr="00006F36">
        <w:rPr>
          <w:snapToGrid/>
        </w:rPr>
        <w:t>there were substantial differences in the point estimate for eGFR declines in Madsen 2019 compared to Rombach 2013 even though both included ER</w:t>
      </w:r>
      <w:r w:rsidR="00532D0D" w:rsidRPr="00006F36">
        <w:rPr>
          <w:snapToGrid/>
        </w:rPr>
        <w:t xml:space="preserve">T treated patients, and </w:t>
      </w:r>
      <w:r w:rsidR="00EB6727" w:rsidRPr="00006F36">
        <w:rPr>
          <w:snapToGrid/>
        </w:rPr>
        <w:t xml:space="preserve">the </w:t>
      </w:r>
      <w:r w:rsidR="00532D0D" w:rsidRPr="00006F36">
        <w:rPr>
          <w:snapToGrid/>
        </w:rPr>
        <w:t xml:space="preserve">eGFR decline in </w:t>
      </w:r>
      <w:r w:rsidR="00EB6727" w:rsidRPr="00006F36">
        <w:rPr>
          <w:snapToGrid/>
        </w:rPr>
        <w:t>healthy Japanese women in Baba 2015 (-1.11)</w:t>
      </w:r>
      <w:r w:rsidR="00532D0D" w:rsidRPr="00006F36">
        <w:rPr>
          <w:snapToGrid/>
        </w:rPr>
        <w:t xml:space="preserve"> was numerically worse than </w:t>
      </w:r>
      <w:r w:rsidR="00362540" w:rsidRPr="00006F36">
        <w:rPr>
          <w:snapToGrid/>
        </w:rPr>
        <w:t xml:space="preserve">untreated </w:t>
      </w:r>
      <w:r w:rsidR="00862568" w:rsidRPr="00006F36">
        <w:rPr>
          <w:snapToGrid/>
        </w:rPr>
        <w:t xml:space="preserve">females </w:t>
      </w:r>
      <w:r w:rsidR="00362540" w:rsidRPr="00006F36">
        <w:rPr>
          <w:snapToGrid/>
        </w:rPr>
        <w:t xml:space="preserve">with Fabry disease </w:t>
      </w:r>
      <w:r w:rsidR="00862568" w:rsidRPr="00006F36">
        <w:rPr>
          <w:snapToGrid/>
        </w:rPr>
        <w:t xml:space="preserve">with </w:t>
      </w:r>
      <w:r w:rsidR="000D5A46" w:rsidRPr="00006F36">
        <w:rPr>
          <w:snapToGrid/>
        </w:rPr>
        <w:t>baseline eGFR ≥60 mL/min/1.73m</w:t>
      </w:r>
      <w:r w:rsidR="000D5A46" w:rsidRPr="00006F36">
        <w:rPr>
          <w:snapToGrid/>
          <w:vertAlign w:val="superscript"/>
        </w:rPr>
        <w:t xml:space="preserve">2 </w:t>
      </w:r>
      <w:r w:rsidR="000D5A46" w:rsidRPr="00006F36">
        <w:rPr>
          <w:snapToGrid/>
        </w:rPr>
        <w:t xml:space="preserve">in Schiffmann 2009 (-0.9), </w:t>
      </w:r>
      <w:r w:rsidR="00362540" w:rsidRPr="00006F36">
        <w:rPr>
          <w:snapToGrid/>
        </w:rPr>
        <w:t xml:space="preserve">as well as </w:t>
      </w:r>
      <w:r w:rsidR="00971DF9" w:rsidRPr="00006F36">
        <w:rPr>
          <w:snapToGrid/>
        </w:rPr>
        <w:t xml:space="preserve">ERT experienced </w:t>
      </w:r>
      <w:r w:rsidR="00362540" w:rsidRPr="00006F36">
        <w:rPr>
          <w:snapToGrid/>
        </w:rPr>
        <w:t>females treated with migalastat in Bichet 2021 (</w:t>
      </w:r>
      <w:r w:rsidR="00971DF9" w:rsidRPr="00006F36">
        <w:rPr>
          <w:snapToGrid/>
        </w:rPr>
        <w:t xml:space="preserve">-0.8) </w:t>
      </w:r>
      <w:r w:rsidR="00FA0860" w:rsidRPr="00006F36">
        <w:rPr>
          <w:snapToGrid/>
        </w:rPr>
        <w:t xml:space="preserve">and </w:t>
      </w:r>
      <w:r w:rsidR="000D5A46" w:rsidRPr="00006F36">
        <w:rPr>
          <w:snapToGrid/>
        </w:rPr>
        <w:t xml:space="preserve">females </w:t>
      </w:r>
      <w:r w:rsidR="00FA0860" w:rsidRPr="00006F36">
        <w:rPr>
          <w:snapToGrid/>
        </w:rPr>
        <w:t xml:space="preserve">treated with ERT </w:t>
      </w:r>
      <w:r w:rsidR="000D5A46" w:rsidRPr="00006F36">
        <w:rPr>
          <w:snapToGrid/>
        </w:rPr>
        <w:t xml:space="preserve">in </w:t>
      </w:r>
      <w:r w:rsidR="00FA0860" w:rsidRPr="00006F36">
        <w:rPr>
          <w:snapToGrid/>
        </w:rPr>
        <w:t xml:space="preserve">both </w:t>
      </w:r>
      <w:r w:rsidR="000D5A46" w:rsidRPr="00006F36">
        <w:rPr>
          <w:snapToGrid/>
        </w:rPr>
        <w:t>Rombach 2013</w:t>
      </w:r>
      <w:r w:rsidR="00FA0860" w:rsidRPr="00006F36">
        <w:rPr>
          <w:snapToGrid/>
        </w:rPr>
        <w:t xml:space="preserve"> (-0.8) and Madsen 2019 (-0.01)</w:t>
      </w:r>
      <w:r w:rsidR="00EB6727" w:rsidRPr="00006F36">
        <w:rPr>
          <w:snapToGrid/>
        </w:rPr>
        <w:t xml:space="preserve">. </w:t>
      </w:r>
      <w:r w:rsidR="00F66AA5" w:rsidRPr="00006F36">
        <w:rPr>
          <w:snapToGrid/>
        </w:rPr>
        <w:t>Overall, Bichet 2021 should not be relied upon as a source of comparative effectiveness</w:t>
      </w:r>
      <w:r w:rsidR="00143033" w:rsidRPr="00006F36">
        <w:rPr>
          <w:snapToGrid/>
        </w:rPr>
        <w:t>.</w:t>
      </w:r>
    </w:p>
    <w:p w14:paraId="7CE80ABF" w14:textId="5A4CA848" w:rsidR="00DF71A0" w:rsidRPr="00006F36" w:rsidRDefault="00754302" w:rsidP="00EC5836">
      <w:pPr>
        <w:pStyle w:val="3-BodyText"/>
      </w:pPr>
      <w:r w:rsidRPr="00006F36">
        <w:rPr>
          <w:snapToGrid/>
        </w:rPr>
        <w:t xml:space="preserve">The </w:t>
      </w:r>
      <w:r w:rsidR="00EB50F8" w:rsidRPr="00006F36">
        <w:rPr>
          <w:snapToGrid/>
        </w:rPr>
        <w:t>s</w:t>
      </w:r>
      <w:r w:rsidRPr="00006F36">
        <w:rPr>
          <w:snapToGrid/>
        </w:rPr>
        <w:t xml:space="preserve">ubmission also </w:t>
      </w:r>
      <w:r w:rsidR="00005C34" w:rsidRPr="00006F36">
        <w:rPr>
          <w:snapToGrid/>
        </w:rPr>
        <w:t xml:space="preserve">reported </w:t>
      </w:r>
      <w:r w:rsidR="002C4A4D" w:rsidRPr="00006F36">
        <w:rPr>
          <w:snapToGrid/>
        </w:rPr>
        <w:t xml:space="preserve">results from Hughes 2023, who reported </w:t>
      </w:r>
      <w:r w:rsidR="00F35A52" w:rsidRPr="00006F36">
        <w:rPr>
          <w:snapToGrid/>
        </w:rPr>
        <w:t xml:space="preserve">the incidence of </w:t>
      </w:r>
      <w:r w:rsidR="00F35A52" w:rsidRPr="00006F36">
        <w:t>Fabry-associated clinical events</w:t>
      </w:r>
      <w:r w:rsidR="00F35A52" w:rsidRPr="00006F36">
        <w:rPr>
          <w:snapToGrid/>
        </w:rPr>
        <w:t xml:space="preserve"> (</w:t>
      </w:r>
      <w:r w:rsidR="00B6211F" w:rsidRPr="00006F36">
        <w:rPr>
          <w:snapToGrid/>
        </w:rPr>
        <w:t>FACE</w:t>
      </w:r>
      <w:r w:rsidR="00F35A52" w:rsidRPr="00006F36">
        <w:rPr>
          <w:snapToGrid/>
        </w:rPr>
        <w:t>)</w:t>
      </w:r>
      <w:r w:rsidR="00B6211F" w:rsidRPr="00006F36">
        <w:rPr>
          <w:snapToGrid/>
        </w:rPr>
        <w:t xml:space="preserve"> </w:t>
      </w:r>
      <w:r w:rsidR="00A832C9" w:rsidRPr="00006F36">
        <w:rPr>
          <w:snapToGrid/>
        </w:rPr>
        <w:t xml:space="preserve">and death due to FACE </w:t>
      </w:r>
      <w:r w:rsidR="00B6211F" w:rsidRPr="00006F36">
        <w:rPr>
          <w:snapToGrid/>
        </w:rPr>
        <w:t xml:space="preserve">in </w:t>
      </w:r>
      <w:r w:rsidR="004515E0" w:rsidRPr="00006F36">
        <w:rPr>
          <w:snapToGrid/>
        </w:rPr>
        <w:t xml:space="preserve">97 </w:t>
      </w:r>
      <w:r w:rsidR="00B6211F" w:rsidRPr="00006F36">
        <w:rPr>
          <w:snapToGrid/>
        </w:rPr>
        <w:t xml:space="preserve">patients </w:t>
      </w:r>
      <w:r w:rsidR="00A832C9" w:rsidRPr="00006F36">
        <w:rPr>
          <w:snapToGrid/>
        </w:rPr>
        <w:t xml:space="preserve">(48 ERT naïve and 49 ERT experienced) </w:t>
      </w:r>
      <w:r w:rsidR="002C4A4D" w:rsidRPr="00006F36">
        <w:rPr>
          <w:snapToGrid/>
        </w:rPr>
        <w:t xml:space="preserve">who were </w:t>
      </w:r>
      <w:r w:rsidR="00E36D29" w:rsidRPr="00006F36">
        <w:rPr>
          <w:snapToGrid/>
        </w:rPr>
        <w:t xml:space="preserve">enrolled in ATTRACT and FACETS </w:t>
      </w:r>
      <w:r w:rsidR="00D504B9" w:rsidRPr="00006F36">
        <w:rPr>
          <w:snapToGrid/>
        </w:rPr>
        <w:t xml:space="preserve">(and the extension studies) </w:t>
      </w:r>
      <w:r w:rsidR="00E36D29" w:rsidRPr="00006F36">
        <w:rPr>
          <w:snapToGrid/>
        </w:rPr>
        <w:t>and</w:t>
      </w:r>
      <w:r w:rsidR="00530844" w:rsidRPr="00006F36">
        <w:rPr>
          <w:snapToGrid/>
        </w:rPr>
        <w:t xml:space="preserve"> </w:t>
      </w:r>
      <w:r w:rsidR="002C4A4D" w:rsidRPr="00006F36">
        <w:rPr>
          <w:snapToGrid/>
        </w:rPr>
        <w:t>treated with migalastat for up to 8.6 years (median 5</w:t>
      </w:r>
      <w:r w:rsidR="001D69FB" w:rsidRPr="00006F36">
        <w:rPr>
          <w:snapToGrid/>
        </w:rPr>
        <w:t>.1</w:t>
      </w:r>
      <w:r w:rsidR="002C4A4D" w:rsidRPr="00006F36">
        <w:rPr>
          <w:snapToGrid/>
        </w:rPr>
        <w:t xml:space="preserve"> years</w:t>
      </w:r>
      <w:r w:rsidR="003F7093" w:rsidRPr="00006F36">
        <w:rPr>
          <w:snapToGrid/>
        </w:rPr>
        <w:t>, range 0.1-8.6</w:t>
      </w:r>
      <w:r w:rsidR="002C4A4D" w:rsidRPr="00006F36">
        <w:rPr>
          <w:snapToGrid/>
        </w:rPr>
        <w:t xml:space="preserve">). </w:t>
      </w:r>
      <w:r w:rsidR="00DF71A0" w:rsidRPr="00006F36">
        <w:rPr>
          <w:snapToGrid/>
        </w:rPr>
        <w:t>FACE were defined as:</w:t>
      </w:r>
    </w:p>
    <w:p w14:paraId="1D2C05C2" w14:textId="16C50F83" w:rsidR="007E1285" w:rsidRPr="00006F36" w:rsidRDefault="007E1285" w:rsidP="00947AB2">
      <w:pPr>
        <w:pStyle w:val="3-BodyText"/>
        <w:numPr>
          <w:ilvl w:val="0"/>
          <w:numId w:val="13"/>
        </w:numPr>
        <w:ind w:left="1134" w:hanging="425"/>
        <w:rPr>
          <w:snapToGrid/>
        </w:rPr>
      </w:pPr>
      <w:r w:rsidRPr="00006F36">
        <w:rPr>
          <w:snapToGrid/>
        </w:rPr>
        <w:t>renal events, which included doubling of serum creatinine levels from the start of baseline (where levels remained double or greater between two consecutive values) or end-stage renal disease requiring long-term dialysis or transplantation;</w:t>
      </w:r>
    </w:p>
    <w:p w14:paraId="489D83B7" w14:textId="77777777" w:rsidR="00D12810" w:rsidRDefault="007E1285" w:rsidP="00947AB2">
      <w:pPr>
        <w:pStyle w:val="3-BodyText"/>
        <w:numPr>
          <w:ilvl w:val="0"/>
          <w:numId w:val="13"/>
        </w:numPr>
        <w:ind w:left="1134" w:hanging="425"/>
        <w:rPr>
          <w:snapToGrid/>
        </w:rPr>
      </w:pPr>
      <w:r w:rsidRPr="00006F36">
        <w:rPr>
          <w:snapToGrid/>
        </w:rPr>
        <w:t>cardiac events, which included myocardial infarction; new symptomatic arrhythmia requiring medication, direct current cardioversion or an interventional procedure (e</w:t>
      </w:r>
      <w:r w:rsidR="00924F01" w:rsidRPr="00006F36">
        <w:rPr>
          <w:snapToGrid/>
        </w:rPr>
        <w:t>.</w:t>
      </w:r>
      <w:r w:rsidRPr="00006F36">
        <w:rPr>
          <w:snapToGrid/>
        </w:rPr>
        <w:t>g</w:t>
      </w:r>
      <w:r w:rsidR="00924F01" w:rsidRPr="00006F36">
        <w:rPr>
          <w:snapToGrid/>
        </w:rPr>
        <w:t>.</w:t>
      </w:r>
      <w:r w:rsidRPr="00006F36">
        <w:rPr>
          <w:snapToGrid/>
        </w:rPr>
        <w:t xml:space="preserve"> ablation, pacemaker or defibrillator implantation); unstable angina defined by national practice guidelines and accompanied by electrocardiographic changes; congestive heart failure requiring hospitalisation; any major cardiac medical procedure (e</w:t>
      </w:r>
      <w:r w:rsidR="00924F01" w:rsidRPr="00006F36">
        <w:rPr>
          <w:snapToGrid/>
        </w:rPr>
        <w:t>.</w:t>
      </w:r>
      <w:r w:rsidRPr="00006F36">
        <w:rPr>
          <w:snapToGrid/>
        </w:rPr>
        <w:t>g</w:t>
      </w:r>
      <w:r w:rsidR="00924F01" w:rsidRPr="00006F36">
        <w:rPr>
          <w:snapToGrid/>
        </w:rPr>
        <w:t>.</w:t>
      </w:r>
      <w:r w:rsidRPr="00006F36">
        <w:rPr>
          <w:snapToGrid/>
        </w:rPr>
        <w:t xml:space="preserve"> valve replacement, stent implantation, transplant or persistent atrial fibrillation)</w:t>
      </w:r>
      <w:r w:rsidR="004515E0" w:rsidRPr="00006F36">
        <w:rPr>
          <w:snapToGrid/>
        </w:rPr>
        <w:t>;</w:t>
      </w:r>
      <w:r w:rsidRPr="00006F36">
        <w:rPr>
          <w:snapToGrid/>
        </w:rPr>
        <w:t xml:space="preserve"> and</w:t>
      </w:r>
    </w:p>
    <w:p w14:paraId="52E7B1C1" w14:textId="4FDC11A3" w:rsidR="007E1285" w:rsidRPr="00006F36" w:rsidRDefault="007E1285" w:rsidP="00947AB2">
      <w:pPr>
        <w:pStyle w:val="3-BodyText"/>
        <w:numPr>
          <w:ilvl w:val="0"/>
          <w:numId w:val="13"/>
        </w:numPr>
        <w:ind w:left="1134" w:hanging="425"/>
        <w:rPr>
          <w:snapToGrid/>
        </w:rPr>
      </w:pPr>
      <w:r w:rsidRPr="00006F36">
        <w:rPr>
          <w:snapToGrid/>
        </w:rPr>
        <w:t>cerebrovascular events, including stroke or transient ischaemic attack as documented by a physician.</w:t>
      </w:r>
    </w:p>
    <w:p w14:paraId="7C117503" w14:textId="77777777" w:rsidR="00D12810" w:rsidRDefault="005729FA" w:rsidP="00EC5836">
      <w:pPr>
        <w:pStyle w:val="3-BodyText"/>
      </w:pPr>
      <w:r w:rsidRPr="00006F36">
        <w:t xml:space="preserve">Hughes 2023 reported an overall incidence of FACE </w:t>
      </w:r>
      <w:r w:rsidR="00F35A52" w:rsidRPr="00006F36">
        <w:t xml:space="preserve">of </w:t>
      </w:r>
      <w:r w:rsidR="001D69FB" w:rsidRPr="00006F36">
        <w:t xml:space="preserve">48.3 per 1000 patient-years in patients treated with migalastat long term. </w:t>
      </w:r>
      <w:r w:rsidR="003F7093" w:rsidRPr="00006F36">
        <w:t>The majority of ERT naïve (</w:t>
      </w:r>
      <w:r w:rsidR="00A614B5" w:rsidRPr="00006F36">
        <w:t>37/48, 77.1%)</w:t>
      </w:r>
      <w:r w:rsidR="00D12810">
        <w:t xml:space="preserve"> </w:t>
      </w:r>
      <w:r w:rsidR="00AE232C" w:rsidRPr="00006F36">
        <w:t>and ERT experienced (43/49, 87.8%)</w:t>
      </w:r>
      <w:r w:rsidR="005E6CFC" w:rsidRPr="00006F36">
        <w:t xml:space="preserve"> patients treated with migalastat did not experience any FACE</w:t>
      </w:r>
      <w:r w:rsidR="0022289B" w:rsidRPr="00006F36">
        <w:t xml:space="preserve">, and overall, 17/97 (17.5%) of patients experienced 22 FACE </w:t>
      </w:r>
      <w:r w:rsidR="0022289B" w:rsidRPr="00006F36">
        <w:lastRenderedPageBreak/>
        <w:t xml:space="preserve">while on migalastat. </w:t>
      </w:r>
      <w:r w:rsidR="008E076A" w:rsidRPr="00006F36">
        <w:t xml:space="preserve">A summary of the incidence of FACE per 1000 patient years in Hughes 2023 is presented in </w:t>
      </w:r>
      <w:r w:rsidR="008E076A" w:rsidRPr="00006F36">
        <w:fldChar w:fldCharType="begin" w:fldLock="1"/>
      </w:r>
      <w:r w:rsidR="008E076A" w:rsidRPr="00006F36">
        <w:instrText xml:space="preserve"> REF _Ref151468934 \h </w:instrText>
      </w:r>
      <w:r w:rsidR="008E076A" w:rsidRPr="00006F36">
        <w:fldChar w:fldCharType="separate"/>
      </w:r>
      <w:r w:rsidR="00F42C5D" w:rsidRPr="00006F36">
        <w:t xml:space="preserve">Table </w:t>
      </w:r>
      <w:r w:rsidR="00F42C5D">
        <w:rPr>
          <w:noProof/>
        </w:rPr>
        <w:t>7</w:t>
      </w:r>
      <w:r w:rsidR="008E076A" w:rsidRPr="00006F36">
        <w:fldChar w:fldCharType="end"/>
      </w:r>
      <w:r w:rsidR="008E076A" w:rsidRPr="00006F36">
        <w:t>.</w:t>
      </w:r>
    </w:p>
    <w:p w14:paraId="36CDF360" w14:textId="5DD2D3BA" w:rsidR="00DA1A96" w:rsidRPr="00006F36" w:rsidRDefault="00DA1A96" w:rsidP="000D2429">
      <w:pPr>
        <w:pStyle w:val="Caption"/>
      </w:pPr>
      <w:bookmarkStart w:id="36" w:name="_Ref151468934"/>
      <w:r w:rsidRPr="00006F36">
        <w:t xml:space="preserve">Table </w:t>
      </w:r>
      <w:r w:rsidR="008C634B">
        <w:fldChar w:fldCharType="begin" w:fldLock="1"/>
      </w:r>
      <w:r w:rsidR="008C634B">
        <w:instrText xml:space="preserve"> SEQ Table \* ARABIC </w:instrText>
      </w:r>
      <w:r w:rsidR="008C634B">
        <w:fldChar w:fldCharType="separate"/>
      </w:r>
      <w:r w:rsidR="00F42C5D">
        <w:rPr>
          <w:noProof/>
        </w:rPr>
        <w:t>7</w:t>
      </w:r>
      <w:r w:rsidR="008C634B">
        <w:rPr>
          <w:noProof/>
        </w:rPr>
        <w:fldChar w:fldCharType="end"/>
      </w:r>
      <w:bookmarkEnd w:id="36"/>
      <w:r w:rsidR="00B44C41" w:rsidRPr="00006F36">
        <w:t>:</w:t>
      </w:r>
      <w:r w:rsidRPr="00006F36">
        <w:t xml:space="preserve"> FACE incidence </w:t>
      </w:r>
      <w:r w:rsidR="008E076A" w:rsidRPr="00006F36">
        <w:t xml:space="preserve">(per 1000 patient years) </w:t>
      </w:r>
      <w:r w:rsidRPr="00006F36">
        <w:t>in Hughes 2023</w:t>
      </w:r>
    </w:p>
    <w:tbl>
      <w:tblPr>
        <w:tblStyle w:val="TableGrid"/>
        <w:tblW w:w="5000" w:type="pct"/>
        <w:tblLook w:val="04A0" w:firstRow="1" w:lastRow="0" w:firstColumn="1" w:lastColumn="0" w:noHBand="0" w:noVBand="1"/>
        <w:tblCaption w:val="Table 7: FACE incidence (per 1000 patient years) in Hughes 2023"/>
      </w:tblPr>
      <w:tblGrid>
        <w:gridCol w:w="2692"/>
        <w:gridCol w:w="709"/>
        <w:gridCol w:w="1322"/>
        <w:gridCol w:w="1322"/>
        <w:gridCol w:w="1322"/>
        <w:gridCol w:w="1650"/>
      </w:tblGrid>
      <w:tr w:rsidR="008E076A" w:rsidRPr="00006F36" w14:paraId="33DDB71A" w14:textId="77777777" w:rsidTr="004B69B9">
        <w:tc>
          <w:tcPr>
            <w:tcW w:w="1493" w:type="pct"/>
          </w:tcPr>
          <w:p w14:paraId="51265C6A" w14:textId="77777777" w:rsidR="008E076A" w:rsidRPr="00006F36" w:rsidRDefault="008E076A" w:rsidP="005F5FBB">
            <w:pPr>
              <w:rPr>
                <w:rFonts w:ascii="Arial Narrow" w:hAnsi="Arial Narrow"/>
                <w:b/>
                <w:bCs/>
                <w:sz w:val="20"/>
                <w:szCs w:val="20"/>
              </w:rPr>
            </w:pPr>
            <w:r w:rsidRPr="00006F36">
              <w:rPr>
                <w:rFonts w:ascii="Arial Narrow" w:hAnsi="Arial Narrow"/>
                <w:b/>
                <w:bCs/>
                <w:sz w:val="20"/>
                <w:szCs w:val="20"/>
              </w:rPr>
              <w:t>Per 1000 patient years</w:t>
            </w:r>
          </w:p>
        </w:tc>
        <w:tc>
          <w:tcPr>
            <w:tcW w:w="393" w:type="pct"/>
            <w:vAlign w:val="center"/>
          </w:tcPr>
          <w:p w14:paraId="47B428A5" w14:textId="77777777" w:rsidR="008E076A" w:rsidRPr="00006F36" w:rsidRDefault="008E076A" w:rsidP="005F5FBB">
            <w:pPr>
              <w:jc w:val="center"/>
              <w:rPr>
                <w:rFonts w:ascii="Arial Narrow" w:hAnsi="Arial Narrow"/>
                <w:b/>
                <w:bCs/>
                <w:sz w:val="20"/>
                <w:szCs w:val="20"/>
              </w:rPr>
            </w:pPr>
            <w:r w:rsidRPr="00006F36">
              <w:rPr>
                <w:rFonts w:ascii="Arial Narrow" w:hAnsi="Arial Narrow"/>
                <w:b/>
                <w:bCs/>
                <w:sz w:val="20"/>
                <w:szCs w:val="20"/>
              </w:rPr>
              <w:t>N</w:t>
            </w:r>
          </w:p>
        </w:tc>
        <w:tc>
          <w:tcPr>
            <w:tcW w:w="733" w:type="pct"/>
            <w:vAlign w:val="center"/>
          </w:tcPr>
          <w:p w14:paraId="65882F7C" w14:textId="77777777" w:rsidR="008E076A" w:rsidRPr="00006F36" w:rsidRDefault="008E076A" w:rsidP="005F5FBB">
            <w:pPr>
              <w:jc w:val="center"/>
              <w:rPr>
                <w:rFonts w:ascii="Arial Narrow" w:hAnsi="Arial Narrow"/>
                <w:b/>
                <w:bCs/>
                <w:sz w:val="20"/>
                <w:szCs w:val="20"/>
              </w:rPr>
            </w:pPr>
            <w:r w:rsidRPr="00006F36">
              <w:rPr>
                <w:rFonts w:ascii="Arial Narrow" w:hAnsi="Arial Narrow"/>
                <w:b/>
                <w:bCs/>
                <w:sz w:val="20"/>
                <w:szCs w:val="20"/>
              </w:rPr>
              <w:t>Total FACE</w:t>
            </w:r>
          </w:p>
        </w:tc>
        <w:tc>
          <w:tcPr>
            <w:tcW w:w="733" w:type="pct"/>
            <w:vAlign w:val="center"/>
          </w:tcPr>
          <w:p w14:paraId="34929751" w14:textId="77777777" w:rsidR="008E076A" w:rsidRPr="00006F36" w:rsidRDefault="008E076A" w:rsidP="005F5FBB">
            <w:pPr>
              <w:jc w:val="center"/>
              <w:rPr>
                <w:rFonts w:ascii="Arial Narrow" w:hAnsi="Arial Narrow"/>
                <w:b/>
                <w:bCs/>
                <w:sz w:val="20"/>
                <w:szCs w:val="20"/>
              </w:rPr>
            </w:pPr>
            <w:r w:rsidRPr="00006F36">
              <w:rPr>
                <w:rFonts w:ascii="Arial Narrow" w:hAnsi="Arial Narrow"/>
                <w:b/>
                <w:bCs/>
                <w:sz w:val="20"/>
                <w:szCs w:val="20"/>
              </w:rPr>
              <w:t>Renal</w:t>
            </w:r>
          </w:p>
        </w:tc>
        <w:tc>
          <w:tcPr>
            <w:tcW w:w="733" w:type="pct"/>
            <w:vAlign w:val="center"/>
          </w:tcPr>
          <w:p w14:paraId="76C3CE25" w14:textId="77777777" w:rsidR="008E076A" w:rsidRPr="00006F36" w:rsidRDefault="008E076A" w:rsidP="005F5FBB">
            <w:pPr>
              <w:jc w:val="center"/>
              <w:rPr>
                <w:rFonts w:ascii="Arial Narrow" w:hAnsi="Arial Narrow"/>
                <w:b/>
                <w:bCs/>
                <w:sz w:val="20"/>
                <w:szCs w:val="20"/>
              </w:rPr>
            </w:pPr>
            <w:r w:rsidRPr="00006F36">
              <w:rPr>
                <w:rFonts w:ascii="Arial Narrow" w:hAnsi="Arial Narrow"/>
                <w:b/>
                <w:bCs/>
                <w:sz w:val="20"/>
                <w:szCs w:val="20"/>
              </w:rPr>
              <w:t>Cardiac</w:t>
            </w:r>
          </w:p>
        </w:tc>
        <w:tc>
          <w:tcPr>
            <w:tcW w:w="915" w:type="pct"/>
            <w:vAlign w:val="center"/>
          </w:tcPr>
          <w:p w14:paraId="50C86BD5" w14:textId="77777777" w:rsidR="008E076A" w:rsidRPr="00006F36" w:rsidRDefault="008E076A" w:rsidP="005F5FBB">
            <w:pPr>
              <w:jc w:val="center"/>
              <w:rPr>
                <w:rFonts w:ascii="Arial Narrow" w:hAnsi="Arial Narrow"/>
                <w:b/>
                <w:bCs/>
                <w:sz w:val="20"/>
                <w:szCs w:val="20"/>
              </w:rPr>
            </w:pPr>
            <w:r w:rsidRPr="00006F36">
              <w:rPr>
                <w:rFonts w:ascii="Arial Narrow" w:hAnsi="Arial Narrow"/>
                <w:b/>
                <w:bCs/>
                <w:sz w:val="20"/>
                <w:szCs w:val="20"/>
              </w:rPr>
              <w:t>Cerebrovascular</w:t>
            </w:r>
          </w:p>
        </w:tc>
      </w:tr>
      <w:tr w:rsidR="008E076A" w:rsidRPr="00006F36" w14:paraId="783A269E" w14:textId="77777777" w:rsidTr="004B69B9">
        <w:tc>
          <w:tcPr>
            <w:tcW w:w="1493" w:type="pct"/>
          </w:tcPr>
          <w:p w14:paraId="5BC6296D" w14:textId="77777777" w:rsidR="008E076A" w:rsidRPr="00006F36" w:rsidRDefault="008E076A" w:rsidP="005F5FBB">
            <w:pPr>
              <w:rPr>
                <w:rFonts w:ascii="Arial Narrow" w:hAnsi="Arial Narrow"/>
                <w:sz w:val="20"/>
                <w:szCs w:val="20"/>
              </w:rPr>
            </w:pPr>
            <w:r w:rsidRPr="00006F36">
              <w:rPr>
                <w:rFonts w:ascii="Arial Narrow" w:hAnsi="Arial Narrow"/>
                <w:sz w:val="20"/>
                <w:szCs w:val="20"/>
              </w:rPr>
              <w:t>Overall</w:t>
            </w:r>
          </w:p>
        </w:tc>
        <w:tc>
          <w:tcPr>
            <w:tcW w:w="393" w:type="pct"/>
            <w:vAlign w:val="center"/>
          </w:tcPr>
          <w:p w14:paraId="5C30114A"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97</w:t>
            </w:r>
          </w:p>
        </w:tc>
        <w:tc>
          <w:tcPr>
            <w:tcW w:w="733" w:type="pct"/>
            <w:vAlign w:val="center"/>
          </w:tcPr>
          <w:p w14:paraId="3B1423CB"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48.3</w:t>
            </w:r>
          </w:p>
        </w:tc>
        <w:tc>
          <w:tcPr>
            <w:tcW w:w="733" w:type="pct"/>
            <w:vAlign w:val="center"/>
          </w:tcPr>
          <w:p w14:paraId="0EADE968"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4.4</w:t>
            </w:r>
          </w:p>
        </w:tc>
        <w:tc>
          <w:tcPr>
            <w:tcW w:w="733" w:type="pct"/>
            <w:vAlign w:val="center"/>
          </w:tcPr>
          <w:p w14:paraId="40DFF946"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30.7</w:t>
            </w:r>
          </w:p>
        </w:tc>
        <w:tc>
          <w:tcPr>
            <w:tcW w:w="915" w:type="pct"/>
            <w:vAlign w:val="center"/>
          </w:tcPr>
          <w:p w14:paraId="6B6AB8A3"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13.2</w:t>
            </w:r>
          </w:p>
        </w:tc>
      </w:tr>
      <w:tr w:rsidR="008E076A" w:rsidRPr="00006F36" w14:paraId="50DF87B2" w14:textId="77777777" w:rsidTr="004B69B9">
        <w:tc>
          <w:tcPr>
            <w:tcW w:w="1493" w:type="pct"/>
          </w:tcPr>
          <w:p w14:paraId="69E880B2" w14:textId="77777777" w:rsidR="008E076A" w:rsidRPr="00006F36" w:rsidRDefault="008E076A" w:rsidP="005F5FBB">
            <w:pPr>
              <w:ind w:left="318"/>
              <w:rPr>
                <w:rFonts w:ascii="Arial Narrow" w:hAnsi="Arial Narrow"/>
                <w:sz w:val="20"/>
                <w:szCs w:val="20"/>
              </w:rPr>
            </w:pPr>
            <w:r w:rsidRPr="00006F36">
              <w:rPr>
                <w:rFonts w:ascii="Arial Narrow" w:hAnsi="Arial Narrow"/>
                <w:sz w:val="20"/>
                <w:szCs w:val="20"/>
              </w:rPr>
              <w:t>Male</w:t>
            </w:r>
          </w:p>
        </w:tc>
        <w:tc>
          <w:tcPr>
            <w:tcW w:w="393" w:type="pct"/>
            <w:vAlign w:val="center"/>
          </w:tcPr>
          <w:p w14:paraId="179E0BE7"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37</w:t>
            </w:r>
          </w:p>
        </w:tc>
        <w:tc>
          <w:tcPr>
            <w:tcW w:w="733" w:type="pct"/>
            <w:vAlign w:val="center"/>
          </w:tcPr>
          <w:p w14:paraId="253B4B3A"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NR</w:t>
            </w:r>
          </w:p>
        </w:tc>
        <w:tc>
          <w:tcPr>
            <w:tcW w:w="733" w:type="pct"/>
            <w:vAlign w:val="center"/>
          </w:tcPr>
          <w:p w14:paraId="6EC1AD49"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11.5</w:t>
            </w:r>
          </w:p>
        </w:tc>
        <w:tc>
          <w:tcPr>
            <w:tcW w:w="733" w:type="pct"/>
            <w:vAlign w:val="center"/>
          </w:tcPr>
          <w:p w14:paraId="1721B2B9"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40.2</w:t>
            </w:r>
          </w:p>
        </w:tc>
        <w:tc>
          <w:tcPr>
            <w:tcW w:w="915" w:type="pct"/>
            <w:vAlign w:val="center"/>
          </w:tcPr>
          <w:p w14:paraId="02D21796"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17.2</w:t>
            </w:r>
          </w:p>
        </w:tc>
      </w:tr>
      <w:tr w:rsidR="008E076A" w:rsidRPr="00006F36" w14:paraId="0222B257" w14:textId="77777777" w:rsidTr="004B69B9">
        <w:tc>
          <w:tcPr>
            <w:tcW w:w="1493" w:type="pct"/>
          </w:tcPr>
          <w:p w14:paraId="2A6585F8" w14:textId="77777777" w:rsidR="008E076A" w:rsidRPr="00006F36" w:rsidRDefault="008E076A" w:rsidP="005F5FBB">
            <w:pPr>
              <w:ind w:left="318"/>
              <w:rPr>
                <w:rFonts w:ascii="Arial Narrow" w:hAnsi="Arial Narrow"/>
                <w:sz w:val="20"/>
                <w:szCs w:val="20"/>
              </w:rPr>
            </w:pPr>
            <w:r w:rsidRPr="00006F36">
              <w:rPr>
                <w:rFonts w:ascii="Arial Narrow" w:hAnsi="Arial Narrow"/>
                <w:sz w:val="20"/>
                <w:szCs w:val="20"/>
              </w:rPr>
              <w:t>Female</w:t>
            </w:r>
          </w:p>
        </w:tc>
        <w:tc>
          <w:tcPr>
            <w:tcW w:w="393" w:type="pct"/>
            <w:vAlign w:val="center"/>
          </w:tcPr>
          <w:p w14:paraId="13D13E75"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60</w:t>
            </w:r>
          </w:p>
        </w:tc>
        <w:tc>
          <w:tcPr>
            <w:tcW w:w="733" w:type="pct"/>
            <w:vAlign w:val="center"/>
          </w:tcPr>
          <w:p w14:paraId="5D55CD4B"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NR</w:t>
            </w:r>
          </w:p>
        </w:tc>
        <w:tc>
          <w:tcPr>
            <w:tcW w:w="733" w:type="pct"/>
            <w:vAlign w:val="center"/>
          </w:tcPr>
          <w:p w14:paraId="3FB19854"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0</w:t>
            </w:r>
          </w:p>
        </w:tc>
        <w:tc>
          <w:tcPr>
            <w:tcW w:w="733" w:type="pct"/>
            <w:vAlign w:val="center"/>
          </w:tcPr>
          <w:p w14:paraId="1B2D9F71"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24.9</w:t>
            </w:r>
          </w:p>
        </w:tc>
        <w:tc>
          <w:tcPr>
            <w:tcW w:w="915" w:type="pct"/>
            <w:vAlign w:val="center"/>
          </w:tcPr>
          <w:p w14:paraId="404A6C1F"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10.7</w:t>
            </w:r>
          </w:p>
        </w:tc>
      </w:tr>
      <w:tr w:rsidR="008E076A" w:rsidRPr="00006F36" w14:paraId="36747BB6" w14:textId="77777777" w:rsidTr="004B69B9">
        <w:tc>
          <w:tcPr>
            <w:tcW w:w="1493" w:type="pct"/>
          </w:tcPr>
          <w:p w14:paraId="08205541" w14:textId="77777777" w:rsidR="008E076A" w:rsidRPr="00006F36" w:rsidRDefault="008E076A" w:rsidP="005F5FBB">
            <w:pPr>
              <w:ind w:left="318"/>
              <w:rPr>
                <w:rFonts w:ascii="Arial Narrow" w:hAnsi="Arial Narrow"/>
                <w:sz w:val="20"/>
                <w:szCs w:val="20"/>
              </w:rPr>
            </w:pPr>
            <w:r w:rsidRPr="00006F36">
              <w:rPr>
                <w:rFonts w:ascii="Arial Narrow" w:hAnsi="Arial Narrow"/>
                <w:sz w:val="20"/>
                <w:szCs w:val="20"/>
              </w:rPr>
              <w:t>Age ≤40 years</w:t>
            </w:r>
          </w:p>
        </w:tc>
        <w:tc>
          <w:tcPr>
            <w:tcW w:w="393" w:type="pct"/>
            <w:vAlign w:val="center"/>
          </w:tcPr>
          <w:p w14:paraId="5B734115"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31</w:t>
            </w:r>
          </w:p>
        </w:tc>
        <w:tc>
          <w:tcPr>
            <w:tcW w:w="733" w:type="pct"/>
            <w:vAlign w:val="center"/>
          </w:tcPr>
          <w:p w14:paraId="6F94A260"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NR</w:t>
            </w:r>
          </w:p>
        </w:tc>
        <w:tc>
          <w:tcPr>
            <w:tcW w:w="733" w:type="pct"/>
            <w:vAlign w:val="center"/>
          </w:tcPr>
          <w:p w14:paraId="3426330A"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0</w:t>
            </w:r>
          </w:p>
        </w:tc>
        <w:tc>
          <w:tcPr>
            <w:tcW w:w="733" w:type="pct"/>
            <w:vAlign w:val="center"/>
          </w:tcPr>
          <w:p w14:paraId="3880CB58"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0</w:t>
            </w:r>
          </w:p>
        </w:tc>
        <w:tc>
          <w:tcPr>
            <w:tcW w:w="915" w:type="pct"/>
            <w:vAlign w:val="center"/>
          </w:tcPr>
          <w:p w14:paraId="4005B819"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8.8</w:t>
            </w:r>
          </w:p>
        </w:tc>
      </w:tr>
      <w:tr w:rsidR="008E076A" w:rsidRPr="00006F36" w14:paraId="3B2789B1" w14:textId="77777777" w:rsidTr="004B69B9">
        <w:tc>
          <w:tcPr>
            <w:tcW w:w="1493" w:type="pct"/>
          </w:tcPr>
          <w:p w14:paraId="2DBACCC9" w14:textId="77777777" w:rsidR="008E076A" w:rsidRPr="00006F36" w:rsidRDefault="008E076A" w:rsidP="005F5FBB">
            <w:pPr>
              <w:ind w:left="318"/>
              <w:rPr>
                <w:rFonts w:ascii="Arial Narrow" w:hAnsi="Arial Narrow"/>
                <w:sz w:val="20"/>
                <w:szCs w:val="20"/>
              </w:rPr>
            </w:pPr>
            <w:r w:rsidRPr="00006F36">
              <w:rPr>
                <w:rFonts w:ascii="Arial Narrow" w:hAnsi="Arial Narrow"/>
                <w:sz w:val="20"/>
                <w:szCs w:val="20"/>
              </w:rPr>
              <w:t>Age &gt;40 years</w:t>
            </w:r>
          </w:p>
        </w:tc>
        <w:tc>
          <w:tcPr>
            <w:tcW w:w="393" w:type="pct"/>
            <w:vAlign w:val="center"/>
          </w:tcPr>
          <w:p w14:paraId="724F026C"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66</w:t>
            </w:r>
          </w:p>
        </w:tc>
        <w:tc>
          <w:tcPr>
            <w:tcW w:w="733" w:type="pct"/>
            <w:vAlign w:val="center"/>
          </w:tcPr>
          <w:p w14:paraId="5C1CED68"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NR</w:t>
            </w:r>
          </w:p>
        </w:tc>
        <w:tc>
          <w:tcPr>
            <w:tcW w:w="733" w:type="pct"/>
            <w:vAlign w:val="center"/>
          </w:tcPr>
          <w:p w14:paraId="5CCC9881"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5.8</w:t>
            </w:r>
          </w:p>
        </w:tc>
        <w:tc>
          <w:tcPr>
            <w:tcW w:w="733" w:type="pct"/>
            <w:vAlign w:val="center"/>
          </w:tcPr>
          <w:p w14:paraId="30037205"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40.9</w:t>
            </w:r>
          </w:p>
        </w:tc>
        <w:tc>
          <w:tcPr>
            <w:tcW w:w="915" w:type="pct"/>
            <w:vAlign w:val="center"/>
          </w:tcPr>
          <w:p w14:paraId="0F39E58A"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14.6</w:t>
            </w:r>
          </w:p>
        </w:tc>
      </w:tr>
      <w:tr w:rsidR="008E076A" w:rsidRPr="00006F36" w14:paraId="5D65A517" w14:textId="77777777" w:rsidTr="004B69B9">
        <w:tc>
          <w:tcPr>
            <w:tcW w:w="1493" w:type="pct"/>
          </w:tcPr>
          <w:p w14:paraId="76DA2BBB" w14:textId="77777777" w:rsidR="008E076A" w:rsidRPr="00006F36" w:rsidRDefault="008E076A" w:rsidP="005F5FBB">
            <w:pPr>
              <w:rPr>
                <w:rFonts w:ascii="Arial Narrow" w:hAnsi="Arial Narrow"/>
                <w:sz w:val="20"/>
                <w:szCs w:val="20"/>
              </w:rPr>
            </w:pPr>
            <w:r w:rsidRPr="00006F36">
              <w:rPr>
                <w:rFonts w:ascii="Arial Narrow" w:hAnsi="Arial Narrow"/>
                <w:sz w:val="20"/>
                <w:szCs w:val="20"/>
              </w:rPr>
              <w:t>ERT Naïve</w:t>
            </w:r>
          </w:p>
        </w:tc>
        <w:tc>
          <w:tcPr>
            <w:tcW w:w="393" w:type="pct"/>
            <w:vAlign w:val="center"/>
          </w:tcPr>
          <w:p w14:paraId="2ACC9C5F"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48</w:t>
            </w:r>
          </w:p>
        </w:tc>
        <w:tc>
          <w:tcPr>
            <w:tcW w:w="733" w:type="pct"/>
            <w:vAlign w:val="center"/>
          </w:tcPr>
          <w:p w14:paraId="0697B0AC"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48.6</w:t>
            </w:r>
          </w:p>
        </w:tc>
        <w:tc>
          <w:tcPr>
            <w:tcW w:w="733" w:type="pct"/>
            <w:vAlign w:val="center"/>
          </w:tcPr>
          <w:p w14:paraId="046166E4"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4.1</w:t>
            </w:r>
          </w:p>
        </w:tc>
        <w:tc>
          <w:tcPr>
            <w:tcW w:w="733" w:type="pct"/>
            <w:vAlign w:val="center"/>
          </w:tcPr>
          <w:p w14:paraId="27B4F958"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32.4</w:t>
            </w:r>
          </w:p>
        </w:tc>
        <w:tc>
          <w:tcPr>
            <w:tcW w:w="915" w:type="pct"/>
            <w:vAlign w:val="center"/>
          </w:tcPr>
          <w:p w14:paraId="64CE6781"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12.3</w:t>
            </w:r>
          </w:p>
        </w:tc>
      </w:tr>
      <w:tr w:rsidR="008E076A" w:rsidRPr="00006F36" w14:paraId="1D03017C" w14:textId="77777777" w:rsidTr="004B69B9">
        <w:tc>
          <w:tcPr>
            <w:tcW w:w="1493" w:type="pct"/>
          </w:tcPr>
          <w:p w14:paraId="1F7B4C68" w14:textId="77777777" w:rsidR="008E076A" w:rsidRPr="00006F36" w:rsidRDefault="008E076A" w:rsidP="005F5FBB">
            <w:pPr>
              <w:ind w:left="318"/>
              <w:rPr>
                <w:rFonts w:ascii="Arial Narrow" w:hAnsi="Arial Narrow"/>
                <w:sz w:val="20"/>
                <w:szCs w:val="20"/>
              </w:rPr>
            </w:pPr>
            <w:r w:rsidRPr="00006F36">
              <w:rPr>
                <w:rFonts w:ascii="Arial Narrow" w:hAnsi="Arial Narrow"/>
                <w:sz w:val="20"/>
                <w:szCs w:val="20"/>
              </w:rPr>
              <w:t>Classical male</w:t>
            </w:r>
          </w:p>
        </w:tc>
        <w:tc>
          <w:tcPr>
            <w:tcW w:w="393" w:type="pct"/>
            <w:vAlign w:val="center"/>
          </w:tcPr>
          <w:p w14:paraId="582EFE95"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14</w:t>
            </w:r>
          </w:p>
        </w:tc>
        <w:tc>
          <w:tcPr>
            <w:tcW w:w="733" w:type="pct"/>
            <w:vAlign w:val="center"/>
          </w:tcPr>
          <w:p w14:paraId="1DE97AF0"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61.5</w:t>
            </w:r>
          </w:p>
        </w:tc>
        <w:tc>
          <w:tcPr>
            <w:tcW w:w="733" w:type="pct"/>
            <w:vAlign w:val="center"/>
          </w:tcPr>
          <w:p w14:paraId="211E16BE"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15.4</w:t>
            </w:r>
          </w:p>
        </w:tc>
        <w:tc>
          <w:tcPr>
            <w:tcW w:w="733" w:type="pct"/>
            <w:vAlign w:val="center"/>
          </w:tcPr>
          <w:p w14:paraId="1A5B2A6D"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15.4</w:t>
            </w:r>
          </w:p>
        </w:tc>
        <w:tc>
          <w:tcPr>
            <w:tcW w:w="915" w:type="pct"/>
            <w:vAlign w:val="center"/>
          </w:tcPr>
          <w:p w14:paraId="3677624D"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30.8</w:t>
            </w:r>
          </w:p>
        </w:tc>
      </w:tr>
      <w:tr w:rsidR="008E076A" w:rsidRPr="00006F36" w14:paraId="3D8248B3" w14:textId="77777777" w:rsidTr="004B69B9">
        <w:tc>
          <w:tcPr>
            <w:tcW w:w="1493" w:type="pct"/>
          </w:tcPr>
          <w:p w14:paraId="175CBFE6" w14:textId="77777777" w:rsidR="008E076A" w:rsidRPr="00006F36" w:rsidRDefault="008E076A" w:rsidP="005F5FBB">
            <w:pPr>
              <w:ind w:left="318"/>
              <w:rPr>
                <w:rFonts w:ascii="Arial Narrow" w:hAnsi="Arial Narrow"/>
                <w:sz w:val="20"/>
                <w:szCs w:val="20"/>
              </w:rPr>
            </w:pPr>
            <w:r w:rsidRPr="00006F36">
              <w:rPr>
                <w:rFonts w:ascii="Arial Narrow" w:hAnsi="Arial Narrow"/>
                <w:sz w:val="20"/>
                <w:szCs w:val="20"/>
              </w:rPr>
              <w:t>Others</w:t>
            </w:r>
          </w:p>
        </w:tc>
        <w:tc>
          <w:tcPr>
            <w:tcW w:w="393" w:type="pct"/>
            <w:vAlign w:val="center"/>
          </w:tcPr>
          <w:p w14:paraId="5C3AA9D4"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34</w:t>
            </w:r>
          </w:p>
        </w:tc>
        <w:tc>
          <w:tcPr>
            <w:tcW w:w="733" w:type="pct"/>
            <w:vAlign w:val="center"/>
          </w:tcPr>
          <w:p w14:paraId="51920A99"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44</w:t>
            </w:r>
          </w:p>
        </w:tc>
        <w:tc>
          <w:tcPr>
            <w:tcW w:w="733" w:type="pct"/>
            <w:vAlign w:val="center"/>
          </w:tcPr>
          <w:p w14:paraId="6AAD6E97"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0</w:t>
            </w:r>
          </w:p>
        </w:tc>
        <w:tc>
          <w:tcPr>
            <w:tcW w:w="733" w:type="pct"/>
            <w:vAlign w:val="center"/>
          </w:tcPr>
          <w:p w14:paraId="1A787CFC"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38.5</w:t>
            </w:r>
          </w:p>
        </w:tc>
        <w:tc>
          <w:tcPr>
            <w:tcW w:w="915" w:type="pct"/>
            <w:vAlign w:val="center"/>
          </w:tcPr>
          <w:p w14:paraId="1B5F9921"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5.5</w:t>
            </w:r>
          </w:p>
        </w:tc>
      </w:tr>
      <w:tr w:rsidR="008E076A" w:rsidRPr="00006F36" w14:paraId="04127374" w14:textId="77777777" w:rsidTr="004B69B9">
        <w:tc>
          <w:tcPr>
            <w:tcW w:w="1493" w:type="pct"/>
          </w:tcPr>
          <w:p w14:paraId="4A2BE055" w14:textId="77777777" w:rsidR="008E076A" w:rsidRPr="00006F36" w:rsidRDefault="008E076A" w:rsidP="005F5FBB">
            <w:pPr>
              <w:rPr>
                <w:rFonts w:ascii="Arial Narrow" w:hAnsi="Arial Narrow"/>
                <w:sz w:val="20"/>
                <w:szCs w:val="20"/>
              </w:rPr>
            </w:pPr>
            <w:r w:rsidRPr="00006F36">
              <w:rPr>
                <w:rFonts w:ascii="Arial Narrow" w:hAnsi="Arial Narrow"/>
                <w:sz w:val="20"/>
                <w:szCs w:val="20"/>
              </w:rPr>
              <w:t>ERT experienced</w:t>
            </w:r>
          </w:p>
        </w:tc>
        <w:tc>
          <w:tcPr>
            <w:tcW w:w="393" w:type="pct"/>
            <w:vAlign w:val="center"/>
          </w:tcPr>
          <w:p w14:paraId="1049E689"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49</w:t>
            </w:r>
          </w:p>
        </w:tc>
        <w:tc>
          <w:tcPr>
            <w:tcW w:w="733" w:type="pct"/>
            <w:vAlign w:val="center"/>
          </w:tcPr>
          <w:p w14:paraId="7E1DDE72"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47.9</w:t>
            </w:r>
          </w:p>
        </w:tc>
        <w:tc>
          <w:tcPr>
            <w:tcW w:w="733" w:type="pct"/>
            <w:vAlign w:val="center"/>
          </w:tcPr>
          <w:p w14:paraId="5AEBC2F5"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4.8</w:t>
            </w:r>
          </w:p>
        </w:tc>
        <w:tc>
          <w:tcPr>
            <w:tcW w:w="733" w:type="pct"/>
            <w:vAlign w:val="center"/>
          </w:tcPr>
          <w:p w14:paraId="21A32179"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28.7</w:t>
            </w:r>
          </w:p>
        </w:tc>
        <w:tc>
          <w:tcPr>
            <w:tcW w:w="915" w:type="pct"/>
            <w:vAlign w:val="center"/>
          </w:tcPr>
          <w:p w14:paraId="0A47EB16"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14.4</w:t>
            </w:r>
          </w:p>
        </w:tc>
      </w:tr>
      <w:tr w:rsidR="008E076A" w:rsidRPr="00006F36" w14:paraId="67BE17CB" w14:textId="77777777" w:rsidTr="004B69B9">
        <w:tc>
          <w:tcPr>
            <w:tcW w:w="1493" w:type="pct"/>
          </w:tcPr>
          <w:p w14:paraId="52E3CF0E" w14:textId="77777777" w:rsidR="008E076A" w:rsidRPr="00006F36" w:rsidRDefault="008E076A" w:rsidP="005F5FBB">
            <w:pPr>
              <w:ind w:left="318"/>
              <w:rPr>
                <w:rFonts w:ascii="Arial Narrow" w:hAnsi="Arial Narrow"/>
                <w:sz w:val="20"/>
                <w:szCs w:val="20"/>
              </w:rPr>
            </w:pPr>
            <w:r w:rsidRPr="00006F36">
              <w:rPr>
                <w:rFonts w:ascii="Arial Narrow" w:hAnsi="Arial Narrow"/>
                <w:sz w:val="20"/>
                <w:szCs w:val="20"/>
              </w:rPr>
              <w:t>Male, multiorgan involvement</w:t>
            </w:r>
          </w:p>
        </w:tc>
        <w:tc>
          <w:tcPr>
            <w:tcW w:w="393" w:type="pct"/>
            <w:vAlign w:val="center"/>
          </w:tcPr>
          <w:p w14:paraId="088B227B"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16</w:t>
            </w:r>
          </w:p>
        </w:tc>
        <w:tc>
          <w:tcPr>
            <w:tcW w:w="733" w:type="pct"/>
            <w:vAlign w:val="center"/>
          </w:tcPr>
          <w:p w14:paraId="5CB68CB8"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68.6</w:t>
            </w:r>
          </w:p>
        </w:tc>
        <w:tc>
          <w:tcPr>
            <w:tcW w:w="733" w:type="pct"/>
            <w:vAlign w:val="center"/>
          </w:tcPr>
          <w:p w14:paraId="624145FC"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13.7</w:t>
            </w:r>
          </w:p>
        </w:tc>
        <w:tc>
          <w:tcPr>
            <w:tcW w:w="733" w:type="pct"/>
            <w:vAlign w:val="center"/>
          </w:tcPr>
          <w:p w14:paraId="7D26B7E6"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41.2</w:t>
            </w:r>
          </w:p>
        </w:tc>
        <w:tc>
          <w:tcPr>
            <w:tcW w:w="915" w:type="pct"/>
            <w:vAlign w:val="center"/>
          </w:tcPr>
          <w:p w14:paraId="5169ED36"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13.7</w:t>
            </w:r>
          </w:p>
        </w:tc>
      </w:tr>
      <w:tr w:rsidR="008E076A" w:rsidRPr="00006F36" w14:paraId="1EAB8E91" w14:textId="77777777" w:rsidTr="004B69B9">
        <w:tc>
          <w:tcPr>
            <w:tcW w:w="1493" w:type="pct"/>
          </w:tcPr>
          <w:p w14:paraId="02A3A529" w14:textId="77777777" w:rsidR="008E076A" w:rsidRPr="00006F36" w:rsidRDefault="008E076A" w:rsidP="005F5FBB">
            <w:pPr>
              <w:ind w:left="318"/>
              <w:rPr>
                <w:rFonts w:ascii="Arial Narrow" w:hAnsi="Arial Narrow"/>
                <w:sz w:val="20"/>
                <w:szCs w:val="20"/>
              </w:rPr>
            </w:pPr>
            <w:r w:rsidRPr="00006F36">
              <w:rPr>
                <w:rFonts w:ascii="Arial Narrow" w:hAnsi="Arial Narrow"/>
                <w:sz w:val="20"/>
                <w:szCs w:val="20"/>
              </w:rPr>
              <w:t>Other</w:t>
            </w:r>
          </w:p>
        </w:tc>
        <w:tc>
          <w:tcPr>
            <w:tcW w:w="393" w:type="pct"/>
            <w:vAlign w:val="center"/>
          </w:tcPr>
          <w:p w14:paraId="5B03C446"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33</w:t>
            </w:r>
          </w:p>
        </w:tc>
        <w:tc>
          <w:tcPr>
            <w:tcW w:w="733" w:type="pct"/>
            <w:vAlign w:val="center"/>
          </w:tcPr>
          <w:p w14:paraId="3A8D9BFB"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36.8</w:t>
            </w:r>
          </w:p>
        </w:tc>
        <w:tc>
          <w:tcPr>
            <w:tcW w:w="733" w:type="pct"/>
            <w:vAlign w:val="center"/>
          </w:tcPr>
          <w:p w14:paraId="65A5C1E6"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0</w:t>
            </w:r>
          </w:p>
        </w:tc>
        <w:tc>
          <w:tcPr>
            <w:tcW w:w="733" w:type="pct"/>
            <w:vAlign w:val="center"/>
          </w:tcPr>
          <w:p w14:paraId="230C8CF7"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22.1</w:t>
            </w:r>
          </w:p>
        </w:tc>
        <w:tc>
          <w:tcPr>
            <w:tcW w:w="915" w:type="pct"/>
            <w:vAlign w:val="center"/>
          </w:tcPr>
          <w:p w14:paraId="3388B599" w14:textId="77777777" w:rsidR="008E076A" w:rsidRPr="00006F36" w:rsidRDefault="008E076A" w:rsidP="005F5FBB">
            <w:pPr>
              <w:jc w:val="center"/>
              <w:rPr>
                <w:rFonts w:ascii="Arial Narrow" w:hAnsi="Arial Narrow"/>
                <w:sz w:val="20"/>
                <w:szCs w:val="20"/>
              </w:rPr>
            </w:pPr>
            <w:r w:rsidRPr="00006F36">
              <w:rPr>
                <w:rFonts w:ascii="Arial Narrow" w:hAnsi="Arial Narrow"/>
                <w:sz w:val="20"/>
                <w:szCs w:val="20"/>
              </w:rPr>
              <w:t>14.7</w:t>
            </w:r>
          </w:p>
        </w:tc>
      </w:tr>
    </w:tbl>
    <w:p w14:paraId="3892E1EB" w14:textId="77777777" w:rsidR="004B69B9" w:rsidRPr="00006F36" w:rsidRDefault="004B69B9" w:rsidP="004B69B9">
      <w:pPr>
        <w:rPr>
          <w:rFonts w:ascii="Arial Narrow" w:hAnsi="Arial Narrow"/>
          <w:sz w:val="18"/>
          <w:szCs w:val="18"/>
        </w:rPr>
      </w:pPr>
      <w:r w:rsidRPr="00006F36">
        <w:rPr>
          <w:rFonts w:ascii="Arial Narrow" w:hAnsi="Arial Narrow"/>
          <w:sz w:val="18"/>
          <w:szCs w:val="18"/>
        </w:rPr>
        <w:t>Source: Figure 1, Hughes 2023</w:t>
      </w:r>
    </w:p>
    <w:p w14:paraId="36891E4D" w14:textId="4985A103" w:rsidR="008E076A" w:rsidRPr="00006F36" w:rsidRDefault="004B69B9" w:rsidP="004B69B9">
      <w:pPr>
        <w:spacing w:after="240"/>
        <w:rPr>
          <w:rFonts w:ascii="Arial Narrow" w:hAnsi="Arial Narrow"/>
          <w:sz w:val="18"/>
          <w:szCs w:val="18"/>
        </w:rPr>
      </w:pPr>
      <w:r>
        <w:rPr>
          <w:rFonts w:ascii="Arial Narrow" w:hAnsi="Arial Narrow"/>
          <w:sz w:val="18"/>
          <w:szCs w:val="18"/>
        </w:rPr>
        <w:t xml:space="preserve">Abbreviations: </w:t>
      </w:r>
      <w:r w:rsidR="008E076A" w:rsidRPr="00006F36">
        <w:rPr>
          <w:rFonts w:ascii="Arial Narrow" w:hAnsi="Arial Narrow"/>
          <w:sz w:val="18"/>
          <w:szCs w:val="18"/>
        </w:rPr>
        <w:t>ERT = enzyme replacement therapy, FACE = Fabry associated clinical event</w:t>
      </w:r>
    </w:p>
    <w:p w14:paraId="04A18454" w14:textId="77777777" w:rsidR="00D12810" w:rsidRDefault="00756105" w:rsidP="00AB511E">
      <w:pPr>
        <w:pStyle w:val="3-BodyText"/>
      </w:pPr>
      <w:r w:rsidRPr="00006F36">
        <w:t xml:space="preserve">Hughes 2023 also presented side by side comparisons of </w:t>
      </w:r>
      <w:r w:rsidR="006B68B7" w:rsidRPr="00006F36">
        <w:t xml:space="preserve">49 patients who were treated with migalastat with 15 patients who continued treatment </w:t>
      </w:r>
      <w:r w:rsidR="009877A2" w:rsidRPr="00006F36">
        <w:t>with ERT over 18 months</w:t>
      </w:r>
      <w:r w:rsidR="001F0491" w:rsidRPr="00006F36">
        <w:t>.</w:t>
      </w:r>
      <w:r w:rsidR="009877A2" w:rsidRPr="00006F36">
        <w:t xml:space="preserve"> </w:t>
      </w:r>
      <w:r w:rsidR="001F0491" w:rsidRPr="00006F36">
        <w:t>Following 18 months of treatment, in the overall migalastat population versus the continued ERT population, incidence rates were 60.6 vs 326.6 per 1000 person- years, respectively. Hughes 2023 subsequently claimed that migalastat was associated with a lower incidence of FACEs versus continued ERT.</w:t>
      </w:r>
    </w:p>
    <w:p w14:paraId="0EFC07CA" w14:textId="77777777" w:rsidR="00D12810" w:rsidRDefault="0068662E" w:rsidP="00AB511E">
      <w:pPr>
        <w:pStyle w:val="3-BodyText"/>
      </w:pPr>
      <w:r w:rsidRPr="00006F36">
        <w:t xml:space="preserve">While Hughes 2023 claimed that migalastat treated patients </w:t>
      </w:r>
      <w:r w:rsidR="00DE26D7" w:rsidRPr="00006F36">
        <w:t>were</w:t>
      </w:r>
      <w:r w:rsidR="00C3672F" w:rsidRPr="00006F36">
        <w:t xml:space="preserve"> older</w:t>
      </w:r>
      <w:r w:rsidR="00DE26D7" w:rsidRPr="00006F36">
        <w:t xml:space="preserve"> </w:t>
      </w:r>
      <w:r w:rsidR="007E1013" w:rsidRPr="00006F36">
        <w:t xml:space="preserve">and </w:t>
      </w:r>
      <w:r w:rsidR="00DE26D7" w:rsidRPr="00006F36">
        <w:t xml:space="preserve">‘more clinically affected’ it was unclear how this </w:t>
      </w:r>
      <w:r w:rsidR="00C3672F" w:rsidRPr="00006F36">
        <w:t xml:space="preserve">was assessed. </w:t>
      </w:r>
      <w:r w:rsidR="001F0491" w:rsidRPr="00006F36">
        <w:t>Though t</w:t>
      </w:r>
      <w:r w:rsidR="00D25A32" w:rsidRPr="00006F36">
        <w:t xml:space="preserve">he baseline mean eGFR in the migalastat-treated patient group was </w:t>
      </w:r>
      <w:r w:rsidR="00240B67" w:rsidRPr="00006F36">
        <w:t>lower (mean = 88.96</w:t>
      </w:r>
      <w:r w:rsidR="004134C5">
        <w:t> </w:t>
      </w:r>
      <w:r w:rsidR="00240B67" w:rsidRPr="00006F36">
        <w:t>mL/min/1.73m</w:t>
      </w:r>
      <w:r w:rsidR="00240B67" w:rsidRPr="00006F36">
        <w:rPr>
          <w:vertAlign w:val="superscript"/>
        </w:rPr>
        <w:t>2</w:t>
      </w:r>
      <w:r w:rsidR="00240B67" w:rsidRPr="00006F36">
        <w:t>, SD = 20.39) than in ERT-treated patients (</w:t>
      </w:r>
      <w:r w:rsidR="00284870" w:rsidRPr="00006F36">
        <w:t>mean = 95.81</w:t>
      </w:r>
      <w:r w:rsidR="004134C5">
        <w:t> </w:t>
      </w:r>
      <w:r w:rsidR="00284870" w:rsidRPr="00006F36">
        <w:t>mL/min/1.73m</w:t>
      </w:r>
      <w:r w:rsidR="00284870" w:rsidRPr="00006F36">
        <w:rPr>
          <w:vertAlign w:val="superscript"/>
        </w:rPr>
        <w:t>2</w:t>
      </w:r>
      <w:r w:rsidR="00284870" w:rsidRPr="00006F36">
        <w:t xml:space="preserve">, SD = 21.04), the </w:t>
      </w:r>
      <w:r w:rsidR="00E719FA" w:rsidRPr="00006F36">
        <w:t xml:space="preserve">difference in age of </w:t>
      </w:r>
      <w:r w:rsidR="00284870" w:rsidRPr="00006F36">
        <w:t xml:space="preserve">migalastat treated patients (median 54.0 years) </w:t>
      </w:r>
      <w:r w:rsidR="00E719FA" w:rsidRPr="00006F36">
        <w:t xml:space="preserve">and </w:t>
      </w:r>
      <w:r w:rsidR="00284870" w:rsidRPr="00006F36">
        <w:t xml:space="preserve">ERT treated patients (median 48.0 years) would partially explain the difference in </w:t>
      </w:r>
      <w:r w:rsidR="001F0491" w:rsidRPr="00006F36">
        <w:t xml:space="preserve">baseline </w:t>
      </w:r>
      <w:r w:rsidR="00284870" w:rsidRPr="00006F36">
        <w:t>eGFR</w:t>
      </w:r>
      <w:r w:rsidR="001F0491" w:rsidRPr="00006F36">
        <w:t xml:space="preserve"> and not necessarily </w:t>
      </w:r>
      <w:r w:rsidR="00E719FA" w:rsidRPr="00006F36">
        <w:t xml:space="preserve">reflect </w:t>
      </w:r>
      <w:r w:rsidR="00205D75" w:rsidRPr="00006F36">
        <w:t>that migalastat treated patients were ‘more clinically affected’</w:t>
      </w:r>
      <w:r w:rsidR="00284870" w:rsidRPr="00006F36">
        <w:t>. Moreover, the time since Fabry diagnosis was substantially longer in ERT treated patients (</w:t>
      </w:r>
      <w:r w:rsidR="00410556" w:rsidRPr="00006F36">
        <w:t>mean 16.93 years, SD = 13.56 and m</w:t>
      </w:r>
      <w:r w:rsidR="00284870" w:rsidRPr="00006F36">
        <w:t>e</w:t>
      </w:r>
      <w:r w:rsidR="00410556" w:rsidRPr="00006F36">
        <w:t>dian 10.0 year</w:t>
      </w:r>
      <w:r w:rsidR="00872FA8" w:rsidRPr="00006F36">
        <w:t>s</w:t>
      </w:r>
      <w:r w:rsidR="00410556" w:rsidRPr="00006F36">
        <w:t>, range 6</w:t>
      </w:r>
      <w:r w:rsidR="009C59B1" w:rsidRPr="00006F36">
        <w:t>-</w:t>
      </w:r>
      <w:r w:rsidR="00410556" w:rsidRPr="00006F36">
        <w:t>27) than in the migalastat treated patients (</w:t>
      </w:r>
      <w:r w:rsidR="00872FA8" w:rsidRPr="00006F36">
        <w:t>mean 12.45 years, SD = 11.93 and median 6.0 years, range 5</w:t>
      </w:r>
      <w:r w:rsidR="009C59B1" w:rsidRPr="00006F36">
        <w:t>-</w:t>
      </w:r>
      <w:r w:rsidR="00872FA8" w:rsidRPr="00006F36">
        <w:t xml:space="preserve">18). </w:t>
      </w:r>
      <w:r w:rsidR="00205D75" w:rsidRPr="00006F36">
        <w:t xml:space="preserve">Overall, this comparison should be interpreted with caution due to </w:t>
      </w:r>
      <w:r w:rsidR="008B7706" w:rsidRPr="00006F36">
        <w:t xml:space="preserve">potential </w:t>
      </w:r>
      <w:r w:rsidR="00F639BB" w:rsidRPr="00006F36">
        <w:t xml:space="preserve">confounders </w:t>
      </w:r>
      <w:r w:rsidR="00205D75" w:rsidRPr="00006F36">
        <w:t>as well as small patient numbers.</w:t>
      </w:r>
    </w:p>
    <w:p w14:paraId="12ACF265" w14:textId="435E2D48" w:rsidR="00756105" w:rsidRPr="00006F36" w:rsidRDefault="00F639BB" w:rsidP="00AB511E">
      <w:pPr>
        <w:pStyle w:val="3-BodyText"/>
      </w:pPr>
      <w:r w:rsidRPr="00006F36">
        <w:t xml:space="preserve">Hughes 2023 also presented </w:t>
      </w:r>
      <w:r w:rsidR="002F2C65" w:rsidRPr="00006F36">
        <w:t xml:space="preserve">side by side comparisons of their results against other published studies. </w:t>
      </w:r>
      <w:r w:rsidR="00E96A21" w:rsidRPr="00006F36">
        <w:t xml:space="preserve">The authors noted that cross study comparisons should only be made with caution due to disparate patient populations and </w:t>
      </w:r>
      <w:proofErr w:type="gramStart"/>
      <w:r w:rsidR="00E96A21" w:rsidRPr="00006F36">
        <w:t>procedures, but</w:t>
      </w:r>
      <w:proofErr w:type="gramEnd"/>
      <w:r w:rsidR="00E96A21" w:rsidRPr="00006F36">
        <w:t xml:space="preserve"> concluded that the incidence of FACEs with migalastat treatment appears to be comparable to that observed in similar datasets of ERTs. As noted by Hughes 2023, these comparisons are likely to be highly confounded and therefore</w:t>
      </w:r>
      <w:r w:rsidR="005815CE" w:rsidRPr="00006F36">
        <w:t xml:space="preserve"> should not be relied upon and no clear conclusion could be drawn</w:t>
      </w:r>
      <w:r w:rsidR="00E96A21" w:rsidRPr="00006F36">
        <w:t xml:space="preserve">. Further, the definition of FACE </w:t>
      </w:r>
      <w:r w:rsidR="001C4381" w:rsidRPr="00006F36">
        <w:t>in each study also differed, making cross study comparisons even more uncertain.</w:t>
      </w:r>
    </w:p>
    <w:p w14:paraId="68530458" w14:textId="77777777" w:rsidR="00D12810" w:rsidRDefault="00A44CFB" w:rsidP="00AB511E">
      <w:pPr>
        <w:pStyle w:val="3-BodyText"/>
      </w:pPr>
      <w:r w:rsidRPr="00006F36">
        <w:lastRenderedPageBreak/>
        <w:t xml:space="preserve">The submission also presented a range of </w:t>
      </w:r>
      <w:r w:rsidR="00207E54" w:rsidRPr="00006F36">
        <w:t xml:space="preserve">retrospective </w:t>
      </w:r>
      <w:r w:rsidR="007020D7" w:rsidRPr="00006F36">
        <w:t xml:space="preserve">observational studies </w:t>
      </w:r>
      <w:r w:rsidR="00564D62" w:rsidRPr="00006F36">
        <w:t xml:space="preserve">in </w:t>
      </w:r>
      <w:r w:rsidR="0076609A" w:rsidRPr="00006F36">
        <w:t xml:space="preserve">patients who were treated with ERT </w:t>
      </w:r>
      <w:r w:rsidR="00564D62" w:rsidRPr="00006F36">
        <w:t xml:space="preserve">and </w:t>
      </w:r>
      <w:r w:rsidR="0076609A" w:rsidRPr="00006F36">
        <w:t xml:space="preserve">enrolled in either the Fabry registry or the Fabry outcome survey. </w:t>
      </w:r>
      <w:r w:rsidR="00391D7B" w:rsidRPr="00006F36">
        <w:t>These studies were used to support the use of migalastat as early disease-specific therapy in patients with classical Fabry disease.</w:t>
      </w:r>
    </w:p>
    <w:p w14:paraId="4ED59F85" w14:textId="75C381AF" w:rsidR="00014A39" w:rsidRPr="00006F36" w:rsidRDefault="00014A39" w:rsidP="00014A39">
      <w:pPr>
        <w:pStyle w:val="3-BodyText"/>
      </w:pPr>
      <w:r w:rsidRPr="00006F36">
        <w:t>The following issues should be consider</w:t>
      </w:r>
      <w:r w:rsidR="00A14FBB" w:rsidRPr="00006F36">
        <w:t>ed</w:t>
      </w:r>
      <w:r w:rsidRPr="00006F36">
        <w:t xml:space="preserve"> </w:t>
      </w:r>
      <w:r w:rsidR="003A5497" w:rsidRPr="00006F36">
        <w:t xml:space="preserve">when interpreting </w:t>
      </w:r>
      <w:r w:rsidRPr="00006F36">
        <w:t xml:space="preserve">the </w:t>
      </w:r>
      <w:r w:rsidR="00A14FBB" w:rsidRPr="00006F36">
        <w:t xml:space="preserve">results of </w:t>
      </w:r>
      <w:r w:rsidRPr="00006F36">
        <w:t>included retrospective observational studies:</w:t>
      </w:r>
    </w:p>
    <w:p w14:paraId="036CFC02" w14:textId="7AEC2471" w:rsidR="00552D79" w:rsidRPr="00006F36" w:rsidRDefault="00552D79" w:rsidP="00947AB2">
      <w:pPr>
        <w:pStyle w:val="3-BodyText"/>
        <w:numPr>
          <w:ilvl w:val="0"/>
          <w:numId w:val="14"/>
        </w:numPr>
        <w:ind w:left="993" w:hanging="306"/>
      </w:pPr>
      <w:r w:rsidRPr="00006F36">
        <w:t xml:space="preserve">All studies </w:t>
      </w:r>
      <w:r w:rsidR="00BD5ABC" w:rsidRPr="00006F36">
        <w:t>included</w:t>
      </w:r>
      <w:r w:rsidR="00981D15" w:rsidRPr="00006F36">
        <w:t xml:space="preserve"> patients treated with ERT and may not be applicable to </w:t>
      </w:r>
      <w:r w:rsidR="00083918" w:rsidRPr="00006F36">
        <w:t>migalastat</w:t>
      </w:r>
      <w:r w:rsidR="00083918" w:rsidRPr="00006F36" w:rsidDel="00083918">
        <w:t xml:space="preserve"> </w:t>
      </w:r>
      <w:r w:rsidR="00887A6D" w:rsidRPr="00006F36">
        <w:t xml:space="preserve">. Additionally, </w:t>
      </w:r>
      <w:r w:rsidR="00FD0380" w:rsidRPr="00006F36">
        <w:t>except for Germain 2013</w:t>
      </w:r>
      <w:r w:rsidR="00F8197B" w:rsidRPr="00006F36">
        <w:t xml:space="preserve"> and Hopkin 2023</w:t>
      </w:r>
      <w:r w:rsidR="00FD0380" w:rsidRPr="00006F36">
        <w:t xml:space="preserve">, </w:t>
      </w:r>
      <w:r w:rsidR="00083918" w:rsidRPr="00006F36">
        <w:t xml:space="preserve">the </w:t>
      </w:r>
      <w:r w:rsidR="00887A6D" w:rsidRPr="00006F36">
        <w:t xml:space="preserve">studies </w:t>
      </w:r>
      <w:r w:rsidR="00F23F04" w:rsidRPr="00006F36">
        <w:t xml:space="preserve">did not </w:t>
      </w:r>
      <w:r w:rsidR="00887A6D" w:rsidRPr="00006F36">
        <w:t xml:space="preserve">consider only </w:t>
      </w:r>
      <w:r w:rsidR="00F47FCF" w:rsidRPr="00006F36">
        <w:t xml:space="preserve">patients with </w:t>
      </w:r>
      <w:r w:rsidR="00887A6D" w:rsidRPr="00006F36">
        <w:t>classical Fabry disease</w:t>
      </w:r>
      <w:r w:rsidR="00FD0380" w:rsidRPr="00006F36">
        <w:t xml:space="preserve"> for whom the early treatment restriction was sought</w:t>
      </w:r>
      <w:r w:rsidR="00981D15" w:rsidRPr="00006F36">
        <w:t>;</w:t>
      </w:r>
    </w:p>
    <w:p w14:paraId="00B478E4" w14:textId="77777777" w:rsidR="00D12810" w:rsidRDefault="00A14FBB" w:rsidP="00947AB2">
      <w:pPr>
        <w:pStyle w:val="3-BodyText"/>
        <w:numPr>
          <w:ilvl w:val="0"/>
          <w:numId w:val="14"/>
        </w:numPr>
        <w:ind w:left="993" w:hanging="306"/>
      </w:pPr>
      <w:r w:rsidRPr="00006F36">
        <w:t>The studies all used registry data and as such, t</w:t>
      </w:r>
      <w:r w:rsidR="00014A39" w:rsidRPr="00006F36">
        <w:t xml:space="preserve">here were often significant imbalances in baseline characteristics which confounded </w:t>
      </w:r>
      <w:r w:rsidR="00A5494D" w:rsidRPr="00006F36">
        <w:t>results, to an unknown and variable degree</w:t>
      </w:r>
      <w:r w:rsidR="00D9719B" w:rsidRPr="00006F36">
        <w:t>;</w:t>
      </w:r>
    </w:p>
    <w:p w14:paraId="635844BD" w14:textId="53DA81DA" w:rsidR="00CA01B2" w:rsidRPr="00006F36" w:rsidRDefault="00014A39" w:rsidP="00947AB2">
      <w:pPr>
        <w:pStyle w:val="3-BodyText"/>
        <w:numPr>
          <w:ilvl w:val="0"/>
          <w:numId w:val="14"/>
        </w:numPr>
        <w:ind w:left="993" w:hanging="306"/>
      </w:pPr>
      <w:r w:rsidRPr="00006F36">
        <w:t>All studies reported a multitude of outcomes and analys</w:t>
      </w:r>
      <w:r w:rsidR="00981D15" w:rsidRPr="00006F36">
        <w:t>e</w:t>
      </w:r>
      <w:r w:rsidRPr="00006F36">
        <w:t>s</w:t>
      </w:r>
      <w:r w:rsidR="000845C3" w:rsidRPr="00006F36">
        <w:t xml:space="preserve"> in a range of subgroups</w:t>
      </w:r>
      <w:r w:rsidR="00EA0CA6" w:rsidRPr="00006F36">
        <w:t xml:space="preserve"> and comparisons</w:t>
      </w:r>
      <w:r w:rsidRPr="00006F36">
        <w:t xml:space="preserve">, without any statistical planning for multiplicity. </w:t>
      </w:r>
      <w:r w:rsidR="00A5494D" w:rsidRPr="00006F36">
        <w:t xml:space="preserve">As such, the </w:t>
      </w:r>
      <w:r w:rsidR="00E6012C" w:rsidRPr="00006F36">
        <w:t>us</w:t>
      </w:r>
      <w:r w:rsidR="00FF7701" w:rsidRPr="00006F36">
        <w:t>e of</w:t>
      </w:r>
      <w:r w:rsidR="00E6012C" w:rsidRPr="00006F36">
        <w:t xml:space="preserve"> a </w:t>
      </w:r>
      <w:r w:rsidR="00D3438D" w:rsidRPr="00006F36">
        <w:t xml:space="preserve">5% </w:t>
      </w:r>
      <w:r w:rsidR="00706AEC" w:rsidRPr="00006F36">
        <w:t xml:space="preserve">threshold </w:t>
      </w:r>
      <w:r w:rsidR="00E6012C" w:rsidRPr="00006F36">
        <w:t xml:space="preserve">for statistical significance </w:t>
      </w:r>
      <w:r w:rsidR="00706AEC" w:rsidRPr="00006F36">
        <w:t>(most studies reported 95% confidence intervals) would bias towards finding statistically significant difference</w:t>
      </w:r>
      <w:r w:rsidR="00172ADE" w:rsidRPr="00006F36">
        <w:t>s in</w:t>
      </w:r>
      <w:r w:rsidR="00B16431" w:rsidRPr="00006F36">
        <w:t xml:space="preserve"> at least some of the comparisons</w:t>
      </w:r>
      <w:r w:rsidR="00706AEC" w:rsidRPr="00006F36">
        <w:t>;</w:t>
      </w:r>
    </w:p>
    <w:p w14:paraId="1B68C35E" w14:textId="707A7DBD" w:rsidR="0064748E" w:rsidRPr="00006F36" w:rsidRDefault="0064748E" w:rsidP="00947AB2">
      <w:pPr>
        <w:pStyle w:val="3-BodyText"/>
        <w:numPr>
          <w:ilvl w:val="0"/>
          <w:numId w:val="14"/>
        </w:numPr>
        <w:ind w:left="993" w:hanging="306"/>
      </w:pPr>
      <w:r w:rsidRPr="00006F36">
        <w:t xml:space="preserve">None of the studies reported </w:t>
      </w:r>
      <w:r w:rsidR="00C17B4C" w:rsidRPr="00006F36">
        <w:t>any outcomes in patients who were treated while asymptomatic;</w:t>
      </w:r>
    </w:p>
    <w:p w14:paraId="43715398" w14:textId="77777777" w:rsidR="00D12810" w:rsidRDefault="00495194" w:rsidP="00947AB2">
      <w:pPr>
        <w:pStyle w:val="3-BodyText"/>
        <w:numPr>
          <w:ilvl w:val="0"/>
          <w:numId w:val="14"/>
        </w:numPr>
        <w:ind w:left="993" w:hanging="284"/>
      </w:pPr>
      <w:r w:rsidRPr="00006F36">
        <w:t xml:space="preserve">In studies which considered the time delay from symptom onset or </w:t>
      </w:r>
      <w:r w:rsidR="00552D79" w:rsidRPr="00006F36">
        <w:t>diagnosis to treatment</w:t>
      </w:r>
      <w:r w:rsidR="007053F1" w:rsidRPr="00006F36">
        <w:t xml:space="preserve">, the time delay required to demonstrate a difference was usually </w:t>
      </w:r>
      <w:r w:rsidR="002F44F2" w:rsidRPr="00006F36">
        <w:t xml:space="preserve">a difference which was in </w:t>
      </w:r>
      <w:r w:rsidR="007053F1" w:rsidRPr="00006F36">
        <w:t>excess of 10 years</w:t>
      </w:r>
      <w:r w:rsidR="00307BA9" w:rsidRPr="00006F36">
        <w:t xml:space="preserve">. For example, even though delayed treatment in Hughes 2021 was defined as </w:t>
      </w:r>
      <w:r w:rsidR="00DE1801" w:rsidRPr="00006F36">
        <w:t xml:space="preserve">ERT initiation </w:t>
      </w:r>
      <w:r w:rsidR="00307BA9" w:rsidRPr="00006F36">
        <w:t>≥24 months</w:t>
      </w:r>
      <w:r w:rsidR="005032B5" w:rsidRPr="00006F36">
        <w:t xml:space="preserve"> from symptom onset and prompt treatment was defined as &lt;24 months</w:t>
      </w:r>
      <w:r w:rsidR="00DE1801" w:rsidRPr="00006F36">
        <w:t xml:space="preserve"> from symptom onset</w:t>
      </w:r>
      <w:r w:rsidR="00307BA9" w:rsidRPr="00006F36">
        <w:t xml:space="preserve">, the </w:t>
      </w:r>
      <w:r w:rsidR="00DE4A17" w:rsidRPr="00006F36">
        <w:t xml:space="preserve">actual </w:t>
      </w:r>
      <w:r w:rsidR="00307BA9" w:rsidRPr="00006F36">
        <w:t xml:space="preserve">mean </w:t>
      </w:r>
      <w:r w:rsidR="00DE4A17" w:rsidRPr="00006F36">
        <w:t xml:space="preserve">time </w:t>
      </w:r>
      <w:r w:rsidR="00307BA9" w:rsidRPr="00006F36">
        <w:t xml:space="preserve">between </w:t>
      </w:r>
      <w:r w:rsidR="00F35A52" w:rsidRPr="00006F36">
        <w:t xml:space="preserve">symptom onset and treatment </w:t>
      </w:r>
      <w:r w:rsidR="00307BA9" w:rsidRPr="00006F36">
        <w:t>initiation was 1.0 years</w:t>
      </w:r>
      <w:r w:rsidR="00307BA9" w:rsidRPr="00006F36">
        <w:rPr>
          <w:i/>
          <w:iCs/>
        </w:rPr>
        <w:t xml:space="preserve"> </w:t>
      </w:r>
      <w:r w:rsidR="00307BA9" w:rsidRPr="00006F36">
        <w:t xml:space="preserve">for prompt treatment and 20.4 years for delayed treatment. Therefore, </w:t>
      </w:r>
      <w:r w:rsidR="00F42ABB" w:rsidRPr="00006F36">
        <w:t xml:space="preserve">Hughes 2021 </w:t>
      </w:r>
      <w:r w:rsidR="00DE4A17" w:rsidRPr="00006F36">
        <w:t xml:space="preserve">did not </w:t>
      </w:r>
      <w:r w:rsidR="00F42ABB" w:rsidRPr="00006F36">
        <w:t xml:space="preserve">actually </w:t>
      </w:r>
      <w:r w:rsidR="00DE4A17" w:rsidRPr="00006F36">
        <w:t xml:space="preserve">compare </w:t>
      </w:r>
      <w:r w:rsidR="00F42ABB" w:rsidRPr="00006F36">
        <w:t xml:space="preserve">treatment delays of </w:t>
      </w:r>
      <w:r w:rsidR="00307BA9" w:rsidRPr="00006F36">
        <w:t>&lt;24 months and ≥24 months but rather 1 year after symptom onset and 20 years after symptom onset</w:t>
      </w:r>
      <w:r w:rsidR="00DE4A17" w:rsidRPr="00006F36">
        <w:t xml:space="preserve">. Studies which reported </w:t>
      </w:r>
      <w:r w:rsidR="00CE7E16" w:rsidRPr="00006F36">
        <w:t>differences between long and short delays in treatment often report</w:t>
      </w:r>
      <w:r w:rsidR="00FF7701" w:rsidRPr="00006F36">
        <w:t>ed</w:t>
      </w:r>
      <w:r w:rsidR="00CE7E16" w:rsidRPr="00006F36">
        <w:t xml:space="preserve"> no</w:t>
      </w:r>
      <w:r w:rsidR="00CE7E16" w:rsidRPr="00006F36">
        <w:rPr>
          <w:i/>
          <w:iCs/>
        </w:rPr>
        <w:t xml:space="preserve"> </w:t>
      </w:r>
      <w:r w:rsidR="00CE7E16" w:rsidRPr="00006F36">
        <w:t>(or very minor) differences in consecutive decades of delay. For example, in</w:t>
      </w:r>
      <w:r w:rsidR="004D1D5D" w:rsidRPr="00006F36">
        <w:t xml:space="preserve"> Germain 2013, while a baseline age of ≥40 years was associated with left-ventricular hypertrophy progression </w:t>
      </w:r>
      <w:r w:rsidR="00736F54" w:rsidRPr="00006F36">
        <w:t>compared with men younger than 30</w:t>
      </w:r>
      <w:r w:rsidR="004134C5">
        <w:t> </w:t>
      </w:r>
      <w:r w:rsidR="00736F54" w:rsidRPr="00006F36">
        <w:t>years, there was no statistically significant difference when considering 30 to &lt;40 years and ≥40 years</w:t>
      </w:r>
      <w:r w:rsidR="007053F1" w:rsidRPr="00006F36">
        <w:t xml:space="preserve">; </w:t>
      </w:r>
      <w:r w:rsidR="00C17B4C" w:rsidRPr="00006F36">
        <w:t>and</w:t>
      </w:r>
    </w:p>
    <w:p w14:paraId="4C03CAC6" w14:textId="77777777" w:rsidR="00D12810" w:rsidRDefault="00A5494D" w:rsidP="00947AB2">
      <w:pPr>
        <w:pStyle w:val="3-BodyText"/>
        <w:numPr>
          <w:ilvl w:val="0"/>
          <w:numId w:val="14"/>
        </w:numPr>
        <w:ind w:left="993" w:hanging="284"/>
      </w:pPr>
      <w:r w:rsidRPr="00006F36">
        <w:t xml:space="preserve">Not all studies </w:t>
      </w:r>
      <w:proofErr w:type="gramStart"/>
      <w:r w:rsidRPr="00006F36">
        <w:t>were in agreement</w:t>
      </w:r>
      <w:proofErr w:type="gramEnd"/>
      <w:r w:rsidRPr="00006F36">
        <w:t xml:space="preserve"> </w:t>
      </w:r>
      <w:r w:rsidR="00736F54" w:rsidRPr="00006F36">
        <w:t>in terms of the correlation with baseline differences and outcomes</w:t>
      </w:r>
      <w:r w:rsidR="00564241" w:rsidRPr="00006F36">
        <w:t xml:space="preserve"> (see paragraph </w:t>
      </w:r>
      <w:r w:rsidR="008353DE" w:rsidRPr="00006F36">
        <w:fldChar w:fldCharType="begin" w:fldLock="1"/>
      </w:r>
      <w:r w:rsidR="008353DE" w:rsidRPr="00006F36">
        <w:instrText xml:space="preserve"> REF _Ref152172687 \r \h </w:instrText>
      </w:r>
      <w:r w:rsidR="0048760F" w:rsidRPr="00006F36">
        <w:instrText xml:space="preserve"> \* MERGEFORMAT </w:instrText>
      </w:r>
      <w:r w:rsidR="008353DE" w:rsidRPr="00006F36">
        <w:fldChar w:fldCharType="separate"/>
      </w:r>
      <w:r w:rsidR="00F42C5D">
        <w:t>6.22</w:t>
      </w:r>
      <w:r w:rsidR="008353DE" w:rsidRPr="00006F36">
        <w:fldChar w:fldCharType="end"/>
      </w:r>
      <w:r w:rsidR="008353DE" w:rsidRPr="00006F36">
        <w:t>)</w:t>
      </w:r>
      <w:r w:rsidR="00006F36">
        <w:t>.</w:t>
      </w:r>
    </w:p>
    <w:p w14:paraId="269B9F50" w14:textId="6DA0C71E" w:rsidR="00F24C82" w:rsidRPr="00006F36" w:rsidRDefault="00F24C82" w:rsidP="00F24C82">
      <w:pPr>
        <w:pStyle w:val="3-BodyText"/>
      </w:pPr>
      <w:bookmarkStart w:id="37" w:name="_Ref152172687"/>
      <w:r w:rsidRPr="00006F36">
        <w:t>A summary of the included retrospective observational studies is as follows:</w:t>
      </w:r>
      <w:bookmarkEnd w:id="37"/>
    </w:p>
    <w:p w14:paraId="5CF2D532" w14:textId="50390F9F" w:rsidR="00F24C82" w:rsidRPr="00006F36" w:rsidRDefault="00F24C82" w:rsidP="00947AB2">
      <w:pPr>
        <w:pStyle w:val="3-BodyText"/>
        <w:numPr>
          <w:ilvl w:val="0"/>
          <w:numId w:val="20"/>
        </w:numPr>
        <w:ind w:left="993" w:hanging="284"/>
      </w:pPr>
      <w:r w:rsidRPr="00006F36">
        <w:lastRenderedPageBreak/>
        <w:t xml:space="preserve">A </w:t>
      </w:r>
      <w:r w:rsidR="00785A2B" w:rsidRPr="00006F36">
        <w:t xml:space="preserve">lower renal involvement (measured by </w:t>
      </w:r>
      <w:r w:rsidR="00731D62" w:rsidRPr="00006F36">
        <w:t xml:space="preserve">a low </w:t>
      </w:r>
      <w:r w:rsidR="00785A2B" w:rsidRPr="00006F36">
        <w:t xml:space="preserve">urine protein-to creatinine ratio or </w:t>
      </w:r>
      <w:r w:rsidR="00731D62" w:rsidRPr="00006F36">
        <w:t xml:space="preserve">low sclerotic glomeruli) at baseline of treatment initiation </w:t>
      </w:r>
      <w:r w:rsidR="00E37AC0" w:rsidRPr="00006F36">
        <w:t xml:space="preserve">was </w:t>
      </w:r>
      <w:r w:rsidR="00731D62" w:rsidRPr="00006F36">
        <w:t xml:space="preserve">correlated </w:t>
      </w:r>
      <w:r w:rsidR="009B5532" w:rsidRPr="00006F36">
        <w:t xml:space="preserve">with </w:t>
      </w:r>
      <w:r w:rsidR="004F1677" w:rsidRPr="00006F36">
        <w:t>a slower decline in renal function over time</w:t>
      </w:r>
      <w:r w:rsidR="00E2412D" w:rsidRPr="00006F36">
        <w:t xml:space="preserve"> </w:t>
      </w:r>
      <w:r w:rsidR="00F259F4" w:rsidRPr="00006F36">
        <w:t xml:space="preserve">compared to patients with high renal involvement at baseline </w:t>
      </w:r>
      <w:r w:rsidR="00E2412D" w:rsidRPr="00006F36">
        <w:t>(</w:t>
      </w:r>
      <w:r w:rsidR="002D3703" w:rsidRPr="00006F36">
        <w:t>Germain 2015</w:t>
      </w:r>
      <w:r w:rsidR="006C4AC2" w:rsidRPr="00006F36">
        <w:t xml:space="preserve"> and</w:t>
      </w:r>
      <w:r w:rsidR="002D3703" w:rsidRPr="00006F36">
        <w:t xml:space="preserve"> Hopkin 2023)</w:t>
      </w:r>
      <w:r w:rsidR="00CE33FA" w:rsidRPr="00006F36">
        <w:t>.</w:t>
      </w:r>
    </w:p>
    <w:p w14:paraId="7CE3264D" w14:textId="77777777" w:rsidR="00D12810" w:rsidRDefault="000E10B5" w:rsidP="00947AB2">
      <w:pPr>
        <w:pStyle w:val="3-BodyText"/>
        <w:numPr>
          <w:ilvl w:val="0"/>
          <w:numId w:val="20"/>
        </w:numPr>
        <w:ind w:left="993" w:hanging="284"/>
      </w:pPr>
      <w:r w:rsidRPr="00006F36">
        <w:t xml:space="preserve">Similarly, less advanced </w:t>
      </w:r>
      <w:r w:rsidR="00561A1B" w:rsidRPr="00006F36">
        <w:t xml:space="preserve">(or no) left ventricular hypertrophy at ERT treatment initiation </w:t>
      </w:r>
      <w:r w:rsidR="00E37AC0" w:rsidRPr="00006F36">
        <w:t xml:space="preserve">was </w:t>
      </w:r>
      <w:r w:rsidR="0047509D" w:rsidRPr="00006F36">
        <w:t>correlated with slower growth of left ventricular muscle compared to patients with more advanced left ventricular hypertrophy at baseline (Feriozzi 2020</w:t>
      </w:r>
      <w:r w:rsidR="00047141" w:rsidRPr="00006F36">
        <w:t>)</w:t>
      </w:r>
      <w:r w:rsidR="00CE33FA" w:rsidRPr="00006F36">
        <w:t>.</w:t>
      </w:r>
    </w:p>
    <w:p w14:paraId="0DE65232" w14:textId="4886F7F4" w:rsidR="004F1677" w:rsidRPr="00006F36" w:rsidRDefault="00E2412D" w:rsidP="00947AB2">
      <w:pPr>
        <w:pStyle w:val="3-BodyText"/>
        <w:numPr>
          <w:ilvl w:val="0"/>
          <w:numId w:val="20"/>
        </w:numPr>
        <w:ind w:left="993" w:hanging="284"/>
      </w:pPr>
      <w:r w:rsidRPr="00006F36">
        <w:t xml:space="preserve">A </w:t>
      </w:r>
      <w:r w:rsidR="004131EE" w:rsidRPr="00006F36">
        <w:t xml:space="preserve">shorter time between symptom onset and ERT initiation </w:t>
      </w:r>
      <w:r w:rsidR="00383142" w:rsidRPr="00006F36">
        <w:t xml:space="preserve">was </w:t>
      </w:r>
      <w:r w:rsidR="004131EE" w:rsidRPr="00006F36">
        <w:t xml:space="preserve">correlated to </w:t>
      </w:r>
      <w:r w:rsidR="003C216A" w:rsidRPr="00006F36">
        <w:t>better patient outcomes (</w:t>
      </w:r>
      <w:r w:rsidR="006F6B5E" w:rsidRPr="00006F36">
        <w:t>Hughes 2021</w:t>
      </w:r>
      <w:r w:rsidR="006C4AC2" w:rsidRPr="00006F36">
        <w:t xml:space="preserve"> and Warnock 2012)</w:t>
      </w:r>
      <w:r w:rsidR="007F22A4" w:rsidRPr="00006F36">
        <w:t xml:space="preserve">. In Warnock 2012, male patients who had &gt;24 years delay from Fabry symptom onset to first ERT infusion were more likely to have worse renal progression than those who had ≤24 years delay (OR 19, 95% CI 2–184, p=0.0098). However this was not statistically significantly different in women (OR = 0.31, 95% CI 0.047-2.041) based on results from 62 </w:t>
      </w:r>
      <w:r w:rsidR="00FB0F15" w:rsidRPr="00006F36">
        <w:t>patients</w:t>
      </w:r>
      <w:r w:rsidR="00CE33FA" w:rsidRPr="00006F36">
        <w:t>.</w:t>
      </w:r>
    </w:p>
    <w:p w14:paraId="66389738" w14:textId="501B1CAD" w:rsidR="005C7B4E" w:rsidRPr="00006F36" w:rsidRDefault="005C7B4E" w:rsidP="00947AB2">
      <w:pPr>
        <w:pStyle w:val="3-BodyText"/>
        <w:numPr>
          <w:ilvl w:val="0"/>
          <w:numId w:val="20"/>
        </w:numPr>
        <w:ind w:left="993" w:hanging="284"/>
      </w:pPr>
      <w:r w:rsidRPr="00006F36">
        <w:t xml:space="preserve">Conflicting information as to whether baseline eGFR was correlated with </w:t>
      </w:r>
      <w:r w:rsidR="00BD1E40" w:rsidRPr="00006F36">
        <w:t xml:space="preserve">better </w:t>
      </w:r>
      <w:r w:rsidRPr="00006F36">
        <w:t xml:space="preserve">outcomes. Feriozzi 2020 reported that </w:t>
      </w:r>
      <w:r w:rsidR="009856B3" w:rsidRPr="00006F36">
        <w:t xml:space="preserve">the subgroup with a low eGFR at baseline (n = 433) had a significantly higher risk for a cardiovascular event (HR =1.33; 95% CI, 1.04 1.70; P = 0.021) or a renal event (HR = 5.88; 95% CI, 2.73-12.68; P &lt; 0.001) compared with patients with a normal eGFR at baseline (n= 60). However, </w:t>
      </w:r>
      <w:r w:rsidR="00A70564" w:rsidRPr="00006F36">
        <w:t xml:space="preserve">Hopkin 2023 </w:t>
      </w:r>
      <w:r w:rsidR="00F960B7" w:rsidRPr="00006F36">
        <w:t xml:space="preserve">reported that in 13 patients </w:t>
      </w:r>
      <w:r w:rsidR="000D2429" w:rsidRPr="00006F36">
        <w:t xml:space="preserve">with </w:t>
      </w:r>
      <w:r w:rsidR="00F960B7" w:rsidRPr="00006F36">
        <w:t>low renal involvement and baseline eGFR &gt;135 mL/min/1.73m</w:t>
      </w:r>
      <w:r w:rsidR="00F960B7" w:rsidRPr="00006F36">
        <w:rPr>
          <w:vertAlign w:val="superscript"/>
        </w:rPr>
        <w:t>2</w:t>
      </w:r>
      <w:r w:rsidR="00F960B7" w:rsidRPr="00006F36">
        <w:t xml:space="preserve">, the rate of eGFR decline (males: −2.95 </w:t>
      </w:r>
      <w:r w:rsidR="00CB7473" w:rsidRPr="00006F36">
        <w:t>mL/min/1.73 m</w:t>
      </w:r>
      <w:r w:rsidR="00CB7473" w:rsidRPr="00006F36">
        <w:rPr>
          <w:vertAlign w:val="superscript"/>
        </w:rPr>
        <w:t>2</w:t>
      </w:r>
      <w:r w:rsidR="00CB7473" w:rsidRPr="00006F36">
        <w:t xml:space="preserve">/year </w:t>
      </w:r>
      <w:r w:rsidR="00F960B7" w:rsidRPr="00006F36">
        <w:t>(95% CI −6.01, 0.12) and females: −3.20 mL/min/1.73 m</w:t>
      </w:r>
      <w:r w:rsidR="00F960B7" w:rsidRPr="00006F36">
        <w:rPr>
          <w:vertAlign w:val="superscript"/>
        </w:rPr>
        <w:t>2</w:t>
      </w:r>
      <w:r w:rsidR="00F960B7" w:rsidRPr="00006F36">
        <w:t>/year (95% CI −9.71, 3.32)</w:t>
      </w:r>
      <w:r w:rsidR="00FF0A4A" w:rsidRPr="00006F36">
        <w:t>)</w:t>
      </w:r>
      <w:r w:rsidR="00F960B7" w:rsidRPr="00006F36">
        <w:t xml:space="preserve"> was numerically worse than the decline in the </w:t>
      </w:r>
      <w:r w:rsidR="00BF39F6" w:rsidRPr="00006F36">
        <w:t xml:space="preserve">high renal involvement </w:t>
      </w:r>
      <w:r w:rsidR="00F960B7" w:rsidRPr="00006F36">
        <w:t>male cohort</w:t>
      </w:r>
      <w:r w:rsidR="00CB7473" w:rsidRPr="00006F36">
        <w:t xml:space="preserve"> </w:t>
      </w:r>
      <w:r w:rsidR="00BF39F6" w:rsidRPr="00006F36">
        <w:t xml:space="preserve">(n=23) </w:t>
      </w:r>
      <w:r w:rsidR="00CB7473" w:rsidRPr="00006F36">
        <w:t>(eGFR slope =-2.39 mL/min/1.73 m</w:t>
      </w:r>
      <w:r w:rsidR="00CB7473" w:rsidRPr="00006F36">
        <w:rPr>
          <w:vertAlign w:val="superscript"/>
        </w:rPr>
        <w:t>2</w:t>
      </w:r>
      <w:r w:rsidR="00CB7473" w:rsidRPr="00006F36">
        <w:t>/year)</w:t>
      </w:r>
      <w:r w:rsidR="00CE33FA" w:rsidRPr="00006F36">
        <w:t>.</w:t>
      </w:r>
    </w:p>
    <w:p w14:paraId="7F0072F6" w14:textId="0D6E340A" w:rsidR="00D03F07" w:rsidRPr="00006F36" w:rsidRDefault="00D03F07" w:rsidP="00947AB2">
      <w:pPr>
        <w:pStyle w:val="3-BodyText"/>
        <w:numPr>
          <w:ilvl w:val="0"/>
          <w:numId w:val="20"/>
        </w:numPr>
        <w:ind w:left="993" w:hanging="284"/>
      </w:pPr>
      <w:r w:rsidRPr="00006F36">
        <w:t xml:space="preserve">Conflicting information as to whether age at initiation of ERT was correlated with outcomes. </w:t>
      </w:r>
      <w:r w:rsidR="006F6B5E" w:rsidRPr="00006F36">
        <w:t xml:space="preserve">For example, </w:t>
      </w:r>
      <w:r w:rsidR="000E10B5" w:rsidRPr="00006F36">
        <w:t xml:space="preserve">Parini 2020 </w:t>
      </w:r>
      <w:r w:rsidR="00164F98" w:rsidRPr="00006F36">
        <w:t xml:space="preserve">and Germain 2013 both reported that </w:t>
      </w:r>
      <w:r w:rsidR="00F57411" w:rsidRPr="00006F36">
        <w:t>an older age at baseline was correlated with worse outcomes. However in Hopkin 2023</w:t>
      </w:r>
      <w:r w:rsidR="00111D96" w:rsidRPr="00006F36">
        <w:t xml:space="preserve"> </w:t>
      </w:r>
      <w:r w:rsidR="00382A50" w:rsidRPr="00006F36">
        <w:t xml:space="preserve">the </w:t>
      </w:r>
      <w:r w:rsidR="00B82A97" w:rsidRPr="00006F36">
        <w:t xml:space="preserve">change in z-scores for left ventricular posterior wall thickness was not </w:t>
      </w:r>
      <w:r w:rsidR="0079755D" w:rsidRPr="00006F36">
        <w:t xml:space="preserve">any different between younger or older patients at ERT initiation. </w:t>
      </w:r>
      <w:r w:rsidR="00DB0107" w:rsidRPr="00006F36">
        <w:t>In Hughes 2021, after accounting for sex, time from symptom onset or diagnosis and history of events</w:t>
      </w:r>
      <w:r w:rsidR="00DB0107" w:rsidRPr="00006F36">
        <w:rPr>
          <w:i/>
          <w:iCs/>
        </w:rPr>
        <w:t xml:space="preserve">, </w:t>
      </w:r>
      <w:r w:rsidR="00DB0107" w:rsidRPr="00006F36">
        <w:t>age at ERT initiation (in increments of 10 year increases) did not have any significant impact on risk of renal events, thought it was marginally significant (HR = 1.01, 95% CI 1.01-1.02, P&lt;0.001 when considering time from symptom onset; HR = 1.01, 95% CI 1.01-1.02, P&lt;0.001 when considering time from diagnosis) for cardiovascular events with an extremely small effect.</w:t>
      </w:r>
    </w:p>
    <w:p w14:paraId="0B1C9EEF" w14:textId="42212D8F" w:rsidR="005F3C2D" w:rsidRPr="00006F36" w:rsidRDefault="005F3C2D" w:rsidP="00947AB2">
      <w:pPr>
        <w:pStyle w:val="3-BodyText"/>
        <w:numPr>
          <w:ilvl w:val="0"/>
          <w:numId w:val="20"/>
        </w:numPr>
        <w:ind w:left="993" w:hanging="284"/>
      </w:pPr>
      <w:r w:rsidRPr="00006F36">
        <w:t>Conflicting information as to whether a longer delay from diagnosis to treatment was correlated with wors</w:t>
      </w:r>
      <w:r w:rsidR="00FF7701" w:rsidRPr="00006F36">
        <w:t>e</w:t>
      </w:r>
      <w:r w:rsidRPr="00006F36">
        <w:t xml:space="preserve"> outcomes. In Warnock 2012, time to diagnosis to first infusion of ERT was not statistically significant once time to symptom onset was included in the regression, with patients who had a delay longer than 2.6 years (the median in the sample) from diagnosis to first infusion being numerically less likely </w:t>
      </w:r>
      <w:r w:rsidRPr="00006F36">
        <w:lastRenderedPageBreak/>
        <w:t>to have renal disease progression (men: OR = 0.62, 95%CI 0.11, 3.54; women: OR = 0.85, 95% CI 0.42, 1.71)</w:t>
      </w:r>
      <w:r w:rsidR="001A1D56" w:rsidRPr="00006F36">
        <w:t xml:space="preserve"> though the difference did not appear to be statistically significant</w:t>
      </w:r>
      <w:r w:rsidRPr="00006F36">
        <w:t>.</w:t>
      </w:r>
      <w:r w:rsidR="001A1D56" w:rsidRPr="00006F36">
        <w:t xml:space="preserve"> However, in Hughes 2021, prompt treatment (&lt;24 months from diagnosis, n=1006) from time of diagnosis significantly reduced the probability of cardiovascular events (HR=0.83; p=0.003) compared to delayed treatment (≥24 months from diagnosis, n = 1202). Univariate analysis showed that the probability of renal events was significantly lower in the prompt group (p=0.018); however, this finding was attenuated in the multivariate Cox regression analysis.</w:t>
      </w:r>
    </w:p>
    <w:p w14:paraId="31A45652" w14:textId="77777777" w:rsidR="00D12810" w:rsidRDefault="008353DE" w:rsidP="00AB511E">
      <w:pPr>
        <w:pStyle w:val="3-BodyText"/>
      </w:pPr>
      <w:r w:rsidRPr="00006F36">
        <w:t xml:space="preserve">Overall, </w:t>
      </w:r>
      <w:r w:rsidR="00CE33FA" w:rsidRPr="00006F36">
        <w:t>the</w:t>
      </w:r>
      <w:r w:rsidR="004158B4" w:rsidRPr="00006F36">
        <w:t>re</w:t>
      </w:r>
      <w:r w:rsidR="00CE33FA" w:rsidRPr="00006F36">
        <w:t xml:space="preserve"> was no evidence presented to support early treatment with migalastat. If evidence related to ERT is considered relevant to migalastat, </w:t>
      </w:r>
      <w:r w:rsidRPr="00006F36">
        <w:t xml:space="preserve">the </w:t>
      </w:r>
      <w:r w:rsidR="002C0469" w:rsidRPr="00006F36">
        <w:t xml:space="preserve">quality of </w:t>
      </w:r>
      <w:r w:rsidRPr="00006F36">
        <w:t xml:space="preserve">evidence for </w:t>
      </w:r>
      <w:r w:rsidR="002C0469" w:rsidRPr="00006F36">
        <w:t xml:space="preserve">supporting </w:t>
      </w:r>
      <w:r w:rsidRPr="00006F36">
        <w:t xml:space="preserve">early treatment </w:t>
      </w:r>
      <w:r w:rsidR="001B63B9" w:rsidRPr="00006F36">
        <w:t xml:space="preserve">in classical Fabry patients </w:t>
      </w:r>
      <w:r w:rsidR="002C0469" w:rsidRPr="00006F36">
        <w:t>was poor</w:t>
      </w:r>
      <w:r w:rsidR="009C2A3C" w:rsidRPr="00006F36">
        <w:t>.</w:t>
      </w:r>
    </w:p>
    <w:p w14:paraId="1452C351" w14:textId="31414FEF" w:rsidR="00B60939" w:rsidRPr="00006F36" w:rsidRDefault="00B60939" w:rsidP="00D86231">
      <w:pPr>
        <w:pStyle w:val="4-SubsectionHeading"/>
      </w:pPr>
      <w:bookmarkStart w:id="38" w:name="_Toc22897642"/>
      <w:bookmarkStart w:id="39" w:name="_Toc156995876"/>
      <w:r w:rsidRPr="00006F36">
        <w:t>Comparative harms</w:t>
      </w:r>
      <w:bookmarkEnd w:id="38"/>
      <w:bookmarkEnd w:id="39"/>
    </w:p>
    <w:p w14:paraId="2DAF16D1" w14:textId="31C62CB0" w:rsidR="00B60939" w:rsidRPr="00006F36" w:rsidRDefault="00D926B0" w:rsidP="00D86231">
      <w:pPr>
        <w:pStyle w:val="3-BodyText"/>
      </w:pPr>
      <w:r w:rsidRPr="00006F36">
        <w:t xml:space="preserve">No new safety information was provided in the submission. </w:t>
      </w:r>
      <w:r w:rsidR="0055248B" w:rsidRPr="00006F36">
        <w:t xml:space="preserve">The PBAC </w:t>
      </w:r>
      <w:r w:rsidR="005B30D2" w:rsidRPr="00006F36">
        <w:t>previously considered the claim of non-inferior comparative safety of migalastat compared to ERT was reasonable (paragraph 5.5, migalastat PSD, December 2022</w:t>
      </w:r>
      <w:r w:rsidR="0050515A" w:rsidRPr="00006F36">
        <w:t xml:space="preserve"> PBAC meeting</w:t>
      </w:r>
      <w:r w:rsidR="005B30D2" w:rsidRPr="00006F36">
        <w:t>).</w:t>
      </w:r>
    </w:p>
    <w:p w14:paraId="04908C7F" w14:textId="415B9B7D" w:rsidR="007F1017" w:rsidRPr="00006F36" w:rsidRDefault="007F1017" w:rsidP="00D86231">
      <w:pPr>
        <w:pStyle w:val="4-SubsectionHeading"/>
      </w:pPr>
      <w:bookmarkStart w:id="40" w:name="_Toc22897643"/>
      <w:bookmarkStart w:id="41" w:name="_Toc156995877"/>
      <w:r w:rsidRPr="00006F36">
        <w:t>Benefits/harms</w:t>
      </w:r>
      <w:bookmarkEnd w:id="40"/>
      <w:bookmarkEnd w:id="41"/>
    </w:p>
    <w:p w14:paraId="25EA1011" w14:textId="77777777" w:rsidR="00D12810" w:rsidRDefault="00311D9B" w:rsidP="00D2155B">
      <w:pPr>
        <w:pStyle w:val="3-BodyText"/>
        <w:rPr>
          <w:snapToGrid/>
        </w:rPr>
      </w:pPr>
      <w:r w:rsidRPr="00006F36">
        <w:rPr>
          <w:snapToGrid/>
        </w:rPr>
        <w:t>A benefits and harms table</w:t>
      </w:r>
      <w:r w:rsidR="002F54CB" w:rsidRPr="00006F36">
        <w:rPr>
          <w:snapToGrid/>
        </w:rPr>
        <w:t xml:space="preserve"> </w:t>
      </w:r>
      <w:r w:rsidR="003C1E30" w:rsidRPr="00006F36">
        <w:rPr>
          <w:snapToGrid/>
        </w:rPr>
        <w:t xml:space="preserve">has </w:t>
      </w:r>
      <w:r w:rsidRPr="00006F36">
        <w:rPr>
          <w:snapToGrid/>
        </w:rPr>
        <w:t xml:space="preserve">not </w:t>
      </w:r>
      <w:r w:rsidR="003C1E30" w:rsidRPr="00006F36">
        <w:rPr>
          <w:snapToGrid/>
        </w:rPr>
        <w:t xml:space="preserve">been </w:t>
      </w:r>
      <w:r w:rsidRPr="00006F36">
        <w:rPr>
          <w:snapToGrid/>
        </w:rPr>
        <w:t>presented as the submission made a claim of non-inferiority.</w:t>
      </w:r>
    </w:p>
    <w:p w14:paraId="7A1772B6" w14:textId="0890611B" w:rsidR="00B60939" w:rsidRPr="00006F36" w:rsidRDefault="00B60939" w:rsidP="00E9094A">
      <w:pPr>
        <w:pStyle w:val="4-SubsectionHeading"/>
      </w:pPr>
      <w:bookmarkStart w:id="42" w:name="_Toc22897644"/>
      <w:bookmarkStart w:id="43" w:name="_Toc156995878"/>
      <w:r w:rsidRPr="00006F36">
        <w:t>Clinical claim</w:t>
      </w:r>
      <w:bookmarkEnd w:id="42"/>
      <w:bookmarkEnd w:id="43"/>
    </w:p>
    <w:p w14:paraId="39E1BA53" w14:textId="77777777" w:rsidR="00D12810" w:rsidRDefault="005F7588" w:rsidP="00E9094A">
      <w:pPr>
        <w:pStyle w:val="3-BodyText"/>
        <w:rPr>
          <w:rFonts w:eastAsia="Calibri"/>
        </w:rPr>
      </w:pPr>
      <w:bookmarkStart w:id="44" w:name="_Ref162014904"/>
      <w:r w:rsidRPr="00006F36">
        <w:rPr>
          <w:rFonts w:eastAsia="Calibri"/>
        </w:rPr>
        <w:t xml:space="preserve">The submission described </w:t>
      </w:r>
      <w:r w:rsidR="007E495B" w:rsidRPr="00006F36">
        <w:rPr>
          <w:rFonts w:eastAsia="Calibri"/>
        </w:rPr>
        <w:t>migalastat</w:t>
      </w:r>
      <w:r w:rsidRPr="00006F36">
        <w:rPr>
          <w:rFonts w:eastAsia="Calibri"/>
        </w:rPr>
        <w:t xml:space="preserve"> as non-inferior in terms of effectiveness compared to </w:t>
      </w:r>
      <w:r w:rsidR="007E495B" w:rsidRPr="00006F36">
        <w:rPr>
          <w:rFonts w:eastAsia="Calibri"/>
        </w:rPr>
        <w:t>ERT</w:t>
      </w:r>
      <w:r w:rsidRPr="00006F36">
        <w:rPr>
          <w:rFonts w:eastAsia="Calibri"/>
        </w:rPr>
        <w:t>. Th</w:t>
      </w:r>
      <w:r w:rsidR="0053666E" w:rsidRPr="00006F36">
        <w:rPr>
          <w:rFonts w:eastAsia="Calibri"/>
        </w:rPr>
        <w:t>e evaluation considered this</w:t>
      </w:r>
      <w:r w:rsidRPr="00006F36">
        <w:rPr>
          <w:rFonts w:eastAsia="Calibri"/>
        </w:rPr>
        <w:t xml:space="preserve"> claim was not adequately supported</w:t>
      </w:r>
      <w:r w:rsidR="00131684" w:rsidRPr="00006F36">
        <w:rPr>
          <w:rFonts w:eastAsia="Calibri"/>
        </w:rPr>
        <w:t xml:space="preserve">. </w:t>
      </w:r>
      <w:r w:rsidR="007C70FF" w:rsidRPr="00006F36">
        <w:rPr>
          <w:rFonts w:eastAsia="Calibri"/>
        </w:rPr>
        <w:t>The key issues were:</w:t>
      </w:r>
      <w:bookmarkEnd w:id="44"/>
    </w:p>
    <w:p w14:paraId="145ABEB7" w14:textId="77777777" w:rsidR="00D12810" w:rsidRDefault="008F1022" w:rsidP="00947AB2">
      <w:pPr>
        <w:pStyle w:val="3-BodyText"/>
        <w:numPr>
          <w:ilvl w:val="0"/>
          <w:numId w:val="21"/>
        </w:numPr>
        <w:ind w:left="993" w:hanging="284"/>
        <w:rPr>
          <w:rFonts w:eastAsia="Calibri"/>
        </w:rPr>
      </w:pPr>
      <w:r w:rsidRPr="00006F36">
        <w:rPr>
          <w:rFonts w:eastAsia="Calibri"/>
        </w:rPr>
        <w:t>No new comparative evidence was provided in the submission</w:t>
      </w:r>
      <w:r w:rsidR="00302600" w:rsidRPr="00006F36">
        <w:rPr>
          <w:rFonts w:eastAsia="Calibri"/>
        </w:rPr>
        <w:t xml:space="preserve"> to support the claim</w:t>
      </w:r>
      <w:r w:rsidR="007852D0" w:rsidRPr="00006F36">
        <w:rPr>
          <w:rFonts w:eastAsia="Calibri"/>
        </w:rPr>
        <w:t xml:space="preserve"> of non-inferiority</w:t>
      </w:r>
      <w:r w:rsidRPr="00006F36">
        <w:rPr>
          <w:rFonts w:eastAsia="Calibri"/>
        </w:rPr>
        <w:t>. The clinical claim was based on two head-to-head trials (ATTRACT and FACETS).</w:t>
      </w:r>
      <w:r w:rsidR="00302600" w:rsidRPr="00006F36">
        <w:rPr>
          <w:rFonts w:eastAsia="Calibri"/>
        </w:rPr>
        <w:t xml:space="preserve"> </w:t>
      </w:r>
      <w:r w:rsidRPr="00006F36">
        <w:rPr>
          <w:rFonts w:eastAsia="Calibri"/>
        </w:rPr>
        <w:t xml:space="preserve">However, both studies have been previously considered by the PBAC and </w:t>
      </w:r>
      <w:r w:rsidR="000101EF" w:rsidRPr="00006F36">
        <w:rPr>
          <w:rFonts w:eastAsia="Calibri"/>
        </w:rPr>
        <w:t>the Committee</w:t>
      </w:r>
      <w:r w:rsidRPr="00006F36">
        <w:rPr>
          <w:rFonts w:eastAsia="Calibri"/>
        </w:rPr>
        <w:t xml:space="preserve"> previously found the available evidence for migalastat insufficient to support a claim of non-inferior effectiveness compared to ERT</w:t>
      </w:r>
      <w:r w:rsidR="001C24CD" w:rsidRPr="00006F36">
        <w:rPr>
          <w:rFonts w:eastAsia="Calibri"/>
        </w:rPr>
        <w:t>;</w:t>
      </w:r>
    </w:p>
    <w:p w14:paraId="11F905F6" w14:textId="23B5E68F" w:rsidR="00131684" w:rsidRPr="00006F36" w:rsidRDefault="005F24AE" w:rsidP="00947AB2">
      <w:pPr>
        <w:pStyle w:val="3-BodyText"/>
        <w:numPr>
          <w:ilvl w:val="0"/>
          <w:numId w:val="21"/>
        </w:numPr>
        <w:ind w:left="993" w:hanging="284"/>
        <w:rPr>
          <w:rFonts w:eastAsia="Calibri"/>
        </w:rPr>
      </w:pPr>
      <w:r w:rsidRPr="00006F36">
        <w:rPr>
          <w:rFonts w:eastAsia="Calibri"/>
        </w:rPr>
        <w:t>In t</w:t>
      </w:r>
      <w:r w:rsidR="00FC3949" w:rsidRPr="00006F36">
        <w:rPr>
          <w:rFonts w:eastAsia="Calibri"/>
        </w:rPr>
        <w:t>he longer</w:t>
      </w:r>
      <w:r w:rsidRPr="00006F36">
        <w:rPr>
          <w:rFonts w:eastAsia="Calibri"/>
        </w:rPr>
        <w:t>-</w:t>
      </w:r>
      <w:r w:rsidR="00FC3949" w:rsidRPr="00006F36">
        <w:rPr>
          <w:rFonts w:eastAsia="Calibri"/>
        </w:rPr>
        <w:t>term follow</w:t>
      </w:r>
      <w:r w:rsidR="001C24CD" w:rsidRPr="00006F36">
        <w:rPr>
          <w:rFonts w:eastAsia="Calibri"/>
        </w:rPr>
        <w:t>-</w:t>
      </w:r>
      <w:r w:rsidR="00FC3949" w:rsidRPr="00006F36">
        <w:rPr>
          <w:rFonts w:eastAsia="Calibri"/>
        </w:rPr>
        <w:t>up of patients treated with migalastat in ATTRACT and FACETS</w:t>
      </w:r>
      <w:r w:rsidRPr="00006F36">
        <w:rPr>
          <w:rFonts w:eastAsia="Calibri"/>
        </w:rPr>
        <w:t>,</w:t>
      </w:r>
      <w:r w:rsidR="00FC3949" w:rsidRPr="00006F36">
        <w:rPr>
          <w:rFonts w:eastAsia="Calibri"/>
        </w:rPr>
        <w:t xml:space="preserve"> Bichet 2021</w:t>
      </w:r>
      <w:r w:rsidR="0091211D" w:rsidRPr="00006F36">
        <w:rPr>
          <w:rFonts w:eastAsia="Calibri"/>
        </w:rPr>
        <w:t xml:space="preserve"> claimed that </w:t>
      </w:r>
      <w:r w:rsidR="0091211D" w:rsidRPr="00006F36">
        <w:rPr>
          <w:snapToGrid/>
        </w:rPr>
        <w:t>in patient</w:t>
      </w:r>
      <w:r w:rsidR="00CE33FA" w:rsidRPr="00006F36">
        <w:rPr>
          <w:snapToGrid/>
        </w:rPr>
        <w:t>s</w:t>
      </w:r>
      <w:r w:rsidR="0091211D" w:rsidRPr="00006F36">
        <w:rPr>
          <w:snapToGrid/>
        </w:rPr>
        <w:t xml:space="preserve"> who received two or more years of migalastat, the rate of renal decline </w:t>
      </w:r>
      <w:r w:rsidR="00CE33FA" w:rsidRPr="00006F36">
        <w:rPr>
          <w:snapToGrid/>
        </w:rPr>
        <w:t xml:space="preserve">was </w:t>
      </w:r>
      <w:r w:rsidR="0091211D" w:rsidRPr="00006F36">
        <w:rPr>
          <w:snapToGrid/>
        </w:rPr>
        <w:t>similar to or lower than ERT treated patients</w:t>
      </w:r>
      <w:r w:rsidR="001C24CD" w:rsidRPr="00006F36">
        <w:rPr>
          <w:rFonts w:eastAsia="Calibri"/>
        </w:rPr>
        <w:t>, lower than untreated historical cohorts and were comparable to the normal rate of decline in age as reported in other studies. However, these were all single arm observational studies and any comparison across study results would be highly confounded and should be interpreted with caution.</w:t>
      </w:r>
      <w:r w:rsidR="001C24CD" w:rsidRPr="00006F36">
        <w:t xml:space="preserve"> </w:t>
      </w:r>
      <w:r w:rsidR="00D646D6" w:rsidRPr="00006F36">
        <w:rPr>
          <w:rFonts w:eastAsia="Calibri"/>
        </w:rPr>
        <w:t xml:space="preserve">Migalastat treated </w:t>
      </w:r>
      <w:r w:rsidR="00C61429" w:rsidRPr="00006F36">
        <w:rPr>
          <w:rFonts w:eastAsia="Calibri"/>
        </w:rPr>
        <w:t xml:space="preserve">(n=49) </w:t>
      </w:r>
      <w:r w:rsidR="00D646D6" w:rsidRPr="00006F36">
        <w:rPr>
          <w:rFonts w:eastAsia="Calibri"/>
        </w:rPr>
        <w:t xml:space="preserve">and ERT treated patients </w:t>
      </w:r>
      <w:r w:rsidR="00C61429" w:rsidRPr="00006F36">
        <w:rPr>
          <w:rFonts w:eastAsia="Calibri"/>
        </w:rPr>
        <w:t xml:space="preserve">(n=15) </w:t>
      </w:r>
      <w:r w:rsidR="00D646D6" w:rsidRPr="00006F36">
        <w:rPr>
          <w:rFonts w:eastAsia="Calibri"/>
        </w:rPr>
        <w:t xml:space="preserve">who were compared in </w:t>
      </w:r>
      <w:r w:rsidR="001A334F" w:rsidRPr="00006F36">
        <w:rPr>
          <w:rFonts w:eastAsia="Calibri"/>
        </w:rPr>
        <w:t xml:space="preserve">Hughes 2023 </w:t>
      </w:r>
      <w:r w:rsidR="00D646D6" w:rsidRPr="00006F36">
        <w:rPr>
          <w:rFonts w:eastAsia="Calibri"/>
        </w:rPr>
        <w:t xml:space="preserve">had substantial differences in </w:t>
      </w:r>
      <w:r w:rsidR="00C61429" w:rsidRPr="00006F36">
        <w:rPr>
          <w:rFonts w:eastAsia="Calibri"/>
        </w:rPr>
        <w:t>time since Fabry diagnosis, which may have confounded results. Further, no formal statistical testing, minimally clinically important differences or non-inferiority margins were proposed to allow any sort of objective assessment of non-inferiority</w:t>
      </w:r>
      <w:r w:rsidRPr="00006F36">
        <w:rPr>
          <w:rFonts w:eastAsia="Calibri"/>
        </w:rPr>
        <w:t>;</w:t>
      </w:r>
    </w:p>
    <w:p w14:paraId="10CF076E" w14:textId="7B4B34AC" w:rsidR="00302600" w:rsidRPr="00006F36" w:rsidRDefault="00302600" w:rsidP="00947AB2">
      <w:pPr>
        <w:pStyle w:val="3-BodyText"/>
        <w:numPr>
          <w:ilvl w:val="0"/>
          <w:numId w:val="21"/>
        </w:numPr>
        <w:ind w:left="993" w:hanging="284"/>
        <w:rPr>
          <w:rFonts w:eastAsia="Calibri"/>
        </w:rPr>
      </w:pPr>
      <w:r w:rsidRPr="00006F36">
        <w:rPr>
          <w:rFonts w:eastAsia="Calibri"/>
        </w:rPr>
        <w:lastRenderedPageBreak/>
        <w:t xml:space="preserve">No </w:t>
      </w:r>
      <w:r w:rsidR="00360699" w:rsidRPr="00006F36">
        <w:rPr>
          <w:rFonts w:eastAsia="Calibri"/>
        </w:rPr>
        <w:t xml:space="preserve">evidence for early treatment with migalastat in classical Fabry patients </w:t>
      </w:r>
      <w:r w:rsidR="00AD5626" w:rsidRPr="00006F36">
        <w:rPr>
          <w:rFonts w:eastAsia="Calibri"/>
        </w:rPr>
        <w:t xml:space="preserve">was </w:t>
      </w:r>
      <w:r w:rsidR="00360699" w:rsidRPr="00006F36">
        <w:rPr>
          <w:rFonts w:eastAsia="Calibri"/>
        </w:rPr>
        <w:t>presented</w:t>
      </w:r>
      <w:r w:rsidR="00216B95" w:rsidRPr="00006F36">
        <w:rPr>
          <w:rFonts w:eastAsia="Calibri"/>
        </w:rPr>
        <w:t xml:space="preserve"> and as such no conclusion could be drawn regarding the efficacy of migalastat in </w:t>
      </w:r>
      <w:r w:rsidR="00EE4C26" w:rsidRPr="00006F36">
        <w:rPr>
          <w:rFonts w:eastAsia="Calibri"/>
        </w:rPr>
        <w:t>early treatment of Fabry disease in classical Fabry patients</w:t>
      </w:r>
      <w:r w:rsidR="00360699" w:rsidRPr="00006F36">
        <w:rPr>
          <w:rFonts w:eastAsia="Calibri"/>
        </w:rPr>
        <w:t xml:space="preserve">. While observational studies for ERT were presented to support early treatment in Fabry disease, the </w:t>
      </w:r>
      <w:r w:rsidR="00F74A6A" w:rsidRPr="00006F36">
        <w:rPr>
          <w:rFonts w:eastAsia="Calibri"/>
        </w:rPr>
        <w:t>quality of evidence was poor</w:t>
      </w:r>
      <w:r w:rsidR="00A73110" w:rsidRPr="00006F36">
        <w:rPr>
          <w:rFonts w:eastAsia="Calibri"/>
        </w:rPr>
        <w:t>.</w:t>
      </w:r>
      <w:r w:rsidR="00F74A6A" w:rsidRPr="00006F36">
        <w:rPr>
          <w:rFonts w:eastAsia="Calibri"/>
        </w:rPr>
        <w:t xml:space="preserve"> </w:t>
      </w:r>
      <w:r w:rsidR="00A73110" w:rsidRPr="00006F36">
        <w:rPr>
          <w:rFonts w:eastAsia="Calibri"/>
        </w:rPr>
        <w:t>R</w:t>
      </w:r>
      <w:r w:rsidR="00F74A6A" w:rsidRPr="00006F36">
        <w:rPr>
          <w:rFonts w:eastAsia="Calibri"/>
        </w:rPr>
        <w:t>esults were not consistent</w:t>
      </w:r>
      <w:r w:rsidR="000845C3" w:rsidRPr="00006F36">
        <w:rPr>
          <w:rFonts w:eastAsia="Calibri"/>
        </w:rPr>
        <w:t xml:space="preserve"> across studies</w:t>
      </w:r>
      <w:r w:rsidR="00F74A6A" w:rsidRPr="00006F36">
        <w:rPr>
          <w:rFonts w:eastAsia="Calibri"/>
        </w:rPr>
        <w:t xml:space="preserve"> and the studies were highly confounded due to differences in baseline characteristics of patients</w:t>
      </w:r>
      <w:r w:rsidR="000845C3" w:rsidRPr="00006F36">
        <w:rPr>
          <w:rFonts w:eastAsia="Calibri"/>
        </w:rPr>
        <w:t xml:space="preserve"> and lack of multiplicity adjustments</w:t>
      </w:r>
      <w:r w:rsidR="007852D0" w:rsidRPr="00006F36">
        <w:rPr>
          <w:rFonts w:eastAsia="Calibri"/>
        </w:rPr>
        <w:t xml:space="preserve">. </w:t>
      </w:r>
      <w:r w:rsidR="00C25C42" w:rsidRPr="00006F36">
        <w:rPr>
          <w:rFonts w:eastAsia="Calibri"/>
        </w:rPr>
        <w:t>The</w:t>
      </w:r>
      <w:r w:rsidR="0011622F" w:rsidRPr="0011622F">
        <w:rPr>
          <w:bCs/>
        </w:rPr>
        <w:t xml:space="preserve"> </w:t>
      </w:r>
      <w:r w:rsidR="0011622F" w:rsidRPr="00F96B3C">
        <w:rPr>
          <w:bCs/>
        </w:rPr>
        <w:t>Pre-Sub-Committee Response</w:t>
      </w:r>
      <w:r w:rsidR="00C25C42" w:rsidRPr="00006F36">
        <w:rPr>
          <w:rFonts w:eastAsia="Calibri"/>
        </w:rPr>
        <w:t xml:space="preserve"> </w:t>
      </w:r>
      <w:r w:rsidR="0011622F">
        <w:rPr>
          <w:rFonts w:eastAsia="Calibri"/>
        </w:rPr>
        <w:t>(</w:t>
      </w:r>
      <w:r w:rsidR="00C25C42" w:rsidRPr="00006F36">
        <w:rPr>
          <w:rFonts w:eastAsia="Calibri"/>
        </w:rPr>
        <w:t>PSCR</w:t>
      </w:r>
      <w:r w:rsidR="0011622F">
        <w:rPr>
          <w:rFonts w:eastAsia="Calibri"/>
        </w:rPr>
        <w:t>)</w:t>
      </w:r>
      <w:r w:rsidR="00C25C42" w:rsidRPr="00006F36">
        <w:rPr>
          <w:rFonts w:eastAsia="Calibri"/>
        </w:rPr>
        <w:t xml:space="preserve"> noted that it is unlikely that RCT evidence comparing early versus late treatment will ever be available due to the rare and variable nature of the disease</w:t>
      </w:r>
      <w:r w:rsidR="00C25C42" w:rsidRPr="00006F36">
        <w:rPr>
          <w:rFonts w:eastAsia="Calibri"/>
          <w:i/>
          <w:iCs/>
        </w:rPr>
        <w:t>.</w:t>
      </w:r>
    </w:p>
    <w:p w14:paraId="7F613CD1" w14:textId="0EF099AE" w:rsidR="005F7588" w:rsidRPr="004134C5" w:rsidRDefault="005F7588" w:rsidP="00E9094A">
      <w:pPr>
        <w:pStyle w:val="3-BodyText"/>
        <w:rPr>
          <w:rFonts w:eastAsia="Calibri"/>
          <w:iCs/>
        </w:rPr>
      </w:pPr>
      <w:r w:rsidRPr="00006F36">
        <w:rPr>
          <w:rFonts w:eastAsia="Calibri"/>
        </w:rPr>
        <w:t xml:space="preserve">The submission described </w:t>
      </w:r>
      <w:r w:rsidR="005F24AE" w:rsidRPr="00006F36">
        <w:rPr>
          <w:rFonts w:eastAsia="Calibri"/>
        </w:rPr>
        <w:t>migalastat</w:t>
      </w:r>
      <w:r w:rsidRPr="00006F36">
        <w:rPr>
          <w:rFonts w:eastAsia="Calibri"/>
        </w:rPr>
        <w:t xml:space="preserve"> as non-inferior</w:t>
      </w:r>
      <w:r w:rsidR="005F24AE" w:rsidRPr="00006F36">
        <w:rPr>
          <w:rFonts w:eastAsia="Calibri"/>
        </w:rPr>
        <w:t xml:space="preserve"> </w:t>
      </w:r>
      <w:r w:rsidRPr="00006F36">
        <w:rPr>
          <w:rFonts w:eastAsia="Calibri"/>
        </w:rPr>
        <w:t>in term</w:t>
      </w:r>
      <w:r w:rsidR="00156F8F" w:rsidRPr="00006F36">
        <w:rPr>
          <w:rFonts w:eastAsia="Calibri"/>
        </w:rPr>
        <w:t>s</w:t>
      </w:r>
      <w:r w:rsidRPr="00006F36">
        <w:rPr>
          <w:rFonts w:eastAsia="Calibri"/>
        </w:rPr>
        <w:t xml:space="preserve"> of safety compared to </w:t>
      </w:r>
      <w:r w:rsidR="005F24AE" w:rsidRPr="00006F36">
        <w:rPr>
          <w:rFonts w:eastAsia="Calibri"/>
        </w:rPr>
        <w:t>ERT</w:t>
      </w:r>
      <w:r w:rsidRPr="00006F36">
        <w:rPr>
          <w:rFonts w:eastAsia="Calibri"/>
        </w:rPr>
        <w:t xml:space="preserve">. </w:t>
      </w:r>
      <w:r w:rsidRPr="00006F36">
        <w:rPr>
          <w:rFonts w:eastAsia="Calibri"/>
          <w:iCs/>
        </w:rPr>
        <w:t>Th</w:t>
      </w:r>
      <w:r w:rsidR="0053666E" w:rsidRPr="00006F36">
        <w:rPr>
          <w:rFonts w:eastAsia="Calibri"/>
          <w:iCs/>
        </w:rPr>
        <w:t xml:space="preserve">e PBAC noted this claim </w:t>
      </w:r>
      <w:r w:rsidR="005F24AE" w:rsidRPr="00006F36">
        <w:rPr>
          <w:rFonts w:eastAsia="Calibri"/>
          <w:iCs/>
        </w:rPr>
        <w:t xml:space="preserve">has previously been accepted </w:t>
      </w:r>
      <w:r w:rsidR="005F24AE" w:rsidRPr="00006F36">
        <w:rPr>
          <w:iCs/>
        </w:rPr>
        <w:t>(paragraph 5.5, migalastat PSD, December 2022</w:t>
      </w:r>
      <w:r w:rsidR="0050515A" w:rsidRPr="00006F36">
        <w:rPr>
          <w:iCs/>
        </w:rPr>
        <w:t xml:space="preserve"> PBAC meeting</w:t>
      </w:r>
      <w:r w:rsidR="005F24AE" w:rsidRPr="00006F36">
        <w:rPr>
          <w:iCs/>
        </w:rPr>
        <w:t>).</w:t>
      </w:r>
    </w:p>
    <w:p w14:paraId="27FB2427" w14:textId="77777777" w:rsidR="00D12810" w:rsidRDefault="00A234F6" w:rsidP="00E9094A">
      <w:pPr>
        <w:pStyle w:val="3-BodyText"/>
        <w:rPr>
          <w:rFonts w:eastAsia="Calibri"/>
          <w:iCs/>
        </w:rPr>
      </w:pPr>
      <w:r w:rsidRPr="00006F36">
        <w:rPr>
          <w:rFonts w:eastAsia="Calibri"/>
          <w:iCs/>
        </w:rPr>
        <w:t>The PBAC considered the claim that migalastat is non-inferior in terms of effectiveness compared to ERT remained uncertain</w:t>
      </w:r>
      <w:r w:rsidR="00411DCC" w:rsidRPr="00006F36">
        <w:rPr>
          <w:rFonts w:eastAsia="Calibri"/>
          <w:iCs/>
        </w:rPr>
        <w:t>.</w:t>
      </w:r>
    </w:p>
    <w:p w14:paraId="5F40E0D5" w14:textId="77777777" w:rsidR="00D12810" w:rsidRDefault="00B60939" w:rsidP="00E9094A">
      <w:pPr>
        <w:pStyle w:val="4-SubsectionHeading"/>
      </w:pPr>
      <w:bookmarkStart w:id="45" w:name="_Toc22897645"/>
      <w:bookmarkStart w:id="46" w:name="_Toc156995879"/>
      <w:r w:rsidRPr="00006F36">
        <w:t>Economic analysis</w:t>
      </w:r>
      <w:bookmarkEnd w:id="45"/>
      <w:bookmarkEnd w:id="46"/>
    </w:p>
    <w:p w14:paraId="0119EFD3" w14:textId="68A6BA2B" w:rsidR="0063664E" w:rsidRPr="00006F36" w:rsidRDefault="0063664E" w:rsidP="00641FB3">
      <w:pPr>
        <w:pStyle w:val="3-BodyText"/>
        <w:rPr>
          <w:b/>
          <w:bCs/>
        </w:rPr>
      </w:pPr>
      <w:r w:rsidRPr="00006F36">
        <w:t>No economic analysis was presented in the submission.</w:t>
      </w:r>
    </w:p>
    <w:p w14:paraId="0A0E836B" w14:textId="501F6C98" w:rsidR="00111A3E" w:rsidRPr="00006F36" w:rsidRDefault="00111A3E" w:rsidP="00641FB3">
      <w:pPr>
        <w:pStyle w:val="3-BodyText"/>
        <w:rPr>
          <w:b/>
          <w:bCs/>
          <w:i/>
          <w:iCs/>
        </w:rPr>
      </w:pPr>
      <w:bookmarkStart w:id="47" w:name="_Ref151113190"/>
      <w:r w:rsidRPr="00006F36">
        <w:t xml:space="preserve">The PBAC </w:t>
      </w:r>
      <w:r w:rsidR="00C73646" w:rsidRPr="00006F36">
        <w:t xml:space="preserve">previously considered that </w:t>
      </w:r>
      <w:r w:rsidR="0074389B" w:rsidRPr="00006F36">
        <w:t>migalastat would be appropriate for PBS listing at a price that ensured it was less expensive than the lowest cost available ERT on the LSDP for Fabry disease for all patients aged 16 years of age and older, and that this could be achieved with a cost per patient per year no higher than the cost of ERT for a patient weighing 45 kg</w:t>
      </w:r>
      <w:r w:rsidR="00C41993" w:rsidRPr="00006F36">
        <w:t xml:space="preserve"> (</w:t>
      </w:r>
      <w:r w:rsidR="000101EF" w:rsidRPr="00006F36">
        <w:t>p</w:t>
      </w:r>
      <w:r w:rsidR="00C41993" w:rsidRPr="00006F36">
        <w:t>aragraph 5.6, migalastat PSD, December 2022</w:t>
      </w:r>
      <w:r w:rsidR="0050515A" w:rsidRPr="00006F36">
        <w:t xml:space="preserve"> PBAC meeting</w:t>
      </w:r>
      <w:r w:rsidR="00C41993" w:rsidRPr="00006F36">
        <w:t>)</w:t>
      </w:r>
      <w:r w:rsidR="0074389B" w:rsidRPr="00006F36">
        <w:t>.</w:t>
      </w:r>
      <w:r w:rsidR="00C41993" w:rsidRPr="00006F36">
        <w:t xml:space="preserve"> The submission </w:t>
      </w:r>
      <w:r w:rsidR="00AB5E8F" w:rsidRPr="00006F36">
        <w:t xml:space="preserve">claimed that they were informally advised that </w:t>
      </w:r>
      <w:r w:rsidR="00CC1CCB" w:rsidRPr="00006F36">
        <w:t xml:space="preserve">a price reduction of approximately </w:t>
      </w:r>
      <w:r w:rsidR="00494449" w:rsidRPr="00177590">
        <w:rPr>
          <w:color w:val="000000"/>
          <w:w w:val="15"/>
          <w:shd w:val="solid" w:color="000000" w:fill="000000"/>
          <w:fitText w:val="-20" w:id="-961871099"/>
          <w14:textFill>
            <w14:solidFill>
              <w14:srgbClr w14:val="000000">
                <w14:alpha w14:val="100000"/>
              </w14:srgbClr>
            </w14:solidFill>
          </w14:textFill>
        </w:rPr>
        <w:t>|</w:t>
      </w:r>
      <w:r w:rsidR="00D12810" w:rsidRPr="00177590">
        <w:rPr>
          <w:color w:val="000000"/>
          <w:w w:val="15"/>
          <w:shd w:val="solid" w:color="000000" w:fill="000000"/>
          <w:fitText w:val="-20" w:id="-961871099"/>
          <w14:textFill>
            <w14:solidFill>
              <w14:srgbClr w14:val="000000">
                <w14:alpha w14:val="100000"/>
              </w14:srgbClr>
            </w14:solidFill>
          </w14:textFill>
        </w:rPr>
        <w:t xml:space="preserve"> </w:t>
      </w:r>
      <w:r w:rsidR="00494449" w:rsidRPr="00177590">
        <w:rPr>
          <w:color w:val="000000"/>
          <w:spacing w:val="-61"/>
          <w:w w:val="15"/>
          <w:shd w:val="solid" w:color="000000" w:fill="000000"/>
          <w:fitText w:val="-20" w:id="-961871099"/>
          <w14:textFill>
            <w14:solidFill>
              <w14:srgbClr w14:val="000000">
                <w14:alpha w14:val="100000"/>
              </w14:srgbClr>
            </w14:solidFill>
          </w14:textFill>
        </w:rPr>
        <w:t>|</w:t>
      </w:r>
      <w:r w:rsidR="00CC1CCB" w:rsidRPr="00006F36">
        <w:t>% compared to the current annual cost of $</w:t>
      </w:r>
      <w:r w:rsidR="00494449" w:rsidRPr="00177590">
        <w:rPr>
          <w:color w:val="000000"/>
          <w:w w:val="15"/>
          <w:shd w:val="solid" w:color="000000" w:fill="000000"/>
          <w:fitText w:val="-20" w:id="-961871098"/>
          <w14:textFill>
            <w14:solidFill>
              <w14:srgbClr w14:val="000000">
                <w14:alpha w14:val="100000"/>
              </w14:srgbClr>
            </w14:solidFill>
          </w14:textFill>
        </w:rPr>
        <w:t>|</w:t>
      </w:r>
      <w:r w:rsidR="00D12810" w:rsidRPr="00177590">
        <w:rPr>
          <w:color w:val="000000"/>
          <w:w w:val="15"/>
          <w:shd w:val="solid" w:color="000000" w:fill="000000"/>
          <w:fitText w:val="-20" w:id="-961871098"/>
          <w14:textFill>
            <w14:solidFill>
              <w14:srgbClr w14:val="000000">
                <w14:alpha w14:val="100000"/>
              </w14:srgbClr>
            </w14:solidFill>
          </w14:textFill>
        </w:rPr>
        <w:t xml:space="preserve"> </w:t>
      </w:r>
      <w:r w:rsidR="00494449" w:rsidRPr="00177590">
        <w:rPr>
          <w:color w:val="000000"/>
          <w:spacing w:val="-61"/>
          <w:w w:val="15"/>
          <w:shd w:val="solid" w:color="000000" w:fill="000000"/>
          <w:fitText w:val="-20" w:id="-961871098"/>
          <w14:textFill>
            <w14:solidFill>
              <w14:srgbClr w14:val="000000">
                <w14:alpha w14:val="100000"/>
              </w14:srgbClr>
            </w14:solidFill>
          </w14:textFill>
        </w:rPr>
        <w:t>|</w:t>
      </w:r>
      <w:r w:rsidR="00CC1CCB" w:rsidRPr="00006F36">
        <w:t xml:space="preserve"> ($</w:t>
      </w:r>
      <w:r w:rsidR="00494449" w:rsidRPr="00177590">
        <w:rPr>
          <w:color w:val="000000"/>
          <w:w w:val="15"/>
          <w:shd w:val="solid" w:color="000000" w:fill="000000"/>
          <w:fitText w:val="-20" w:id="-961871097"/>
          <w14:textFill>
            <w14:solidFill>
              <w14:srgbClr w14:val="000000">
                <w14:alpha w14:val="100000"/>
              </w14:srgbClr>
            </w14:solidFill>
          </w14:textFill>
        </w:rPr>
        <w:t>|</w:t>
      </w:r>
      <w:r w:rsidR="00D12810" w:rsidRPr="00177590">
        <w:rPr>
          <w:color w:val="000000"/>
          <w:w w:val="15"/>
          <w:shd w:val="solid" w:color="000000" w:fill="000000"/>
          <w:fitText w:val="-20" w:id="-961871097"/>
          <w14:textFill>
            <w14:solidFill>
              <w14:srgbClr w14:val="000000">
                <w14:alpha w14:val="100000"/>
              </w14:srgbClr>
            </w14:solidFill>
          </w14:textFill>
        </w:rPr>
        <w:t xml:space="preserve"> </w:t>
      </w:r>
      <w:r w:rsidR="00494449" w:rsidRPr="00177590">
        <w:rPr>
          <w:color w:val="000000"/>
          <w:spacing w:val="-61"/>
          <w:w w:val="15"/>
          <w:shd w:val="solid" w:color="000000" w:fill="000000"/>
          <w:fitText w:val="-20" w:id="-961871097"/>
          <w14:textFill>
            <w14:solidFill>
              <w14:srgbClr w14:val="000000">
                <w14:alpha w14:val="100000"/>
              </w14:srgbClr>
            </w14:solidFill>
          </w14:textFill>
        </w:rPr>
        <w:t>|</w:t>
      </w:r>
      <w:r w:rsidR="00CC1CCB" w:rsidRPr="00006F36">
        <w:t>/28</w:t>
      </w:r>
      <w:r w:rsidR="001A3384" w:rsidRPr="00006F36">
        <w:t xml:space="preserve"> days </w:t>
      </w:r>
      <w:r w:rsidR="00CC1CCB" w:rsidRPr="00006F36">
        <w:t>x</w:t>
      </w:r>
      <w:r w:rsidR="000F762D" w:rsidRPr="00006F36">
        <w:t xml:space="preserve"> </w:t>
      </w:r>
      <w:r w:rsidR="00CC1CCB" w:rsidRPr="00006F36">
        <w:t>365.25</w:t>
      </w:r>
      <w:r w:rsidR="001A3384" w:rsidRPr="00006F36">
        <w:t xml:space="preserve"> days</w:t>
      </w:r>
      <w:r w:rsidR="00CC1CCB" w:rsidRPr="00006F36">
        <w:t>) would be required to secure a PBS listing consistent with the PBAC recommendation.</w:t>
      </w:r>
      <w:bookmarkEnd w:id="47"/>
      <w:r w:rsidR="00C25C42" w:rsidRPr="00006F36">
        <w:t xml:space="preserve"> The PSCR stated that to achieve this level of price reduction, a pragmatic broadening of the eligibility criteria has been proposed for migalastat to align with the available clinical evidence, international best practice in the management of Fabry disease as well as the opinions of Australian experts. The PSCR </w:t>
      </w:r>
      <w:r w:rsidR="00C90215" w:rsidRPr="00006F36">
        <w:t xml:space="preserve">stated </w:t>
      </w:r>
      <w:r w:rsidR="00C25C42" w:rsidRPr="00006F36">
        <w:t>that this, combined with the risk sharing arrangement proposed, will result in clinical best practice and the level of saving per patient aligned to that which was communicated to the sponsor</w:t>
      </w:r>
      <w:r w:rsidR="00C25C42" w:rsidRPr="00006F36">
        <w:rPr>
          <w:i/>
          <w:iCs/>
        </w:rPr>
        <w:t>.</w:t>
      </w:r>
    </w:p>
    <w:p w14:paraId="6EAD2999" w14:textId="77777777" w:rsidR="00D12810" w:rsidRDefault="00CC1CCB" w:rsidP="00FA2E9F">
      <w:pPr>
        <w:pStyle w:val="3-BodyText"/>
      </w:pPr>
      <w:r w:rsidRPr="00006F36">
        <w:t xml:space="preserve">The submission proposed a </w:t>
      </w:r>
      <w:r w:rsidR="00494449" w:rsidRPr="00D12810">
        <w:rPr>
          <w:color w:val="000000"/>
          <w:spacing w:val="6"/>
          <w:w w:val="60"/>
          <w:shd w:val="solid" w:color="000000" w:fill="000000"/>
          <w:fitText w:val="468" w:id="-961871096"/>
          <w14:textFill>
            <w14:solidFill>
              <w14:srgbClr w14:val="000000">
                <w14:alpha w14:val="100000"/>
              </w14:srgbClr>
            </w14:solidFill>
          </w14:textFill>
        </w:rPr>
        <w:t>|||</w:t>
      </w:r>
      <w:r w:rsidR="00D12810" w:rsidRPr="00D12810">
        <w:rPr>
          <w:color w:val="000000"/>
          <w:spacing w:val="6"/>
          <w:w w:val="60"/>
          <w:shd w:val="solid" w:color="000000" w:fill="000000"/>
          <w:fitText w:val="468" w:id="-961871096"/>
          <w14:textFill>
            <w14:solidFill>
              <w14:srgbClr w14:val="000000">
                <w14:alpha w14:val="100000"/>
              </w14:srgbClr>
            </w14:solidFill>
          </w14:textFill>
        </w:rPr>
        <w:t xml:space="preserve"> </w:t>
      </w:r>
      <w:r w:rsidR="00494449" w:rsidRPr="00D12810">
        <w:rPr>
          <w:color w:val="000000"/>
          <w:spacing w:val="6"/>
          <w:w w:val="60"/>
          <w:shd w:val="solid" w:color="000000" w:fill="000000"/>
          <w:fitText w:val="468" w:id="-961871096"/>
          <w14:textFill>
            <w14:solidFill>
              <w14:srgbClr w14:val="000000">
                <w14:alpha w14:val="100000"/>
              </w14:srgbClr>
            </w14:solidFill>
          </w14:textFill>
        </w:rPr>
        <w:t>||</w:t>
      </w:r>
      <w:r w:rsidR="00494449" w:rsidRPr="00D12810">
        <w:rPr>
          <w:color w:val="000000"/>
          <w:spacing w:val="2"/>
          <w:w w:val="60"/>
          <w:shd w:val="solid" w:color="000000" w:fill="000000"/>
          <w:fitText w:val="468" w:id="-961871096"/>
          <w14:textFill>
            <w14:solidFill>
              <w14:srgbClr w14:val="000000">
                <w14:alpha w14:val="100000"/>
              </w14:srgbClr>
            </w14:solidFill>
          </w14:textFill>
        </w:rPr>
        <w:t>|</w:t>
      </w:r>
      <w:r w:rsidRPr="000C2DB0">
        <w:t>% price reduction</w:t>
      </w:r>
      <w:r w:rsidR="00B940B8" w:rsidRPr="000C2DB0">
        <w:t xml:space="preserve"> from the current LSDP list price</w:t>
      </w:r>
      <w:r w:rsidR="00762FEA" w:rsidRPr="000C2DB0">
        <w:t xml:space="preserve">, but </w:t>
      </w:r>
      <w:r w:rsidR="00C61567" w:rsidRPr="000C2DB0">
        <w:t xml:space="preserve">claimed that with the proposed </w:t>
      </w:r>
      <w:r w:rsidR="00AF46F5" w:rsidRPr="000C2DB0">
        <w:t>RSA</w:t>
      </w:r>
      <w:r w:rsidR="00C61567" w:rsidRPr="000C2DB0">
        <w:t xml:space="preserve">, </w:t>
      </w:r>
      <w:r w:rsidR="00B940B8" w:rsidRPr="000C2DB0">
        <w:t xml:space="preserve">a </w:t>
      </w:r>
      <w:r w:rsidR="00494449" w:rsidRPr="00177590">
        <w:rPr>
          <w:color w:val="000000"/>
          <w:w w:val="15"/>
          <w:shd w:val="solid" w:color="000000" w:fill="000000"/>
          <w:fitText w:val="-20" w:id="-961871095"/>
          <w14:textFill>
            <w14:solidFill>
              <w14:srgbClr w14:val="000000">
                <w14:alpha w14:val="100000"/>
              </w14:srgbClr>
            </w14:solidFill>
          </w14:textFill>
        </w:rPr>
        <w:t>|</w:t>
      </w:r>
      <w:r w:rsidR="00D12810" w:rsidRPr="00177590">
        <w:rPr>
          <w:color w:val="000000"/>
          <w:w w:val="15"/>
          <w:shd w:val="solid" w:color="000000" w:fill="000000"/>
          <w:fitText w:val="-20" w:id="-961871095"/>
          <w14:textFill>
            <w14:solidFill>
              <w14:srgbClr w14:val="000000">
                <w14:alpha w14:val="100000"/>
              </w14:srgbClr>
            </w14:solidFill>
          </w14:textFill>
        </w:rPr>
        <w:t xml:space="preserve"> </w:t>
      </w:r>
      <w:r w:rsidR="00494449" w:rsidRPr="00177590">
        <w:rPr>
          <w:color w:val="000000"/>
          <w:spacing w:val="-61"/>
          <w:w w:val="15"/>
          <w:shd w:val="solid" w:color="000000" w:fill="000000"/>
          <w:fitText w:val="-20" w:id="-961871095"/>
          <w14:textFill>
            <w14:solidFill>
              <w14:srgbClr w14:val="000000">
                <w14:alpha w14:val="100000"/>
              </w14:srgbClr>
            </w14:solidFill>
          </w14:textFill>
        </w:rPr>
        <w:t>|</w:t>
      </w:r>
      <w:r w:rsidR="00B940B8" w:rsidRPr="00006F36">
        <w:t>% price reduction will be achieved if the Tier 2 cap was reached</w:t>
      </w:r>
      <w:r w:rsidR="00EC6A3B" w:rsidRPr="00006F36">
        <w:t xml:space="preserve"> with the proposed restriction</w:t>
      </w:r>
      <w:r w:rsidR="00A375BD" w:rsidRPr="00006F36">
        <w:t xml:space="preserve">. </w:t>
      </w:r>
      <w:r w:rsidR="00B940B8" w:rsidRPr="00006F36">
        <w:t>This is discussed further in paragraph</w:t>
      </w:r>
      <w:r w:rsidR="00B45956" w:rsidRPr="00006F36">
        <w:t xml:space="preserve">s </w:t>
      </w:r>
      <w:r w:rsidR="00B45956" w:rsidRPr="00006F36">
        <w:fldChar w:fldCharType="begin" w:fldLock="1"/>
      </w:r>
      <w:r w:rsidR="00B45956" w:rsidRPr="00006F36">
        <w:instrText xml:space="preserve"> REF _Ref152086443 \r \h  \* MERGEFORMAT </w:instrText>
      </w:r>
      <w:r w:rsidR="00B45956" w:rsidRPr="00006F36">
        <w:fldChar w:fldCharType="separate"/>
      </w:r>
      <w:r w:rsidR="00F42C5D">
        <w:t>6.46</w:t>
      </w:r>
      <w:r w:rsidR="00B45956" w:rsidRPr="00006F36">
        <w:fldChar w:fldCharType="end"/>
      </w:r>
      <w:r w:rsidR="00B45956" w:rsidRPr="00006F36">
        <w:t xml:space="preserve"> and </w:t>
      </w:r>
      <w:r w:rsidR="00B45956" w:rsidRPr="00006F36">
        <w:fldChar w:fldCharType="begin" w:fldLock="1"/>
      </w:r>
      <w:r w:rsidR="00B45956" w:rsidRPr="00006F36">
        <w:instrText xml:space="preserve"> REF _Ref152086446 \r \h  \* MERGEFORMAT </w:instrText>
      </w:r>
      <w:r w:rsidR="00B45956" w:rsidRPr="00006F36">
        <w:fldChar w:fldCharType="separate"/>
      </w:r>
      <w:r w:rsidR="00F42C5D">
        <w:t>6.47</w:t>
      </w:r>
      <w:r w:rsidR="00B45956" w:rsidRPr="00006F36">
        <w:fldChar w:fldCharType="end"/>
      </w:r>
      <w:r w:rsidR="00B940B8" w:rsidRPr="00006F36">
        <w:t xml:space="preserve"> below.</w:t>
      </w:r>
      <w:r w:rsidR="00B940B8" w:rsidRPr="00006F36">
        <w:rPr>
          <w:i/>
          <w:iCs/>
        </w:rPr>
        <w:t xml:space="preserve"> </w:t>
      </w:r>
      <w:r w:rsidR="00063CBD" w:rsidRPr="00006F36">
        <w:t>The submission claimed that this would “cost-effectively allow for the proposed expansion of the population eligible for migalastat”.</w:t>
      </w:r>
    </w:p>
    <w:p w14:paraId="216971B7" w14:textId="77777777" w:rsidR="00D12810" w:rsidRDefault="008035D6" w:rsidP="00641FB3">
      <w:pPr>
        <w:pStyle w:val="3-BodyText"/>
      </w:pPr>
      <w:r w:rsidRPr="00006F36">
        <w:t>The ESC considered i</w:t>
      </w:r>
      <w:r w:rsidR="00C844D1" w:rsidRPr="00006F36">
        <w:t xml:space="preserve">t was </w:t>
      </w:r>
      <w:r w:rsidRPr="00006F36">
        <w:t xml:space="preserve">unlikely the </w:t>
      </w:r>
      <w:r w:rsidR="00C844D1" w:rsidRPr="00006F36">
        <w:t xml:space="preserve">PBAC’s </w:t>
      </w:r>
      <w:r w:rsidR="0053666E" w:rsidRPr="00006F36">
        <w:t xml:space="preserve">previous </w:t>
      </w:r>
      <w:r w:rsidR="00C844D1" w:rsidRPr="00006F36">
        <w:t xml:space="preserve">decision on the cost effectiveness of migalastat (as described in paragraph </w:t>
      </w:r>
      <w:r w:rsidR="00C844D1" w:rsidRPr="00006F36">
        <w:fldChar w:fldCharType="begin" w:fldLock="1"/>
      </w:r>
      <w:r w:rsidR="00C844D1" w:rsidRPr="00006F36">
        <w:instrText xml:space="preserve"> REF _Ref151113190 \r \h </w:instrText>
      </w:r>
      <w:r w:rsidR="00A160B6" w:rsidRPr="00006F36">
        <w:instrText xml:space="preserve"> \* MERGEFORMAT </w:instrText>
      </w:r>
      <w:r w:rsidR="00C844D1" w:rsidRPr="00006F36">
        <w:fldChar w:fldCharType="separate"/>
      </w:r>
      <w:r w:rsidR="00F42C5D">
        <w:t>6.30</w:t>
      </w:r>
      <w:r w:rsidR="00C844D1" w:rsidRPr="00006F36">
        <w:fldChar w:fldCharType="end"/>
      </w:r>
      <w:r w:rsidR="00C844D1" w:rsidRPr="00006F36">
        <w:t xml:space="preserve">) would extend to the </w:t>
      </w:r>
      <w:r w:rsidR="00A248A3" w:rsidRPr="00006F36">
        <w:t xml:space="preserve">extended </w:t>
      </w:r>
      <w:r w:rsidR="00C844D1" w:rsidRPr="00006F36">
        <w:t xml:space="preserve">population of </w:t>
      </w:r>
      <w:r w:rsidR="00A248A3" w:rsidRPr="00006F36">
        <w:t xml:space="preserve">early treatment in </w:t>
      </w:r>
      <w:r w:rsidR="00C844D1" w:rsidRPr="00006F36">
        <w:t>patients with classical Fabry disease</w:t>
      </w:r>
      <w:r w:rsidR="005C622B" w:rsidRPr="00006F36">
        <w:t>.</w:t>
      </w:r>
      <w:r w:rsidR="00C844D1" w:rsidRPr="00006F36">
        <w:t xml:space="preserve"> As </w:t>
      </w:r>
      <w:r w:rsidR="00C844D1" w:rsidRPr="00006F36">
        <w:lastRenderedPageBreak/>
        <w:t xml:space="preserve">such, the </w:t>
      </w:r>
      <w:r w:rsidRPr="00006F36">
        <w:t xml:space="preserve">ESC noted the </w:t>
      </w:r>
      <w:r w:rsidR="00C844D1" w:rsidRPr="00006F36">
        <w:t>cost effectiveness of the proposed early treatment in classical Fabry patients should be considered</w:t>
      </w:r>
      <w:r w:rsidR="00063CBD" w:rsidRPr="00006F36">
        <w:t xml:space="preserve"> unknown</w:t>
      </w:r>
      <w:r w:rsidR="00C844D1" w:rsidRPr="00006F36">
        <w:t>.</w:t>
      </w:r>
    </w:p>
    <w:p w14:paraId="3CF6A540" w14:textId="0421D809" w:rsidR="00E67FCC" w:rsidRPr="00E67FCC" w:rsidRDefault="00E67FCC" w:rsidP="00641FB3">
      <w:pPr>
        <w:pStyle w:val="3-BodyText"/>
      </w:pPr>
      <w:r>
        <w:t xml:space="preserve">The pre-PBAC response stated </w:t>
      </w:r>
      <w:r w:rsidRPr="00E67FCC">
        <w:t xml:space="preserve">that most patients with classical Fabry disease will progress to end organ damage and end up receiving targeted therapies by a mean age of 41 years (LSDP Technical Assessment, 2015). </w:t>
      </w:r>
      <w:r>
        <w:t>The response stated a</w:t>
      </w:r>
      <w:r w:rsidRPr="00E67FCC">
        <w:t>llowing early treatment with migalastat should substantially slow disease progression, resulting in savings to the healthcare system and improved quality of life.</w:t>
      </w:r>
    </w:p>
    <w:p w14:paraId="472842D7" w14:textId="67860B28" w:rsidR="00C25D9C" w:rsidRPr="00006F36" w:rsidRDefault="00C25D9C" w:rsidP="00BB732D">
      <w:pPr>
        <w:pStyle w:val="4-SubsectionHeading"/>
      </w:pPr>
      <w:bookmarkStart w:id="48" w:name="_Toc22897646"/>
      <w:bookmarkStart w:id="49" w:name="_Toc156995880"/>
      <w:r w:rsidRPr="00006F36">
        <w:t>Drug</w:t>
      </w:r>
      <w:r w:rsidR="008577BD" w:rsidRPr="00006F36">
        <w:t xml:space="preserve"> </w:t>
      </w:r>
      <w:r w:rsidRPr="00006F36">
        <w:t>cost/patient/year</w:t>
      </w:r>
      <w:bookmarkEnd w:id="48"/>
      <w:bookmarkEnd w:id="49"/>
    </w:p>
    <w:p w14:paraId="0529A649" w14:textId="1D89B3FD" w:rsidR="00494207" w:rsidRPr="00006F36" w:rsidRDefault="0068500C" w:rsidP="0068500C">
      <w:pPr>
        <w:pStyle w:val="Caption"/>
        <w:rPr>
          <w:rStyle w:val="CommentReference"/>
          <w:b/>
          <w:szCs w:val="24"/>
        </w:rPr>
      </w:pPr>
      <w:r w:rsidRPr="00006F36">
        <w:t xml:space="preserve">Table </w:t>
      </w:r>
      <w:r w:rsidR="008C634B">
        <w:fldChar w:fldCharType="begin" w:fldLock="1"/>
      </w:r>
      <w:r w:rsidR="008C634B">
        <w:instrText xml:space="preserve"> SEQ Table \* ARABIC </w:instrText>
      </w:r>
      <w:r w:rsidR="008C634B">
        <w:fldChar w:fldCharType="separate"/>
      </w:r>
      <w:r w:rsidR="00F42C5D">
        <w:rPr>
          <w:noProof/>
        </w:rPr>
        <w:t>8</w:t>
      </w:r>
      <w:r w:rsidR="008C634B">
        <w:rPr>
          <w:noProof/>
        </w:rPr>
        <w:fldChar w:fldCharType="end"/>
      </w:r>
      <w:r w:rsidR="00494207" w:rsidRPr="00006F36">
        <w:rPr>
          <w:rStyle w:val="CommentReference"/>
          <w:b/>
          <w:szCs w:val="24"/>
        </w:rPr>
        <w:t>: Drug cost per patient for proposed drug</w:t>
      </w:r>
      <w:r w:rsidR="001701BB">
        <w:rPr>
          <w:rStyle w:val="CommentReference"/>
          <w:b/>
          <w:szCs w:val="24"/>
        </w:rPr>
        <w:t xml:space="preserve"> (using ex-manufacturer prices)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8: Drug cost per patient for proposed drug (using ex-manufacturer prices)"/>
      </w:tblPr>
      <w:tblGrid>
        <w:gridCol w:w="1837"/>
        <w:gridCol w:w="3827"/>
        <w:gridCol w:w="3353"/>
      </w:tblGrid>
      <w:tr w:rsidR="00356790" w:rsidRPr="00006F36" w14:paraId="231D534E" w14:textId="77777777" w:rsidTr="009607BE">
        <w:trPr>
          <w:cantSplit/>
          <w:tblHeader/>
          <w:jc w:val="center"/>
        </w:trPr>
        <w:tc>
          <w:tcPr>
            <w:tcW w:w="1019" w:type="pct"/>
            <w:shd w:val="clear" w:color="auto" w:fill="auto"/>
            <w:vAlign w:val="center"/>
          </w:tcPr>
          <w:p w14:paraId="29DCE76F" w14:textId="77777777" w:rsidR="00356790" w:rsidRPr="00006F36" w:rsidRDefault="00356790" w:rsidP="00C94053">
            <w:pPr>
              <w:pStyle w:val="In-tableHeading"/>
              <w:jc w:val="center"/>
              <w:rPr>
                <w:lang w:val="en-AU"/>
              </w:rPr>
            </w:pPr>
          </w:p>
        </w:tc>
        <w:tc>
          <w:tcPr>
            <w:tcW w:w="2122" w:type="pct"/>
            <w:shd w:val="clear" w:color="auto" w:fill="auto"/>
            <w:vAlign w:val="center"/>
          </w:tcPr>
          <w:p w14:paraId="1E707E82" w14:textId="12A9FF8E" w:rsidR="00356790" w:rsidRPr="00006F36" w:rsidRDefault="00356790" w:rsidP="00C94053">
            <w:pPr>
              <w:pStyle w:val="In-tableHeading"/>
              <w:jc w:val="center"/>
              <w:rPr>
                <w:lang w:val="en-AU"/>
              </w:rPr>
            </w:pPr>
            <w:r w:rsidRPr="00006F36">
              <w:rPr>
                <w:lang w:val="en-AU"/>
              </w:rPr>
              <w:t>Economics (cost estimates)</w:t>
            </w:r>
          </w:p>
        </w:tc>
        <w:tc>
          <w:tcPr>
            <w:tcW w:w="1859" w:type="pct"/>
            <w:shd w:val="clear" w:color="auto" w:fill="auto"/>
            <w:vAlign w:val="center"/>
          </w:tcPr>
          <w:p w14:paraId="5CB200FD" w14:textId="77777777" w:rsidR="00356790" w:rsidRPr="00006F36" w:rsidRDefault="00356790" w:rsidP="00C94053">
            <w:pPr>
              <w:pStyle w:val="In-tableHeading"/>
              <w:jc w:val="center"/>
              <w:rPr>
                <w:lang w:val="en-AU"/>
              </w:rPr>
            </w:pPr>
            <w:r w:rsidRPr="00006F36">
              <w:rPr>
                <w:lang w:val="en-AU"/>
              </w:rPr>
              <w:t>Financial estimates</w:t>
            </w:r>
          </w:p>
        </w:tc>
      </w:tr>
      <w:tr w:rsidR="00356790" w:rsidRPr="00006F36" w14:paraId="78867D2F" w14:textId="77777777" w:rsidTr="009607BE">
        <w:trPr>
          <w:cantSplit/>
          <w:jc w:val="center"/>
        </w:trPr>
        <w:tc>
          <w:tcPr>
            <w:tcW w:w="1019" w:type="pct"/>
            <w:shd w:val="clear" w:color="auto" w:fill="auto"/>
            <w:vAlign w:val="center"/>
          </w:tcPr>
          <w:p w14:paraId="37119441" w14:textId="77777777" w:rsidR="00356790" w:rsidRPr="00006F36" w:rsidRDefault="00356790" w:rsidP="00C94053">
            <w:pPr>
              <w:pStyle w:val="TableText0"/>
            </w:pPr>
            <w:r w:rsidRPr="00006F36">
              <w:t>Mean dose</w:t>
            </w:r>
          </w:p>
        </w:tc>
        <w:tc>
          <w:tcPr>
            <w:tcW w:w="3981" w:type="pct"/>
            <w:gridSpan w:val="2"/>
            <w:shd w:val="clear" w:color="auto" w:fill="auto"/>
            <w:vAlign w:val="center"/>
          </w:tcPr>
          <w:p w14:paraId="66F6EB36" w14:textId="56906A0F" w:rsidR="00356790" w:rsidRPr="00006F36" w:rsidRDefault="00356790" w:rsidP="00C94053">
            <w:pPr>
              <w:pStyle w:val="TableText0"/>
              <w:jc w:val="center"/>
            </w:pPr>
            <w:r w:rsidRPr="00006F36">
              <w:t>123</w:t>
            </w:r>
            <w:r w:rsidR="00006F36">
              <w:t xml:space="preserve"> </w:t>
            </w:r>
            <w:r w:rsidRPr="00006F36">
              <w:t>mg capsule, one capsule every second day</w:t>
            </w:r>
          </w:p>
        </w:tc>
      </w:tr>
      <w:tr w:rsidR="00356790" w:rsidRPr="00006F36" w14:paraId="2C961FF5" w14:textId="77777777" w:rsidTr="009607BE">
        <w:trPr>
          <w:cantSplit/>
          <w:jc w:val="center"/>
        </w:trPr>
        <w:tc>
          <w:tcPr>
            <w:tcW w:w="1019" w:type="pct"/>
            <w:shd w:val="clear" w:color="auto" w:fill="auto"/>
            <w:vAlign w:val="center"/>
          </w:tcPr>
          <w:p w14:paraId="4D01BB01" w14:textId="49F62280" w:rsidR="00356790" w:rsidRPr="00006F36" w:rsidRDefault="00356790" w:rsidP="00C94053">
            <w:pPr>
              <w:pStyle w:val="TableText0"/>
            </w:pPr>
            <w:r w:rsidRPr="00006F36">
              <w:t>Cost per patient/year</w:t>
            </w:r>
          </w:p>
        </w:tc>
        <w:tc>
          <w:tcPr>
            <w:tcW w:w="2122" w:type="pct"/>
            <w:shd w:val="clear" w:color="auto" w:fill="auto"/>
            <w:vAlign w:val="center"/>
          </w:tcPr>
          <w:p w14:paraId="221E0E33" w14:textId="51A73D1E" w:rsidR="00356790" w:rsidRPr="00006F36" w:rsidRDefault="00356790" w:rsidP="00C94053">
            <w:pPr>
              <w:pStyle w:val="TableText0"/>
              <w:jc w:val="center"/>
              <w:rPr>
                <w:vertAlign w:val="superscript"/>
              </w:rPr>
            </w:pPr>
            <w:r w:rsidRPr="00006F36">
              <w:t>$</w:t>
            </w:r>
            <w:r w:rsidR="00494449" w:rsidRPr="00494449">
              <w:rPr>
                <w:color w:val="000000"/>
                <w:shd w:val="solid" w:color="000000" w:fill="000000"/>
                <w14:textFill>
                  <w14:solidFill>
                    <w14:srgbClr w14:val="000000">
                      <w14:alpha w14:val="100000"/>
                    </w14:srgbClr>
                  </w14:solidFill>
                </w14:textFill>
              </w:rPr>
              <w:t>|</w:t>
            </w:r>
            <w:r w:rsidRPr="00006F36">
              <w:t xml:space="preserve"> </w:t>
            </w:r>
            <w:r w:rsidRPr="00006F36">
              <w:rPr>
                <w:vertAlign w:val="superscript"/>
              </w:rPr>
              <w:t>a</w:t>
            </w:r>
          </w:p>
        </w:tc>
        <w:tc>
          <w:tcPr>
            <w:tcW w:w="1859" w:type="pct"/>
            <w:shd w:val="clear" w:color="auto" w:fill="auto"/>
            <w:vAlign w:val="center"/>
          </w:tcPr>
          <w:p w14:paraId="7613787D" w14:textId="32824875" w:rsidR="00356790" w:rsidRPr="00006F36" w:rsidRDefault="00356790" w:rsidP="004158B4">
            <w:pPr>
              <w:pStyle w:val="TableText0"/>
              <w:jc w:val="center"/>
              <w:rPr>
                <w:vertAlign w:val="superscript"/>
              </w:rPr>
            </w:pPr>
            <w:r w:rsidRPr="00006F36">
              <w:t>$</w:t>
            </w:r>
            <w:r w:rsidR="00494449" w:rsidRPr="00494449">
              <w:rPr>
                <w:color w:val="000000"/>
                <w:shd w:val="solid" w:color="000000" w:fill="000000"/>
                <w14:textFill>
                  <w14:solidFill>
                    <w14:srgbClr w14:val="000000">
                      <w14:alpha w14:val="100000"/>
                    </w14:srgbClr>
                  </w14:solidFill>
                </w14:textFill>
              </w:rPr>
              <w:t>|</w:t>
            </w:r>
            <w:r w:rsidRPr="00006F36">
              <w:t xml:space="preserve"> </w:t>
            </w:r>
            <w:r w:rsidRPr="00006F36">
              <w:rPr>
                <w:vertAlign w:val="superscript"/>
              </w:rPr>
              <w:t>b</w:t>
            </w:r>
          </w:p>
        </w:tc>
      </w:tr>
    </w:tbl>
    <w:p w14:paraId="1E9B99BE" w14:textId="102B359E" w:rsidR="00494207" w:rsidRPr="00006F36" w:rsidRDefault="00494207" w:rsidP="00C94053">
      <w:pPr>
        <w:pStyle w:val="FooterTableFigure"/>
      </w:pPr>
      <w:r w:rsidRPr="00006F36">
        <w:t xml:space="preserve">Source: </w:t>
      </w:r>
      <w:r w:rsidR="00993526" w:rsidRPr="00006F36">
        <w:t>Calculated during evaluation</w:t>
      </w:r>
    </w:p>
    <w:p w14:paraId="5452B99C" w14:textId="77777777" w:rsidR="00D12810" w:rsidRDefault="00494207" w:rsidP="00C94053">
      <w:pPr>
        <w:pStyle w:val="FooterTableFigure"/>
      </w:pPr>
      <w:proofErr w:type="gramStart"/>
      <w:r w:rsidRPr="008D4433">
        <w:rPr>
          <w:vertAlign w:val="superscript"/>
        </w:rPr>
        <w:t>a</w:t>
      </w:r>
      <w:proofErr w:type="gramEnd"/>
      <w:r w:rsidRPr="008D4433">
        <w:rPr>
          <w:vertAlign w:val="superscript"/>
        </w:rPr>
        <w:t xml:space="preserve"> </w:t>
      </w:r>
      <w:r w:rsidR="00966844" w:rsidRPr="00006F36">
        <w:t>Estimated using proposed AEMP of $</w:t>
      </w:r>
      <w:r w:rsidR="00494449" w:rsidRPr="00D12810">
        <w:rPr>
          <w:color w:val="000000"/>
          <w:spacing w:val="75"/>
          <w:shd w:val="solid" w:color="000000" w:fill="000000"/>
          <w:fitText w:val="268" w:id="-961871094"/>
          <w14:textFill>
            <w14:solidFill>
              <w14:srgbClr w14:val="000000">
                <w14:alpha w14:val="100000"/>
              </w14:srgbClr>
            </w14:solidFill>
          </w14:textFill>
        </w:rPr>
        <w:t>|</w:t>
      </w:r>
      <w:r w:rsidR="00D12810" w:rsidRPr="00D12810">
        <w:rPr>
          <w:color w:val="000000"/>
          <w:spacing w:val="75"/>
          <w:shd w:val="solid" w:color="000000" w:fill="000000"/>
          <w:fitText w:val="268" w:id="-961871094"/>
          <w14:textFill>
            <w14:solidFill>
              <w14:srgbClr w14:val="000000">
                <w14:alpha w14:val="100000"/>
              </w14:srgbClr>
            </w14:solidFill>
          </w14:textFill>
        </w:rPr>
        <w:t xml:space="preserve"> </w:t>
      </w:r>
      <w:r w:rsidR="00494449" w:rsidRPr="00D12810">
        <w:rPr>
          <w:color w:val="000000"/>
          <w:spacing w:val="1"/>
          <w:shd w:val="solid" w:color="000000" w:fill="000000"/>
          <w:fitText w:val="268" w:id="-961871094"/>
          <w14:textFill>
            <w14:solidFill>
              <w14:srgbClr w14:val="000000">
                <w14:alpha w14:val="100000"/>
              </w14:srgbClr>
            </w14:solidFill>
          </w14:textFill>
        </w:rPr>
        <w:t>|</w:t>
      </w:r>
      <w:r w:rsidR="00EB27E3" w:rsidRPr="00006F36">
        <w:t xml:space="preserve"> for 14 tablets and assuming 365.25 days</w:t>
      </w:r>
      <w:r w:rsidR="00D45D87" w:rsidRPr="00006F36">
        <w:t>.</w:t>
      </w:r>
    </w:p>
    <w:p w14:paraId="27ACD7E9" w14:textId="77777777" w:rsidR="00D12810" w:rsidRDefault="00494207" w:rsidP="00C94053">
      <w:pPr>
        <w:pStyle w:val="FooterTableFigure"/>
      </w:pPr>
      <w:r w:rsidRPr="008D4433">
        <w:rPr>
          <w:vertAlign w:val="superscript"/>
        </w:rPr>
        <w:t>b</w:t>
      </w:r>
      <w:r w:rsidRPr="00006F36">
        <w:rPr>
          <w:vertAlign w:val="superscript"/>
        </w:rPr>
        <w:t xml:space="preserve"> </w:t>
      </w:r>
      <w:r w:rsidR="00973842" w:rsidRPr="00006F36">
        <w:t>Estimated using proposed AEMP of $</w:t>
      </w:r>
      <w:r w:rsidR="00494449" w:rsidRPr="00D12810">
        <w:rPr>
          <w:color w:val="000000"/>
          <w:spacing w:val="75"/>
          <w:shd w:val="solid" w:color="000000" w:fill="000000"/>
          <w:fitText w:val="268" w:id="-961871093"/>
          <w14:textFill>
            <w14:solidFill>
              <w14:srgbClr w14:val="000000">
                <w14:alpha w14:val="100000"/>
              </w14:srgbClr>
            </w14:solidFill>
          </w14:textFill>
        </w:rPr>
        <w:t>|</w:t>
      </w:r>
      <w:r w:rsidR="00D12810" w:rsidRPr="00D12810">
        <w:rPr>
          <w:color w:val="000000"/>
          <w:spacing w:val="75"/>
          <w:shd w:val="solid" w:color="000000" w:fill="000000"/>
          <w:fitText w:val="268" w:id="-961871093"/>
          <w14:textFill>
            <w14:solidFill>
              <w14:srgbClr w14:val="000000">
                <w14:alpha w14:val="100000"/>
              </w14:srgbClr>
            </w14:solidFill>
          </w14:textFill>
        </w:rPr>
        <w:t xml:space="preserve"> </w:t>
      </w:r>
      <w:r w:rsidR="00494449" w:rsidRPr="00D12810">
        <w:rPr>
          <w:color w:val="000000"/>
          <w:spacing w:val="1"/>
          <w:shd w:val="solid" w:color="000000" w:fill="000000"/>
          <w:fitText w:val="268" w:id="-961871093"/>
          <w14:textFill>
            <w14:solidFill>
              <w14:srgbClr w14:val="000000">
                <w14:alpha w14:val="100000"/>
              </w14:srgbClr>
            </w14:solidFill>
          </w14:textFill>
        </w:rPr>
        <w:t>|</w:t>
      </w:r>
      <w:r w:rsidR="00973842" w:rsidRPr="00006F36">
        <w:t xml:space="preserve"> for 14 tablets and assuming 12 packs per year</w:t>
      </w:r>
    </w:p>
    <w:p w14:paraId="52CAC355" w14:textId="04A777D5" w:rsidR="0068500C" w:rsidRPr="00006F36" w:rsidRDefault="0068500C" w:rsidP="002B05A1">
      <w:pPr>
        <w:pStyle w:val="3-BodyText"/>
        <w:rPr>
          <w:snapToGrid/>
        </w:rPr>
      </w:pPr>
      <w:bookmarkStart w:id="50" w:name="_Hlk107307804"/>
      <w:r w:rsidRPr="00006F36">
        <w:rPr>
          <w:snapToGrid/>
        </w:rPr>
        <w:t xml:space="preserve">The difference between the estimated </w:t>
      </w:r>
      <w:r w:rsidR="00A37EFD" w:rsidRPr="00006F36">
        <w:rPr>
          <w:snapToGrid/>
        </w:rPr>
        <w:t>cost per patient year in the trial and in the economics presented in the submission compared to the financial estimates was due to differences in the number of packs assumed. The economics</w:t>
      </w:r>
      <w:r w:rsidR="004158B4" w:rsidRPr="00006F36">
        <w:rPr>
          <w:snapToGrid/>
        </w:rPr>
        <w:t xml:space="preserve"> </w:t>
      </w:r>
      <w:r w:rsidR="00A37EFD" w:rsidRPr="00006F36">
        <w:rPr>
          <w:snapToGrid/>
        </w:rPr>
        <w:t>estimates assumed 365.25 days per year and each pack (of 14 capsules) lasting 28 days, with a</w:t>
      </w:r>
      <w:r w:rsidR="0073730A" w:rsidRPr="00006F36">
        <w:rPr>
          <w:snapToGrid/>
        </w:rPr>
        <w:t>n annual usage of 13.04 packs per year, whereas the financial estimates assumed 12 packs per year.</w:t>
      </w:r>
    </w:p>
    <w:p w14:paraId="268768EF" w14:textId="3626F292" w:rsidR="00B60939" w:rsidRPr="00006F36" w:rsidRDefault="00B60939" w:rsidP="002B05A1">
      <w:pPr>
        <w:pStyle w:val="4-SubsectionHeading"/>
      </w:pPr>
      <w:bookmarkStart w:id="51" w:name="_Toc22897647"/>
      <w:bookmarkStart w:id="52" w:name="_Toc156995881"/>
      <w:bookmarkEnd w:id="50"/>
      <w:r w:rsidRPr="00006F36">
        <w:t>Estimated PBS usage &amp; financial implications</w:t>
      </w:r>
      <w:bookmarkEnd w:id="51"/>
      <w:bookmarkEnd w:id="52"/>
    </w:p>
    <w:p w14:paraId="37A087AB" w14:textId="77777777" w:rsidR="00D12810" w:rsidRDefault="00C25D9C" w:rsidP="002B05A1">
      <w:pPr>
        <w:pStyle w:val="3-BodyText"/>
      </w:pPr>
      <w:r w:rsidRPr="00006F36">
        <w:t xml:space="preserve">This submission </w:t>
      </w:r>
      <w:r w:rsidR="00B201A4" w:rsidRPr="00006F36">
        <w:t>w</w:t>
      </w:r>
      <w:r w:rsidR="0048760F" w:rsidRPr="00006F36">
        <w:t xml:space="preserve">as not </w:t>
      </w:r>
      <w:r w:rsidRPr="00006F36">
        <w:t>considered by DUSC.</w:t>
      </w:r>
    </w:p>
    <w:p w14:paraId="65891403" w14:textId="2CE3BB98" w:rsidR="00024843" w:rsidRPr="00006F36" w:rsidRDefault="00726761" w:rsidP="002B05A1">
      <w:pPr>
        <w:pStyle w:val="3-BodyText"/>
      </w:pPr>
      <w:r w:rsidRPr="00006F36">
        <w:t>The submission took a mixed approach to estimate the financial impact of listing migalastat</w:t>
      </w:r>
      <w:r w:rsidR="004F145B" w:rsidRPr="00006F36">
        <w:t>:</w:t>
      </w:r>
    </w:p>
    <w:p w14:paraId="14A367E6" w14:textId="77777777" w:rsidR="00D12810" w:rsidRDefault="00182D83" w:rsidP="00947AB2">
      <w:pPr>
        <w:pStyle w:val="3-BodyText"/>
        <w:numPr>
          <w:ilvl w:val="0"/>
          <w:numId w:val="15"/>
        </w:numPr>
        <w:ind w:left="993" w:hanging="284"/>
      </w:pPr>
      <w:r w:rsidRPr="00006F36">
        <w:t>A market share approach (using the sponsor’s internal sale figures) was used to estimate</w:t>
      </w:r>
      <w:r w:rsidR="00F643A7" w:rsidRPr="00006F36">
        <w:t xml:space="preserve"> the number of</w:t>
      </w:r>
      <w:r w:rsidRPr="00006F36">
        <w:t xml:space="preserve"> patients </w:t>
      </w:r>
      <w:r w:rsidR="00511CC1" w:rsidRPr="00006F36">
        <w:t xml:space="preserve">with </w:t>
      </w:r>
      <w:r w:rsidR="0053666E" w:rsidRPr="00006F36">
        <w:t xml:space="preserve">evidence of </w:t>
      </w:r>
      <w:r w:rsidR="00FB1863">
        <w:t>organ involvement/injury</w:t>
      </w:r>
      <w:r w:rsidR="0053666E" w:rsidRPr="00006F36">
        <w:t xml:space="preserve"> </w:t>
      </w:r>
      <w:r w:rsidRPr="00006F36">
        <w:t>who would be treated with migalastat</w:t>
      </w:r>
      <w:r w:rsidR="00953A2E" w:rsidRPr="00006F36">
        <w:t xml:space="preserve"> as they would have if migalastat remained on the LSDP</w:t>
      </w:r>
      <w:r w:rsidR="008D7D48" w:rsidRPr="00006F36">
        <w:t xml:space="preserve">; </w:t>
      </w:r>
      <w:r w:rsidRPr="00006F36">
        <w:t>and</w:t>
      </w:r>
    </w:p>
    <w:p w14:paraId="44625FC4" w14:textId="24816F9C" w:rsidR="008D7D48" w:rsidRPr="00006F36" w:rsidRDefault="008D7D48" w:rsidP="00947AB2">
      <w:pPr>
        <w:pStyle w:val="3-BodyText"/>
        <w:numPr>
          <w:ilvl w:val="0"/>
          <w:numId w:val="15"/>
        </w:numPr>
        <w:ind w:left="993" w:hanging="284"/>
      </w:pPr>
      <w:r w:rsidRPr="00006F36">
        <w:t>A</w:t>
      </w:r>
      <w:r w:rsidR="00AC45F9" w:rsidRPr="00006F36">
        <w:t xml:space="preserve"> mixed market share and</w:t>
      </w:r>
      <w:r w:rsidR="00F643A7" w:rsidRPr="00006F36">
        <w:t xml:space="preserve"> epidemiological approach was used to estimate </w:t>
      </w:r>
      <w:r w:rsidR="004F145B" w:rsidRPr="00006F36">
        <w:t xml:space="preserve">(i) </w:t>
      </w:r>
      <w:r w:rsidR="00F643A7" w:rsidRPr="00006F36">
        <w:t xml:space="preserve">the number of </w:t>
      </w:r>
      <w:r w:rsidR="00B17452" w:rsidRPr="00006F36">
        <w:t xml:space="preserve">additional patients </w:t>
      </w:r>
      <w:r w:rsidR="00B62BB5" w:rsidRPr="00006F36">
        <w:t xml:space="preserve">with end organ </w:t>
      </w:r>
      <w:r w:rsidR="00A06F38">
        <w:t>involvement/ injury</w:t>
      </w:r>
      <w:r w:rsidR="00A06F38" w:rsidRPr="00006F36">
        <w:t xml:space="preserve"> </w:t>
      </w:r>
      <w:r w:rsidR="00B17452" w:rsidRPr="00006F36">
        <w:t>tre</w:t>
      </w:r>
      <w:r w:rsidR="00CB55AF" w:rsidRPr="00006F36">
        <w:t xml:space="preserve">ated </w:t>
      </w:r>
      <w:r w:rsidR="005269AE" w:rsidRPr="00006F36">
        <w:t xml:space="preserve">due to removal of requirement to have had 12 months of ERT prior to migalastat initiation as well as </w:t>
      </w:r>
      <w:r w:rsidR="004F145B" w:rsidRPr="00006F36">
        <w:t xml:space="preserve">(ii) </w:t>
      </w:r>
      <w:r w:rsidR="005269AE" w:rsidRPr="00006F36">
        <w:t xml:space="preserve">early treatment with migalastat in </w:t>
      </w:r>
      <w:r w:rsidR="00F643A7" w:rsidRPr="00006F36">
        <w:t xml:space="preserve">classical Fabry disease patients who </w:t>
      </w:r>
      <w:r w:rsidR="005269AE" w:rsidRPr="00006F36">
        <w:t xml:space="preserve">meet </w:t>
      </w:r>
      <w:r w:rsidR="00F643A7" w:rsidRPr="00006F36">
        <w:t xml:space="preserve">the </w:t>
      </w:r>
      <w:r w:rsidR="004563E0" w:rsidRPr="00006F36">
        <w:t>proposed restriction</w:t>
      </w:r>
      <w:r w:rsidR="000C18B6" w:rsidRPr="00006F36">
        <w:t>.</w:t>
      </w:r>
    </w:p>
    <w:p w14:paraId="2F61BA9E" w14:textId="77777777" w:rsidR="00D12810" w:rsidRDefault="00954B83" w:rsidP="00262488">
      <w:pPr>
        <w:pStyle w:val="3-BodyText"/>
      </w:pPr>
      <w:r w:rsidRPr="00006F36">
        <w:t>The key inputs for the financial estimates are presented in</w:t>
      </w:r>
      <w:r w:rsidR="00B36628" w:rsidRPr="00006F36">
        <w:t xml:space="preserve"> </w:t>
      </w:r>
      <w:r w:rsidR="00B36628" w:rsidRPr="00006F36">
        <w:fldChar w:fldCharType="begin" w:fldLock="1"/>
      </w:r>
      <w:r w:rsidR="00B36628" w:rsidRPr="00006F36">
        <w:instrText xml:space="preserve"> REF _Ref159921389 \h </w:instrText>
      </w:r>
      <w:r w:rsidR="00B36628" w:rsidRPr="00006F36">
        <w:fldChar w:fldCharType="separate"/>
      </w:r>
      <w:r w:rsidR="00F42C5D" w:rsidRPr="00006F36">
        <w:t xml:space="preserve">Table </w:t>
      </w:r>
      <w:r w:rsidR="00F42C5D">
        <w:rPr>
          <w:noProof/>
        </w:rPr>
        <w:t>9</w:t>
      </w:r>
      <w:r w:rsidR="00B36628" w:rsidRPr="00006F36">
        <w:fldChar w:fldCharType="end"/>
      </w:r>
      <w:r w:rsidRPr="00006F36">
        <w:t>.</w:t>
      </w:r>
    </w:p>
    <w:p w14:paraId="3393BCE7" w14:textId="5BD5AD2F" w:rsidR="00E42F73" w:rsidRPr="00006F36" w:rsidRDefault="00E16AD8" w:rsidP="004134C5">
      <w:pPr>
        <w:pStyle w:val="Caption"/>
        <w:keepLines w:val="0"/>
        <w:rPr>
          <w:rStyle w:val="CommentReference"/>
          <w:b/>
          <w:szCs w:val="24"/>
        </w:rPr>
      </w:pPr>
      <w:bookmarkStart w:id="53" w:name="_Ref104805262"/>
      <w:bookmarkStart w:id="54" w:name="_Ref159921389"/>
      <w:r w:rsidRPr="00006F36">
        <w:lastRenderedPageBreak/>
        <w:t xml:space="preserve">Table </w:t>
      </w:r>
      <w:r w:rsidR="008C634B">
        <w:fldChar w:fldCharType="begin" w:fldLock="1"/>
      </w:r>
      <w:r w:rsidR="008C634B">
        <w:instrText xml:space="preserve"> SEQ Table \* ARABIC </w:instrText>
      </w:r>
      <w:r w:rsidR="008C634B">
        <w:fldChar w:fldCharType="separate"/>
      </w:r>
      <w:r w:rsidR="00F42C5D">
        <w:rPr>
          <w:noProof/>
        </w:rPr>
        <w:t>9</w:t>
      </w:r>
      <w:r w:rsidR="008C634B">
        <w:rPr>
          <w:noProof/>
        </w:rPr>
        <w:fldChar w:fldCharType="end"/>
      </w:r>
      <w:bookmarkEnd w:id="53"/>
      <w:bookmarkEnd w:id="54"/>
      <w:r w:rsidRPr="00006F36">
        <w:t>:</w:t>
      </w:r>
      <w:r w:rsidR="00E42F73" w:rsidRPr="00006F36">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9: Key inputs for financial estimates"/>
      </w:tblPr>
      <w:tblGrid>
        <w:gridCol w:w="1414"/>
        <w:gridCol w:w="3544"/>
        <w:gridCol w:w="4059"/>
      </w:tblGrid>
      <w:tr w:rsidR="00E42F73" w:rsidRPr="00006F36" w14:paraId="7AFD013A" w14:textId="77777777" w:rsidTr="00E122F6">
        <w:trPr>
          <w:cantSplit/>
          <w:tblHeader/>
        </w:trPr>
        <w:tc>
          <w:tcPr>
            <w:tcW w:w="784" w:type="pct"/>
            <w:shd w:val="clear" w:color="auto" w:fill="auto"/>
            <w:vAlign w:val="center"/>
          </w:tcPr>
          <w:p w14:paraId="45C2C4CE" w14:textId="370E9AAB" w:rsidR="00E42F73" w:rsidRPr="00006F36" w:rsidRDefault="004658B5" w:rsidP="004134C5">
            <w:pPr>
              <w:pStyle w:val="In-tableHeading"/>
              <w:rPr>
                <w:lang w:val="en-AU"/>
              </w:rPr>
            </w:pPr>
            <w:r w:rsidRPr="00006F36">
              <w:rPr>
                <w:lang w:val="en-AU"/>
              </w:rPr>
              <w:t>Parameter</w:t>
            </w:r>
          </w:p>
        </w:tc>
        <w:tc>
          <w:tcPr>
            <w:tcW w:w="1965" w:type="pct"/>
            <w:shd w:val="clear" w:color="auto" w:fill="auto"/>
            <w:vAlign w:val="center"/>
          </w:tcPr>
          <w:p w14:paraId="5C04F956" w14:textId="559E8DB1" w:rsidR="00E42F73" w:rsidRPr="00006F36" w:rsidRDefault="004658B5" w:rsidP="004134C5">
            <w:pPr>
              <w:pStyle w:val="In-tableHeading"/>
              <w:rPr>
                <w:lang w:val="en-AU"/>
              </w:rPr>
            </w:pPr>
            <w:r w:rsidRPr="00006F36">
              <w:rPr>
                <w:lang w:val="en-AU"/>
              </w:rPr>
              <w:t>Value applied and source</w:t>
            </w:r>
          </w:p>
        </w:tc>
        <w:tc>
          <w:tcPr>
            <w:tcW w:w="2251" w:type="pct"/>
            <w:shd w:val="clear" w:color="auto" w:fill="auto"/>
            <w:vAlign w:val="center"/>
          </w:tcPr>
          <w:p w14:paraId="45DE44AA" w14:textId="4713F72E" w:rsidR="00E42F73" w:rsidRPr="00006F36" w:rsidRDefault="004658B5" w:rsidP="004134C5">
            <w:pPr>
              <w:pStyle w:val="In-tableHeading"/>
              <w:rPr>
                <w:lang w:val="en-AU"/>
              </w:rPr>
            </w:pPr>
            <w:r w:rsidRPr="00006F36">
              <w:rPr>
                <w:lang w:val="en-AU"/>
              </w:rPr>
              <w:t>Comment</w:t>
            </w:r>
          </w:p>
        </w:tc>
      </w:tr>
      <w:tr w:rsidR="00E62B9E" w:rsidRPr="00006F36" w14:paraId="4BEF206D" w14:textId="77777777" w:rsidTr="00E122F6">
        <w:trPr>
          <w:cantSplit/>
        </w:trPr>
        <w:tc>
          <w:tcPr>
            <w:tcW w:w="784" w:type="pct"/>
            <w:shd w:val="clear" w:color="auto" w:fill="auto"/>
            <w:vAlign w:val="center"/>
          </w:tcPr>
          <w:p w14:paraId="5724F53F" w14:textId="71DA8E3B" w:rsidR="00E62B9E" w:rsidRPr="00006F36" w:rsidRDefault="00E62B9E" w:rsidP="00856039">
            <w:pPr>
              <w:pStyle w:val="TableText0"/>
              <w:keepNext w:val="0"/>
            </w:pPr>
            <w:r w:rsidRPr="00006F36">
              <w:t xml:space="preserve">Number of patients </w:t>
            </w:r>
            <w:r w:rsidR="00B263A2" w:rsidRPr="00006F36">
              <w:t xml:space="preserve">with end organ </w:t>
            </w:r>
            <w:r w:rsidR="00A06F38">
              <w:t>involvement/ injury</w:t>
            </w:r>
            <w:r w:rsidR="00B263A2" w:rsidRPr="00006F36">
              <w:t xml:space="preserve"> </w:t>
            </w:r>
            <w:r w:rsidRPr="00006F36">
              <w:t xml:space="preserve">to be treated with migalastat </w:t>
            </w:r>
            <w:r w:rsidR="00B263A2" w:rsidRPr="00006F36">
              <w:t xml:space="preserve">(as for </w:t>
            </w:r>
            <w:r w:rsidRPr="00006F36">
              <w:t>current LSDP listing</w:t>
            </w:r>
            <w:r w:rsidR="00B263A2" w:rsidRPr="00006F36">
              <w:t>)</w:t>
            </w:r>
          </w:p>
        </w:tc>
        <w:tc>
          <w:tcPr>
            <w:tcW w:w="1965" w:type="pct"/>
            <w:shd w:val="clear" w:color="auto" w:fill="auto"/>
            <w:vAlign w:val="center"/>
          </w:tcPr>
          <w:p w14:paraId="3D60CE9A" w14:textId="259E7C07" w:rsidR="00E62B9E" w:rsidRPr="00006F36" w:rsidRDefault="00494449" w:rsidP="00856039">
            <w:pPr>
              <w:pStyle w:val="TableText0"/>
              <w:keepNext w:val="0"/>
            </w:pPr>
            <w:r w:rsidRPr="00494449">
              <w:rPr>
                <w:color w:val="000000"/>
                <w:spacing w:val="51"/>
                <w:shd w:val="solid" w:color="000000" w:fill="000000"/>
                <w:fitText w:val="326" w:id="-961871092"/>
                <w14:textFill>
                  <w14:solidFill>
                    <w14:srgbClr w14:val="000000">
                      <w14:alpha w14:val="100000"/>
                    </w14:srgbClr>
                  </w14:solidFill>
                </w14:textFill>
              </w:rPr>
              <w:t>|||</w:t>
            </w:r>
            <w:r w:rsidRPr="00494449">
              <w:rPr>
                <w:color w:val="000000"/>
                <w:spacing w:val="3"/>
                <w:shd w:val="solid" w:color="000000" w:fill="000000"/>
                <w:fitText w:val="326" w:id="-961871092"/>
                <w14:textFill>
                  <w14:solidFill>
                    <w14:srgbClr w14:val="000000">
                      <w14:alpha w14:val="100000"/>
                    </w14:srgbClr>
                  </w14:solidFill>
                </w14:textFill>
              </w:rPr>
              <w:t>|</w:t>
            </w:r>
            <w:r w:rsidR="00DC070E">
              <w:rPr>
                <w:vertAlign w:val="superscript"/>
              </w:rPr>
              <w:t>2</w:t>
            </w:r>
            <w:r w:rsidR="00E23F02" w:rsidRPr="00006F36">
              <w:t xml:space="preserve"> in year 1 increasing to </w:t>
            </w:r>
            <w:r w:rsidRPr="00494449">
              <w:rPr>
                <w:color w:val="000000"/>
                <w:spacing w:val="51"/>
                <w:shd w:val="solid" w:color="000000" w:fill="000000"/>
                <w:fitText w:val="325" w:id="-961871091"/>
                <w14:textFill>
                  <w14:solidFill>
                    <w14:srgbClr w14:val="000000">
                      <w14:alpha w14:val="100000"/>
                    </w14:srgbClr>
                  </w14:solidFill>
                </w14:textFill>
              </w:rPr>
              <w:t>|||</w:t>
            </w:r>
            <w:r w:rsidRPr="00494449">
              <w:rPr>
                <w:color w:val="000000"/>
                <w:spacing w:val="2"/>
                <w:shd w:val="solid" w:color="000000" w:fill="000000"/>
                <w:fitText w:val="325" w:id="-961871091"/>
                <w14:textFill>
                  <w14:solidFill>
                    <w14:srgbClr w14:val="000000">
                      <w14:alpha w14:val="100000"/>
                    </w14:srgbClr>
                  </w14:solidFill>
                </w14:textFill>
              </w:rPr>
              <w:t>|</w:t>
            </w:r>
            <w:r w:rsidR="00DC070E">
              <w:rPr>
                <w:vertAlign w:val="superscript"/>
              </w:rPr>
              <w:t>2</w:t>
            </w:r>
            <w:r w:rsidR="00E23F02" w:rsidRPr="00006F36">
              <w:t xml:space="preserve"> in year 6</w:t>
            </w:r>
            <w:r w:rsidR="00324EF0" w:rsidRPr="00006F36">
              <w:t>.</w:t>
            </w:r>
          </w:p>
          <w:p w14:paraId="45E2C535" w14:textId="40343081" w:rsidR="00E62B9E" w:rsidRPr="00006F36" w:rsidRDefault="00E62B9E" w:rsidP="00856039">
            <w:pPr>
              <w:pStyle w:val="TableText0"/>
              <w:keepNext w:val="0"/>
            </w:pPr>
          </w:p>
          <w:p w14:paraId="2974F923" w14:textId="306BE487" w:rsidR="00E62B9E" w:rsidRPr="00006F36" w:rsidRDefault="00E62B9E" w:rsidP="00856039">
            <w:pPr>
              <w:pStyle w:val="TableText0"/>
              <w:keepNext w:val="0"/>
            </w:pPr>
            <w:r w:rsidRPr="00006F36">
              <w:t>Estimated based on linear extrapolation of monthly sales of migalastat</w:t>
            </w:r>
            <w:r w:rsidR="00B263A2" w:rsidRPr="00006F36">
              <w:t xml:space="preserve"> on the LSDP</w:t>
            </w:r>
            <w:r w:rsidRPr="00006F36">
              <w:t xml:space="preserve">, which the submission claims had increased from 29 units in January 2021 to 48 units in July 2023. An increase of 0.4107 patients per month was estimated. </w:t>
            </w:r>
          </w:p>
        </w:tc>
        <w:tc>
          <w:tcPr>
            <w:tcW w:w="2251" w:type="pct"/>
            <w:shd w:val="clear" w:color="auto" w:fill="auto"/>
            <w:vAlign w:val="center"/>
          </w:tcPr>
          <w:p w14:paraId="078672CF" w14:textId="0ACD46F8" w:rsidR="00E62B9E" w:rsidRPr="00006F36" w:rsidRDefault="00033009" w:rsidP="00033009">
            <w:pPr>
              <w:pStyle w:val="TableText0"/>
              <w:keepNext w:val="0"/>
            </w:pPr>
            <w:r w:rsidRPr="00006F36">
              <w:rPr>
                <w:iCs/>
              </w:rPr>
              <w:t xml:space="preserve">The ESC noted </w:t>
            </w:r>
            <w:r w:rsidR="00494449" w:rsidRPr="00494449">
              <w:rPr>
                <w:iCs/>
                <w:color w:val="000000"/>
                <w:spacing w:val="51"/>
                <w:shd w:val="solid" w:color="000000" w:fill="000000"/>
                <w:fitText w:val="326" w:id="-961871090"/>
                <w14:textFill>
                  <w14:solidFill>
                    <w14:srgbClr w14:val="000000">
                      <w14:alpha w14:val="100000"/>
                    </w14:srgbClr>
                  </w14:solidFill>
                </w14:textFill>
              </w:rPr>
              <w:t>|||</w:t>
            </w:r>
            <w:r w:rsidR="00494449" w:rsidRPr="00494449">
              <w:rPr>
                <w:iCs/>
                <w:color w:val="000000"/>
                <w:spacing w:val="3"/>
                <w:shd w:val="solid" w:color="000000" w:fill="000000"/>
                <w:fitText w:val="326" w:id="-961871090"/>
                <w14:textFill>
                  <w14:solidFill>
                    <w14:srgbClr w14:val="000000">
                      <w14:alpha w14:val="100000"/>
                    </w14:srgbClr>
                  </w14:solidFill>
                </w14:textFill>
              </w:rPr>
              <w:t>|</w:t>
            </w:r>
            <w:r w:rsidR="00153F33">
              <w:rPr>
                <w:iCs/>
                <w:vertAlign w:val="superscript"/>
              </w:rPr>
              <w:t>2</w:t>
            </w:r>
            <w:r w:rsidRPr="00006F36">
              <w:rPr>
                <w:iCs/>
              </w:rPr>
              <w:t xml:space="preserve"> patients were treated on the LSDP in 2021/ 2022 and </w:t>
            </w:r>
            <w:r w:rsidR="00494449" w:rsidRPr="00494449">
              <w:rPr>
                <w:iCs/>
                <w:color w:val="000000"/>
                <w:spacing w:val="51"/>
                <w:shd w:val="solid" w:color="000000" w:fill="000000"/>
                <w:fitText w:val="326" w:id="-961871089"/>
                <w14:textFill>
                  <w14:solidFill>
                    <w14:srgbClr w14:val="000000">
                      <w14:alpha w14:val="100000"/>
                    </w14:srgbClr>
                  </w14:solidFill>
                </w14:textFill>
              </w:rPr>
              <w:t>|||</w:t>
            </w:r>
            <w:r w:rsidR="00494449" w:rsidRPr="00494449">
              <w:rPr>
                <w:iCs/>
                <w:color w:val="000000"/>
                <w:spacing w:val="3"/>
                <w:shd w:val="solid" w:color="000000" w:fill="000000"/>
                <w:fitText w:val="326" w:id="-961871089"/>
                <w14:textFill>
                  <w14:solidFill>
                    <w14:srgbClr w14:val="000000">
                      <w14:alpha w14:val="100000"/>
                    </w14:srgbClr>
                  </w14:solidFill>
                </w14:textFill>
              </w:rPr>
              <w:t>|</w:t>
            </w:r>
            <w:r w:rsidR="00153F33">
              <w:rPr>
                <w:iCs/>
                <w:vertAlign w:val="superscript"/>
              </w:rPr>
              <w:t>2</w:t>
            </w:r>
            <w:r w:rsidRPr="00006F36">
              <w:rPr>
                <w:iCs/>
              </w:rPr>
              <w:t xml:space="preserve"> in 2022/2023 and considered that an increase in the number of patients with </w:t>
            </w:r>
            <w:r w:rsidR="00FB1863">
              <w:rPr>
                <w:iCs/>
              </w:rPr>
              <w:t>organ involvement/injury</w:t>
            </w:r>
            <w:r w:rsidR="0053666E" w:rsidRPr="00006F36">
              <w:rPr>
                <w:iCs/>
              </w:rPr>
              <w:t xml:space="preserve"> </w:t>
            </w:r>
            <w:r w:rsidRPr="00006F36">
              <w:rPr>
                <w:iCs/>
              </w:rPr>
              <w:t xml:space="preserve">of </w:t>
            </w:r>
            <w:r w:rsidR="00494449" w:rsidRPr="00494449">
              <w:rPr>
                <w:iCs/>
                <w:color w:val="000000"/>
                <w:spacing w:val="51"/>
                <w:shd w:val="solid" w:color="000000" w:fill="000000"/>
                <w:fitText w:val="326" w:id="-961870848"/>
                <w14:textFill>
                  <w14:solidFill>
                    <w14:srgbClr w14:val="000000">
                      <w14:alpha w14:val="100000"/>
                    </w14:srgbClr>
                  </w14:solidFill>
                </w14:textFill>
              </w:rPr>
              <w:t>|||</w:t>
            </w:r>
            <w:r w:rsidR="00494449" w:rsidRPr="00494449">
              <w:rPr>
                <w:iCs/>
                <w:color w:val="000000"/>
                <w:spacing w:val="3"/>
                <w:shd w:val="solid" w:color="000000" w:fill="000000"/>
                <w:fitText w:val="326" w:id="-961870848"/>
                <w14:textFill>
                  <w14:solidFill>
                    <w14:srgbClr w14:val="000000">
                      <w14:alpha w14:val="100000"/>
                    </w14:srgbClr>
                  </w14:solidFill>
                </w14:textFill>
              </w:rPr>
              <w:t>|</w:t>
            </w:r>
            <w:r w:rsidR="007013D9">
              <w:rPr>
                <w:iCs/>
                <w:vertAlign w:val="superscript"/>
              </w:rPr>
              <w:t>2</w:t>
            </w:r>
            <w:r w:rsidRPr="00006F36">
              <w:rPr>
                <w:iCs/>
              </w:rPr>
              <w:t xml:space="preserve"> to </w:t>
            </w:r>
            <w:r w:rsidR="00494449" w:rsidRPr="00494449">
              <w:rPr>
                <w:iCs/>
                <w:color w:val="000000"/>
                <w:spacing w:val="51"/>
                <w:shd w:val="solid" w:color="000000" w:fill="000000"/>
                <w:fitText w:val="326" w:id="-961870847"/>
                <w14:textFill>
                  <w14:solidFill>
                    <w14:srgbClr w14:val="000000">
                      <w14:alpha w14:val="100000"/>
                    </w14:srgbClr>
                  </w14:solidFill>
                </w14:textFill>
              </w:rPr>
              <w:t>|||</w:t>
            </w:r>
            <w:r w:rsidR="00494449" w:rsidRPr="00494449">
              <w:rPr>
                <w:iCs/>
                <w:color w:val="000000"/>
                <w:spacing w:val="3"/>
                <w:shd w:val="solid" w:color="000000" w:fill="000000"/>
                <w:fitText w:val="326" w:id="-961870847"/>
                <w14:textFill>
                  <w14:solidFill>
                    <w14:srgbClr w14:val="000000">
                      <w14:alpha w14:val="100000"/>
                    </w14:srgbClr>
                  </w14:solidFill>
                </w14:textFill>
              </w:rPr>
              <w:t>|</w:t>
            </w:r>
            <w:r w:rsidR="007013D9">
              <w:rPr>
                <w:iCs/>
                <w:vertAlign w:val="superscript"/>
              </w:rPr>
              <w:t>2</w:t>
            </w:r>
            <w:r w:rsidRPr="00006F36">
              <w:rPr>
                <w:iCs/>
              </w:rPr>
              <w:t xml:space="preserve"> per year </w:t>
            </w:r>
            <w:r w:rsidR="004158B4" w:rsidRPr="00006F36">
              <w:rPr>
                <w:iCs/>
              </w:rPr>
              <w:t xml:space="preserve">(as estimated by the submission) </w:t>
            </w:r>
            <w:r w:rsidRPr="00006F36">
              <w:rPr>
                <w:iCs/>
              </w:rPr>
              <w:t>was likely to be reasonable</w:t>
            </w:r>
            <w:r w:rsidR="00006F36">
              <w:rPr>
                <w:i/>
              </w:rPr>
              <w:t>.</w:t>
            </w:r>
            <w:r w:rsidR="00D12810">
              <w:rPr>
                <w:i/>
              </w:rPr>
              <w:t xml:space="preserve"> </w:t>
            </w:r>
          </w:p>
        </w:tc>
      </w:tr>
      <w:tr w:rsidR="005C7B14" w:rsidRPr="00006F36" w14:paraId="273D05F4" w14:textId="77777777" w:rsidTr="00E122F6">
        <w:trPr>
          <w:cantSplit/>
        </w:trPr>
        <w:tc>
          <w:tcPr>
            <w:tcW w:w="784" w:type="pct"/>
            <w:shd w:val="clear" w:color="auto" w:fill="auto"/>
            <w:vAlign w:val="center"/>
          </w:tcPr>
          <w:p w14:paraId="0152C8AA" w14:textId="20DEAAA1" w:rsidR="005C7B14" w:rsidRPr="00006F36" w:rsidRDefault="005C7B14" w:rsidP="00856039">
            <w:pPr>
              <w:pStyle w:val="TableText0"/>
              <w:keepNext w:val="0"/>
            </w:pPr>
            <w:r w:rsidRPr="00006F36">
              <w:t xml:space="preserve">Estimated total number of Australian Fabry disease patients </w:t>
            </w:r>
          </w:p>
        </w:tc>
        <w:tc>
          <w:tcPr>
            <w:tcW w:w="1965" w:type="pct"/>
            <w:shd w:val="clear" w:color="auto" w:fill="auto"/>
            <w:vAlign w:val="center"/>
          </w:tcPr>
          <w:p w14:paraId="45F51ED7" w14:textId="17F8CC98" w:rsidR="005C7B14" w:rsidRPr="00006F36" w:rsidRDefault="00494449" w:rsidP="00856039">
            <w:pPr>
              <w:pStyle w:val="TableText0"/>
              <w:keepNext w:val="0"/>
            </w:pPr>
            <w:r w:rsidRPr="00494449">
              <w:rPr>
                <w:color w:val="000000"/>
                <w:spacing w:val="51"/>
                <w:shd w:val="solid" w:color="000000" w:fill="000000"/>
                <w:fitText w:val="326" w:id="-961870846"/>
                <w14:textFill>
                  <w14:solidFill>
                    <w14:srgbClr w14:val="000000">
                      <w14:alpha w14:val="100000"/>
                    </w14:srgbClr>
                  </w14:solidFill>
                </w14:textFill>
              </w:rPr>
              <w:t>|||</w:t>
            </w:r>
            <w:r w:rsidRPr="00494449">
              <w:rPr>
                <w:color w:val="000000"/>
                <w:spacing w:val="3"/>
                <w:shd w:val="solid" w:color="000000" w:fill="000000"/>
                <w:fitText w:val="326" w:id="-961870846"/>
                <w14:textFill>
                  <w14:solidFill>
                    <w14:srgbClr w14:val="000000">
                      <w14:alpha w14:val="100000"/>
                    </w14:srgbClr>
                  </w14:solidFill>
                </w14:textFill>
              </w:rPr>
              <w:t>|</w:t>
            </w:r>
            <w:r w:rsidR="00365703" w:rsidRPr="00365703">
              <w:rPr>
                <w:vertAlign w:val="superscript"/>
              </w:rPr>
              <w:t>1</w:t>
            </w:r>
            <w:r w:rsidR="00CA4A53" w:rsidRPr="00006F36">
              <w:t xml:space="preserve"> in year 1</w:t>
            </w:r>
            <w:r w:rsidR="00324EF0" w:rsidRPr="00006F36">
              <w:t xml:space="preserve"> increasing to </w:t>
            </w:r>
            <w:r w:rsidRPr="00494449">
              <w:rPr>
                <w:color w:val="000000"/>
                <w:spacing w:val="51"/>
                <w:shd w:val="solid" w:color="000000" w:fill="000000"/>
                <w:fitText w:val="325" w:id="-961870845"/>
                <w14:textFill>
                  <w14:solidFill>
                    <w14:srgbClr w14:val="000000">
                      <w14:alpha w14:val="100000"/>
                    </w14:srgbClr>
                  </w14:solidFill>
                </w14:textFill>
              </w:rPr>
              <w:t>|||</w:t>
            </w:r>
            <w:r w:rsidRPr="00494449">
              <w:rPr>
                <w:color w:val="000000"/>
                <w:spacing w:val="2"/>
                <w:shd w:val="solid" w:color="000000" w:fill="000000"/>
                <w:fitText w:val="325" w:id="-961870845"/>
                <w14:textFill>
                  <w14:solidFill>
                    <w14:srgbClr w14:val="000000">
                      <w14:alpha w14:val="100000"/>
                    </w14:srgbClr>
                  </w14:solidFill>
                </w14:textFill>
              </w:rPr>
              <w:t>|</w:t>
            </w:r>
            <w:r w:rsidR="00365703" w:rsidRPr="00365703">
              <w:rPr>
                <w:vertAlign w:val="superscript"/>
              </w:rPr>
              <w:t>1</w:t>
            </w:r>
            <w:r w:rsidR="00324EF0" w:rsidRPr="00006F36">
              <w:t xml:space="preserve"> in year 6.</w:t>
            </w:r>
          </w:p>
          <w:p w14:paraId="67ACE536" w14:textId="77777777" w:rsidR="005C7B14" w:rsidRPr="00006F36" w:rsidRDefault="005C7B14" w:rsidP="00856039">
            <w:pPr>
              <w:pStyle w:val="TableText0"/>
              <w:keepNext w:val="0"/>
            </w:pPr>
          </w:p>
          <w:p w14:paraId="5FE8DC6D" w14:textId="74ABB172" w:rsidR="005C7B14" w:rsidRPr="00006F36" w:rsidRDefault="005C7B14" w:rsidP="00856039">
            <w:pPr>
              <w:pStyle w:val="TableText0"/>
              <w:keepNext w:val="0"/>
            </w:pPr>
            <w:r w:rsidRPr="00006F36">
              <w:t xml:space="preserve">Estimated by dividing number of Fabry disease patients </w:t>
            </w:r>
            <w:r w:rsidR="00E17129" w:rsidRPr="00006F36">
              <w:t xml:space="preserve">currently </w:t>
            </w:r>
            <w:r w:rsidRPr="00006F36">
              <w:t xml:space="preserve">treated under LSDP by estimated uptake of disease specific treatment (85%) and </w:t>
            </w:r>
            <w:r w:rsidR="00DC60D3" w:rsidRPr="00006F36">
              <w:t>p</w:t>
            </w:r>
            <w:r w:rsidRPr="00006F36">
              <w:t>roportion of patients with end organ</w:t>
            </w:r>
            <w:r w:rsidR="00A06F38">
              <w:t xml:space="preserve"> involvement/injury</w:t>
            </w:r>
            <w:r w:rsidRPr="00006F36">
              <w:t xml:space="preserve"> (30%). </w:t>
            </w:r>
          </w:p>
        </w:tc>
        <w:tc>
          <w:tcPr>
            <w:tcW w:w="2251" w:type="pct"/>
            <w:shd w:val="clear" w:color="auto" w:fill="auto"/>
            <w:vAlign w:val="center"/>
          </w:tcPr>
          <w:p w14:paraId="035D240F" w14:textId="5BA76777" w:rsidR="005C7B14" w:rsidRPr="00006F36" w:rsidRDefault="00324EF0" w:rsidP="00856039">
            <w:pPr>
              <w:pStyle w:val="TableText0"/>
              <w:keepNext w:val="0"/>
              <w:rPr>
                <w:iCs/>
              </w:rPr>
            </w:pPr>
            <w:r w:rsidRPr="00006F36">
              <w:rPr>
                <w:iCs/>
              </w:rPr>
              <w:t xml:space="preserve">Incidence rate </w:t>
            </w:r>
            <w:r w:rsidR="00EF0508" w:rsidRPr="00006F36">
              <w:rPr>
                <w:iCs/>
              </w:rPr>
              <w:t xml:space="preserve">estimated (between 1 per 4,886-5,524 live births) </w:t>
            </w:r>
            <w:r w:rsidR="004B1582" w:rsidRPr="00006F36">
              <w:rPr>
                <w:iCs/>
              </w:rPr>
              <w:t xml:space="preserve">in </w:t>
            </w:r>
            <w:r w:rsidR="00B32887" w:rsidRPr="00006F36">
              <w:rPr>
                <w:iCs/>
              </w:rPr>
              <w:t xml:space="preserve">the </w:t>
            </w:r>
            <w:r w:rsidR="004B1582" w:rsidRPr="00006F36">
              <w:rPr>
                <w:iCs/>
              </w:rPr>
              <w:t>submission</w:t>
            </w:r>
            <w:r w:rsidR="00B32887" w:rsidRPr="00006F36">
              <w:rPr>
                <w:iCs/>
              </w:rPr>
              <w:t>,</w:t>
            </w:r>
            <w:r w:rsidR="004B1582" w:rsidRPr="00006F36">
              <w:rPr>
                <w:iCs/>
              </w:rPr>
              <w:t xml:space="preserve"> </w:t>
            </w:r>
            <w:r w:rsidRPr="00006F36">
              <w:rPr>
                <w:iCs/>
              </w:rPr>
              <w:t>substantially higher than reported in Chin 2022</w:t>
            </w:r>
            <w:r w:rsidR="00EF0508" w:rsidRPr="00006F36">
              <w:rPr>
                <w:iCs/>
              </w:rPr>
              <w:t xml:space="preserve"> (1 per 14,000 live births),</w:t>
            </w:r>
            <w:r w:rsidR="003259F5" w:rsidRPr="00006F36">
              <w:rPr>
                <w:iCs/>
              </w:rPr>
              <w:t xml:space="preserve"> </w:t>
            </w:r>
            <w:r w:rsidR="00291685" w:rsidRPr="00006F36">
              <w:rPr>
                <w:iCs/>
              </w:rPr>
              <w:t xml:space="preserve">indicating </w:t>
            </w:r>
            <w:r w:rsidR="00B32887" w:rsidRPr="00006F36">
              <w:rPr>
                <w:iCs/>
              </w:rPr>
              <w:t xml:space="preserve">the </w:t>
            </w:r>
            <w:r w:rsidR="003259F5" w:rsidRPr="00006F36">
              <w:rPr>
                <w:iCs/>
              </w:rPr>
              <w:t xml:space="preserve">number of Fabry patients </w:t>
            </w:r>
            <w:r w:rsidR="00B32887" w:rsidRPr="00006F36">
              <w:rPr>
                <w:iCs/>
              </w:rPr>
              <w:t xml:space="preserve">is </w:t>
            </w:r>
            <w:r w:rsidR="00291685" w:rsidRPr="00006F36">
              <w:rPr>
                <w:iCs/>
              </w:rPr>
              <w:t>likely overestimated</w:t>
            </w:r>
            <w:r w:rsidR="003259F5" w:rsidRPr="00006F36">
              <w:rPr>
                <w:iCs/>
              </w:rPr>
              <w:t xml:space="preserve">. May be associated with number of Fabry disease patients currently treated </w:t>
            </w:r>
            <w:r w:rsidR="0002400F" w:rsidRPr="00006F36">
              <w:rPr>
                <w:iCs/>
              </w:rPr>
              <w:t xml:space="preserve">on LSDP </w:t>
            </w:r>
            <w:r w:rsidR="003259F5" w:rsidRPr="00006F36">
              <w:rPr>
                <w:iCs/>
              </w:rPr>
              <w:t xml:space="preserve">being overestimated, </w:t>
            </w:r>
            <w:r w:rsidR="00C2325E" w:rsidRPr="00006F36">
              <w:rPr>
                <w:iCs/>
              </w:rPr>
              <w:t xml:space="preserve">as the submission assumes that the cost for ERT is equivalent to migalastat, even though ERT is dosed by weight and as such the </w:t>
            </w:r>
            <w:r w:rsidR="00DA6972" w:rsidRPr="00006F36">
              <w:rPr>
                <w:iCs/>
              </w:rPr>
              <w:t xml:space="preserve">expenditure </w:t>
            </w:r>
            <w:r w:rsidR="00C2325E" w:rsidRPr="00006F36">
              <w:rPr>
                <w:iCs/>
              </w:rPr>
              <w:t>to patient ratio will be different to that of migalastat</w:t>
            </w:r>
            <w:r w:rsidR="00006F36">
              <w:rPr>
                <w:iCs/>
              </w:rPr>
              <w:t xml:space="preserve">. </w:t>
            </w:r>
          </w:p>
        </w:tc>
      </w:tr>
      <w:tr w:rsidR="00057EFB" w:rsidRPr="00006F36" w14:paraId="72C9FBDD" w14:textId="77777777" w:rsidTr="00E122F6">
        <w:trPr>
          <w:cantSplit/>
        </w:trPr>
        <w:tc>
          <w:tcPr>
            <w:tcW w:w="784" w:type="pct"/>
            <w:shd w:val="clear" w:color="auto" w:fill="auto"/>
            <w:vAlign w:val="center"/>
          </w:tcPr>
          <w:p w14:paraId="2FBBDC67" w14:textId="3BF4C957" w:rsidR="00057EFB" w:rsidRPr="00006F36" w:rsidRDefault="00057EFB" w:rsidP="00856039">
            <w:pPr>
              <w:pStyle w:val="TableText0"/>
              <w:keepNext w:val="0"/>
            </w:pPr>
            <w:r w:rsidRPr="00006F36">
              <w:t xml:space="preserve">Proposed uptake rate of migalastat </w:t>
            </w:r>
            <w:r w:rsidR="00567474" w:rsidRPr="00006F36">
              <w:t>for early treatment in classical Fabry disease patients</w:t>
            </w:r>
          </w:p>
        </w:tc>
        <w:tc>
          <w:tcPr>
            <w:tcW w:w="1965" w:type="pct"/>
            <w:shd w:val="clear" w:color="auto" w:fill="auto"/>
            <w:vAlign w:val="center"/>
          </w:tcPr>
          <w:p w14:paraId="4F936C13" w14:textId="77777777" w:rsidR="004D25B3" w:rsidRPr="00006F36" w:rsidRDefault="004D25B3" w:rsidP="00856039">
            <w:pPr>
              <w:pStyle w:val="TableText0"/>
              <w:keepNext w:val="0"/>
            </w:pPr>
            <w:r w:rsidRPr="00006F36">
              <w:t>85% in classical Fabry patients, an assumption based on current uptake of disease specific treatment on the LSDP</w:t>
            </w:r>
          </w:p>
          <w:p w14:paraId="65A5E2FA" w14:textId="77777777" w:rsidR="004D25B3" w:rsidRPr="00006F36" w:rsidRDefault="004D25B3" w:rsidP="00856039">
            <w:pPr>
              <w:pStyle w:val="TableText0"/>
              <w:keepNext w:val="0"/>
            </w:pPr>
          </w:p>
          <w:p w14:paraId="28017500" w14:textId="4AD4DCDC" w:rsidR="004D25B3" w:rsidRPr="00006F36" w:rsidRDefault="004D25B3" w:rsidP="00856039">
            <w:pPr>
              <w:pStyle w:val="TableText0"/>
              <w:keepNext w:val="0"/>
            </w:pPr>
            <w:r w:rsidRPr="00006F36">
              <w:t>65.2% in proposed classical Fabry population who will receive early treatment will be treated with migalastat, based on assumption that migalastat had a total market share of 29.4% among all patients and 45% of all patients had amenable mutation</w:t>
            </w:r>
            <w:r w:rsidR="007D1596" w:rsidRPr="00006F36">
              <w:t xml:space="preserve"> (i.e. 29.4% ÷ 45% = 65.2%)</w:t>
            </w:r>
          </w:p>
          <w:p w14:paraId="550316FC" w14:textId="1BA00CEF" w:rsidR="00057EFB" w:rsidRPr="00006F36" w:rsidRDefault="00057EFB" w:rsidP="00856039">
            <w:pPr>
              <w:pStyle w:val="TableText0"/>
              <w:keepNext w:val="0"/>
            </w:pPr>
          </w:p>
        </w:tc>
        <w:tc>
          <w:tcPr>
            <w:tcW w:w="2251" w:type="pct"/>
            <w:shd w:val="clear" w:color="auto" w:fill="auto"/>
            <w:vAlign w:val="center"/>
          </w:tcPr>
          <w:p w14:paraId="0244386A" w14:textId="77777777" w:rsidR="00D12810" w:rsidRDefault="004D25B3" w:rsidP="00856039">
            <w:pPr>
              <w:pStyle w:val="TableText0"/>
              <w:keepNext w:val="0"/>
              <w:rPr>
                <w:iCs/>
              </w:rPr>
            </w:pPr>
            <w:r w:rsidRPr="00006F36">
              <w:rPr>
                <w:iCs/>
              </w:rPr>
              <w:t>Unclear if uptake rate in classical patients (with lesser symptoms) would be the same as patients currently treated on the LSDP who have</w:t>
            </w:r>
            <w:r w:rsidR="00060569">
              <w:rPr>
                <w:iCs/>
              </w:rPr>
              <w:t xml:space="preserve"> </w:t>
            </w:r>
            <w:r w:rsidR="00FB1863">
              <w:rPr>
                <w:iCs/>
              </w:rPr>
              <w:t>organ involvement/injury</w:t>
            </w:r>
            <w:r w:rsidR="001910CB" w:rsidRPr="00006F36">
              <w:rPr>
                <w:iCs/>
              </w:rPr>
              <w:t xml:space="preserve"> and m</w:t>
            </w:r>
            <w:r w:rsidRPr="00006F36">
              <w:rPr>
                <w:iCs/>
              </w:rPr>
              <w:t xml:space="preserve">ay be overestimated. Further, given that ERT is not subsidised for early treatment in </w:t>
            </w:r>
            <w:r w:rsidR="00183060" w:rsidRPr="00006F36">
              <w:rPr>
                <w:iCs/>
              </w:rPr>
              <w:t>c</w:t>
            </w:r>
            <w:r w:rsidRPr="00006F36">
              <w:rPr>
                <w:iCs/>
              </w:rPr>
              <w:t>lassical Fabry patients, the uptake of migalastat in this patient group would be substantially higher than 65.2% and should be 100%.</w:t>
            </w:r>
          </w:p>
          <w:p w14:paraId="0F1F0750" w14:textId="5341115E" w:rsidR="004D25B3" w:rsidRPr="00006F36" w:rsidRDefault="004D25B3" w:rsidP="00856039">
            <w:pPr>
              <w:pStyle w:val="TableText0"/>
              <w:keepNext w:val="0"/>
              <w:rPr>
                <w:iCs/>
              </w:rPr>
            </w:pPr>
          </w:p>
          <w:p w14:paraId="7295AAE5" w14:textId="3E332859" w:rsidR="00057EFB" w:rsidRPr="00006F36" w:rsidRDefault="004A3DF0" w:rsidP="00856039">
            <w:pPr>
              <w:pStyle w:val="TableText0"/>
              <w:keepNext w:val="0"/>
              <w:rPr>
                <w:i/>
              </w:rPr>
            </w:pPr>
            <w:r w:rsidRPr="00006F36">
              <w:rPr>
                <w:iCs/>
              </w:rPr>
              <w:t>Applying both rates</w:t>
            </w:r>
            <w:r w:rsidR="004D25B3" w:rsidRPr="00006F36">
              <w:rPr>
                <w:iCs/>
              </w:rPr>
              <w:t xml:space="preserve"> </w:t>
            </w:r>
            <w:r w:rsidR="000A1283" w:rsidRPr="00006F36">
              <w:rPr>
                <w:iCs/>
              </w:rPr>
              <w:t xml:space="preserve">was likely double counting and </w:t>
            </w:r>
            <w:r w:rsidR="00331470" w:rsidRPr="00006F36">
              <w:rPr>
                <w:iCs/>
              </w:rPr>
              <w:t xml:space="preserve">led to </w:t>
            </w:r>
            <w:r w:rsidR="004D25B3" w:rsidRPr="00006F36">
              <w:rPr>
                <w:iCs/>
              </w:rPr>
              <w:t>an underestimate in the number of patients who will use migalastat under the proposed restriction</w:t>
            </w:r>
            <w:r w:rsidR="000A1283" w:rsidRPr="00006F36">
              <w:rPr>
                <w:iCs/>
              </w:rPr>
              <w:t>.</w:t>
            </w:r>
            <w:r w:rsidRPr="00006F36">
              <w:rPr>
                <w:iCs/>
              </w:rPr>
              <w:t xml:space="preserve"> </w:t>
            </w:r>
            <w:r w:rsidR="00006F36" w:rsidRPr="00006F36">
              <w:rPr>
                <w:iCs/>
              </w:rPr>
              <w:t>However,</w:t>
            </w:r>
            <w:r w:rsidR="000A1283" w:rsidRPr="00006F36">
              <w:rPr>
                <w:iCs/>
              </w:rPr>
              <w:t xml:space="preserve"> </w:t>
            </w:r>
            <w:r w:rsidRPr="00006F36">
              <w:rPr>
                <w:iCs/>
              </w:rPr>
              <w:t xml:space="preserve">the uptake rate in </w:t>
            </w:r>
            <w:r w:rsidR="0057740E" w:rsidRPr="00006F36">
              <w:rPr>
                <w:iCs/>
              </w:rPr>
              <w:t>classical Fabry patients for early treatment may be overestimated</w:t>
            </w:r>
            <w:r w:rsidR="00D74A83" w:rsidRPr="00006F36">
              <w:rPr>
                <w:iCs/>
              </w:rPr>
              <w:t xml:space="preserve"> and the overall impact was uncertain.</w:t>
            </w:r>
            <w:r w:rsidR="00D74A83" w:rsidRPr="00006F36">
              <w:rPr>
                <w:i/>
              </w:rPr>
              <w:t xml:space="preserve"> </w:t>
            </w:r>
          </w:p>
        </w:tc>
      </w:tr>
      <w:tr w:rsidR="00183060" w:rsidRPr="00006F36" w14:paraId="39FEED3E" w14:textId="77777777" w:rsidTr="00E122F6">
        <w:trPr>
          <w:cantSplit/>
        </w:trPr>
        <w:tc>
          <w:tcPr>
            <w:tcW w:w="784" w:type="pct"/>
            <w:shd w:val="clear" w:color="auto" w:fill="auto"/>
            <w:vAlign w:val="center"/>
          </w:tcPr>
          <w:p w14:paraId="4C5E2388" w14:textId="06422AD1" w:rsidR="00183060" w:rsidRPr="00006F36" w:rsidRDefault="00183060" w:rsidP="00183060">
            <w:pPr>
              <w:pStyle w:val="TableText0"/>
              <w:keepNext w:val="0"/>
            </w:pPr>
            <w:r w:rsidRPr="00006F36">
              <w:t xml:space="preserve">Proportion of ERT naïve patients with end organ </w:t>
            </w:r>
            <w:r w:rsidR="00A06F38">
              <w:t>involvement/ injury</w:t>
            </w:r>
            <w:r w:rsidRPr="00006F36">
              <w:t xml:space="preserve"> electing first line migalastat </w:t>
            </w:r>
          </w:p>
        </w:tc>
        <w:tc>
          <w:tcPr>
            <w:tcW w:w="1965" w:type="pct"/>
            <w:shd w:val="clear" w:color="auto" w:fill="auto"/>
            <w:vAlign w:val="center"/>
          </w:tcPr>
          <w:p w14:paraId="5285EE33" w14:textId="334ECC4C" w:rsidR="00183060" w:rsidRPr="00006F36" w:rsidRDefault="00183060" w:rsidP="00183060">
            <w:pPr>
              <w:pStyle w:val="TableText0"/>
              <w:keepNext w:val="0"/>
            </w:pPr>
            <w:r w:rsidRPr="00006F36">
              <w:t xml:space="preserve">50% of ERT naïve patients with amenable mutation who have symptoms of end organ </w:t>
            </w:r>
            <w:r w:rsidR="00A06F38">
              <w:t xml:space="preserve">involvement/ injury </w:t>
            </w:r>
            <w:r w:rsidRPr="00006F36">
              <w:t>would use migalastat (after removal of requirement to have 12 months of ERT)</w:t>
            </w:r>
          </w:p>
        </w:tc>
        <w:tc>
          <w:tcPr>
            <w:tcW w:w="2251" w:type="pct"/>
            <w:shd w:val="clear" w:color="auto" w:fill="auto"/>
            <w:vAlign w:val="center"/>
          </w:tcPr>
          <w:p w14:paraId="770FF38A" w14:textId="69385CB2" w:rsidR="00183060" w:rsidRPr="00006F36" w:rsidRDefault="00183060" w:rsidP="00183060">
            <w:pPr>
              <w:pStyle w:val="TableText0"/>
              <w:keepNext w:val="0"/>
              <w:rPr>
                <w:i/>
              </w:rPr>
            </w:pPr>
            <w:r w:rsidRPr="00006F36">
              <w:rPr>
                <w:iCs/>
              </w:rPr>
              <w:t xml:space="preserve">The submission assumed that among patients who have an amenable mutation and treated with disease specific therapy on the LSDP, migalastat has a 65.2% market share. </w:t>
            </w:r>
          </w:p>
        </w:tc>
      </w:tr>
      <w:tr w:rsidR="00B14912" w:rsidRPr="00006F36" w14:paraId="47EF7571" w14:textId="77777777" w:rsidTr="00E122F6">
        <w:trPr>
          <w:cantSplit/>
        </w:trPr>
        <w:tc>
          <w:tcPr>
            <w:tcW w:w="784" w:type="pct"/>
            <w:shd w:val="clear" w:color="auto" w:fill="auto"/>
            <w:vAlign w:val="center"/>
          </w:tcPr>
          <w:p w14:paraId="45C04DC4" w14:textId="5D965569" w:rsidR="00B14912" w:rsidRPr="00006F36" w:rsidRDefault="00B14912" w:rsidP="00856039">
            <w:pPr>
              <w:pStyle w:val="TableText0"/>
              <w:keepNext w:val="0"/>
            </w:pPr>
            <w:r w:rsidRPr="00006F36">
              <w:lastRenderedPageBreak/>
              <w:t>Proportion with amenable mutation</w:t>
            </w:r>
          </w:p>
        </w:tc>
        <w:tc>
          <w:tcPr>
            <w:tcW w:w="1965" w:type="pct"/>
            <w:shd w:val="clear" w:color="auto" w:fill="auto"/>
            <w:vAlign w:val="center"/>
          </w:tcPr>
          <w:p w14:paraId="7D742BF8" w14:textId="6B5797BA" w:rsidR="00B14912" w:rsidRPr="00006F36" w:rsidRDefault="00B14912" w:rsidP="00856039">
            <w:pPr>
              <w:pStyle w:val="TableText0"/>
              <w:keepNext w:val="0"/>
            </w:pPr>
            <w:r w:rsidRPr="00006F36">
              <w:t>45% based on assumptions made in March 2017 submission of migalastat</w:t>
            </w:r>
          </w:p>
        </w:tc>
        <w:tc>
          <w:tcPr>
            <w:tcW w:w="2251" w:type="pct"/>
            <w:shd w:val="clear" w:color="auto" w:fill="auto"/>
            <w:vAlign w:val="center"/>
          </w:tcPr>
          <w:p w14:paraId="6CC7CC24" w14:textId="2543ED93" w:rsidR="00B14912" w:rsidRPr="00006F36" w:rsidRDefault="007857A8" w:rsidP="00856039">
            <w:pPr>
              <w:pStyle w:val="TableText0"/>
              <w:keepNext w:val="0"/>
              <w:rPr>
                <w:iCs/>
              </w:rPr>
            </w:pPr>
            <w:r w:rsidRPr="00006F36">
              <w:rPr>
                <w:iCs/>
              </w:rPr>
              <w:t xml:space="preserve">Possible that </w:t>
            </w:r>
            <w:r w:rsidR="000E216E" w:rsidRPr="00006F36">
              <w:rPr>
                <w:iCs/>
              </w:rPr>
              <w:t>amenable mutation in classic Fabry disease differs to the who</w:t>
            </w:r>
            <w:r w:rsidR="004C4730" w:rsidRPr="00006F36">
              <w:rPr>
                <w:iCs/>
              </w:rPr>
              <w:t>le</w:t>
            </w:r>
            <w:r w:rsidR="000E216E" w:rsidRPr="00006F36">
              <w:rPr>
                <w:iCs/>
              </w:rPr>
              <w:t xml:space="preserve"> Fabry population</w:t>
            </w:r>
            <w:r w:rsidR="00006F36">
              <w:rPr>
                <w:iCs/>
              </w:rPr>
              <w:t xml:space="preserve">. </w:t>
            </w:r>
            <w:r w:rsidR="00966F2B" w:rsidRPr="00006F36">
              <w:rPr>
                <w:iCs/>
              </w:rPr>
              <w:t xml:space="preserve">Nowak </w:t>
            </w:r>
            <w:r w:rsidR="00E87B2C" w:rsidRPr="00006F36">
              <w:rPr>
                <w:iCs/>
              </w:rPr>
              <w:t>2020</w:t>
            </w:r>
            <w:r w:rsidR="004C0FDD" w:rsidRPr="00006F36">
              <w:rPr>
                <w:rStyle w:val="FootnoteReference"/>
                <w:iCs/>
              </w:rPr>
              <w:footnoteReference w:id="14"/>
            </w:r>
            <w:r w:rsidR="00E87B2C" w:rsidRPr="00006F36">
              <w:rPr>
                <w:iCs/>
              </w:rPr>
              <w:t xml:space="preserve"> reported that</w:t>
            </w:r>
            <w:r w:rsidR="00136B7B" w:rsidRPr="00006F36">
              <w:rPr>
                <w:iCs/>
              </w:rPr>
              <w:t xml:space="preserve"> in a cohort of 170 adult Fabry disease patients </w:t>
            </w:r>
            <w:r w:rsidR="004C0FDD" w:rsidRPr="00006F36">
              <w:rPr>
                <w:iCs/>
              </w:rPr>
              <w:t>in Switzerland</w:t>
            </w:r>
            <w:r w:rsidR="00297D74" w:rsidRPr="00006F36">
              <w:rPr>
                <w:iCs/>
              </w:rPr>
              <w:t>,</w:t>
            </w:r>
            <w:r w:rsidR="00D12810">
              <w:rPr>
                <w:iCs/>
              </w:rPr>
              <w:t xml:space="preserve"> </w:t>
            </w:r>
            <w:r w:rsidR="00297D74" w:rsidRPr="00006F36">
              <w:rPr>
                <w:iCs/>
              </w:rPr>
              <w:t>84/170 (48%) had amenable mutations</w:t>
            </w:r>
            <w:r w:rsidR="000D1BCC" w:rsidRPr="00006F36">
              <w:rPr>
                <w:iCs/>
              </w:rPr>
              <w:t>. Of patients with the classic</w:t>
            </w:r>
            <w:r w:rsidR="004C0FDD" w:rsidRPr="00006F36">
              <w:rPr>
                <w:iCs/>
              </w:rPr>
              <w:t xml:space="preserve"> </w:t>
            </w:r>
            <w:r w:rsidR="000D1BCC" w:rsidRPr="00006F36">
              <w:rPr>
                <w:iCs/>
              </w:rPr>
              <w:t xml:space="preserve">phenotype, 43/129 (33%) had amenable mutations, compared to </w:t>
            </w:r>
            <w:r w:rsidR="00757433" w:rsidRPr="00006F36">
              <w:rPr>
                <w:iCs/>
              </w:rPr>
              <w:t xml:space="preserve">41/41 (100%) in the late-onset phenotype. </w:t>
            </w:r>
            <w:r w:rsidR="00006F36" w:rsidRPr="00006F36">
              <w:rPr>
                <w:iCs/>
              </w:rPr>
              <w:t>However,</w:t>
            </w:r>
            <w:r w:rsidR="00A90E18" w:rsidRPr="00006F36">
              <w:rPr>
                <w:iCs/>
              </w:rPr>
              <w:t xml:space="preserve"> it was unclear if this would be applicable to the Australian population.</w:t>
            </w:r>
          </w:p>
        </w:tc>
      </w:tr>
      <w:tr w:rsidR="00B14912" w:rsidRPr="00006F36" w14:paraId="512A8938" w14:textId="77777777" w:rsidTr="00E122F6">
        <w:trPr>
          <w:cantSplit/>
        </w:trPr>
        <w:tc>
          <w:tcPr>
            <w:tcW w:w="784" w:type="pct"/>
            <w:shd w:val="clear" w:color="auto" w:fill="auto"/>
            <w:vAlign w:val="center"/>
          </w:tcPr>
          <w:p w14:paraId="1F4C70A3" w14:textId="17AC03AC" w:rsidR="00B14912" w:rsidRPr="00006F36" w:rsidRDefault="00B14912" w:rsidP="00856039">
            <w:pPr>
              <w:pStyle w:val="TableText0"/>
              <w:keepNext w:val="0"/>
            </w:pPr>
            <w:r w:rsidRPr="00006F36">
              <w:t>Proportion classical Fabry disease</w:t>
            </w:r>
          </w:p>
        </w:tc>
        <w:tc>
          <w:tcPr>
            <w:tcW w:w="1965" w:type="pct"/>
            <w:shd w:val="clear" w:color="auto" w:fill="auto"/>
            <w:vAlign w:val="center"/>
          </w:tcPr>
          <w:p w14:paraId="02D97757" w14:textId="77777777" w:rsidR="00B14912" w:rsidRPr="00006F36" w:rsidRDefault="00B14912" w:rsidP="00856039">
            <w:pPr>
              <w:pStyle w:val="TableText0"/>
              <w:keepNext w:val="0"/>
            </w:pPr>
            <w:r w:rsidRPr="00006F36">
              <w:t>Proportion of classical Male: 28.5%</w:t>
            </w:r>
          </w:p>
          <w:p w14:paraId="6BC3F874" w14:textId="77777777" w:rsidR="00B14912" w:rsidRPr="00006F36" w:rsidRDefault="00B14912" w:rsidP="00856039">
            <w:pPr>
              <w:pStyle w:val="TableText0"/>
              <w:keepNext w:val="0"/>
            </w:pPr>
            <w:r w:rsidRPr="00006F36">
              <w:t>Proportion of classical Female: 29.9%</w:t>
            </w:r>
          </w:p>
          <w:p w14:paraId="581F6EA8" w14:textId="77777777" w:rsidR="00B14912" w:rsidRPr="00006F36" w:rsidRDefault="00B14912" w:rsidP="00856039">
            <w:pPr>
              <w:pStyle w:val="TableText0"/>
              <w:keepNext w:val="0"/>
            </w:pPr>
          </w:p>
          <w:p w14:paraId="5289CDB1" w14:textId="48E4FED1" w:rsidR="00B14912" w:rsidRPr="00006F36" w:rsidRDefault="00B14912" w:rsidP="00856039">
            <w:pPr>
              <w:pStyle w:val="TableText0"/>
              <w:keepNext w:val="0"/>
            </w:pPr>
            <w:r w:rsidRPr="00006F36">
              <w:t>Based on proportions reported in Arends 2017, a retrospective study of 499 adult Fabry patients in Germany, the United Kingdom, and The Netherlands</w:t>
            </w:r>
          </w:p>
        </w:tc>
        <w:tc>
          <w:tcPr>
            <w:tcW w:w="2251" w:type="pct"/>
            <w:shd w:val="clear" w:color="auto" w:fill="auto"/>
            <w:vAlign w:val="center"/>
          </w:tcPr>
          <w:p w14:paraId="0BA4ED26" w14:textId="07F97E76" w:rsidR="00B14912" w:rsidRPr="00006F36" w:rsidRDefault="002319D2" w:rsidP="00856039">
            <w:pPr>
              <w:pStyle w:val="TableText0"/>
              <w:keepNext w:val="0"/>
              <w:rPr>
                <w:iCs/>
              </w:rPr>
            </w:pPr>
            <w:r w:rsidRPr="00006F36">
              <w:rPr>
                <w:iCs/>
              </w:rPr>
              <w:t xml:space="preserve">Arends 2017 </w:t>
            </w:r>
            <w:r w:rsidR="00F501EB" w:rsidRPr="00006F36">
              <w:rPr>
                <w:iCs/>
              </w:rPr>
              <w:t>was n</w:t>
            </w:r>
            <w:r w:rsidR="00B14912" w:rsidRPr="00006F36">
              <w:rPr>
                <w:iCs/>
              </w:rPr>
              <w:t xml:space="preserve">ot </w:t>
            </w:r>
            <w:r w:rsidR="00D011F9" w:rsidRPr="00006F36">
              <w:rPr>
                <w:iCs/>
              </w:rPr>
              <w:t xml:space="preserve">conducted in </w:t>
            </w:r>
            <w:r w:rsidR="00F501EB" w:rsidRPr="00006F36">
              <w:rPr>
                <w:iCs/>
              </w:rPr>
              <w:t xml:space="preserve">an </w:t>
            </w:r>
            <w:r w:rsidR="00B14912" w:rsidRPr="00006F36">
              <w:rPr>
                <w:iCs/>
              </w:rPr>
              <w:t xml:space="preserve">Australian population so may </w:t>
            </w:r>
            <w:r w:rsidR="00F501EB" w:rsidRPr="00006F36">
              <w:rPr>
                <w:iCs/>
              </w:rPr>
              <w:t xml:space="preserve">have </w:t>
            </w:r>
            <w:r w:rsidR="00B14912" w:rsidRPr="00006F36">
              <w:rPr>
                <w:iCs/>
              </w:rPr>
              <w:t>uncertain</w:t>
            </w:r>
            <w:r w:rsidR="00F501EB" w:rsidRPr="00006F36">
              <w:rPr>
                <w:iCs/>
              </w:rPr>
              <w:t xml:space="preserve"> applicability</w:t>
            </w:r>
            <w:r w:rsidR="00952B6D" w:rsidRPr="00006F36">
              <w:rPr>
                <w:iCs/>
              </w:rPr>
              <w:t>.</w:t>
            </w:r>
            <w:r w:rsidR="006648DC" w:rsidRPr="00006F36">
              <w:rPr>
                <w:iCs/>
              </w:rPr>
              <w:t xml:space="preserve"> Chin 2022 noted that the </w:t>
            </w:r>
            <w:r w:rsidR="002350F3" w:rsidRPr="00006F36">
              <w:rPr>
                <w:iCs/>
              </w:rPr>
              <w:t>compositions</w:t>
            </w:r>
            <w:r w:rsidR="006648DC" w:rsidRPr="00006F36">
              <w:rPr>
                <w:iCs/>
              </w:rPr>
              <w:t xml:space="preserve"> of ancestries can affect incidence and prevalence</w:t>
            </w:r>
            <w:r w:rsidR="00952B6D" w:rsidRPr="00006F36">
              <w:rPr>
                <w:iCs/>
              </w:rPr>
              <w:t xml:space="preserve"> and comparing Australia to other countries was difficult</w:t>
            </w:r>
            <w:r w:rsidR="00B14912" w:rsidRPr="00006F36">
              <w:rPr>
                <w:iCs/>
              </w:rPr>
              <w:t>.</w:t>
            </w:r>
            <w:r w:rsidRPr="00006F36">
              <w:rPr>
                <w:iCs/>
              </w:rPr>
              <w:t xml:space="preserve"> As noted in paragraph </w:t>
            </w:r>
            <w:r w:rsidRPr="00006F36">
              <w:rPr>
                <w:iCs/>
              </w:rPr>
              <w:fldChar w:fldCharType="begin" w:fldLock="1"/>
            </w:r>
            <w:r w:rsidRPr="00006F36">
              <w:rPr>
                <w:iCs/>
              </w:rPr>
              <w:instrText xml:space="preserve"> REF _Ref151929083 \r \h </w:instrText>
            </w:r>
            <w:r w:rsidR="0048760F" w:rsidRPr="00006F36">
              <w:rPr>
                <w:iCs/>
              </w:rPr>
              <w:instrText xml:space="preserve"> \* MERGEFORMAT </w:instrText>
            </w:r>
            <w:r w:rsidRPr="00006F36">
              <w:rPr>
                <w:iCs/>
              </w:rPr>
            </w:r>
            <w:r w:rsidRPr="00006F36">
              <w:rPr>
                <w:iCs/>
              </w:rPr>
              <w:fldChar w:fldCharType="separate"/>
            </w:r>
            <w:r w:rsidR="00F42C5D">
              <w:rPr>
                <w:iCs/>
              </w:rPr>
              <w:t>3.6</w:t>
            </w:r>
            <w:r w:rsidRPr="00006F36">
              <w:rPr>
                <w:iCs/>
              </w:rPr>
              <w:fldChar w:fldCharType="end"/>
            </w:r>
            <w:r w:rsidRPr="00006F36">
              <w:rPr>
                <w:iCs/>
              </w:rPr>
              <w:t xml:space="preserve">, the diagnosis of </w:t>
            </w:r>
            <w:r w:rsidR="007454E2" w:rsidRPr="00006F36">
              <w:rPr>
                <w:iCs/>
              </w:rPr>
              <w:t>f</w:t>
            </w:r>
            <w:r w:rsidRPr="00006F36">
              <w:rPr>
                <w:iCs/>
              </w:rPr>
              <w:t xml:space="preserve">emales </w:t>
            </w:r>
            <w:r w:rsidR="003223EE" w:rsidRPr="00006F36">
              <w:rPr>
                <w:iCs/>
              </w:rPr>
              <w:t xml:space="preserve">with classical Fabry disease </w:t>
            </w:r>
            <w:r w:rsidRPr="00006F36">
              <w:rPr>
                <w:iCs/>
              </w:rPr>
              <w:t xml:space="preserve">may be </w:t>
            </w:r>
            <w:r w:rsidR="00810578" w:rsidRPr="00006F36">
              <w:rPr>
                <w:iCs/>
              </w:rPr>
              <w:t>challenging,</w:t>
            </w:r>
            <w:r w:rsidRPr="00006F36">
              <w:rPr>
                <w:iCs/>
              </w:rPr>
              <w:t xml:space="preserve"> and the prevalence may differ depending on the population and clinicians involved.</w:t>
            </w:r>
          </w:p>
        </w:tc>
      </w:tr>
      <w:tr w:rsidR="00B14912" w:rsidRPr="00006F36" w14:paraId="18F4FF1F" w14:textId="77777777" w:rsidTr="00E122F6">
        <w:trPr>
          <w:cantSplit/>
        </w:trPr>
        <w:tc>
          <w:tcPr>
            <w:tcW w:w="784" w:type="pct"/>
            <w:shd w:val="clear" w:color="auto" w:fill="auto"/>
            <w:vAlign w:val="center"/>
          </w:tcPr>
          <w:p w14:paraId="09A388E2" w14:textId="5DC1893A" w:rsidR="00B14912" w:rsidRPr="00006F36" w:rsidRDefault="00B14912" w:rsidP="00856039">
            <w:pPr>
              <w:pStyle w:val="TableText0"/>
              <w:keepNext w:val="0"/>
            </w:pPr>
            <w:r w:rsidRPr="00006F36">
              <w:t>Proportion classical Fabry patients eligible for migalastat</w:t>
            </w:r>
          </w:p>
        </w:tc>
        <w:tc>
          <w:tcPr>
            <w:tcW w:w="1965" w:type="pct"/>
            <w:shd w:val="clear" w:color="auto" w:fill="auto"/>
            <w:vAlign w:val="center"/>
          </w:tcPr>
          <w:p w14:paraId="64BA5959" w14:textId="77777777" w:rsidR="00B14912" w:rsidRPr="00006F36" w:rsidRDefault="00B14912" w:rsidP="00856039">
            <w:pPr>
              <w:pStyle w:val="TableText0"/>
              <w:keepNext w:val="0"/>
            </w:pPr>
            <w:r w:rsidRPr="00006F36">
              <w:t>Proportion of classical Male eligible: 100%</w:t>
            </w:r>
          </w:p>
          <w:p w14:paraId="5C029F05" w14:textId="77777777" w:rsidR="00B14912" w:rsidRPr="00006F36" w:rsidRDefault="00B14912" w:rsidP="00856039">
            <w:pPr>
              <w:pStyle w:val="TableText0"/>
              <w:keepNext w:val="0"/>
            </w:pPr>
            <w:r w:rsidRPr="00006F36">
              <w:t>Proportion of classical Female eligible: 75%</w:t>
            </w:r>
          </w:p>
          <w:p w14:paraId="6B9B6E09" w14:textId="77777777" w:rsidR="00B14912" w:rsidRPr="00006F36" w:rsidRDefault="00B14912" w:rsidP="00856039">
            <w:pPr>
              <w:pStyle w:val="TableText0"/>
              <w:keepNext w:val="0"/>
            </w:pPr>
          </w:p>
          <w:p w14:paraId="61C6F202" w14:textId="44D94CB3" w:rsidR="00B14912" w:rsidRPr="00006F36" w:rsidRDefault="00B14912" w:rsidP="00856039">
            <w:pPr>
              <w:pStyle w:val="TableText0"/>
              <w:keepNext w:val="0"/>
            </w:pPr>
            <w:r w:rsidRPr="00006F36">
              <w:t>Assumption made by submission</w:t>
            </w:r>
          </w:p>
        </w:tc>
        <w:tc>
          <w:tcPr>
            <w:tcW w:w="2251" w:type="pct"/>
            <w:shd w:val="clear" w:color="auto" w:fill="auto"/>
            <w:vAlign w:val="center"/>
          </w:tcPr>
          <w:p w14:paraId="283F2180" w14:textId="47A2C5D3" w:rsidR="00B14912" w:rsidRPr="00006F36" w:rsidRDefault="00B14912" w:rsidP="00856039">
            <w:pPr>
              <w:pStyle w:val="TableText0"/>
              <w:keepNext w:val="0"/>
              <w:rPr>
                <w:iCs/>
              </w:rPr>
            </w:pPr>
            <w:r w:rsidRPr="00006F36">
              <w:rPr>
                <w:iCs/>
              </w:rPr>
              <w:t xml:space="preserve">Proportion of classical females eligible was uncertain. </w:t>
            </w:r>
          </w:p>
        </w:tc>
      </w:tr>
      <w:tr w:rsidR="00D16B51" w:rsidRPr="00006F36" w14:paraId="7EBCF489" w14:textId="77777777" w:rsidTr="00E122F6">
        <w:trPr>
          <w:cantSplit/>
        </w:trPr>
        <w:tc>
          <w:tcPr>
            <w:tcW w:w="784" w:type="pct"/>
            <w:shd w:val="clear" w:color="auto" w:fill="auto"/>
            <w:vAlign w:val="center"/>
          </w:tcPr>
          <w:p w14:paraId="7B3E699C" w14:textId="784148A4" w:rsidR="00D16B51" w:rsidRPr="00006F36" w:rsidRDefault="00D16B51" w:rsidP="00D16B51">
            <w:pPr>
              <w:pStyle w:val="TableText0"/>
              <w:keepNext w:val="0"/>
            </w:pPr>
            <w:r w:rsidRPr="00006F36">
              <w:t>Number of migalastat scripts per year</w:t>
            </w:r>
          </w:p>
        </w:tc>
        <w:tc>
          <w:tcPr>
            <w:tcW w:w="1965" w:type="pct"/>
            <w:shd w:val="clear" w:color="auto" w:fill="auto"/>
            <w:vAlign w:val="center"/>
          </w:tcPr>
          <w:p w14:paraId="246687E6" w14:textId="7B8CA719" w:rsidR="00D16B51" w:rsidRPr="00006F36" w:rsidRDefault="00D16B51" w:rsidP="00D16B51">
            <w:pPr>
              <w:pStyle w:val="TableText0"/>
              <w:keepNext w:val="0"/>
            </w:pPr>
            <w:r w:rsidRPr="00006F36">
              <w:t>12 scripts (each script lasts 28 days)</w:t>
            </w:r>
          </w:p>
        </w:tc>
        <w:tc>
          <w:tcPr>
            <w:tcW w:w="2251" w:type="pct"/>
            <w:shd w:val="clear" w:color="auto" w:fill="auto"/>
            <w:vAlign w:val="center"/>
          </w:tcPr>
          <w:p w14:paraId="0C7850B5" w14:textId="7C859AB9" w:rsidR="00D16B51" w:rsidRPr="00006F36" w:rsidRDefault="00D16B51" w:rsidP="00D16B51">
            <w:pPr>
              <w:pStyle w:val="TableText0"/>
              <w:keepNext w:val="0"/>
              <w:rPr>
                <w:iCs/>
              </w:rPr>
            </w:pPr>
          </w:p>
        </w:tc>
      </w:tr>
    </w:tbl>
    <w:p w14:paraId="18D32C76" w14:textId="6032C582" w:rsidR="00E42F73" w:rsidRPr="00006F36" w:rsidRDefault="002E3C47" w:rsidP="00856039">
      <w:pPr>
        <w:pStyle w:val="FooterTableFigure"/>
        <w:rPr>
          <w:szCs w:val="18"/>
        </w:rPr>
      </w:pPr>
      <w:r w:rsidRPr="00006F36">
        <w:rPr>
          <w:szCs w:val="18"/>
        </w:rPr>
        <w:t>Source: constructed during evaluation using information from p36-42 of the submission and BudgetImpact_migalastat.xlsx</w:t>
      </w:r>
    </w:p>
    <w:p w14:paraId="1AC810AF" w14:textId="19B688F7" w:rsidR="003E236D" w:rsidRDefault="004B69B9" w:rsidP="002F2A26">
      <w:pPr>
        <w:pStyle w:val="FooterTableFigure"/>
        <w:spacing w:after="0"/>
        <w:rPr>
          <w:szCs w:val="18"/>
        </w:rPr>
      </w:pPr>
      <w:r>
        <w:rPr>
          <w:szCs w:val="18"/>
        </w:rPr>
        <w:t xml:space="preserve">Abbreviations: </w:t>
      </w:r>
      <w:r w:rsidR="003E236D" w:rsidRPr="00006F36">
        <w:rPr>
          <w:szCs w:val="18"/>
        </w:rPr>
        <w:t>ABS = Australian Bureau of Statistics; ERT = enzyme replacement therapy; IV = intravenous; LSDP = life saving drugs program; PSD = public summary document</w:t>
      </w:r>
    </w:p>
    <w:p w14:paraId="28D19FDF" w14:textId="77777777" w:rsidR="002F2A26" w:rsidRPr="002F2A26" w:rsidRDefault="002F2A26" w:rsidP="002F2A26">
      <w:pPr>
        <w:pStyle w:val="TableFigureFooter"/>
        <w:keepNext/>
        <w:spacing w:after="0"/>
        <w:contextualSpacing w:val="0"/>
        <w:rPr>
          <w:i/>
        </w:rPr>
      </w:pPr>
      <w:r w:rsidRPr="002F2A26">
        <w:rPr>
          <w:i/>
        </w:rPr>
        <w:t>The redacted values correspond to the following ranges:</w:t>
      </w:r>
    </w:p>
    <w:p w14:paraId="0CEEE8FC" w14:textId="77777777" w:rsidR="002F2A26" w:rsidRPr="002F2A26" w:rsidRDefault="002F2A26" w:rsidP="002F2A26">
      <w:pPr>
        <w:pStyle w:val="TableFigureFooter"/>
        <w:keepNext/>
        <w:spacing w:after="0"/>
        <w:contextualSpacing w:val="0"/>
      </w:pPr>
      <w:r w:rsidRPr="002F2A26">
        <w:rPr>
          <w:i/>
          <w:szCs w:val="18"/>
          <w:vertAlign w:val="superscript"/>
        </w:rPr>
        <w:t>1</w:t>
      </w:r>
      <w:r w:rsidRPr="002F2A26">
        <w:rPr>
          <w:i/>
          <w:szCs w:val="18"/>
        </w:rPr>
        <w:t xml:space="preserve"> 500 &lt;5,000</w:t>
      </w:r>
    </w:p>
    <w:p w14:paraId="7F115F5F" w14:textId="038AFDA7" w:rsidR="00915D11" w:rsidRPr="00033F32" w:rsidRDefault="002F2A26" w:rsidP="00033F32">
      <w:pPr>
        <w:rPr>
          <w:rFonts w:ascii="Arial Narrow" w:hAnsi="Arial Narrow"/>
          <w:i/>
          <w:sz w:val="18"/>
          <w:szCs w:val="18"/>
        </w:rPr>
      </w:pPr>
      <w:r w:rsidRPr="002F2A26">
        <w:rPr>
          <w:rFonts w:ascii="Arial Narrow" w:hAnsi="Arial Narrow"/>
          <w:i/>
          <w:sz w:val="18"/>
          <w:szCs w:val="18"/>
          <w:vertAlign w:val="superscript"/>
        </w:rPr>
        <w:t>2</w:t>
      </w:r>
      <w:r w:rsidRPr="002F2A26">
        <w:rPr>
          <w:rFonts w:ascii="Arial Narrow" w:hAnsi="Arial Narrow"/>
          <w:i/>
          <w:sz w:val="18"/>
          <w:szCs w:val="18"/>
        </w:rPr>
        <w:t xml:space="preserve"> &lt;500</w:t>
      </w:r>
    </w:p>
    <w:p w14:paraId="669FC8B7" w14:textId="66A6D94B" w:rsidR="00462861" w:rsidRPr="00006F36" w:rsidRDefault="00462861" w:rsidP="00B505C8">
      <w:pPr>
        <w:pStyle w:val="3-BodyText"/>
      </w:pPr>
      <w:bookmarkStart w:id="55" w:name="_Ref152012279"/>
      <w:r w:rsidRPr="00006F36">
        <w:t>The submission’s financial estimates</w:t>
      </w:r>
      <w:r w:rsidR="00DE7A45" w:rsidRPr="00006F36">
        <w:t xml:space="preserve"> had several issues </w:t>
      </w:r>
      <w:r w:rsidR="009F3FFC" w:rsidRPr="00006F36">
        <w:t>(beyond uncertainties in the assumptions</w:t>
      </w:r>
      <w:r w:rsidR="007466D4" w:rsidRPr="00006F36">
        <w:t xml:space="preserve"> of inputs</w:t>
      </w:r>
      <w:r w:rsidR="009F3FFC" w:rsidRPr="00006F36">
        <w:t>)</w:t>
      </w:r>
      <w:r w:rsidR="003B5EE4" w:rsidRPr="00006F36">
        <w:t xml:space="preserve"> </w:t>
      </w:r>
      <w:r w:rsidR="00DE7A45" w:rsidRPr="00006F36">
        <w:t>that</w:t>
      </w:r>
      <w:r w:rsidR="0058497E" w:rsidRPr="00006F36">
        <w:t xml:space="preserve"> may </w:t>
      </w:r>
      <w:r w:rsidR="007D3E4E" w:rsidRPr="00006F36">
        <w:t xml:space="preserve">have </w:t>
      </w:r>
      <w:r w:rsidR="00EE10D7" w:rsidRPr="00006F36">
        <w:t>led to inaccurate estimates</w:t>
      </w:r>
      <w:r w:rsidRPr="00006F36">
        <w:t>:</w:t>
      </w:r>
      <w:bookmarkEnd w:id="55"/>
    </w:p>
    <w:p w14:paraId="21247C81" w14:textId="77777777" w:rsidR="00D12810" w:rsidRDefault="004D79DC" w:rsidP="00947AB2">
      <w:pPr>
        <w:pStyle w:val="3-BodyText"/>
        <w:numPr>
          <w:ilvl w:val="0"/>
          <w:numId w:val="16"/>
        </w:numPr>
        <w:ind w:left="993" w:hanging="284"/>
      </w:pPr>
      <w:r w:rsidRPr="00006F36">
        <w:t xml:space="preserve">The submission assumed that the </w:t>
      </w:r>
      <w:r w:rsidR="00DA6972" w:rsidRPr="00006F36">
        <w:t>expenditure</w:t>
      </w:r>
      <w:r w:rsidRPr="00006F36">
        <w:t xml:space="preserve"> to patient ratio for ERT was the same as migalastat in the estimate of number of Fabry disease patients currently treated on the L</w:t>
      </w:r>
      <w:r w:rsidR="00C544B6" w:rsidRPr="00006F36">
        <w:t xml:space="preserve">SDP. </w:t>
      </w:r>
      <w:r w:rsidR="00006F36" w:rsidRPr="00006F36">
        <w:t>However,</w:t>
      </w:r>
      <w:r w:rsidR="00C544B6" w:rsidRPr="00006F36">
        <w:t xml:space="preserve"> </w:t>
      </w:r>
      <w:r w:rsidR="00032745" w:rsidRPr="00006F36">
        <w:t>as the cost of ERT was weight dependent this was not a valid assumption and the estimated number of Fabry disease patients was likely to be inaccurate</w:t>
      </w:r>
      <w:r w:rsidR="00B91ABA" w:rsidRPr="00006F36">
        <w:t xml:space="preserve"> and overestimated</w:t>
      </w:r>
      <w:r w:rsidR="00032745" w:rsidRPr="00006F36">
        <w:t xml:space="preserve">. This could be observed when comparing the incidence rate estimated by the submission (roughly one new case every 5,000 live births) being substantially higher than the </w:t>
      </w:r>
      <w:r w:rsidR="00623C38" w:rsidRPr="00006F36">
        <w:t>incidence reported in Chin 2022</w:t>
      </w:r>
      <w:r w:rsidR="00EE156D" w:rsidRPr="00006F36">
        <w:t xml:space="preserve"> in Australia between 2009-2020</w:t>
      </w:r>
      <w:r w:rsidR="00623C38" w:rsidRPr="00006F36">
        <w:t xml:space="preserve"> (one new case every 14,000 live births)</w:t>
      </w:r>
      <w:r w:rsidR="00D17D90" w:rsidRPr="00006F36">
        <w:t>;</w:t>
      </w:r>
    </w:p>
    <w:p w14:paraId="35202599" w14:textId="77777777" w:rsidR="00D12810" w:rsidRDefault="00EE10D7" w:rsidP="00947AB2">
      <w:pPr>
        <w:pStyle w:val="3-BodyText"/>
        <w:numPr>
          <w:ilvl w:val="0"/>
          <w:numId w:val="16"/>
        </w:numPr>
        <w:ind w:left="993" w:hanging="284"/>
      </w:pPr>
      <w:r w:rsidRPr="00006F36">
        <w:t>The submission m</w:t>
      </w:r>
      <w:r w:rsidR="0058497E" w:rsidRPr="00006F36">
        <w:t xml:space="preserve">ay </w:t>
      </w:r>
      <w:r w:rsidR="00462861" w:rsidRPr="00006F36">
        <w:t xml:space="preserve">have </w:t>
      </w:r>
      <w:r w:rsidR="002D4086" w:rsidRPr="00006F36">
        <w:t xml:space="preserve">underestimated </w:t>
      </w:r>
      <w:r w:rsidR="00462861" w:rsidRPr="00006F36">
        <w:t xml:space="preserve">the </w:t>
      </w:r>
      <w:r w:rsidR="00DB4747" w:rsidRPr="00006F36">
        <w:t xml:space="preserve">uptake rate </w:t>
      </w:r>
      <w:r w:rsidR="00C11A17" w:rsidRPr="00006F36">
        <w:t xml:space="preserve">of </w:t>
      </w:r>
      <w:r w:rsidR="00285733" w:rsidRPr="00006F36">
        <w:t>early treatment</w:t>
      </w:r>
      <w:r w:rsidR="00285733" w:rsidRPr="00006F36">
        <w:rPr>
          <w:i/>
          <w:iCs/>
        </w:rPr>
        <w:t xml:space="preserve"> </w:t>
      </w:r>
      <w:r w:rsidR="00285733" w:rsidRPr="00006F36">
        <w:t xml:space="preserve">with </w:t>
      </w:r>
      <w:r w:rsidR="00C11A17" w:rsidRPr="00006F36">
        <w:t xml:space="preserve">migalastat in </w:t>
      </w:r>
      <w:r w:rsidR="00285733" w:rsidRPr="00006F36">
        <w:t xml:space="preserve">classical Fabry disease patients, as </w:t>
      </w:r>
      <w:r w:rsidR="00C46F3F" w:rsidRPr="00006F36">
        <w:t xml:space="preserve">both </w:t>
      </w:r>
      <w:r w:rsidR="00285733" w:rsidRPr="00006F36">
        <w:t>a ‘</w:t>
      </w:r>
      <w:r w:rsidR="00452638" w:rsidRPr="00006F36">
        <w:t>proportion</w:t>
      </w:r>
      <w:r w:rsidR="00285733" w:rsidRPr="00006F36">
        <w:t xml:space="preserve"> </w:t>
      </w:r>
      <w:r w:rsidR="00B36074" w:rsidRPr="00006F36">
        <w:t xml:space="preserve">electing </w:t>
      </w:r>
      <w:r w:rsidR="00285733" w:rsidRPr="00006F36">
        <w:t>treat</w:t>
      </w:r>
      <w:r w:rsidR="00B36074" w:rsidRPr="00006F36">
        <w:t>ment</w:t>
      </w:r>
      <w:r w:rsidR="00285733" w:rsidRPr="00006F36">
        <w:t>’ (85%) as well as an ‘uptake of migalastat’ rate (65.2%) was applied. Uptake of migalastat will be 100% in patients who elect</w:t>
      </w:r>
      <w:r w:rsidR="00EB0CCF" w:rsidRPr="00006F36">
        <w:t xml:space="preserve"> early</w:t>
      </w:r>
      <w:r w:rsidR="00285733" w:rsidRPr="00006F36">
        <w:t xml:space="preserve"> treatment as ERT is</w:t>
      </w:r>
      <w:r w:rsidR="00285733" w:rsidRPr="00006F36">
        <w:rPr>
          <w:i/>
          <w:iCs/>
        </w:rPr>
        <w:t xml:space="preserve"> </w:t>
      </w:r>
      <w:r w:rsidR="00285733" w:rsidRPr="00006F36">
        <w:lastRenderedPageBreak/>
        <w:t xml:space="preserve">not indicated for early treatment </w:t>
      </w:r>
      <w:r w:rsidR="00721F3B" w:rsidRPr="00006F36">
        <w:t xml:space="preserve">in classical Fabry disease patients. This may have underestimated </w:t>
      </w:r>
      <w:r w:rsidR="00C46F3F" w:rsidRPr="00006F36">
        <w:t>the number of classical Fabry disease patients who would be treated with early treatment under the proposed restriction</w:t>
      </w:r>
      <w:r w:rsidR="00006231" w:rsidRPr="00006F36">
        <w:t>.</w:t>
      </w:r>
    </w:p>
    <w:p w14:paraId="53A753BB" w14:textId="77777777" w:rsidR="00D12810" w:rsidRDefault="00D13A39" w:rsidP="00947AB2">
      <w:pPr>
        <w:pStyle w:val="3-BodyText"/>
        <w:numPr>
          <w:ilvl w:val="0"/>
          <w:numId w:val="16"/>
        </w:numPr>
        <w:ind w:left="993" w:hanging="284"/>
      </w:pPr>
      <w:r w:rsidRPr="00006F36">
        <w:t xml:space="preserve">The submission estimated the number of Fabry disease patients who would receive early treatment as the difference between the estimated number of patients who would be eligible for and would elect early treatment (i.e. meet symptom/diagnosis criteria and have amenable mutation) with the number of patients with an amenable mutation who are already treated on the LSDP. </w:t>
      </w:r>
      <w:r w:rsidR="00DE2FE3" w:rsidRPr="00006F36">
        <w:t xml:space="preserve">While the submission appropriately </w:t>
      </w:r>
      <w:r w:rsidRPr="00006F36">
        <w:t xml:space="preserve">accounted for the </w:t>
      </w:r>
      <w:r w:rsidR="00DE2FE3" w:rsidRPr="00006F36">
        <w:t xml:space="preserve">number of patients </w:t>
      </w:r>
      <w:r w:rsidR="00D11F1B" w:rsidRPr="00006F36">
        <w:t xml:space="preserve">with amenable mutations </w:t>
      </w:r>
      <w:r w:rsidR="000F0CA6" w:rsidRPr="00006F36">
        <w:t xml:space="preserve">who may </w:t>
      </w:r>
      <w:r w:rsidR="00EB0CCF" w:rsidRPr="00006F36">
        <w:t xml:space="preserve">have end organ </w:t>
      </w:r>
      <w:r w:rsidR="00A06F38">
        <w:t>involvement/ injury</w:t>
      </w:r>
      <w:r w:rsidR="00A06F38" w:rsidRPr="00006F36">
        <w:t xml:space="preserve"> </w:t>
      </w:r>
      <w:r w:rsidR="00915410" w:rsidRPr="00006F36">
        <w:t>who were already assumed to be treated with migalastat</w:t>
      </w:r>
      <w:r w:rsidR="004C29E7" w:rsidRPr="00006F36">
        <w:t xml:space="preserve"> </w:t>
      </w:r>
      <w:r w:rsidR="00DE2FE3" w:rsidRPr="00006F36">
        <w:t xml:space="preserve">from the </w:t>
      </w:r>
      <w:r w:rsidR="0078073A" w:rsidRPr="00006F36">
        <w:t xml:space="preserve">cohort of classical Fabry disease patients who may be eligible for early treatment with migalastat, </w:t>
      </w:r>
      <w:r w:rsidR="00776E9C" w:rsidRPr="00006F36">
        <w:t xml:space="preserve">inappropriately no consideration of patients </w:t>
      </w:r>
      <w:r w:rsidR="00C0034C" w:rsidRPr="00006F36">
        <w:t xml:space="preserve">with </w:t>
      </w:r>
      <w:r w:rsidR="00B32C27" w:rsidRPr="00006F36">
        <w:t xml:space="preserve">amenable mutations and </w:t>
      </w:r>
      <w:r w:rsidR="00C0034C" w:rsidRPr="00006F36">
        <w:t xml:space="preserve">end organ </w:t>
      </w:r>
      <w:r w:rsidR="00A06F38">
        <w:t>involvement/ injury</w:t>
      </w:r>
      <w:r w:rsidR="00C0034C" w:rsidRPr="00006F36">
        <w:t xml:space="preserve"> </w:t>
      </w:r>
      <w:r w:rsidR="00915410" w:rsidRPr="00006F36">
        <w:t xml:space="preserve">who may be </w:t>
      </w:r>
      <w:r w:rsidR="00776E9C" w:rsidRPr="00006F36">
        <w:t>treated with ERT was made.</w:t>
      </w:r>
      <w:r w:rsidR="00742094" w:rsidRPr="00006F36">
        <w:t xml:space="preserve"> This may have led to an </w:t>
      </w:r>
      <w:r w:rsidR="001F7D0B" w:rsidRPr="00006F36">
        <w:t>over</w:t>
      </w:r>
      <w:r w:rsidR="00742094" w:rsidRPr="00006F36">
        <w:t xml:space="preserve">estimate of the number of patients treated </w:t>
      </w:r>
      <w:r w:rsidR="00C71B39" w:rsidRPr="00006F36">
        <w:t>with early treatment under the proposed restriction</w:t>
      </w:r>
      <w:r w:rsidR="00006231" w:rsidRPr="00006F36">
        <w:t>.</w:t>
      </w:r>
    </w:p>
    <w:p w14:paraId="31BE3DD2" w14:textId="77777777" w:rsidR="00D12810" w:rsidRDefault="00165DAB" w:rsidP="00947AB2">
      <w:pPr>
        <w:pStyle w:val="3-BodyText"/>
        <w:numPr>
          <w:ilvl w:val="0"/>
          <w:numId w:val="16"/>
        </w:numPr>
        <w:ind w:left="993" w:hanging="284"/>
      </w:pPr>
      <w:r w:rsidRPr="00006F36">
        <w:t>The submission</w:t>
      </w:r>
      <w:r w:rsidR="00F7187B" w:rsidRPr="00006F36">
        <w:t>’s calculations</w:t>
      </w:r>
      <w:r w:rsidRPr="00006F36">
        <w:t xml:space="preserve"> </w:t>
      </w:r>
      <w:r w:rsidR="00F7187B" w:rsidRPr="00006F36">
        <w:t xml:space="preserve">implicitly </w:t>
      </w:r>
      <w:r w:rsidRPr="00006F36">
        <w:t xml:space="preserve">assumed that all patients treated with ERT or migalastat </w:t>
      </w:r>
      <w:r w:rsidR="00F7187B" w:rsidRPr="00006F36">
        <w:t xml:space="preserve">on the LSDP were classical Fabry patients. If this assumption was violated (i.e. there is a proportion of late-onset Fabry patients treated on the LSDP) then the </w:t>
      </w:r>
      <w:r w:rsidR="00390A19" w:rsidRPr="00006F36">
        <w:t xml:space="preserve">number of </w:t>
      </w:r>
      <w:r w:rsidR="000213C7" w:rsidRPr="00006F36">
        <w:t>patients who will receive early treatment may be underestimated as the offsets for the number of classical Fabry patients already treated on the LSDP may be overestimated</w:t>
      </w:r>
      <w:r w:rsidR="00F76FE3" w:rsidRPr="00006F36">
        <w:t>;</w:t>
      </w:r>
    </w:p>
    <w:p w14:paraId="1E7A1E63" w14:textId="5544214C" w:rsidR="0016443E" w:rsidRPr="00006F36" w:rsidRDefault="0016443E" w:rsidP="00947AB2">
      <w:pPr>
        <w:pStyle w:val="3-BodyText"/>
        <w:numPr>
          <w:ilvl w:val="0"/>
          <w:numId w:val="16"/>
        </w:numPr>
        <w:ind w:left="993" w:hanging="284"/>
      </w:pPr>
      <w:r w:rsidRPr="00006F36">
        <w:t xml:space="preserve">The </w:t>
      </w:r>
      <w:r w:rsidR="008F4DDA" w:rsidRPr="00006F36">
        <w:t xml:space="preserve">submission did not account for </w:t>
      </w:r>
      <w:r w:rsidR="00660F5E" w:rsidRPr="00006F36">
        <w:t xml:space="preserve">and remove </w:t>
      </w:r>
      <w:r w:rsidR="00E13A3A" w:rsidRPr="00006F36">
        <w:t xml:space="preserve">ERT naïve patients with end organ </w:t>
      </w:r>
      <w:r w:rsidR="00A06F38">
        <w:t>involvement/ injury</w:t>
      </w:r>
      <w:r w:rsidR="00E13A3A" w:rsidRPr="00006F36">
        <w:t xml:space="preserve"> electing disease specific treatment </w:t>
      </w:r>
      <w:r w:rsidR="00660F5E" w:rsidRPr="00006F36">
        <w:t xml:space="preserve">from </w:t>
      </w:r>
      <w:r w:rsidR="008F4DDA" w:rsidRPr="00006F36">
        <w:t xml:space="preserve">their estimation of patients who may be eligible for early treatment. </w:t>
      </w:r>
      <w:r w:rsidR="0015491E" w:rsidRPr="00006F36">
        <w:t xml:space="preserve">This may have slightly overestimated the number of patients </w:t>
      </w:r>
      <w:r w:rsidR="0082437C" w:rsidRPr="00006F36">
        <w:t xml:space="preserve">who may be eligible for early treatment. </w:t>
      </w:r>
      <w:r w:rsidR="00006F36" w:rsidRPr="00006F36">
        <w:t>However,</w:t>
      </w:r>
      <w:r w:rsidR="0082437C" w:rsidRPr="00006F36">
        <w:t xml:space="preserve"> given the relatively small number of </w:t>
      </w:r>
      <w:r w:rsidR="00E13A3A" w:rsidRPr="00006F36">
        <w:t xml:space="preserve">ERT naïve patients with end organ </w:t>
      </w:r>
      <w:r w:rsidR="00A06F38">
        <w:t>involvement/ injury</w:t>
      </w:r>
      <w:r w:rsidR="00E13A3A" w:rsidRPr="00006F36">
        <w:t xml:space="preserve"> electing disease specific treatment </w:t>
      </w:r>
      <w:r w:rsidR="001D254F" w:rsidRPr="00006F36">
        <w:t xml:space="preserve">(eight per year) </w:t>
      </w:r>
      <w:r w:rsidR="00AB7832" w:rsidRPr="00006F36">
        <w:t>this may not have had a large impact on the total estimates</w:t>
      </w:r>
      <w:r w:rsidR="00893195" w:rsidRPr="00006F36">
        <w:t>; and</w:t>
      </w:r>
    </w:p>
    <w:p w14:paraId="1284F540" w14:textId="77777777" w:rsidR="00D12810" w:rsidRDefault="00AF4F87" w:rsidP="00947AB2">
      <w:pPr>
        <w:pStyle w:val="3-BodyText"/>
        <w:numPr>
          <w:ilvl w:val="0"/>
          <w:numId w:val="16"/>
        </w:numPr>
        <w:ind w:left="993" w:hanging="284"/>
      </w:pPr>
      <w:r w:rsidRPr="00006F36">
        <w:t>It is possible that patients who are diagnosed may be too young to initiate on migalastat</w:t>
      </w:r>
      <w:r w:rsidR="001F22DC" w:rsidRPr="00006F36">
        <w:t xml:space="preserve">, which has a </w:t>
      </w:r>
      <w:r w:rsidR="00006F36" w:rsidRPr="00006F36">
        <w:t>population criterion</w:t>
      </w:r>
      <w:r w:rsidR="001F22DC" w:rsidRPr="00006F36">
        <w:t xml:space="preserve"> that the patient must be at least 12 years of age. </w:t>
      </w:r>
      <w:r w:rsidR="00D13A39" w:rsidRPr="00006F36">
        <w:t>These patients would not be able to start migalastat early treatment at diagnosis and would instead need to wait until they turn 12 years of age.</w:t>
      </w:r>
    </w:p>
    <w:p w14:paraId="26FB6670" w14:textId="6A5679A1" w:rsidR="00B505C8" w:rsidRPr="00006F36" w:rsidRDefault="001A3E06" w:rsidP="00B505C8">
      <w:pPr>
        <w:pStyle w:val="3-BodyText"/>
      </w:pPr>
      <w:r w:rsidRPr="00006F36">
        <w:t xml:space="preserve">The </w:t>
      </w:r>
      <w:r w:rsidR="00E62854" w:rsidRPr="00006F36">
        <w:t>number of patients who will be treated with migalastat as presented by the submission</w:t>
      </w:r>
      <w:r w:rsidRPr="00006F36">
        <w:t xml:space="preserve"> </w:t>
      </w:r>
      <w:r w:rsidR="00E62854" w:rsidRPr="00006F36">
        <w:t xml:space="preserve">is summarised in </w:t>
      </w:r>
      <w:r w:rsidR="00E62854" w:rsidRPr="00006F36">
        <w:fldChar w:fldCharType="begin" w:fldLock="1"/>
      </w:r>
      <w:r w:rsidR="00E62854" w:rsidRPr="00006F36">
        <w:instrText xml:space="preserve"> REF _Ref152009062 \h </w:instrText>
      </w:r>
      <w:r w:rsidR="00E62854" w:rsidRPr="00006F36">
        <w:fldChar w:fldCharType="separate"/>
      </w:r>
      <w:r w:rsidR="00F42C5D" w:rsidRPr="00006F36">
        <w:t xml:space="preserve">Table </w:t>
      </w:r>
      <w:r w:rsidR="00F42C5D">
        <w:rPr>
          <w:noProof/>
        </w:rPr>
        <w:t>10</w:t>
      </w:r>
      <w:r w:rsidR="00E62854" w:rsidRPr="00006F36">
        <w:fldChar w:fldCharType="end"/>
      </w:r>
      <w:r w:rsidR="008171E5" w:rsidRPr="00006F36">
        <w:t xml:space="preserve">. </w:t>
      </w:r>
      <w:r w:rsidR="001D6544" w:rsidRPr="00006F36">
        <w:t xml:space="preserve">The financial impact to the PBS associated with the listing of migalastat for the proposed indication is summarised in </w:t>
      </w:r>
      <w:r w:rsidR="001D6544" w:rsidRPr="00006F36">
        <w:fldChar w:fldCharType="begin" w:fldLock="1"/>
      </w:r>
      <w:r w:rsidR="001D6544" w:rsidRPr="00006F36">
        <w:instrText xml:space="preserve"> REF _Ref152009290 \h </w:instrText>
      </w:r>
      <w:r w:rsidR="001D6544" w:rsidRPr="00006F36">
        <w:fldChar w:fldCharType="separate"/>
      </w:r>
      <w:r w:rsidR="00F42C5D" w:rsidRPr="00006F36">
        <w:t xml:space="preserve">Table </w:t>
      </w:r>
      <w:r w:rsidR="00F42C5D">
        <w:rPr>
          <w:noProof/>
        </w:rPr>
        <w:t>11</w:t>
      </w:r>
      <w:r w:rsidR="001D6544" w:rsidRPr="00006F36">
        <w:fldChar w:fldCharType="end"/>
      </w:r>
      <w:r w:rsidR="001D6544" w:rsidRPr="00006F36">
        <w:t>.</w:t>
      </w:r>
    </w:p>
    <w:p w14:paraId="404C2731" w14:textId="77777777" w:rsidR="00D12810" w:rsidRDefault="008F4EBB" w:rsidP="00DB2111">
      <w:pPr>
        <w:pStyle w:val="3-BodyText"/>
      </w:pPr>
      <w:r w:rsidRPr="00006F36">
        <w:t xml:space="preserve">The submission </w:t>
      </w:r>
      <w:r w:rsidR="001C79E3" w:rsidRPr="00006F36">
        <w:t xml:space="preserve">claimed </w:t>
      </w:r>
      <w:r w:rsidRPr="00006F36">
        <w:t xml:space="preserve">that </w:t>
      </w:r>
      <w:r w:rsidR="00381E5F" w:rsidRPr="00006F36">
        <w:t>the increase in prevalence</w:t>
      </w:r>
      <w:r w:rsidR="00B8797A" w:rsidRPr="00006F36">
        <w:t xml:space="preserve"> (from 2.41 per 100,000 </w:t>
      </w:r>
      <w:r w:rsidR="00D453D8" w:rsidRPr="00006F36">
        <w:t xml:space="preserve">to </w:t>
      </w:r>
      <w:r w:rsidR="00B334B2" w:rsidRPr="00006F36">
        <w:t>3.36 per 100,000)</w:t>
      </w:r>
      <w:r w:rsidR="00381E5F" w:rsidRPr="00006F36">
        <w:t xml:space="preserve"> calculated was around 6.9% per year, which was comparable to </w:t>
      </w:r>
      <w:r w:rsidR="00114E50" w:rsidRPr="00006F36">
        <w:t xml:space="preserve">the increase in prevalence reported in Chin 2022 who reported a Fabry disease ‘prevalence’ of </w:t>
      </w:r>
      <w:r w:rsidR="00ED569D" w:rsidRPr="00006F36">
        <w:t xml:space="preserve">1 in 117,000 between 1980-1996 and 1 in 14,000 in 2009-2020 which translated to </w:t>
      </w:r>
      <w:r w:rsidR="00B334B2" w:rsidRPr="00006F36">
        <w:t xml:space="preserve">an </w:t>
      </w:r>
      <w:r w:rsidR="00ED569D" w:rsidRPr="00006F36">
        <w:t xml:space="preserve">8.4% increase per year. The definition of ‘prevalence’ in Chin 2022 and the definition of prevalence calculated in the submission were not the same. In </w:t>
      </w:r>
      <w:r w:rsidR="00ED569D" w:rsidRPr="00006F36">
        <w:lastRenderedPageBreak/>
        <w:t xml:space="preserve">Chin 2022, ‘prevalence’ was </w:t>
      </w:r>
      <w:r w:rsidR="0029050E" w:rsidRPr="00006F36">
        <w:t>calculated by dividing the total number of postnatal and prenatal diagnoses</w:t>
      </w:r>
      <w:r w:rsidR="0058017B" w:rsidRPr="00006F36">
        <w:t xml:space="preserve"> </w:t>
      </w:r>
      <w:r w:rsidR="00D514D2" w:rsidRPr="00006F36">
        <w:t>(median age of diagnosis at 44.6 years)</w:t>
      </w:r>
      <w:r w:rsidR="0029050E" w:rsidRPr="00006F36">
        <w:t xml:space="preserve"> during the study period by the number of live births during the study period, with ‘incidence’ </w:t>
      </w:r>
      <w:r w:rsidR="00105532" w:rsidRPr="00006F36">
        <w:t xml:space="preserve">estimated </w:t>
      </w:r>
      <w:r w:rsidR="0029050E" w:rsidRPr="00006F36">
        <w:t>us</w:t>
      </w:r>
      <w:r w:rsidR="00105532" w:rsidRPr="00006F36">
        <w:t>ing</w:t>
      </w:r>
      <w:r w:rsidR="0029050E" w:rsidRPr="00006F36">
        <w:t xml:space="preserve"> the same approach with the exception of prenatal diagnoses</w:t>
      </w:r>
      <w:r w:rsidR="00105532" w:rsidRPr="00006F36">
        <w:t>. As such, ‘prevalence’ in Chin 2022 was actually an alternative method of estimating incidence, differing only in the type of diagnoses considered. Comparatively, prevalence in the submission (and more commonly used in the literature) refer</w:t>
      </w:r>
      <w:r w:rsidR="004F145B" w:rsidRPr="00006F36">
        <w:t>s</w:t>
      </w:r>
      <w:r w:rsidR="00105532" w:rsidRPr="00006F36">
        <w:t xml:space="preserve"> to the number of cases divided by the total population</w:t>
      </w:r>
      <w:r w:rsidR="00133FB7" w:rsidRPr="00006F36">
        <w:t xml:space="preserve"> at a given point in time</w:t>
      </w:r>
      <w:r w:rsidR="00105532" w:rsidRPr="00006F36">
        <w:t xml:space="preserve">. </w:t>
      </w:r>
      <w:r w:rsidR="00B8797A" w:rsidRPr="00006F36">
        <w:t>Instead</w:t>
      </w:r>
      <w:r w:rsidR="00105532" w:rsidRPr="00006F36">
        <w:t xml:space="preserve">, </w:t>
      </w:r>
      <w:r w:rsidR="008C1812" w:rsidRPr="00006F36">
        <w:t>a comparison of the incidence rate in the submission</w:t>
      </w:r>
      <w:r w:rsidR="0091588B" w:rsidRPr="00006F36">
        <w:t xml:space="preserve"> </w:t>
      </w:r>
      <w:r w:rsidR="008C1812" w:rsidRPr="00006F36">
        <w:t xml:space="preserve">with the incidence rate of Chin 2022 </w:t>
      </w:r>
      <w:r w:rsidR="0091588B" w:rsidRPr="00006F36">
        <w:t>may be more appropriate</w:t>
      </w:r>
      <w:r w:rsidR="00006F36">
        <w:t>.</w:t>
      </w:r>
    </w:p>
    <w:p w14:paraId="2AA2530F" w14:textId="11C150F9" w:rsidR="00E62854" w:rsidRPr="00006F36" w:rsidRDefault="00E62854" w:rsidP="002C204C">
      <w:pPr>
        <w:pStyle w:val="Caption"/>
      </w:pPr>
      <w:bookmarkStart w:id="56" w:name="_Ref152009062"/>
      <w:r w:rsidRPr="00006F36">
        <w:t xml:space="preserve">Table </w:t>
      </w:r>
      <w:r w:rsidR="008C634B">
        <w:fldChar w:fldCharType="begin" w:fldLock="1"/>
      </w:r>
      <w:r w:rsidR="008C634B">
        <w:instrText xml:space="preserve"> SEQ Table \* ARABIC </w:instrText>
      </w:r>
      <w:r w:rsidR="008C634B">
        <w:fldChar w:fldCharType="separate"/>
      </w:r>
      <w:r w:rsidR="00F42C5D">
        <w:rPr>
          <w:noProof/>
        </w:rPr>
        <w:t>10</w:t>
      </w:r>
      <w:r w:rsidR="008C634B">
        <w:rPr>
          <w:noProof/>
        </w:rPr>
        <w:fldChar w:fldCharType="end"/>
      </w:r>
      <w:bookmarkEnd w:id="56"/>
      <w:r w:rsidR="004161CA" w:rsidRPr="00006F36">
        <w:t>:</w:t>
      </w:r>
      <w:r w:rsidRPr="00006F36">
        <w:t xml:space="preserve"> Submission’s estimates of number of patients using migalastat</w:t>
      </w:r>
    </w:p>
    <w:tbl>
      <w:tblPr>
        <w:tblStyle w:val="TableGrid"/>
        <w:tblW w:w="0" w:type="auto"/>
        <w:tblLayout w:type="fixed"/>
        <w:tblLook w:val="04A0" w:firstRow="1" w:lastRow="0" w:firstColumn="1" w:lastColumn="0" w:noHBand="0" w:noVBand="1"/>
        <w:tblCaption w:val="Table 10: Submission’s estimates of number of patients using migalastat"/>
      </w:tblPr>
      <w:tblGrid>
        <w:gridCol w:w="4013"/>
        <w:gridCol w:w="834"/>
        <w:gridCol w:w="834"/>
        <w:gridCol w:w="834"/>
        <w:gridCol w:w="834"/>
        <w:gridCol w:w="834"/>
        <w:gridCol w:w="834"/>
      </w:tblGrid>
      <w:tr w:rsidR="00F76FE3" w:rsidRPr="00006F36" w14:paraId="665C648A" w14:textId="77777777" w:rsidTr="00F76FE3">
        <w:trPr>
          <w:trHeight w:val="20"/>
        </w:trPr>
        <w:tc>
          <w:tcPr>
            <w:tcW w:w="4013" w:type="dxa"/>
          </w:tcPr>
          <w:p w14:paraId="30592205" w14:textId="77777777" w:rsidR="00E62854" w:rsidRPr="00006F36" w:rsidRDefault="00E62854" w:rsidP="002F68C2">
            <w:pPr>
              <w:keepNext/>
              <w:keepLines/>
              <w:jc w:val="left"/>
              <w:rPr>
                <w:rFonts w:ascii="Arial Narrow" w:hAnsi="Arial Narrow"/>
                <w:sz w:val="20"/>
                <w:szCs w:val="20"/>
              </w:rPr>
            </w:pPr>
          </w:p>
        </w:tc>
        <w:tc>
          <w:tcPr>
            <w:tcW w:w="834" w:type="dxa"/>
            <w:vAlign w:val="center"/>
          </w:tcPr>
          <w:p w14:paraId="667ADCCD" w14:textId="77777777" w:rsidR="00E62854" w:rsidRPr="00006F36" w:rsidRDefault="00E62854" w:rsidP="002C204C">
            <w:pPr>
              <w:keepNext/>
              <w:keepLines/>
              <w:jc w:val="center"/>
              <w:rPr>
                <w:rFonts w:ascii="Arial Narrow" w:hAnsi="Arial Narrow"/>
                <w:b/>
                <w:bCs/>
                <w:sz w:val="20"/>
                <w:szCs w:val="20"/>
              </w:rPr>
            </w:pPr>
            <w:r w:rsidRPr="00006F36">
              <w:rPr>
                <w:rFonts w:ascii="Arial Narrow" w:hAnsi="Arial Narrow"/>
                <w:b/>
                <w:bCs/>
                <w:sz w:val="20"/>
                <w:szCs w:val="20"/>
              </w:rPr>
              <w:t>2024</w:t>
            </w:r>
          </w:p>
        </w:tc>
        <w:tc>
          <w:tcPr>
            <w:tcW w:w="834" w:type="dxa"/>
            <w:vAlign w:val="center"/>
          </w:tcPr>
          <w:p w14:paraId="12758D27" w14:textId="77777777" w:rsidR="00E62854" w:rsidRPr="00006F36" w:rsidRDefault="00E62854" w:rsidP="002C204C">
            <w:pPr>
              <w:keepNext/>
              <w:keepLines/>
              <w:jc w:val="center"/>
              <w:rPr>
                <w:rFonts w:ascii="Arial Narrow" w:hAnsi="Arial Narrow"/>
                <w:b/>
                <w:bCs/>
                <w:sz w:val="20"/>
                <w:szCs w:val="20"/>
              </w:rPr>
            </w:pPr>
            <w:r w:rsidRPr="00006F36">
              <w:rPr>
                <w:rFonts w:ascii="Arial Narrow" w:hAnsi="Arial Narrow"/>
                <w:b/>
                <w:bCs/>
                <w:sz w:val="20"/>
                <w:szCs w:val="20"/>
              </w:rPr>
              <w:t>2025</w:t>
            </w:r>
          </w:p>
        </w:tc>
        <w:tc>
          <w:tcPr>
            <w:tcW w:w="834" w:type="dxa"/>
            <w:vAlign w:val="center"/>
          </w:tcPr>
          <w:p w14:paraId="42B4BB21" w14:textId="77777777" w:rsidR="00E62854" w:rsidRPr="00006F36" w:rsidRDefault="00E62854" w:rsidP="002C204C">
            <w:pPr>
              <w:keepNext/>
              <w:keepLines/>
              <w:jc w:val="center"/>
              <w:rPr>
                <w:rFonts w:ascii="Arial Narrow" w:hAnsi="Arial Narrow"/>
                <w:b/>
                <w:bCs/>
                <w:sz w:val="20"/>
                <w:szCs w:val="20"/>
              </w:rPr>
            </w:pPr>
            <w:r w:rsidRPr="00006F36">
              <w:rPr>
                <w:rFonts w:ascii="Arial Narrow" w:hAnsi="Arial Narrow"/>
                <w:b/>
                <w:bCs/>
                <w:sz w:val="20"/>
                <w:szCs w:val="20"/>
              </w:rPr>
              <w:t>2026</w:t>
            </w:r>
          </w:p>
        </w:tc>
        <w:tc>
          <w:tcPr>
            <w:tcW w:w="834" w:type="dxa"/>
            <w:vAlign w:val="center"/>
          </w:tcPr>
          <w:p w14:paraId="2A7BB00A" w14:textId="77777777" w:rsidR="00E62854" w:rsidRPr="00006F36" w:rsidRDefault="00E62854" w:rsidP="002C204C">
            <w:pPr>
              <w:keepNext/>
              <w:keepLines/>
              <w:jc w:val="center"/>
              <w:rPr>
                <w:rFonts w:ascii="Arial Narrow" w:hAnsi="Arial Narrow"/>
                <w:b/>
                <w:bCs/>
                <w:sz w:val="20"/>
                <w:szCs w:val="20"/>
              </w:rPr>
            </w:pPr>
            <w:r w:rsidRPr="00006F36">
              <w:rPr>
                <w:rFonts w:ascii="Arial Narrow" w:hAnsi="Arial Narrow"/>
                <w:b/>
                <w:bCs/>
                <w:sz w:val="20"/>
                <w:szCs w:val="20"/>
              </w:rPr>
              <w:t>2027</w:t>
            </w:r>
          </w:p>
        </w:tc>
        <w:tc>
          <w:tcPr>
            <w:tcW w:w="834" w:type="dxa"/>
            <w:vAlign w:val="center"/>
          </w:tcPr>
          <w:p w14:paraId="661D3B4F" w14:textId="77777777" w:rsidR="00E62854" w:rsidRPr="00006F36" w:rsidRDefault="00E62854" w:rsidP="002C204C">
            <w:pPr>
              <w:keepNext/>
              <w:keepLines/>
              <w:jc w:val="center"/>
              <w:rPr>
                <w:rFonts w:ascii="Arial Narrow" w:hAnsi="Arial Narrow"/>
                <w:b/>
                <w:bCs/>
                <w:sz w:val="20"/>
                <w:szCs w:val="20"/>
              </w:rPr>
            </w:pPr>
            <w:r w:rsidRPr="00006F36">
              <w:rPr>
                <w:rFonts w:ascii="Arial Narrow" w:hAnsi="Arial Narrow"/>
                <w:b/>
                <w:bCs/>
                <w:sz w:val="20"/>
                <w:szCs w:val="20"/>
              </w:rPr>
              <w:t>2028</w:t>
            </w:r>
          </w:p>
        </w:tc>
        <w:tc>
          <w:tcPr>
            <w:tcW w:w="834" w:type="dxa"/>
            <w:vAlign w:val="center"/>
          </w:tcPr>
          <w:p w14:paraId="0A793113" w14:textId="77777777" w:rsidR="00E62854" w:rsidRPr="00006F36" w:rsidRDefault="00E62854" w:rsidP="002C204C">
            <w:pPr>
              <w:keepNext/>
              <w:keepLines/>
              <w:jc w:val="center"/>
              <w:rPr>
                <w:rFonts w:ascii="Arial Narrow" w:hAnsi="Arial Narrow"/>
                <w:b/>
                <w:bCs/>
                <w:sz w:val="20"/>
                <w:szCs w:val="20"/>
              </w:rPr>
            </w:pPr>
            <w:r w:rsidRPr="00006F36">
              <w:rPr>
                <w:rFonts w:ascii="Arial Narrow" w:hAnsi="Arial Narrow"/>
                <w:b/>
                <w:bCs/>
                <w:sz w:val="20"/>
                <w:szCs w:val="20"/>
              </w:rPr>
              <w:t>2029</w:t>
            </w:r>
          </w:p>
        </w:tc>
      </w:tr>
      <w:tr w:rsidR="00F76FE3" w:rsidRPr="00006F36" w14:paraId="32C62562" w14:textId="77777777" w:rsidTr="00F76FE3">
        <w:trPr>
          <w:trHeight w:val="20"/>
        </w:trPr>
        <w:tc>
          <w:tcPr>
            <w:tcW w:w="4013" w:type="dxa"/>
          </w:tcPr>
          <w:p w14:paraId="0189FCA5" w14:textId="40A56F59" w:rsidR="00E62854" w:rsidRPr="00006F36" w:rsidRDefault="00E62854" w:rsidP="002F68C2">
            <w:pPr>
              <w:keepNext/>
              <w:keepLines/>
              <w:jc w:val="left"/>
              <w:rPr>
                <w:rFonts w:ascii="Arial Narrow" w:hAnsi="Arial Narrow"/>
                <w:b/>
                <w:bCs/>
                <w:sz w:val="20"/>
                <w:szCs w:val="20"/>
              </w:rPr>
            </w:pPr>
            <w:r w:rsidRPr="00006F36">
              <w:rPr>
                <w:rFonts w:ascii="Arial Narrow" w:hAnsi="Arial Narrow"/>
                <w:b/>
                <w:bCs/>
                <w:sz w:val="20"/>
                <w:szCs w:val="20"/>
              </w:rPr>
              <w:t xml:space="preserve">Migalastat use </w:t>
            </w:r>
            <w:r w:rsidR="00C8390B" w:rsidRPr="00006F36">
              <w:rPr>
                <w:rFonts w:ascii="Arial Narrow" w:hAnsi="Arial Narrow"/>
                <w:b/>
                <w:bCs/>
                <w:sz w:val="20"/>
                <w:szCs w:val="20"/>
              </w:rPr>
              <w:t xml:space="preserve">on PBS </w:t>
            </w:r>
            <w:r w:rsidR="00611D47" w:rsidRPr="00006F36">
              <w:rPr>
                <w:rFonts w:ascii="Arial Narrow" w:hAnsi="Arial Narrow"/>
                <w:b/>
                <w:bCs/>
                <w:sz w:val="20"/>
                <w:szCs w:val="20"/>
              </w:rPr>
              <w:t xml:space="preserve">in patients with </w:t>
            </w:r>
            <w:r w:rsidR="00FB1863">
              <w:rPr>
                <w:rFonts w:ascii="Arial Narrow" w:hAnsi="Arial Narrow"/>
                <w:b/>
                <w:bCs/>
                <w:sz w:val="20"/>
                <w:szCs w:val="20"/>
              </w:rPr>
              <w:t>organ involvement/injury</w:t>
            </w:r>
          </w:p>
        </w:tc>
        <w:tc>
          <w:tcPr>
            <w:tcW w:w="834" w:type="dxa"/>
            <w:vAlign w:val="center"/>
          </w:tcPr>
          <w:p w14:paraId="25ADF8BF" w14:textId="17C72741" w:rsidR="00E62854" w:rsidRPr="00365703" w:rsidRDefault="00494449" w:rsidP="002C204C">
            <w:pPr>
              <w:keepNext/>
              <w:keepLines/>
              <w:jc w:val="center"/>
              <w:rPr>
                <w:rFonts w:ascii="Arial Narrow" w:hAnsi="Arial Narrow"/>
                <w:b/>
                <w:bCs/>
                <w:sz w:val="20"/>
                <w:szCs w:val="20"/>
                <w:highlight w:val="lightGray"/>
              </w:rPr>
            </w:pPr>
            <w:r w:rsidRPr="00494449">
              <w:rPr>
                <w:rFonts w:ascii="Arial Narrow" w:hAnsi="Arial Narrow"/>
                <w:b/>
                <w:bCs/>
                <w:color w:val="000000"/>
                <w:spacing w:val="43"/>
                <w:sz w:val="20"/>
                <w:szCs w:val="20"/>
                <w:shd w:val="solid" w:color="000000" w:fill="000000"/>
                <w:fitText w:val="313" w:id="-961870844"/>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313" w:id="-961870844"/>
                <w14:textFill>
                  <w14:solidFill>
                    <w14:srgbClr w14:val="000000">
                      <w14:alpha w14:val="100000"/>
                    </w14:srgbClr>
                  </w14:solidFill>
                </w14:textFill>
              </w:rPr>
              <w:t>|</w:t>
            </w:r>
            <w:r w:rsidR="00365703" w:rsidRPr="00365703">
              <w:rPr>
                <w:rFonts w:ascii="Arial Narrow" w:hAnsi="Arial Narrow"/>
                <w:b/>
                <w:bCs/>
                <w:sz w:val="20"/>
                <w:szCs w:val="20"/>
                <w:vertAlign w:val="superscript"/>
              </w:rPr>
              <w:t>1</w:t>
            </w:r>
          </w:p>
        </w:tc>
        <w:tc>
          <w:tcPr>
            <w:tcW w:w="834" w:type="dxa"/>
            <w:vAlign w:val="center"/>
          </w:tcPr>
          <w:p w14:paraId="1E2C70B6" w14:textId="28018630" w:rsidR="00E62854" w:rsidRPr="00365703" w:rsidRDefault="00494449" w:rsidP="002C204C">
            <w:pPr>
              <w:keepNext/>
              <w:keepLines/>
              <w:jc w:val="center"/>
              <w:rPr>
                <w:rFonts w:ascii="Arial Narrow" w:hAnsi="Arial Narrow"/>
                <w:b/>
                <w:bCs/>
                <w:sz w:val="20"/>
                <w:szCs w:val="20"/>
                <w:highlight w:val="lightGray"/>
              </w:rPr>
            </w:pPr>
            <w:r w:rsidRPr="00494449">
              <w:rPr>
                <w:rFonts w:ascii="Arial Narrow" w:hAnsi="Arial Narrow"/>
                <w:b/>
                <w:bCs/>
                <w:color w:val="000000"/>
                <w:spacing w:val="43"/>
                <w:sz w:val="20"/>
                <w:szCs w:val="20"/>
                <w:shd w:val="solid" w:color="000000" w:fill="000000"/>
                <w:fitText w:val="313" w:id="-961870843"/>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313" w:id="-961870843"/>
                <w14:textFill>
                  <w14:solidFill>
                    <w14:srgbClr w14:val="000000">
                      <w14:alpha w14:val="100000"/>
                    </w14:srgbClr>
                  </w14:solidFill>
                </w14:textFill>
              </w:rPr>
              <w:t>|</w:t>
            </w:r>
            <w:r w:rsidR="00365703" w:rsidRPr="00365703">
              <w:rPr>
                <w:rFonts w:ascii="Arial Narrow" w:hAnsi="Arial Narrow"/>
                <w:b/>
                <w:bCs/>
                <w:sz w:val="20"/>
                <w:szCs w:val="20"/>
                <w:vertAlign w:val="superscript"/>
              </w:rPr>
              <w:t>1</w:t>
            </w:r>
          </w:p>
        </w:tc>
        <w:tc>
          <w:tcPr>
            <w:tcW w:w="834" w:type="dxa"/>
            <w:vAlign w:val="center"/>
          </w:tcPr>
          <w:p w14:paraId="29ECB35F" w14:textId="6D146754" w:rsidR="00E62854" w:rsidRPr="00365703" w:rsidRDefault="00494449" w:rsidP="002C204C">
            <w:pPr>
              <w:keepNext/>
              <w:keepLines/>
              <w:jc w:val="center"/>
              <w:rPr>
                <w:rFonts w:ascii="Arial Narrow" w:hAnsi="Arial Narrow"/>
                <w:b/>
                <w:bCs/>
                <w:sz w:val="20"/>
                <w:szCs w:val="20"/>
                <w:highlight w:val="lightGray"/>
              </w:rPr>
            </w:pPr>
            <w:r w:rsidRPr="00494449">
              <w:rPr>
                <w:rFonts w:ascii="Arial Narrow" w:hAnsi="Arial Narrow"/>
                <w:b/>
                <w:bCs/>
                <w:color w:val="000000"/>
                <w:spacing w:val="43"/>
                <w:sz w:val="20"/>
                <w:szCs w:val="20"/>
                <w:shd w:val="solid" w:color="000000" w:fill="000000"/>
                <w:fitText w:val="313" w:id="-961870842"/>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313" w:id="-961870842"/>
                <w14:textFill>
                  <w14:solidFill>
                    <w14:srgbClr w14:val="000000">
                      <w14:alpha w14:val="100000"/>
                    </w14:srgbClr>
                  </w14:solidFill>
                </w14:textFill>
              </w:rPr>
              <w:t>|</w:t>
            </w:r>
            <w:r w:rsidR="00365703" w:rsidRPr="00365703">
              <w:rPr>
                <w:rFonts w:ascii="Arial Narrow" w:hAnsi="Arial Narrow"/>
                <w:b/>
                <w:bCs/>
                <w:sz w:val="20"/>
                <w:szCs w:val="20"/>
                <w:vertAlign w:val="superscript"/>
              </w:rPr>
              <w:t>1</w:t>
            </w:r>
          </w:p>
        </w:tc>
        <w:tc>
          <w:tcPr>
            <w:tcW w:w="834" w:type="dxa"/>
            <w:vAlign w:val="center"/>
          </w:tcPr>
          <w:p w14:paraId="78AA1D03" w14:textId="2F2B528B" w:rsidR="00E62854" w:rsidRPr="00365703" w:rsidRDefault="00494449" w:rsidP="002C204C">
            <w:pPr>
              <w:keepNext/>
              <w:keepLines/>
              <w:jc w:val="center"/>
              <w:rPr>
                <w:rFonts w:ascii="Arial Narrow" w:hAnsi="Arial Narrow"/>
                <w:b/>
                <w:bCs/>
                <w:sz w:val="20"/>
                <w:szCs w:val="20"/>
                <w:highlight w:val="lightGray"/>
              </w:rPr>
            </w:pPr>
            <w:r w:rsidRPr="00494449">
              <w:rPr>
                <w:rFonts w:ascii="Arial Narrow" w:hAnsi="Arial Narrow"/>
                <w:b/>
                <w:bCs/>
                <w:color w:val="000000"/>
                <w:spacing w:val="43"/>
                <w:sz w:val="20"/>
                <w:szCs w:val="20"/>
                <w:shd w:val="solid" w:color="000000" w:fill="000000"/>
                <w:fitText w:val="313" w:id="-961870841"/>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313" w:id="-961870841"/>
                <w14:textFill>
                  <w14:solidFill>
                    <w14:srgbClr w14:val="000000">
                      <w14:alpha w14:val="100000"/>
                    </w14:srgbClr>
                  </w14:solidFill>
                </w14:textFill>
              </w:rPr>
              <w:t>|</w:t>
            </w:r>
            <w:r w:rsidR="00365703" w:rsidRPr="00365703">
              <w:rPr>
                <w:rFonts w:ascii="Arial Narrow" w:hAnsi="Arial Narrow"/>
                <w:b/>
                <w:bCs/>
                <w:sz w:val="20"/>
                <w:szCs w:val="20"/>
                <w:vertAlign w:val="superscript"/>
              </w:rPr>
              <w:t>1</w:t>
            </w:r>
          </w:p>
        </w:tc>
        <w:tc>
          <w:tcPr>
            <w:tcW w:w="834" w:type="dxa"/>
            <w:vAlign w:val="center"/>
          </w:tcPr>
          <w:p w14:paraId="3127E7F3" w14:textId="56BFC210" w:rsidR="00E62854" w:rsidRPr="00365703" w:rsidRDefault="00494449" w:rsidP="002C204C">
            <w:pPr>
              <w:keepNext/>
              <w:keepLines/>
              <w:jc w:val="center"/>
              <w:rPr>
                <w:rFonts w:ascii="Arial Narrow" w:hAnsi="Arial Narrow"/>
                <w:b/>
                <w:bCs/>
                <w:sz w:val="20"/>
                <w:szCs w:val="20"/>
                <w:highlight w:val="lightGray"/>
              </w:rPr>
            </w:pPr>
            <w:r w:rsidRPr="00494449">
              <w:rPr>
                <w:rFonts w:ascii="Arial Narrow" w:hAnsi="Arial Narrow"/>
                <w:b/>
                <w:bCs/>
                <w:color w:val="000000"/>
                <w:spacing w:val="43"/>
                <w:sz w:val="20"/>
                <w:szCs w:val="20"/>
                <w:shd w:val="solid" w:color="000000" w:fill="000000"/>
                <w:fitText w:val="313" w:id="-961870840"/>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313" w:id="-961870840"/>
                <w14:textFill>
                  <w14:solidFill>
                    <w14:srgbClr w14:val="000000">
                      <w14:alpha w14:val="100000"/>
                    </w14:srgbClr>
                  </w14:solidFill>
                </w14:textFill>
              </w:rPr>
              <w:t>|</w:t>
            </w:r>
            <w:r w:rsidR="00365703" w:rsidRPr="00365703">
              <w:rPr>
                <w:rFonts w:ascii="Arial Narrow" w:hAnsi="Arial Narrow"/>
                <w:b/>
                <w:bCs/>
                <w:sz w:val="20"/>
                <w:szCs w:val="20"/>
                <w:vertAlign w:val="superscript"/>
              </w:rPr>
              <w:t>1</w:t>
            </w:r>
          </w:p>
        </w:tc>
        <w:tc>
          <w:tcPr>
            <w:tcW w:w="834" w:type="dxa"/>
            <w:vAlign w:val="center"/>
          </w:tcPr>
          <w:p w14:paraId="62FA2E11" w14:textId="2D16BA96" w:rsidR="00E62854" w:rsidRPr="00365703" w:rsidRDefault="00494449" w:rsidP="002C204C">
            <w:pPr>
              <w:keepNext/>
              <w:keepLines/>
              <w:jc w:val="center"/>
              <w:rPr>
                <w:rFonts w:ascii="Arial Narrow" w:hAnsi="Arial Narrow"/>
                <w:b/>
                <w:bCs/>
                <w:sz w:val="20"/>
                <w:szCs w:val="20"/>
                <w:highlight w:val="lightGray"/>
              </w:rPr>
            </w:pPr>
            <w:r w:rsidRPr="00494449">
              <w:rPr>
                <w:rFonts w:ascii="Arial Narrow" w:hAnsi="Arial Narrow"/>
                <w:b/>
                <w:bCs/>
                <w:color w:val="000000"/>
                <w:spacing w:val="43"/>
                <w:sz w:val="20"/>
                <w:szCs w:val="20"/>
                <w:shd w:val="solid" w:color="000000" w:fill="000000"/>
                <w:fitText w:val="313" w:id="-961870839"/>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313" w:id="-961870839"/>
                <w14:textFill>
                  <w14:solidFill>
                    <w14:srgbClr w14:val="000000">
                      <w14:alpha w14:val="100000"/>
                    </w14:srgbClr>
                  </w14:solidFill>
                </w14:textFill>
              </w:rPr>
              <w:t>|</w:t>
            </w:r>
            <w:r w:rsidR="00365703" w:rsidRPr="00365703">
              <w:rPr>
                <w:rFonts w:ascii="Arial Narrow" w:hAnsi="Arial Narrow"/>
                <w:b/>
                <w:bCs/>
                <w:sz w:val="20"/>
                <w:szCs w:val="20"/>
                <w:vertAlign w:val="superscript"/>
              </w:rPr>
              <w:t>1</w:t>
            </w:r>
          </w:p>
        </w:tc>
      </w:tr>
      <w:tr w:rsidR="00F76FE3" w:rsidRPr="00006F36" w14:paraId="3A6B1DF6" w14:textId="77777777" w:rsidTr="00F76FE3">
        <w:trPr>
          <w:trHeight w:val="20"/>
        </w:trPr>
        <w:tc>
          <w:tcPr>
            <w:tcW w:w="4013" w:type="dxa"/>
          </w:tcPr>
          <w:p w14:paraId="7694E6F5" w14:textId="66B0231E" w:rsidR="00E62854" w:rsidRPr="00006F36" w:rsidRDefault="00E62854" w:rsidP="002F68C2">
            <w:pPr>
              <w:keepNext/>
              <w:keepLines/>
              <w:jc w:val="left"/>
              <w:rPr>
                <w:rFonts w:ascii="Arial Narrow" w:hAnsi="Arial Narrow"/>
                <w:sz w:val="20"/>
                <w:szCs w:val="20"/>
              </w:rPr>
            </w:pPr>
            <w:r w:rsidRPr="00006F36">
              <w:rPr>
                <w:rFonts w:ascii="Arial Narrow" w:hAnsi="Arial Narrow"/>
                <w:sz w:val="20"/>
                <w:szCs w:val="20"/>
              </w:rPr>
              <w:t>Total number of Fabry disease patients in Australia</w:t>
            </w:r>
            <w:r w:rsidR="0058017B" w:rsidRPr="00006F36">
              <w:rPr>
                <w:rFonts w:ascii="Arial Narrow" w:hAnsi="Arial Narrow"/>
                <w:sz w:val="20"/>
                <w:szCs w:val="20"/>
              </w:rPr>
              <w:t xml:space="preserve"> </w:t>
            </w:r>
          </w:p>
        </w:tc>
        <w:tc>
          <w:tcPr>
            <w:tcW w:w="834" w:type="dxa"/>
            <w:vAlign w:val="center"/>
          </w:tcPr>
          <w:p w14:paraId="496D3459" w14:textId="1FE04164"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38"/>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38"/>
                <w14:textFill>
                  <w14:solidFill>
                    <w14:srgbClr w14:val="000000">
                      <w14:alpha w14:val="100000"/>
                    </w14:srgbClr>
                  </w14:solidFill>
                </w14:textFill>
              </w:rPr>
              <w:t>|</w:t>
            </w:r>
            <w:r w:rsidR="007A5174" w:rsidRPr="007A5174">
              <w:rPr>
                <w:rFonts w:ascii="Arial Narrow" w:hAnsi="Arial Narrow"/>
                <w:sz w:val="20"/>
                <w:szCs w:val="20"/>
                <w:vertAlign w:val="superscript"/>
              </w:rPr>
              <w:t>2</w:t>
            </w:r>
          </w:p>
        </w:tc>
        <w:tc>
          <w:tcPr>
            <w:tcW w:w="834" w:type="dxa"/>
            <w:vAlign w:val="center"/>
          </w:tcPr>
          <w:p w14:paraId="7D7E112C" w14:textId="733916B9"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37"/>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37"/>
                <w14:textFill>
                  <w14:solidFill>
                    <w14:srgbClr w14:val="000000">
                      <w14:alpha w14:val="100000"/>
                    </w14:srgbClr>
                  </w14:solidFill>
                </w14:textFill>
              </w:rPr>
              <w:t>|</w:t>
            </w:r>
            <w:r w:rsidR="007A5174" w:rsidRPr="007A5174">
              <w:rPr>
                <w:rFonts w:ascii="Arial Narrow" w:hAnsi="Arial Narrow"/>
                <w:sz w:val="20"/>
                <w:szCs w:val="20"/>
                <w:vertAlign w:val="superscript"/>
              </w:rPr>
              <w:t>2</w:t>
            </w:r>
          </w:p>
        </w:tc>
        <w:tc>
          <w:tcPr>
            <w:tcW w:w="834" w:type="dxa"/>
            <w:vAlign w:val="center"/>
          </w:tcPr>
          <w:p w14:paraId="6865B2D4" w14:textId="6184CB6D"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36"/>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36"/>
                <w14:textFill>
                  <w14:solidFill>
                    <w14:srgbClr w14:val="000000">
                      <w14:alpha w14:val="100000"/>
                    </w14:srgbClr>
                  </w14:solidFill>
                </w14:textFill>
              </w:rPr>
              <w:t>|</w:t>
            </w:r>
            <w:r w:rsidR="007A5174" w:rsidRPr="007A5174">
              <w:rPr>
                <w:rFonts w:ascii="Arial Narrow" w:hAnsi="Arial Narrow"/>
                <w:sz w:val="20"/>
                <w:szCs w:val="20"/>
                <w:vertAlign w:val="superscript"/>
              </w:rPr>
              <w:t>2</w:t>
            </w:r>
          </w:p>
        </w:tc>
        <w:tc>
          <w:tcPr>
            <w:tcW w:w="834" w:type="dxa"/>
            <w:vAlign w:val="center"/>
          </w:tcPr>
          <w:p w14:paraId="208A53F2" w14:textId="5001400F"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35"/>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35"/>
                <w14:textFill>
                  <w14:solidFill>
                    <w14:srgbClr w14:val="000000">
                      <w14:alpha w14:val="100000"/>
                    </w14:srgbClr>
                  </w14:solidFill>
                </w14:textFill>
              </w:rPr>
              <w:t>|</w:t>
            </w:r>
            <w:r w:rsidR="007A5174" w:rsidRPr="007A5174">
              <w:rPr>
                <w:rFonts w:ascii="Arial Narrow" w:hAnsi="Arial Narrow"/>
                <w:sz w:val="20"/>
                <w:szCs w:val="20"/>
                <w:vertAlign w:val="superscript"/>
              </w:rPr>
              <w:t>2</w:t>
            </w:r>
          </w:p>
        </w:tc>
        <w:tc>
          <w:tcPr>
            <w:tcW w:w="834" w:type="dxa"/>
            <w:vAlign w:val="center"/>
          </w:tcPr>
          <w:p w14:paraId="75C33816" w14:textId="1DC076A2"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34"/>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34"/>
                <w14:textFill>
                  <w14:solidFill>
                    <w14:srgbClr w14:val="000000">
                      <w14:alpha w14:val="100000"/>
                    </w14:srgbClr>
                  </w14:solidFill>
                </w14:textFill>
              </w:rPr>
              <w:t>|</w:t>
            </w:r>
            <w:r w:rsidR="007A5174" w:rsidRPr="007A5174">
              <w:rPr>
                <w:rFonts w:ascii="Arial Narrow" w:hAnsi="Arial Narrow"/>
                <w:sz w:val="20"/>
                <w:szCs w:val="20"/>
                <w:vertAlign w:val="superscript"/>
              </w:rPr>
              <w:t>2</w:t>
            </w:r>
          </w:p>
        </w:tc>
        <w:tc>
          <w:tcPr>
            <w:tcW w:w="834" w:type="dxa"/>
            <w:vAlign w:val="center"/>
          </w:tcPr>
          <w:p w14:paraId="5D4BA7A4" w14:textId="3AA808FA"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33"/>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33"/>
                <w14:textFill>
                  <w14:solidFill>
                    <w14:srgbClr w14:val="000000">
                      <w14:alpha w14:val="100000"/>
                    </w14:srgbClr>
                  </w14:solidFill>
                </w14:textFill>
              </w:rPr>
              <w:t>|</w:t>
            </w:r>
            <w:r w:rsidR="007A5174" w:rsidRPr="007A5174">
              <w:rPr>
                <w:rFonts w:ascii="Arial Narrow" w:hAnsi="Arial Narrow"/>
                <w:sz w:val="20"/>
                <w:szCs w:val="20"/>
                <w:vertAlign w:val="superscript"/>
              </w:rPr>
              <w:t>2</w:t>
            </w:r>
          </w:p>
        </w:tc>
      </w:tr>
      <w:tr w:rsidR="00F76FE3" w:rsidRPr="00006F36" w14:paraId="124E837F" w14:textId="77777777" w:rsidTr="00F76FE3">
        <w:trPr>
          <w:trHeight w:val="20"/>
        </w:trPr>
        <w:tc>
          <w:tcPr>
            <w:tcW w:w="4013" w:type="dxa"/>
          </w:tcPr>
          <w:p w14:paraId="3A6948F9" w14:textId="77777777" w:rsidR="00E62854" w:rsidRPr="00006F36" w:rsidRDefault="00E62854" w:rsidP="002F68C2">
            <w:pPr>
              <w:keepNext/>
              <w:keepLines/>
              <w:jc w:val="left"/>
              <w:rPr>
                <w:rFonts w:ascii="Arial Narrow" w:hAnsi="Arial Narrow"/>
                <w:sz w:val="20"/>
                <w:szCs w:val="20"/>
              </w:rPr>
            </w:pPr>
            <w:r w:rsidRPr="00006F36">
              <w:rPr>
                <w:rFonts w:ascii="Arial Narrow" w:hAnsi="Arial Narrow"/>
                <w:sz w:val="20"/>
                <w:szCs w:val="20"/>
              </w:rPr>
              <w:t>Estimated prevalence (per 100,000)</w:t>
            </w:r>
          </w:p>
        </w:tc>
        <w:tc>
          <w:tcPr>
            <w:tcW w:w="834" w:type="dxa"/>
            <w:vAlign w:val="center"/>
          </w:tcPr>
          <w:p w14:paraId="742153CB" w14:textId="77777777" w:rsidR="00E62854" w:rsidRPr="007A5174" w:rsidRDefault="00E62854" w:rsidP="002C204C">
            <w:pPr>
              <w:keepNext/>
              <w:keepLines/>
              <w:jc w:val="center"/>
              <w:rPr>
                <w:rFonts w:ascii="Arial Narrow" w:hAnsi="Arial Narrow"/>
                <w:sz w:val="20"/>
                <w:szCs w:val="20"/>
              </w:rPr>
            </w:pPr>
            <w:r w:rsidRPr="007A5174">
              <w:rPr>
                <w:rFonts w:ascii="Arial Narrow" w:hAnsi="Arial Narrow"/>
                <w:sz w:val="20"/>
                <w:szCs w:val="20"/>
              </w:rPr>
              <w:t>2.41</w:t>
            </w:r>
          </w:p>
        </w:tc>
        <w:tc>
          <w:tcPr>
            <w:tcW w:w="834" w:type="dxa"/>
            <w:vAlign w:val="center"/>
          </w:tcPr>
          <w:p w14:paraId="3D987CB2" w14:textId="77777777" w:rsidR="00E62854" w:rsidRPr="007A5174" w:rsidRDefault="00E62854" w:rsidP="002C204C">
            <w:pPr>
              <w:keepNext/>
              <w:keepLines/>
              <w:jc w:val="center"/>
              <w:rPr>
                <w:rFonts w:ascii="Arial Narrow" w:hAnsi="Arial Narrow"/>
                <w:sz w:val="20"/>
                <w:szCs w:val="20"/>
              </w:rPr>
            </w:pPr>
            <w:r w:rsidRPr="007A5174">
              <w:rPr>
                <w:rFonts w:ascii="Arial Narrow" w:hAnsi="Arial Narrow"/>
                <w:sz w:val="20"/>
                <w:szCs w:val="20"/>
              </w:rPr>
              <w:t>2.61</w:t>
            </w:r>
          </w:p>
        </w:tc>
        <w:tc>
          <w:tcPr>
            <w:tcW w:w="834" w:type="dxa"/>
            <w:vAlign w:val="center"/>
          </w:tcPr>
          <w:p w14:paraId="1DF48C83" w14:textId="77777777" w:rsidR="00E62854" w:rsidRPr="007A5174" w:rsidRDefault="00E62854" w:rsidP="002C204C">
            <w:pPr>
              <w:keepNext/>
              <w:keepLines/>
              <w:jc w:val="center"/>
              <w:rPr>
                <w:rFonts w:ascii="Arial Narrow" w:hAnsi="Arial Narrow"/>
                <w:sz w:val="20"/>
                <w:szCs w:val="20"/>
              </w:rPr>
            </w:pPr>
            <w:r w:rsidRPr="007A5174">
              <w:rPr>
                <w:rFonts w:ascii="Arial Narrow" w:hAnsi="Arial Narrow"/>
                <w:sz w:val="20"/>
                <w:szCs w:val="20"/>
              </w:rPr>
              <w:t>2.81</w:t>
            </w:r>
          </w:p>
        </w:tc>
        <w:tc>
          <w:tcPr>
            <w:tcW w:w="834" w:type="dxa"/>
            <w:vAlign w:val="center"/>
          </w:tcPr>
          <w:p w14:paraId="49BF3AE2" w14:textId="77777777" w:rsidR="00E62854" w:rsidRPr="007A5174" w:rsidRDefault="00E62854" w:rsidP="002C204C">
            <w:pPr>
              <w:keepNext/>
              <w:keepLines/>
              <w:jc w:val="center"/>
              <w:rPr>
                <w:rFonts w:ascii="Arial Narrow" w:hAnsi="Arial Narrow"/>
                <w:sz w:val="20"/>
                <w:szCs w:val="20"/>
              </w:rPr>
            </w:pPr>
            <w:r w:rsidRPr="007A5174">
              <w:rPr>
                <w:rFonts w:ascii="Arial Narrow" w:hAnsi="Arial Narrow"/>
                <w:sz w:val="20"/>
                <w:szCs w:val="20"/>
              </w:rPr>
              <w:t>3.00</w:t>
            </w:r>
          </w:p>
        </w:tc>
        <w:tc>
          <w:tcPr>
            <w:tcW w:w="834" w:type="dxa"/>
            <w:vAlign w:val="center"/>
          </w:tcPr>
          <w:p w14:paraId="4842B9E8" w14:textId="77777777" w:rsidR="00E62854" w:rsidRPr="007A5174" w:rsidRDefault="00E62854" w:rsidP="002C204C">
            <w:pPr>
              <w:keepNext/>
              <w:keepLines/>
              <w:jc w:val="center"/>
              <w:rPr>
                <w:rFonts w:ascii="Arial Narrow" w:hAnsi="Arial Narrow"/>
                <w:sz w:val="20"/>
                <w:szCs w:val="20"/>
              </w:rPr>
            </w:pPr>
            <w:r w:rsidRPr="007A5174">
              <w:rPr>
                <w:rFonts w:ascii="Arial Narrow" w:hAnsi="Arial Narrow"/>
                <w:sz w:val="20"/>
                <w:szCs w:val="20"/>
              </w:rPr>
              <w:t>3.18</w:t>
            </w:r>
          </w:p>
        </w:tc>
        <w:tc>
          <w:tcPr>
            <w:tcW w:w="834" w:type="dxa"/>
            <w:vAlign w:val="center"/>
          </w:tcPr>
          <w:p w14:paraId="42E2CFE6" w14:textId="77777777" w:rsidR="00E62854" w:rsidRPr="007A5174" w:rsidRDefault="00E62854" w:rsidP="002C204C">
            <w:pPr>
              <w:keepNext/>
              <w:keepLines/>
              <w:jc w:val="center"/>
              <w:rPr>
                <w:rFonts w:ascii="Arial Narrow" w:hAnsi="Arial Narrow"/>
                <w:sz w:val="20"/>
                <w:szCs w:val="20"/>
              </w:rPr>
            </w:pPr>
            <w:r w:rsidRPr="007A5174">
              <w:rPr>
                <w:rFonts w:ascii="Arial Narrow" w:hAnsi="Arial Narrow"/>
                <w:sz w:val="20"/>
                <w:szCs w:val="20"/>
              </w:rPr>
              <w:t>3.36</w:t>
            </w:r>
          </w:p>
        </w:tc>
      </w:tr>
      <w:tr w:rsidR="00F76FE3" w:rsidRPr="00006F36" w14:paraId="4EE37A5F" w14:textId="77777777" w:rsidTr="00F76FE3">
        <w:trPr>
          <w:trHeight w:val="20"/>
        </w:trPr>
        <w:tc>
          <w:tcPr>
            <w:tcW w:w="4013" w:type="dxa"/>
          </w:tcPr>
          <w:p w14:paraId="691769EA" w14:textId="77777777" w:rsidR="00E62854" w:rsidRPr="00006F36" w:rsidRDefault="00E62854" w:rsidP="002F68C2">
            <w:pPr>
              <w:keepNext/>
              <w:keepLines/>
              <w:jc w:val="left"/>
              <w:rPr>
                <w:rFonts w:ascii="Arial Narrow" w:hAnsi="Arial Narrow"/>
                <w:sz w:val="20"/>
                <w:szCs w:val="20"/>
                <w:vertAlign w:val="superscript"/>
              </w:rPr>
            </w:pPr>
            <w:r w:rsidRPr="00006F36">
              <w:rPr>
                <w:rFonts w:ascii="Arial Narrow" w:hAnsi="Arial Narrow"/>
                <w:sz w:val="20"/>
                <w:szCs w:val="20"/>
              </w:rPr>
              <w:t xml:space="preserve">New Fabry disease cases </w:t>
            </w:r>
            <w:r w:rsidRPr="00006F36">
              <w:rPr>
                <w:rFonts w:ascii="Arial Narrow" w:hAnsi="Arial Narrow"/>
                <w:sz w:val="20"/>
                <w:szCs w:val="20"/>
                <w:vertAlign w:val="superscript"/>
              </w:rPr>
              <w:t>a</w:t>
            </w:r>
          </w:p>
        </w:tc>
        <w:tc>
          <w:tcPr>
            <w:tcW w:w="834" w:type="dxa"/>
            <w:vAlign w:val="center"/>
          </w:tcPr>
          <w:p w14:paraId="42471A7D" w14:textId="19BB3101"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32"/>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32"/>
                <w14:textFill>
                  <w14:solidFill>
                    <w14:srgbClr w14:val="000000">
                      <w14:alpha w14:val="100000"/>
                    </w14:srgbClr>
                  </w14:solidFill>
                </w14:textFill>
              </w:rPr>
              <w:t>|</w:t>
            </w:r>
            <w:r w:rsidR="00365703" w:rsidRPr="00365703">
              <w:rPr>
                <w:rFonts w:ascii="Arial Narrow" w:hAnsi="Arial Narrow"/>
                <w:b/>
                <w:bCs/>
                <w:sz w:val="20"/>
                <w:szCs w:val="20"/>
                <w:vertAlign w:val="superscript"/>
              </w:rPr>
              <w:t>1</w:t>
            </w:r>
          </w:p>
        </w:tc>
        <w:tc>
          <w:tcPr>
            <w:tcW w:w="834" w:type="dxa"/>
            <w:vAlign w:val="center"/>
          </w:tcPr>
          <w:p w14:paraId="3CCFF724" w14:textId="6DDC427F"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48"/>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48"/>
                <w14:textFill>
                  <w14:solidFill>
                    <w14:srgbClr w14:val="000000">
                      <w14:alpha w14:val="100000"/>
                    </w14:srgbClr>
                  </w14:solidFill>
                </w14:textFill>
              </w:rPr>
              <w:t>|</w:t>
            </w:r>
            <w:r w:rsidR="00365703" w:rsidRPr="00365703">
              <w:rPr>
                <w:rFonts w:ascii="Arial Narrow" w:hAnsi="Arial Narrow"/>
                <w:b/>
                <w:bCs/>
                <w:sz w:val="20"/>
                <w:szCs w:val="20"/>
                <w:vertAlign w:val="superscript"/>
              </w:rPr>
              <w:t>1</w:t>
            </w:r>
          </w:p>
        </w:tc>
        <w:tc>
          <w:tcPr>
            <w:tcW w:w="834" w:type="dxa"/>
            <w:vAlign w:val="center"/>
          </w:tcPr>
          <w:p w14:paraId="1148EFBB" w14:textId="17E49F0D"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47"/>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47"/>
                <w14:textFill>
                  <w14:solidFill>
                    <w14:srgbClr w14:val="000000">
                      <w14:alpha w14:val="100000"/>
                    </w14:srgbClr>
                  </w14:solidFill>
                </w14:textFill>
              </w:rPr>
              <w:t>|</w:t>
            </w:r>
            <w:r w:rsidR="00365703" w:rsidRPr="00365703">
              <w:rPr>
                <w:rFonts w:ascii="Arial Narrow" w:hAnsi="Arial Narrow"/>
                <w:b/>
                <w:bCs/>
                <w:sz w:val="20"/>
                <w:szCs w:val="20"/>
                <w:vertAlign w:val="superscript"/>
              </w:rPr>
              <w:t>1</w:t>
            </w:r>
          </w:p>
        </w:tc>
        <w:tc>
          <w:tcPr>
            <w:tcW w:w="834" w:type="dxa"/>
            <w:vAlign w:val="center"/>
          </w:tcPr>
          <w:p w14:paraId="36218FA2" w14:textId="0840A11A"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46"/>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46"/>
                <w14:textFill>
                  <w14:solidFill>
                    <w14:srgbClr w14:val="000000">
                      <w14:alpha w14:val="100000"/>
                    </w14:srgbClr>
                  </w14:solidFill>
                </w14:textFill>
              </w:rPr>
              <w:t>|</w:t>
            </w:r>
            <w:r w:rsidR="00365703" w:rsidRPr="00365703">
              <w:rPr>
                <w:rFonts w:ascii="Arial Narrow" w:hAnsi="Arial Narrow"/>
                <w:b/>
                <w:bCs/>
                <w:sz w:val="20"/>
                <w:szCs w:val="20"/>
                <w:vertAlign w:val="superscript"/>
              </w:rPr>
              <w:t>1</w:t>
            </w:r>
          </w:p>
        </w:tc>
        <w:tc>
          <w:tcPr>
            <w:tcW w:w="834" w:type="dxa"/>
            <w:vAlign w:val="center"/>
          </w:tcPr>
          <w:p w14:paraId="40900441" w14:textId="2EEC81C9"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45"/>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45"/>
                <w14:textFill>
                  <w14:solidFill>
                    <w14:srgbClr w14:val="000000">
                      <w14:alpha w14:val="100000"/>
                    </w14:srgbClr>
                  </w14:solidFill>
                </w14:textFill>
              </w:rPr>
              <w:t>|</w:t>
            </w:r>
            <w:r w:rsidR="00365703" w:rsidRPr="00365703">
              <w:rPr>
                <w:rFonts w:ascii="Arial Narrow" w:hAnsi="Arial Narrow"/>
                <w:b/>
                <w:bCs/>
                <w:sz w:val="20"/>
                <w:szCs w:val="20"/>
                <w:vertAlign w:val="superscript"/>
              </w:rPr>
              <w:t>1</w:t>
            </w:r>
          </w:p>
        </w:tc>
        <w:tc>
          <w:tcPr>
            <w:tcW w:w="834" w:type="dxa"/>
            <w:vAlign w:val="center"/>
          </w:tcPr>
          <w:p w14:paraId="7000199C" w14:textId="03F862F8"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44"/>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44"/>
                <w14:textFill>
                  <w14:solidFill>
                    <w14:srgbClr w14:val="000000">
                      <w14:alpha w14:val="100000"/>
                    </w14:srgbClr>
                  </w14:solidFill>
                </w14:textFill>
              </w:rPr>
              <w:t>|</w:t>
            </w:r>
            <w:r w:rsidR="00365703" w:rsidRPr="00365703">
              <w:rPr>
                <w:rFonts w:ascii="Arial Narrow" w:hAnsi="Arial Narrow"/>
                <w:b/>
                <w:bCs/>
                <w:sz w:val="20"/>
                <w:szCs w:val="20"/>
                <w:vertAlign w:val="superscript"/>
              </w:rPr>
              <w:t>1</w:t>
            </w:r>
          </w:p>
        </w:tc>
      </w:tr>
      <w:tr w:rsidR="00F76FE3" w:rsidRPr="00006F36" w14:paraId="12482ED6" w14:textId="77777777" w:rsidTr="00F76FE3">
        <w:trPr>
          <w:trHeight w:val="20"/>
        </w:trPr>
        <w:tc>
          <w:tcPr>
            <w:tcW w:w="4013" w:type="dxa"/>
          </w:tcPr>
          <w:p w14:paraId="07DA5C5E" w14:textId="77777777" w:rsidR="00E62854" w:rsidRPr="00006F36" w:rsidRDefault="00E62854" w:rsidP="002F68C2">
            <w:pPr>
              <w:keepNext/>
              <w:keepLines/>
              <w:jc w:val="left"/>
              <w:rPr>
                <w:rFonts w:ascii="Arial Narrow" w:hAnsi="Arial Narrow"/>
                <w:sz w:val="20"/>
                <w:szCs w:val="20"/>
                <w:vertAlign w:val="superscript"/>
              </w:rPr>
            </w:pPr>
            <w:r w:rsidRPr="00006F36">
              <w:rPr>
                <w:rFonts w:ascii="Arial Narrow" w:hAnsi="Arial Narrow"/>
                <w:sz w:val="20"/>
                <w:szCs w:val="20"/>
              </w:rPr>
              <w:t xml:space="preserve">Estimated incidence (1 per X live births) </w:t>
            </w:r>
            <w:r w:rsidRPr="00006F36">
              <w:rPr>
                <w:rFonts w:ascii="Arial Narrow" w:hAnsi="Arial Narrow"/>
                <w:sz w:val="20"/>
                <w:szCs w:val="20"/>
                <w:vertAlign w:val="superscript"/>
              </w:rPr>
              <w:t>b</w:t>
            </w:r>
          </w:p>
        </w:tc>
        <w:tc>
          <w:tcPr>
            <w:tcW w:w="834" w:type="dxa"/>
            <w:vAlign w:val="center"/>
          </w:tcPr>
          <w:p w14:paraId="5F162B0F" w14:textId="34BC988D"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43"/>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43"/>
                <w14:textFill>
                  <w14:solidFill>
                    <w14:srgbClr w14:val="000000">
                      <w14:alpha w14:val="100000"/>
                    </w14:srgbClr>
                  </w14:solidFill>
                </w14:textFill>
              </w:rPr>
              <w:t>|</w:t>
            </w:r>
            <w:r w:rsidR="009005D3" w:rsidRPr="009005D3">
              <w:rPr>
                <w:rFonts w:ascii="Arial Narrow" w:hAnsi="Arial Narrow"/>
                <w:sz w:val="20"/>
                <w:szCs w:val="20"/>
                <w:vertAlign w:val="superscript"/>
              </w:rPr>
              <w:t>3</w:t>
            </w:r>
          </w:p>
        </w:tc>
        <w:tc>
          <w:tcPr>
            <w:tcW w:w="834" w:type="dxa"/>
            <w:vAlign w:val="center"/>
          </w:tcPr>
          <w:p w14:paraId="707EBF07" w14:textId="10F8837B"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42"/>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42"/>
                <w14:textFill>
                  <w14:solidFill>
                    <w14:srgbClr w14:val="000000">
                      <w14:alpha w14:val="100000"/>
                    </w14:srgbClr>
                  </w14:solidFill>
                </w14:textFill>
              </w:rPr>
              <w:t>|</w:t>
            </w:r>
            <w:r w:rsidR="009005D3" w:rsidRPr="009005D3">
              <w:rPr>
                <w:rFonts w:ascii="Arial Narrow" w:hAnsi="Arial Narrow"/>
                <w:sz w:val="20"/>
                <w:szCs w:val="20"/>
                <w:vertAlign w:val="superscript"/>
              </w:rPr>
              <w:t>2</w:t>
            </w:r>
          </w:p>
        </w:tc>
        <w:tc>
          <w:tcPr>
            <w:tcW w:w="834" w:type="dxa"/>
            <w:vAlign w:val="center"/>
          </w:tcPr>
          <w:p w14:paraId="497374EA" w14:textId="23879599"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41"/>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41"/>
                <w14:textFill>
                  <w14:solidFill>
                    <w14:srgbClr w14:val="000000">
                      <w14:alpha w14:val="100000"/>
                    </w14:srgbClr>
                  </w14:solidFill>
                </w14:textFill>
              </w:rPr>
              <w:t>|</w:t>
            </w:r>
            <w:r w:rsidR="009005D3" w:rsidRPr="009005D3">
              <w:rPr>
                <w:rFonts w:ascii="Arial Narrow" w:hAnsi="Arial Narrow"/>
                <w:sz w:val="20"/>
                <w:szCs w:val="20"/>
                <w:vertAlign w:val="superscript"/>
              </w:rPr>
              <w:t>2</w:t>
            </w:r>
          </w:p>
        </w:tc>
        <w:tc>
          <w:tcPr>
            <w:tcW w:w="834" w:type="dxa"/>
            <w:vAlign w:val="center"/>
          </w:tcPr>
          <w:p w14:paraId="6D591B22" w14:textId="793065BB"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40"/>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40"/>
                <w14:textFill>
                  <w14:solidFill>
                    <w14:srgbClr w14:val="000000">
                      <w14:alpha w14:val="100000"/>
                    </w14:srgbClr>
                  </w14:solidFill>
                </w14:textFill>
              </w:rPr>
              <w:t>|</w:t>
            </w:r>
            <w:r w:rsidR="009005D3" w:rsidRPr="009005D3">
              <w:rPr>
                <w:rFonts w:ascii="Arial Narrow" w:hAnsi="Arial Narrow"/>
                <w:sz w:val="20"/>
                <w:szCs w:val="20"/>
                <w:vertAlign w:val="superscript"/>
              </w:rPr>
              <w:t>3</w:t>
            </w:r>
          </w:p>
        </w:tc>
        <w:tc>
          <w:tcPr>
            <w:tcW w:w="834" w:type="dxa"/>
            <w:vAlign w:val="center"/>
          </w:tcPr>
          <w:p w14:paraId="0E72D74C" w14:textId="4FC46C63"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39"/>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39"/>
                <w14:textFill>
                  <w14:solidFill>
                    <w14:srgbClr w14:val="000000">
                      <w14:alpha w14:val="100000"/>
                    </w14:srgbClr>
                  </w14:solidFill>
                </w14:textFill>
              </w:rPr>
              <w:t>|</w:t>
            </w:r>
            <w:r w:rsidR="009005D3" w:rsidRPr="009005D3">
              <w:rPr>
                <w:rFonts w:ascii="Arial Narrow" w:hAnsi="Arial Narrow"/>
                <w:sz w:val="20"/>
                <w:szCs w:val="20"/>
                <w:vertAlign w:val="superscript"/>
              </w:rPr>
              <w:t>3</w:t>
            </w:r>
          </w:p>
        </w:tc>
        <w:tc>
          <w:tcPr>
            <w:tcW w:w="834" w:type="dxa"/>
            <w:vAlign w:val="center"/>
          </w:tcPr>
          <w:p w14:paraId="66BA4078" w14:textId="4B0124B3"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38"/>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38"/>
                <w14:textFill>
                  <w14:solidFill>
                    <w14:srgbClr w14:val="000000">
                      <w14:alpha w14:val="100000"/>
                    </w14:srgbClr>
                  </w14:solidFill>
                </w14:textFill>
              </w:rPr>
              <w:t>|</w:t>
            </w:r>
            <w:r w:rsidR="009005D3" w:rsidRPr="009005D3">
              <w:rPr>
                <w:rFonts w:ascii="Arial Narrow" w:hAnsi="Arial Narrow"/>
                <w:sz w:val="20"/>
                <w:szCs w:val="20"/>
                <w:vertAlign w:val="superscript"/>
              </w:rPr>
              <w:t>3</w:t>
            </w:r>
          </w:p>
        </w:tc>
      </w:tr>
      <w:tr w:rsidR="00F76FE3" w:rsidRPr="00006F36" w14:paraId="671134B2" w14:textId="77777777" w:rsidTr="00F76FE3">
        <w:trPr>
          <w:trHeight w:val="20"/>
        </w:trPr>
        <w:tc>
          <w:tcPr>
            <w:tcW w:w="4013" w:type="dxa"/>
          </w:tcPr>
          <w:p w14:paraId="76398927" w14:textId="4AFCEB2F" w:rsidR="00E62854" w:rsidRPr="00006F36" w:rsidRDefault="00E62854" w:rsidP="002F68C2">
            <w:pPr>
              <w:keepNext/>
              <w:keepLines/>
              <w:jc w:val="left"/>
              <w:rPr>
                <w:rFonts w:ascii="Arial Narrow" w:hAnsi="Arial Narrow"/>
                <w:sz w:val="20"/>
                <w:szCs w:val="20"/>
              </w:rPr>
            </w:pPr>
            <w:r w:rsidRPr="00006F36">
              <w:rPr>
                <w:rFonts w:ascii="Arial Narrow" w:hAnsi="Arial Narrow"/>
                <w:sz w:val="20"/>
                <w:szCs w:val="20"/>
              </w:rPr>
              <w:t>Classical males</w:t>
            </w:r>
            <w:r w:rsidR="00D12810">
              <w:rPr>
                <w:rFonts w:ascii="Arial Narrow" w:hAnsi="Arial Narrow"/>
                <w:sz w:val="20"/>
                <w:szCs w:val="20"/>
              </w:rPr>
              <w:t xml:space="preserve"> </w:t>
            </w:r>
          </w:p>
        </w:tc>
        <w:tc>
          <w:tcPr>
            <w:tcW w:w="834" w:type="dxa"/>
            <w:vAlign w:val="center"/>
          </w:tcPr>
          <w:p w14:paraId="184F8CF7" w14:textId="7A48B8D9"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37"/>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37"/>
                <w14:textFill>
                  <w14:solidFill>
                    <w14:srgbClr w14:val="000000">
                      <w14:alpha w14:val="100000"/>
                    </w14:srgbClr>
                  </w14:solidFill>
                </w14:textFill>
              </w:rPr>
              <w:t>|</w:t>
            </w:r>
            <w:r w:rsidR="00365703" w:rsidRPr="00365703">
              <w:rPr>
                <w:rFonts w:ascii="Arial Narrow" w:hAnsi="Arial Narrow"/>
                <w:b/>
                <w:bCs/>
                <w:sz w:val="20"/>
                <w:szCs w:val="20"/>
                <w:vertAlign w:val="superscript"/>
              </w:rPr>
              <w:t>1</w:t>
            </w:r>
          </w:p>
        </w:tc>
        <w:tc>
          <w:tcPr>
            <w:tcW w:w="834" w:type="dxa"/>
            <w:vAlign w:val="center"/>
          </w:tcPr>
          <w:p w14:paraId="3EDF9382" w14:textId="31A77004"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36"/>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36"/>
                <w14:textFill>
                  <w14:solidFill>
                    <w14:srgbClr w14:val="000000">
                      <w14:alpha w14:val="100000"/>
                    </w14:srgbClr>
                  </w14:solidFill>
                </w14:textFill>
              </w:rPr>
              <w:t>|</w:t>
            </w:r>
            <w:r w:rsidR="00365703" w:rsidRPr="00365703">
              <w:rPr>
                <w:rFonts w:ascii="Arial Narrow" w:hAnsi="Arial Narrow"/>
                <w:b/>
                <w:bCs/>
                <w:sz w:val="20"/>
                <w:szCs w:val="20"/>
                <w:vertAlign w:val="superscript"/>
              </w:rPr>
              <w:t>1</w:t>
            </w:r>
          </w:p>
        </w:tc>
        <w:tc>
          <w:tcPr>
            <w:tcW w:w="834" w:type="dxa"/>
            <w:vAlign w:val="center"/>
          </w:tcPr>
          <w:p w14:paraId="222AA969" w14:textId="0AD961B5"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35"/>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35"/>
                <w14:textFill>
                  <w14:solidFill>
                    <w14:srgbClr w14:val="000000">
                      <w14:alpha w14:val="100000"/>
                    </w14:srgbClr>
                  </w14:solidFill>
                </w14:textFill>
              </w:rPr>
              <w:t>|</w:t>
            </w:r>
            <w:r w:rsidR="00365703" w:rsidRPr="00365703">
              <w:rPr>
                <w:rFonts w:ascii="Arial Narrow" w:hAnsi="Arial Narrow"/>
                <w:b/>
                <w:bCs/>
                <w:sz w:val="20"/>
                <w:szCs w:val="20"/>
                <w:vertAlign w:val="superscript"/>
              </w:rPr>
              <w:t>1</w:t>
            </w:r>
          </w:p>
        </w:tc>
        <w:tc>
          <w:tcPr>
            <w:tcW w:w="834" w:type="dxa"/>
            <w:vAlign w:val="center"/>
          </w:tcPr>
          <w:p w14:paraId="59B1EA0C" w14:textId="2BB8B87E"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34"/>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34"/>
                <w14:textFill>
                  <w14:solidFill>
                    <w14:srgbClr w14:val="000000">
                      <w14:alpha w14:val="100000"/>
                    </w14:srgbClr>
                  </w14:solidFill>
                </w14:textFill>
              </w:rPr>
              <w:t>|</w:t>
            </w:r>
            <w:r w:rsidR="00365703" w:rsidRPr="00365703">
              <w:rPr>
                <w:rFonts w:ascii="Arial Narrow" w:hAnsi="Arial Narrow"/>
                <w:b/>
                <w:bCs/>
                <w:sz w:val="20"/>
                <w:szCs w:val="20"/>
                <w:vertAlign w:val="superscript"/>
              </w:rPr>
              <w:t>1</w:t>
            </w:r>
          </w:p>
        </w:tc>
        <w:tc>
          <w:tcPr>
            <w:tcW w:w="834" w:type="dxa"/>
            <w:vAlign w:val="center"/>
          </w:tcPr>
          <w:p w14:paraId="196CC473" w14:textId="23105862"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33"/>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33"/>
                <w14:textFill>
                  <w14:solidFill>
                    <w14:srgbClr w14:val="000000">
                      <w14:alpha w14:val="100000"/>
                    </w14:srgbClr>
                  </w14:solidFill>
                </w14:textFill>
              </w:rPr>
              <w:t>|</w:t>
            </w:r>
            <w:r w:rsidR="00365703" w:rsidRPr="00365703">
              <w:rPr>
                <w:rFonts w:ascii="Arial Narrow" w:hAnsi="Arial Narrow"/>
                <w:b/>
                <w:bCs/>
                <w:sz w:val="20"/>
                <w:szCs w:val="20"/>
                <w:vertAlign w:val="superscript"/>
              </w:rPr>
              <w:t>1</w:t>
            </w:r>
          </w:p>
        </w:tc>
        <w:tc>
          <w:tcPr>
            <w:tcW w:w="834" w:type="dxa"/>
            <w:vAlign w:val="center"/>
          </w:tcPr>
          <w:p w14:paraId="7CB92D71" w14:textId="66E1B04C"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32"/>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32"/>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r>
      <w:tr w:rsidR="00F76FE3" w:rsidRPr="00006F36" w14:paraId="11E21DEB" w14:textId="77777777" w:rsidTr="00F76FE3">
        <w:trPr>
          <w:trHeight w:val="20"/>
        </w:trPr>
        <w:tc>
          <w:tcPr>
            <w:tcW w:w="4013" w:type="dxa"/>
          </w:tcPr>
          <w:p w14:paraId="1A1F7931" w14:textId="77777777" w:rsidR="00E62854" w:rsidRPr="00006F36" w:rsidRDefault="00E62854" w:rsidP="002F68C2">
            <w:pPr>
              <w:keepNext/>
              <w:keepLines/>
              <w:jc w:val="left"/>
              <w:rPr>
                <w:rFonts w:ascii="Arial Narrow" w:hAnsi="Arial Narrow"/>
                <w:sz w:val="20"/>
                <w:szCs w:val="20"/>
              </w:rPr>
            </w:pPr>
            <w:r w:rsidRPr="00006F36">
              <w:rPr>
                <w:rFonts w:ascii="Arial Narrow" w:hAnsi="Arial Narrow"/>
                <w:sz w:val="20"/>
                <w:szCs w:val="20"/>
              </w:rPr>
              <w:t>Classical females</w:t>
            </w:r>
          </w:p>
        </w:tc>
        <w:tc>
          <w:tcPr>
            <w:tcW w:w="834" w:type="dxa"/>
            <w:vAlign w:val="center"/>
          </w:tcPr>
          <w:p w14:paraId="44790F30" w14:textId="3DF68177"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48"/>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48"/>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73487BBA" w14:textId="4DF6CD54"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47"/>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47"/>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3EBF7FDD" w14:textId="3EBFCF67"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46"/>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46"/>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53990D56" w14:textId="11847014"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45"/>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45"/>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31A18418" w14:textId="16E39464"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44"/>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44"/>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1C555D1F" w14:textId="20DFEA0D"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43"/>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43"/>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r>
      <w:tr w:rsidR="00F76FE3" w:rsidRPr="00006F36" w14:paraId="3CF26C57" w14:textId="77777777" w:rsidTr="00F76FE3">
        <w:trPr>
          <w:trHeight w:val="20"/>
        </w:trPr>
        <w:tc>
          <w:tcPr>
            <w:tcW w:w="4013" w:type="dxa"/>
          </w:tcPr>
          <w:p w14:paraId="2AA287EE" w14:textId="77777777" w:rsidR="00E62854" w:rsidRPr="00006F36" w:rsidRDefault="00E62854" w:rsidP="002F68C2">
            <w:pPr>
              <w:keepNext/>
              <w:keepLines/>
              <w:jc w:val="left"/>
              <w:rPr>
                <w:rFonts w:ascii="Arial Narrow" w:hAnsi="Arial Narrow"/>
                <w:sz w:val="20"/>
                <w:szCs w:val="20"/>
              </w:rPr>
            </w:pPr>
            <w:r w:rsidRPr="00006F36">
              <w:rPr>
                <w:rFonts w:ascii="Arial Narrow" w:hAnsi="Arial Narrow"/>
                <w:sz w:val="20"/>
                <w:szCs w:val="20"/>
              </w:rPr>
              <w:t xml:space="preserve">Eligible classical males </w:t>
            </w:r>
            <w:r w:rsidRPr="00006F36">
              <w:rPr>
                <w:rFonts w:ascii="Arial Narrow" w:hAnsi="Arial Narrow"/>
                <w:sz w:val="20"/>
                <w:szCs w:val="20"/>
                <w:vertAlign w:val="superscript"/>
              </w:rPr>
              <w:t>c</w:t>
            </w:r>
          </w:p>
        </w:tc>
        <w:tc>
          <w:tcPr>
            <w:tcW w:w="834" w:type="dxa"/>
            <w:vAlign w:val="center"/>
          </w:tcPr>
          <w:p w14:paraId="38457AD8" w14:textId="36D0719A"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s="Calibri"/>
                <w:color w:val="000000"/>
                <w:spacing w:val="177"/>
                <w:sz w:val="20"/>
                <w:szCs w:val="20"/>
                <w:shd w:val="solid" w:color="000000" w:fill="000000"/>
                <w:fitText w:val="263" w:id="-961870842"/>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42"/>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5C8691F3" w14:textId="672D6058"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s="Calibri"/>
                <w:color w:val="000000"/>
                <w:spacing w:val="177"/>
                <w:sz w:val="20"/>
                <w:szCs w:val="20"/>
                <w:shd w:val="solid" w:color="000000" w:fill="000000"/>
                <w:fitText w:val="263" w:id="-961870841"/>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41"/>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3199FD2E" w14:textId="7410A22A"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s="Calibri"/>
                <w:color w:val="000000"/>
                <w:spacing w:val="177"/>
                <w:sz w:val="20"/>
                <w:szCs w:val="20"/>
                <w:shd w:val="solid" w:color="000000" w:fill="000000"/>
                <w:fitText w:val="263" w:id="-961870840"/>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40"/>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7B92A8BF" w14:textId="3D9682FF"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s="Calibri"/>
                <w:color w:val="000000"/>
                <w:spacing w:val="177"/>
                <w:sz w:val="20"/>
                <w:szCs w:val="20"/>
                <w:shd w:val="solid" w:color="000000" w:fill="000000"/>
                <w:fitText w:val="263" w:id="-961870839"/>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39"/>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44609BD3" w14:textId="762203C3"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s="Calibri"/>
                <w:color w:val="000000"/>
                <w:spacing w:val="177"/>
                <w:sz w:val="20"/>
                <w:szCs w:val="20"/>
                <w:shd w:val="solid" w:color="000000" w:fill="000000"/>
                <w:fitText w:val="263" w:id="-961870838"/>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38"/>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4946D1FB" w14:textId="6A556C9B"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s="Calibri"/>
                <w:color w:val="000000"/>
                <w:spacing w:val="177"/>
                <w:sz w:val="20"/>
                <w:szCs w:val="20"/>
                <w:shd w:val="solid" w:color="000000" w:fill="000000"/>
                <w:fitText w:val="263" w:id="-961870837"/>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37"/>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r>
      <w:tr w:rsidR="00F76FE3" w:rsidRPr="00006F36" w14:paraId="573E5FC1" w14:textId="77777777" w:rsidTr="00F76FE3">
        <w:trPr>
          <w:trHeight w:val="20"/>
        </w:trPr>
        <w:tc>
          <w:tcPr>
            <w:tcW w:w="4013" w:type="dxa"/>
          </w:tcPr>
          <w:p w14:paraId="3B331D7F" w14:textId="77777777" w:rsidR="00E62854" w:rsidRPr="00006F36" w:rsidRDefault="00E62854" w:rsidP="002F68C2">
            <w:pPr>
              <w:keepNext/>
              <w:keepLines/>
              <w:jc w:val="left"/>
              <w:rPr>
                <w:rFonts w:ascii="Arial Narrow" w:hAnsi="Arial Narrow"/>
                <w:sz w:val="20"/>
                <w:szCs w:val="20"/>
              </w:rPr>
            </w:pPr>
            <w:r w:rsidRPr="00006F36">
              <w:rPr>
                <w:rFonts w:ascii="Arial Narrow" w:hAnsi="Arial Narrow"/>
                <w:sz w:val="20"/>
                <w:szCs w:val="20"/>
              </w:rPr>
              <w:t xml:space="preserve">Eligible classical females </w:t>
            </w:r>
            <w:r w:rsidRPr="00006F36">
              <w:rPr>
                <w:rFonts w:ascii="Arial Narrow" w:hAnsi="Arial Narrow"/>
                <w:sz w:val="20"/>
                <w:szCs w:val="20"/>
                <w:vertAlign w:val="superscript"/>
              </w:rPr>
              <w:t>d</w:t>
            </w:r>
          </w:p>
        </w:tc>
        <w:tc>
          <w:tcPr>
            <w:tcW w:w="834" w:type="dxa"/>
            <w:vAlign w:val="center"/>
          </w:tcPr>
          <w:p w14:paraId="32FF6D73" w14:textId="7D4E9BC8"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s="Calibri"/>
                <w:color w:val="000000"/>
                <w:spacing w:val="177"/>
                <w:sz w:val="20"/>
                <w:szCs w:val="20"/>
                <w:shd w:val="solid" w:color="000000" w:fill="000000"/>
                <w:fitText w:val="263" w:id="-961870836"/>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36"/>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0C16A63A" w14:textId="4DC6D691"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s="Calibri"/>
                <w:color w:val="000000"/>
                <w:spacing w:val="177"/>
                <w:sz w:val="20"/>
                <w:szCs w:val="20"/>
                <w:shd w:val="solid" w:color="000000" w:fill="000000"/>
                <w:fitText w:val="263" w:id="-961870835"/>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35"/>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5BF3C38E" w14:textId="3A53E996"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s="Calibri"/>
                <w:color w:val="000000"/>
                <w:spacing w:val="177"/>
                <w:sz w:val="20"/>
                <w:szCs w:val="20"/>
                <w:shd w:val="solid" w:color="000000" w:fill="000000"/>
                <w:fitText w:val="263" w:id="-961870834"/>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34"/>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31A1F92D" w14:textId="636C200F"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s="Calibri"/>
                <w:color w:val="000000"/>
                <w:spacing w:val="177"/>
                <w:sz w:val="20"/>
                <w:szCs w:val="20"/>
                <w:shd w:val="solid" w:color="000000" w:fill="000000"/>
                <w:fitText w:val="263" w:id="-961870833"/>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33"/>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2DE0FDFA" w14:textId="5ADB2718"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s="Calibri"/>
                <w:color w:val="000000"/>
                <w:spacing w:val="177"/>
                <w:sz w:val="20"/>
                <w:szCs w:val="20"/>
                <w:shd w:val="solid" w:color="000000" w:fill="000000"/>
                <w:fitText w:val="263" w:id="-961870832"/>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32"/>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2B7C365D" w14:textId="71770418"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s="Calibri"/>
                <w:color w:val="000000"/>
                <w:spacing w:val="177"/>
                <w:sz w:val="20"/>
                <w:szCs w:val="20"/>
                <w:shd w:val="solid" w:color="000000" w:fill="000000"/>
                <w:fitText w:val="263" w:id="-961870848"/>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48"/>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r>
      <w:tr w:rsidR="00F76FE3" w:rsidRPr="00006F36" w14:paraId="5FB12793" w14:textId="77777777" w:rsidTr="00F76FE3">
        <w:trPr>
          <w:trHeight w:val="20"/>
        </w:trPr>
        <w:tc>
          <w:tcPr>
            <w:tcW w:w="4013" w:type="dxa"/>
          </w:tcPr>
          <w:p w14:paraId="0EEC6461" w14:textId="77777777" w:rsidR="00E62854" w:rsidRPr="00006F36" w:rsidRDefault="00E62854" w:rsidP="002F68C2">
            <w:pPr>
              <w:keepNext/>
              <w:keepLines/>
              <w:jc w:val="left"/>
              <w:rPr>
                <w:rFonts w:ascii="Arial Narrow" w:hAnsi="Arial Narrow"/>
                <w:sz w:val="20"/>
                <w:szCs w:val="20"/>
              </w:rPr>
            </w:pPr>
            <w:r w:rsidRPr="00006F36">
              <w:rPr>
                <w:rFonts w:ascii="Arial Narrow" w:hAnsi="Arial Narrow"/>
                <w:sz w:val="20"/>
                <w:szCs w:val="20"/>
              </w:rPr>
              <w:t>Total eligible for migalastat early treatment</w:t>
            </w:r>
          </w:p>
        </w:tc>
        <w:tc>
          <w:tcPr>
            <w:tcW w:w="834" w:type="dxa"/>
            <w:vAlign w:val="center"/>
          </w:tcPr>
          <w:p w14:paraId="1DD39AFB" w14:textId="1CD9E3DD"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s="Calibri"/>
                <w:color w:val="000000"/>
                <w:spacing w:val="177"/>
                <w:sz w:val="20"/>
                <w:szCs w:val="20"/>
                <w:shd w:val="solid" w:color="000000" w:fill="000000"/>
                <w:fitText w:val="263" w:id="-961870847"/>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47"/>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59ED5C6F" w14:textId="3F690663"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s="Calibri"/>
                <w:color w:val="000000"/>
                <w:spacing w:val="177"/>
                <w:sz w:val="20"/>
                <w:szCs w:val="20"/>
                <w:shd w:val="solid" w:color="000000" w:fill="000000"/>
                <w:fitText w:val="263" w:id="-961870846"/>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46"/>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01FFF295" w14:textId="64DFF1F4"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s="Calibri"/>
                <w:color w:val="000000"/>
                <w:spacing w:val="177"/>
                <w:sz w:val="20"/>
                <w:szCs w:val="20"/>
                <w:shd w:val="solid" w:color="000000" w:fill="000000"/>
                <w:fitText w:val="263" w:id="-961870845"/>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45"/>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5309F2F4" w14:textId="7D76825B"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s="Calibri"/>
                <w:color w:val="000000"/>
                <w:spacing w:val="177"/>
                <w:sz w:val="20"/>
                <w:szCs w:val="20"/>
                <w:shd w:val="solid" w:color="000000" w:fill="000000"/>
                <w:fitText w:val="263" w:id="-961870844"/>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44"/>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3FBA56A8" w14:textId="42716F78"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s="Calibri"/>
                <w:color w:val="000000"/>
                <w:spacing w:val="177"/>
                <w:sz w:val="20"/>
                <w:szCs w:val="20"/>
                <w:shd w:val="solid" w:color="000000" w:fill="000000"/>
                <w:fitText w:val="263" w:id="-961870843"/>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43"/>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6A9B379B" w14:textId="67F4A4DC"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s="Calibri"/>
                <w:color w:val="000000"/>
                <w:spacing w:val="177"/>
                <w:sz w:val="20"/>
                <w:szCs w:val="20"/>
                <w:shd w:val="solid" w:color="000000" w:fill="000000"/>
                <w:fitText w:val="263" w:id="-961870842"/>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42"/>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r>
      <w:tr w:rsidR="00F76FE3" w:rsidRPr="00006F36" w14:paraId="5742B782" w14:textId="77777777" w:rsidTr="00F76FE3">
        <w:trPr>
          <w:trHeight w:val="20"/>
        </w:trPr>
        <w:tc>
          <w:tcPr>
            <w:tcW w:w="4013" w:type="dxa"/>
          </w:tcPr>
          <w:p w14:paraId="2A480C51" w14:textId="77777777" w:rsidR="00E62854" w:rsidRPr="00006F36" w:rsidRDefault="00E62854" w:rsidP="002F68C2">
            <w:pPr>
              <w:keepNext/>
              <w:keepLines/>
              <w:jc w:val="left"/>
              <w:rPr>
                <w:rFonts w:ascii="Arial Narrow" w:hAnsi="Arial Narrow"/>
                <w:sz w:val="20"/>
                <w:szCs w:val="20"/>
                <w:vertAlign w:val="superscript"/>
              </w:rPr>
            </w:pPr>
            <w:r w:rsidRPr="00006F36">
              <w:rPr>
                <w:rFonts w:ascii="Arial Narrow" w:hAnsi="Arial Narrow"/>
                <w:sz w:val="20"/>
                <w:szCs w:val="20"/>
              </w:rPr>
              <w:t xml:space="preserve">Total classical patients electing early treatment </w:t>
            </w:r>
            <w:r w:rsidRPr="00006F36">
              <w:rPr>
                <w:rFonts w:ascii="Arial Narrow" w:hAnsi="Arial Narrow"/>
                <w:sz w:val="20"/>
                <w:szCs w:val="20"/>
                <w:vertAlign w:val="superscript"/>
              </w:rPr>
              <w:t>e</w:t>
            </w:r>
          </w:p>
        </w:tc>
        <w:tc>
          <w:tcPr>
            <w:tcW w:w="834" w:type="dxa"/>
            <w:vAlign w:val="center"/>
          </w:tcPr>
          <w:p w14:paraId="290D5811" w14:textId="66106713"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s="Calibri"/>
                <w:color w:val="000000"/>
                <w:spacing w:val="177"/>
                <w:sz w:val="20"/>
                <w:szCs w:val="20"/>
                <w:shd w:val="solid" w:color="000000" w:fill="000000"/>
                <w:fitText w:val="263" w:id="-961870841"/>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41"/>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7FF85971" w14:textId="04A1FC6E"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s="Calibri"/>
                <w:color w:val="000000"/>
                <w:spacing w:val="177"/>
                <w:sz w:val="20"/>
                <w:szCs w:val="20"/>
                <w:shd w:val="solid" w:color="000000" w:fill="000000"/>
                <w:fitText w:val="263" w:id="-961870840"/>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40"/>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758C3903" w14:textId="21BB0153"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s="Calibri"/>
                <w:color w:val="000000"/>
                <w:spacing w:val="177"/>
                <w:sz w:val="20"/>
                <w:szCs w:val="20"/>
                <w:shd w:val="solid" w:color="000000" w:fill="000000"/>
                <w:fitText w:val="263" w:id="-961870839"/>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39"/>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1F7416C3" w14:textId="2E087753"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s="Calibri"/>
                <w:color w:val="000000"/>
                <w:spacing w:val="177"/>
                <w:sz w:val="20"/>
                <w:szCs w:val="20"/>
                <w:shd w:val="solid" w:color="000000" w:fill="000000"/>
                <w:fitText w:val="263" w:id="-961870838"/>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38"/>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4399F541" w14:textId="05BEC519"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s="Calibri"/>
                <w:color w:val="000000"/>
                <w:spacing w:val="177"/>
                <w:sz w:val="20"/>
                <w:szCs w:val="20"/>
                <w:shd w:val="solid" w:color="000000" w:fill="000000"/>
                <w:fitText w:val="263" w:id="-961870837"/>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37"/>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0462A438" w14:textId="1581757E"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s="Calibri"/>
                <w:color w:val="000000"/>
                <w:spacing w:val="177"/>
                <w:sz w:val="20"/>
                <w:szCs w:val="20"/>
                <w:shd w:val="solid" w:color="000000" w:fill="000000"/>
                <w:fitText w:val="263" w:id="-961870836"/>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36"/>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r>
      <w:tr w:rsidR="00F76FE3" w:rsidRPr="00006F36" w14:paraId="12900BF5" w14:textId="77777777" w:rsidTr="00F76FE3">
        <w:trPr>
          <w:trHeight w:val="20"/>
        </w:trPr>
        <w:tc>
          <w:tcPr>
            <w:tcW w:w="4013" w:type="dxa"/>
          </w:tcPr>
          <w:p w14:paraId="3586D4C9" w14:textId="77777777" w:rsidR="00E62854" w:rsidRPr="00006F36" w:rsidRDefault="00E62854" w:rsidP="002F68C2">
            <w:pPr>
              <w:keepNext/>
              <w:keepLines/>
              <w:jc w:val="left"/>
              <w:rPr>
                <w:rFonts w:ascii="Arial Narrow" w:hAnsi="Arial Narrow"/>
                <w:sz w:val="20"/>
                <w:szCs w:val="20"/>
              </w:rPr>
            </w:pPr>
            <w:r w:rsidRPr="00006F36">
              <w:rPr>
                <w:rFonts w:ascii="Arial Narrow" w:hAnsi="Arial Narrow"/>
                <w:sz w:val="20"/>
                <w:szCs w:val="20"/>
              </w:rPr>
              <w:t xml:space="preserve">Projected migalastat uptake for early treatment in classical patients </w:t>
            </w:r>
            <w:r w:rsidRPr="00006F36">
              <w:rPr>
                <w:rFonts w:ascii="Arial Narrow" w:hAnsi="Arial Narrow"/>
                <w:sz w:val="20"/>
                <w:szCs w:val="20"/>
                <w:vertAlign w:val="superscript"/>
              </w:rPr>
              <w:t>f</w:t>
            </w:r>
          </w:p>
        </w:tc>
        <w:tc>
          <w:tcPr>
            <w:tcW w:w="834" w:type="dxa"/>
            <w:vAlign w:val="center"/>
          </w:tcPr>
          <w:p w14:paraId="109E05B4" w14:textId="043CE1CA"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35"/>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35"/>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194D8656" w14:textId="7FC84655"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34"/>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34"/>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4E2750B5" w14:textId="760D9182"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33"/>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33"/>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555003D3" w14:textId="52D94EC5"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32"/>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32"/>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79AF87D8" w14:textId="7AD5AA7A"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48"/>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48"/>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5DFB73A3" w14:textId="0F295CCB" w:rsidR="00E62854" w:rsidRPr="00365703" w:rsidRDefault="00494449" w:rsidP="002C204C">
            <w:pPr>
              <w:keepNext/>
              <w:keepLines/>
              <w:jc w:val="center"/>
              <w:rPr>
                <w:rFonts w:ascii="Arial Narrow" w:hAnsi="Arial Narrow"/>
                <w:sz w:val="20"/>
                <w:szCs w:val="20"/>
                <w:highlight w:val="lightGray"/>
              </w:rPr>
            </w:pPr>
            <w:r w:rsidRPr="00494449">
              <w:rPr>
                <w:rFonts w:ascii="Arial Narrow" w:hAnsi="Arial Narrow"/>
                <w:color w:val="000000"/>
                <w:spacing w:val="177"/>
                <w:sz w:val="20"/>
                <w:szCs w:val="20"/>
                <w:shd w:val="solid" w:color="000000" w:fill="000000"/>
                <w:fitText w:val="263" w:id="-961870847"/>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263" w:id="-961870847"/>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r>
      <w:tr w:rsidR="00F76FE3" w:rsidRPr="00006F36" w14:paraId="113448E5" w14:textId="77777777" w:rsidTr="00F76FE3">
        <w:trPr>
          <w:trHeight w:val="20"/>
        </w:trPr>
        <w:tc>
          <w:tcPr>
            <w:tcW w:w="4013" w:type="dxa"/>
          </w:tcPr>
          <w:p w14:paraId="3B278461" w14:textId="77777777" w:rsidR="00E62854" w:rsidRPr="00006F36" w:rsidRDefault="00E62854" w:rsidP="002F68C2">
            <w:pPr>
              <w:keepNext/>
              <w:keepLines/>
              <w:jc w:val="left"/>
              <w:rPr>
                <w:rFonts w:ascii="Arial Narrow" w:hAnsi="Arial Narrow"/>
                <w:b/>
                <w:bCs/>
                <w:sz w:val="20"/>
                <w:szCs w:val="20"/>
              </w:rPr>
            </w:pPr>
            <w:r w:rsidRPr="00006F36">
              <w:rPr>
                <w:rFonts w:ascii="Arial Narrow" w:hAnsi="Arial Narrow"/>
                <w:b/>
                <w:bCs/>
                <w:sz w:val="20"/>
                <w:szCs w:val="20"/>
              </w:rPr>
              <w:t xml:space="preserve">Number of additional classical Fabry patients who will be treated with migalastat as early treatment </w:t>
            </w:r>
            <w:r w:rsidRPr="00006F36">
              <w:rPr>
                <w:rFonts w:ascii="Arial Narrow" w:hAnsi="Arial Narrow"/>
                <w:b/>
                <w:bCs/>
                <w:sz w:val="20"/>
                <w:szCs w:val="20"/>
                <w:vertAlign w:val="superscript"/>
              </w:rPr>
              <w:t>g</w:t>
            </w:r>
          </w:p>
        </w:tc>
        <w:tc>
          <w:tcPr>
            <w:tcW w:w="834" w:type="dxa"/>
            <w:vAlign w:val="center"/>
          </w:tcPr>
          <w:p w14:paraId="760E56ED" w14:textId="62ADCD84" w:rsidR="00E62854" w:rsidRPr="00365703" w:rsidRDefault="00494449" w:rsidP="002C204C">
            <w:pPr>
              <w:keepNext/>
              <w:keepLines/>
              <w:jc w:val="center"/>
              <w:rPr>
                <w:rFonts w:ascii="Arial Narrow" w:hAnsi="Arial Narrow"/>
                <w:b/>
                <w:bCs/>
                <w:sz w:val="20"/>
                <w:szCs w:val="20"/>
                <w:highlight w:val="lightGray"/>
              </w:rPr>
            </w:pPr>
            <w:r w:rsidRPr="00494449">
              <w:rPr>
                <w:rFonts w:ascii="Arial Narrow" w:hAnsi="Arial Narrow"/>
                <w:b/>
                <w:bCs/>
                <w:color w:val="000000"/>
                <w:spacing w:val="43"/>
                <w:sz w:val="20"/>
                <w:szCs w:val="20"/>
                <w:shd w:val="solid" w:color="000000" w:fill="000000"/>
                <w:fitText w:val="313" w:id="-961870846"/>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313" w:id="-961870846"/>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1F29AC33" w14:textId="3B8CED7E" w:rsidR="00E62854" w:rsidRPr="00365703" w:rsidRDefault="00494449" w:rsidP="002C204C">
            <w:pPr>
              <w:keepNext/>
              <w:keepLines/>
              <w:jc w:val="center"/>
              <w:rPr>
                <w:rFonts w:ascii="Arial Narrow" w:hAnsi="Arial Narrow"/>
                <w:b/>
                <w:bCs/>
                <w:sz w:val="20"/>
                <w:szCs w:val="20"/>
                <w:highlight w:val="lightGray"/>
              </w:rPr>
            </w:pPr>
            <w:r w:rsidRPr="00494449">
              <w:rPr>
                <w:rFonts w:ascii="Arial Narrow" w:hAnsi="Arial Narrow"/>
                <w:b/>
                <w:bCs/>
                <w:color w:val="000000"/>
                <w:spacing w:val="43"/>
                <w:sz w:val="20"/>
                <w:szCs w:val="20"/>
                <w:shd w:val="solid" w:color="000000" w:fill="000000"/>
                <w:fitText w:val="313" w:id="-961870845"/>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313" w:id="-961870845"/>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1CBFDBCC" w14:textId="2EE5FFCD" w:rsidR="00E62854" w:rsidRPr="00365703" w:rsidRDefault="00494449" w:rsidP="002C204C">
            <w:pPr>
              <w:keepNext/>
              <w:keepLines/>
              <w:jc w:val="center"/>
              <w:rPr>
                <w:rFonts w:ascii="Arial Narrow" w:hAnsi="Arial Narrow"/>
                <w:b/>
                <w:bCs/>
                <w:sz w:val="20"/>
                <w:szCs w:val="20"/>
                <w:highlight w:val="lightGray"/>
              </w:rPr>
            </w:pPr>
            <w:r w:rsidRPr="00494449">
              <w:rPr>
                <w:rFonts w:ascii="Arial Narrow" w:hAnsi="Arial Narrow"/>
                <w:b/>
                <w:bCs/>
                <w:color w:val="000000"/>
                <w:spacing w:val="43"/>
                <w:sz w:val="20"/>
                <w:szCs w:val="20"/>
                <w:shd w:val="solid" w:color="000000" w:fill="000000"/>
                <w:fitText w:val="313" w:id="-961870844"/>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313" w:id="-961870844"/>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075FEE97" w14:textId="1131FEC0" w:rsidR="00E62854" w:rsidRPr="00365703" w:rsidRDefault="00494449" w:rsidP="002C204C">
            <w:pPr>
              <w:keepNext/>
              <w:keepLines/>
              <w:jc w:val="center"/>
              <w:rPr>
                <w:rFonts w:ascii="Arial Narrow" w:hAnsi="Arial Narrow"/>
                <w:b/>
                <w:bCs/>
                <w:sz w:val="20"/>
                <w:szCs w:val="20"/>
                <w:highlight w:val="lightGray"/>
              </w:rPr>
            </w:pPr>
            <w:r w:rsidRPr="00494449">
              <w:rPr>
                <w:rFonts w:ascii="Arial Narrow" w:hAnsi="Arial Narrow"/>
                <w:b/>
                <w:bCs/>
                <w:color w:val="000000"/>
                <w:spacing w:val="43"/>
                <w:sz w:val="20"/>
                <w:szCs w:val="20"/>
                <w:shd w:val="solid" w:color="000000" w:fill="000000"/>
                <w:fitText w:val="313" w:id="-961870843"/>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313" w:id="-961870843"/>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0650C34B" w14:textId="04BB160E" w:rsidR="00E62854" w:rsidRPr="00365703" w:rsidRDefault="00494449" w:rsidP="002C204C">
            <w:pPr>
              <w:keepNext/>
              <w:keepLines/>
              <w:jc w:val="center"/>
              <w:rPr>
                <w:rFonts w:ascii="Arial Narrow" w:hAnsi="Arial Narrow"/>
                <w:b/>
                <w:bCs/>
                <w:sz w:val="20"/>
                <w:szCs w:val="20"/>
                <w:highlight w:val="lightGray"/>
              </w:rPr>
            </w:pPr>
            <w:r w:rsidRPr="00494449">
              <w:rPr>
                <w:rFonts w:ascii="Arial Narrow" w:hAnsi="Arial Narrow"/>
                <w:b/>
                <w:bCs/>
                <w:color w:val="000000"/>
                <w:spacing w:val="43"/>
                <w:sz w:val="20"/>
                <w:szCs w:val="20"/>
                <w:shd w:val="solid" w:color="000000" w:fill="000000"/>
                <w:fitText w:val="313" w:id="-961870842"/>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313" w:id="-961870842"/>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6360BCB5" w14:textId="62C736ED" w:rsidR="00E62854" w:rsidRPr="00365703" w:rsidRDefault="00494449" w:rsidP="002C204C">
            <w:pPr>
              <w:keepNext/>
              <w:keepLines/>
              <w:jc w:val="center"/>
              <w:rPr>
                <w:rFonts w:ascii="Arial Narrow" w:hAnsi="Arial Narrow"/>
                <w:b/>
                <w:bCs/>
                <w:sz w:val="20"/>
                <w:szCs w:val="20"/>
                <w:highlight w:val="lightGray"/>
              </w:rPr>
            </w:pPr>
            <w:r w:rsidRPr="00494449">
              <w:rPr>
                <w:rFonts w:ascii="Arial Narrow" w:hAnsi="Arial Narrow"/>
                <w:b/>
                <w:bCs/>
                <w:color w:val="000000"/>
                <w:spacing w:val="43"/>
                <w:sz w:val="20"/>
                <w:szCs w:val="20"/>
                <w:shd w:val="solid" w:color="000000" w:fill="000000"/>
                <w:fitText w:val="313" w:id="-961870841"/>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313" w:id="-961870841"/>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r>
      <w:tr w:rsidR="00F76FE3" w:rsidRPr="00006F36" w14:paraId="24724820" w14:textId="77777777" w:rsidTr="00F76FE3">
        <w:trPr>
          <w:trHeight w:val="20"/>
        </w:trPr>
        <w:tc>
          <w:tcPr>
            <w:tcW w:w="4013" w:type="dxa"/>
          </w:tcPr>
          <w:p w14:paraId="1DDD2434" w14:textId="169307A4" w:rsidR="00E62854" w:rsidRPr="00006F36" w:rsidRDefault="00E62854" w:rsidP="002F68C2">
            <w:pPr>
              <w:keepNext/>
              <w:keepLines/>
              <w:jc w:val="left"/>
              <w:rPr>
                <w:rFonts w:ascii="Arial Narrow" w:hAnsi="Arial Narrow"/>
                <w:sz w:val="20"/>
                <w:szCs w:val="20"/>
              </w:rPr>
            </w:pPr>
            <w:r w:rsidRPr="00006F36">
              <w:rPr>
                <w:rFonts w:ascii="Arial Narrow" w:hAnsi="Arial Narrow"/>
                <w:sz w:val="20"/>
                <w:szCs w:val="20"/>
              </w:rPr>
              <w:t xml:space="preserve">New Fabry disease cases with end organ </w:t>
            </w:r>
            <w:r w:rsidR="00A06F38" w:rsidRPr="00A06F38">
              <w:rPr>
                <w:rFonts w:ascii="Arial Narrow" w:hAnsi="Arial Narrow"/>
                <w:sz w:val="20"/>
                <w:szCs w:val="20"/>
              </w:rPr>
              <w:t>involvement/ injury</w:t>
            </w:r>
            <w:r w:rsidRPr="00006F36">
              <w:rPr>
                <w:rFonts w:ascii="Arial Narrow" w:hAnsi="Arial Narrow"/>
                <w:sz w:val="20"/>
                <w:szCs w:val="20"/>
              </w:rPr>
              <w:t>, amenable mutation and will elect treatment</w:t>
            </w:r>
            <w:r w:rsidR="005A16E4" w:rsidRPr="00006F36">
              <w:rPr>
                <w:rFonts w:ascii="Arial Narrow" w:hAnsi="Arial Narrow"/>
                <w:sz w:val="20"/>
                <w:szCs w:val="20"/>
              </w:rPr>
              <w:t xml:space="preserve"> </w:t>
            </w:r>
          </w:p>
        </w:tc>
        <w:tc>
          <w:tcPr>
            <w:tcW w:w="834" w:type="dxa"/>
            <w:vAlign w:val="center"/>
          </w:tcPr>
          <w:p w14:paraId="47C29C68" w14:textId="76BF79CD" w:rsidR="00E62854" w:rsidRPr="00365703" w:rsidRDefault="00494449" w:rsidP="002C204C">
            <w:pPr>
              <w:keepNext/>
              <w:keepLines/>
              <w:jc w:val="center"/>
              <w:rPr>
                <w:rFonts w:ascii="Arial Narrow" w:hAnsi="Arial Narrow" w:cs="Calibri"/>
                <w:color w:val="000000"/>
                <w:sz w:val="20"/>
                <w:szCs w:val="20"/>
                <w:highlight w:val="lightGray"/>
              </w:rPr>
            </w:pPr>
            <w:r w:rsidRPr="00494449">
              <w:rPr>
                <w:rFonts w:ascii="Arial Narrow" w:hAnsi="Arial Narrow" w:cs="Calibri"/>
                <w:color w:val="000000"/>
                <w:spacing w:val="177"/>
                <w:sz w:val="20"/>
                <w:szCs w:val="20"/>
                <w:shd w:val="solid" w:color="000000" w:fill="000000"/>
                <w:fitText w:val="263" w:id="-961870840"/>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40"/>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0FF7207E" w14:textId="0B319638" w:rsidR="00E62854" w:rsidRPr="00365703" w:rsidRDefault="00494449" w:rsidP="002C204C">
            <w:pPr>
              <w:keepNext/>
              <w:keepLines/>
              <w:jc w:val="center"/>
              <w:rPr>
                <w:rFonts w:ascii="Arial Narrow" w:hAnsi="Arial Narrow" w:cs="Calibri"/>
                <w:color w:val="000000"/>
                <w:sz w:val="20"/>
                <w:szCs w:val="20"/>
                <w:highlight w:val="lightGray"/>
              </w:rPr>
            </w:pPr>
            <w:r w:rsidRPr="00494449">
              <w:rPr>
                <w:rFonts w:ascii="Arial Narrow" w:hAnsi="Arial Narrow" w:cs="Calibri"/>
                <w:color w:val="000000"/>
                <w:spacing w:val="177"/>
                <w:sz w:val="20"/>
                <w:szCs w:val="20"/>
                <w:shd w:val="solid" w:color="000000" w:fill="000000"/>
                <w:fitText w:val="263" w:id="-961870839"/>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39"/>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16A64C08" w14:textId="47B0D418" w:rsidR="00E62854" w:rsidRPr="00365703" w:rsidRDefault="00494449" w:rsidP="002C204C">
            <w:pPr>
              <w:keepNext/>
              <w:keepLines/>
              <w:jc w:val="center"/>
              <w:rPr>
                <w:rFonts w:ascii="Arial Narrow" w:hAnsi="Arial Narrow" w:cs="Calibri"/>
                <w:color w:val="000000"/>
                <w:sz w:val="20"/>
                <w:szCs w:val="20"/>
                <w:highlight w:val="lightGray"/>
              </w:rPr>
            </w:pPr>
            <w:r w:rsidRPr="00494449">
              <w:rPr>
                <w:rFonts w:ascii="Arial Narrow" w:hAnsi="Arial Narrow" w:cs="Calibri"/>
                <w:color w:val="000000"/>
                <w:spacing w:val="177"/>
                <w:sz w:val="20"/>
                <w:szCs w:val="20"/>
                <w:shd w:val="solid" w:color="000000" w:fill="000000"/>
                <w:fitText w:val="263" w:id="-961870838"/>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38"/>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04BF829C" w14:textId="464BC378" w:rsidR="00E62854" w:rsidRPr="00365703" w:rsidRDefault="00494449" w:rsidP="002C204C">
            <w:pPr>
              <w:keepNext/>
              <w:keepLines/>
              <w:jc w:val="center"/>
              <w:rPr>
                <w:rFonts w:ascii="Arial Narrow" w:hAnsi="Arial Narrow" w:cs="Calibri"/>
                <w:color w:val="000000"/>
                <w:sz w:val="20"/>
                <w:szCs w:val="20"/>
                <w:highlight w:val="lightGray"/>
              </w:rPr>
            </w:pPr>
            <w:r w:rsidRPr="00494449">
              <w:rPr>
                <w:rFonts w:ascii="Arial Narrow" w:hAnsi="Arial Narrow" w:cs="Calibri"/>
                <w:color w:val="000000"/>
                <w:spacing w:val="177"/>
                <w:sz w:val="20"/>
                <w:szCs w:val="20"/>
                <w:shd w:val="solid" w:color="000000" w:fill="000000"/>
                <w:fitText w:val="263" w:id="-961870837"/>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37"/>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42025AE3" w14:textId="41C4FC08" w:rsidR="00E62854" w:rsidRPr="00365703" w:rsidRDefault="00494449" w:rsidP="002C204C">
            <w:pPr>
              <w:keepNext/>
              <w:keepLines/>
              <w:jc w:val="center"/>
              <w:rPr>
                <w:rFonts w:ascii="Arial Narrow" w:hAnsi="Arial Narrow" w:cs="Calibri"/>
                <w:color w:val="000000"/>
                <w:sz w:val="20"/>
                <w:szCs w:val="20"/>
                <w:highlight w:val="lightGray"/>
              </w:rPr>
            </w:pPr>
            <w:r w:rsidRPr="00494449">
              <w:rPr>
                <w:rFonts w:ascii="Arial Narrow" w:hAnsi="Arial Narrow" w:cs="Calibri"/>
                <w:color w:val="000000"/>
                <w:spacing w:val="177"/>
                <w:sz w:val="20"/>
                <w:szCs w:val="20"/>
                <w:shd w:val="solid" w:color="000000" w:fill="000000"/>
                <w:fitText w:val="263" w:id="-961870836"/>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36"/>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6F65837D" w14:textId="7EF25C25" w:rsidR="00E62854" w:rsidRPr="00365703" w:rsidRDefault="00494449" w:rsidP="002C204C">
            <w:pPr>
              <w:keepNext/>
              <w:keepLines/>
              <w:jc w:val="center"/>
              <w:rPr>
                <w:rFonts w:ascii="Arial Narrow" w:hAnsi="Arial Narrow" w:cs="Calibri"/>
                <w:color w:val="000000"/>
                <w:sz w:val="20"/>
                <w:szCs w:val="20"/>
                <w:highlight w:val="lightGray"/>
              </w:rPr>
            </w:pPr>
            <w:r w:rsidRPr="00494449">
              <w:rPr>
                <w:rFonts w:ascii="Arial Narrow" w:hAnsi="Arial Narrow" w:cs="Calibri"/>
                <w:color w:val="000000"/>
                <w:spacing w:val="177"/>
                <w:sz w:val="20"/>
                <w:szCs w:val="20"/>
                <w:shd w:val="solid" w:color="000000" w:fill="000000"/>
                <w:fitText w:val="263" w:id="-961870835"/>
                <w14:textFill>
                  <w14:solidFill>
                    <w14:srgbClr w14:val="000000">
                      <w14:alpha w14:val="100000"/>
                    </w14:srgbClr>
                  </w14:solidFill>
                </w14:textFill>
              </w:rPr>
              <w:t>|</w:t>
            </w:r>
            <w:r w:rsidRPr="00494449">
              <w:rPr>
                <w:rFonts w:ascii="Arial Narrow" w:hAnsi="Arial Narrow" w:cs="Calibri"/>
                <w:color w:val="000000"/>
                <w:spacing w:val="1"/>
                <w:sz w:val="20"/>
                <w:szCs w:val="20"/>
                <w:shd w:val="solid" w:color="000000" w:fill="000000"/>
                <w:fitText w:val="263" w:id="-961870835"/>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r>
      <w:tr w:rsidR="00F76FE3" w:rsidRPr="00006F36" w14:paraId="037C4966" w14:textId="77777777" w:rsidTr="00F76FE3">
        <w:trPr>
          <w:trHeight w:val="20"/>
        </w:trPr>
        <w:tc>
          <w:tcPr>
            <w:tcW w:w="4013" w:type="dxa"/>
          </w:tcPr>
          <w:p w14:paraId="4F45B4E3" w14:textId="7526478D" w:rsidR="00E62854" w:rsidRPr="00006F36" w:rsidRDefault="005A16E4" w:rsidP="002F68C2">
            <w:pPr>
              <w:keepNext/>
              <w:keepLines/>
              <w:jc w:val="left"/>
              <w:rPr>
                <w:rFonts w:ascii="Arial Narrow" w:hAnsi="Arial Narrow"/>
                <w:b/>
                <w:bCs/>
                <w:sz w:val="20"/>
                <w:szCs w:val="20"/>
                <w:vertAlign w:val="superscript"/>
              </w:rPr>
            </w:pPr>
            <w:r w:rsidRPr="00006F36">
              <w:rPr>
                <w:rFonts w:ascii="Arial Narrow" w:hAnsi="Arial Narrow"/>
                <w:b/>
                <w:bCs/>
                <w:sz w:val="20"/>
                <w:szCs w:val="20"/>
              </w:rPr>
              <w:t xml:space="preserve">Additional </w:t>
            </w:r>
            <w:r w:rsidR="004F1B24" w:rsidRPr="00006F36">
              <w:rPr>
                <w:rFonts w:ascii="Arial Narrow" w:hAnsi="Arial Narrow"/>
                <w:b/>
                <w:bCs/>
                <w:sz w:val="20"/>
                <w:szCs w:val="20"/>
              </w:rPr>
              <w:t xml:space="preserve">ERT naïve </w:t>
            </w:r>
            <w:r w:rsidRPr="00006F36">
              <w:rPr>
                <w:rFonts w:ascii="Arial Narrow" w:hAnsi="Arial Narrow"/>
                <w:b/>
                <w:bCs/>
                <w:sz w:val="20"/>
                <w:szCs w:val="20"/>
              </w:rPr>
              <w:t xml:space="preserve">patients </w:t>
            </w:r>
            <w:r w:rsidR="004F1B24" w:rsidRPr="00006F36">
              <w:rPr>
                <w:rFonts w:ascii="Arial Narrow" w:hAnsi="Arial Narrow"/>
                <w:b/>
                <w:bCs/>
                <w:sz w:val="20"/>
                <w:szCs w:val="20"/>
              </w:rPr>
              <w:t xml:space="preserve">with end organ </w:t>
            </w:r>
            <w:r w:rsidR="00A06F38" w:rsidRPr="00A06F38">
              <w:rPr>
                <w:rFonts w:ascii="Arial Narrow" w:hAnsi="Arial Narrow"/>
                <w:b/>
                <w:bCs/>
                <w:sz w:val="20"/>
                <w:szCs w:val="20"/>
              </w:rPr>
              <w:t>involvement/ injury</w:t>
            </w:r>
            <w:r w:rsidR="004F1B24" w:rsidRPr="00006F36">
              <w:rPr>
                <w:rFonts w:ascii="Arial Narrow" w:hAnsi="Arial Narrow"/>
                <w:b/>
                <w:bCs/>
                <w:sz w:val="20"/>
                <w:szCs w:val="20"/>
              </w:rPr>
              <w:t xml:space="preserve"> treated with migal</w:t>
            </w:r>
            <w:r w:rsidR="003726F0" w:rsidRPr="00006F36">
              <w:rPr>
                <w:rFonts w:ascii="Arial Narrow" w:hAnsi="Arial Narrow"/>
                <w:b/>
                <w:bCs/>
                <w:sz w:val="20"/>
                <w:szCs w:val="20"/>
              </w:rPr>
              <w:t>a</w:t>
            </w:r>
            <w:r w:rsidR="004F1B24" w:rsidRPr="00006F36">
              <w:rPr>
                <w:rFonts w:ascii="Arial Narrow" w:hAnsi="Arial Narrow"/>
                <w:b/>
                <w:bCs/>
                <w:sz w:val="20"/>
                <w:szCs w:val="20"/>
              </w:rPr>
              <w:t xml:space="preserve">stat </w:t>
            </w:r>
            <w:r w:rsidRPr="00006F36">
              <w:rPr>
                <w:rFonts w:ascii="Arial Narrow" w:hAnsi="Arial Narrow"/>
                <w:b/>
                <w:bCs/>
                <w:sz w:val="20"/>
                <w:szCs w:val="20"/>
              </w:rPr>
              <w:t xml:space="preserve">if requirement for 12 months of ERT is removed </w:t>
            </w:r>
            <w:r w:rsidR="00E62854" w:rsidRPr="00006F36">
              <w:rPr>
                <w:rFonts w:ascii="Arial Narrow" w:hAnsi="Arial Narrow"/>
                <w:b/>
                <w:bCs/>
                <w:sz w:val="20"/>
                <w:szCs w:val="20"/>
                <w:vertAlign w:val="superscript"/>
              </w:rPr>
              <w:t>h</w:t>
            </w:r>
          </w:p>
        </w:tc>
        <w:tc>
          <w:tcPr>
            <w:tcW w:w="834" w:type="dxa"/>
            <w:vAlign w:val="center"/>
          </w:tcPr>
          <w:p w14:paraId="40394A52" w14:textId="22C8126D" w:rsidR="00E62854" w:rsidRPr="00365703" w:rsidRDefault="00494449" w:rsidP="002C204C">
            <w:pPr>
              <w:keepNext/>
              <w:keepLines/>
              <w:jc w:val="center"/>
              <w:rPr>
                <w:rFonts w:ascii="Arial Narrow" w:hAnsi="Arial Narrow" w:cs="Calibri"/>
                <w:b/>
                <w:bCs/>
                <w:color w:val="000000"/>
                <w:sz w:val="20"/>
                <w:szCs w:val="20"/>
                <w:highlight w:val="lightGray"/>
              </w:rPr>
            </w:pPr>
            <w:r w:rsidRPr="00494449">
              <w:rPr>
                <w:rFonts w:ascii="Arial Narrow" w:hAnsi="Arial Narrow" w:cs="Calibri"/>
                <w:b/>
                <w:bCs/>
                <w:color w:val="000000"/>
                <w:spacing w:val="43"/>
                <w:sz w:val="20"/>
                <w:szCs w:val="20"/>
                <w:shd w:val="solid" w:color="000000" w:fill="000000"/>
                <w:fitText w:val="313" w:id="-961870834"/>
                <w14:textFill>
                  <w14:solidFill>
                    <w14:srgbClr w14:val="000000">
                      <w14:alpha w14:val="100000"/>
                    </w14:srgbClr>
                  </w14:solidFill>
                </w14:textFill>
              </w:rPr>
              <w:t>|||</w:t>
            </w:r>
            <w:r w:rsidRPr="00494449">
              <w:rPr>
                <w:rFonts w:ascii="Arial Narrow" w:hAnsi="Arial Narrow" w:cs="Calibri"/>
                <w:b/>
                <w:bCs/>
                <w:color w:val="000000"/>
                <w:spacing w:val="1"/>
                <w:sz w:val="20"/>
                <w:szCs w:val="20"/>
                <w:shd w:val="solid" w:color="000000" w:fill="000000"/>
                <w:fitText w:val="313" w:id="-961870834"/>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70E50E2B" w14:textId="00422287" w:rsidR="00E62854" w:rsidRPr="00365703" w:rsidRDefault="00494449" w:rsidP="002C204C">
            <w:pPr>
              <w:keepNext/>
              <w:keepLines/>
              <w:jc w:val="center"/>
              <w:rPr>
                <w:rFonts w:ascii="Arial Narrow" w:hAnsi="Arial Narrow" w:cs="Calibri"/>
                <w:b/>
                <w:bCs/>
                <w:color w:val="000000"/>
                <w:sz w:val="20"/>
                <w:szCs w:val="20"/>
                <w:highlight w:val="lightGray"/>
              </w:rPr>
            </w:pPr>
            <w:r w:rsidRPr="00494449">
              <w:rPr>
                <w:rFonts w:ascii="Arial Narrow" w:hAnsi="Arial Narrow" w:cs="Calibri"/>
                <w:b/>
                <w:bCs/>
                <w:color w:val="000000"/>
                <w:spacing w:val="43"/>
                <w:sz w:val="20"/>
                <w:szCs w:val="20"/>
                <w:shd w:val="solid" w:color="000000" w:fill="000000"/>
                <w:fitText w:val="313" w:id="-961870833"/>
                <w14:textFill>
                  <w14:solidFill>
                    <w14:srgbClr w14:val="000000">
                      <w14:alpha w14:val="100000"/>
                    </w14:srgbClr>
                  </w14:solidFill>
                </w14:textFill>
              </w:rPr>
              <w:t>|||</w:t>
            </w:r>
            <w:r w:rsidRPr="00494449">
              <w:rPr>
                <w:rFonts w:ascii="Arial Narrow" w:hAnsi="Arial Narrow" w:cs="Calibri"/>
                <w:b/>
                <w:bCs/>
                <w:color w:val="000000"/>
                <w:spacing w:val="1"/>
                <w:sz w:val="20"/>
                <w:szCs w:val="20"/>
                <w:shd w:val="solid" w:color="000000" w:fill="000000"/>
                <w:fitText w:val="313" w:id="-961870833"/>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1E5D746B" w14:textId="643E09AC" w:rsidR="00E62854" w:rsidRPr="00365703" w:rsidRDefault="00494449" w:rsidP="002C204C">
            <w:pPr>
              <w:keepNext/>
              <w:keepLines/>
              <w:jc w:val="center"/>
              <w:rPr>
                <w:rFonts w:ascii="Arial Narrow" w:hAnsi="Arial Narrow" w:cs="Calibri"/>
                <w:b/>
                <w:bCs/>
                <w:color w:val="000000"/>
                <w:sz w:val="20"/>
                <w:szCs w:val="20"/>
                <w:highlight w:val="lightGray"/>
              </w:rPr>
            </w:pPr>
            <w:r w:rsidRPr="00494449">
              <w:rPr>
                <w:rFonts w:ascii="Arial Narrow" w:hAnsi="Arial Narrow" w:cs="Calibri"/>
                <w:b/>
                <w:bCs/>
                <w:color w:val="000000"/>
                <w:spacing w:val="43"/>
                <w:sz w:val="20"/>
                <w:szCs w:val="20"/>
                <w:shd w:val="solid" w:color="000000" w:fill="000000"/>
                <w:fitText w:val="313" w:id="-961870832"/>
                <w14:textFill>
                  <w14:solidFill>
                    <w14:srgbClr w14:val="000000">
                      <w14:alpha w14:val="100000"/>
                    </w14:srgbClr>
                  </w14:solidFill>
                </w14:textFill>
              </w:rPr>
              <w:t>|||</w:t>
            </w:r>
            <w:r w:rsidRPr="00494449">
              <w:rPr>
                <w:rFonts w:ascii="Arial Narrow" w:hAnsi="Arial Narrow" w:cs="Calibri"/>
                <w:b/>
                <w:bCs/>
                <w:color w:val="000000"/>
                <w:spacing w:val="1"/>
                <w:sz w:val="20"/>
                <w:szCs w:val="20"/>
                <w:shd w:val="solid" w:color="000000" w:fill="000000"/>
                <w:fitText w:val="313" w:id="-961870832"/>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0247FCD3" w14:textId="32B8EF21" w:rsidR="00E62854" w:rsidRPr="00365703" w:rsidRDefault="00494449" w:rsidP="002C204C">
            <w:pPr>
              <w:keepNext/>
              <w:keepLines/>
              <w:jc w:val="center"/>
              <w:rPr>
                <w:rFonts w:ascii="Arial Narrow" w:hAnsi="Arial Narrow" w:cs="Calibri"/>
                <w:b/>
                <w:bCs/>
                <w:color w:val="000000"/>
                <w:sz w:val="20"/>
                <w:szCs w:val="20"/>
                <w:highlight w:val="lightGray"/>
              </w:rPr>
            </w:pPr>
            <w:r w:rsidRPr="00494449">
              <w:rPr>
                <w:rFonts w:ascii="Arial Narrow" w:hAnsi="Arial Narrow" w:cs="Calibri"/>
                <w:b/>
                <w:bCs/>
                <w:color w:val="000000"/>
                <w:spacing w:val="43"/>
                <w:sz w:val="20"/>
                <w:szCs w:val="20"/>
                <w:shd w:val="solid" w:color="000000" w:fill="000000"/>
                <w:fitText w:val="313" w:id="-961870848"/>
                <w14:textFill>
                  <w14:solidFill>
                    <w14:srgbClr w14:val="000000">
                      <w14:alpha w14:val="100000"/>
                    </w14:srgbClr>
                  </w14:solidFill>
                </w14:textFill>
              </w:rPr>
              <w:t>|||</w:t>
            </w:r>
            <w:r w:rsidRPr="00494449">
              <w:rPr>
                <w:rFonts w:ascii="Arial Narrow" w:hAnsi="Arial Narrow" w:cs="Calibri"/>
                <w:b/>
                <w:bCs/>
                <w:color w:val="000000"/>
                <w:spacing w:val="1"/>
                <w:sz w:val="20"/>
                <w:szCs w:val="20"/>
                <w:shd w:val="solid" w:color="000000" w:fill="000000"/>
                <w:fitText w:val="313" w:id="-961870848"/>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1EBAD6DD" w14:textId="1CE82BD4" w:rsidR="00E62854" w:rsidRPr="00365703" w:rsidRDefault="00494449" w:rsidP="002C204C">
            <w:pPr>
              <w:keepNext/>
              <w:keepLines/>
              <w:jc w:val="center"/>
              <w:rPr>
                <w:rFonts w:ascii="Arial Narrow" w:hAnsi="Arial Narrow" w:cs="Calibri"/>
                <w:b/>
                <w:bCs/>
                <w:color w:val="000000"/>
                <w:sz w:val="20"/>
                <w:szCs w:val="20"/>
                <w:highlight w:val="lightGray"/>
              </w:rPr>
            </w:pPr>
            <w:r w:rsidRPr="00494449">
              <w:rPr>
                <w:rFonts w:ascii="Arial Narrow" w:hAnsi="Arial Narrow" w:cs="Calibri"/>
                <w:b/>
                <w:bCs/>
                <w:color w:val="000000"/>
                <w:spacing w:val="43"/>
                <w:sz w:val="20"/>
                <w:szCs w:val="20"/>
                <w:shd w:val="solid" w:color="000000" w:fill="000000"/>
                <w:fitText w:val="313" w:id="-961870847"/>
                <w14:textFill>
                  <w14:solidFill>
                    <w14:srgbClr w14:val="000000">
                      <w14:alpha w14:val="100000"/>
                    </w14:srgbClr>
                  </w14:solidFill>
                </w14:textFill>
              </w:rPr>
              <w:t>|||</w:t>
            </w:r>
            <w:r w:rsidRPr="00494449">
              <w:rPr>
                <w:rFonts w:ascii="Arial Narrow" w:hAnsi="Arial Narrow" w:cs="Calibri"/>
                <w:b/>
                <w:bCs/>
                <w:color w:val="000000"/>
                <w:spacing w:val="1"/>
                <w:sz w:val="20"/>
                <w:szCs w:val="20"/>
                <w:shd w:val="solid" w:color="000000" w:fill="000000"/>
                <w:fitText w:val="313" w:id="-961870847"/>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00D19636" w14:textId="4E073B7D" w:rsidR="00E62854" w:rsidRPr="00365703" w:rsidRDefault="00494449" w:rsidP="002C204C">
            <w:pPr>
              <w:keepNext/>
              <w:keepLines/>
              <w:jc w:val="center"/>
              <w:rPr>
                <w:rFonts w:ascii="Arial Narrow" w:hAnsi="Arial Narrow" w:cs="Calibri"/>
                <w:b/>
                <w:bCs/>
                <w:color w:val="000000"/>
                <w:sz w:val="20"/>
                <w:szCs w:val="20"/>
                <w:highlight w:val="lightGray"/>
              </w:rPr>
            </w:pPr>
            <w:r w:rsidRPr="00494449">
              <w:rPr>
                <w:rFonts w:ascii="Arial Narrow" w:hAnsi="Arial Narrow" w:cs="Calibri"/>
                <w:b/>
                <w:bCs/>
                <w:color w:val="000000"/>
                <w:spacing w:val="43"/>
                <w:sz w:val="20"/>
                <w:szCs w:val="20"/>
                <w:shd w:val="solid" w:color="000000" w:fill="000000"/>
                <w:fitText w:val="313" w:id="-961870846"/>
                <w14:textFill>
                  <w14:solidFill>
                    <w14:srgbClr w14:val="000000">
                      <w14:alpha w14:val="100000"/>
                    </w14:srgbClr>
                  </w14:solidFill>
                </w14:textFill>
              </w:rPr>
              <w:t>|||</w:t>
            </w:r>
            <w:r w:rsidRPr="00494449">
              <w:rPr>
                <w:rFonts w:ascii="Arial Narrow" w:hAnsi="Arial Narrow" w:cs="Calibri"/>
                <w:b/>
                <w:bCs/>
                <w:color w:val="000000"/>
                <w:spacing w:val="1"/>
                <w:sz w:val="20"/>
                <w:szCs w:val="20"/>
                <w:shd w:val="solid" w:color="000000" w:fill="000000"/>
                <w:fitText w:val="313" w:id="-961870846"/>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r>
      <w:tr w:rsidR="00F76FE3" w:rsidRPr="00006F36" w14:paraId="7ED8C484" w14:textId="77777777" w:rsidTr="00F76FE3">
        <w:trPr>
          <w:trHeight w:val="20"/>
        </w:trPr>
        <w:tc>
          <w:tcPr>
            <w:tcW w:w="4013" w:type="dxa"/>
          </w:tcPr>
          <w:p w14:paraId="52186EE0" w14:textId="77777777" w:rsidR="00E62854" w:rsidRPr="00006F36" w:rsidRDefault="00E62854" w:rsidP="002F68C2">
            <w:pPr>
              <w:keepNext/>
              <w:keepLines/>
              <w:jc w:val="left"/>
              <w:rPr>
                <w:rFonts w:ascii="Arial Narrow" w:hAnsi="Arial Narrow"/>
                <w:b/>
                <w:bCs/>
                <w:sz w:val="20"/>
                <w:szCs w:val="20"/>
              </w:rPr>
            </w:pPr>
            <w:r w:rsidRPr="00006F36">
              <w:rPr>
                <w:rFonts w:ascii="Arial Narrow" w:hAnsi="Arial Narrow"/>
                <w:b/>
                <w:bCs/>
                <w:sz w:val="20"/>
                <w:szCs w:val="20"/>
              </w:rPr>
              <w:t>Total patients treated with migalastat</w:t>
            </w:r>
          </w:p>
        </w:tc>
        <w:tc>
          <w:tcPr>
            <w:tcW w:w="834" w:type="dxa"/>
            <w:vAlign w:val="center"/>
          </w:tcPr>
          <w:p w14:paraId="0E625BC8" w14:textId="6E707628" w:rsidR="00E62854" w:rsidRPr="00365703" w:rsidRDefault="00494449" w:rsidP="002C204C">
            <w:pPr>
              <w:keepNext/>
              <w:keepLines/>
              <w:jc w:val="center"/>
              <w:rPr>
                <w:rFonts w:ascii="Arial Narrow" w:hAnsi="Arial Narrow"/>
                <w:b/>
                <w:bCs/>
                <w:sz w:val="20"/>
                <w:szCs w:val="20"/>
                <w:highlight w:val="lightGray"/>
              </w:rPr>
            </w:pPr>
            <w:r w:rsidRPr="00494449">
              <w:rPr>
                <w:rFonts w:ascii="Arial Narrow" w:hAnsi="Arial Narrow"/>
                <w:b/>
                <w:bCs/>
                <w:color w:val="000000"/>
                <w:spacing w:val="43"/>
                <w:sz w:val="20"/>
                <w:szCs w:val="20"/>
                <w:shd w:val="solid" w:color="000000" w:fill="000000"/>
                <w:fitText w:val="313" w:id="-961870845"/>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313" w:id="-961870845"/>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6E67B80F" w14:textId="465E6710" w:rsidR="00E62854" w:rsidRPr="00365703" w:rsidRDefault="00494449" w:rsidP="002C204C">
            <w:pPr>
              <w:keepNext/>
              <w:keepLines/>
              <w:jc w:val="center"/>
              <w:rPr>
                <w:rFonts w:ascii="Arial Narrow" w:hAnsi="Arial Narrow"/>
                <w:b/>
                <w:bCs/>
                <w:sz w:val="20"/>
                <w:szCs w:val="20"/>
                <w:highlight w:val="lightGray"/>
              </w:rPr>
            </w:pPr>
            <w:r w:rsidRPr="00494449">
              <w:rPr>
                <w:rFonts w:ascii="Arial Narrow" w:hAnsi="Arial Narrow"/>
                <w:b/>
                <w:bCs/>
                <w:color w:val="000000"/>
                <w:spacing w:val="43"/>
                <w:sz w:val="20"/>
                <w:szCs w:val="20"/>
                <w:shd w:val="solid" w:color="000000" w:fill="000000"/>
                <w:fitText w:val="313" w:id="-961870844"/>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313" w:id="-961870844"/>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1C0CFE54" w14:textId="4988F9CE" w:rsidR="00E62854" w:rsidRPr="00365703" w:rsidRDefault="00494449" w:rsidP="002C204C">
            <w:pPr>
              <w:keepNext/>
              <w:keepLines/>
              <w:jc w:val="center"/>
              <w:rPr>
                <w:rFonts w:ascii="Arial Narrow" w:hAnsi="Arial Narrow"/>
                <w:b/>
                <w:bCs/>
                <w:sz w:val="20"/>
                <w:szCs w:val="20"/>
                <w:highlight w:val="lightGray"/>
              </w:rPr>
            </w:pPr>
            <w:r w:rsidRPr="00494449">
              <w:rPr>
                <w:rFonts w:ascii="Arial Narrow" w:hAnsi="Arial Narrow"/>
                <w:b/>
                <w:bCs/>
                <w:color w:val="000000"/>
                <w:spacing w:val="43"/>
                <w:sz w:val="20"/>
                <w:szCs w:val="20"/>
                <w:shd w:val="solid" w:color="000000" w:fill="000000"/>
                <w:fitText w:val="313" w:id="-961870843"/>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313" w:id="-961870843"/>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39859F21" w14:textId="45F23BB1" w:rsidR="00E62854" w:rsidRPr="00365703" w:rsidRDefault="00494449" w:rsidP="002C204C">
            <w:pPr>
              <w:keepNext/>
              <w:keepLines/>
              <w:jc w:val="center"/>
              <w:rPr>
                <w:rFonts w:ascii="Arial Narrow" w:hAnsi="Arial Narrow"/>
                <w:b/>
                <w:bCs/>
                <w:sz w:val="20"/>
                <w:szCs w:val="20"/>
                <w:highlight w:val="lightGray"/>
              </w:rPr>
            </w:pPr>
            <w:r w:rsidRPr="00494449">
              <w:rPr>
                <w:rFonts w:ascii="Arial Narrow" w:hAnsi="Arial Narrow"/>
                <w:b/>
                <w:bCs/>
                <w:color w:val="000000"/>
                <w:spacing w:val="43"/>
                <w:sz w:val="20"/>
                <w:szCs w:val="20"/>
                <w:shd w:val="solid" w:color="000000" w:fill="000000"/>
                <w:fitText w:val="313" w:id="-961870842"/>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313" w:id="-961870842"/>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56367AD2" w14:textId="333670FE" w:rsidR="00E62854" w:rsidRPr="00365703" w:rsidRDefault="00494449" w:rsidP="002C204C">
            <w:pPr>
              <w:keepNext/>
              <w:keepLines/>
              <w:jc w:val="center"/>
              <w:rPr>
                <w:rFonts w:ascii="Arial Narrow" w:hAnsi="Arial Narrow"/>
                <w:b/>
                <w:bCs/>
                <w:sz w:val="20"/>
                <w:szCs w:val="20"/>
                <w:highlight w:val="lightGray"/>
              </w:rPr>
            </w:pPr>
            <w:r w:rsidRPr="00494449">
              <w:rPr>
                <w:rFonts w:ascii="Arial Narrow" w:hAnsi="Arial Narrow"/>
                <w:b/>
                <w:bCs/>
                <w:color w:val="000000"/>
                <w:spacing w:val="43"/>
                <w:sz w:val="20"/>
                <w:szCs w:val="20"/>
                <w:shd w:val="solid" w:color="000000" w:fill="000000"/>
                <w:fitText w:val="313" w:id="-961870841"/>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313" w:id="-961870841"/>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c>
          <w:tcPr>
            <w:tcW w:w="834" w:type="dxa"/>
            <w:vAlign w:val="center"/>
          </w:tcPr>
          <w:p w14:paraId="0312AF39" w14:textId="41ADE21C" w:rsidR="00E62854" w:rsidRPr="00365703" w:rsidRDefault="00494449" w:rsidP="002C204C">
            <w:pPr>
              <w:keepNext/>
              <w:keepLines/>
              <w:jc w:val="center"/>
              <w:rPr>
                <w:rFonts w:ascii="Arial Narrow" w:hAnsi="Arial Narrow"/>
                <w:b/>
                <w:bCs/>
                <w:sz w:val="20"/>
                <w:szCs w:val="20"/>
                <w:highlight w:val="lightGray"/>
              </w:rPr>
            </w:pPr>
            <w:r w:rsidRPr="00494449">
              <w:rPr>
                <w:rFonts w:ascii="Arial Narrow" w:hAnsi="Arial Narrow"/>
                <w:b/>
                <w:bCs/>
                <w:color w:val="000000"/>
                <w:spacing w:val="43"/>
                <w:sz w:val="20"/>
                <w:szCs w:val="20"/>
                <w:shd w:val="solid" w:color="000000" w:fill="000000"/>
                <w:fitText w:val="313" w:id="-961870840"/>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313" w:id="-961870840"/>
                <w14:textFill>
                  <w14:solidFill>
                    <w14:srgbClr w14:val="000000">
                      <w14:alpha w14:val="100000"/>
                    </w14:srgbClr>
                  </w14:solidFill>
                </w14:textFill>
              </w:rPr>
              <w:t>|</w:t>
            </w:r>
            <w:r w:rsidR="007A5174" w:rsidRPr="00365703">
              <w:rPr>
                <w:rFonts w:ascii="Arial Narrow" w:hAnsi="Arial Narrow"/>
                <w:b/>
                <w:bCs/>
                <w:sz w:val="20"/>
                <w:szCs w:val="20"/>
                <w:vertAlign w:val="superscript"/>
              </w:rPr>
              <w:t>1</w:t>
            </w:r>
          </w:p>
        </w:tc>
      </w:tr>
    </w:tbl>
    <w:p w14:paraId="3E69FFF9" w14:textId="77777777" w:rsidR="004B69B9" w:rsidRPr="00006F36" w:rsidRDefault="004B69B9" w:rsidP="004B69B9">
      <w:pPr>
        <w:keepNext/>
        <w:keepLines/>
        <w:rPr>
          <w:rFonts w:ascii="Arial Narrow" w:hAnsi="Arial Narrow"/>
          <w:sz w:val="18"/>
          <w:szCs w:val="18"/>
        </w:rPr>
      </w:pPr>
      <w:r w:rsidRPr="00006F36">
        <w:rPr>
          <w:rFonts w:ascii="Arial Narrow" w:hAnsi="Arial Narrow"/>
          <w:sz w:val="18"/>
          <w:szCs w:val="18"/>
        </w:rPr>
        <w:t>Source: Table 12, p37, Table 14, p38, Table 15, p39Table 16, p40, Table 17, p41 and Table 18, p42 of submission.</w:t>
      </w:r>
    </w:p>
    <w:p w14:paraId="5CF7FF9A" w14:textId="3C2E197D" w:rsidR="00E62854" w:rsidRPr="00006F36" w:rsidRDefault="004B69B9" w:rsidP="002C204C">
      <w:pPr>
        <w:keepNext/>
        <w:keepLines/>
        <w:rPr>
          <w:rFonts w:ascii="Arial Narrow" w:hAnsi="Arial Narrow"/>
          <w:sz w:val="18"/>
          <w:szCs w:val="18"/>
        </w:rPr>
      </w:pPr>
      <w:r>
        <w:rPr>
          <w:rFonts w:ascii="Arial Narrow" w:hAnsi="Arial Narrow"/>
          <w:sz w:val="18"/>
          <w:szCs w:val="18"/>
        </w:rPr>
        <w:t xml:space="preserve">Abbreviation: </w:t>
      </w:r>
      <w:r w:rsidR="00E62854" w:rsidRPr="00006F36">
        <w:rPr>
          <w:rFonts w:ascii="Arial Narrow" w:hAnsi="Arial Narrow"/>
          <w:sz w:val="18"/>
          <w:szCs w:val="18"/>
        </w:rPr>
        <w:t xml:space="preserve">LSDP = </w:t>
      </w:r>
      <w:proofErr w:type="spellStart"/>
      <w:r w:rsidR="00E62854" w:rsidRPr="00006F36">
        <w:rPr>
          <w:rFonts w:ascii="Arial Narrow" w:hAnsi="Arial Narrow"/>
          <w:sz w:val="18"/>
          <w:szCs w:val="18"/>
        </w:rPr>
        <w:t>life saving</w:t>
      </w:r>
      <w:proofErr w:type="spellEnd"/>
      <w:r w:rsidR="00E62854" w:rsidRPr="00006F36">
        <w:rPr>
          <w:rFonts w:ascii="Arial Narrow" w:hAnsi="Arial Narrow"/>
          <w:sz w:val="18"/>
          <w:szCs w:val="18"/>
        </w:rPr>
        <w:t xml:space="preserve"> drugs program</w:t>
      </w:r>
    </w:p>
    <w:p w14:paraId="6F23CE24" w14:textId="77777777" w:rsidR="00E62854" w:rsidRPr="00006F36" w:rsidRDefault="00E62854" w:rsidP="002C204C">
      <w:pPr>
        <w:keepNext/>
        <w:keepLines/>
        <w:rPr>
          <w:rFonts w:ascii="Arial Narrow" w:hAnsi="Arial Narrow"/>
          <w:sz w:val="18"/>
          <w:szCs w:val="18"/>
        </w:rPr>
      </w:pPr>
      <w:r w:rsidRPr="008D4433">
        <w:rPr>
          <w:rFonts w:ascii="Arial Narrow" w:hAnsi="Arial Narrow"/>
          <w:sz w:val="18"/>
          <w:szCs w:val="18"/>
          <w:vertAlign w:val="superscript"/>
        </w:rPr>
        <w:t>a</w:t>
      </w:r>
      <w:r w:rsidRPr="00006F36">
        <w:rPr>
          <w:rFonts w:ascii="Arial Narrow" w:hAnsi="Arial Narrow"/>
          <w:sz w:val="18"/>
          <w:szCs w:val="18"/>
        </w:rPr>
        <w:t xml:space="preserve"> Number of Fabry disease patients in current year minus number of Fabry disease patients in previous year</w:t>
      </w:r>
    </w:p>
    <w:p w14:paraId="3B48F46D" w14:textId="77777777" w:rsidR="00D12810" w:rsidRDefault="00E62854" w:rsidP="002C204C">
      <w:pPr>
        <w:keepNext/>
        <w:keepLines/>
        <w:rPr>
          <w:rFonts w:ascii="Arial Narrow" w:hAnsi="Arial Narrow"/>
          <w:sz w:val="18"/>
          <w:szCs w:val="18"/>
        </w:rPr>
      </w:pPr>
      <w:r w:rsidRPr="008D4433">
        <w:rPr>
          <w:rFonts w:ascii="Arial Narrow" w:hAnsi="Arial Narrow"/>
          <w:sz w:val="18"/>
          <w:szCs w:val="18"/>
          <w:vertAlign w:val="superscript"/>
        </w:rPr>
        <w:t>b</w:t>
      </w:r>
      <w:r w:rsidRPr="00006F36">
        <w:rPr>
          <w:rFonts w:ascii="Arial Narrow" w:hAnsi="Arial Narrow"/>
          <w:sz w:val="18"/>
          <w:szCs w:val="18"/>
        </w:rPr>
        <w:t xml:space="preserve"> Estimated using number of new cases divided by births (age 0 population) in ABS Population Projections, Australia – medium series.</w:t>
      </w:r>
    </w:p>
    <w:p w14:paraId="0C901204" w14:textId="44884842" w:rsidR="00E62854" w:rsidRPr="00006F36" w:rsidRDefault="00E62854" w:rsidP="002C204C">
      <w:pPr>
        <w:keepNext/>
        <w:keepLines/>
        <w:rPr>
          <w:rFonts w:ascii="Arial Narrow" w:hAnsi="Arial Narrow"/>
          <w:sz w:val="18"/>
          <w:szCs w:val="18"/>
        </w:rPr>
      </w:pPr>
      <w:r w:rsidRPr="008D4433">
        <w:rPr>
          <w:rFonts w:ascii="Arial Narrow" w:hAnsi="Arial Narrow"/>
          <w:sz w:val="18"/>
          <w:szCs w:val="18"/>
          <w:vertAlign w:val="superscript"/>
        </w:rPr>
        <w:t>c</w:t>
      </w:r>
      <w:r w:rsidRPr="00006F36">
        <w:rPr>
          <w:rFonts w:ascii="Arial Narrow" w:hAnsi="Arial Narrow"/>
          <w:sz w:val="18"/>
          <w:szCs w:val="18"/>
        </w:rPr>
        <w:t xml:space="preserve"> Estimate 45% of all classical males will have amenable mutation, and 100% will be eligible</w:t>
      </w:r>
    </w:p>
    <w:p w14:paraId="0E0FEB8A" w14:textId="77777777" w:rsidR="00E62854" w:rsidRPr="00006F36" w:rsidRDefault="00E62854" w:rsidP="002C204C">
      <w:pPr>
        <w:keepNext/>
        <w:keepLines/>
        <w:rPr>
          <w:rFonts w:ascii="Arial Narrow" w:hAnsi="Arial Narrow"/>
          <w:sz w:val="18"/>
          <w:szCs w:val="18"/>
        </w:rPr>
      </w:pPr>
      <w:r w:rsidRPr="008D4433">
        <w:rPr>
          <w:rFonts w:ascii="Arial Narrow" w:hAnsi="Arial Narrow"/>
          <w:sz w:val="18"/>
          <w:szCs w:val="18"/>
          <w:vertAlign w:val="superscript"/>
        </w:rPr>
        <w:t>d</w:t>
      </w:r>
      <w:r w:rsidRPr="00006F36">
        <w:rPr>
          <w:rFonts w:ascii="Arial Narrow" w:hAnsi="Arial Narrow"/>
          <w:sz w:val="18"/>
          <w:szCs w:val="18"/>
        </w:rPr>
        <w:t xml:space="preserve"> Estimate 45% of all classical females will have amenable mutation, and 75% will be eligible</w:t>
      </w:r>
    </w:p>
    <w:p w14:paraId="13CBB692" w14:textId="22840D29" w:rsidR="00E62854" w:rsidRPr="00006F36" w:rsidRDefault="00E62854" w:rsidP="002C204C">
      <w:pPr>
        <w:keepNext/>
        <w:keepLines/>
        <w:rPr>
          <w:rFonts w:ascii="Arial Narrow" w:hAnsi="Arial Narrow"/>
          <w:sz w:val="18"/>
          <w:szCs w:val="18"/>
        </w:rPr>
      </w:pPr>
      <w:r w:rsidRPr="008D4433">
        <w:rPr>
          <w:rFonts w:ascii="Arial Narrow" w:hAnsi="Arial Narrow"/>
          <w:sz w:val="18"/>
          <w:szCs w:val="18"/>
          <w:vertAlign w:val="superscript"/>
        </w:rPr>
        <w:t>e</w:t>
      </w:r>
      <w:r w:rsidRPr="00006F36">
        <w:rPr>
          <w:rFonts w:ascii="Arial Narrow" w:hAnsi="Arial Narrow"/>
          <w:sz w:val="18"/>
          <w:szCs w:val="18"/>
        </w:rPr>
        <w:t xml:space="preserve"> Assumed 85% will elect treatment, based on LSDP EP estimates in the end organ </w:t>
      </w:r>
      <w:r w:rsidR="00A06F38" w:rsidRPr="00A06F38">
        <w:rPr>
          <w:rFonts w:ascii="Arial Narrow" w:hAnsi="Arial Narrow"/>
          <w:sz w:val="18"/>
          <w:szCs w:val="18"/>
        </w:rPr>
        <w:t>involvement/ injury</w:t>
      </w:r>
      <w:r w:rsidR="00A06F38" w:rsidRPr="00006F36">
        <w:t xml:space="preserve"> </w:t>
      </w:r>
      <w:r w:rsidRPr="00006F36">
        <w:rPr>
          <w:rFonts w:ascii="Arial Narrow" w:hAnsi="Arial Narrow"/>
          <w:sz w:val="18"/>
          <w:szCs w:val="18"/>
        </w:rPr>
        <w:t>e population</w:t>
      </w:r>
    </w:p>
    <w:p w14:paraId="0927C3AD" w14:textId="77777777" w:rsidR="00E62854" w:rsidRPr="00006F36" w:rsidRDefault="00E62854" w:rsidP="002C204C">
      <w:pPr>
        <w:keepNext/>
        <w:keepLines/>
        <w:rPr>
          <w:rFonts w:ascii="Arial Narrow" w:hAnsi="Arial Narrow"/>
          <w:sz w:val="18"/>
          <w:szCs w:val="18"/>
        </w:rPr>
      </w:pPr>
      <w:r w:rsidRPr="008D4433">
        <w:rPr>
          <w:rFonts w:ascii="Arial Narrow" w:hAnsi="Arial Narrow"/>
          <w:sz w:val="18"/>
          <w:szCs w:val="18"/>
          <w:vertAlign w:val="superscript"/>
        </w:rPr>
        <w:t xml:space="preserve">f </w:t>
      </w:r>
      <w:r w:rsidRPr="00006F36">
        <w:rPr>
          <w:rFonts w:ascii="Arial Narrow" w:hAnsi="Arial Narrow"/>
          <w:sz w:val="18"/>
          <w:szCs w:val="18"/>
        </w:rPr>
        <w:t>Submission assumes that only 65.2% of the classical patients who elect early treatment will actually use migalastat</w:t>
      </w:r>
    </w:p>
    <w:p w14:paraId="558A8602" w14:textId="77777777" w:rsidR="00E62854" w:rsidRPr="00006F36" w:rsidRDefault="00E62854" w:rsidP="002C204C">
      <w:pPr>
        <w:keepNext/>
        <w:keepLines/>
        <w:rPr>
          <w:rFonts w:ascii="Arial Narrow" w:hAnsi="Arial Narrow"/>
          <w:sz w:val="18"/>
          <w:szCs w:val="18"/>
        </w:rPr>
      </w:pPr>
      <w:r w:rsidRPr="008D4433">
        <w:rPr>
          <w:rFonts w:ascii="Arial Narrow" w:hAnsi="Arial Narrow"/>
          <w:sz w:val="18"/>
          <w:szCs w:val="18"/>
          <w:vertAlign w:val="superscript"/>
        </w:rPr>
        <w:t xml:space="preserve">g </w:t>
      </w:r>
      <w:r w:rsidRPr="00006F36">
        <w:rPr>
          <w:rFonts w:ascii="Arial Narrow" w:hAnsi="Arial Narrow"/>
          <w:sz w:val="18"/>
          <w:szCs w:val="18"/>
        </w:rPr>
        <w:t>The number of patients treated with migalastat under current LSDP was removed from the projected migalastat uptake</w:t>
      </w:r>
      <w:r w:rsidRPr="00006F36">
        <w:rPr>
          <w:sz w:val="22"/>
          <w:szCs w:val="22"/>
        </w:rPr>
        <w:t xml:space="preserve"> </w:t>
      </w:r>
      <w:r w:rsidRPr="00006F36">
        <w:rPr>
          <w:rFonts w:ascii="Arial Narrow" w:hAnsi="Arial Narrow"/>
          <w:sz w:val="18"/>
          <w:szCs w:val="18"/>
        </w:rPr>
        <w:t>for early treatment in classical patients</w:t>
      </w:r>
    </w:p>
    <w:p w14:paraId="3E43E37A" w14:textId="5D1A981B" w:rsidR="00E62854" w:rsidRDefault="00E62854" w:rsidP="002C204C">
      <w:pPr>
        <w:keepNext/>
        <w:keepLines/>
        <w:rPr>
          <w:rFonts w:ascii="Arial Narrow" w:hAnsi="Arial Narrow"/>
          <w:sz w:val="18"/>
          <w:szCs w:val="18"/>
        </w:rPr>
      </w:pPr>
      <w:r w:rsidRPr="008D4433">
        <w:rPr>
          <w:rFonts w:ascii="Arial Narrow" w:hAnsi="Arial Narrow"/>
          <w:sz w:val="18"/>
          <w:szCs w:val="18"/>
          <w:vertAlign w:val="superscript"/>
        </w:rPr>
        <w:t>h</w:t>
      </w:r>
      <w:r w:rsidRPr="00006F36">
        <w:rPr>
          <w:rFonts w:ascii="Arial Narrow" w:hAnsi="Arial Narrow"/>
          <w:sz w:val="18"/>
          <w:szCs w:val="18"/>
        </w:rPr>
        <w:t xml:space="preserve"> Assumed 50% of newly diagnosed Fabry disease patients who would be eligible for treatment under the current LSDP listing for migalastat will be treated with migalastat.</w:t>
      </w:r>
      <w:r w:rsidR="00A03139" w:rsidRPr="00006F36">
        <w:rPr>
          <w:rFonts w:ascii="Arial Narrow" w:hAnsi="Arial Narrow"/>
          <w:sz w:val="18"/>
          <w:szCs w:val="18"/>
        </w:rPr>
        <w:t xml:space="preserve"> This population was also included as an offset to LSDP costs by the submission.</w:t>
      </w:r>
    </w:p>
    <w:p w14:paraId="203E484A" w14:textId="77777777" w:rsidR="007A5174" w:rsidRDefault="007A5174" w:rsidP="007A5174">
      <w:pPr>
        <w:pStyle w:val="TableFigureFooter"/>
        <w:keepNext/>
        <w:spacing w:after="0"/>
        <w:contextualSpacing w:val="0"/>
        <w:rPr>
          <w:i/>
        </w:rPr>
      </w:pPr>
      <w:r w:rsidRPr="00D86F1E">
        <w:rPr>
          <w:i/>
        </w:rPr>
        <w:t>The redacted values correspond to the following ranges:</w:t>
      </w:r>
    </w:p>
    <w:p w14:paraId="00BD790C" w14:textId="08A3360B" w:rsidR="007A5174" w:rsidRPr="007A5174" w:rsidRDefault="007A5174" w:rsidP="007A5174">
      <w:pPr>
        <w:pStyle w:val="TableFigureFooter"/>
        <w:keepNext/>
        <w:rPr>
          <w:i/>
        </w:rPr>
      </w:pPr>
      <w:r w:rsidRPr="007A5174">
        <w:rPr>
          <w:i/>
          <w:vertAlign w:val="superscript"/>
        </w:rPr>
        <w:t>1</w:t>
      </w:r>
      <w:r>
        <w:rPr>
          <w:i/>
        </w:rPr>
        <w:t xml:space="preserve"> </w:t>
      </w:r>
      <w:r w:rsidRPr="007A5174">
        <w:rPr>
          <w:i/>
        </w:rPr>
        <w:t>&lt; 500</w:t>
      </w:r>
    </w:p>
    <w:p w14:paraId="6C5261F9" w14:textId="6859ADCD" w:rsidR="007A5174" w:rsidRDefault="007A5174" w:rsidP="007A5174">
      <w:pPr>
        <w:pStyle w:val="TableFigureFooter"/>
        <w:keepNext/>
        <w:spacing w:after="0"/>
        <w:contextualSpacing w:val="0"/>
        <w:rPr>
          <w:i/>
        </w:rPr>
      </w:pPr>
      <w:r w:rsidRPr="007A5174">
        <w:rPr>
          <w:i/>
          <w:vertAlign w:val="superscript"/>
        </w:rPr>
        <w:t xml:space="preserve">2 </w:t>
      </w:r>
      <w:r w:rsidRPr="007A5174">
        <w:rPr>
          <w:i/>
        </w:rPr>
        <w:t>500 to &lt; 5,000</w:t>
      </w:r>
    </w:p>
    <w:p w14:paraId="622D9C1B" w14:textId="28D0F730" w:rsidR="009005D3" w:rsidRPr="00D86F1E" w:rsidRDefault="009005D3" w:rsidP="007A5174">
      <w:pPr>
        <w:pStyle w:val="TableFigureFooter"/>
        <w:keepNext/>
        <w:spacing w:after="0"/>
        <w:contextualSpacing w:val="0"/>
        <w:rPr>
          <w:i/>
        </w:rPr>
      </w:pPr>
      <w:r w:rsidRPr="009005D3">
        <w:rPr>
          <w:i/>
          <w:vertAlign w:val="superscript"/>
        </w:rPr>
        <w:t>3</w:t>
      </w:r>
      <w:r>
        <w:rPr>
          <w:i/>
        </w:rPr>
        <w:t xml:space="preserve"> </w:t>
      </w:r>
      <w:r w:rsidRPr="009005D3">
        <w:rPr>
          <w:i/>
        </w:rPr>
        <w:t>5,000 to &lt; 10,000</w:t>
      </w:r>
    </w:p>
    <w:p w14:paraId="00ECFF7D" w14:textId="77777777" w:rsidR="007A5174" w:rsidRPr="00006F36" w:rsidRDefault="007A5174" w:rsidP="002C204C">
      <w:pPr>
        <w:keepNext/>
        <w:keepLines/>
        <w:rPr>
          <w:rFonts w:ascii="Arial Narrow" w:hAnsi="Arial Narrow"/>
          <w:sz w:val="18"/>
          <w:szCs w:val="18"/>
        </w:rPr>
      </w:pPr>
    </w:p>
    <w:p w14:paraId="65511D7E" w14:textId="77777777" w:rsidR="00E62854" w:rsidRPr="00006F36" w:rsidRDefault="00E62854" w:rsidP="00E62854">
      <w:pPr>
        <w:rPr>
          <w:rFonts w:ascii="Arial Narrow" w:hAnsi="Arial Narrow"/>
          <w:sz w:val="18"/>
          <w:szCs w:val="18"/>
        </w:rPr>
      </w:pPr>
    </w:p>
    <w:p w14:paraId="50D776D2" w14:textId="383AAB34" w:rsidR="001D6544" w:rsidRPr="00006F36" w:rsidRDefault="001D6544" w:rsidP="001D6544">
      <w:pPr>
        <w:pStyle w:val="Caption"/>
        <w:rPr>
          <w:szCs w:val="20"/>
        </w:rPr>
      </w:pPr>
      <w:bookmarkStart w:id="57" w:name="_Ref152009290"/>
      <w:r w:rsidRPr="00006F36">
        <w:lastRenderedPageBreak/>
        <w:t xml:space="preserve">Table </w:t>
      </w:r>
      <w:r w:rsidR="008C634B">
        <w:fldChar w:fldCharType="begin" w:fldLock="1"/>
      </w:r>
      <w:r w:rsidR="008C634B">
        <w:instrText xml:space="preserve"> SEQ Table \* ARABIC </w:instrText>
      </w:r>
      <w:r w:rsidR="008C634B">
        <w:fldChar w:fldCharType="separate"/>
      </w:r>
      <w:r w:rsidR="00F42C5D">
        <w:rPr>
          <w:noProof/>
        </w:rPr>
        <w:t>11</w:t>
      </w:r>
      <w:r w:rsidR="008C634B">
        <w:rPr>
          <w:noProof/>
        </w:rPr>
        <w:fldChar w:fldCharType="end"/>
      </w:r>
      <w:bookmarkEnd w:id="57"/>
      <w:r w:rsidR="004161CA" w:rsidRPr="00006F36">
        <w:t>:</w:t>
      </w:r>
      <w:r w:rsidRPr="00006F36">
        <w:t xml:space="preserve"> Submission’s estimates of financial impact of listing migalastat</w:t>
      </w:r>
    </w:p>
    <w:tbl>
      <w:tblPr>
        <w:tblStyle w:val="TableGrid"/>
        <w:tblW w:w="0" w:type="auto"/>
        <w:tblLayout w:type="fixed"/>
        <w:tblLook w:val="04A0" w:firstRow="1" w:lastRow="0" w:firstColumn="1" w:lastColumn="0" w:noHBand="0" w:noVBand="1"/>
        <w:tblCaption w:val="Table 11: Submission’s estimates of financial impact of listing migalastat"/>
      </w:tblPr>
      <w:tblGrid>
        <w:gridCol w:w="1980"/>
        <w:gridCol w:w="1172"/>
        <w:gridCol w:w="1173"/>
        <w:gridCol w:w="1173"/>
        <w:gridCol w:w="1173"/>
        <w:gridCol w:w="1173"/>
        <w:gridCol w:w="1173"/>
      </w:tblGrid>
      <w:tr w:rsidR="00F76FE3" w:rsidRPr="00006F36" w14:paraId="0C21FB5F" w14:textId="77777777" w:rsidTr="00F76FE3">
        <w:trPr>
          <w:trHeight w:val="20"/>
        </w:trPr>
        <w:tc>
          <w:tcPr>
            <w:tcW w:w="1980" w:type="dxa"/>
          </w:tcPr>
          <w:p w14:paraId="3F170B50" w14:textId="77777777" w:rsidR="001D6544" w:rsidRPr="00006F36" w:rsidRDefault="001D6544" w:rsidP="00227A17">
            <w:pPr>
              <w:keepNext/>
              <w:keepLines/>
              <w:jc w:val="left"/>
              <w:rPr>
                <w:rFonts w:ascii="Arial Narrow" w:hAnsi="Arial Narrow"/>
                <w:sz w:val="20"/>
                <w:szCs w:val="20"/>
              </w:rPr>
            </w:pPr>
          </w:p>
        </w:tc>
        <w:tc>
          <w:tcPr>
            <w:tcW w:w="1172" w:type="dxa"/>
            <w:vAlign w:val="center"/>
          </w:tcPr>
          <w:p w14:paraId="7219C62A" w14:textId="6D288831" w:rsidR="001D6544" w:rsidRPr="00006F36" w:rsidRDefault="001D6544" w:rsidP="001D6544">
            <w:pPr>
              <w:keepNext/>
              <w:keepLines/>
              <w:jc w:val="center"/>
              <w:rPr>
                <w:rFonts w:ascii="Arial Narrow" w:hAnsi="Arial Narrow"/>
                <w:b/>
                <w:bCs/>
                <w:sz w:val="20"/>
                <w:szCs w:val="20"/>
              </w:rPr>
            </w:pPr>
            <w:r w:rsidRPr="00006F36">
              <w:rPr>
                <w:rFonts w:ascii="Arial Narrow" w:hAnsi="Arial Narrow"/>
                <w:b/>
                <w:bCs/>
                <w:sz w:val="20"/>
                <w:szCs w:val="20"/>
              </w:rPr>
              <w:t>2024</w:t>
            </w:r>
          </w:p>
        </w:tc>
        <w:tc>
          <w:tcPr>
            <w:tcW w:w="1173" w:type="dxa"/>
            <w:vAlign w:val="center"/>
          </w:tcPr>
          <w:p w14:paraId="61D42BBF" w14:textId="46FDB284" w:rsidR="001D6544" w:rsidRPr="00006F36" w:rsidRDefault="001D6544" w:rsidP="001D6544">
            <w:pPr>
              <w:keepNext/>
              <w:keepLines/>
              <w:jc w:val="center"/>
              <w:rPr>
                <w:rFonts w:ascii="Arial Narrow" w:hAnsi="Arial Narrow"/>
                <w:b/>
                <w:bCs/>
                <w:sz w:val="20"/>
                <w:szCs w:val="20"/>
              </w:rPr>
            </w:pPr>
            <w:r w:rsidRPr="00006F36">
              <w:rPr>
                <w:rFonts w:ascii="Arial Narrow" w:hAnsi="Arial Narrow"/>
                <w:b/>
                <w:bCs/>
                <w:sz w:val="20"/>
                <w:szCs w:val="20"/>
              </w:rPr>
              <w:t>2025</w:t>
            </w:r>
          </w:p>
        </w:tc>
        <w:tc>
          <w:tcPr>
            <w:tcW w:w="1173" w:type="dxa"/>
            <w:vAlign w:val="center"/>
          </w:tcPr>
          <w:p w14:paraId="239F2D35" w14:textId="0DB64F64" w:rsidR="001D6544" w:rsidRPr="00006F36" w:rsidRDefault="001D6544" w:rsidP="001D6544">
            <w:pPr>
              <w:keepNext/>
              <w:keepLines/>
              <w:jc w:val="center"/>
              <w:rPr>
                <w:rFonts w:ascii="Arial Narrow" w:hAnsi="Arial Narrow"/>
                <w:b/>
                <w:bCs/>
                <w:sz w:val="20"/>
                <w:szCs w:val="20"/>
              </w:rPr>
            </w:pPr>
            <w:r w:rsidRPr="00006F36">
              <w:rPr>
                <w:rFonts w:ascii="Arial Narrow" w:hAnsi="Arial Narrow"/>
                <w:b/>
                <w:bCs/>
                <w:sz w:val="20"/>
                <w:szCs w:val="20"/>
              </w:rPr>
              <w:t>2026</w:t>
            </w:r>
          </w:p>
        </w:tc>
        <w:tc>
          <w:tcPr>
            <w:tcW w:w="1173" w:type="dxa"/>
            <w:vAlign w:val="center"/>
          </w:tcPr>
          <w:p w14:paraId="2C961688" w14:textId="26107636" w:rsidR="001D6544" w:rsidRPr="00006F36" w:rsidRDefault="001D6544" w:rsidP="001D6544">
            <w:pPr>
              <w:keepNext/>
              <w:keepLines/>
              <w:jc w:val="center"/>
              <w:rPr>
                <w:rFonts w:ascii="Arial Narrow" w:hAnsi="Arial Narrow"/>
                <w:b/>
                <w:bCs/>
                <w:sz w:val="20"/>
                <w:szCs w:val="20"/>
              </w:rPr>
            </w:pPr>
            <w:r w:rsidRPr="00006F36">
              <w:rPr>
                <w:rFonts w:ascii="Arial Narrow" w:hAnsi="Arial Narrow"/>
                <w:b/>
                <w:bCs/>
                <w:sz w:val="20"/>
                <w:szCs w:val="20"/>
              </w:rPr>
              <w:t>2027</w:t>
            </w:r>
          </w:p>
        </w:tc>
        <w:tc>
          <w:tcPr>
            <w:tcW w:w="1173" w:type="dxa"/>
            <w:vAlign w:val="center"/>
          </w:tcPr>
          <w:p w14:paraId="14EB35CD" w14:textId="6093C903" w:rsidR="001D6544" w:rsidRPr="00006F36" w:rsidRDefault="001D6544" w:rsidP="001D6544">
            <w:pPr>
              <w:keepNext/>
              <w:keepLines/>
              <w:jc w:val="center"/>
              <w:rPr>
                <w:rFonts w:ascii="Arial Narrow" w:hAnsi="Arial Narrow"/>
                <w:b/>
                <w:bCs/>
                <w:sz w:val="20"/>
                <w:szCs w:val="20"/>
              </w:rPr>
            </w:pPr>
            <w:r w:rsidRPr="00006F36">
              <w:rPr>
                <w:rFonts w:ascii="Arial Narrow" w:hAnsi="Arial Narrow"/>
                <w:b/>
                <w:bCs/>
                <w:sz w:val="20"/>
                <w:szCs w:val="20"/>
              </w:rPr>
              <w:t>2028</w:t>
            </w:r>
          </w:p>
        </w:tc>
        <w:tc>
          <w:tcPr>
            <w:tcW w:w="1173" w:type="dxa"/>
            <w:vAlign w:val="center"/>
          </w:tcPr>
          <w:p w14:paraId="1E7BBD83" w14:textId="2093584D" w:rsidR="001D6544" w:rsidRPr="00006F36" w:rsidRDefault="001D6544" w:rsidP="001D6544">
            <w:pPr>
              <w:keepNext/>
              <w:keepLines/>
              <w:jc w:val="center"/>
              <w:rPr>
                <w:rFonts w:ascii="Arial Narrow" w:hAnsi="Arial Narrow"/>
                <w:b/>
                <w:bCs/>
                <w:sz w:val="20"/>
                <w:szCs w:val="20"/>
              </w:rPr>
            </w:pPr>
            <w:r w:rsidRPr="00006F36">
              <w:rPr>
                <w:rFonts w:ascii="Arial Narrow" w:hAnsi="Arial Narrow"/>
                <w:b/>
                <w:bCs/>
                <w:sz w:val="20"/>
                <w:szCs w:val="20"/>
              </w:rPr>
              <w:t>2029</w:t>
            </w:r>
          </w:p>
        </w:tc>
      </w:tr>
      <w:tr w:rsidR="0058017B" w:rsidRPr="00006F36" w14:paraId="0FF2885D" w14:textId="77777777" w:rsidTr="00BE5ECE">
        <w:trPr>
          <w:trHeight w:val="20"/>
        </w:trPr>
        <w:tc>
          <w:tcPr>
            <w:tcW w:w="1980" w:type="dxa"/>
          </w:tcPr>
          <w:p w14:paraId="7D4DCD3B" w14:textId="40B5AB65" w:rsidR="0058017B" w:rsidRPr="00006F36" w:rsidRDefault="0058017B" w:rsidP="00BE5ECE">
            <w:pPr>
              <w:keepNext/>
              <w:keepLines/>
              <w:jc w:val="left"/>
              <w:rPr>
                <w:rFonts w:ascii="Arial Narrow" w:hAnsi="Arial Narrow"/>
                <w:sz w:val="20"/>
                <w:szCs w:val="20"/>
              </w:rPr>
            </w:pPr>
            <w:r w:rsidRPr="00006F36">
              <w:rPr>
                <w:rFonts w:ascii="Arial Narrow" w:hAnsi="Arial Narrow"/>
                <w:sz w:val="20"/>
                <w:szCs w:val="20"/>
              </w:rPr>
              <w:t xml:space="preserve">Migalastat use on PBS in patients with end organ </w:t>
            </w:r>
            <w:r w:rsidR="00A06F38" w:rsidRPr="00A06F38">
              <w:rPr>
                <w:rFonts w:ascii="Arial Narrow" w:hAnsi="Arial Narrow"/>
                <w:sz w:val="20"/>
                <w:szCs w:val="20"/>
              </w:rPr>
              <w:t>involvement/ injury</w:t>
            </w:r>
          </w:p>
        </w:tc>
        <w:tc>
          <w:tcPr>
            <w:tcW w:w="1172" w:type="dxa"/>
            <w:vAlign w:val="center"/>
          </w:tcPr>
          <w:p w14:paraId="2CC75249" w14:textId="102D63BA" w:rsidR="0058017B" w:rsidRPr="009005D3" w:rsidRDefault="00494449" w:rsidP="00BE5ECE">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839"/>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839"/>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839"/>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75AC8C1D" w14:textId="06502966" w:rsidR="0058017B" w:rsidRPr="009005D3" w:rsidRDefault="00494449" w:rsidP="00BE5ECE">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838"/>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838"/>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838"/>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77882D51" w14:textId="17FC4530" w:rsidR="0058017B" w:rsidRPr="009005D3" w:rsidRDefault="00494449" w:rsidP="00BE5ECE">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837"/>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837"/>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837"/>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3E3F7523" w14:textId="59F64EFC" w:rsidR="0058017B" w:rsidRPr="009005D3" w:rsidRDefault="00494449" w:rsidP="00BE5ECE">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836"/>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836"/>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836"/>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237D8B2B" w14:textId="326D35EF" w:rsidR="0058017B" w:rsidRPr="009005D3" w:rsidRDefault="00494449" w:rsidP="00BE5ECE">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835"/>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835"/>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835"/>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2250C717" w14:textId="1D439572" w:rsidR="0058017B" w:rsidRPr="009005D3" w:rsidRDefault="00494449" w:rsidP="00BE5ECE">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1" w:id="-961870834"/>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1" w:id="-961870834"/>
                <w14:textFill>
                  <w14:solidFill>
                    <w14:srgbClr w14:val="000000">
                      <w14:alpha w14:val="100000"/>
                    </w14:srgbClr>
                  </w14:solidFill>
                </w14:textFill>
              </w:rPr>
              <w:t>|</w:t>
            </w:r>
            <w:r w:rsidRPr="00494449">
              <w:rPr>
                <w:rFonts w:ascii="Arial Narrow" w:hAnsi="Arial Narrow" w:hint="eastAsia"/>
                <w:color w:val="000000"/>
                <w:spacing w:val="4"/>
                <w:w w:val="22"/>
                <w:sz w:val="20"/>
                <w:szCs w:val="20"/>
                <w:shd w:val="solid" w:color="000000" w:fill="000000"/>
                <w:fitText w:val="101" w:id="-961870834"/>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r>
      <w:tr w:rsidR="0058017B" w:rsidRPr="00006F36" w14:paraId="3A338CBA" w14:textId="77777777" w:rsidTr="00F76FE3">
        <w:trPr>
          <w:trHeight w:val="20"/>
        </w:trPr>
        <w:tc>
          <w:tcPr>
            <w:tcW w:w="1980" w:type="dxa"/>
          </w:tcPr>
          <w:p w14:paraId="2806C585" w14:textId="22B6FF7B" w:rsidR="0058017B" w:rsidRPr="00006F36" w:rsidRDefault="0058017B" w:rsidP="0058017B">
            <w:pPr>
              <w:keepNext/>
              <w:keepLines/>
              <w:jc w:val="left"/>
              <w:rPr>
                <w:rFonts w:ascii="Arial Narrow" w:hAnsi="Arial Narrow"/>
                <w:sz w:val="20"/>
                <w:szCs w:val="20"/>
              </w:rPr>
            </w:pPr>
            <w:r w:rsidRPr="00006F36">
              <w:rPr>
                <w:rFonts w:ascii="Arial Narrow" w:hAnsi="Arial Narrow"/>
                <w:sz w:val="20"/>
                <w:szCs w:val="20"/>
              </w:rPr>
              <w:t xml:space="preserve">Additional ERT naïve patients with end organ </w:t>
            </w:r>
            <w:r w:rsidR="00A06F38" w:rsidRPr="00A06F38">
              <w:rPr>
                <w:rFonts w:ascii="Arial Narrow" w:hAnsi="Arial Narrow"/>
                <w:sz w:val="20"/>
                <w:szCs w:val="20"/>
              </w:rPr>
              <w:t>involvement/ injury</w:t>
            </w:r>
            <w:r w:rsidRPr="00006F36">
              <w:rPr>
                <w:rFonts w:ascii="Arial Narrow" w:hAnsi="Arial Narrow"/>
                <w:sz w:val="20"/>
                <w:szCs w:val="20"/>
              </w:rPr>
              <w:t xml:space="preserve"> treated with migalastat if requirement for 12 months of ERT is removed </w:t>
            </w:r>
          </w:p>
        </w:tc>
        <w:tc>
          <w:tcPr>
            <w:tcW w:w="1172" w:type="dxa"/>
            <w:vAlign w:val="center"/>
          </w:tcPr>
          <w:p w14:paraId="26D45137" w14:textId="38C6F07C"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cs="Calibri" w:hint="eastAsia"/>
                <w:color w:val="000000"/>
                <w:w w:val="22"/>
                <w:sz w:val="20"/>
                <w:szCs w:val="20"/>
                <w:shd w:val="solid" w:color="000000" w:fill="000000"/>
                <w:fitText w:val="100" w:id="-961870833"/>
                <w14:textFill>
                  <w14:solidFill>
                    <w14:srgbClr w14:val="000000">
                      <w14:alpha w14:val="100000"/>
                    </w14:srgbClr>
                  </w14:solidFill>
                </w14:textFill>
              </w:rPr>
              <w:t xml:space="preserve">　</w:t>
            </w:r>
            <w:r w:rsidRPr="00494449">
              <w:rPr>
                <w:rFonts w:ascii="Arial Narrow" w:hAnsi="Arial Narrow" w:cs="Calibri"/>
                <w:color w:val="000000"/>
                <w:w w:val="22"/>
                <w:sz w:val="20"/>
                <w:szCs w:val="20"/>
                <w:shd w:val="solid" w:color="000000" w:fill="000000"/>
                <w:fitText w:val="100" w:id="-961870833"/>
                <w14:textFill>
                  <w14:solidFill>
                    <w14:srgbClr w14:val="000000">
                      <w14:alpha w14:val="100000"/>
                    </w14:srgbClr>
                  </w14:solidFill>
                </w14:textFill>
              </w:rPr>
              <w:t>|</w:t>
            </w:r>
            <w:r w:rsidRPr="00494449">
              <w:rPr>
                <w:rFonts w:ascii="Arial Narrow" w:hAnsi="Arial Narrow" w:cs="Calibri" w:hint="eastAsia"/>
                <w:color w:val="000000"/>
                <w:spacing w:val="3"/>
                <w:w w:val="22"/>
                <w:sz w:val="20"/>
                <w:szCs w:val="20"/>
                <w:shd w:val="solid" w:color="000000" w:fill="000000"/>
                <w:fitText w:val="100" w:id="-961870833"/>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3A3C72EA" w14:textId="05F05A75"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cs="Calibri" w:hint="eastAsia"/>
                <w:color w:val="000000"/>
                <w:w w:val="22"/>
                <w:sz w:val="20"/>
                <w:szCs w:val="20"/>
                <w:shd w:val="solid" w:color="000000" w:fill="000000"/>
                <w:fitText w:val="100" w:id="-961870832"/>
                <w14:textFill>
                  <w14:solidFill>
                    <w14:srgbClr w14:val="000000">
                      <w14:alpha w14:val="100000"/>
                    </w14:srgbClr>
                  </w14:solidFill>
                </w14:textFill>
              </w:rPr>
              <w:t xml:space="preserve">　</w:t>
            </w:r>
            <w:r w:rsidRPr="00494449">
              <w:rPr>
                <w:rFonts w:ascii="Arial Narrow" w:hAnsi="Arial Narrow" w:cs="Calibri"/>
                <w:color w:val="000000"/>
                <w:w w:val="22"/>
                <w:sz w:val="20"/>
                <w:szCs w:val="20"/>
                <w:shd w:val="solid" w:color="000000" w:fill="000000"/>
                <w:fitText w:val="100" w:id="-961870832"/>
                <w14:textFill>
                  <w14:solidFill>
                    <w14:srgbClr w14:val="000000">
                      <w14:alpha w14:val="100000"/>
                    </w14:srgbClr>
                  </w14:solidFill>
                </w14:textFill>
              </w:rPr>
              <w:t>|</w:t>
            </w:r>
            <w:r w:rsidRPr="00494449">
              <w:rPr>
                <w:rFonts w:ascii="Arial Narrow" w:hAnsi="Arial Narrow" w:cs="Calibri" w:hint="eastAsia"/>
                <w:color w:val="000000"/>
                <w:spacing w:val="3"/>
                <w:w w:val="22"/>
                <w:sz w:val="20"/>
                <w:szCs w:val="20"/>
                <w:shd w:val="solid" w:color="000000" w:fill="000000"/>
                <w:fitText w:val="100" w:id="-961870832"/>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3C113CDF" w14:textId="42EEFCEC"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cs="Calibri" w:hint="eastAsia"/>
                <w:color w:val="000000"/>
                <w:w w:val="22"/>
                <w:sz w:val="20"/>
                <w:szCs w:val="20"/>
                <w:shd w:val="solid" w:color="000000" w:fill="000000"/>
                <w:fitText w:val="100" w:id="-961870848"/>
                <w14:textFill>
                  <w14:solidFill>
                    <w14:srgbClr w14:val="000000">
                      <w14:alpha w14:val="100000"/>
                    </w14:srgbClr>
                  </w14:solidFill>
                </w14:textFill>
              </w:rPr>
              <w:t xml:space="preserve">　</w:t>
            </w:r>
            <w:r w:rsidRPr="00494449">
              <w:rPr>
                <w:rFonts w:ascii="Arial Narrow" w:hAnsi="Arial Narrow" w:cs="Calibri"/>
                <w:color w:val="000000"/>
                <w:w w:val="22"/>
                <w:sz w:val="20"/>
                <w:szCs w:val="20"/>
                <w:shd w:val="solid" w:color="000000" w:fill="000000"/>
                <w:fitText w:val="100" w:id="-961870848"/>
                <w14:textFill>
                  <w14:solidFill>
                    <w14:srgbClr w14:val="000000">
                      <w14:alpha w14:val="100000"/>
                    </w14:srgbClr>
                  </w14:solidFill>
                </w14:textFill>
              </w:rPr>
              <w:t>|</w:t>
            </w:r>
            <w:r w:rsidRPr="00494449">
              <w:rPr>
                <w:rFonts w:ascii="Arial Narrow" w:hAnsi="Arial Narrow" w:cs="Calibri" w:hint="eastAsia"/>
                <w:color w:val="000000"/>
                <w:spacing w:val="3"/>
                <w:w w:val="22"/>
                <w:sz w:val="20"/>
                <w:szCs w:val="20"/>
                <w:shd w:val="solid" w:color="000000" w:fill="000000"/>
                <w:fitText w:val="100" w:id="-961870848"/>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7C5903E3" w14:textId="6A7D2B9F"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cs="Calibri" w:hint="eastAsia"/>
                <w:color w:val="000000"/>
                <w:w w:val="22"/>
                <w:sz w:val="20"/>
                <w:szCs w:val="20"/>
                <w:shd w:val="solid" w:color="000000" w:fill="000000"/>
                <w:fitText w:val="100" w:id="-961870847"/>
                <w14:textFill>
                  <w14:solidFill>
                    <w14:srgbClr w14:val="000000">
                      <w14:alpha w14:val="100000"/>
                    </w14:srgbClr>
                  </w14:solidFill>
                </w14:textFill>
              </w:rPr>
              <w:t xml:space="preserve">　</w:t>
            </w:r>
            <w:r w:rsidRPr="00494449">
              <w:rPr>
                <w:rFonts w:ascii="Arial Narrow" w:hAnsi="Arial Narrow" w:cs="Calibri"/>
                <w:color w:val="000000"/>
                <w:w w:val="22"/>
                <w:sz w:val="20"/>
                <w:szCs w:val="20"/>
                <w:shd w:val="solid" w:color="000000" w:fill="000000"/>
                <w:fitText w:val="100" w:id="-961870847"/>
                <w14:textFill>
                  <w14:solidFill>
                    <w14:srgbClr w14:val="000000">
                      <w14:alpha w14:val="100000"/>
                    </w14:srgbClr>
                  </w14:solidFill>
                </w14:textFill>
              </w:rPr>
              <w:t>|</w:t>
            </w:r>
            <w:r w:rsidRPr="00494449">
              <w:rPr>
                <w:rFonts w:ascii="Arial Narrow" w:hAnsi="Arial Narrow" w:cs="Calibri" w:hint="eastAsia"/>
                <w:color w:val="000000"/>
                <w:spacing w:val="3"/>
                <w:w w:val="22"/>
                <w:sz w:val="20"/>
                <w:szCs w:val="20"/>
                <w:shd w:val="solid" w:color="000000" w:fill="000000"/>
                <w:fitText w:val="100" w:id="-961870847"/>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7DF7033D" w14:textId="47F334A9"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cs="Calibri" w:hint="eastAsia"/>
                <w:color w:val="000000"/>
                <w:w w:val="22"/>
                <w:sz w:val="20"/>
                <w:szCs w:val="20"/>
                <w:shd w:val="solid" w:color="000000" w:fill="000000"/>
                <w:fitText w:val="100" w:id="-961870846"/>
                <w14:textFill>
                  <w14:solidFill>
                    <w14:srgbClr w14:val="000000">
                      <w14:alpha w14:val="100000"/>
                    </w14:srgbClr>
                  </w14:solidFill>
                </w14:textFill>
              </w:rPr>
              <w:t xml:space="preserve">　</w:t>
            </w:r>
            <w:r w:rsidRPr="00494449">
              <w:rPr>
                <w:rFonts w:ascii="Arial Narrow" w:hAnsi="Arial Narrow" w:cs="Calibri"/>
                <w:color w:val="000000"/>
                <w:w w:val="22"/>
                <w:sz w:val="20"/>
                <w:szCs w:val="20"/>
                <w:shd w:val="solid" w:color="000000" w:fill="000000"/>
                <w:fitText w:val="100" w:id="-961870846"/>
                <w14:textFill>
                  <w14:solidFill>
                    <w14:srgbClr w14:val="000000">
                      <w14:alpha w14:val="100000"/>
                    </w14:srgbClr>
                  </w14:solidFill>
                </w14:textFill>
              </w:rPr>
              <w:t>|</w:t>
            </w:r>
            <w:r w:rsidRPr="00494449">
              <w:rPr>
                <w:rFonts w:ascii="Arial Narrow" w:hAnsi="Arial Narrow" w:cs="Calibri" w:hint="eastAsia"/>
                <w:color w:val="000000"/>
                <w:spacing w:val="3"/>
                <w:w w:val="22"/>
                <w:sz w:val="20"/>
                <w:szCs w:val="20"/>
                <w:shd w:val="solid" w:color="000000" w:fill="000000"/>
                <w:fitText w:val="100" w:id="-961870846"/>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08442B08" w14:textId="14A5E178"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cs="Calibri" w:hint="eastAsia"/>
                <w:color w:val="000000"/>
                <w:w w:val="22"/>
                <w:sz w:val="20"/>
                <w:szCs w:val="20"/>
                <w:shd w:val="solid" w:color="000000" w:fill="000000"/>
                <w:fitText w:val="101" w:id="-961870845"/>
                <w14:textFill>
                  <w14:solidFill>
                    <w14:srgbClr w14:val="000000">
                      <w14:alpha w14:val="100000"/>
                    </w14:srgbClr>
                  </w14:solidFill>
                </w14:textFill>
              </w:rPr>
              <w:t xml:space="preserve">　</w:t>
            </w:r>
            <w:r w:rsidRPr="00494449">
              <w:rPr>
                <w:rFonts w:ascii="Arial Narrow" w:hAnsi="Arial Narrow" w:cs="Calibri"/>
                <w:color w:val="000000"/>
                <w:w w:val="22"/>
                <w:sz w:val="20"/>
                <w:szCs w:val="20"/>
                <w:shd w:val="solid" w:color="000000" w:fill="000000"/>
                <w:fitText w:val="101" w:id="-961870845"/>
                <w14:textFill>
                  <w14:solidFill>
                    <w14:srgbClr w14:val="000000">
                      <w14:alpha w14:val="100000"/>
                    </w14:srgbClr>
                  </w14:solidFill>
                </w14:textFill>
              </w:rPr>
              <w:t>|</w:t>
            </w:r>
            <w:r w:rsidRPr="00494449">
              <w:rPr>
                <w:rFonts w:ascii="Arial Narrow" w:hAnsi="Arial Narrow" w:cs="Calibri" w:hint="eastAsia"/>
                <w:color w:val="000000"/>
                <w:spacing w:val="4"/>
                <w:w w:val="22"/>
                <w:sz w:val="20"/>
                <w:szCs w:val="20"/>
                <w:shd w:val="solid" w:color="000000" w:fill="000000"/>
                <w:fitText w:val="101" w:id="-961870845"/>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r>
      <w:tr w:rsidR="0058017B" w:rsidRPr="00006F36" w14:paraId="152678B1" w14:textId="77777777" w:rsidTr="00F76FE3">
        <w:trPr>
          <w:trHeight w:val="20"/>
        </w:trPr>
        <w:tc>
          <w:tcPr>
            <w:tcW w:w="1980" w:type="dxa"/>
          </w:tcPr>
          <w:p w14:paraId="7CC9C6E8" w14:textId="399E5E03" w:rsidR="0058017B" w:rsidRPr="00006F36" w:rsidRDefault="0058017B" w:rsidP="0058017B">
            <w:pPr>
              <w:keepNext/>
              <w:keepLines/>
              <w:jc w:val="left"/>
              <w:rPr>
                <w:rFonts w:ascii="Arial Narrow" w:hAnsi="Arial Narrow"/>
                <w:sz w:val="20"/>
                <w:szCs w:val="20"/>
              </w:rPr>
            </w:pPr>
            <w:r w:rsidRPr="00006F36">
              <w:rPr>
                <w:rFonts w:ascii="Arial Narrow" w:hAnsi="Arial Narrow"/>
                <w:sz w:val="20"/>
                <w:szCs w:val="20"/>
              </w:rPr>
              <w:t xml:space="preserve">Number of additional classical Fabry patients who will be treated with migalastat as early treatment </w:t>
            </w:r>
          </w:p>
        </w:tc>
        <w:tc>
          <w:tcPr>
            <w:tcW w:w="1172" w:type="dxa"/>
            <w:vAlign w:val="center"/>
          </w:tcPr>
          <w:p w14:paraId="63E0AB97" w14:textId="2BBB40E5"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844"/>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844"/>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844"/>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3D239CB1" w14:textId="0746A737"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843"/>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843"/>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843"/>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1A3F0E2A" w14:textId="6216973A"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842"/>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842"/>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842"/>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000F2F43" w14:textId="3785B798"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841"/>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841"/>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841"/>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6194D430" w14:textId="3E8CB3AC"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840"/>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840"/>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840"/>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259D0DC8" w14:textId="1467C729"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1" w:id="-961870839"/>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1" w:id="-961870839"/>
                <w14:textFill>
                  <w14:solidFill>
                    <w14:srgbClr w14:val="000000">
                      <w14:alpha w14:val="100000"/>
                    </w14:srgbClr>
                  </w14:solidFill>
                </w14:textFill>
              </w:rPr>
              <w:t>|</w:t>
            </w:r>
            <w:r w:rsidRPr="00494449">
              <w:rPr>
                <w:rFonts w:ascii="Arial Narrow" w:hAnsi="Arial Narrow" w:hint="eastAsia"/>
                <w:color w:val="000000"/>
                <w:spacing w:val="4"/>
                <w:w w:val="22"/>
                <w:sz w:val="20"/>
                <w:szCs w:val="20"/>
                <w:shd w:val="solid" w:color="000000" w:fill="000000"/>
                <w:fitText w:val="101" w:id="-961870839"/>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r>
      <w:tr w:rsidR="0058017B" w:rsidRPr="00006F36" w14:paraId="33A29465" w14:textId="77777777" w:rsidTr="00F76FE3">
        <w:trPr>
          <w:trHeight w:val="20"/>
        </w:trPr>
        <w:tc>
          <w:tcPr>
            <w:tcW w:w="1980" w:type="dxa"/>
          </w:tcPr>
          <w:p w14:paraId="0EB52882" w14:textId="57C8560B" w:rsidR="0058017B" w:rsidRPr="00006F36" w:rsidRDefault="0058017B" w:rsidP="0058017B">
            <w:pPr>
              <w:keepNext/>
              <w:keepLines/>
              <w:jc w:val="left"/>
              <w:rPr>
                <w:rFonts w:ascii="Arial Narrow" w:hAnsi="Arial Narrow"/>
                <w:b/>
                <w:bCs/>
                <w:sz w:val="20"/>
                <w:szCs w:val="20"/>
              </w:rPr>
            </w:pPr>
            <w:r w:rsidRPr="00006F36">
              <w:rPr>
                <w:rFonts w:ascii="Arial Narrow" w:hAnsi="Arial Narrow"/>
                <w:b/>
                <w:bCs/>
                <w:sz w:val="20"/>
                <w:szCs w:val="20"/>
              </w:rPr>
              <w:t>Total patients treated with migalastat</w:t>
            </w:r>
          </w:p>
        </w:tc>
        <w:tc>
          <w:tcPr>
            <w:tcW w:w="1172" w:type="dxa"/>
            <w:vAlign w:val="center"/>
          </w:tcPr>
          <w:p w14:paraId="56DFB128" w14:textId="2365CDD2" w:rsidR="0058017B" w:rsidRPr="009005D3" w:rsidRDefault="00494449" w:rsidP="0058017B">
            <w:pPr>
              <w:keepNext/>
              <w:keepLines/>
              <w:jc w:val="center"/>
              <w:rPr>
                <w:rFonts w:ascii="Arial Narrow" w:hAnsi="Arial Narrow"/>
                <w:b/>
                <w:bCs/>
                <w:sz w:val="20"/>
                <w:szCs w:val="20"/>
                <w:highlight w:val="lightGray"/>
              </w:rPr>
            </w:pPr>
            <w:r w:rsidRPr="00494449">
              <w:rPr>
                <w:rFonts w:ascii="Arial Narrow" w:hAnsi="Arial Narrow" w:hint="eastAsia"/>
                <w:b/>
                <w:bCs/>
                <w:color w:val="000000"/>
                <w:w w:val="33"/>
                <w:sz w:val="20"/>
                <w:szCs w:val="20"/>
                <w:shd w:val="solid" w:color="000000" w:fill="000000"/>
                <w:fitText w:val="150" w:id="-961870838"/>
                <w14:textFill>
                  <w14:solidFill>
                    <w14:srgbClr w14:val="000000">
                      <w14:alpha w14:val="100000"/>
                    </w14:srgbClr>
                  </w14:solidFill>
                </w14:textFill>
              </w:rPr>
              <w:t xml:space="preserve">　</w:t>
            </w:r>
            <w:r w:rsidRPr="00494449">
              <w:rPr>
                <w:rFonts w:ascii="Arial Narrow" w:hAnsi="Arial Narrow"/>
                <w:b/>
                <w:bCs/>
                <w:color w:val="000000"/>
                <w:w w:val="33"/>
                <w:sz w:val="20"/>
                <w:szCs w:val="20"/>
                <w:shd w:val="solid" w:color="000000" w:fill="000000"/>
                <w:fitText w:val="150" w:id="-961870838"/>
                <w14:textFill>
                  <w14:solidFill>
                    <w14:srgbClr w14:val="000000">
                      <w14:alpha w14:val="100000"/>
                    </w14:srgbClr>
                  </w14:solidFill>
                </w14:textFill>
              </w:rPr>
              <w:t>|</w:t>
            </w:r>
            <w:r w:rsidRPr="00494449">
              <w:rPr>
                <w:rFonts w:ascii="Arial Narrow" w:hAnsi="Arial Narrow" w:hint="eastAsia"/>
                <w:b/>
                <w:bCs/>
                <w:color w:val="000000"/>
                <w:spacing w:val="3"/>
                <w:w w:val="33"/>
                <w:sz w:val="20"/>
                <w:szCs w:val="20"/>
                <w:shd w:val="solid" w:color="000000" w:fill="000000"/>
                <w:fitText w:val="150" w:id="-961870838"/>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5E9C32A2" w14:textId="5754B20E" w:rsidR="0058017B" w:rsidRPr="009005D3" w:rsidRDefault="00494449" w:rsidP="0058017B">
            <w:pPr>
              <w:keepNext/>
              <w:keepLines/>
              <w:jc w:val="center"/>
              <w:rPr>
                <w:rFonts w:ascii="Arial Narrow" w:hAnsi="Arial Narrow"/>
                <w:b/>
                <w:bCs/>
                <w:sz w:val="20"/>
                <w:szCs w:val="20"/>
                <w:highlight w:val="lightGray"/>
              </w:rPr>
            </w:pPr>
            <w:r w:rsidRPr="00494449">
              <w:rPr>
                <w:rFonts w:ascii="Arial Narrow" w:hAnsi="Arial Narrow"/>
                <w:b/>
                <w:bCs/>
                <w:color w:val="000000"/>
                <w:spacing w:val="58"/>
                <w:sz w:val="20"/>
                <w:szCs w:val="20"/>
                <w:shd w:val="solid" w:color="000000" w:fill="000000"/>
                <w:fitText w:val="150" w:id="-961870837"/>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150" w:id="-961870837"/>
                <w14:textFill>
                  <w14:solidFill>
                    <w14:srgbClr w14:val="000000">
                      <w14:alpha w14:val="100000"/>
                    </w14:srgbClr>
                  </w14:solidFill>
                </w14:textFill>
              </w:rPr>
              <w:t>|</w:t>
            </w:r>
            <w:r w:rsidR="009005D3" w:rsidRPr="009005D3">
              <w:rPr>
                <w:rFonts w:ascii="Arial Narrow" w:hAnsi="Arial Narrow"/>
                <w:sz w:val="20"/>
                <w:szCs w:val="20"/>
                <w:vertAlign w:val="superscript"/>
              </w:rPr>
              <w:t>1</w:t>
            </w:r>
          </w:p>
        </w:tc>
        <w:tc>
          <w:tcPr>
            <w:tcW w:w="1173" w:type="dxa"/>
            <w:vAlign w:val="center"/>
          </w:tcPr>
          <w:p w14:paraId="294F484B" w14:textId="49424DA5" w:rsidR="0058017B" w:rsidRPr="009005D3" w:rsidRDefault="00494449" w:rsidP="0058017B">
            <w:pPr>
              <w:keepNext/>
              <w:keepLines/>
              <w:jc w:val="center"/>
              <w:rPr>
                <w:rFonts w:ascii="Arial Narrow" w:hAnsi="Arial Narrow"/>
                <w:b/>
                <w:bCs/>
                <w:sz w:val="20"/>
                <w:szCs w:val="20"/>
                <w:highlight w:val="lightGray"/>
              </w:rPr>
            </w:pPr>
            <w:r w:rsidRPr="00494449">
              <w:rPr>
                <w:rFonts w:ascii="Arial Narrow" w:hAnsi="Arial Narrow"/>
                <w:b/>
                <w:bCs/>
                <w:color w:val="000000"/>
                <w:spacing w:val="59"/>
                <w:sz w:val="20"/>
                <w:szCs w:val="20"/>
                <w:shd w:val="solid" w:color="000000" w:fill="000000"/>
                <w:fitText w:val="151" w:id="-961870836"/>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151" w:id="-961870836"/>
                <w14:textFill>
                  <w14:solidFill>
                    <w14:srgbClr w14:val="000000">
                      <w14:alpha w14:val="100000"/>
                    </w14:srgbClr>
                  </w14:solidFill>
                </w14:textFill>
              </w:rPr>
              <w:t>|</w:t>
            </w:r>
            <w:r w:rsidR="009005D3" w:rsidRPr="009005D3">
              <w:rPr>
                <w:rFonts w:ascii="Arial Narrow" w:hAnsi="Arial Narrow"/>
                <w:sz w:val="20"/>
                <w:szCs w:val="20"/>
                <w:vertAlign w:val="superscript"/>
              </w:rPr>
              <w:t>1</w:t>
            </w:r>
          </w:p>
        </w:tc>
        <w:tc>
          <w:tcPr>
            <w:tcW w:w="1173" w:type="dxa"/>
            <w:vAlign w:val="center"/>
          </w:tcPr>
          <w:p w14:paraId="61953E1C" w14:textId="2BBA96CD" w:rsidR="0058017B" w:rsidRPr="009005D3" w:rsidRDefault="00494449" w:rsidP="0058017B">
            <w:pPr>
              <w:keepNext/>
              <w:keepLines/>
              <w:jc w:val="center"/>
              <w:rPr>
                <w:rFonts w:ascii="Arial Narrow" w:hAnsi="Arial Narrow"/>
                <w:b/>
                <w:bCs/>
                <w:sz w:val="20"/>
                <w:szCs w:val="20"/>
                <w:highlight w:val="lightGray"/>
              </w:rPr>
            </w:pPr>
            <w:r w:rsidRPr="00494449">
              <w:rPr>
                <w:rFonts w:ascii="Arial Narrow" w:hAnsi="Arial Narrow"/>
                <w:b/>
                <w:bCs/>
                <w:color w:val="000000"/>
                <w:spacing w:val="59"/>
                <w:sz w:val="20"/>
                <w:szCs w:val="20"/>
                <w:shd w:val="solid" w:color="000000" w:fill="000000"/>
                <w:fitText w:val="151" w:id="-961870835"/>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151" w:id="-961870835"/>
                <w14:textFill>
                  <w14:solidFill>
                    <w14:srgbClr w14:val="000000">
                      <w14:alpha w14:val="100000"/>
                    </w14:srgbClr>
                  </w14:solidFill>
                </w14:textFill>
              </w:rPr>
              <w:t>|</w:t>
            </w:r>
            <w:r w:rsidR="009005D3" w:rsidRPr="009005D3">
              <w:rPr>
                <w:rFonts w:ascii="Arial Narrow" w:hAnsi="Arial Narrow"/>
                <w:sz w:val="20"/>
                <w:szCs w:val="20"/>
                <w:vertAlign w:val="superscript"/>
              </w:rPr>
              <w:t>1</w:t>
            </w:r>
          </w:p>
        </w:tc>
        <w:tc>
          <w:tcPr>
            <w:tcW w:w="1173" w:type="dxa"/>
            <w:vAlign w:val="center"/>
          </w:tcPr>
          <w:p w14:paraId="357CA259" w14:textId="7ECB308B" w:rsidR="0058017B" w:rsidRPr="009005D3" w:rsidRDefault="00494449" w:rsidP="0058017B">
            <w:pPr>
              <w:keepNext/>
              <w:keepLines/>
              <w:jc w:val="center"/>
              <w:rPr>
                <w:rFonts w:ascii="Arial Narrow" w:hAnsi="Arial Narrow"/>
                <w:b/>
                <w:bCs/>
                <w:sz w:val="20"/>
                <w:szCs w:val="20"/>
                <w:highlight w:val="lightGray"/>
              </w:rPr>
            </w:pPr>
            <w:r w:rsidRPr="00494449">
              <w:rPr>
                <w:rFonts w:ascii="Arial Narrow" w:hAnsi="Arial Narrow"/>
                <w:b/>
                <w:bCs/>
                <w:color w:val="000000"/>
                <w:spacing w:val="59"/>
                <w:sz w:val="20"/>
                <w:szCs w:val="20"/>
                <w:shd w:val="solid" w:color="000000" w:fill="000000"/>
                <w:fitText w:val="151" w:id="-961870834"/>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151" w:id="-961870834"/>
                <w14:textFill>
                  <w14:solidFill>
                    <w14:srgbClr w14:val="000000">
                      <w14:alpha w14:val="100000"/>
                    </w14:srgbClr>
                  </w14:solidFill>
                </w14:textFill>
              </w:rPr>
              <w:t>|</w:t>
            </w:r>
            <w:r w:rsidR="009005D3" w:rsidRPr="009005D3">
              <w:rPr>
                <w:rFonts w:ascii="Arial Narrow" w:hAnsi="Arial Narrow"/>
                <w:sz w:val="20"/>
                <w:szCs w:val="20"/>
                <w:vertAlign w:val="superscript"/>
              </w:rPr>
              <w:t>1</w:t>
            </w:r>
          </w:p>
        </w:tc>
        <w:tc>
          <w:tcPr>
            <w:tcW w:w="1173" w:type="dxa"/>
            <w:vAlign w:val="center"/>
          </w:tcPr>
          <w:p w14:paraId="096CF293" w14:textId="4A8B45DB" w:rsidR="0058017B" w:rsidRPr="009005D3" w:rsidRDefault="00494449" w:rsidP="0058017B">
            <w:pPr>
              <w:keepNext/>
              <w:keepLines/>
              <w:jc w:val="center"/>
              <w:rPr>
                <w:rFonts w:ascii="Arial Narrow" w:hAnsi="Arial Narrow"/>
                <w:b/>
                <w:bCs/>
                <w:sz w:val="20"/>
                <w:szCs w:val="20"/>
                <w:highlight w:val="lightGray"/>
              </w:rPr>
            </w:pPr>
            <w:r w:rsidRPr="00494449">
              <w:rPr>
                <w:rFonts w:ascii="Arial Narrow" w:hAnsi="Arial Narrow" w:hint="eastAsia"/>
                <w:b/>
                <w:bCs/>
                <w:color w:val="000000"/>
                <w:w w:val="33"/>
                <w:sz w:val="20"/>
                <w:szCs w:val="20"/>
                <w:shd w:val="solid" w:color="000000" w:fill="000000"/>
                <w:fitText w:val="150" w:id="-961870833"/>
                <w14:textFill>
                  <w14:solidFill>
                    <w14:srgbClr w14:val="000000">
                      <w14:alpha w14:val="100000"/>
                    </w14:srgbClr>
                  </w14:solidFill>
                </w14:textFill>
              </w:rPr>
              <w:t xml:space="preserve">　</w:t>
            </w:r>
            <w:r w:rsidRPr="00494449">
              <w:rPr>
                <w:rFonts w:ascii="Arial Narrow" w:hAnsi="Arial Narrow"/>
                <w:b/>
                <w:bCs/>
                <w:color w:val="000000"/>
                <w:w w:val="33"/>
                <w:sz w:val="20"/>
                <w:szCs w:val="20"/>
                <w:shd w:val="solid" w:color="000000" w:fill="000000"/>
                <w:fitText w:val="150" w:id="-961870833"/>
                <w14:textFill>
                  <w14:solidFill>
                    <w14:srgbClr w14:val="000000">
                      <w14:alpha w14:val="100000"/>
                    </w14:srgbClr>
                  </w14:solidFill>
                </w14:textFill>
              </w:rPr>
              <w:t>|</w:t>
            </w:r>
            <w:r w:rsidRPr="00494449">
              <w:rPr>
                <w:rFonts w:ascii="Arial Narrow" w:hAnsi="Arial Narrow" w:hint="eastAsia"/>
                <w:b/>
                <w:bCs/>
                <w:color w:val="000000"/>
                <w:spacing w:val="3"/>
                <w:w w:val="33"/>
                <w:sz w:val="20"/>
                <w:szCs w:val="20"/>
                <w:shd w:val="solid" w:color="000000" w:fill="000000"/>
                <w:fitText w:val="150" w:id="-961870833"/>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r>
      <w:tr w:rsidR="0058017B" w:rsidRPr="00006F36" w14:paraId="0C3C1551" w14:textId="77777777" w:rsidTr="00F76FE3">
        <w:trPr>
          <w:trHeight w:val="20"/>
        </w:trPr>
        <w:tc>
          <w:tcPr>
            <w:tcW w:w="1980" w:type="dxa"/>
          </w:tcPr>
          <w:p w14:paraId="7F23B9DC" w14:textId="4B2D92CE" w:rsidR="0058017B" w:rsidRPr="00006F36" w:rsidRDefault="0058017B" w:rsidP="0058017B">
            <w:pPr>
              <w:keepNext/>
              <w:keepLines/>
              <w:jc w:val="left"/>
              <w:rPr>
                <w:rFonts w:ascii="Arial Narrow" w:hAnsi="Arial Narrow"/>
                <w:sz w:val="20"/>
                <w:szCs w:val="20"/>
                <w:vertAlign w:val="superscript"/>
              </w:rPr>
            </w:pPr>
            <w:r w:rsidRPr="00006F36">
              <w:rPr>
                <w:rFonts w:ascii="Arial Narrow" w:hAnsi="Arial Narrow"/>
                <w:sz w:val="20"/>
                <w:szCs w:val="20"/>
              </w:rPr>
              <w:t xml:space="preserve">Number of migalastat scripts </w:t>
            </w:r>
            <w:r w:rsidRPr="00006F36">
              <w:rPr>
                <w:rFonts w:ascii="Arial Narrow" w:hAnsi="Arial Narrow"/>
                <w:sz w:val="20"/>
                <w:szCs w:val="20"/>
                <w:vertAlign w:val="superscript"/>
              </w:rPr>
              <w:t>a</w:t>
            </w:r>
          </w:p>
        </w:tc>
        <w:tc>
          <w:tcPr>
            <w:tcW w:w="1172" w:type="dxa"/>
            <w:vAlign w:val="center"/>
          </w:tcPr>
          <w:p w14:paraId="189E1E97" w14:textId="1E23FF7A"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592"/>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592"/>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592"/>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2</w:t>
            </w:r>
          </w:p>
        </w:tc>
        <w:tc>
          <w:tcPr>
            <w:tcW w:w="1173" w:type="dxa"/>
            <w:vAlign w:val="center"/>
          </w:tcPr>
          <w:p w14:paraId="05084F77" w14:textId="008C86EA"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591"/>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591"/>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591"/>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2</w:t>
            </w:r>
          </w:p>
        </w:tc>
        <w:tc>
          <w:tcPr>
            <w:tcW w:w="1173" w:type="dxa"/>
            <w:vAlign w:val="center"/>
          </w:tcPr>
          <w:p w14:paraId="2ADD3C15" w14:textId="019F258F"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590"/>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590"/>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590"/>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2</w:t>
            </w:r>
          </w:p>
        </w:tc>
        <w:tc>
          <w:tcPr>
            <w:tcW w:w="1173" w:type="dxa"/>
            <w:vAlign w:val="center"/>
          </w:tcPr>
          <w:p w14:paraId="0456BFC8" w14:textId="172E2C70"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589"/>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589"/>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589"/>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2</w:t>
            </w:r>
          </w:p>
        </w:tc>
        <w:tc>
          <w:tcPr>
            <w:tcW w:w="1173" w:type="dxa"/>
            <w:vAlign w:val="center"/>
          </w:tcPr>
          <w:p w14:paraId="0F082072" w14:textId="3C17C6D2"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588"/>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588"/>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588"/>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2</w:t>
            </w:r>
          </w:p>
        </w:tc>
        <w:tc>
          <w:tcPr>
            <w:tcW w:w="1173" w:type="dxa"/>
            <w:vAlign w:val="center"/>
          </w:tcPr>
          <w:p w14:paraId="45D15F26" w14:textId="5F558001"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1" w:id="-961870587"/>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1" w:id="-961870587"/>
                <w14:textFill>
                  <w14:solidFill>
                    <w14:srgbClr w14:val="000000">
                      <w14:alpha w14:val="100000"/>
                    </w14:srgbClr>
                  </w14:solidFill>
                </w14:textFill>
              </w:rPr>
              <w:t>|</w:t>
            </w:r>
            <w:r w:rsidRPr="00494449">
              <w:rPr>
                <w:rFonts w:ascii="Arial Narrow" w:hAnsi="Arial Narrow" w:hint="eastAsia"/>
                <w:color w:val="000000"/>
                <w:spacing w:val="4"/>
                <w:w w:val="22"/>
                <w:sz w:val="20"/>
                <w:szCs w:val="20"/>
                <w:shd w:val="solid" w:color="000000" w:fill="000000"/>
                <w:fitText w:val="101" w:id="-961870587"/>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2</w:t>
            </w:r>
          </w:p>
        </w:tc>
      </w:tr>
      <w:tr w:rsidR="0058017B" w:rsidRPr="00006F36" w14:paraId="180745DC" w14:textId="77777777" w:rsidTr="00F76FE3">
        <w:trPr>
          <w:trHeight w:val="20"/>
        </w:trPr>
        <w:tc>
          <w:tcPr>
            <w:tcW w:w="1980" w:type="dxa"/>
          </w:tcPr>
          <w:p w14:paraId="3F5E504A" w14:textId="2E65CB72" w:rsidR="0058017B" w:rsidRPr="00006F36" w:rsidRDefault="0058017B" w:rsidP="0058017B">
            <w:pPr>
              <w:keepNext/>
              <w:keepLines/>
              <w:jc w:val="left"/>
              <w:rPr>
                <w:rFonts w:ascii="Arial Narrow" w:hAnsi="Arial Narrow"/>
                <w:b/>
                <w:bCs/>
                <w:sz w:val="20"/>
                <w:szCs w:val="20"/>
                <w:vertAlign w:val="superscript"/>
              </w:rPr>
            </w:pPr>
            <w:r w:rsidRPr="00006F36">
              <w:rPr>
                <w:rFonts w:ascii="Arial Narrow" w:hAnsi="Arial Narrow"/>
                <w:b/>
                <w:bCs/>
                <w:sz w:val="20"/>
                <w:szCs w:val="20"/>
              </w:rPr>
              <w:t xml:space="preserve">Net cost to PBS </w:t>
            </w:r>
            <w:r w:rsidRPr="00006F36">
              <w:rPr>
                <w:rFonts w:ascii="Arial Narrow" w:hAnsi="Arial Narrow"/>
                <w:b/>
                <w:bCs/>
                <w:sz w:val="20"/>
                <w:szCs w:val="20"/>
                <w:vertAlign w:val="superscript"/>
              </w:rPr>
              <w:t>b</w:t>
            </w:r>
          </w:p>
        </w:tc>
        <w:tc>
          <w:tcPr>
            <w:tcW w:w="1172" w:type="dxa"/>
          </w:tcPr>
          <w:p w14:paraId="203AFEA0" w14:textId="52AFEB43" w:rsidR="0058017B" w:rsidRPr="009005D3" w:rsidRDefault="00494449" w:rsidP="0058017B">
            <w:pPr>
              <w:keepNext/>
              <w:keepLines/>
              <w:jc w:val="center"/>
              <w:rPr>
                <w:rFonts w:ascii="Arial Narrow" w:hAnsi="Arial Narrow"/>
                <w:b/>
                <w:bCs/>
                <w:sz w:val="20"/>
                <w:szCs w:val="20"/>
                <w:highlight w:val="lightGray"/>
              </w:rPr>
            </w:pPr>
            <w:r w:rsidRPr="00494449">
              <w:rPr>
                <w:rFonts w:ascii="Arial Narrow" w:hAnsi="Arial Narrow" w:hint="eastAsia"/>
                <w:b/>
                <w:bCs/>
                <w:color w:val="000000"/>
                <w:w w:val="33"/>
                <w:sz w:val="20"/>
                <w:szCs w:val="20"/>
                <w:shd w:val="solid" w:color="000000" w:fill="000000"/>
                <w:fitText w:val="150" w:id="-961870586"/>
                <w14:textFill>
                  <w14:solidFill>
                    <w14:srgbClr w14:val="000000">
                      <w14:alpha w14:val="100000"/>
                    </w14:srgbClr>
                  </w14:solidFill>
                </w14:textFill>
              </w:rPr>
              <w:t xml:space="preserve">　</w:t>
            </w:r>
            <w:r w:rsidRPr="00494449">
              <w:rPr>
                <w:rFonts w:ascii="Arial Narrow" w:hAnsi="Arial Narrow"/>
                <w:b/>
                <w:bCs/>
                <w:color w:val="000000"/>
                <w:w w:val="33"/>
                <w:sz w:val="20"/>
                <w:szCs w:val="20"/>
                <w:shd w:val="solid" w:color="000000" w:fill="000000"/>
                <w:fitText w:val="150" w:id="-961870586"/>
                <w14:textFill>
                  <w14:solidFill>
                    <w14:srgbClr w14:val="000000">
                      <w14:alpha w14:val="100000"/>
                    </w14:srgbClr>
                  </w14:solidFill>
                </w14:textFill>
              </w:rPr>
              <w:t>|</w:t>
            </w:r>
            <w:r w:rsidRPr="00494449">
              <w:rPr>
                <w:rFonts w:ascii="Arial Narrow" w:hAnsi="Arial Narrow" w:hint="eastAsia"/>
                <w:b/>
                <w:bCs/>
                <w:color w:val="000000"/>
                <w:spacing w:val="3"/>
                <w:w w:val="33"/>
                <w:sz w:val="20"/>
                <w:szCs w:val="20"/>
                <w:shd w:val="solid" w:color="000000" w:fill="000000"/>
                <w:fitText w:val="150" w:id="-961870586"/>
                <w14:textFill>
                  <w14:solidFill>
                    <w14:srgbClr w14:val="000000">
                      <w14:alpha w14:val="100000"/>
                    </w14:srgbClr>
                  </w14:solidFill>
                </w14:textFill>
              </w:rPr>
              <w:t xml:space="preserve">　</w:t>
            </w:r>
            <w:r w:rsidR="009005D3" w:rsidRPr="009005D3">
              <w:rPr>
                <w:rFonts w:ascii="Arial Narrow" w:hAnsi="Arial Narrow"/>
                <w:b/>
                <w:bCs/>
                <w:sz w:val="20"/>
                <w:szCs w:val="20"/>
                <w:vertAlign w:val="superscript"/>
              </w:rPr>
              <w:t>3</w:t>
            </w:r>
          </w:p>
        </w:tc>
        <w:tc>
          <w:tcPr>
            <w:tcW w:w="1173" w:type="dxa"/>
          </w:tcPr>
          <w:p w14:paraId="12470E81" w14:textId="02602C30" w:rsidR="0058017B" w:rsidRPr="009005D3" w:rsidRDefault="00494449" w:rsidP="0058017B">
            <w:pPr>
              <w:keepNext/>
              <w:keepLines/>
              <w:jc w:val="center"/>
              <w:rPr>
                <w:rFonts w:ascii="Arial Narrow" w:hAnsi="Arial Narrow"/>
                <w:b/>
                <w:bCs/>
                <w:sz w:val="20"/>
                <w:szCs w:val="20"/>
                <w:highlight w:val="lightGray"/>
              </w:rPr>
            </w:pPr>
            <w:r w:rsidRPr="00494449">
              <w:rPr>
                <w:rFonts w:ascii="Arial Narrow" w:hAnsi="Arial Narrow"/>
                <w:b/>
                <w:bCs/>
                <w:color w:val="000000"/>
                <w:spacing w:val="58"/>
                <w:sz w:val="20"/>
                <w:szCs w:val="20"/>
                <w:shd w:val="solid" w:color="000000" w:fill="000000"/>
                <w:fitText w:val="150" w:id="-961870585"/>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150" w:id="-961870585"/>
                <w14:textFill>
                  <w14:solidFill>
                    <w14:srgbClr w14:val="000000">
                      <w14:alpha w14:val="100000"/>
                    </w14:srgbClr>
                  </w14:solidFill>
                </w14:textFill>
              </w:rPr>
              <w:t>|</w:t>
            </w:r>
            <w:r w:rsidR="005374B8" w:rsidRPr="009005D3">
              <w:rPr>
                <w:rFonts w:ascii="Arial Narrow" w:hAnsi="Arial Narrow"/>
                <w:b/>
                <w:bCs/>
                <w:sz w:val="20"/>
                <w:szCs w:val="20"/>
                <w:vertAlign w:val="superscript"/>
              </w:rPr>
              <w:t>3</w:t>
            </w:r>
          </w:p>
        </w:tc>
        <w:tc>
          <w:tcPr>
            <w:tcW w:w="1173" w:type="dxa"/>
          </w:tcPr>
          <w:p w14:paraId="4B041E30" w14:textId="5E60425C" w:rsidR="0058017B" w:rsidRPr="009005D3" w:rsidRDefault="00494449" w:rsidP="0058017B">
            <w:pPr>
              <w:keepNext/>
              <w:keepLines/>
              <w:jc w:val="center"/>
              <w:rPr>
                <w:rFonts w:ascii="Arial Narrow" w:hAnsi="Arial Narrow"/>
                <w:b/>
                <w:bCs/>
                <w:sz w:val="20"/>
                <w:szCs w:val="20"/>
                <w:highlight w:val="lightGray"/>
              </w:rPr>
            </w:pPr>
            <w:r w:rsidRPr="00494449">
              <w:rPr>
                <w:rFonts w:ascii="Arial Narrow" w:hAnsi="Arial Narrow"/>
                <w:b/>
                <w:bCs/>
                <w:color w:val="000000"/>
                <w:spacing w:val="59"/>
                <w:sz w:val="20"/>
                <w:szCs w:val="20"/>
                <w:shd w:val="solid" w:color="000000" w:fill="000000"/>
                <w:fitText w:val="151" w:id="-961870584"/>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151" w:id="-961870584"/>
                <w14:textFill>
                  <w14:solidFill>
                    <w14:srgbClr w14:val="000000">
                      <w14:alpha w14:val="100000"/>
                    </w14:srgbClr>
                  </w14:solidFill>
                </w14:textFill>
              </w:rPr>
              <w:t>|</w:t>
            </w:r>
            <w:r w:rsidR="005374B8" w:rsidRPr="009005D3">
              <w:rPr>
                <w:rFonts w:ascii="Arial Narrow" w:hAnsi="Arial Narrow"/>
                <w:b/>
                <w:bCs/>
                <w:sz w:val="20"/>
                <w:szCs w:val="20"/>
                <w:vertAlign w:val="superscript"/>
              </w:rPr>
              <w:t>3</w:t>
            </w:r>
          </w:p>
        </w:tc>
        <w:tc>
          <w:tcPr>
            <w:tcW w:w="1173" w:type="dxa"/>
          </w:tcPr>
          <w:p w14:paraId="78070188" w14:textId="17FD9CB1" w:rsidR="0058017B" w:rsidRPr="009005D3" w:rsidRDefault="00494449" w:rsidP="0058017B">
            <w:pPr>
              <w:keepNext/>
              <w:keepLines/>
              <w:jc w:val="center"/>
              <w:rPr>
                <w:rFonts w:ascii="Arial Narrow" w:hAnsi="Arial Narrow"/>
                <w:b/>
                <w:bCs/>
                <w:sz w:val="20"/>
                <w:szCs w:val="20"/>
                <w:highlight w:val="lightGray"/>
              </w:rPr>
            </w:pPr>
            <w:r w:rsidRPr="00494449">
              <w:rPr>
                <w:rFonts w:ascii="Arial Narrow" w:hAnsi="Arial Narrow"/>
                <w:b/>
                <w:bCs/>
                <w:color w:val="000000"/>
                <w:spacing w:val="59"/>
                <w:sz w:val="20"/>
                <w:szCs w:val="20"/>
                <w:shd w:val="solid" w:color="000000" w:fill="000000"/>
                <w:fitText w:val="151" w:id="-961870583"/>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151" w:id="-961870583"/>
                <w14:textFill>
                  <w14:solidFill>
                    <w14:srgbClr w14:val="000000">
                      <w14:alpha w14:val="100000"/>
                    </w14:srgbClr>
                  </w14:solidFill>
                </w14:textFill>
              </w:rPr>
              <w:t>|</w:t>
            </w:r>
            <w:r w:rsidR="005374B8" w:rsidRPr="009005D3">
              <w:rPr>
                <w:rFonts w:ascii="Arial Narrow" w:hAnsi="Arial Narrow"/>
                <w:b/>
                <w:bCs/>
                <w:sz w:val="20"/>
                <w:szCs w:val="20"/>
                <w:vertAlign w:val="superscript"/>
              </w:rPr>
              <w:t>3</w:t>
            </w:r>
          </w:p>
        </w:tc>
        <w:tc>
          <w:tcPr>
            <w:tcW w:w="1173" w:type="dxa"/>
          </w:tcPr>
          <w:p w14:paraId="3FD2C667" w14:textId="5C6B9549" w:rsidR="0058017B" w:rsidRPr="009005D3" w:rsidRDefault="00494449" w:rsidP="0058017B">
            <w:pPr>
              <w:keepNext/>
              <w:keepLines/>
              <w:jc w:val="center"/>
              <w:rPr>
                <w:rFonts w:ascii="Arial Narrow" w:hAnsi="Arial Narrow"/>
                <w:b/>
                <w:bCs/>
                <w:sz w:val="20"/>
                <w:szCs w:val="20"/>
                <w:highlight w:val="lightGray"/>
              </w:rPr>
            </w:pPr>
            <w:r w:rsidRPr="00494449">
              <w:rPr>
                <w:rFonts w:ascii="Arial Narrow" w:hAnsi="Arial Narrow"/>
                <w:b/>
                <w:bCs/>
                <w:color w:val="000000"/>
                <w:spacing w:val="59"/>
                <w:sz w:val="20"/>
                <w:szCs w:val="20"/>
                <w:shd w:val="solid" w:color="000000" w:fill="000000"/>
                <w:fitText w:val="151" w:id="-961870582"/>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151" w:id="-961870582"/>
                <w14:textFill>
                  <w14:solidFill>
                    <w14:srgbClr w14:val="000000">
                      <w14:alpha w14:val="100000"/>
                    </w14:srgbClr>
                  </w14:solidFill>
                </w14:textFill>
              </w:rPr>
              <w:t>|</w:t>
            </w:r>
            <w:r w:rsidR="005374B8" w:rsidRPr="009005D3">
              <w:rPr>
                <w:rFonts w:ascii="Arial Narrow" w:hAnsi="Arial Narrow"/>
                <w:b/>
                <w:bCs/>
                <w:sz w:val="20"/>
                <w:szCs w:val="20"/>
                <w:vertAlign w:val="superscript"/>
              </w:rPr>
              <w:t>3</w:t>
            </w:r>
          </w:p>
        </w:tc>
        <w:tc>
          <w:tcPr>
            <w:tcW w:w="1173" w:type="dxa"/>
          </w:tcPr>
          <w:p w14:paraId="14122AF9" w14:textId="6F0A5890" w:rsidR="0058017B" w:rsidRPr="009005D3" w:rsidRDefault="00494449" w:rsidP="0058017B">
            <w:pPr>
              <w:keepNext/>
              <w:keepLines/>
              <w:jc w:val="center"/>
              <w:rPr>
                <w:rFonts w:ascii="Arial Narrow" w:hAnsi="Arial Narrow"/>
                <w:b/>
                <w:bCs/>
                <w:sz w:val="20"/>
                <w:szCs w:val="20"/>
                <w:highlight w:val="lightGray"/>
              </w:rPr>
            </w:pPr>
            <w:r w:rsidRPr="00494449">
              <w:rPr>
                <w:rFonts w:ascii="Arial Narrow" w:hAnsi="Arial Narrow" w:hint="eastAsia"/>
                <w:b/>
                <w:bCs/>
                <w:color w:val="000000"/>
                <w:w w:val="33"/>
                <w:sz w:val="20"/>
                <w:szCs w:val="20"/>
                <w:shd w:val="solid" w:color="000000" w:fill="000000"/>
                <w:fitText w:val="150" w:id="-961870581"/>
                <w14:textFill>
                  <w14:solidFill>
                    <w14:srgbClr w14:val="000000">
                      <w14:alpha w14:val="100000"/>
                    </w14:srgbClr>
                  </w14:solidFill>
                </w14:textFill>
              </w:rPr>
              <w:t xml:space="preserve">　</w:t>
            </w:r>
            <w:r w:rsidRPr="00494449">
              <w:rPr>
                <w:rFonts w:ascii="Arial Narrow" w:hAnsi="Arial Narrow"/>
                <w:b/>
                <w:bCs/>
                <w:color w:val="000000"/>
                <w:w w:val="33"/>
                <w:sz w:val="20"/>
                <w:szCs w:val="20"/>
                <w:shd w:val="solid" w:color="000000" w:fill="000000"/>
                <w:fitText w:val="150" w:id="-961870581"/>
                <w14:textFill>
                  <w14:solidFill>
                    <w14:srgbClr w14:val="000000">
                      <w14:alpha w14:val="100000"/>
                    </w14:srgbClr>
                  </w14:solidFill>
                </w14:textFill>
              </w:rPr>
              <w:t>|</w:t>
            </w:r>
            <w:r w:rsidRPr="00494449">
              <w:rPr>
                <w:rFonts w:ascii="Arial Narrow" w:hAnsi="Arial Narrow" w:hint="eastAsia"/>
                <w:b/>
                <w:bCs/>
                <w:color w:val="000000"/>
                <w:spacing w:val="3"/>
                <w:w w:val="33"/>
                <w:sz w:val="20"/>
                <w:szCs w:val="20"/>
                <w:shd w:val="solid" w:color="000000" w:fill="000000"/>
                <w:fitText w:val="150" w:id="-961870581"/>
                <w14:textFill>
                  <w14:solidFill>
                    <w14:srgbClr w14:val="000000">
                      <w14:alpha w14:val="100000"/>
                    </w14:srgbClr>
                  </w14:solidFill>
                </w14:textFill>
              </w:rPr>
              <w:t xml:space="preserve">　</w:t>
            </w:r>
            <w:r w:rsidR="005374B8" w:rsidRPr="005374B8">
              <w:rPr>
                <w:rFonts w:ascii="Arial Narrow" w:hAnsi="Arial Narrow"/>
                <w:b/>
                <w:bCs/>
                <w:sz w:val="20"/>
                <w:szCs w:val="20"/>
                <w:vertAlign w:val="superscript"/>
              </w:rPr>
              <w:t>4</w:t>
            </w:r>
          </w:p>
        </w:tc>
      </w:tr>
      <w:tr w:rsidR="0058017B" w:rsidRPr="00006F36" w14:paraId="6AFA9695" w14:textId="77777777" w:rsidTr="002B3F3A">
        <w:trPr>
          <w:trHeight w:val="20"/>
        </w:trPr>
        <w:tc>
          <w:tcPr>
            <w:tcW w:w="9017" w:type="dxa"/>
            <w:gridSpan w:val="7"/>
          </w:tcPr>
          <w:p w14:paraId="7FF1669D" w14:textId="153480C0" w:rsidR="0058017B" w:rsidRPr="00006F36" w:rsidRDefault="0058017B" w:rsidP="0058017B">
            <w:pPr>
              <w:keepNext/>
              <w:keepLines/>
              <w:jc w:val="left"/>
              <w:rPr>
                <w:rFonts w:ascii="Arial Narrow" w:hAnsi="Arial Narrow"/>
                <w:sz w:val="20"/>
                <w:szCs w:val="20"/>
              </w:rPr>
            </w:pPr>
            <w:r w:rsidRPr="00006F36">
              <w:rPr>
                <w:rFonts w:ascii="Arial Narrow" w:hAnsi="Arial Narrow"/>
                <w:sz w:val="20"/>
                <w:szCs w:val="20"/>
              </w:rPr>
              <w:t>Cost offsets from LSDP</w:t>
            </w:r>
          </w:p>
        </w:tc>
      </w:tr>
      <w:tr w:rsidR="0058017B" w:rsidRPr="00006F36" w14:paraId="6A6AE3E0" w14:textId="77777777" w:rsidTr="00F76FE3">
        <w:trPr>
          <w:trHeight w:val="20"/>
        </w:trPr>
        <w:tc>
          <w:tcPr>
            <w:tcW w:w="1980" w:type="dxa"/>
          </w:tcPr>
          <w:p w14:paraId="65728D18" w14:textId="0DA19540" w:rsidR="0058017B" w:rsidRPr="00006F36" w:rsidRDefault="0058017B" w:rsidP="0058017B">
            <w:pPr>
              <w:keepNext/>
              <w:keepLines/>
              <w:jc w:val="left"/>
              <w:rPr>
                <w:rFonts w:ascii="Arial Narrow" w:hAnsi="Arial Narrow"/>
                <w:sz w:val="20"/>
                <w:szCs w:val="20"/>
              </w:rPr>
            </w:pPr>
            <w:r w:rsidRPr="00006F36">
              <w:rPr>
                <w:rFonts w:ascii="Arial Narrow" w:hAnsi="Arial Narrow"/>
                <w:sz w:val="20"/>
                <w:szCs w:val="20"/>
              </w:rPr>
              <w:t>Substituted patients now using migalastat on PBS</w:t>
            </w:r>
          </w:p>
        </w:tc>
        <w:tc>
          <w:tcPr>
            <w:tcW w:w="1172" w:type="dxa"/>
            <w:vAlign w:val="center"/>
          </w:tcPr>
          <w:p w14:paraId="769BC8A0" w14:textId="7DA8D7A4"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580"/>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580"/>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580"/>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516CAC71" w14:textId="777A990A"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579"/>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579"/>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579"/>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512050E1" w14:textId="74A8FE8A"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578"/>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578"/>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578"/>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5FCB9BCE" w14:textId="53945B39"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577"/>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577"/>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577"/>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21252666" w14:textId="096C0994"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576"/>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576"/>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576"/>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293ED47F" w14:textId="62327F81"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1" w:id="-961870592"/>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1" w:id="-961870592"/>
                <w14:textFill>
                  <w14:solidFill>
                    <w14:srgbClr w14:val="000000">
                      <w14:alpha w14:val="100000"/>
                    </w14:srgbClr>
                  </w14:solidFill>
                </w14:textFill>
              </w:rPr>
              <w:t>|</w:t>
            </w:r>
            <w:r w:rsidRPr="00494449">
              <w:rPr>
                <w:rFonts w:ascii="Arial Narrow" w:hAnsi="Arial Narrow" w:hint="eastAsia"/>
                <w:color w:val="000000"/>
                <w:spacing w:val="4"/>
                <w:w w:val="22"/>
                <w:sz w:val="20"/>
                <w:szCs w:val="20"/>
                <w:shd w:val="solid" w:color="000000" w:fill="000000"/>
                <w:fitText w:val="101" w:id="-961870592"/>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r>
      <w:tr w:rsidR="0058017B" w:rsidRPr="00006F36" w14:paraId="799E0817" w14:textId="77777777" w:rsidTr="00F76FE3">
        <w:trPr>
          <w:trHeight w:val="20"/>
        </w:trPr>
        <w:tc>
          <w:tcPr>
            <w:tcW w:w="1980" w:type="dxa"/>
          </w:tcPr>
          <w:p w14:paraId="21B4FD1E" w14:textId="093EAAE4" w:rsidR="0058017B" w:rsidRPr="00006F36" w:rsidRDefault="0058017B" w:rsidP="0058017B">
            <w:pPr>
              <w:keepNext/>
              <w:keepLines/>
              <w:jc w:val="left"/>
              <w:rPr>
                <w:rFonts w:ascii="Arial Narrow" w:hAnsi="Arial Narrow"/>
                <w:sz w:val="20"/>
                <w:szCs w:val="20"/>
              </w:rPr>
            </w:pPr>
            <w:r w:rsidRPr="00006F36">
              <w:rPr>
                <w:rFonts w:ascii="Arial Narrow" w:hAnsi="Arial Narrow"/>
                <w:sz w:val="20"/>
                <w:szCs w:val="20"/>
              </w:rPr>
              <w:t>Substituted patients using ERT on LSDP</w:t>
            </w:r>
          </w:p>
        </w:tc>
        <w:tc>
          <w:tcPr>
            <w:tcW w:w="1172" w:type="dxa"/>
            <w:vAlign w:val="center"/>
          </w:tcPr>
          <w:p w14:paraId="375F1B3A" w14:textId="3AE2BA40"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591"/>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591"/>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591"/>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56A443CE" w14:textId="30EE5574"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590"/>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590"/>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590"/>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76CA1777" w14:textId="18A84DBB"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589"/>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589"/>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589"/>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41F32412" w14:textId="4F5F8560"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588"/>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588"/>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588"/>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27BB997D" w14:textId="6B91A53C"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587"/>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587"/>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587"/>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c>
          <w:tcPr>
            <w:tcW w:w="1173" w:type="dxa"/>
            <w:vAlign w:val="center"/>
          </w:tcPr>
          <w:p w14:paraId="62FC06CE" w14:textId="08FAA32D"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1" w:id="-961870586"/>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1" w:id="-961870586"/>
                <w14:textFill>
                  <w14:solidFill>
                    <w14:srgbClr w14:val="000000">
                      <w14:alpha w14:val="100000"/>
                    </w14:srgbClr>
                  </w14:solidFill>
                </w14:textFill>
              </w:rPr>
              <w:t>|</w:t>
            </w:r>
            <w:r w:rsidRPr="00494449">
              <w:rPr>
                <w:rFonts w:ascii="Arial Narrow" w:hAnsi="Arial Narrow" w:hint="eastAsia"/>
                <w:color w:val="000000"/>
                <w:spacing w:val="4"/>
                <w:w w:val="22"/>
                <w:sz w:val="20"/>
                <w:szCs w:val="20"/>
                <w:shd w:val="solid" w:color="000000" w:fill="000000"/>
                <w:fitText w:val="101" w:id="-961870586"/>
                <w14:textFill>
                  <w14:solidFill>
                    <w14:srgbClr w14:val="000000">
                      <w14:alpha w14:val="100000"/>
                    </w14:srgbClr>
                  </w14:solidFill>
                </w14:textFill>
              </w:rPr>
              <w:t xml:space="preserve">　</w:t>
            </w:r>
            <w:r w:rsidR="009005D3" w:rsidRPr="009005D3">
              <w:rPr>
                <w:rFonts w:ascii="Arial Narrow" w:hAnsi="Arial Narrow"/>
                <w:sz w:val="20"/>
                <w:szCs w:val="20"/>
                <w:vertAlign w:val="superscript"/>
              </w:rPr>
              <w:t>1</w:t>
            </w:r>
          </w:p>
        </w:tc>
      </w:tr>
      <w:tr w:rsidR="0058017B" w:rsidRPr="00006F36" w14:paraId="72B73B04" w14:textId="77777777" w:rsidTr="00F76FE3">
        <w:trPr>
          <w:trHeight w:val="20"/>
        </w:trPr>
        <w:tc>
          <w:tcPr>
            <w:tcW w:w="1980" w:type="dxa"/>
          </w:tcPr>
          <w:p w14:paraId="1FFD8050" w14:textId="56392F21" w:rsidR="0058017B" w:rsidRPr="00006F36" w:rsidRDefault="0058017B" w:rsidP="0058017B">
            <w:pPr>
              <w:keepNext/>
              <w:keepLines/>
              <w:jc w:val="left"/>
              <w:rPr>
                <w:rFonts w:ascii="Arial Narrow" w:hAnsi="Arial Narrow"/>
                <w:sz w:val="20"/>
                <w:szCs w:val="20"/>
                <w:vertAlign w:val="superscript"/>
              </w:rPr>
            </w:pPr>
            <w:r w:rsidRPr="00006F36">
              <w:rPr>
                <w:rFonts w:ascii="Arial Narrow" w:hAnsi="Arial Narrow"/>
                <w:sz w:val="20"/>
                <w:szCs w:val="20"/>
              </w:rPr>
              <w:t xml:space="preserve">Total substituted LSDP costs </w:t>
            </w:r>
            <w:r w:rsidRPr="00006F36">
              <w:rPr>
                <w:rFonts w:ascii="Arial Narrow" w:hAnsi="Arial Narrow"/>
                <w:sz w:val="20"/>
                <w:szCs w:val="20"/>
                <w:vertAlign w:val="superscript"/>
              </w:rPr>
              <w:t>c</w:t>
            </w:r>
          </w:p>
        </w:tc>
        <w:tc>
          <w:tcPr>
            <w:tcW w:w="1172" w:type="dxa"/>
            <w:vAlign w:val="center"/>
          </w:tcPr>
          <w:p w14:paraId="5B304597" w14:textId="740D5805"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585"/>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585"/>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585"/>
                <w14:textFill>
                  <w14:solidFill>
                    <w14:srgbClr w14:val="000000">
                      <w14:alpha w14:val="100000"/>
                    </w14:srgbClr>
                  </w14:solidFill>
                </w14:textFill>
              </w:rPr>
              <w:t xml:space="preserve">　</w:t>
            </w:r>
            <w:r w:rsidR="005374B8" w:rsidRPr="005374B8">
              <w:rPr>
                <w:rFonts w:ascii="Arial Narrow" w:hAnsi="Arial Narrow"/>
                <w:sz w:val="20"/>
                <w:szCs w:val="20"/>
                <w:vertAlign w:val="superscript"/>
              </w:rPr>
              <w:t>5</w:t>
            </w:r>
          </w:p>
        </w:tc>
        <w:tc>
          <w:tcPr>
            <w:tcW w:w="1173" w:type="dxa"/>
            <w:vAlign w:val="center"/>
          </w:tcPr>
          <w:p w14:paraId="65EAAB76" w14:textId="4FBACEF8"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584"/>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584"/>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584"/>
                <w14:textFill>
                  <w14:solidFill>
                    <w14:srgbClr w14:val="000000">
                      <w14:alpha w14:val="100000"/>
                    </w14:srgbClr>
                  </w14:solidFill>
                </w14:textFill>
              </w:rPr>
              <w:t xml:space="preserve">　</w:t>
            </w:r>
            <w:r w:rsidR="005374B8" w:rsidRPr="005374B8">
              <w:rPr>
                <w:rFonts w:ascii="Arial Narrow" w:hAnsi="Arial Narrow"/>
                <w:sz w:val="20"/>
                <w:szCs w:val="20"/>
                <w:vertAlign w:val="superscript"/>
              </w:rPr>
              <w:t>5</w:t>
            </w:r>
          </w:p>
        </w:tc>
        <w:tc>
          <w:tcPr>
            <w:tcW w:w="1173" w:type="dxa"/>
            <w:vAlign w:val="center"/>
          </w:tcPr>
          <w:p w14:paraId="76C0C680" w14:textId="02858355"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583"/>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583"/>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583"/>
                <w14:textFill>
                  <w14:solidFill>
                    <w14:srgbClr w14:val="000000">
                      <w14:alpha w14:val="100000"/>
                    </w14:srgbClr>
                  </w14:solidFill>
                </w14:textFill>
              </w:rPr>
              <w:t xml:space="preserve">　</w:t>
            </w:r>
            <w:r w:rsidR="005374B8" w:rsidRPr="009005D3">
              <w:rPr>
                <w:rFonts w:ascii="Arial Narrow" w:hAnsi="Arial Narrow"/>
                <w:b/>
                <w:bCs/>
                <w:sz w:val="20"/>
                <w:szCs w:val="20"/>
                <w:vertAlign w:val="superscript"/>
              </w:rPr>
              <w:t>3</w:t>
            </w:r>
          </w:p>
        </w:tc>
        <w:tc>
          <w:tcPr>
            <w:tcW w:w="1173" w:type="dxa"/>
            <w:vAlign w:val="center"/>
          </w:tcPr>
          <w:p w14:paraId="5C8C0745" w14:textId="41A65AA0"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582"/>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582"/>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582"/>
                <w14:textFill>
                  <w14:solidFill>
                    <w14:srgbClr w14:val="000000">
                      <w14:alpha w14:val="100000"/>
                    </w14:srgbClr>
                  </w14:solidFill>
                </w14:textFill>
              </w:rPr>
              <w:t xml:space="preserve">　</w:t>
            </w:r>
            <w:r w:rsidR="005374B8" w:rsidRPr="009005D3">
              <w:rPr>
                <w:rFonts w:ascii="Arial Narrow" w:hAnsi="Arial Narrow"/>
                <w:b/>
                <w:bCs/>
                <w:sz w:val="20"/>
                <w:szCs w:val="20"/>
                <w:vertAlign w:val="superscript"/>
              </w:rPr>
              <w:t>3</w:t>
            </w:r>
          </w:p>
        </w:tc>
        <w:tc>
          <w:tcPr>
            <w:tcW w:w="1173" w:type="dxa"/>
            <w:vAlign w:val="center"/>
          </w:tcPr>
          <w:p w14:paraId="02FFDC21" w14:textId="1FA12799"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0" w:id="-961870581"/>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581"/>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581"/>
                <w14:textFill>
                  <w14:solidFill>
                    <w14:srgbClr w14:val="000000">
                      <w14:alpha w14:val="100000"/>
                    </w14:srgbClr>
                  </w14:solidFill>
                </w14:textFill>
              </w:rPr>
              <w:t xml:space="preserve">　</w:t>
            </w:r>
            <w:r w:rsidR="005374B8" w:rsidRPr="009005D3">
              <w:rPr>
                <w:rFonts w:ascii="Arial Narrow" w:hAnsi="Arial Narrow"/>
                <w:b/>
                <w:bCs/>
                <w:sz w:val="20"/>
                <w:szCs w:val="20"/>
                <w:vertAlign w:val="superscript"/>
              </w:rPr>
              <w:t>3</w:t>
            </w:r>
          </w:p>
        </w:tc>
        <w:tc>
          <w:tcPr>
            <w:tcW w:w="1173" w:type="dxa"/>
            <w:vAlign w:val="center"/>
          </w:tcPr>
          <w:p w14:paraId="2CAC8D58" w14:textId="6A22B51A" w:rsidR="0058017B" w:rsidRPr="009005D3" w:rsidRDefault="00494449" w:rsidP="0058017B">
            <w:pPr>
              <w:keepNext/>
              <w:keepLines/>
              <w:jc w:val="center"/>
              <w:rPr>
                <w:rFonts w:ascii="Arial Narrow" w:hAnsi="Arial Narrow"/>
                <w:sz w:val="20"/>
                <w:szCs w:val="20"/>
                <w:highlight w:val="lightGray"/>
              </w:rPr>
            </w:pPr>
            <w:r w:rsidRPr="00494449">
              <w:rPr>
                <w:rFonts w:ascii="Arial Narrow" w:hAnsi="Arial Narrow" w:hint="eastAsia"/>
                <w:color w:val="000000"/>
                <w:w w:val="22"/>
                <w:sz w:val="20"/>
                <w:szCs w:val="20"/>
                <w:shd w:val="solid" w:color="000000" w:fill="000000"/>
                <w:fitText w:val="101" w:id="-961870580"/>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1" w:id="-961870580"/>
                <w14:textFill>
                  <w14:solidFill>
                    <w14:srgbClr w14:val="000000">
                      <w14:alpha w14:val="100000"/>
                    </w14:srgbClr>
                  </w14:solidFill>
                </w14:textFill>
              </w:rPr>
              <w:t>|</w:t>
            </w:r>
            <w:r w:rsidRPr="00494449">
              <w:rPr>
                <w:rFonts w:ascii="Arial Narrow" w:hAnsi="Arial Narrow" w:hint="eastAsia"/>
                <w:color w:val="000000"/>
                <w:spacing w:val="4"/>
                <w:w w:val="22"/>
                <w:sz w:val="20"/>
                <w:szCs w:val="20"/>
                <w:shd w:val="solid" w:color="000000" w:fill="000000"/>
                <w:fitText w:val="101" w:id="-961870580"/>
                <w14:textFill>
                  <w14:solidFill>
                    <w14:srgbClr w14:val="000000">
                      <w14:alpha w14:val="100000"/>
                    </w14:srgbClr>
                  </w14:solidFill>
                </w14:textFill>
              </w:rPr>
              <w:t xml:space="preserve">　</w:t>
            </w:r>
            <w:r w:rsidR="005374B8" w:rsidRPr="009005D3">
              <w:rPr>
                <w:rFonts w:ascii="Arial Narrow" w:hAnsi="Arial Narrow"/>
                <w:b/>
                <w:bCs/>
                <w:sz w:val="20"/>
                <w:szCs w:val="20"/>
                <w:vertAlign w:val="superscript"/>
              </w:rPr>
              <w:t>3</w:t>
            </w:r>
          </w:p>
        </w:tc>
      </w:tr>
    </w:tbl>
    <w:p w14:paraId="26D46ECE" w14:textId="522792C5" w:rsidR="001D6544" w:rsidRPr="00006F36" w:rsidRDefault="00736703" w:rsidP="00E62854">
      <w:pPr>
        <w:rPr>
          <w:rFonts w:ascii="Arial Narrow" w:hAnsi="Arial Narrow"/>
          <w:sz w:val="18"/>
          <w:szCs w:val="18"/>
        </w:rPr>
      </w:pPr>
      <w:r w:rsidRPr="00DD78A3">
        <w:rPr>
          <w:rFonts w:ascii="Arial Narrow" w:hAnsi="Arial Narrow"/>
          <w:sz w:val="18"/>
          <w:szCs w:val="18"/>
          <w:vertAlign w:val="superscript"/>
        </w:rPr>
        <w:t>a</w:t>
      </w:r>
      <w:r w:rsidRPr="00006F36">
        <w:rPr>
          <w:rFonts w:ascii="Arial Narrow" w:hAnsi="Arial Narrow"/>
          <w:sz w:val="18"/>
          <w:szCs w:val="18"/>
        </w:rPr>
        <w:t xml:space="preserve"> </w:t>
      </w:r>
      <w:r w:rsidR="00494449" w:rsidRPr="00D12810">
        <w:rPr>
          <w:rFonts w:ascii="Arial Narrow" w:hAnsi="Arial Narrow"/>
          <w:color w:val="000000"/>
          <w:spacing w:val="75"/>
          <w:sz w:val="18"/>
          <w:szCs w:val="18"/>
          <w:shd w:val="solid" w:color="000000" w:fill="000000"/>
          <w:fitText w:val="268" w:id="-961870579"/>
          <w14:textFill>
            <w14:solidFill>
              <w14:srgbClr w14:val="000000">
                <w14:alpha w14:val="100000"/>
              </w14:srgbClr>
            </w14:solidFill>
          </w14:textFill>
        </w:rPr>
        <w:t>|</w:t>
      </w:r>
      <w:r w:rsidR="00D12810" w:rsidRPr="00D12810">
        <w:rPr>
          <w:rFonts w:ascii="Arial Narrow" w:hAnsi="Arial Narrow"/>
          <w:color w:val="000000"/>
          <w:spacing w:val="75"/>
          <w:sz w:val="18"/>
          <w:szCs w:val="18"/>
          <w:shd w:val="solid" w:color="000000" w:fill="000000"/>
          <w:fitText w:val="268" w:id="-961870579"/>
          <w14:textFill>
            <w14:solidFill>
              <w14:srgbClr w14:val="000000">
                <w14:alpha w14:val="100000"/>
              </w14:srgbClr>
            </w14:solidFill>
          </w14:textFill>
        </w:rPr>
        <w:t xml:space="preserve"> </w:t>
      </w:r>
      <w:r w:rsidR="00494449" w:rsidRPr="00D12810">
        <w:rPr>
          <w:rFonts w:ascii="Arial Narrow" w:hAnsi="Arial Narrow"/>
          <w:color w:val="000000"/>
          <w:spacing w:val="1"/>
          <w:sz w:val="18"/>
          <w:szCs w:val="18"/>
          <w:shd w:val="solid" w:color="000000" w:fill="000000"/>
          <w:fitText w:val="268" w:id="-961870579"/>
          <w14:textFill>
            <w14:solidFill>
              <w14:srgbClr w14:val="000000">
                <w14:alpha w14:val="100000"/>
              </w14:srgbClr>
            </w14:solidFill>
          </w14:textFill>
        </w:rPr>
        <w:t>|</w:t>
      </w:r>
      <w:r w:rsidRPr="00006F36">
        <w:rPr>
          <w:rFonts w:ascii="Arial Narrow" w:hAnsi="Arial Narrow"/>
          <w:sz w:val="18"/>
          <w:szCs w:val="18"/>
        </w:rPr>
        <w:t xml:space="preserve"> scripts per patient assumed</w:t>
      </w:r>
    </w:p>
    <w:p w14:paraId="6582B555" w14:textId="687997D5" w:rsidR="00736703" w:rsidRPr="00006F36" w:rsidRDefault="00736703" w:rsidP="00E62854">
      <w:pPr>
        <w:rPr>
          <w:rFonts w:ascii="Arial Narrow" w:hAnsi="Arial Narrow"/>
          <w:sz w:val="18"/>
          <w:szCs w:val="18"/>
        </w:rPr>
      </w:pPr>
      <w:r w:rsidRPr="00DD78A3">
        <w:rPr>
          <w:rFonts w:ascii="Arial Narrow" w:hAnsi="Arial Narrow"/>
          <w:sz w:val="18"/>
          <w:szCs w:val="18"/>
          <w:vertAlign w:val="superscript"/>
        </w:rPr>
        <w:t>b</w:t>
      </w:r>
      <w:r w:rsidRPr="00006F36">
        <w:rPr>
          <w:rFonts w:ascii="Arial Narrow" w:hAnsi="Arial Narrow"/>
          <w:sz w:val="18"/>
          <w:szCs w:val="18"/>
        </w:rPr>
        <w:t xml:space="preserve"> </w:t>
      </w:r>
      <w:r w:rsidR="008975CE" w:rsidRPr="00006F36">
        <w:rPr>
          <w:rFonts w:ascii="Arial Narrow" w:hAnsi="Arial Narrow"/>
          <w:sz w:val="18"/>
          <w:szCs w:val="18"/>
        </w:rPr>
        <w:t>$</w:t>
      </w:r>
      <w:r w:rsidR="00494449" w:rsidRPr="00D12810">
        <w:rPr>
          <w:rFonts w:ascii="Arial Narrow" w:hAnsi="Arial Narrow"/>
          <w:color w:val="000000"/>
          <w:spacing w:val="81"/>
          <w:sz w:val="18"/>
          <w:szCs w:val="18"/>
          <w:shd w:val="solid" w:color="000000" w:fill="000000"/>
          <w:fitText w:val="280" w:id="-961870578"/>
          <w14:textFill>
            <w14:solidFill>
              <w14:srgbClr w14:val="000000">
                <w14:alpha w14:val="100000"/>
              </w14:srgbClr>
            </w14:solidFill>
          </w14:textFill>
        </w:rPr>
        <w:t>|</w:t>
      </w:r>
      <w:r w:rsidR="00D12810" w:rsidRPr="00D12810">
        <w:rPr>
          <w:rFonts w:ascii="Arial Narrow" w:hAnsi="Arial Narrow"/>
          <w:color w:val="000000"/>
          <w:spacing w:val="81"/>
          <w:sz w:val="18"/>
          <w:szCs w:val="18"/>
          <w:shd w:val="solid" w:color="000000" w:fill="000000"/>
          <w:fitText w:val="280" w:id="-961870578"/>
          <w14:textFill>
            <w14:solidFill>
              <w14:srgbClr w14:val="000000">
                <w14:alpha w14:val="100000"/>
              </w14:srgbClr>
            </w14:solidFill>
          </w14:textFill>
        </w:rPr>
        <w:t xml:space="preserve"> </w:t>
      </w:r>
      <w:r w:rsidR="00494449" w:rsidRPr="00D12810">
        <w:rPr>
          <w:rFonts w:ascii="Arial Narrow" w:hAnsi="Arial Narrow"/>
          <w:color w:val="000000"/>
          <w:spacing w:val="1"/>
          <w:sz w:val="18"/>
          <w:szCs w:val="18"/>
          <w:shd w:val="solid" w:color="000000" w:fill="000000"/>
          <w:fitText w:val="280" w:id="-961870578"/>
          <w14:textFill>
            <w14:solidFill>
              <w14:srgbClr w14:val="000000">
                <w14:alpha w14:val="100000"/>
              </w14:srgbClr>
            </w14:solidFill>
          </w14:textFill>
        </w:rPr>
        <w:t>|</w:t>
      </w:r>
      <w:r w:rsidR="008975CE" w:rsidRPr="00006F36">
        <w:rPr>
          <w:rFonts w:ascii="Arial Narrow" w:hAnsi="Arial Narrow"/>
          <w:sz w:val="18"/>
          <w:szCs w:val="18"/>
        </w:rPr>
        <w:t xml:space="preserve"> per script assumed, with a copayment of $17.48 per script based on what appears to be nusinersen usage</w:t>
      </w:r>
    </w:p>
    <w:p w14:paraId="138E97F6" w14:textId="1712F8CA" w:rsidR="00C8390B" w:rsidRDefault="00C8390B" w:rsidP="00E62854">
      <w:pPr>
        <w:rPr>
          <w:rFonts w:ascii="Arial Narrow" w:hAnsi="Arial Narrow"/>
          <w:sz w:val="18"/>
          <w:szCs w:val="18"/>
        </w:rPr>
      </w:pPr>
      <w:r w:rsidRPr="00DD78A3">
        <w:rPr>
          <w:rFonts w:ascii="Arial Narrow" w:hAnsi="Arial Narrow"/>
          <w:sz w:val="18"/>
          <w:szCs w:val="18"/>
          <w:vertAlign w:val="superscript"/>
        </w:rPr>
        <w:t>c</w:t>
      </w:r>
      <w:r w:rsidRPr="00006F36">
        <w:rPr>
          <w:rFonts w:ascii="Arial Narrow" w:hAnsi="Arial Narrow"/>
          <w:sz w:val="18"/>
          <w:szCs w:val="18"/>
        </w:rPr>
        <w:t xml:space="preserve"> Assumed $</w:t>
      </w:r>
      <w:r w:rsidR="00494449" w:rsidRPr="00D12810">
        <w:rPr>
          <w:rFonts w:ascii="Arial Narrow" w:hAnsi="Arial Narrow"/>
          <w:color w:val="000000"/>
          <w:spacing w:val="21"/>
          <w:sz w:val="18"/>
          <w:szCs w:val="18"/>
          <w:shd w:val="solid" w:color="000000" w:fill="000000"/>
          <w:fitText w:val="280" w:id="-961870577"/>
          <w14:textFill>
            <w14:solidFill>
              <w14:srgbClr w14:val="000000">
                <w14:alpha w14:val="100000"/>
              </w14:srgbClr>
            </w14:solidFill>
          </w14:textFill>
        </w:rPr>
        <w:t>||</w:t>
      </w:r>
      <w:r w:rsidR="00D12810" w:rsidRPr="00D12810">
        <w:rPr>
          <w:rFonts w:ascii="Arial Narrow" w:hAnsi="Arial Narrow"/>
          <w:color w:val="000000"/>
          <w:spacing w:val="21"/>
          <w:sz w:val="18"/>
          <w:szCs w:val="18"/>
          <w:shd w:val="solid" w:color="000000" w:fill="000000"/>
          <w:fitText w:val="280" w:id="-961870577"/>
          <w14:textFill>
            <w14:solidFill>
              <w14:srgbClr w14:val="000000">
                <w14:alpha w14:val="100000"/>
              </w14:srgbClr>
            </w14:solidFill>
          </w14:textFill>
        </w:rPr>
        <w:t xml:space="preserve"> </w:t>
      </w:r>
      <w:r w:rsidR="00494449" w:rsidRPr="00D12810">
        <w:rPr>
          <w:rFonts w:ascii="Arial Narrow" w:hAnsi="Arial Narrow"/>
          <w:color w:val="000000"/>
          <w:spacing w:val="21"/>
          <w:sz w:val="18"/>
          <w:szCs w:val="18"/>
          <w:shd w:val="solid" w:color="000000" w:fill="000000"/>
          <w:fitText w:val="280" w:id="-961870577"/>
          <w14:textFill>
            <w14:solidFill>
              <w14:srgbClr w14:val="000000">
                <w14:alpha w14:val="100000"/>
              </w14:srgbClr>
            </w14:solidFill>
          </w14:textFill>
        </w:rPr>
        <w:t>|</w:t>
      </w:r>
      <w:r w:rsidR="00494449" w:rsidRPr="00D12810">
        <w:rPr>
          <w:rFonts w:ascii="Arial Narrow" w:hAnsi="Arial Narrow"/>
          <w:color w:val="000000"/>
          <w:spacing w:val="2"/>
          <w:sz w:val="18"/>
          <w:szCs w:val="18"/>
          <w:shd w:val="solid" w:color="000000" w:fill="000000"/>
          <w:fitText w:val="280" w:id="-961870577"/>
          <w14:textFill>
            <w14:solidFill>
              <w14:srgbClr w14:val="000000">
                <w14:alpha w14:val="100000"/>
              </w14:srgbClr>
            </w14:solidFill>
          </w14:textFill>
        </w:rPr>
        <w:t>|</w:t>
      </w:r>
      <w:r w:rsidRPr="00006F36">
        <w:rPr>
          <w:rFonts w:ascii="Arial Narrow" w:hAnsi="Arial Narrow"/>
          <w:sz w:val="18"/>
          <w:szCs w:val="18"/>
        </w:rPr>
        <w:t xml:space="preserve"> per patient per year</w:t>
      </w:r>
    </w:p>
    <w:p w14:paraId="2A1FDE53" w14:textId="77777777" w:rsidR="005374B8" w:rsidRPr="00033F32" w:rsidRDefault="005374B8" w:rsidP="005374B8">
      <w:pPr>
        <w:rPr>
          <w:rFonts w:ascii="Arial Narrow" w:hAnsi="Arial Narrow"/>
          <w:i/>
          <w:iCs/>
          <w:sz w:val="18"/>
          <w:szCs w:val="18"/>
        </w:rPr>
      </w:pPr>
      <w:r w:rsidRPr="00033F32">
        <w:rPr>
          <w:rFonts w:ascii="Arial Narrow" w:hAnsi="Arial Narrow"/>
          <w:i/>
          <w:iCs/>
          <w:sz w:val="18"/>
          <w:szCs w:val="18"/>
        </w:rPr>
        <w:t>The redacted values correspond to the following ranges:</w:t>
      </w:r>
    </w:p>
    <w:p w14:paraId="23A0DC4A" w14:textId="77777777" w:rsidR="005374B8" w:rsidRPr="00033F32" w:rsidRDefault="005374B8" w:rsidP="005374B8">
      <w:pPr>
        <w:rPr>
          <w:rFonts w:ascii="Arial Narrow" w:hAnsi="Arial Narrow"/>
          <w:i/>
          <w:iCs/>
          <w:sz w:val="18"/>
          <w:szCs w:val="18"/>
        </w:rPr>
      </w:pPr>
      <w:r w:rsidRPr="00DD78A3">
        <w:rPr>
          <w:rFonts w:ascii="Arial Narrow" w:hAnsi="Arial Narrow"/>
          <w:i/>
          <w:iCs/>
          <w:sz w:val="18"/>
          <w:szCs w:val="18"/>
          <w:vertAlign w:val="superscript"/>
        </w:rPr>
        <w:t>1</w:t>
      </w:r>
      <w:r w:rsidRPr="00033F32">
        <w:rPr>
          <w:rFonts w:ascii="Arial Narrow" w:hAnsi="Arial Narrow"/>
          <w:i/>
          <w:iCs/>
          <w:sz w:val="18"/>
          <w:szCs w:val="18"/>
        </w:rPr>
        <w:t xml:space="preserve"> &lt; 500</w:t>
      </w:r>
    </w:p>
    <w:p w14:paraId="6D2FB6F5" w14:textId="77777777" w:rsidR="005374B8" w:rsidRPr="00033F32" w:rsidRDefault="005374B8" w:rsidP="005374B8">
      <w:pPr>
        <w:rPr>
          <w:rFonts w:ascii="Arial Narrow" w:hAnsi="Arial Narrow"/>
          <w:i/>
          <w:iCs/>
          <w:sz w:val="18"/>
          <w:szCs w:val="18"/>
        </w:rPr>
      </w:pPr>
      <w:r w:rsidRPr="00033F32">
        <w:rPr>
          <w:rFonts w:ascii="Arial Narrow" w:hAnsi="Arial Narrow"/>
          <w:i/>
          <w:iCs/>
          <w:sz w:val="18"/>
          <w:szCs w:val="18"/>
          <w:vertAlign w:val="superscript"/>
        </w:rPr>
        <w:t xml:space="preserve">2 </w:t>
      </w:r>
      <w:r w:rsidRPr="00033F32">
        <w:rPr>
          <w:rFonts w:ascii="Arial Narrow" w:hAnsi="Arial Narrow"/>
          <w:i/>
          <w:iCs/>
          <w:sz w:val="18"/>
          <w:szCs w:val="18"/>
        </w:rPr>
        <w:t>500 to &lt; 5,000</w:t>
      </w:r>
    </w:p>
    <w:p w14:paraId="5A4BCC1A" w14:textId="104B18A5" w:rsidR="005374B8" w:rsidRPr="00033F32" w:rsidRDefault="005374B8" w:rsidP="005374B8">
      <w:pPr>
        <w:rPr>
          <w:rFonts w:ascii="Arial Narrow" w:hAnsi="Arial Narrow"/>
          <w:i/>
          <w:iCs/>
          <w:sz w:val="18"/>
          <w:szCs w:val="18"/>
        </w:rPr>
      </w:pPr>
      <w:r w:rsidRPr="00033F32">
        <w:rPr>
          <w:rFonts w:ascii="Arial Narrow" w:hAnsi="Arial Narrow"/>
          <w:i/>
          <w:iCs/>
          <w:sz w:val="18"/>
          <w:szCs w:val="18"/>
          <w:vertAlign w:val="superscript"/>
        </w:rPr>
        <w:t>3</w:t>
      </w:r>
      <w:r w:rsidRPr="00033F32">
        <w:rPr>
          <w:rFonts w:ascii="Arial Narrow" w:hAnsi="Arial Narrow"/>
          <w:i/>
          <w:iCs/>
          <w:sz w:val="18"/>
          <w:szCs w:val="18"/>
        </w:rPr>
        <w:t xml:space="preserve"> $10 million to &lt; $20 million</w:t>
      </w:r>
    </w:p>
    <w:p w14:paraId="4DEE073C" w14:textId="7FDE637B" w:rsidR="005374B8" w:rsidRPr="00033F32" w:rsidRDefault="005374B8" w:rsidP="005374B8">
      <w:pPr>
        <w:rPr>
          <w:rFonts w:ascii="Arial Narrow" w:hAnsi="Arial Narrow"/>
          <w:i/>
          <w:iCs/>
          <w:sz w:val="18"/>
          <w:szCs w:val="18"/>
        </w:rPr>
      </w:pPr>
      <w:r w:rsidRPr="00033F32">
        <w:rPr>
          <w:rFonts w:ascii="Arial Narrow" w:hAnsi="Arial Narrow"/>
          <w:i/>
          <w:iCs/>
          <w:sz w:val="18"/>
          <w:szCs w:val="18"/>
          <w:vertAlign w:val="superscript"/>
        </w:rPr>
        <w:t>4</w:t>
      </w:r>
      <w:r w:rsidRPr="00033F32">
        <w:rPr>
          <w:rFonts w:ascii="Arial Narrow" w:hAnsi="Arial Narrow"/>
          <w:i/>
          <w:iCs/>
          <w:sz w:val="18"/>
          <w:szCs w:val="18"/>
        </w:rPr>
        <w:t xml:space="preserve"> $20 million to &lt; $30 million</w:t>
      </w:r>
    </w:p>
    <w:p w14:paraId="57C11DE7" w14:textId="5C4EAB6E" w:rsidR="001D6544" w:rsidRPr="00033F32" w:rsidRDefault="005374B8" w:rsidP="00E62854">
      <w:pPr>
        <w:rPr>
          <w:rFonts w:ascii="Arial Narrow" w:hAnsi="Arial Narrow"/>
          <w:i/>
          <w:iCs/>
          <w:sz w:val="20"/>
          <w:szCs w:val="20"/>
        </w:rPr>
      </w:pPr>
      <w:r w:rsidRPr="00DD78A3">
        <w:rPr>
          <w:rFonts w:ascii="Arial Narrow" w:hAnsi="Arial Narrow"/>
          <w:i/>
          <w:iCs/>
          <w:sz w:val="18"/>
          <w:szCs w:val="18"/>
          <w:vertAlign w:val="superscript"/>
        </w:rPr>
        <w:t>5</w:t>
      </w:r>
      <w:r w:rsidRPr="00033F32">
        <w:rPr>
          <w:rFonts w:ascii="Arial Narrow" w:hAnsi="Arial Narrow"/>
          <w:i/>
          <w:iCs/>
          <w:sz w:val="18"/>
          <w:szCs w:val="18"/>
        </w:rPr>
        <w:t xml:space="preserve"> $0 to &lt; $10 million</w:t>
      </w:r>
    </w:p>
    <w:p w14:paraId="75586731" w14:textId="32F27868" w:rsidR="000902D9" w:rsidRPr="00006F36" w:rsidRDefault="000902D9" w:rsidP="00D244B6">
      <w:pPr>
        <w:pStyle w:val="3-BodyText"/>
      </w:pPr>
      <w:r w:rsidRPr="00006F36">
        <w:t xml:space="preserve">The total cost to the PBS of listing </w:t>
      </w:r>
      <w:r w:rsidR="00F14E18" w:rsidRPr="00006F36">
        <w:t>migalastat</w:t>
      </w:r>
      <w:r w:rsidRPr="00006F36">
        <w:t xml:space="preserve"> was estimated </w:t>
      </w:r>
      <w:r w:rsidR="00A05C32" w:rsidRPr="00006F36">
        <w:t>to be</w:t>
      </w:r>
      <w:r w:rsidRPr="00006F36">
        <w:t xml:space="preserve"> </w:t>
      </w:r>
      <w:r w:rsidR="00F14E18" w:rsidRPr="00006F36">
        <w:t>$</w:t>
      </w:r>
      <w:r w:rsidR="005374B8" w:rsidRPr="005374B8">
        <w:t>20 million to &lt; $30 million</w:t>
      </w:r>
      <w:r w:rsidR="005C51E7">
        <w:t xml:space="preserve"> </w:t>
      </w:r>
      <w:r w:rsidRPr="00006F36">
        <w:t xml:space="preserve">in Year 6, and a total of </w:t>
      </w:r>
      <w:r w:rsidR="00882F8A" w:rsidRPr="00006F36">
        <w:t>$</w:t>
      </w:r>
      <w:r w:rsidR="005374B8" w:rsidRPr="005374B8">
        <w:t>100 million to &lt; $200 million</w:t>
      </w:r>
      <w:r w:rsidR="005C51E7">
        <w:t xml:space="preserve"> i</w:t>
      </w:r>
      <w:r w:rsidR="00882F8A" w:rsidRPr="00006F36">
        <w:t>n</w:t>
      </w:r>
      <w:r w:rsidRPr="00006F36">
        <w:t xml:space="preserve"> in the first </w:t>
      </w:r>
      <w:r w:rsidR="009763E3" w:rsidRPr="00006F36">
        <w:t>six</w:t>
      </w:r>
      <w:r w:rsidRPr="00006F36">
        <w:t xml:space="preserve"> years of listing. </w:t>
      </w:r>
      <w:r w:rsidR="00E07F85" w:rsidRPr="00006F36">
        <w:t>The submission stated that this would be accompanied by a saving to the LSDP of $</w:t>
      </w:r>
      <w:r w:rsidR="005374B8" w:rsidRPr="005374B8">
        <w:t>10 million to &lt; $20 million</w:t>
      </w:r>
      <w:r w:rsidR="005C51E7">
        <w:t xml:space="preserve"> </w:t>
      </w:r>
      <w:r w:rsidR="00E07F85" w:rsidRPr="00006F36">
        <w:t xml:space="preserve">in </w:t>
      </w:r>
      <w:r w:rsidR="00227A17" w:rsidRPr="00006F36">
        <w:t>Y</w:t>
      </w:r>
      <w:r w:rsidR="00E07F85" w:rsidRPr="00006F36">
        <w:t xml:space="preserve">ear 6, and a total </w:t>
      </w:r>
      <w:r w:rsidR="009763E3" w:rsidRPr="00006F36">
        <w:t xml:space="preserve">saving </w:t>
      </w:r>
      <w:r w:rsidR="00E07F85" w:rsidRPr="00006F36">
        <w:t xml:space="preserve">of </w:t>
      </w:r>
      <w:r w:rsidR="009763E3" w:rsidRPr="00006F36">
        <w:t>$</w:t>
      </w:r>
      <w:r w:rsidR="005374B8" w:rsidRPr="005374B8">
        <w:t>$60 million to &lt; $70 million</w:t>
      </w:r>
      <w:r w:rsidR="005C51E7">
        <w:t xml:space="preserve"> </w:t>
      </w:r>
      <w:r w:rsidR="009763E3" w:rsidRPr="00006F36">
        <w:t>in the first six years of listing.</w:t>
      </w:r>
    </w:p>
    <w:p w14:paraId="3F4DF3A7" w14:textId="77777777" w:rsidR="00D12810" w:rsidRDefault="0033024B" w:rsidP="00606FBA">
      <w:pPr>
        <w:pStyle w:val="3-BodyText"/>
      </w:pPr>
      <w:r w:rsidRPr="00006F36">
        <w:t xml:space="preserve">The number </w:t>
      </w:r>
      <w:r w:rsidR="00E51F72" w:rsidRPr="00006F36">
        <w:t xml:space="preserve">of additional </w:t>
      </w:r>
      <w:r w:rsidR="00DF6375" w:rsidRPr="00006F36">
        <w:t xml:space="preserve">ERT naïve </w:t>
      </w:r>
      <w:r w:rsidR="00E51F72" w:rsidRPr="00006F36">
        <w:t xml:space="preserve">patients </w:t>
      </w:r>
      <w:r w:rsidR="00DF6375" w:rsidRPr="00006F36">
        <w:t xml:space="preserve">with </w:t>
      </w:r>
      <w:r w:rsidR="00FB1863">
        <w:t>organ involvement/injury</w:t>
      </w:r>
      <w:r w:rsidR="00DF6375" w:rsidRPr="00006F36">
        <w:t xml:space="preserve"> </w:t>
      </w:r>
      <w:r w:rsidR="00E51F72" w:rsidRPr="00006F36">
        <w:t xml:space="preserve">treated </w:t>
      </w:r>
      <w:r w:rsidR="00DF6375" w:rsidRPr="00006F36">
        <w:t xml:space="preserve">with migalastat </w:t>
      </w:r>
      <w:r w:rsidR="00E51F72" w:rsidRPr="00006F36">
        <w:t xml:space="preserve">if requirement for 12 months of ERT is removed from the migalastat listing </w:t>
      </w:r>
      <w:r w:rsidR="007F0810" w:rsidRPr="00006F36">
        <w:t xml:space="preserve">(four patients per year) </w:t>
      </w:r>
      <w:r w:rsidR="00307FEE" w:rsidRPr="00006F36">
        <w:t xml:space="preserve">was </w:t>
      </w:r>
      <w:r w:rsidR="007F0810" w:rsidRPr="00006F36">
        <w:t xml:space="preserve">double that considered </w:t>
      </w:r>
      <w:r w:rsidR="004A1A4A" w:rsidRPr="00006F36">
        <w:t>by the PBAC previously (Table 3, migalastat PSD, December 2022 PBAC meeting)</w:t>
      </w:r>
      <w:r w:rsidR="00E51F72" w:rsidRPr="00006F36">
        <w:t>.</w:t>
      </w:r>
    </w:p>
    <w:p w14:paraId="22731248" w14:textId="77777777" w:rsidR="00D12810" w:rsidRDefault="00535C81" w:rsidP="004161CA">
      <w:pPr>
        <w:pStyle w:val="3-BodyText"/>
      </w:pPr>
      <w:bookmarkStart w:id="58" w:name="_Ref152185985"/>
      <w:r w:rsidRPr="00006F36">
        <w:t xml:space="preserve">Overall, </w:t>
      </w:r>
      <w:r w:rsidR="007D6E95" w:rsidRPr="00006F36">
        <w:t xml:space="preserve">the ESC considered </w:t>
      </w:r>
      <w:r w:rsidR="00030045" w:rsidRPr="00006F36">
        <w:t xml:space="preserve">there was a high degree of uncertainty in the financial estimates </w:t>
      </w:r>
      <w:r w:rsidRPr="00006F36">
        <w:t xml:space="preserve">given the issues with the submission’s financial estimates as outlined in </w:t>
      </w:r>
      <w:r w:rsidRPr="00006F36">
        <w:lastRenderedPageBreak/>
        <w:t xml:space="preserve">paragraph </w:t>
      </w:r>
      <w:r w:rsidRPr="00006F36">
        <w:fldChar w:fldCharType="begin" w:fldLock="1"/>
      </w:r>
      <w:r w:rsidRPr="00006F36">
        <w:instrText xml:space="preserve"> REF _Ref152012279 \r \h </w:instrText>
      </w:r>
      <w:r w:rsidR="0048760F" w:rsidRPr="00006F36">
        <w:instrText xml:space="preserve"> \* MERGEFORMAT </w:instrText>
      </w:r>
      <w:r w:rsidRPr="00006F36">
        <w:fldChar w:fldCharType="separate"/>
      </w:r>
      <w:r w:rsidR="00F42C5D">
        <w:t>6.38</w:t>
      </w:r>
      <w:r w:rsidRPr="00006F36">
        <w:fldChar w:fldCharType="end"/>
      </w:r>
      <w:r w:rsidR="007D6E95" w:rsidRPr="00006F36">
        <w:t xml:space="preserve">. </w:t>
      </w:r>
      <w:r w:rsidR="006840FA" w:rsidRPr="00006F36">
        <w:t xml:space="preserve">Additionally, </w:t>
      </w:r>
      <w:r w:rsidR="00C42DE0" w:rsidRPr="00006F36">
        <w:t xml:space="preserve">there </w:t>
      </w:r>
      <w:r w:rsidR="006840FA" w:rsidRPr="00006F36">
        <w:t xml:space="preserve">was further uncertainty in the financial estimates due to </w:t>
      </w:r>
      <w:r w:rsidR="00C42DE0" w:rsidRPr="00006F36">
        <w:t xml:space="preserve">uncertainties with regards to the </w:t>
      </w:r>
      <w:r w:rsidR="006840FA" w:rsidRPr="00006F36">
        <w:t xml:space="preserve">key </w:t>
      </w:r>
      <w:r w:rsidR="00C42DE0" w:rsidRPr="00006F36">
        <w:t>inputs used</w:t>
      </w:r>
      <w:r w:rsidR="006840FA" w:rsidRPr="00006F36">
        <w:t xml:space="preserve"> (</w:t>
      </w:r>
      <w:r w:rsidR="00C42DE0" w:rsidRPr="00006F36">
        <w:t>as described in</w:t>
      </w:r>
      <w:r w:rsidR="0001083E" w:rsidRPr="00006F36">
        <w:t xml:space="preserve"> </w:t>
      </w:r>
      <w:r w:rsidR="00C42DE0" w:rsidRPr="00006F36">
        <w:fldChar w:fldCharType="begin" w:fldLock="1"/>
      </w:r>
      <w:r w:rsidR="00C42DE0" w:rsidRPr="00006F36">
        <w:instrText xml:space="preserve"> REF _Ref104805262 \h  \* MERGEFORMAT </w:instrText>
      </w:r>
      <w:r w:rsidR="00C42DE0" w:rsidRPr="00006F36">
        <w:fldChar w:fldCharType="separate"/>
      </w:r>
      <w:r w:rsidR="00F42C5D" w:rsidRPr="00006F36">
        <w:t xml:space="preserve">Table </w:t>
      </w:r>
      <w:r w:rsidR="00F42C5D">
        <w:t>9</w:t>
      </w:r>
      <w:r w:rsidR="00C42DE0" w:rsidRPr="00006F36">
        <w:fldChar w:fldCharType="end"/>
      </w:r>
      <w:r w:rsidR="006840FA" w:rsidRPr="00006F36">
        <w:t>)</w:t>
      </w:r>
      <w:r w:rsidR="00C42DE0" w:rsidRPr="00006F36">
        <w:t>.</w:t>
      </w:r>
      <w:bookmarkEnd w:id="58"/>
    </w:p>
    <w:p w14:paraId="630EA7C6" w14:textId="77777777" w:rsidR="00D12810" w:rsidRDefault="007D6E95" w:rsidP="00606FBA">
      <w:pPr>
        <w:pStyle w:val="3-BodyText"/>
      </w:pPr>
      <w:r w:rsidRPr="00006F36">
        <w:t xml:space="preserve">The ESC considered there was reasonable certainty regarding the number of patients with </w:t>
      </w:r>
      <w:r w:rsidR="0053666E" w:rsidRPr="00006F36">
        <w:t xml:space="preserve">evidence of </w:t>
      </w:r>
      <w:r w:rsidR="00FB1863">
        <w:t>organ involvement/injury</w:t>
      </w:r>
      <w:r w:rsidRPr="00006F36">
        <w:t xml:space="preserve"> that would use migalastat on the PBS</w:t>
      </w:r>
      <w:r w:rsidR="00006F36">
        <w:t>.</w:t>
      </w:r>
    </w:p>
    <w:p w14:paraId="10B3B520" w14:textId="33912A40" w:rsidR="00E67FCC" w:rsidRPr="00006F36" w:rsidRDefault="00E67FCC" w:rsidP="00606FBA">
      <w:pPr>
        <w:pStyle w:val="3-BodyText"/>
      </w:pPr>
      <w:r>
        <w:t>The pre-PBAC response noted t</w:t>
      </w:r>
      <w:r w:rsidRPr="00E67FCC">
        <w:t xml:space="preserve">he complexity of the analysis is partly driven by the need to estimate migalastat and ERT use on the LSDP based on migalastat sales data, expenditure caps and </w:t>
      </w:r>
      <w:r>
        <w:t>Department</w:t>
      </w:r>
      <w:r w:rsidRPr="00E67FCC">
        <w:t xml:space="preserve"> </w:t>
      </w:r>
      <w:r>
        <w:t xml:space="preserve">of Health and Aged Care </w:t>
      </w:r>
      <w:r w:rsidRPr="00E67FCC">
        <w:t>notifications. However, this would be simplified if actual LSDP patient data were available</w:t>
      </w:r>
      <w:r>
        <w:t xml:space="preserve"> and using the </w:t>
      </w:r>
      <w:r w:rsidRPr="00E67FCC">
        <w:t>LSDP patient data both lowers the complexity and increases the certainty of the financial estimates.</w:t>
      </w:r>
    </w:p>
    <w:p w14:paraId="6015A395" w14:textId="1AB3BDA9" w:rsidR="00576972" w:rsidRPr="00006F36" w:rsidRDefault="00576972" w:rsidP="00606FBA">
      <w:pPr>
        <w:pStyle w:val="4-SubsectionHeading"/>
      </w:pPr>
      <w:bookmarkStart w:id="59" w:name="_Toc22897649"/>
      <w:bookmarkStart w:id="60" w:name="_Toc156995883"/>
      <w:r w:rsidRPr="00006F36">
        <w:t>Financial Management – Risk Sharing Arrangements</w:t>
      </w:r>
      <w:bookmarkEnd w:id="59"/>
      <w:bookmarkEnd w:id="60"/>
    </w:p>
    <w:p w14:paraId="7C37AF70" w14:textId="77777777" w:rsidR="00D12810" w:rsidRDefault="00584C07" w:rsidP="004C2AC2">
      <w:pPr>
        <w:pStyle w:val="3-BodyText"/>
      </w:pPr>
      <w:bookmarkStart w:id="61" w:name="_Ref152086443"/>
      <w:bookmarkStart w:id="62" w:name="_Hlk156382938"/>
      <w:r w:rsidRPr="00006F36">
        <w:t>The submission</w:t>
      </w:r>
      <w:r w:rsidR="006F6F86" w:rsidRPr="00006F36">
        <w:t xml:space="preserve"> proposed </w:t>
      </w:r>
      <w:r w:rsidR="0002003A" w:rsidRPr="00006F36">
        <w:t>an</w:t>
      </w:r>
      <w:r w:rsidR="006F6F86" w:rsidRPr="00006F36">
        <w:t xml:space="preserve"> </w:t>
      </w:r>
      <w:r w:rsidR="00DB7B80" w:rsidRPr="00006F36">
        <w:t xml:space="preserve">RSA </w:t>
      </w:r>
      <w:r w:rsidR="006F6F86" w:rsidRPr="00006F36">
        <w:t>with two tiers.</w:t>
      </w:r>
      <w:r w:rsidR="008666C9" w:rsidRPr="00006F36">
        <w:t xml:space="preserve"> The first tier is based on uptake in the current LSDP population, plus the ERT-naïve population recommended by the PBAC in the </w:t>
      </w:r>
      <w:r w:rsidR="00191743" w:rsidRPr="00006F36">
        <w:t>December</w:t>
      </w:r>
      <w:r w:rsidR="008666C9" w:rsidRPr="00006F36">
        <w:t xml:space="preserve"> 2022 Migalastat PSD i.e. all patients </w:t>
      </w:r>
      <w:r w:rsidR="00216CEA" w:rsidRPr="00006F36">
        <w:t>with</w:t>
      </w:r>
      <w:r w:rsidR="0053666E" w:rsidRPr="00006F36">
        <w:t xml:space="preserve"> evidence of </w:t>
      </w:r>
      <w:r w:rsidR="00FB1863">
        <w:t>organ involvement/injury</w:t>
      </w:r>
      <w:r w:rsidR="008666C9" w:rsidRPr="00006F36">
        <w:t>. The second tier is based on projected uptake in the proposed expanded classical population</w:t>
      </w:r>
      <w:r w:rsidR="00216CEA" w:rsidRPr="00006F36">
        <w:t xml:space="preserve"> i.e</w:t>
      </w:r>
      <w:r w:rsidR="00D435F3" w:rsidRPr="00006F36">
        <w:t>.</w:t>
      </w:r>
      <w:r w:rsidR="00216CEA" w:rsidRPr="00006F36">
        <w:t xml:space="preserve"> early treatment with migalastat</w:t>
      </w:r>
      <w:r w:rsidR="008666C9" w:rsidRPr="00006F36">
        <w:t xml:space="preserve">. </w:t>
      </w:r>
      <w:r w:rsidR="00CA32CF" w:rsidRPr="00006F36">
        <w:t>The submission proposed a</w:t>
      </w:r>
      <w:r w:rsidR="008666C9" w:rsidRPr="00006F36">
        <w:t xml:space="preserve"> rebate of </w:t>
      </w:r>
      <w:r w:rsidR="00494449" w:rsidRPr="00177590">
        <w:rPr>
          <w:color w:val="000000"/>
          <w:w w:val="15"/>
          <w:shd w:val="solid" w:color="000000" w:fill="000000"/>
          <w:fitText w:val="-20" w:id="-961870576"/>
          <w14:textFill>
            <w14:solidFill>
              <w14:srgbClr w14:val="000000">
                <w14:alpha w14:val="100000"/>
              </w14:srgbClr>
            </w14:solidFill>
          </w14:textFill>
        </w:rPr>
        <w:t>|</w:t>
      </w:r>
      <w:r w:rsidR="00D12810" w:rsidRPr="00177590">
        <w:rPr>
          <w:color w:val="000000"/>
          <w:w w:val="15"/>
          <w:shd w:val="solid" w:color="000000" w:fill="000000"/>
          <w:fitText w:val="-20" w:id="-961870576"/>
          <w14:textFill>
            <w14:solidFill>
              <w14:srgbClr w14:val="000000">
                <w14:alpha w14:val="100000"/>
              </w14:srgbClr>
            </w14:solidFill>
          </w14:textFill>
        </w:rPr>
        <w:t xml:space="preserve"> </w:t>
      </w:r>
      <w:r w:rsidR="00494449" w:rsidRPr="00177590">
        <w:rPr>
          <w:color w:val="000000"/>
          <w:spacing w:val="-61"/>
          <w:w w:val="15"/>
          <w:shd w:val="solid" w:color="000000" w:fill="000000"/>
          <w:fitText w:val="-20" w:id="-961870576"/>
          <w14:textFill>
            <w14:solidFill>
              <w14:srgbClr w14:val="000000">
                <w14:alpha w14:val="100000"/>
              </w14:srgbClr>
            </w14:solidFill>
          </w14:textFill>
        </w:rPr>
        <w:t>|</w:t>
      </w:r>
      <w:r w:rsidR="008666C9" w:rsidRPr="00006F36">
        <w:t xml:space="preserve">% for expenditure above the first tier, and </w:t>
      </w:r>
      <w:r w:rsidR="00494449" w:rsidRPr="00177590">
        <w:rPr>
          <w:color w:val="000000"/>
          <w:w w:val="15"/>
          <w:shd w:val="solid" w:color="000000" w:fill="000000"/>
          <w:fitText w:val="-20" w:id="-961870592"/>
          <w14:textFill>
            <w14:solidFill>
              <w14:srgbClr w14:val="000000">
                <w14:alpha w14:val="100000"/>
              </w14:srgbClr>
            </w14:solidFill>
          </w14:textFill>
        </w:rPr>
        <w:t>|</w:t>
      </w:r>
      <w:r w:rsidR="00D12810" w:rsidRPr="00177590">
        <w:rPr>
          <w:color w:val="000000"/>
          <w:w w:val="15"/>
          <w:shd w:val="solid" w:color="000000" w:fill="000000"/>
          <w:fitText w:val="-20" w:id="-961870592"/>
          <w14:textFill>
            <w14:solidFill>
              <w14:srgbClr w14:val="000000">
                <w14:alpha w14:val="100000"/>
              </w14:srgbClr>
            </w14:solidFill>
          </w14:textFill>
        </w:rPr>
        <w:t xml:space="preserve"> </w:t>
      </w:r>
      <w:r w:rsidR="00494449" w:rsidRPr="00177590">
        <w:rPr>
          <w:color w:val="000000"/>
          <w:spacing w:val="-61"/>
          <w:w w:val="15"/>
          <w:shd w:val="solid" w:color="000000" w:fill="000000"/>
          <w:fitText w:val="-20" w:id="-961870592"/>
          <w14:textFill>
            <w14:solidFill>
              <w14:srgbClr w14:val="000000">
                <w14:alpha w14:val="100000"/>
              </w14:srgbClr>
            </w14:solidFill>
          </w14:textFill>
        </w:rPr>
        <w:t>|</w:t>
      </w:r>
      <w:r w:rsidR="008666C9" w:rsidRPr="00006F36">
        <w:t>% rebate above the second tier</w:t>
      </w:r>
      <w:bookmarkEnd w:id="61"/>
      <w:r w:rsidR="00006F36">
        <w:t>.</w:t>
      </w:r>
    </w:p>
    <w:p w14:paraId="16E3BCD6" w14:textId="77777777" w:rsidR="00D12810" w:rsidRDefault="00DE4314" w:rsidP="004C2AC2">
      <w:pPr>
        <w:pStyle w:val="3-BodyText"/>
      </w:pPr>
      <w:bookmarkStart w:id="63" w:name="_Ref152086446"/>
      <w:bookmarkEnd w:id="62"/>
      <w:r w:rsidRPr="00006F36">
        <w:t xml:space="preserve">The submission stated that </w:t>
      </w:r>
      <w:r w:rsidR="00F43BD7" w:rsidRPr="00006F36">
        <w:t xml:space="preserve">if migalastat uptake remains at current LSDP levels (including a first line listing for migalastat), the Commonwealth government will save </w:t>
      </w:r>
      <w:r w:rsidR="00494449" w:rsidRPr="00177590">
        <w:rPr>
          <w:color w:val="000000"/>
          <w:w w:val="15"/>
          <w:shd w:val="solid" w:color="000000" w:fill="000000"/>
          <w:fitText w:val="-20" w:id="-961870591"/>
          <w14:textFill>
            <w14:solidFill>
              <w14:srgbClr w14:val="000000">
                <w14:alpha w14:val="100000"/>
              </w14:srgbClr>
            </w14:solidFill>
          </w14:textFill>
        </w:rPr>
        <w:t>|</w:t>
      </w:r>
      <w:r w:rsidR="00D12810" w:rsidRPr="00177590">
        <w:rPr>
          <w:color w:val="000000"/>
          <w:w w:val="15"/>
          <w:shd w:val="solid" w:color="000000" w:fill="000000"/>
          <w:fitText w:val="-20" w:id="-961870591"/>
          <w14:textFill>
            <w14:solidFill>
              <w14:srgbClr w14:val="000000">
                <w14:alpha w14:val="100000"/>
              </w14:srgbClr>
            </w14:solidFill>
          </w14:textFill>
        </w:rPr>
        <w:t xml:space="preserve"> </w:t>
      </w:r>
      <w:r w:rsidR="00494449" w:rsidRPr="00177590">
        <w:rPr>
          <w:color w:val="000000"/>
          <w:spacing w:val="-61"/>
          <w:w w:val="15"/>
          <w:shd w:val="solid" w:color="000000" w:fill="000000"/>
          <w:fitText w:val="-20" w:id="-961870591"/>
          <w14:textFill>
            <w14:solidFill>
              <w14:srgbClr w14:val="000000">
                <w14:alpha w14:val="100000"/>
              </w14:srgbClr>
            </w14:solidFill>
          </w14:textFill>
        </w:rPr>
        <w:t>|</w:t>
      </w:r>
      <w:r w:rsidR="00F43BD7" w:rsidRPr="00006F36">
        <w:t xml:space="preserve">% on </w:t>
      </w:r>
      <w:r w:rsidR="00AA5D09" w:rsidRPr="00006F36">
        <w:t>m</w:t>
      </w:r>
      <w:r w:rsidR="00F43BD7" w:rsidRPr="00006F36">
        <w:t xml:space="preserve">igalastat expenditure. If </w:t>
      </w:r>
      <w:r w:rsidR="00AA5D09" w:rsidRPr="00006F36">
        <w:t>m</w:t>
      </w:r>
      <w:r w:rsidR="00F43BD7" w:rsidRPr="00006F36">
        <w:t xml:space="preserve">igalastat uptake increases as a result of expanding the restriction, Commonwealth expenditure will increase but at an increasingly reduced net price per patient, </w:t>
      </w:r>
      <w:r w:rsidR="0020756B" w:rsidRPr="00006F36">
        <w:t xml:space="preserve">with an </w:t>
      </w:r>
      <w:r w:rsidR="00F43BD7" w:rsidRPr="00006F36">
        <w:t xml:space="preserve">approximately </w:t>
      </w:r>
      <w:r w:rsidR="00494449" w:rsidRPr="00177590">
        <w:rPr>
          <w:color w:val="000000"/>
          <w:w w:val="15"/>
          <w:shd w:val="solid" w:color="000000" w:fill="000000"/>
          <w:fitText w:val="-20" w:id="-961870590"/>
          <w14:textFill>
            <w14:solidFill>
              <w14:srgbClr w14:val="000000">
                <w14:alpha w14:val="100000"/>
              </w14:srgbClr>
            </w14:solidFill>
          </w14:textFill>
        </w:rPr>
        <w:t>|</w:t>
      </w:r>
      <w:r w:rsidR="00D12810" w:rsidRPr="00177590">
        <w:rPr>
          <w:color w:val="000000"/>
          <w:w w:val="15"/>
          <w:shd w:val="solid" w:color="000000" w:fill="000000"/>
          <w:fitText w:val="-20" w:id="-961870590"/>
          <w14:textFill>
            <w14:solidFill>
              <w14:srgbClr w14:val="000000">
                <w14:alpha w14:val="100000"/>
              </w14:srgbClr>
            </w14:solidFill>
          </w14:textFill>
        </w:rPr>
        <w:t xml:space="preserve"> </w:t>
      </w:r>
      <w:r w:rsidR="00494449" w:rsidRPr="00177590">
        <w:rPr>
          <w:color w:val="000000"/>
          <w:spacing w:val="-61"/>
          <w:w w:val="15"/>
          <w:shd w:val="solid" w:color="000000" w:fill="000000"/>
          <w:fitText w:val="-20" w:id="-961870590"/>
          <w14:textFill>
            <w14:solidFill>
              <w14:srgbClr w14:val="000000">
                <w14:alpha w14:val="100000"/>
              </w14:srgbClr>
            </w14:solidFill>
          </w14:textFill>
        </w:rPr>
        <w:t>|</w:t>
      </w:r>
      <w:r w:rsidR="00F43BD7" w:rsidRPr="00006F36">
        <w:t xml:space="preserve">% </w:t>
      </w:r>
      <w:r w:rsidR="0020756B" w:rsidRPr="00006F36">
        <w:t xml:space="preserve">reduction per migalastat script </w:t>
      </w:r>
      <w:r w:rsidR="00F43BD7" w:rsidRPr="00006F36">
        <w:t>at projected uptake</w:t>
      </w:r>
      <w:r w:rsidR="00E928E0" w:rsidRPr="00006F36">
        <w:t xml:space="preserve"> assuming the </w:t>
      </w:r>
      <w:r w:rsidR="00141467" w:rsidRPr="00006F36">
        <w:t>T</w:t>
      </w:r>
      <w:r w:rsidR="00E928E0" w:rsidRPr="00006F36">
        <w:t>ier 2 cap was reached</w:t>
      </w:r>
      <w:r w:rsidR="00F43BD7" w:rsidRPr="00006F36">
        <w:t>. Th</w:t>
      </w:r>
      <w:r w:rsidR="00DC60D3" w:rsidRPr="00006F36">
        <w:t>e submission stated th</w:t>
      </w:r>
      <w:r w:rsidR="00F43BD7" w:rsidRPr="00006F36">
        <w:t xml:space="preserve">is predicted </w:t>
      </w:r>
      <w:r w:rsidR="00494449" w:rsidRPr="00177590">
        <w:rPr>
          <w:color w:val="000000"/>
          <w:w w:val="15"/>
          <w:shd w:val="solid" w:color="000000" w:fill="000000"/>
          <w:fitText w:val="-20" w:id="-961870589"/>
          <w14:textFill>
            <w14:solidFill>
              <w14:srgbClr w14:val="000000">
                <w14:alpha w14:val="100000"/>
              </w14:srgbClr>
            </w14:solidFill>
          </w14:textFill>
        </w:rPr>
        <w:t>|</w:t>
      </w:r>
      <w:r w:rsidR="00D12810" w:rsidRPr="00177590">
        <w:rPr>
          <w:color w:val="000000"/>
          <w:w w:val="15"/>
          <w:shd w:val="solid" w:color="000000" w:fill="000000"/>
          <w:fitText w:val="-20" w:id="-961870589"/>
          <w14:textFill>
            <w14:solidFill>
              <w14:srgbClr w14:val="000000">
                <w14:alpha w14:val="100000"/>
              </w14:srgbClr>
            </w14:solidFill>
          </w14:textFill>
        </w:rPr>
        <w:t xml:space="preserve"> </w:t>
      </w:r>
      <w:r w:rsidR="00494449" w:rsidRPr="00177590">
        <w:rPr>
          <w:color w:val="000000"/>
          <w:spacing w:val="-61"/>
          <w:w w:val="15"/>
          <w:shd w:val="solid" w:color="000000" w:fill="000000"/>
          <w:fitText w:val="-20" w:id="-961870589"/>
          <w14:textFill>
            <w14:solidFill>
              <w14:srgbClr w14:val="000000">
                <w14:alpha w14:val="100000"/>
              </w14:srgbClr>
            </w14:solidFill>
          </w14:textFill>
        </w:rPr>
        <w:t>|</w:t>
      </w:r>
      <w:r w:rsidR="00F43BD7" w:rsidRPr="00006F36">
        <w:t>% reduction in the net price is aligned with the price reduction requested by PBAC in December 2022</w:t>
      </w:r>
      <w:r w:rsidR="0061094C" w:rsidRPr="00006F36">
        <w:t xml:space="preserve"> and would be a ‘cost-effective</w:t>
      </w:r>
      <w:r w:rsidR="00C324D8" w:rsidRPr="00006F36">
        <w:t>’ way of updating the criteria to access</w:t>
      </w:r>
      <w:r w:rsidR="003D3CDC" w:rsidRPr="00006F36">
        <w:t xml:space="preserve">. However, the December 2022 decision relates only to usage in the population with </w:t>
      </w:r>
      <w:r w:rsidR="00FB1863">
        <w:t>organ involvement/injury</w:t>
      </w:r>
      <w:r w:rsidR="003D3CDC" w:rsidRPr="00006F36">
        <w:t xml:space="preserve"> and did not necessarily extend to early treatment in </w:t>
      </w:r>
      <w:r w:rsidR="00252D10" w:rsidRPr="00006F36">
        <w:t>c</w:t>
      </w:r>
      <w:r w:rsidR="003D3CDC" w:rsidRPr="00006F36">
        <w:t xml:space="preserve">lassical Fabry disease, which </w:t>
      </w:r>
      <w:r w:rsidR="00DC60D3" w:rsidRPr="00006F36">
        <w:t xml:space="preserve">may not be </w:t>
      </w:r>
      <w:r w:rsidR="003D3CDC" w:rsidRPr="00006F36">
        <w:t>cost effective</w:t>
      </w:r>
      <w:r w:rsidR="00DC60D3" w:rsidRPr="00006F36">
        <w:t xml:space="preserve"> at the same price</w:t>
      </w:r>
      <w:bookmarkEnd w:id="63"/>
      <w:r w:rsidR="00006F36">
        <w:t>.</w:t>
      </w:r>
    </w:p>
    <w:p w14:paraId="2CF5479C" w14:textId="7F52646E" w:rsidR="004E3D5C" w:rsidRPr="00006F36" w:rsidRDefault="004E3D5C" w:rsidP="004C2AC2">
      <w:pPr>
        <w:pStyle w:val="3-BodyText"/>
      </w:pPr>
      <w:r w:rsidRPr="00006F36">
        <w:t>Under the proposed RSA, total PBS expenditure on migalastat would be capped at $</w:t>
      </w:r>
      <w:r w:rsidR="00627FF8" w:rsidRPr="00627FF8">
        <w:t>0 to &lt; $10 million</w:t>
      </w:r>
      <w:r w:rsidR="005C51E7">
        <w:t xml:space="preserve"> </w:t>
      </w:r>
      <w:r w:rsidRPr="00006F36">
        <w:t>in Year 1, increasin</w:t>
      </w:r>
      <w:r w:rsidRPr="00006F36" w:rsidDel="007D6BF3">
        <w:t xml:space="preserve">g </w:t>
      </w:r>
      <w:r w:rsidRPr="00006F36">
        <w:t>to $</w:t>
      </w:r>
      <w:r w:rsidR="00627FF8" w:rsidRPr="00627FF8">
        <w:t>10 million to &lt; $20 million</w:t>
      </w:r>
      <w:r w:rsidR="005C51E7">
        <w:t xml:space="preserve"> </w:t>
      </w:r>
      <w:r w:rsidRPr="00006F36">
        <w:t>in Year 6. A summary of the expenditure caps under the proposed RSA for migalastat on the PBS is provided i</w:t>
      </w:r>
      <w:r w:rsidR="006E32A0" w:rsidRPr="00006F36">
        <w:t xml:space="preserve">n </w:t>
      </w:r>
      <w:r w:rsidR="006E32A0" w:rsidRPr="00006F36">
        <w:fldChar w:fldCharType="begin" w:fldLock="1"/>
      </w:r>
      <w:r w:rsidR="006E32A0" w:rsidRPr="00006F36">
        <w:instrText xml:space="preserve"> REF _Ref152187804 \h </w:instrText>
      </w:r>
      <w:r w:rsidR="006E32A0" w:rsidRPr="00006F36">
        <w:fldChar w:fldCharType="separate"/>
      </w:r>
      <w:r w:rsidR="00F42C5D" w:rsidRPr="00006F36">
        <w:t xml:space="preserve">Table </w:t>
      </w:r>
      <w:r w:rsidR="00F42C5D">
        <w:rPr>
          <w:noProof/>
        </w:rPr>
        <w:t>12</w:t>
      </w:r>
      <w:r w:rsidR="006E32A0" w:rsidRPr="00006F36">
        <w:fldChar w:fldCharType="end"/>
      </w:r>
      <w:r w:rsidR="006E32A0" w:rsidRPr="00006F36">
        <w:t>.</w:t>
      </w:r>
    </w:p>
    <w:p w14:paraId="12FF3A2C" w14:textId="2DFFFB95" w:rsidR="004E3D5C" w:rsidRPr="00006F36" w:rsidRDefault="00D908E8" w:rsidP="00D908E8">
      <w:pPr>
        <w:pStyle w:val="Caption"/>
      </w:pPr>
      <w:bookmarkStart w:id="64" w:name="_Ref152187804"/>
      <w:r w:rsidRPr="00006F36">
        <w:lastRenderedPageBreak/>
        <w:t xml:space="preserve">Table </w:t>
      </w:r>
      <w:r w:rsidR="008C634B">
        <w:fldChar w:fldCharType="begin" w:fldLock="1"/>
      </w:r>
      <w:r w:rsidR="008C634B">
        <w:instrText xml:space="preserve"> SEQ Table \* ARABIC </w:instrText>
      </w:r>
      <w:r w:rsidR="008C634B">
        <w:fldChar w:fldCharType="separate"/>
      </w:r>
      <w:r w:rsidR="00F42C5D">
        <w:rPr>
          <w:noProof/>
        </w:rPr>
        <w:t>12</w:t>
      </w:r>
      <w:r w:rsidR="008C634B">
        <w:rPr>
          <w:noProof/>
        </w:rPr>
        <w:fldChar w:fldCharType="end"/>
      </w:r>
      <w:bookmarkEnd w:id="64"/>
      <w:r w:rsidR="004161CA" w:rsidRPr="00006F36">
        <w:t>:</w:t>
      </w:r>
      <w:r w:rsidR="006E32A0" w:rsidRPr="00006F36">
        <w:t xml:space="preserve"> </w:t>
      </w:r>
      <w:r w:rsidR="00420A42" w:rsidRPr="00006F36">
        <w:t>Expenditure caps proposed by the submission</w:t>
      </w:r>
    </w:p>
    <w:tbl>
      <w:tblPr>
        <w:tblStyle w:val="TableGrid"/>
        <w:tblW w:w="0" w:type="auto"/>
        <w:tblLayout w:type="fixed"/>
        <w:tblLook w:val="04A0" w:firstRow="1" w:lastRow="0" w:firstColumn="1" w:lastColumn="0" w:noHBand="0" w:noVBand="1"/>
        <w:tblCaption w:val="Table 12: Expenditure caps proposed by the submission"/>
      </w:tblPr>
      <w:tblGrid>
        <w:gridCol w:w="2122"/>
        <w:gridCol w:w="1250"/>
        <w:gridCol w:w="1129"/>
        <w:gridCol w:w="1129"/>
        <w:gridCol w:w="1129"/>
        <w:gridCol w:w="1129"/>
        <w:gridCol w:w="1129"/>
      </w:tblGrid>
      <w:tr w:rsidR="00420A42" w:rsidRPr="00006F36" w14:paraId="7705D0C1" w14:textId="77777777" w:rsidTr="0071331A">
        <w:trPr>
          <w:trHeight w:val="20"/>
        </w:trPr>
        <w:tc>
          <w:tcPr>
            <w:tcW w:w="2122" w:type="dxa"/>
          </w:tcPr>
          <w:p w14:paraId="254D7B4E" w14:textId="77777777" w:rsidR="00420A42" w:rsidRPr="00006F36" w:rsidRDefault="00420A42" w:rsidP="002E0C20">
            <w:pPr>
              <w:keepNext/>
              <w:keepLines/>
              <w:jc w:val="left"/>
              <w:rPr>
                <w:rFonts w:ascii="Arial Narrow" w:hAnsi="Arial Narrow"/>
                <w:sz w:val="20"/>
                <w:szCs w:val="20"/>
              </w:rPr>
            </w:pPr>
          </w:p>
        </w:tc>
        <w:tc>
          <w:tcPr>
            <w:tcW w:w="1250" w:type="dxa"/>
            <w:vAlign w:val="center"/>
          </w:tcPr>
          <w:p w14:paraId="28802B2A" w14:textId="77777777" w:rsidR="00420A42" w:rsidRPr="00006F36" w:rsidRDefault="00420A42" w:rsidP="00E27954">
            <w:pPr>
              <w:keepNext/>
              <w:keepLines/>
              <w:jc w:val="center"/>
              <w:rPr>
                <w:rFonts w:ascii="Arial Narrow" w:hAnsi="Arial Narrow"/>
                <w:b/>
                <w:bCs/>
                <w:sz w:val="20"/>
                <w:szCs w:val="20"/>
              </w:rPr>
            </w:pPr>
            <w:r w:rsidRPr="00006F36">
              <w:rPr>
                <w:rFonts w:ascii="Arial Narrow" w:hAnsi="Arial Narrow"/>
                <w:b/>
                <w:bCs/>
                <w:sz w:val="20"/>
                <w:szCs w:val="20"/>
              </w:rPr>
              <w:t>2024</w:t>
            </w:r>
          </w:p>
        </w:tc>
        <w:tc>
          <w:tcPr>
            <w:tcW w:w="1129" w:type="dxa"/>
            <w:vAlign w:val="center"/>
          </w:tcPr>
          <w:p w14:paraId="5804BD34" w14:textId="77777777" w:rsidR="00420A42" w:rsidRPr="00006F36" w:rsidRDefault="00420A42" w:rsidP="00E27954">
            <w:pPr>
              <w:keepNext/>
              <w:keepLines/>
              <w:jc w:val="center"/>
              <w:rPr>
                <w:rFonts w:ascii="Arial Narrow" w:hAnsi="Arial Narrow"/>
                <w:b/>
                <w:bCs/>
                <w:sz w:val="20"/>
                <w:szCs w:val="20"/>
              </w:rPr>
            </w:pPr>
            <w:r w:rsidRPr="00006F36">
              <w:rPr>
                <w:rFonts w:ascii="Arial Narrow" w:hAnsi="Arial Narrow"/>
                <w:b/>
                <w:bCs/>
                <w:sz w:val="20"/>
                <w:szCs w:val="20"/>
              </w:rPr>
              <w:t>2025</w:t>
            </w:r>
          </w:p>
        </w:tc>
        <w:tc>
          <w:tcPr>
            <w:tcW w:w="1129" w:type="dxa"/>
            <w:vAlign w:val="center"/>
          </w:tcPr>
          <w:p w14:paraId="48DB50A7" w14:textId="77777777" w:rsidR="00420A42" w:rsidRPr="00006F36" w:rsidRDefault="00420A42" w:rsidP="00E27954">
            <w:pPr>
              <w:keepNext/>
              <w:keepLines/>
              <w:jc w:val="center"/>
              <w:rPr>
                <w:rFonts w:ascii="Arial Narrow" w:hAnsi="Arial Narrow"/>
                <w:b/>
                <w:bCs/>
                <w:sz w:val="20"/>
                <w:szCs w:val="20"/>
              </w:rPr>
            </w:pPr>
            <w:r w:rsidRPr="00006F36">
              <w:rPr>
                <w:rFonts w:ascii="Arial Narrow" w:hAnsi="Arial Narrow"/>
                <w:b/>
                <w:bCs/>
                <w:sz w:val="20"/>
                <w:szCs w:val="20"/>
              </w:rPr>
              <w:t>2026</w:t>
            </w:r>
          </w:p>
        </w:tc>
        <w:tc>
          <w:tcPr>
            <w:tcW w:w="1129" w:type="dxa"/>
            <w:vAlign w:val="center"/>
          </w:tcPr>
          <w:p w14:paraId="20B1EB90" w14:textId="77777777" w:rsidR="00420A42" w:rsidRPr="00006F36" w:rsidRDefault="00420A42" w:rsidP="00E27954">
            <w:pPr>
              <w:keepNext/>
              <w:keepLines/>
              <w:jc w:val="center"/>
              <w:rPr>
                <w:rFonts w:ascii="Arial Narrow" w:hAnsi="Arial Narrow"/>
                <w:b/>
                <w:bCs/>
                <w:sz w:val="20"/>
                <w:szCs w:val="20"/>
              </w:rPr>
            </w:pPr>
            <w:r w:rsidRPr="00006F36">
              <w:rPr>
                <w:rFonts w:ascii="Arial Narrow" w:hAnsi="Arial Narrow"/>
                <w:b/>
                <w:bCs/>
                <w:sz w:val="20"/>
                <w:szCs w:val="20"/>
              </w:rPr>
              <w:t>2027</w:t>
            </w:r>
          </w:p>
        </w:tc>
        <w:tc>
          <w:tcPr>
            <w:tcW w:w="1129" w:type="dxa"/>
            <w:vAlign w:val="center"/>
          </w:tcPr>
          <w:p w14:paraId="64A6C56F" w14:textId="77777777" w:rsidR="00420A42" w:rsidRPr="00006F36" w:rsidRDefault="00420A42" w:rsidP="00E27954">
            <w:pPr>
              <w:keepNext/>
              <w:keepLines/>
              <w:jc w:val="center"/>
              <w:rPr>
                <w:rFonts w:ascii="Arial Narrow" w:hAnsi="Arial Narrow"/>
                <w:b/>
                <w:bCs/>
                <w:sz w:val="20"/>
                <w:szCs w:val="20"/>
              </w:rPr>
            </w:pPr>
            <w:r w:rsidRPr="00006F36">
              <w:rPr>
                <w:rFonts w:ascii="Arial Narrow" w:hAnsi="Arial Narrow"/>
                <w:b/>
                <w:bCs/>
                <w:sz w:val="20"/>
                <w:szCs w:val="20"/>
              </w:rPr>
              <w:t>2028</w:t>
            </w:r>
          </w:p>
        </w:tc>
        <w:tc>
          <w:tcPr>
            <w:tcW w:w="1129" w:type="dxa"/>
            <w:vAlign w:val="center"/>
          </w:tcPr>
          <w:p w14:paraId="6CF11028" w14:textId="77777777" w:rsidR="00420A42" w:rsidRPr="00006F36" w:rsidRDefault="00420A42" w:rsidP="00E27954">
            <w:pPr>
              <w:keepNext/>
              <w:keepLines/>
              <w:jc w:val="center"/>
              <w:rPr>
                <w:rFonts w:ascii="Arial Narrow" w:hAnsi="Arial Narrow"/>
                <w:b/>
                <w:bCs/>
                <w:sz w:val="20"/>
                <w:szCs w:val="20"/>
              </w:rPr>
            </w:pPr>
            <w:r w:rsidRPr="00006F36">
              <w:rPr>
                <w:rFonts w:ascii="Arial Narrow" w:hAnsi="Arial Narrow"/>
                <w:b/>
                <w:bCs/>
                <w:sz w:val="20"/>
                <w:szCs w:val="20"/>
              </w:rPr>
              <w:t>2029</w:t>
            </w:r>
          </w:p>
        </w:tc>
      </w:tr>
      <w:tr w:rsidR="00003603" w:rsidRPr="00006F36" w14:paraId="2D91F055" w14:textId="77777777" w:rsidTr="0071331A">
        <w:trPr>
          <w:trHeight w:val="20"/>
        </w:trPr>
        <w:tc>
          <w:tcPr>
            <w:tcW w:w="2122" w:type="dxa"/>
          </w:tcPr>
          <w:p w14:paraId="10F2CD45" w14:textId="4CCDE816" w:rsidR="00003603" w:rsidRPr="00006F36" w:rsidRDefault="00003603" w:rsidP="002E0C20">
            <w:pPr>
              <w:keepNext/>
              <w:keepLines/>
              <w:jc w:val="left"/>
              <w:rPr>
                <w:rFonts w:ascii="Arial Narrow" w:hAnsi="Arial Narrow"/>
                <w:sz w:val="20"/>
                <w:szCs w:val="20"/>
              </w:rPr>
            </w:pPr>
            <w:r w:rsidRPr="00006F36">
              <w:rPr>
                <w:rFonts w:ascii="Arial Narrow" w:hAnsi="Arial Narrow"/>
                <w:sz w:val="20"/>
                <w:szCs w:val="20"/>
              </w:rPr>
              <w:t>Patients with</w:t>
            </w:r>
            <w:r w:rsidR="00D12810">
              <w:rPr>
                <w:rFonts w:ascii="Arial Narrow" w:hAnsi="Arial Narrow"/>
                <w:sz w:val="20"/>
                <w:szCs w:val="20"/>
              </w:rPr>
              <w:t xml:space="preserve"> </w:t>
            </w:r>
            <w:r w:rsidR="0053666E" w:rsidRPr="00006F36">
              <w:rPr>
                <w:rFonts w:ascii="Arial Narrow" w:hAnsi="Arial Narrow"/>
                <w:sz w:val="20"/>
                <w:szCs w:val="20"/>
              </w:rPr>
              <w:t>organ involvement</w:t>
            </w:r>
            <w:r w:rsidRPr="00006F36">
              <w:rPr>
                <w:rFonts w:ascii="Arial Narrow" w:hAnsi="Arial Narrow"/>
                <w:sz w:val="20"/>
                <w:szCs w:val="20"/>
              </w:rPr>
              <w:t xml:space="preserve"> (Tier 1)</w:t>
            </w:r>
          </w:p>
        </w:tc>
        <w:tc>
          <w:tcPr>
            <w:tcW w:w="1250" w:type="dxa"/>
            <w:vAlign w:val="center"/>
          </w:tcPr>
          <w:p w14:paraId="4DB992D4" w14:textId="6802C559" w:rsidR="00003603"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15"/>
                <w:sz w:val="20"/>
                <w:szCs w:val="20"/>
                <w:shd w:val="solid" w:color="000000" w:fill="000000"/>
                <w:fitText w:val="62" w:id="-961870588"/>
                <w14:textFill>
                  <w14:solidFill>
                    <w14:srgbClr w14:val="000000">
                      <w14:alpha w14:val="100000"/>
                    </w14:srgbClr>
                  </w14:solidFill>
                </w14:textFill>
              </w:rPr>
              <w:t xml:space="preserve">　</w:t>
            </w:r>
            <w:r w:rsidRPr="00494449">
              <w:rPr>
                <w:rFonts w:ascii="Arial Narrow" w:hAnsi="Arial Narrow"/>
                <w:color w:val="000000"/>
                <w:w w:val="15"/>
                <w:sz w:val="20"/>
                <w:szCs w:val="20"/>
                <w:shd w:val="solid" w:color="000000" w:fill="000000"/>
                <w:fitText w:val="62" w:id="-961870588"/>
                <w14:textFill>
                  <w14:solidFill>
                    <w14:srgbClr w14:val="000000">
                      <w14:alpha w14:val="100000"/>
                    </w14:srgbClr>
                  </w14:solidFill>
                </w14:textFill>
              </w:rPr>
              <w:t>|</w:t>
            </w:r>
            <w:r w:rsidRPr="00494449">
              <w:rPr>
                <w:rFonts w:ascii="Arial Narrow" w:hAnsi="Arial Narrow" w:hint="eastAsia"/>
                <w:color w:val="000000"/>
                <w:spacing w:val="-3"/>
                <w:w w:val="15"/>
                <w:sz w:val="20"/>
                <w:szCs w:val="20"/>
                <w:shd w:val="solid" w:color="000000" w:fill="000000"/>
                <w:fitText w:val="62" w:id="-961870588"/>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1</w:t>
            </w:r>
          </w:p>
        </w:tc>
        <w:tc>
          <w:tcPr>
            <w:tcW w:w="1129" w:type="dxa"/>
            <w:vAlign w:val="center"/>
          </w:tcPr>
          <w:p w14:paraId="6342A2C9" w14:textId="19B0E16A" w:rsidR="00003603"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5" w:id="-961870587"/>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5" w:id="-961870587"/>
                <w14:textFill>
                  <w14:solidFill>
                    <w14:srgbClr w14:val="000000">
                      <w14:alpha w14:val="100000"/>
                    </w14:srgbClr>
                  </w14:solidFill>
                </w14:textFill>
              </w:rPr>
              <w:t>|</w:t>
            </w:r>
            <w:r w:rsidRPr="00494449">
              <w:rPr>
                <w:rFonts w:ascii="Arial Narrow" w:hAnsi="Arial Narrow" w:hint="eastAsia"/>
                <w:color w:val="000000"/>
                <w:spacing w:val="3"/>
                <w:w w:val="28"/>
                <w:sz w:val="20"/>
                <w:szCs w:val="20"/>
                <w:shd w:val="solid" w:color="000000" w:fill="000000"/>
                <w:fitText w:val="125" w:id="-961870587"/>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1</w:t>
            </w:r>
          </w:p>
        </w:tc>
        <w:tc>
          <w:tcPr>
            <w:tcW w:w="1129" w:type="dxa"/>
            <w:vAlign w:val="center"/>
          </w:tcPr>
          <w:p w14:paraId="0E6BD5B6" w14:textId="6E82910C" w:rsidR="00003603"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5" w:id="-961870586"/>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5" w:id="-961870586"/>
                <w14:textFill>
                  <w14:solidFill>
                    <w14:srgbClr w14:val="000000">
                      <w14:alpha w14:val="100000"/>
                    </w14:srgbClr>
                  </w14:solidFill>
                </w14:textFill>
              </w:rPr>
              <w:t>|</w:t>
            </w:r>
            <w:r w:rsidRPr="00494449">
              <w:rPr>
                <w:rFonts w:ascii="Arial Narrow" w:hAnsi="Arial Narrow" w:hint="eastAsia"/>
                <w:color w:val="000000"/>
                <w:spacing w:val="3"/>
                <w:w w:val="28"/>
                <w:sz w:val="20"/>
                <w:szCs w:val="20"/>
                <w:shd w:val="solid" w:color="000000" w:fill="000000"/>
                <w:fitText w:val="125" w:id="-961870586"/>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1</w:t>
            </w:r>
          </w:p>
        </w:tc>
        <w:tc>
          <w:tcPr>
            <w:tcW w:w="1129" w:type="dxa"/>
            <w:vAlign w:val="center"/>
          </w:tcPr>
          <w:p w14:paraId="59F24EAE" w14:textId="4233A3FE" w:rsidR="00003603"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5" w:id="-961870585"/>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5" w:id="-961870585"/>
                <w14:textFill>
                  <w14:solidFill>
                    <w14:srgbClr w14:val="000000">
                      <w14:alpha w14:val="100000"/>
                    </w14:srgbClr>
                  </w14:solidFill>
                </w14:textFill>
              </w:rPr>
              <w:t>|</w:t>
            </w:r>
            <w:r w:rsidRPr="00494449">
              <w:rPr>
                <w:rFonts w:ascii="Arial Narrow" w:hAnsi="Arial Narrow" w:hint="eastAsia"/>
                <w:color w:val="000000"/>
                <w:spacing w:val="3"/>
                <w:w w:val="28"/>
                <w:sz w:val="20"/>
                <w:szCs w:val="20"/>
                <w:shd w:val="solid" w:color="000000" w:fill="000000"/>
                <w:fitText w:val="125" w:id="-961870585"/>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1</w:t>
            </w:r>
          </w:p>
        </w:tc>
        <w:tc>
          <w:tcPr>
            <w:tcW w:w="1129" w:type="dxa"/>
            <w:vAlign w:val="center"/>
          </w:tcPr>
          <w:p w14:paraId="3FC13F74" w14:textId="02956D1D" w:rsidR="00003603"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6" w:id="-961870584"/>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6" w:id="-961870584"/>
                <w14:textFill>
                  <w14:solidFill>
                    <w14:srgbClr w14:val="000000">
                      <w14:alpha w14:val="100000"/>
                    </w14:srgbClr>
                  </w14:solidFill>
                </w14:textFill>
              </w:rPr>
              <w:t>|</w:t>
            </w:r>
            <w:r w:rsidRPr="00494449">
              <w:rPr>
                <w:rFonts w:ascii="Arial Narrow" w:hAnsi="Arial Narrow" w:hint="eastAsia"/>
                <w:color w:val="000000"/>
                <w:spacing w:val="4"/>
                <w:w w:val="28"/>
                <w:sz w:val="20"/>
                <w:szCs w:val="20"/>
                <w:shd w:val="solid" w:color="000000" w:fill="000000"/>
                <w:fitText w:val="126" w:id="-961870584"/>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1</w:t>
            </w:r>
          </w:p>
        </w:tc>
        <w:tc>
          <w:tcPr>
            <w:tcW w:w="1129" w:type="dxa"/>
            <w:vAlign w:val="center"/>
          </w:tcPr>
          <w:p w14:paraId="73AC2199" w14:textId="2BD0339E" w:rsidR="00003603"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6" w:id="-961870583"/>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6" w:id="-961870583"/>
                <w14:textFill>
                  <w14:solidFill>
                    <w14:srgbClr w14:val="000000">
                      <w14:alpha w14:val="100000"/>
                    </w14:srgbClr>
                  </w14:solidFill>
                </w14:textFill>
              </w:rPr>
              <w:t>|</w:t>
            </w:r>
            <w:r w:rsidRPr="00494449">
              <w:rPr>
                <w:rFonts w:ascii="Arial Narrow" w:hAnsi="Arial Narrow" w:hint="eastAsia"/>
                <w:color w:val="000000"/>
                <w:spacing w:val="4"/>
                <w:w w:val="28"/>
                <w:sz w:val="20"/>
                <w:szCs w:val="20"/>
                <w:shd w:val="solid" w:color="000000" w:fill="000000"/>
                <w:fitText w:val="126" w:id="-961870583"/>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1</w:t>
            </w:r>
          </w:p>
        </w:tc>
      </w:tr>
      <w:tr w:rsidR="00003603" w:rsidRPr="00006F36" w14:paraId="01B41ECD" w14:textId="77777777" w:rsidTr="0071331A">
        <w:trPr>
          <w:trHeight w:val="20"/>
        </w:trPr>
        <w:tc>
          <w:tcPr>
            <w:tcW w:w="2122" w:type="dxa"/>
          </w:tcPr>
          <w:p w14:paraId="52BDA932" w14:textId="5600627C" w:rsidR="00003603" w:rsidRPr="00006F36" w:rsidRDefault="00003603" w:rsidP="002E0C20">
            <w:pPr>
              <w:keepNext/>
              <w:keepLines/>
              <w:jc w:val="left"/>
              <w:rPr>
                <w:rFonts w:ascii="Arial Narrow" w:hAnsi="Arial Narrow"/>
                <w:sz w:val="20"/>
                <w:szCs w:val="20"/>
              </w:rPr>
            </w:pPr>
            <w:r w:rsidRPr="00006F36">
              <w:rPr>
                <w:rFonts w:ascii="Arial Narrow" w:hAnsi="Arial Narrow"/>
                <w:sz w:val="20"/>
                <w:szCs w:val="20"/>
              </w:rPr>
              <w:t>Early treatment in classical Fabry patients (Between Tier 1 and Tier 2)</w:t>
            </w:r>
          </w:p>
        </w:tc>
        <w:tc>
          <w:tcPr>
            <w:tcW w:w="1250" w:type="dxa"/>
            <w:vAlign w:val="center"/>
          </w:tcPr>
          <w:p w14:paraId="5110C578" w14:textId="28A169D7" w:rsidR="00003603"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15"/>
                <w:sz w:val="20"/>
                <w:szCs w:val="20"/>
                <w:shd w:val="solid" w:color="000000" w:fill="000000"/>
                <w:fitText w:val="62" w:id="-961870582"/>
                <w14:textFill>
                  <w14:solidFill>
                    <w14:srgbClr w14:val="000000">
                      <w14:alpha w14:val="100000"/>
                    </w14:srgbClr>
                  </w14:solidFill>
                </w14:textFill>
              </w:rPr>
              <w:t xml:space="preserve">　</w:t>
            </w:r>
            <w:r w:rsidRPr="00494449">
              <w:rPr>
                <w:rFonts w:ascii="Arial Narrow" w:hAnsi="Arial Narrow"/>
                <w:color w:val="000000"/>
                <w:w w:val="15"/>
                <w:sz w:val="20"/>
                <w:szCs w:val="20"/>
                <w:shd w:val="solid" w:color="000000" w:fill="000000"/>
                <w:fitText w:val="62" w:id="-961870582"/>
                <w14:textFill>
                  <w14:solidFill>
                    <w14:srgbClr w14:val="000000">
                      <w14:alpha w14:val="100000"/>
                    </w14:srgbClr>
                  </w14:solidFill>
                </w14:textFill>
              </w:rPr>
              <w:t>|</w:t>
            </w:r>
            <w:r w:rsidRPr="00494449">
              <w:rPr>
                <w:rFonts w:ascii="Arial Narrow" w:hAnsi="Arial Narrow" w:hint="eastAsia"/>
                <w:color w:val="000000"/>
                <w:spacing w:val="-3"/>
                <w:w w:val="15"/>
                <w:sz w:val="20"/>
                <w:szCs w:val="20"/>
                <w:shd w:val="solid" w:color="000000" w:fill="000000"/>
                <w:fitText w:val="62" w:id="-961870582"/>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1</w:t>
            </w:r>
          </w:p>
        </w:tc>
        <w:tc>
          <w:tcPr>
            <w:tcW w:w="1129" w:type="dxa"/>
            <w:vAlign w:val="center"/>
          </w:tcPr>
          <w:p w14:paraId="0B74726D" w14:textId="29E3EC07" w:rsidR="00003603"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5" w:id="-961870581"/>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5" w:id="-961870581"/>
                <w14:textFill>
                  <w14:solidFill>
                    <w14:srgbClr w14:val="000000">
                      <w14:alpha w14:val="100000"/>
                    </w14:srgbClr>
                  </w14:solidFill>
                </w14:textFill>
              </w:rPr>
              <w:t>|</w:t>
            </w:r>
            <w:r w:rsidRPr="00494449">
              <w:rPr>
                <w:rFonts w:ascii="Arial Narrow" w:hAnsi="Arial Narrow" w:hint="eastAsia"/>
                <w:color w:val="000000"/>
                <w:spacing w:val="3"/>
                <w:w w:val="28"/>
                <w:sz w:val="20"/>
                <w:szCs w:val="20"/>
                <w:shd w:val="solid" w:color="000000" w:fill="000000"/>
                <w:fitText w:val="125" w:id="-961870581"/>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1</w:t>
            </w:r>
          </w:p>
        </w:tc>
        <w:tc>
          <w:tcPr>
            <w:tcW w:w="1129" w:type="dxa"/>
            <w:vAlign w:val="center"/>
          </w:tcPr>
          <w:p w14:paraId="0D566D4F" w14:textId="186BF619" w:rsidR="00003603"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5" w:id="-961870580"/>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5" w:id="-961870580"/>
                <w14:textFill>
                  <w14:solidFill>
                    <w14:srgbClr w14:val="000000">
                      <w14:alpha w14:val="100000"/>
                    </w14:srgbClr>
                  </w14:solidFill>
                </w14:textFill>
              </w:rPr>
              <w:t>|</w:t>
            </w:r>
            <w:r w:rsidRPr="00494449">
              <w:rPr>
                <w:rFonts w:ascii="Arial Narrow" w:hAnsi="Arial Narrow" w:hint="eastAsia"/>
                <w:color w:val="000000"/>
                <w:spacing w:val="3"/>
                <w:w w:val="28"/>
                <w:sz w:val="20"/>
                <w:szCs w:val="20"/>
                <w:shd w:val="solid" w:color="000000" w:fill="000000"/>
                <w:fitText w:val="125" w:id="-961870580"/>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1</w:t>
            </w:r>
          </w:p>
        </w:tc>
        <w:tc>
          <w:tcPr>
            <w:tcW w:w="1129" w:type="dxa"/>
            <w:vAlign w:val="center"/>
          </w:tcPr>
          <w:p w14:paraId="47AC1B88" w14:textId="267655E7" w:rsidR="00003603"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5" w:id="-961870579"/>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5" w:id="-961870579"/>
                <w14:textFill>
                  <w14:solidFill>
                    <w14:srgbClr w14:val="000000">
                      <w14:alpha w14:val="100000"/>
                    </w14:srgbClr>
                  </w14:solidFill>
                </w14:textFill>
              </w:rPr>
              <w:t>|</w:t>
            </w:r>
            <w:r w:rsidRPr="00494449">
              <w:rPr>
                <w:rFonts w:ascii="Arial Narrow" w:hAnsi="Arial Narrow" w:hint="eastAsia"/>
                <w:color w:val="000000"/>
                <w:spacing w:val="3"/>
                <w:w w:val="28"/>
                <w:sz w:val="20"/>
                <w:szCs w:val="20"/>
                <w:shd w:val="solid" w:color="000000" w:fill="000000"/>
                <w:fitText w:val="125" w:id="-961870579"/>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1</w:t>
            </w:r>
          </w:p>
        </w:tc>
        <w:tc>
          <w:tcPr>
            <w:tcW w:w="1129" w:type="dxa"/>
            <w:vAlign w:val="center"/>
          </w:tcPr>
          <w:p w14:paraId="30A91436" w14:textId="663AC87E" w:rsidR="00003603"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6" w:id="-961870578"/>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6" w:id="-961870578"/>
                <w14:textFill>
                  <w14:solidFill>
                    <w14:srgbClr w14:val="000000">
                      <w14:alpha w14:val="100000"/>
                    </w14:srgbClr>
                  </w14:solidFill>
                </w14:textFill>
              </w:rPr>
              <w:t>|</w:t>
            </w:r>
            <w:r w:rsidRPr="00494449">
              <w:rPr>
                <w:rFonts w:ascii="Arial Narrow" w:hAnsi="Arial Narrow" w:hint="eastAsia"/>
                <w:color w:val="000000"/>
                <w:spacing w:val="4"/>
                <w:w w:val="28"/>
                <w:sz w:val="20"/>
                <w:szCs w:val="20"/>
                <w:shd w:val="solid" w:color="000000" w:fill="000000"/>
                <w:fitText w:val="126" w:id="-961870578"/>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1</w:t>
            </w:r>
          </w:p>
        </w:tc>
        <w:tc>
          <w:tcPr>
            <w:tcW w:w="1129" w:type="dxa"/>
            <w:vAlign w:val="center"/>
          </w:tcPr>
          <w:p w14:paraId="6179335B" w14:textId="5874B604" w:rsidR="00003603"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6" w:id="-961870577"/>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6" w:id="-961870577"/>
                <w14:textFill>
                  <w14:solidFill>
                    <w14:srgbClr w14:val="000000">
                      <w14:alpha w14:val="100000"/>
                    </w14:srgbClr>
                  </w14:solidFill>
                </w14:textFill>
              </w:rPr>
              <w:t>|</w:t>
            </w:r>
            <w:r w:rsidRPr="00494449">
              <w:rPr>
                <w:rFonts w:ascii="Arial Narrow" w:hAnsi="Arial Narrow" w:hint="eastAsia"/>
                <w:color w:val="000000"/>
                <w:spacing w:val="4"/>
                <w:w w:val="28"/>
                <w:sz w:val="20"/>
                <w:szCs w:val="20"/>
                <w:shd w:val="solid" w:color="000000" w:fill="000000"/>
                <w:fitText w:val="126" w:id="-961870577"/>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1</w:t>
            </w:r>
          </w:p>
        </w:tc>
      </w:tr>
      <w:tr w:rsidR="00003603" w:rsidRPr="00006F36" w14:paraId="757CBF33" w14:textId="77777777" w:rsidTr="0071331A">
        <w:trPr>
          <w:trHeight w:val="20"/>
        </w:trPr>
        <w:tc>
          <w:tcPr>
            <w:tcW w:w="2122" w:type="dxa"/>
          </w:tcPr>
          <w:p w14:paraId="352670A1" w14:textId="2795E2B4" w:rsidR="00003603" w:rsidRPr="00006F36" w:rsidRDefault="00003603" w:rsidP="002E0C20">
            <w:pPr>
              <w:keepNext/>
              <w:keepLines/>
              <w:jc w:val="left"/>
              <w:rPr>
                <w:rFonts w:ascii="Arial Narrow" w:hAnsi="Arial Narrow"/>
                <w:sz w:val="20"/>
                <w:szCs w:val="20"/>
              </w:rPr>
            </w:pPr>
            <w:r w:rsidRPr="00006F36">
              <w:rPr>
                <w:rFonts w:ascii="Arial Narrow" w:hAnsi="Arial Narrow"/>
                <w:sz w:val="20"/>
                <w:szCs w:val="20"/>
              </w:rPr>
              <w:t>Total estimated patients treated with migalastat (Tier 2)</w:t>
            </w:r>
          </w:p>
        </w:tc>
        <w:tc>
          <w:tcPr>
            <w:tcW w:w="1250" w:type="dxa"/>
            <w:vAlign w:val="center"/>
          </w:tcPr>
          <w:p w14:paraId="1EBB955A" w14:textId="1A6F9803" w:rsidR="00003603"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15"/>
                <w:sz w:val="20"/>
                <w:szCs w:val="20"/>
                <w:shd w:val="solid" w:color="000000" w:fill="000000"/>
                <w:fitText w:val="62" w:id="-961870576"/>
                <w14:textFill>
                  <w14:solidFill>
                    <w14:srgbClr w14:val="000000">
                      <w14:alpha w14:val="100000"/>
                    </w14:srgbClr>
                  </w14:solidFill>
                </w14:textFill>
              </w:rPr>
              <w:t xml:space="preserve">　</w:t>
            </w:r>
            <w:r w:rsidRPr="00494449">
              <w:rPr>
                <w:rFonts w:ascii="Arial Narrow" w:hAnsi="Arial Narrow"/>
                <w:color w:val="000000"/>
                <w:w w:val="15"/>
                <w:sz w:val="20"/>
                <w:szCs w:val="20"/>
                <w:shd w:val="solid" w:color="000000" w:fill="000000"/>
                <w:fitText w:val="62" w:id="-961870576"/>
                <w14:textFill>
                  <w14:solidFill>
                    <w14:srgbClr w14:val="000000">
                      <w14:alpha w14:val="100000"/>
                    </w14:srgbClr>
                  </w14:solidFill>
                </w14:textFill>
              </w:rPr>
              <w:t>|</w:t>
            </w:r>
            <w:r w:rsidRPr="00494449">
              <w:rPr>
                <w:rFonts w:ascii="Arial Narrow" w:hAnsi="Arial Narrow" w:hint="eastAsia"/>
                <w:color w:val="000000"/>
                <w:spacing w:val="-3"/>
                <w:w w:val="15"/>
                <w:sz w:val="20"/>
                <w:szCs w:val="20"/>
                <w:shd w:val="solid" w:color="000000" w:fill="000000"/>
                <w:fitText w:val="62" w:id="-961870576"/>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1</w:t>
            </w:r>
          </w:p>
        </w:tc>
        <w:tc>
          <w:tcPr>
            <w:tcW w:w="1129" w:type="dxa"/>
            <w:vAlign w:val="center"/>
          </w:tcPr>
          <w:p w14:paraId="1D5D4E67" w14:textId="1E9FDA9B" w:rsidR="00003603"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5" w:id="-961870592"/>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5" w:id="-961870592"/>
                <w14:textFill>
                  <w14:solidFill>
                    <w14:srgbClr w14:val="000000">
                      <w14:alpha w14:val="100000"/>
                    </w14:srgbClr>
                  </w14:solidFill>
                </w14:textFill>
              </w:rPr>
              <w:t>|</w:t>
            </w:r>
            <w:r w:rsidRPr="00494449">
              <w:rPr>
                <w:rFonts w:ascii="Arial Narrow" w:hAnsi="Arial Narrow" w:hint="eastAsia"/>
                <w:color w:val="000000"/>
                <w:spacing w:val="3"/>
                <w:w w:val="28"/>
                <w:sz w:val="20"/>
                <w:szCs w:val="20"/>
                <w:shd w:val="solid" w:color="000000" w:fill="000000"/>
                <w:fitText w:val="125" w:id="-961870592"/>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1</w:t>
            </w:r>
          </w:p>
        </w:tc>
        <w:tc>
          <w:tcPr>
            <w:tcW w:w="1129" w:type="dxa"/>
            <w:vAlign w:val="center"/>
          </w:tcPr>
          <w:p w14:paraId="1F957B72" w14:textId="08682B59" w:rsidR="00003603"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5" w:id="-961870591"/>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5" w:id="-961870591"/>
                <w14:textFill>
                  <w14:solidFill>
                    <w14:srgbClr w14:val="000000">
                      <w14:alpha w14:val="100000"/>
                    </w14:srgbClr>
                  </w14:solidFill>
                </w14:textFill>
              </w:rPr>
              <w:t>|</w:t>
            </w:r>
            <w:r w:rsidRPr="00494449">
              <w:rPr>
                <w:rFonts w:ascii="Arial Narrow" w:hAnsi="Arial Narrow" w:hint="eastAsia"/>
                <w:color w:val="000000"/>
                <w:spacing w:val="3"/>
                <w:w w:val="28"/>
                <w:sz w:val="20"/>
                <w:szCs w:val="20"/>
                <w:shd w:val="solid" w:color="000000" w:fill="000000"/>
                <w:fitText w:val="125" w:id="-961870591"/>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1</w:t>
            </w:r>
          </w:p>
        </w:tc>
        <w:tc>
          <w:tcPr>
            <w:tcW w:w="1129" w:type="dxa"/>
            <w:vAlign w:val="center"/>
          </w:tcPr>
          <w:p w14:paraId="44AD7677" w14:textId="1B30AF64" w:rsidR="00003603"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5" w:id="-961870590"/>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5" w:id="-961870590"/>
                <w14:textFill>
                  <w14:solidFill>
                    <w14:srgbClr w14:val="000000">
                      <w14:alpha w14:val="100000"/>
                    </w14:srgbClr>
                  </w14:solidFill>
                </w14:textFill>
              </w:rPr>
              <w:t>|</w:t>
            </w:r>
            <w:r w:rsidRPr="00494449">
              <w:rPr>
                <w:rFonts w:ascii="Arial Narrow" w:hAnsi="Arial Narrow" w:hint="eastAsia"/>
                <w:color w:val="000000"/>
                <w:spacing w:val="3"/>
                <w:w w:val="28"/>
                <w:sz w:val="20"/>
                <w:szCs w:val="20"/>
                <w:shd w:val="solid" w:color="000000" w:fill="000000"/>
                <w:fitText w:val="125" w:id="-961870590"/>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1</w:t>
            </w:r>
          </w:p>
        </w:tc>
        <w:tc>
          <w:tcPr>
            <w:tcW w:w="1129" w:type="dxa"/>
            <w:vAlign w:val="center"/>
          </w:tcPr>
          <w:p w14:paraId="4DA699F5" w14:textId="5B517AE3" w:rsidR="00003603"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6" w:id="-961870589"/>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6" w:id="-961870589"/>
                <w14:textFill>
                  <w14:solidFill>
                    <w14:srgbClr w14:val="000000">
                      <w14:alpha w14:val="100000"/>
                    </w14:srgbClr>
                  </w14:solidFill>
                </w14:textFill>
              </w:rPr>
              <w:t>|</w:t>
            </w:r>
            <w:r w:rsidRPr="00494449">
              <w:rPr>
                <w:rFonts w:ascii="Arial Narrow" w:hAnsi="Arial Narrow" w:hint="eastAsia"/>
                <w:color w:val="000000"/>
                <w:spacing w:val="4"/>
                <w:w w:val="28"/>
                <w:sz w:val="20"/>
                <w:szCs w:val="20"/>
                <w:shd w:val="solid" w:color="000000" w:fill="000000"/>
                <w:fitText w:val="126" w:id="-961870589"/>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1</w:t>
            </w:r>
          </w:p>
        </w:tc>
        <w:tc>
          <w:tcPr>
            <w:tcW w:w="1129" w:type="dxa"/>
            <w:vAlign w:val="center"/>
          </w:tcPr>
          <w:p w14:paraId="0B6D26F8" w14:textId="7316E2AC" w:rsidR="00003603"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6" w:id="-961870588"/>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6" w:id="-961870588"/>
                <w14:textFill>
                  <w14:solidFill>
                    <w14:srgbClr w14:val="000000">
                      <w14:alpha w14:val="100000"/>
                    </w14:srgbClr>
                  </w14:solidFill>
                </w14:textFill>
              </w:rPr>
              <w:t>|</w:t>
            </w:r>
            <w:r w:rsidRPr="00494449">
              <w:rPr>
                <w:rFonts w:ascii="Arial Narrow" w:hAnsi="Arial Narrow" w:hint="eastAsia"/>
                <w:color w:val="000000"/>
                <w:spacing w:val="4"/>
                <w:w w:val="28"/>
                <w:sz w:val="20"/>
                <w:szCs w:val="20"/>
                <w:shd w:val="solid" w:color="000000" w:fill="000000"/>
                <w:fitText w:val="126" w:id="-961870588"/>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1</w:t>
            </w:r>
          </w:p>
        </w:tc>
      </w:tr>
      <w:tr w:rsidR="00A51776" w:rsidRPr="00006F36" w14:paraId="139F3E8F" w14:textId="77777777" w:rsidTr="000E7A4F">
        <w:trPr>
          <w:trHeight w:val="20"/>
        </w:trPr>
        <w:tc>
          <w:tcPr>
            <w:tcW w:w="2122" w:type="dxa"/>
          </w:tcPr>
          <w:p w14:paraId="64C29152" w14:textId="4EB8C424" w:rsidR="00A51776" w:rsidRPr="00006F36" w:rsidRDefault="00A51776" w:rsidP="002E0C20">
            <w:pPr>
              <w:keepNext/>
              <w:keepLines/>
              <w:jc w:val="left"/>
              <w:rPr>
                <w:rFonts w:ascii="Arial Narrow" w:hAnsi="Arial Narrow"/>
                <w:sz w:val="20"/>
                <w:szCs w:val="20"/>
              </w:rPr>
            </w:pPr>
            <w:r w:rsidRPr="00006F36">
              <w:rPr>
                <w:rFonts w:ascii="Arial Narrow" w:hAnsi="Arial Narrow"/>
                <w:sz w:val="20"/>
                <w:szCs w:val="20"/>
              </w:rPr>
              <w:t>Number of scripts</w:t>
            </w:r>
          </w:p>
        </w:tc>
        <w:tc>
          <w:tcPr>
            <w:tcW w:w="1250" w:type="dxa"/>
            <w:vAlign w:val="center"/>
          </w:tcPr>
          <w:p w14:paraId="174DF2E0" w14:textId="2AA240ED" w:rsidR="00A51776" w:rsidRPr="007B749D" w:rsidRDefault="00494449" w:rsidP="00A51776">
            <w:pPr>
              <w:keepNext/>
              <w:keepLines/>
              <w:jc w:val="center"/>
              <w:rPr>
                <w:rFonts w:ascii="Arial Narrow" w:hAnsi="Arial Narrow"/>
                <w:sz w:val="20"/>
                <w:szCs w:val="20"/>
                <w:highlight w:val="lightGray"/>
              </w:rPr>
            </w:pPr>
            <w:r w:rsidRPr="00494449">
              <w:rPr>
                <w:rFonts w:ascii="Arial Narrow" w:hAnsi="Arial Narrow" w:hint="eastAsia"/>
                <w:color w:val="000000"/>
                <w:w w:val="15"/>
                <w:sz w:val="20"/>
                <w:szCs w:val="20"/>
                <w:shd w:val="solid" w:color="000000" w:fill="000000"/>
                <w:fitText w:val="62" w:id="-961870587"/>
                <w14:textFill>
                  <w14:solidFill>
                    <w14:srgbClr w14:val="000000">
                      <w14:alpha w14:val="100000"/>
                    </w14:srgbClr>
                  </w14:solidFill>
                </w14:textFill>
              </w:rPr>
              <w:t xml:space="preserve">　</w:t>
            </w:r>
            <w:r w:rsidRPr="00494449">
              <w:rPr>
                <w:rFonts w:ascii="Arial Narrow" w:hAnsi="Arial Narrow"/>
                <w:color w:val="000000"/>
                <w:w w:val="15"/>
                <w:sz w:val="20"/>
                <w:szCs w:val="20"/>
                <w:shd w:val="solid" w:color="000000" w:fill="000000"/>
                <w:fitText w:val="62" w:id="-961870587"/>
                <w14:textFill>
                  <w14:solidFill>
                    <w14:srgbClr w14:val="000000">
                      <w14:alpha w14:val="100000"/>
                    </w14:srgbClr>
                  </w14:solidFill>
                </w14:textFill>
              </w:rPr>
              <w:t>|</w:t>
            </w:r>
            <w:r w:rsidRPr="00494449">
              <w:rPr>
                <w:rFonts w:ascii="Arial Narrow" w:hAnsi="Arial Narrow" w:hint="eastAsia"/>
                <w:color w:val="000000"/>
                <w:spacing w:val="-3"/>
                <w:w w:val="15"/>
                <w:sz w:val="20"/>
                <w:szCs w:val="20"/>
                <w:shd w:val="solid" w:color="000000" w:fill="000000"/>
                <w:fitText w:val="62" w:id="-961870587"/>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2</w:t>
            </w:r>
          </w:p>
        </w:tc>
        <w:tc>
          <w:tcPr>
            <w:tcW w:w="1129" w:type="dxa"/>
            <w:vAlign w:val="center"/>
          </w:tcPr>
          <w:p w14:paraId="246B270F" w14:textId="1B668529" w:rsidR="00A51776" w:rsidRPr="007B749D" w:rsidRDefault="00494449" w:rsidP="00A51776">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5" w:id="-961870586"/>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5" w:id="-961870586"/>
                <w14:textFill>
                  <w14:solidFill>
                    <w14:srgbClr w14:val="000000">
                      <w14:alpha w14:val="100000"/>
                    </w14:srgbClr>
                  </w14:solidFill>
                </w14:textFill>
              </w:rPr>
              <w:t>|</w:t>
            </w:r>
            <w:r w:rsidRPr="00494449">
              <w:rPr>
                <w:rFonts w:ascii="Arial Narrow" w:hAnsi="Arial Narrow" w:hint="eastAsia"/>
                <w:color w:val="000000"/>
                <w:spacing w:val="3"/>
                <w:w w:val="28"/>
                <w:sz w:val="20"/>
                <w:szCs w:val="20"/>
                <w:shd w:val="solid" w:color="000000" w:fill="000000"/>
                <w:fitText w:val="125" w:id="-961870586"/>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2</w:t>
            </w:r>
          </w:p>
        </w:tc>
        <w:tc>
          <w:tcPr>
            <w:tcW w:w="1129" w:type="dxa"/>
            <w:vAlign w:val="center"/>
          </w:tcPr>
          <w:p w14:paraId="3DC64051" w14:textId="6AB05055" w:rsidR="00A51776" w:rsidRPr="007B749D" w:rsidRDefault="00494449" w:rsidP="00A51776">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5" w:id="-961870585"/>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5" w:id="-961870585"/>
                <w14:textFill>
                  <w14:solidFill>
                    <w14:srgbClr w14:val="000000">
                      <w14:alpha w14:val="100000"/>
                    </w14:srgbClr>
                  </w14:solidFill>
                </w14:textFill>
              </w:rPr>
              <w:t>|</w:t>
            </w:r>
            <w:r w:rsidRPr="00494449">
              <w:rPr>
                <w:rFonts w:ascii="Arial Narrow" w:hAnsi="Arial Narrow" w:hint="eastAsia"/>
                <w:color w:val="000000"/>
                <w:spacing w:val="3"/>
                <w:w w:val="28"/>
                <w:sz w:val="20"/>
                <w:szCs w:val="20"/>
                <w:shd w:val="solid" w:color="000000" w:fill="000000"/>
                <w:fitText w:val="125" w:id="-961870585"/>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2</w:t>
            </w:r>
          </w:p>
        </w:tc>
        <w:tc>
          <w:tcPr>
            <w:tcW w:w="1129" w:type="dxa"/>
            <w:vAlign w:val="center"/>
          </w:tcPr>
          <w:p w14:paraId="799E4368" w14:textId="107204F9" w:rsidR="00A51776" w:rsidRPr="007B749D" w:rsidRDefault="00494449" w:rsidP="00A51776">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5" w:id="-961870584"/>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5" w:id="-961870584"/>
                <w14:textFill>
                  <w14:solidFill>
                    <w14:srgbClr w14:val="000000">
                      <w14:alpha w14:val="100000"/>
                    </w14:srgbClr>
                  </w14:solidFill>
                </w14:textFill>
              </w:rPr>
              <w:t>|</w:t>
            </w:r>
            <w:r w:rsidRPr="00494449">
              <w:rPr>
                <w:rFonts w:ascii="Arial Narrow" w:hAnsi="Arial Narrow" w:hint="eastAsia"/>
                <w:color w:val="000000"/>
                <w:spacing w:val="3"/>
                <w:w w:val="28"/>
                <w:sz w:val="20"/>
                <w:szCs w:val="20"/>
                <w:shd w:val="solid" w:color="000000" w:fill="000000"/>
                <w:fitText w:val="125" w:id="-961870584"/>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2</w:t>
            </w:r>
          </w:p>
        </w:tc>
        <w:tc>
          <w:tcPr>
            <w:tcW w:w="1129" w:type="dxa"/>
            <w:vAlign w:val="center"/>
          </w:tcPr>
          <w:p w14:paraId="478CE0C5" w14:textId="615099ED" w:rsidR="00A51776" w:rsidRPr="007B749D" w:rsidRDefault="00494449" w:rsidP="00A51776">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6" w:id="-961870583"/>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6" w:id="-961870583"/>
                <w14:textFill>
                  <w14:solidFill>
                    <w14:srgbClr w14:val="000000">
                      <w14:alpha w14:val="100000"/>
                    </w14:srgbClr>
                  </w14:solidFill>
                </w14:textFill>
              </w:rPr>
              <w:t>|</w:t>
            </w:r>
            <w:r w:rsidRPr="00494449">
              <w:rPr>
                <w:rFonts w:ascii="Arial Narrow" w:hAnsi="Arial Narrow" w:hint="eastAsia"/>
                <w:color w:val="000000"/>
                <w:spacing w:val="4"/>
                <w:w w:val="28"/>
                <w:sz w:val="20"/>
                <w:szCs w:val="20"/>
                <w:shd w:val="solid" w:color="000000" w:fill="000000"/>
                <w:fitText w:val="126" w:id="-961870583"/>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2</w:t>
            </w:r>
          </w:p>
        </w:tc>
        <w:tc>
          <w:tcPr>
            <w:tcW w:w="1129" w:type="dxa"/>
            <w:vAlign w:val="center"/>
          </w:tcPr>
          <w:p w14:paraId="0297C64E" w14:textId="281C074A" w:rsidR="00A51776" w:rsidRPr="007B749D" w:rsidRDefault="00494449" w:rsidP="00A51776">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6" w:id="-961870582"/>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6" w:id="-961870582"/>
                <w14:textFill>
                  <w14:solidFill>
                    <w14:srgbClr w14:val="000000">
                      <w14:alpha w14:val="100000"/>
                    </w14:srgbClr>
                  </w14:solidFill>
                </w14:textFill>
              </w:rPr>
              <w:t>|</w:t>
            </w:r>
            <w:r w:rsidRPr="00494449">
              <w:rPr>
                <w:rFonts w:ascii="Arial Narrow" w:hAnsi="Arial Narrow" w:hint="eastAsia"/>
                <w:color w:val="000000"/>
                <w:spacing w:val="4"/>
                <w:w w:val="28"/>
                <w:sz w:val="20"/>
                <w:szCs w:val="20"/>
                <w:shd w:val="solid" w:color="000000" w:fill="000000"/>
                <w:fitText w:val="126" w:id="-961870582"/>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2</w:t>
            </w:r>
          </w:p>
        </w:tc>
      </w:tr>
      <w:tr w:rsidR="00420A42" w:rsidRPr="00006F36" w14:paraId="6A1B1970" w14:textId="77777777" w:rsidTr="00F817D7">
        <w:trPr>
          <w:trHeight w:val="20"/>
        </w:trPr>
        <w:tc>
          <w:tcPr>
            <w:tcW w:w="2122" w:type="dxa"/>
          </w:tcPr>
          <w:p w14:paraId="41DC7990" w14:textId="2B2D6465" w:rsidR="00420A42" w:rsidRPr="00006F36" w:rsidRDefault="00420A42" w:rsidP="002E0C20">
            <w:pPr>
              <w:keepNext/>
              <w:keepLines/>
              <w:jc w:val="left"/>
              <w:rPr>
                <w:rFonts w:ascii="Arial Narrow" w:hAnsi="Arial Narrow"/>
                <w:b/>
                <w:bCs/>
                <w:sz w:val="20"/>
                <w:szCs w:val="20"/>
                <w:vertAlign w:val="superscript"/>
              </w:rPr>
            </w:pPr>
            <w:r w:rsidRPr="00006F36">
              <w:rPr>
                <w:rFonts w:ascii="Arial Narrow" w:hAnsi="Arial Narrow"/>
                <w:b/>
                <w:bCs/>
                <w:sz w:val="20"/>
                <w:szCs w:val="20"/>
              </w:rPr>
              <w:t xml:space="preserve">Net cost to PBS </w:t>
            </w:r>
            <w:r w:rsidR="001528FE" w:rsidRPr="00006F36">
              <w:rPr>
                <w:rFonts w:ascii="Arial Narrow" w:hAnsi="Arial Narrow"/>
                <w:b/>
                <w:bCs/>
                <w:sz w:val="20"/>
                <w:szCs w:val="20"/>
              </w:rPr>
              <w:t>without RSA</w:t>
            </w:r>
          </w:p>
        </w:tc>
        <w:tc>
          <w:tcPr>
            <w:tcW w:w="1250" w:type="dxa"/>
            <w:vAlign w:val="center"/>
          </w:tcPr>
          <w:p w14:paraId="42306746" w14:textId="7A9E32C6" w:rsidR="00420A42" w:rsidRPr="007B749D" w:rsidRDefault="00494449" w:rsidP="00F817D7">
            <w:pPr>
              <w:keepNext/>
              <w:keepLines/>
              <w:jc w:val="center"/>
              <w:rPr>
                <w:rFonts w:ascii="Arial Narrow" w:hAnsi="Arial Narrow"/>
                <w:b/>
                <w:bCs/>
                <w:sz w:val="20"/>
                <w:szCs w:val="20"/>
                <w:highlight w:val="lightGray"/>
              </w:rPr>
            </w:pPr>
            <w:r w:rsidRPr="00494449">
              <w:rPr>
                <w:rFonts w:ascii="Arial Narrow" w:hAnsi="Arial Narrow" w:hint="eastAsia"/>
                <w:b/>
                <w:bCs/>
                <w:color w:val="000000"/>
                <w:w w:val="25"/>
                <w:sz w:val="20"/>
                <w:szCs w:val="20"/>
                <w:shd w:val="solid" w:color="000000" w:fill="000000"/>
                <w:fitText w:val="113" w:id="-961870581"/>
                <w14:textFill>
                  <w14:solidFill>
                    <w14:srgbClr w14:val="000000">
                      <w14:alpha w14:val="100000"/>
                    </w14:srgbClr>
                  </w14:solidFill>
                </w14:textFill>
              </w:rPr>
              <w:t xml:space="preserve">　</w:t>
            </w:r>
            <w:r w:rsidRPr="00494449">
              <w:rPr>
                <w:rFonts w:ascii="Arial Narrow" w:hAnsi="Arial Narrow"/>
                <w:b/>
                <w:bCs/>
                <w:color w:val="000000"/>
                <w:w w:val="25"/>
                <w:sz w:val="20"/>
                <w:szCs w:val="20"/>
                <w:shd w:val="solid" w:color="000000" w:fill="000000"/>
                <w:fitText w:val="113" w:id="-961870581"/>
                <w14:textFill>
                  <w14:solidFill>
                    <w14:srgbClr w14:val="000000">
                      <w14:alpha w14:val="100000"/>
                    </w14:srgbClr>
                  </w14:solidFill>
                </w14:textFill>
              </w:rPr>
              <w:t>|</w:t>
            </w:r>
            <w:r w:rsidRPr="00494449">
              <w:rPr>
                <w:rFonts w:ascii="Arial Narrow" w:hAnsi="Arial Narrow" w:hint="eastAsia"/>
                <w:b/>
                <w:bCs/>
                <w:color w:val="000000"/>
                <w:spacing w:val="1"/>
                <w:w w:val="25"/>
                <w:sz w:val="20"/>
                <w:szCs w:val="20"/>
                <w:shd w:val="solid" w:color="000000" w:fill="000000"/>
                <w:fitText w:val="113" w:id="-961870581"/>
                <w14:textFill>
                  <w14:solidFill>
                    <w14:srgbClr w14:val="000000">
                      <w14:alpha w14:val="100000"/>
                    </w14:srgbClr>
                  </w14:solidFill>
                </w14:textFill>
              </w:rPr>
              <w:t xml:space="preserve">　</w:t>
            </w:r>
            <w:r w:rsidR="007B749D" w:rsidRPr="007B749D">
              <w:rPr>
                <w:rFonts w:ascii="Arial Narrow" w:hAnsi="Arial Narrow"/>
                <w:b/>
                <w:bCs/>
                <w:sz w:val="20"/>
                <w:szCs w:val="20"/>
                <w:vertAlign w:val="superscript"/>
              </w:rPr>
              <w:t>3</w:t>
            </w:r>
          </w:p>
        </w:tc>
        <w:tc>
          <w:tcPr>
            <w:tcW w:w="1129" w:type="dxa"/>
            <w:vAlign w:val="center"/>
          </w:tcPr>
          <w:p w14:paraId="55F6B9BA" w14:textId="4C98B0F0" w:rsidR="00420A42" w:rsidRPr="007B749D" w:rsidRDefault="00494449" w:rsidP="00F817D7">
            <w:pPr>
              <w:keepNext/>
              <w:keepLines/>
              <w:jc w:val="center"/>
              <w:rPr>
                <w:rFonts w:ascii="Arial Narrow" w:hAnsi="Arial Narrow"/>
                <w:b/>
                <w:bCs/>
                <w:sz w:val="20"/>
                <w:szCs w:val="20"/>
                <w:highlight w:val="lightGray"/>
              </w:rPr>
            </w:pPr>
            <w:r w:rsidRPr="00494449">
              <w:rPr>
                <w:rFonts w:ascii="Arial Narrow" w:hAnsi="Arial Narrow"/>
                <w:b/>
                <w:bCs/>
                <w:color w:val="000000"/>
                <w:spacing w:val="71"/>
                <w:sz w:val="20"/>
                <w:szCs w:val="20"/>
                <w:shd w:val="solid" w:color="000000" w:fill="000000"/>
                <w:fitText w:val="163" w:id="-961870580"/>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163" w:id="-961870580"/>
                <w14:textFill>
                  <w14:solidFill>
                    <w14:srgbClr w14:val="000000">
                      <w14:alpha w14:val="100000"/>
                    </w14:srgbClr>
                  </w14:solidFill>
                </w14:textFill>
              </w:rPr>
              <w:t>|</w:t>
            </w:r>
            <w:r w:rsidR="007B749D" w:rsidRPr="007B749D">
              <w:rPr>
                <w:rFonts w:ascii="Arial Narrow" w:hAnsi="Arial Narrow"/>
                <w:b/>
                <w:bCs/>
                <w:sz w:val="20"/>
                <w:szCs w:val="20"/>
                <w:vertAlign w:val="superscript"/>
              </w:rPr>
              <w:t>3</w:t>
            </w:r>
          </w:p>
        </w:tc>
        <w:tc>
          <w:tcPr>
            <w:tcW w:w="1129" w:type="dxa"/>
            <w:vAlign w:val="center"/>
          </w:tcPr>
          <w:p w14:paraId="753FF17A" w14:textId="2E69B88D" w:rsidR="00420A42" w:rsidRPr="007B749D" w:rsidRDefault="00494449" w:rsidP="00F817D7">
            <w:pPr>
              <w:keepNext/>
              <w:keepLines/>
              <w:jc w:val="center"/>
              <w:rPr>
                <w:rFonts w:ascii="Arial Narrow" w:hAnsi="Arial Narrow"/>
                <w:b/>
                <w:bCs/>
                <w:sz w:val="20"/>
                <w:szCs w:val="20"/>
                <w:highlight w:val="lightGray"/>
              </w:rPr>
            </w:pPr>
            <w:r w:rsidRPr="00494449">
              <w:rPr>
                <w:rFonts w:ascii="Arial Narrow" w:hAnsi="Arial Narrow"/>
                <w:b/>
                <w:bCs/>
                <w:color w:val="000000"/>
                <w:spacing w:val="71"/>
                <w:sz w:val="20"/>
                <w:szCs w:val="20"/>
                <w:shd w:val="solid" w:color="000000" w:fill="000000"/>
                <w:fitText w:val="163" w:id="-961870579"/>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163" w:id="-961870579"/>
                <w14:textFill>
                  <w14:solidFill>
                    <w14:srgbClr w14:val="000000">
                      <w14:alpha w14:val="100000"/>
                    </w14:srgbClr>
                  </w14:solidFill>
                </w14:textFill>
              </w:rPr>
              <w:t>|</w:t>
            </w:r>
            <w:r w:rsidR="007B749D" w:rsidRPr="007B749D">
              <w:rPr>
                <w:rFonts w:ascii="Arial Narrow" w:hAnsi="Arial Narrow"/>
                <w:b/>
                <w:bCs/>
                <w:sz w:val="20"/>
                <w:szCs w:val="20"/>
                <w:vertAlign w:val="superscript"/>
              </w:rPr>
              <w:t>3</w:t>
            </w:r>
          </w:p>
        </w:tc>
        <w:tc>
          <w:tcPr>
            <w:tcW w:w="1129" w:type="dxa"/>
            <w:vAlign w:val="center"/>
          </w:tcPr>
          <w:p w14:paraId="311FDE84" w14:textId="5AE9A68F" w:rsidR="00420A42" w:rsidRPr="007B749D" w:rsidRDefault="00494449" w:rsidP="00F817D7">
            <w:pPr>
              <w:keepNext/>
              <w:keepLines/>
              <w:jc w:val="center"/>
              <w:rPr>
                <w:rFonts w:ascii="Arial Narrow" w:hAnsi="Arial Narrow"/>
                <w:b/>
                <w:bCs/>
                <w:sz w:val="20"/>
                <w:szCs w:val="20"/>
                <w:highlight w:val="lightGray"/>
              </w:rPr>
            </w:pPr>
            <w:r w:rsidRPr="00494449">
              <w:rPr>
                <w:rFonts w:ascii="Arial Narrow" w:hAnsi="Arial Narrow"/>
                <w:b/>
                <w:bCs/>
                <w:color w:val="000000"/>
                <w:spacing w:val="70"/>
                <w:sz w:val="20"/>
                <w:szCs w:val="20"/>
                <w:shd w:val="solid" w:color="000000" w:fill="000000"/>
                <w:fitText w:val="162" w:id="-961870578"/>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162" w:id="-961870578"/>
                <w14:textFill>
                  <w14:solidFill>
                    <w14:srgbClr w14:val="000000">
                      <w14:alpha w14:val="100000"/>
                    </w14:srgbClr>
                  </w14:solidFill>
                </w14:textFill>
              </w:rPr>
              <w:t>|</w:t>
            </w:r>
            <w:r w:rsidR="007B749D" w:rsidRPr="007B749D">
              <w:rPr>
                <w:rFonts w:ascii="Arial Narrow" w:hAnsi="Arial Narrow"/>
                <w:b/>
                <w:bCs/>
                <w:sz w:val="20"/>
                <w:szCs w:val="20"/>
                <w:vertAlign w:val="superscript"/>
              </w:rPr>
              <w:t>3</w:t>
            </w:r>
          </w:p>
        </w:tc>
        <w:tc>
          <w:tcPr>
            <w:tcW w:w="1129" w:type="dxa"/>
            <w:vAlign w:val="center"/>
          </w:tcPr>
          <w:p w14:paraId="2EA837E9" w14:textId="20750F91" w:rsidR="00420A42" w:rsidRPr="007B749D" w:rsidRDefault="00494449" w:rsidP="00F817D7">
            <w:pPr>
              <w:keepNext/>
              <w:keepLines/>
              <w:jc w:val="center"/>
              <w:rPr>
                <w:rFonts w:ascii="Arial Narrow" w:hAnsi="Arial Narrow"/>
                <w:b/>
                <w:bCs/>
                <w:sz w:val="20"/>
                <w:szCs w:val="20"/>
                <w:highlight w:val="lightGray"/>
              </w:rPr>
            </w:pPr>
            <w:r w:rsidRPr="00494449">
              <w:rPr>
                <w:rFonts w:ascii="Arial Narrow" w:hAnsi="Arial Narrow"/>
                <w:b/>
                <w:bCs/>
                <w:color w:val="000000"/>
                <w:spacing w:val="71"/>
                <w:sz w:val="20"/>
                <w:szCs w:val="20"/>
                <w:shd w:val="solid" w:color="000000" w:fill="000000"/>
                <w:fitText w:val="163" w:id="-961870577"/>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163" w:id="-961870577"/>
                <w14:textFill>
                  <w14:solidFill>
                    <w14:srgbClr w14:val="000000">
                      <w14:alpha w14:val="100000"/>
                    </w14:srgbClr>
                  </w14:solidFill>
                </w14:textFill>
              </w:rPr>
              <w:t>|</w:t>
            </w:r>
            <w:r w:rsidR="007B749D" w:rsidRPr="007B749D">
              <w:rPr>
                <w:rFonts w:ascii="Arial Narrow" w:hAnsi="Arial Narrow"/>
                <w:b/>
                <w:bCs/>
                <w:sz w:val="20"/>
                <w:szCs w:val="20"/>
                <w:vertAlign w:val="superscript"/>
              </w:rPr>
              <w:t>3</w:t>
            </w:r>
          </w:p>
        </w:tc>
        <w:tc>
          <w:tcPr>
            <w:tcW w:w="1129" w:type="dxa"/>
            <w:vAlign w:val="center"/>
          </w:tcPr>
          <w:p w14:paraId="0675A3D7" w14:textId="7D1FC3BA" w:rsidR="00420A42" w:rsidRPr="007B749D" w:rsidRDefault="00494449" w:rsidP="00F817D7">
            <w:pPr>
              <w:keepNext/>
              <w:keepLines/>
              <w:jc w:val="center"/>
              <w:rPr>
                <w:rFonts w:ascii="Arial Narrow" w:hAnsi="Arial Narrow"/>
                <w:b/>
                <w:bCs/>
                <w:sz w:val="20"/>
                <w:szCs w:val="20"/>
                <w:highlight w:val="lightGray"/>
              </w:rPr>
            </w:pPr>
            <w:r w:rsidRPr="00494449">
              <w:rPr>
                <w:rFonts w:ascii="Arial Narrow" w:hAnsi="Arial Narrow"/>
                <w:b/>
                <w:bCs/>
                <w:color w:val="000000"/>
                <w:spacing w:val="71"/>
                <w:sz w:val="20"/>
                <w:szCs w:val="20"/>
                <w:shd w:val="solid" w:color="000000" w:fill="000000"/>
                <w:fitText w:val="163" w:id="-961870576"/>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163" w:id="-961870576"/>
                <w14:textFill>
                  <w14:solidFill>
                    <w14:srgbClr w14:val="000000">
                      <w14:alpha w14:val="100000"/>
                    </w14:srgbClr>
                  </w14:solidFill>
                </w14:textFill>
              </w:rPr>
              <w:t>|</w:t>
            </w:r>
            <w:r w:rsidR="007B749D" w:rsidRPr="007B749D">
              <w:rPr>
                <w:rFonts w:ascii="Arial Narrow" w:hAnsi="Arial Narrow"/>
                <w:b/>
                <w:bCs/>
                <w:sz w:val="20"/>
                <w:szCs w:val="20"/>
                <w:vertAlign w:val="superscript"/>
              </w:rPr>
              <w:t>4</w:t>
            </w:r>
          </w:p>
        </w:tc>
      </w:tr>
      <w:tr w:rsidR="00A97BC8" w:rsidRPr="00006F36" w14:paraId="02D0B8CD" w14:textId="77777777" w:rsidTr="002156D3">
        <w:trPr>
          <w:trHeight w:val="20"/>
        </w:trPr>
        <w:tc>
          <w:tcPr>
            <w:tcW w:w="9017" w:type="dxa"/>
            <w:gridSpan w:val="7"/>
          </w:tcPr>
          <w:p w14:paraId="4FDD9602" w14:textId="30ABF0BE" w:rsidR="00A97BC8" w:rsidRPr="00006F36" w:rsidRDefault="00A97BC8" w:rsidP="002E0C20">
            <w:pPr>
              <w:keepNext/>
              <w:keepLines/>
              <w:jc w:val="left"/>
              <w:rPr>
                <w:rFonts w:ascii="Arial Narrow" w:hAnsi="Arial Narrow"/>
                <w:b/>
                <w:bCs/>
                <w:sz w:val="20"/>
                <w:szCs w:val="20"/>
              </w:rPr>
            </w:pPr>
            <w:r w:rsidRPr="00006F36">
              <w:rPr>
                <w:rFonts w:ascii="Arial Narrow" w:hAnsi="Arial Narrow"/>
                <w:b/>
                <w:bCs/>
                <w:sz w:val="20"/>
                <w:szCs w:val="20"/>
              </w:rPr>
              <w:t>Cost to PBS with RSA</w:t>
            </w:r>
          </w:p>
        </w:tc>
      </w:tr>
      <w:tr w:rsidR="00456C9E" w:rsidRPr="00006F36" w14:paraId="00C10434" w14:textId="77777777" w:rsidTr="0071331A">
        <w:trPr>
          <w:trHeight w:val="20"/>
        </w:trPr>
        <w:tc>
          <w:tcPr>
            <w:tcW w:w="2122" w:type="dxa"/>
          </w:tcPr>
          <w:p w14:paraId="1C4E3D6F" w14:textId="74DBD089" w:rsidR="00456C9E" w:rsidRPr="00006F36" w:rsidRDefault="00456C9E" w:rsidP="002E0C20">
            <w:pPr>
              <w:keepNext/>
              <w:keepLines/>
              <w:jc w:val="left"/>
              <w:rPr>
                <w:rFonts w:ascii="Arial Narrow" w:hAnsi="Arial Narrow"/>
                <w:sz w:val="20"/>
                <w:szCs w:val="20"/>
              </w:rPr>
            </w:pPr>
            <w:r w:rsidRPr="00006F36">
              <w:rPr>
                <w:rFonts w:ascii="Arial Narrow" w:hAnsi="Arial Narrow"/>
                <w:sz w:val="20"/>
                <w:szCs w:val="20"/>
              </w:rPr>
              <w:t xml:space="preserve">Tier 1 </w:t>
            </w:r>
            <w:r w:rsidRPr="00006F36">
              <w:rPr>
                <w:rFonts w:ascii="Arial Narrow" w:hAnsi="Arial Narrow"/>
                <w:sz w:val="20"/>
                <w:szCs w:val="20"/>
                <w:vertAlign w:val="superscript"/>
              </w:rPr>
              <w:t>a</w:t>
            </w:r>
          </w:p>
        </w:tc>
        <w:tc>
          <w:tcPr>
            <w:tcW w:w="1250" w:type="dxa"/>
            <w:vAlign w:val="center"/>
          </w:tcPr>
          <w:p w14:paraId="00977E35" w14:textId="24A5E8BB" w:rsidR="00456C9E"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15"/>
                <w:sz w:val="20"/>
                <w:szCs w:val="20"/>
                <w:shd w:val="solid" w:color="000000" w:fill="000000"/>
                <w:fitText w:val="62" w:id="-961870592"/>
                <w14:textFill>
                  <w14:solidFill>
                    <w14:srgbClr w14:val="000000">
                      <w14:alpha w14:val="100000"/>
                    </w14:srgbClr>
                  </w14:solidFill>
                </w14:textFill>
              </w:rPr>
              <w:t xml:space="preserve">　</w:t>
            </w:r>
            <w:r w:rsidRPr="00494449">
              <w:rPr>
                <w:rFonts w:ascii="Arial Narrow" w:hAnsi="Arial Narrow"/>
                <w:color w:val="000000"/>
                <w:w w:val="15"/>
                <w:sz w:val="20"/>
                <w:szCs w:val="20"/>
                <w:shd w:val="solid" w:color="000000" w:fill="000000"/>
                <w:fitText w:val="62" w:id="-961870592"/>
                <w14:textFill>
                  <w14:solidFill>
                    <w14:srgbClr w14:val="000000">
                      <w14:alpha w14:val="100000"/>
                    </w14:srgbClr>
                  </w14:solidFill>
                </w14:textFill>
              </w:rPr>
              <w:t>|</w:t>
            </w:r>
            <w:r w:rsidRPr="00494449">
              <w:rPr>
                <w:rFonts w:ascii="Arial Narrow" w:hAnsi="Arial Narrow" w:hint="eastAsia"/>
                <w:color w:val="000000"/>
                <w:spacing w:val="-3"/>
                <w:w w:val="15"/>
                <w:sz w:val="20"/>
                <w:szCs w:val="20"/>
                <w:shd w:val="solid" w:color="000000" w:fill="000000"/>
                <w:fitText w:val="62" w:id="-961870592"/>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5</w:t>
            </w:r>
          </w:p>
        </w:tc>
        <w:tc>
          <w:tcPr>
            <w:tcW w:w="1129" w:type="dxa"/>
            <w:vAlign w:val="center"/>
          </w:tcPr>
          <w:p w14:paraId="4ED1682E" w14:textId="53DCADB7" w:rsidR="00456C9E"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5" w:id="-961870591"/>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5" w:id="-961870591"/>
                <w14:textFill>
                  <w14:solidFill>
                    <w14:srgbClr w14:val="000000">
                      <w14:alpha w14:val="100000"/>
                    </w14:srgbClr>
                  </w14:solidFill>
                </w14:textFill>
              </w:rPr>
              <w:t>|</w:t>
            </w:r>
            <w:r w:rsidRPr="00494449">
              <w:rPr>
                <w:rFonts w:ascii="Arial Narrow" w:hAnsi="Arial Narrow" w:hint="eastAsia"/>
                <w:color w:val="000000"/>
                <w:spacing w:val="3"/>
                <w:w w:val="28"/>
                <w:sz w:val="20"/>
                <w:szCs w:val="20"/>
                <w:shd w:val="solid" w:color="000000" w:fill="000000"/>
                <w:fitText w:val="125" w:id="-961870591"/>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5</w:t>
            </w:r>
          </w:p>
        </w:tc>
        <w:tc>
          <w:tcPr>
            <w:tcW w:w="1129" w:type="dxa"/>
            <w:vAlign w:val="center"/>
          </w:tcPr>
          <w:p w14:paraId="52969E01" w14:textId="58DA28B4" w:rsidR="00456C9E"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5" w:id="-961870590"/>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5" w:id="-961870590"/>
                <w14:textFill>
                  <w14:solidFill>
                    <w14:srgbClr w14:val="000000">
                      <w14:alpha w14:val="100000"/>
                    </w14:srgbClr>
                  </w14:solidFill>
                </w14:textFill>
              </w:rPr>
              <w:t>|</w:t>
            </w:r>
            <w:r w:rsidRPr="00494449">
              <w:rPr>
                <w:rFonts w:ascii="Arial Narrow" w:hAnsi="Arial Narrow" w:hint="eastAsia"/>
                <w:color w:val="000000"/>
                <w:spacing w:val="3"/>
                <w:w w:val="28"/>
                <w:sz w:val="20"/>
                <w:szCs w:val="20"/>
                <w:shd w:val="solid" w:color="000000" w:fill="000000"/>
                <w:fitText w:val="125" w:id="-961870590"/>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5</w:t>
            </w:r>
          </w:p>
        </w:tc>
        <w:tc>
          <w:tcPr>
            <w:tcW w:w="1129" w:type="dxa"/>
            <w:vAlign w:val="center"/>
          </w:tcPr>
          <w:p w14:paraId="773863E0" w14:textId="441EB1DF" w:rsidR="00456C9E"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5" w:id="-961870589"/>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5" w:id="-961870589"/>
                <w14:textFill>
                  <w14:solidFill>
                    <w14:srgbClr w14:val="000000">
                      <w14:alpha w14:val="100000"/>
                    </w14:srgbClr>
                  </w14:solidFill>
                </w14:textFill>
              </w:rPr>
              <w:t>|</w:t>
            </w:r>
            <w:r w:rsidRPr="00494449">
              <w:rPr>
                <w:rFonts w:ascii="Arial Narrow" w:hAnsi="Arial Narrow" w:hint="eastAsia"/>
                <w:color w:val="000000"/>
                <w:spacing w:val="3"/>
                <w:w w:val="28"/>
                <w:sz w:val="20"/>
                <w:szCs w:val="20"/>
                <w:shd w:val="solid" w:color="000000" w:fill="000000"/>
                <w:fitText w:val="125" w:id="-961870589"/>
                <w14:textFill>
                  <w14:solidFill>
                    <w14:srgbClr w14:val="000000">
                      <w14:alpha w14:val="100000"/>
                    </w14:srgbClr>
                  </w14:solidFill>
                </w14:textFill>
              </w:rPr>
              <w:t xml:space="preserve">　</w:t>
            </w:r>
            <w:r w:rsidR="007B749D" w:rsidRPr="007B749D">
              <w:rPr>
                <w:rFonts w:ascii="Arial Narrow" w:hAnsi="Arial Narrow"/>
                <w:b/>
                <w:bCs/>
                <w:sz w:val="20"/>
                <w:szCs w:val="20"/>
                <w:vertAlign w:val="superscript"/>
              </w:rPr>
              <w:t>3</w:t>
            </w:r>
          </w:p>
        </w:tc>
        <w:tc>
          <w:tcPr>
            <w:tcW w:w="1129" w:type="dxa"/>
            <w:vAlign w:val="center"/>
          </w:tcPr>
          <w:p w14:paraId="495C8E92" w14:textId="40F1691B" w:rsidR="00456C9E"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6" w:id="-961870588"/>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6" w:id="-961870588"/>
                <w14:textFill>
                  <w14:solidFill>
                    <w14:srgbClr w14:val="000000">
                      <w14:alpha w14:val="100000"/>
                    </w14:srgbClr>
                  </w14:solidFill>
                </w14:textFill>
              </w:rPr>
              <w:t>|</w:t>
            </w:r>
            <w:r w:rsidRPr="00494449">
              <w:rPr>
                <w:rFonts w:ascii="Arial Narrow" w:hAnsi="Arial Narrow" w:hint="eastAsia"/>
                <w:color w:val="000000"/>
                <w:spacing w:val="4"/>
                <w:w w:val="28"/>
                <w:sz w:val="20"/>
                <w:szCs w:val="20"/>
                <w:shd w:val="solid" w:color="000000" w:fill="000000"/>
                <w:fitText w:val="126" w:id="-961870588"/>
                <w14:textFill>
                  <w14:solidFill>
                    <w14:srgbClr w14:val="000000">
                      <w14:alpha w14:val="100000"/>
                    </w14:srgbClr>
                  </w14:solidFill>
                </w14:textFill>
              </w:rPr>
              <w:t xml:space="preserve">　</w:t>
            </w:r>
            <w:r w:rsidR="007B749D" w:rsidRPr="007B749D">
              <w:rPr>
                <w:rFonts w:ascii="Arial Narrow" w:hAnsi="Arial Narrow"/>
                <w:b/>
                <w:bCs/>
                <w:sz w:val="20"/>
                <w:szCs w:val="20"/>
                <w:vertAlign w:val="superscript"/>
              </w:rPr>
              <w:t>3</w:t>
            </w:r>
          </w:p>
        </w:tc>
        <w:tc>
          <w:tcPr>
            <w:tcW w:w="1129" w:type="dxa"/>
            <w:vAlign w:val="center"/>
          </w:tcPr>
          <w:p w14:paraId="7ED65D2A" w14:textId="55C5B7A2" w:rsidR="00456C9E"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6" w:id="-961870587"/>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6" w:id="-961870587"/>
                <w14:textFill>
                  <w14:solidFill>
                    <w14:srgbClr w14:val="000000">
                      <w14:alpha w14:val="100000"/>
                    </w14:srgbClr>
                  </w14:solidFill>
                </w14:textFill>
              </w:rPr>
              <w:t>|</w:t>
            </w:r>
            <w:r w:rsidRPr="00494449">
              <w:rPr>
                <w:rFonts w:ascii="Arial Narrow" w:hAnsi="Arial Narrow" w:hint="eastAsia"/>
                <w:color w:val="000000"/>
                <w:spacing w:val="4"/>
                <w:w w:val="28"/>
                <w:sz w:val="20"/>
                <w:szCs w:val="20"/>
                <w:shd w:val="solid" w:color="000000" w:fill="000000"/>
                <w:fitText w:val="126" w:id="-961870587"/>
                <w14:textFill>
                  <w14:solidFill>
                    <w14:srgbClr w14:val="000000">
                      <w14:alpha w14:val="100000"/>
                    </w14:srgbClr>
                  </w14:solidFill>
                </w14:textFill>
              </w:rPr>
              <w:t xml:space="preserve">　</w:t>
            </w:r>
            <w:r w:rsidR="007B749D" w:rsidRPr="007B749D">
              <w:rPr>
                <w:rFonts w:ascii="Arial Narrow" w:hAnsi="Arial Narrow"/>
                <w:b/>
                <w:bCs/>
                <w:sz w:val="20"/>
                <w:szCs w:val="20"/>
                <w:vertAlign w:val="superscript"/>
              </w:rPr>
              <w:t>3</w:t>
            </w:r>
          </w:p>
        </w:tc>
      </w:tr>
      <w:tr w:rsidR="00456C9E" w:rsidRPr="00006F36" w14:paraId="1073E088" w14:textId="77777777" w:rsidTr="0071331A">
        <w:trPr>
          <w:trHeight w:val="20"/>
        </w:trPr>
        <w:tc>
          <w:tcPr>
            <w:tcW w:w="2122" w:type="dxa"/>
          </w:tcPr>
          <w:p w14:paraId="07CB00C2" w14:textId="28D8857B" w:rsidR="00456C9E" w:rsidRPr="00006F36" w:rsidRDefault="00456C9E" w:rsidP="002E0C20">
            <w:pPr>
              <w:keepNext/>
              <w:keepLines/>
              <w:jc w:val="left"/>
              <w:rPr>
                <w:rFonts w:ascii="Arial Narrow" w:hAnsi="Arial Narrow"/>
                <w:sz w:val="20"/>
                <w:szCs w:val="20"/>
              </w:rPr>
            </w:pPr>
            <w:r w:rsidRPr="00006F36">
              <w:rPr>
                <w:rFonts w:ascii="Arial Narrow" w:hAnsi="Arial Narrow"/>
                <w:sz w:val="20"/>
                <w:szCs w:val="20"/>
              </w:rPr>
              <w:t xml:space="preserve">Between Tier 1 and 2 </w:t>
            </w:r>
            <w:r w:rsidRPr="00006F36">
              <w:rPr>
                <w:rFonts w:ascii="Arial Narrow" w:hAnsi="Arial Narrow"/>
                <w:sz w:val="20"/>
                <w:szCs w:val="20"/>
                <w:vertAlign w:val="superscript"/>
              </w:rPr>
              <w:t>b</w:t>
            </w:r>
          </w:p>
        </w:tc>
        <w:tc>
          <w:tcPr>
            <w:tcW w:w="1250" w:type="dxa"/>
            <w:vAlign w:val="center"/>
          </w:tcPr>
          <w:p w14:paraId="11E8B8FE" w14:textId="019BF3C7" w:rsidR="00456C9E"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15"/>
                <w:sz w:val="20"/>
                <w:szCs w:val="20"/>
                <w:shd w:val="solid" w:color="000000" w:fill="000000"/>
                <w:fitText w:val="62" w:id="-961870586"/>
                <w14:textFill>
                  <w14:solidFill>
                    <w14:srgbClr w14:val="000000">
                      <w14:alpha w14:val="100000"/>
                    </w14:srgbClr>
                  </w14:solidFill>
                </w14:textFill>
              </w:rPr>
              <w:t xml:space="preserve">　</w:t>
            </w:r>
            <w:r w:rsidRPr="00494449">
              <w:rPr>
                <w:rFonts w:ascii="Arial Narrow" w:hAnsi="Arial Narrow"/>
                <w:color w:val="000000"/>
                <w:w w:val="15"/>
                <w:sz w:val="20"/>
                <w:szCs w:val="20"/>
                <w:shd w:val="solid" w:color="000000" w:fill="000000"/>
                <w:fitText w:val="62" w:id="-961870586"/>
                <w14:textFill>
                  <w14:solidFill>
                    <w14:srgbClr w14:val="000000">
                      <w14:alpha w14:val="100000"/>
                    </w14:srgbClr>
                  </w14:solidFill>
                </w14:textFill>
              </w:rPr>
              <w:t>|</w:t>
            </w:r>
            <w:r w:rsidRPr="00494449">
              <w:rPr>
                <w:rFonts w:ascii="Arial Narrow" w:hAnsi="Arial Narrow" w:hint="eastAsia"/>
                <w:color w:val="000000"/>
                <w:spacing w:val="-3"/>
                <w:w w:val="15"/>
                <w:sz w:val="20"/>
                <w:szCs w:val="20"/>
                <w:shd w:val="solid" w:color="000000" w:fill="000000"/>
                <w:fitText w:val="62" w:id="-961870586"/>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5</w:t>
            </w:r>
          </w:p>
        </w:tc>
        <w:tc>
          <w:tcPr>
            <w:tcW w:w="1129" w:type="dxa"/>
            <w:vAlign w:val="center"/>
          </w:tcPr>
          <w:p w14:paraId="280DB530" w14:textId="20CBFF65" w:rsidR="00456C9E"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5" w:id="-961870585"/>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5" w:id="-961870585"/>
                <w14:textFill>
                  <w14:solidFill>
                    <w14:srgbClr w14:val="000000">
                      <w14:alpha w14:val="100000"/>
                    </w14:srgbClr>
                  </w14:solidFill>
                </w14:textFill>
              </w:rPr>
              <w:t>|</w:t>
            </w:r>
            <w:r w:rsidRPr="00494449">
              <w:rPr>
                <w:rFonts w:ascii="Arial Narrow" w:hAnsi="Arial Narrow" w:hint="eastAsia"/>
                <w:color w:val="000000"/>
                <w:spacing w:val="3"/>
                <w:w w:val="28"/>
                <w:sz w:val="20"/>
                <w:szCs w:val="20"/>
                <w:shd w:val="solid" w:color="000000" w:fill="000000"/>
                <w:fitText w:val="125" w:id="-961870585"/>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5</w:t>
            </w:r>
          </w:p>
        </w:tc>
        <w:tc>
          <w:tcPr>
            <w:tcW w:w="1129" w:type="dxa"/>
            <w:vAlign w:val="center"/>
          </w:tcPr>
          <w:p w14:paraId="30ECCA84" w14:textId="7A0AC38E" w:rsidR="00456C9E"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5" w:id="-961870584"/>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5" w:id="-961870584"/>
                <w14:textFill>
                  <w14:solidFill>
                    <w14:srgbClr w14:val="000000">
                      <w14:alpha w14:val="100000"/>
                    </w14:srgbClr>
                  </w14:solidFill>
                </w14:textFill>
              </w:rPr>
              <w:t>|</w:t>
            </w:r>
            <w:r w:rsidRPr="00494449">
              <w:rPr>
                <w:rFonts w:ascii="Arial Narrow" w:hAnsi="Arial Narrow" w:hint="eastAsia"/>
                <w:color w:val="000000"/>
                <w:spacing w:val="3"/>
                <w:w w:val="28"/>
                <w:sz w:val="20"/>
                <w:szCs w:val="20"/>
                <w:shd w:val="solid" w:color="000000" w:fill="000000"/>
                <w:fitText w:val="125" w:id="-961870584"/>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5</w:t>
            </w:r>
          </w:p>
        </w:tc>
        <w:tc>
          <w:tcPr>
            <w:tcW w:w="1129" w:type="dxa"/>
            <w:vAlign w:val="center"/>
          </w:tcPr>
          <w:p w14:paraId="07220482" w14:textId="5ED92801" w:rsidR="00456C9E"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5" w:id="-961870583"/>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5" w:id="-961870583"/>
                <w14:textFill>
                  <w14:solidFill>
                    <w14:srgbClr w14:val="000000">
                      <w14:alpha w14:val="100000"/>
                    </w14:srgbClr>
                  </w14:solidFill>
                </w14:textFill>
              </w:rPr>
              <w:t>|</w:t>
            </w:r>
            <w:r w:rsidRPr="00494449">
              <w:rPr>
                <w:rFonts w:ascii="Arial Narrow" w:hAnsi="Arial Narrow" w:hint="eastAsia"/>
                <w:color w:val="000000"/>
                <w:spacing w:val="3"/>
                <w:w w:val="28"/>
                <w:sz w:val="20"/>
                <w:szCs w:val="20"/>
                <w:shd w:val="solid" w:color="000000" w:fill="000000"/>
                <w:fitText w:val="125" w:id="-961870583"/>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5</w:t>
            </w:r>
          </w:p>
        </w:tc>
        <w:tc>
          <w:tcPr>
            <w:tcW w:w="1129" w:type="dxa"/>
            <w:vAlign w:val="center"/>
          </w:tcPr>
          <w:p w14:paraId="3F13A331" w14:textId="6DB29A1B" w:rsidR="00456C9E"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6" w:id="-961870582"/>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6" w:id="-961870582"/>
                <w14:textFill>
                  <w14:solidFill>
                    <w14:srgbClr w14:val="000000">
                      <w14:alpha w14:val="100000"/>
                    </w14:srgbClr>
                  </w14:solidFill>
                </w14:textFill>
              </w:rPr>
              <w:t>|</w:t>
            </w:r>
            <w:r w:rsidRPr="00494449">
              <w:rPr>
                <w:rFonts w:ascii="Arial Narrow" w:hAnsi="Arial Narrow" w:hint="eastAsia"/>
                <w:color w:val="000000"/>
                <w:spacing w:val="4"/>
                <w:w w:val="28"/>
                <w:sz w:val="20"/>
                <w:szCs w:val="20"/>
                <w:shd w:val="solid" w:color="000000" w:fill="000000"/>
                <w:fitText w:val="126" w:id="-961870582"/>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5</w:t>
            </w:r>
          </w:p>
        </w:tc>
        <w:tc>
          <w:tcPr>
            <w:tcW w:w="1129" w:type="dxa"/>
            <w:vAlign w:val="center"/>
          </w:tcPr>
          <w:p w14:paraId="6F685438" w14:textId="731ADB3B" w:rsidR="00456C9E" w:rsidRPr="007B749D" w:rsidRDefault="00494449" w:rsidP="0071331A">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6" w:id="-961870581"/>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6" w:id="-961870581"/>
                <w14:textFill>
                  <w14:solidFill>
                    <w14:srgbClr w14:val="000000">
                      <w14:alpha w14:val="100000"/>
                    </w14:srgbClr>
                  </w14:solidFill>
                </w14:textFill>
              </w:rPr>
              <w:t>|</w:t>
            </w:r>
            <w:r w:rsidRPr="00494449">
              <w:rPr>
                <w:rFonts w:ascii="Arial Narrow" w:hAnsi="Arial Narrow" w:hint="eastAsia"/>
                <w:color w:val="000000"/>
                <w:spacing w:val="4"/>
                <w:w w:val="28"/>
                <w:sz w:val="20"/>
                <w:szCs w:val="20"/>
                <w:shd w:val="solid" w:color="000000" w:fill="000000"/>
                <w:fitText w:val="126" w:id="-961870581"/>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5</w:t>
            </w:r>
          </w:p>
        </w:tc>
      </w:tr>
      <w:tr w:rsidR="00456C9E" w:rsidRPr="00006F36" w14:paraId="379EEF79" w14:textId="77777777" w:rsidTr="0071331A">
        <w:trPr>
          <w:trHeight w:val="20"/>
        </w:trPr>
        <w:tc>
          <w:tcPr>
            <w:tcW w:w="2122" w:type="dxa"/>
          </w:tcPr>
          <w:p w14:paraId="4879825E" w14:textId="545C018E" w:rsidR="00456C9E" w:rsidRPr="00006F36" w:rsidRDefault="00456C9E" w:rsidP="002E0C20">
            <w:pPr>
              <w:keepNext/>
              <w:keepLines/>
              <w:jc w:val="left"/>
              <w:rPr>
                <w:rFonts w:ascii="Arial Narrow" w:hAnsi="Arial Narrow"/>
                <w:b/>
                <w:bCs/>
                <w:sz w:val="20"/>
                <w:szCs w:val="20"/>
              </w:rPr>
            </w:pPr>
            <w:r w:rsidRPr="00006F36">
              <w:rPr>
                <w:rFonts w:ascii="Arial Narrow" w:hAnsi="Arial Narrow"/>
                <w:b/>
                <w:bCs/>
                <w:sz w:val="20"/>
                <w:szCs w:val="20"/>
              </w:rPr>
              <w:t>Tier 2 (maximum PBS expenditure)</w:t>
            </w:r>
          </w:p>
        </w:tc>
        <w:tc>
          <w:tcPr>
            <w:tcW w:w="1250" w:type="dxa"/>
            <w:vAlign w:val="center"/>
          </w:tcPr>
          <w:p w14:paraId="788B3C7E" w14:textId="03EF4866" w:rsidR="00456C9E" w:rsidRPr="007B749D" w:rsidRDefault="00494449" w:rsidP="0071331A">
            <w:pPr>
              <w:keepNext/>
              <w:keepLines/>
              <w:jc w:val="center"/>
              <w:rPr>
                <w:rFonts w:ascii="Arial Narrow" w:hAnsi="Arial Narrow"/>
                <w:b/>
                <w:bCs/>
                <w:sz w:val="20"/>
                <w:szCs w:val="20"/>
                <w:highlight w:val="lightGray"/>
              </w:rPr>
            </w:pPr>
            <w:r w:rsidRPr="00494449">
              <w:rPr>
                <w:rFonts w:ascii="Arial Narrow" w:hAnsi="Arial Narrow" w:hint="eastAsia"/>
                <w:b/>
                <w:bCs/>
                <w:color w:val="000000"/>
                <w:w w:val="25"/>
                <w:sz w:val="20"/>
                <w:szCs w:val="20"/>
                <w:shd w:val="solid" w:color="000000" w:fill="000000"/>
                <w:fitText w:val="113" w:id="-961870580"/>
                <w14:textFill>
                  <w14:solidFill>
                    <w14:srgbClr w14:val="000000">
                      <w14:alpha w14:val="100000"/>
                    </w14:srgbClr>
                  </w14:solidFill>
                </w14:textFill>
              </w:rPr>
              <w:t xml:space="preserve">　</w:t>
            </w:r>
            <w:r w:rsidRPr="00494449">
              <w:rPr>
                <w:rFonts w:ascii="Arial Narrow" w:hAnsi="Arial Narrow"/>
                <w:b/>
                <w:bCs/>
                <w:color w:val="000000"/>
                <w:w w:val="25"/>
                <w:sz w:val="20"/>
                <w:szCs w:val="20"/>
                <w:shd w:val="solid" w:color="000000" w:fill="000000"/>
                <w:fitText w:val="113" w:id="-961870580"/>
                <w14:textFill>
                  <w14:solidFill>
                    <w14:srgbClr w14:val="000000">
                      <w14:alpha w14:val="100000"/>
                    </w14:srgbClr>
                  </w14:solidFill>
                </w14:textFill>
              </w:rPr>
              <w:t>|</w:t>
            </w:r>
            <w:r w:rsidRPr="00494449">
              <w:rPr>
                <w:rFonts w:ascii="Arial Narrow" w:hAnsi="Arial Narrow" w:hint="eastAsia"/>
                <w:b/>
                <w:bCs/>
                <w:color w:val="000000"/>
                <w:spacing w:val="1"/>
                <w:w w:val="25"/>
                <w:sz w:val="20"/>
                <w:szCs w:val="20"/>
                <w:shd w:val="solid" w:color="000000" w:fill="000000"/>
                <w:fitText w:val="113" w:id="-961870580"/>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5</w:t>
            </w:r>
          </w:p>
        </w:tc>
        <w:tc>
          <w:tcPr>
            <w:tcW w:w="1129" w:type="dxa"/>
            <w:vAlign w:val="center"/>
          </w:tcPr>
          <w:p w14:paraId="109CA0A4" w14:textId="5BCE5273" w:rsidR="00456C9E" w:rsidRPr="007B749D" w:rsidRDefault="00494449" w:rsidP="0071331A">
            <w:pPr>
              <w:keepNext/>
              <w:keepLines/>
              <w:jc w:val="center"/>
              <w:rPr>
                <w:rFonts w:ascii="Arial Narrow" w:hAnsi="Arial Narrow"/>
                <w:b/>
                <w:bCs/>
                <w:sz w:val="20"/>
                <w:szCs w:val="20"/>
                <w:highlight w:val="lightGray"/>
              </w:rPr>
            </w:pPr>
            <w:r w:rsidRPr="00494449">
              <w:rPr>
                <w:rFonts w:ascii="Arial Narrow" w:hAnsi="Arial Narrow"/>
                <w:b/>
                <w:bCs/>
                <w:color w:val="000000"/>
                <w:spacing w:val="71"/>
                <w:sz w:val="20"/>
                <w:szCs w:val="20"/>
                <w:shd w:val="solid" w:color="000000" w:fill="000000"/>
                <w:fitText w:val="163" w:id="-961870579"/>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163" w:id="-961870579"/>
                <w14:textFill>
                  <w14:solidFill>
                    <w14:srgbClr w14:val="000000">
                      <w14:alpha w14:val="100000"/>
                    </w14:srgbClr>
                  </w14:solidFill>
                </w14:textFill>
              </w:rPr>
              <w:t>|</w:t>
            </w:r>
            <w:r w:rsidR="007B749D" w:rsidRPr="007B749D">
              <w:rPr>
                <w:rFonts w:ascii="Arial Narrow" w:hAnsi="Arial Narrow"/>
                <w:b/>
                <w:bCs/>
                <w:sz w:val="20"/>
                <w:szCs w:val="20"/>
                <w:vertAlign w:val="superscript"/>
              </w:rPr>
              <w:t>3</w:t>
            </w:r>
          </w:p>
        </w:tc>
        <w:tc>
          <w:tcPr>
            <w:tcW w:w="1129" w:type="dxa"/>
            <w:vAlign w:val="center"/>
          </w:tcPr>
          <w:p w14:paraId="63CB7896" w14:textId="2AFE3FB4" w:rsidR="00456C9E" w:rsidRPr="007B749D" w:rsidRDefault="00494449" w:rsidP="0071331A">
            <w:pPr>
              <w:keepNext/>
              <w:keepLines/>
              <w:jc w:val="center"/>
              <w:rPr>
                <w:rFonts w:ascii="Arial Narrow" w:hAnsi="Arial Narrow"/>
                <w:b/>
                <w:bCs/>
                <w:sz w:val="20"/>
                <w:szCs w:val="20"/>
                <w:highlight w:val="lightGray"/>
              </w:rPr>
            </w:pPr>
            <w:r w:rsidRPr="00494449">
              <w:rPr>
                <w:rFonts w:ascii="Arial Narrow" w:hAnsi="Arial Narrow"/>
                <w:b/>
                <w:bCs/>
                <w:color w:val="000000"/>
                <w:spacing w:val="71"/>
                <w:sz w:val="20"/>
                <w:szCs w:val="20"/>
                <w:shd w:val="solid" w:color="000000" w:fill="000000"/>
                <w:fitText w:val="163" w:id="-961870578"/>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163" w:id="-961870578"/>
                <w14:textFill>
                  <w14:solidFill>
                    <w14:srgbClr w14:val="000000">
                      <w14:alpha w14:val="100000"/>
                    </w14:srgbClr>
                  </w14:solidFill>
                </w14:textFill>
              </w:rPr>
              <w:t>|</w:t>
            </w:r>
            <w:r w:rsidR="007B749D" w:rsidRPr="007B749D">
              <w:rPr>
                <w:rFonts w:ascii="Arial Narrow" w:hAnsi="Arial Narrow"/>
                <w:b/>
                <w:bCs/>
                <w:sz w:val="20"/>
                <w:szCs w:val="20"/>
                <w:vertAlign w:val="superscript"/>
              </w:rPr>
              <w:t>3</w:t>
            </w:r>
          </w:p>
        </w:tc>
        <w:tc>
          <w:tcPr>
            <w:tcW w:w="1129" w:type="dxa"/>
            <w:vAlign w:val="center"/>
          </w:tcPr>
          <w:p w14:paraId="0FDDF780" w14:textId="63A97C29" w:rsidR="00456C9E" w:rsidRPr="007B749D" w:rsidRDefault="00494449" w:rsidP="0071331A">
            <w:pPr>
              <w:keepNext/>
              <w:keepLines/>
              <w:jc w:val="center"/>
              <w:rPr>
                <w:rFonts w:ascii="Arial Narrow" w:hAnsi="Arial Narrow"/>
                <w:b/>
                <w:bCs/>
                <w:sz w:val="20"/>
                <w:szCs w:val="20"/>
                <w:highlight w:val="lightGray"/>
              </w:rPr>
            </w:pPr>
            <w:r w:rsidRPr="00494449">
              <w:rPr>
                <w:rFonts w:ascii="Arial Narrow" w:hAnsi="Arial Narrow"/>
                <w:b/>
                <w:bCs/>
                <w:color w:val="000000"/>
                <w:spacing w:val="70"/>
                <w:sz w:val="20"/>
                <w:szCs w:val="20"/>
                <w:shd w:val="solid" w:color="000000" w:fill="000000"/>
                <w:fitText w:val="162" w:id="-961870577"/>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162" w:id="-961870577"/>
                <w14:textFill>
                  <w14:solidFill>
                    <w14:srgbClr w14:val="000000">
                      <w14:alpha w14:val="100000"/>
                    </w14:srgbClr>
                  </w14:solidFill>
                </w14:textFill>
              </w:rPr>
              <w:t>|</w:t>
            </w:r>
            <w:r w:rsidR="007B749D" w:rsidRPr="007B749D">
              <w:rPr>
                <w:rFonts w:ascii="Arial Narrow" w:hAnsi="Arial Narrow"/>
                <w:b/>
                <w:bCs/>
                <w:sz w:val="20"/>
                <w:szCs w:val="20"/>
                <w:vertAlign w:val="superscript"/>
              </w:rPr>
              <w:t>3</w:t>
            </w:r>
          </w:p>
        </w:tc>
        <w:tc>
          <w:tcPr>
            <w:tcW w:w="1129" w:type="dxa"/>
            <w:vAlign w:val="center"/>
          </w:tcPr>
          <w:p w14:paraId="516C9748" w14:textId="3BE7A471" w:rsidR="00456C9E" w:rsidRPr="007B749D" w:rsidRDefault="00494449" w:rsidP="0071331A">
            <w:pPr>
              <w:keepNext/>
              <w:keepLines/>
              <w:jc w:val="center"/>
              <w:rPr>
                <w:rFonts w:ascii="Arial Narrow" w:hAnsi="Arial Narrow"/>
                <w:b/>
                <w:bCs/>
                <w:sz w:val="20"/>
                <w:szCs w:val="20"/>
                <w:highlight w:val="lightGray"/>
              </w:rPr>
            </w:pPr>
            <w:r w:rsidRPr="00494449">
              <w:rPr>
                <w:rFonts w:ascii="Arial Narrow" w:hAnsi="Arial Narrow"/>
                <w:b/>
                <w:bCs/>
                <w:color w:val="000000"/>
                <w:spacing w:val="71"/>
                <w:sz w:val="20"/>
                <w:szCs w:val="20"/>
                <w:shd w:val="solid" w:color="000000" w:fill="000000"/>
                <w:fitText w:val="163" w:id="-961870576"/>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163" w:id="-961870576"/>
                <w14:textFill>
                  <w14:solidFill>
                    <w14:srgbClr w14:val="000000">
                      <w14:alpha w14:val="100000"/>
                    </w14:srgbClr>
                  </w14:solidFill>
                </w14:textFill>
              </w:rPr>
              <w:t>|</w:t>
            </w:r>
            <w:r w:rsidR="007B749D" w:rsidRPr="007B749D">
              <w:rPr>
                <w:rFonts w:ascii="Arial Narrow" w:hAnsi="Arial Narrow"/>
                <w:b/>
                <w:bCs/>
                <w:sz w:val="20"/>
                <w:szCs w:val="20"/>
                <w:vertAlign w:val="superscript"/>
              </w:rPr>
              <w:t>3</w:t>
            </w:r>
          </w:p>
        </w:tc>
        <w:tc>
          <w:tcPr>
            <w:tcW w:w="1129" w:type="dxa"/>
            <w:vAlign w:val="center"/>
          </w:tcPr>
          <w:p w14:paraId="4DF47E52" w14:textId="6A145E27" w:rsidR="00456C9E" w:rsidRPr="007B749D" w:rsidRDefault="00494449" w:rsidP="0071331A">
            <w:pPr>
              <w:keepNext/>
              <w:keepLines/>
              <w:jc w:val="center"/>
              <w:rPr>
                <w:rFonts w:ascii="Arial Narrow" w:hAnsi="Arial Narrow"/>
                <w:b/>
                <w:bCs/>
                <w:sz w:val="20"/>
                <w:szCs w:val="20"/>
                <w:highlight w:val="lightGray"/>
              </w:rPr>
            </w:pPr>
            <w:r w:rsidRPr="00494449">
              <w:rPr>
                <w:rFonts w:ascii="Arial Narrow" w:hAnsi="Arial Narrow"/>
                <w:b/>
                <w:bCs/>
                <w:color w:val="000000"/>
                <w:spacing w:val="71"/>
                <w:sz w:val="20"/>
                <w:szCs w:val="20"/>
                <w:shd w:val="solid" w:color="000000" w:fill="000000"/>
                <w:fitText w:val="163" w:id="-961870592"/>
                <w14:textFill>
                  <w14:solidFill>
                    <w14:srgbClr w14:val="000000">
                      <w14:alpha w14:val="100000"/>
                    </w14:srgbClr>
                  </w14:solidFill>
                </w14:textFill>
              </w:rPr>
              <w:t>|</w:t>
            </w:r>
            <w:r w:rsidRPr="00494449">
              <w:rPr>
                <w:rFonts w:ascii="Arial Narrow" w:hAnsi="Arial Narrow"/>
                <w:b/>
                <w:bCs/>
                <w:color w:val="000000"/>
                <w:spacing w:val="1"/>
                <w:sz w:val="20"/>
                <w:szCs w:val="20"/>
                <w:shd w:val="solid" w:color="000000" w:fill="000000"/>
                <w:fitText w:val="163" w:id="-961870592"/>
                <w14:textFill>
                  <w14:solidFill>
                    <w14:srgbClr w14:val="000000">
                      <w14:alpha w14:val="100000"/>
                    </w14:srgbClr>
                  </w14:solidFill>
                </w14:textFill>
              </w:rPr>
              <w:t>|</w:t>
            </w:r>
            <w:r w:rsidR="007B749D" w:rsidRPr="007B749D">
              <w:rPr>
                <w:rFonts w:ascii="Arial Narrow" w:hAnsi="Arial Narrow"/>
                <w:b/>
                <w:bCs/>
                <w:sz w:val="20"/>
                <w:szCs w:val="20"/>
                <w:vertAlign w:val="superscript"/>
              </w:rPr>
              <w:t>3</w:t>
            </w:r>
          </w:p>
        </w:tc>
      </w:tr>
      <w:tr w:rsidR="000F50EC" w:rsidRPr="00006F36" w14:paraId="22628EE9" w14:textId="77777777" w:rsidTr="00A97BC8">
        <w:trPr>
          <w:trHeight w:val="20"/>
        </w:trPr>
        <w:tc>
          <w:tcPr>
            <w:tcW w:w="2122" w:type="dxa"/>
          </w:tcPr>
          <w:p w14:paraId="6755CD12" w14:textId="1494DBB0" w:rsidR="000F50EC" w:rsidRPr="00006F36" w:rsidRDefault="000F50EC" w:rsidP="002E0C20">
            <w:pPr>
              <w:keepNext/>
              <w:keepLines/>
              <w:jc w:val="left"/>
              <w:rPr>
                <w:rFonts w:ascii="Arial Narrow" w:hAnsi="Arial Narrow"/>
                <w:sz w:val="20"/>
                <w:szCs w:val="20"/>
              </w:rPr>
            </w:pPr>
            <w:r w:rsidRPr="00006F36">
              <w:rPr>
                <w:rFonts w:ascii="Arial Narrow" w:hAnsi="Arial Narrow"/>
                <w:sz w:val="20"/>
                <w:szCs w:val="20"/>
              </w:rPr>
              <w:t xml:space="preserve">Cost per script assuming Tier 2 cap reached </w:t>
            </w:r>
          </w:p>
        </w:tc>
        <w:tc>
          <w:tcPr>
            <w:tcW w:w="1250" w:type="dxa"/>
            <w:vAlign w:val="center"/>
          </w:tcPr>
          <w:p w14:paraId="61A91CC1" w14:textId="6DDF9257" w:rsidR="000F50EC" w:rsidRPr="007B749D" w:rsidRDefault="00494449" w:rsidP="00A97BC8">
            <w:pPr>
              <w:keepNext/>
              <w:keepLines/>
              <w:jc w:val="center"/>
              <w:rPr>
                <w:rFonts w:ascii="Arial Narrow" w:hAnsi="Arial Narrow"/>
                <w:sz w:val="20"/>
                <w:szCs w:val="20"/>
                <w:highlight w:val="lightGray"/>
              </w:rPr>
            </w:pPr>
            <w:r w:rsidRPr="00494449">
              <w:rPr>
                <w:rFonts w:ascii="Arial Narrow" w:hAnsi="Arial Narrow" w:hint="eastAsia"/>
                <w:color w:val="000000"/>
                <w:w w:val="15"/>
                <w:sz w:val="20"/>
                <w:szCs w:val="20"/>
                <w:shd w:val="solid" w:color="000000" w:fill="000000"/>
                <w:fitText w:val="62" w:id="-961870591"/>
                <w14:textFill>
                  <w14:solidFill>
                    <w14:srgbClr w14:val="000000">
                      <w14:alpha w14:val="100000"/>
                    </w14:srgbClr>
                  </w14:solidFill>
                </w14:textFill>
              </w:rPr>
              <w:t xml:space="preserve">　</w:t>
            </w:r>
            <w:r w:rsidRPr="00494449">
              <w:rPr>
                <w:rFonts w:ascii="Arial Narrow" w:hAnsi="Arial Narrow"/>
                <w:color w:val="000000"/>
                <w:w w:val="15"/>
                <w:sz w:val="20"/>
                <w:szCs w:val="20"/>
                <w:shd w:val="solid" w:color="000000" w:fill="000000"/>
                <w:fitText w:val="62" w:id="-961870591"/>
                <w14:textFill>
                  <w14:solidFill>
                    <w14:srgbClr w14:val="000000">
                      <w14:alpha w14:val="100000"/>
                    </w14:srgbClr>
                  </w14:solidFill>
                </w14:textFill>
              </w:rPr>
              <w:t>|</w:t>
            </w:r>
            <w:r w:rsidRPr="00494449">
              <w:rPr>
                <w:rFonts w:ascii="Arial Narrow" w:hAnsi="Arial Narrow" w:hint="eastAsia"/>
                <w:color w:val="000000"/>
                <w:spacing w:val="-3"/>
                <w:w w:val="15"/>
                <w:sz w:val="20"/>
                <w:szCs w:val="20"/>
                <w:shd w:val="solid" w:color="000000" w:fill="000000"/>
                <w:fitText w:val="62" w:id="-961870591"/>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5</w:t>
            </w:r>
          </w:p>
        </w:tc>
        <w:tc>
          <w:tcPr>
            <w:tcW w:w="1129" w:type="dxa"/>
            <w:vAlign w:val="center"/>
          </w:tcPr>
          <w:p w14:paraId="2FC10390" w14:textId="58BA9D2D" w:rsidR="000F50EC" w:rsidRPr="007B749D" w:rsidRDefault="00494449" w:rsidP="00A97BC8">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5" w:id="-961870590"/>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5" w:id="-961870590"/>
                <w14:textFill>
                  <w14:solidFill>
                    <w14:srgbClr w14:val="000000">
                      <w14:alpha w14:val="100000"/>
                    </w14:srgbClr>
                  </w14:solidFill>
                </w14:textFill>
              </w:rPr>
              <w:t>|</w:t>
            </w:r>
            <w:r w:rsidRPr="00494449">
              <w:rPr>
                <w:rFonts w:ascii="Arial Narrow" w:hAnsi="Arial Narrow" w:hint="eastAsia"/>
                <w:color w:val="000000"/>
                <w:spacing w:val="3"/>
                <w:w w:val="28"/>
                <w:sz w:val="20"/>
                <w:szCs w:val="20"/>
                <w:shd w:val="solid" w:color="000000" w:fill="000000"/>
                <w:fitText w:val="125" w:id="-961870590"/>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5</w:t>
            </w:r>
          </w:p>
        </w:tc>
        <w:tc>
          <w:tcPr>
            <w:tcW w:w="1129" w:type="dxa"/>
            <w:vAlign w:val="center"/>
          </w:tcPr>
          <w:p w14:paraId="1AB270EC" w14:textId="73F37B3C" w:rsidR="000F50EC" w:rsidRPr="007B749D" w:rsidRDefault="00494449" w:rsidP="00A97BC8">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5" w:id="-961870589"/>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5" w:id="-961870589"/>
                <w14:textFill>
                  <w14:solidFill>
                    <w14:srgbClr w14:val="000000">
                      <w14:alpha w14:val="100000"/>
                    </w14:srgbClr>
                  </w14:solidFill>
                </w14:textFill>
              </w:rPr>
              <w:t>|</w:t>
            </w:r>
            <w:r w:rsidRPr="00494449">
              <w:rPr>
                <w:rFonts w:ascii="Arial Narrow" w:hAnsi="Arial Narrow" w:hint="eastAsia"/>
                <w:color w:val="000000"/>
                <w:spacing w:val="3"/>
                <w:w w:val="28"/>
                <w:sz w:val="20"/>
                <w:szCs w:val="20"/>
                <w:shd w:val="solid" w:color="000000" w:fill="000000"/>
                <w:fitText w:val="125" w:id="-961870589"/>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5</w:t>
            </w:r>
          </w:p>
        </w:tc>
        <w:tc>
          <w:tcPr>
            <w:tcW w:w="1129" w:type="dxa"/>
            <w:vAlign w:val="center"/>
          </w:tcPr>
          <w:p w14:paraId="4AA2DDC2" w14:textId="406634B7" w:rsidR="000F50EC" w:rsidRPr="007B749D" w:rsidRDefault="00494449" w:rsidP="00A97BC8">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5" w:id="-961870588"/>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5" w:id="-961870588"/>
                <w14:textFill>
                  <w14:solidFill>
                    <w14:srgbClr w14:val="000000">
                      <w14:alpha w14:val="100000"/>
                    </w14:srgbClr>
                  </w14:solidFill>
                </w14:textFill>
              </w:rPr>
              <w:t>|</w:t>
            </w:r>
            <w:r w:rsidRPr="00494449">
              <w:rPr>
                <w:rFonts w:ascii="Arial Narrow" w:hAnsi="Arial Narrow" w:hint="eastAsia"/>
                <w:color w:val="000000"/>
                <w:spacing w:val="3"/>
                <w:w w:val="28"/>
                <w:sz w:val="20"/>
                <w:szCs w:val="20"/>
                <w:shd w:val="solid" w:color="000000" w:fill="000000"/>
                <w:fitText w:val="125" w:id="-961870588"/>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5</w:t>
            </w:r>
          </w:p>
        </w:tc>
        <w:tc>
          <w:tcPr>
            <w:tcW w:w="1129" w:type="dxa"/>
            <w:vAlign w:val="center"/>
          </w:tcPr>
          <w:p w14:paraId="65223504" w14:textId="1C65EFD2" w:rsidR="000F50EC" w:rsidRPr="007B749D" w:rsidRDefault="00494449" w:rsidP="00A97BC8">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6" w:id="-961870587"/>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6" w:id="-961870587"/>
                <w14:textFill>
                  <w14:solidFill>
                    <w14:srgbClr w14:val="000000">
                      <w14:alpha w14:val="100000"/>
                    </w14:srgbClr>
                  </w14:solidFill>
                </w14:textFill>
              </w:rPr>
              <w:t>|</w:t>
            </w:r>
            <w:r w:rsidRPr="00494449">
              <w:rPr>
                <w:rFonts w:ascii="Arial Narrow" w:hAnsi="Arial Narrow" w:hint="eastAsia"/>
                <w:color w:val="000000"/>
                <w:spacing w:val="4"/>
                <w:w w:val="28"/>
                <w:sz w:val="20"/>
                <w:szCs w:val="20"/>
                <w:shd w:val="solid" w:color="000000" w:fill="000000"/>
                <w:fitText w:val="126" w:id="-961870587"/>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5</w:t>
            </w:r>
          </w:p>
        </w:tc>
        <w:tc>
          <w:tcPr>
            <w:tcW w:w="1129" w:type="dxa"/>
            <w:vAlign w:val="center"/>
          </w:tcPr>
          <w:p w14:paraId="6C58B69D" w14:textId="1B1C528B" w:rsidR="000F50EC" w:rsidRPr="007B749D" w:rsidRDefault="00494449" w:rsidP="00A97BC8">
            <w:pPr>
              <w:keepNext/>
              <w:keepLines/>
              <w:jc w:val="center"/>
              <w:rPr>
                <w:rFonts w:ascii="Arial Narrow" w:hAnsi="Arial Narrow"/>
                <w:sz w:val="20"/>
                <w:szCs w:val="20"/>
                <w:highlight w:val="lightGray"/>
              </w:rPr>
            </w:pPr>
            <w:r w:rsidRPr="00494449">
              <w:rPr>
                <w:rFonts w:ascii="Arial Narrow" w:hAnsi="Arial Narrow" w:hint="eastAsia"/>
                <w:color w:val="000000"/>
                <w:w w:val="28"/>
                <w:sz w:val="20"/>
                <w:szCs w:val="20"/>
                <w:shd w:val="solid" w:color="000000" w:fill="000000"/>
                <w:fitText w:val="126" w:id="-961870586"/>
                <w14:textFill>
                  <w14:solidFill>
                    <w14:srgbClr w14:val="000000">
                      <w14:alpha w14:val="100000"/>
                    </w14:srgbClr>
                  </w14:solidFill>
                </w14:textFill>
              </w:rPr>
              <w:t xml:space="preserve">　</w:t>
            </w:r>
            <w:r w:rsidRPr="00494449">
              <w:rPr>
                <w:rFonts w:ascii="Arial Narrow" w:hAnsi="Arial Narrow"/>
                <w:color w:val="000000"/>
                <w:w w:val="28"/>
                <w:sz w:val="20"/>
                <w:szCs w:val="20"/>
                <w:shd w:val="solid" w:color="000000" w:fill="000000"/>
                <w:fitText w:val="126" w:id="-961870586"/>
                <w14:textFill>
                  <w14:solidFill>
                    <w14:srgbClr w14:val="000000">
                      <w14:alpha w14:val="100000"/>
                    </w14:srgbClr>
                  </w14:solidFill>
                </w14:textFill>
              </w:rPr>
              <w:t>|</w:t>
            </w:r>
            <w:r w:rsidRPr="00494449">
              <w:rPr>
                <w:rFonts w:ascii="Arial Narrow" w:hAnsi="Arial Narrow" w:hint="eastAsia"/>
                <w:color w:val="000000"/>
                <w:spacing w:val="4"/>
                <w:w w:val="28"/>
                <w:sz w:val="20"/>
                <w:szCs w:val="20"/>
                <w:shd w:val="solid" w:color="000000" w:fill="000000"/>
                <w:fitText w:val="126" w:id="-961870586"/>
                <w14:textFill>
                  <w14:solidFill>
                    <w14:srgbClr w14:val="000000">
                      <w14:alpha w14:val="100000"/>
                    </w14:srgbClr>
                  </w14:solidFill>
                </w14:textFill>
              </w:rPr>
              <w:t xml:space="preserve">　</w:t>
            </w:r>
            <w:r w:rsidR="007B749D" w:rsidRPr="007B749D">
              <w:rPr>
                <w:rFonts w:ascii="Arial Narrow" w:hAnsi="Arial Narrow"/>
                <w:sz w:val="20"/>
                <w:szCs w:val="20"/>
                <w:vertAlign w:val="superscript"/>
              </w:rPr>
              <w:t>5</w:t>
            </w:r>
          </w:p>
        </w:tc>
      </w:tr>
      <w:tr w:rsidR="00A97BC8" w:rsidRPr="00006F36" w14:paraId="48632A7C" w14:textId="77777777" w:rsidTr="00A97BC8">
        <w:trPr>
          <w:trHeight w:val="20"/>
        </w:trPr>
        <w:tc>
          <w:tcPr>
            <w:tcW w:w="2122" w:type="dxa"/>
          </w:tcPr>
          <w:p w14:paraId="0589BA87" w14:textId="7AF6414A" w:rsidR="00A97BC8" w:rsidRPr="00006F36" w:rsidRDefault="00A97BC8" w:rsidP="002E0C20">
            <w:pPr>
              <w:keepNext/>
              <w:keepLines/>
              <w:jc w:val="left"/>
              <w:rPr>
                <w:rFonts w:ascii="Arial Narrow" w:hAnsi="Arial Narrow"/>
                <w:sz w:val="20"/>
                <w:szCs w:val="20"/>
                <w:vertAlign w:val="superscript"/>
              </w:rPr>
            </w:pPr>
            <w:r w:rsidRPr="00006F36">
              <w:rPr>
                <w:rFonts w:ascii="Arial Narrow" w:hAnsi="Arial Narrow"/>
                <w:sz w:val="20"/>
                <w:szCs w:val="20"/>
              </w:rPr>
              <w:t xml:space="preserve">% reduction of cost per script assuming Tier 2 cap reached </w:t>
            </w:r>
            <w:r w:rsidRPr="00006F36">
              <w:rPr>
                <w:rFonts w:ascii="Arial Narrow" w:hAnsi="Arial Narrow"/>
                <w:sz w:val="20"/>
                <w:szCs w:val="20"/>
                <w:vertAlign w:val="superscript"/>
              </w:rPr>
              <w:t>c</w:t>
            </w:r>
          </w:p>
        </w:tc>
        <w:tc>
          <w:tcPr>
            <w:tcW w:w="1250" w:type="dxa"/>
            <w:vAlign w:val="center"/>
          </w:tcPr>
          <w:p w14:paraId="0FC58312" w14:textId="25897AC3" w:rsidR="00A97BC8" w:rsidRPr="00006F36" w:rsidRDefault="00494449" w:rsidP="00A97BC8">
            <w:pPr>
              <w:keepNext/>
              <w:keepLines/>
              <w:jc w:val="center"/>
              <w:rPr>
                <w:rFonts w:ascii="Arial Narrow" w:hAnsi="Arial Narrow"/>
                <w:sz w:val="20"/>
                <w:szCs w:val="20"/>
              </w:rPr>
            </w:pPr>
            <w:r w:rsidRPr="00494449">
              <w:rPr>
                <w:rFonts w:ascii="Arial Narrow" w:hAnsi="Arial Narrow" w:hint="eastAsia"/>
                <w:color w:val="000000"/>
                <w:w w:val="22"/>
                <w:sz w:val="20"/>
                <w:szCs w:val="20"/>
                <w:shd w:val="solid" w:color="000000" w:fill="000000"/>
                <w:fitText w:val="100" w:id="-961870585"/>
                <w14:textFill>
                  <w14:solidFill>
                    <w14:srgbClr w14:val="000000">
                      <w14:alpha w14:val="100000"/>
                    </w14:srgbClr>
                  </w14:solidFill>
                </w14:textFill>
              </w:rPr>
              <w:t xml:space="preserve">　</w:t>
            </w:r>
            <w:r w:rsidRPr="00494449">
              <w:rPr>
                <w:rFonts w:ascii="Arial Narrow" w:hAnsi="Arial Narrow"/>
                <w:color w:val="000000"/>
                <w:w w:val="22"/>
                <w:sz w:val="20"/>
                <w:szCs w:val="20"/>
                <w:shd w:val="solid" w:color="000000" w:fill="000000"/>
                <w:fitText w:val="100" w:id="-961870585"/>
                <w14:textFill>
                  <w14:solidFill>
                    <w14:srgbClr w14:val="000000">
                      <w14:alpha w14:val="100000"/>
                    </w14:srgbClr>
                  </w14:solidFill>
                </w14:textFill>
              </w:rPr>
              <w:t>|</w:t>
            </w:r>
            <w:r w:rsidRPr="00494449">
              <w:rPr>
                <w:rFonts w:ascii="Arial Narrow" w:hAnsi="Arial Narrow" w:hint="eastAsia"/>
                <w:color w:val="000000"/>
                <w:spacing w:val="3"/>
                <w:w w:val="22"/>
                <w:sz w:val="20"/>
                <w:szCs w:val="20"/>
                <w:shd w:val="solid" w:color="000000" w:fill="000000"/>
                <w:fitText w:val="100" w:id="-961870585"/>
                <w14:textFill>
                  <w14:solidFill>
                    <w14:srgbClr w14:val="000000">
                      <w14:alpha w14:val="100000"/>
                    </w14:srgbClr>
                  </w14:solidFill>
                </w14:textFill>
              </w:rPr>
              <w:t xml:space="preserve">　</w:t>
            </w:r>
            <w:r w:rsidR="00A97BC8" w:rsidRPr="00006F36">
              <w:rPr>
                <w:rFonts w:ascii="Arial Narrow" w:hAnsi="Arial Narrow"/>
                <w:sz w:val="20"/>
                <w:szCs w:val="20"/>
              </w:rPr>
              <w:t>%</w:t>
            </w:r>
          </w:p>
        </w:tc>
        <w:tc>
          <w:tcPr>
            <w:tcW w:w="1129" w:type="dxa"/>
            <w:vAlign w:val="center"/>
          </w:tcPr>
          <w:p w14:paraId="2741FB98" w14:textId="354D754A" w:rsidR="00A97BC8" w:rsidRPr="00006F36" w:rsidRDefault="00494449" w:rsidP="00A97BC8">
            <w:pPr>
              <w:keepNext/>
              <w:keepLines/>
              <w:jc w:val="center"/>
              <w:rPr>
                <w:rFonts w:ascii="Arial Narrow" w:hAnsi="Arial Narrow"/>
                <w:sz w:val="20"/>
                <w:szCs w:val="20"/>
              </w:rPr>
            </w:pPr>
            <w:r w:rsidRPr="00494449">
              <w:rPr>
                <w:rFonts w:ascii="Arial Narrow" w:hAnsi="Arial Narrow"/>
                <w:color w:val="000000"/>
                <w:spacing w:val="76"/>
                <w:sz w:val="20"/>
                <w:szCs w:val="20"/>
                <w:shd w:val="solid" w:color="000000" w:fill="000000"/>
                <w:fitText w:val="162" w:id="-961870584"/>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162" w:id="-961870584"/>
                <w14:textFill>
                  <w14:solidFill>
                    <w14:srgbClr w14:val="000000">
                      <w14:alpha w14:val="100000"/>
                    </w14:srgbClr>
                  </w14:solidFill>
                </w14:textFill>
              </w:rPr>
              <w:t>|</w:t>
            </w:r>
            <w:r w:rsidR="00A97BC8" w:rsidRPr="00006F36">
              <w:rPr>
                <w:rFonts w:ascii="Arial Narrow" w:hAnsi="Arial Narrow"/>
                <w:sz w:val="20"/>
                <w:szCs w:val="20"/>
              </w:rPr>
              <w:t>%</w:t>
            </w:r>
          </w:p>
        </w:tc>
        <w:tc>
          <w:tcPr>
            <w:tcW w:w="1129" w:type="dxa"/>
            <w:vAlign w:val="center"/>
          </w:tcPr>
          <w:p w14:paraId="295DB695" w14:textId="799BDB1E" w:rsidR="00A97BC8" w:rsidRPr="00006F36" w:rsidRDefault="00494449" w:rsidP="00A97BC8">
            <w:pPr>
              <w:keepNext/>
              <w:keepLines/>
              <w:jc w:val="center"/>
              <w:rPr>
                <w:rFonts w:ascii="Arial Narrow" w:hAnsi="Arial Narrow"/>
                <w:sz w:val="20"/>
                <w:szCs w:val="20"/>
              </w:rPr>
            </w:pPr>
            <w:r w:rsidRPr="00494449">
              <w:rPr>
                <w:rFonts w:ascii="Arial Narrow" w:hAnsi="Arial Narrow"/>
                <w:color w:val="000000"/>
                <w:spacing w:val="77"/>
                <w:sz w:val="20"/>
                <w:szCs w:val="20"/>
                <w:shd w:val="solid" w:color="000000" w:fill="000000"/>
                <w:fitText w:val="163" w:id="-961870583"/>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163" w:id="-961870583"/>
                <w14:textFill>
                  <w14:solidFill>
                    <w14:srgbClr w14:val="000000">
                      <w14:alpha w14:val="100000"/>
                    </w14:srgbClr>
                  </w14:solidFill>
                </w14:textFill>
              </w:rPr>
              <w:t>|</w:t>
            </w:r>
            <w:r w:rsidR="00A97BC8" w:rsidRPr="00006F36">
              <w:rPr>
                <w:rFonts w:ascii="Arial Narrow" w:hAnsi="Arial Narrow"/>
                <w:sz w:val="20"/>
                <w:szCs w:val="20"/>
              </w:rPr>
              <w:t>%</w:t>
            </w:r>
          </w:p>
        </w:tc>
        <w:tc>
          <w:tcPr>
            <w:tcW w:w="1129" w:type="dxa"/>
            <w:vAlign w:val="center"/>
          </w:tcPr>
          <w:p w14:paraId="0B324D18" w14:textId="383B7E80" w:rsidR="00A97BC8" w:rsidRPr="00006F36" w:rsidRDefault="00494449" w:rsidP="00A97BC8">
            <w:pPr>
              <w:keepNext/>
              <w:keepLines/>
              <w:jc w:val="center"/>
              <w:rPr>
                <w:rFonts w:ascii="Arial Narrow" w:hAnsi="Arial Narrow"/>
                <w:sz w:val="20"/>
                <w:szCs w:val="20"/>
              </w:rPr>
            </w:pPr>
            <w:r w:rsidRPr="00494449">
              <w:rPr>
                <w:rFonts w:ascii="Arial Narrow" w:hAnsi="Arial Narrow"/>
                <w:color w:val="000000"/>
                <w:spacing w:val="77"/>
                <w:sz w:val="20"/>
                <w:szCs w:val="20"/>
                <w:shd w:val="solid" w:color="000000" w:fill="000000"/>
                <w:fitText w:val="163" w:id="-961870582"/>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163" w:id="-961870582"/>
                <w14:textFill>
                  <w14:solidFill>
                    <w14:srgbClr w14:val="000000">
                      <w14:alpha w14:val="100000"/>
                    </w14:srgbClr>
                  </w14:solidFill>
                </w14:textFill>
              </w:rPr>
              <w:t>|</w:t>
            </w:r>
            <w:r w:rsidR="00A97BC8" w:rsidRPr="00006F36">
              <w:rPr>
                <w:rFonts w:ascii="Arial Narrow" w:hAnsi="Arial Narrow"/>
                <w:sz w:val="20"/>
                <w:szCs w:val="20"/>
              </w:rPr>
              <w:t>%</w:t>
            </w:r>
          </w:p>
        </w:tc>
        <w:tc>
          <w:tcPr>
            <w:tcW w:w="1129" w:type="dxa"/>
            <w:vAlign w:val="center"/>
          </w:tcPr>
          <w:p w14:paraId="23C458D4" w14:textId="715AB0AB" w:rsidR="00A97BC8" w:rsidRPr="00006F36" w:rsidRDefault="00494449" w:rsidP="00A97BC8">
            <w:pPr>
              <w:keepNext/>
              <w:keepLines/>
              <w:jc w:val="center"/>
              <w:rPr>
                <w:rFonts w:ascii="Arial Narrow" w:hAnsi="Arial Narrow"/>
                <w:sz w:val="20"/>
                <w:szCs w:val="20"/>
              </w:rPr>
            </w:pPr>
            <w:r w:rsidRPr="00494449">
              <w:rPr>
                <w:rFonts w:ascii="Arial Narrow" w:hAnsi="Arial Narrow"/>
                <w:color w:val="000000"/>
                <w:spacing w:val="77"/>
                <w:sz w:val="20"/>
                <w:szCs w:val="20"/>
                <w:shd w:val="solid" w:color="000000" w:fill="000000"/>
                <w:fitText w:val="163" w:id="-961870581"/>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163" w:id="-961870581"/>
                <w14:textFill>
                  <w14:solidFill>
                    <w14:srgbClr w14:val="000000">
                      <w14:alpha w14:val="100000"/>
                    </w14:srgbClr>
                  </w14:solidFill>
                </w14:textFill>
              </w:rPr>
              <w:t>|</w:t>
            </w:r>
            <w:r w:rsidR="00A97BC8" w:rsidRPr="00006F36">
              <w:rPr>
                <w:rFonts w:ascii="Arial Narrow" w:hAnsi="Arial Narrow"/>
                <w:sz w:val="20"/>
                <w:szCs w:val="20"/>
              </w:rPr>
              <w:t>%</w:t>
            </w:r>
          </w:p>
        </w:tc>
        <w:tc>
          <w:tcPr>
            <w:tcW w:w="1129" w:type="dxa"/>
            <w:vAlign w:val="center"/>
          </w:tcPr>
          <w:p w14:paraId="3E907EF4" w14:textId="30161E02" w:rsidR="00A97BC8" w:rsidRPr="00006F36" w:rsidRDefault="00494449" w:rsidP="00A97BC8">
            <w:pPr>
              <w:keepNext/>
              <w:keepLines/>
              <w:jc w:val="center"/>
              <w:rPr>
                <w:rFonts w:ascii="Arial Narrow" w:hAnsi="Arial Narrow"/>
                <w:sz w:val="20"/>
                <w:szCs w:val="20"/>
              </w:rPr>
            </w:pPr>
            <w:r w:rsidRPr="00494449">
              <w:rPr>
                <w:rFonts w:ascii="Arial Narrow" w:hAnsi="Arial Narrow"/>
                <w:color w:val="000000"/>
                <w:spacing w:val="77"/>
                <w:sz w:val="20"/>
                <w:szCs w:val="20"/>
                <w:shd w:val="solid" w:color="000000" w:fill="000000"/>
                <w:fitText w:val="163" w:id="-961870580"/>
                <w14:textFill>
                  <w14:solidFill>
                    <w14:srgbClr w14:val="000000">
                      <w14:alpha w14:val="100000"/>
                    </w14:srgbClr>
                  </w14:solidFill>
                </w14:textFill>
              </w:rPr>
              <w:t>|</w:t>
            </w:r>
            <w:r w:rsidRPr="00494449">
              <w:rPr>
                <w:rFonts w:ascii="Arial Narrow" w:hAnsi="Arial Narrow"/>
                <w:color w:val="000000"/>
                <w:spacing w:val="1"/>
                <w:sz w:val="20"/>
                <w:szCs w:val="20"/>
                <w:shd w:val="solid" w:color="000000" w:fill="000000"/>
                <w:fitText w:val="163" w:id="-961870580"/>
                <w14:textFill>
                  <w14:solidFill>
                    <w14:srgbClr w14:val="000000">
                      <w14:alpha w14:val="100000"/>
                    </w14:srgbClr>
                  </w14:solidFill>
                </w14:textFill>
              </w:rPr>
              <w:t>|</w:t>
            </w:r>
            <w:r w:rsidR="00A97BC8" w:rsidRPr="00006F36">
              <w:rPr>
                <w:rFonts w:ascii="Arial Narrow" w:hAnsi="Arial Narrow"/>
                <w:sz w:val="20"/>
                <w:szCs w:val="20"/>
              </w:rPr>
              <w:t>%</w:t>
            </w:r>
          </w:p>
        </w:tc>
      </w:tr>
    </w:tbl>
    <w:p w14:paraId="5CB5EE3B" w14:textId="77777777" w:rsidR="000239F2" w:rsidRPr="00006F36" w:rsidRDefault="000239F2" w:rsidP="000239F2">
      <w:pPr>
        <w:rPr>
          <w:rFonts w:ascii="Arial Narrow" w:hAnsi="Arial Narrow"/>
          <w:sz w:val="18"/>
          <w:szCs w:val="18"/>
        </w:rPr>
      </w:pPr>
      <w:r w:rsidRPr="00006F36">
        <w:rPr>
          <w:rFonts w:ascii="Arial Narrow" w:hAnsi="Arial Narrow"/>
          <w:sz w:val="18"/>
          <w:szCs w:val="18"/>
        </w:rPr>
        <w:t>Source: Table 19, p43 and Table 20, p45 of the submission</w:t>
      </w:r>
    </w:p>
    <w:p w14:paraId="597FCD5D" w14:textId="78E28CF6" w:rsidR="00A97BC8" w:rsidRPr="00006F36" w:rsidRDefault="000239F2" w:rsidP="00420A42">
      <w:pPr>
        <w:rPr>
          <w:rFonts w:ascii="Arial Narrow" w:hAnsi="Arial Narrow"/>
          <w:sz w:val="18"/>
          <w:szCs w:val="18"/>
        </w:rPr>
      </w:pPr>
      <w:r>
        <w:rPr>
          <w:rFonts w:ascii="Arial Narrow" w:hAnsi="Arial Narrow"/>
          <w:sz w:val="18"/>
          <w:szCs w:val="18"/>
        </w:rPr>
        <w:t xml:space="preserve">Abbreviations: </w:t>
      </w:r>
      <w:r w:rsidR="00A97BC8" w:rsidRPr="00006F36">
        <w:rPr>
          <w:rFonts w:ascii="Arial Narrow" w:hAnsi="Arial Narrow"/>
          <w:sz w:val="18"/>
          <w:szCs w:val="18"/>
        </w:rPr>
        <w:t>PBS = pharmaceutical benefit scheme</w:t>
      </w:r>
      <w:r w:rsidR="00F817D7" w:rsidRPr="00006F36">
        <w:rPr>
          <w:rFonts w:ascii="Arial Narrow" w:hAnsi="Arial Narrow"/>
          <w:sz w:val="18"/>
          <w:szCs w:val="18"/>
        </w:rPr>
        <w:t>; RSA = risk sharing arrangement</w:t>
      </w:r>
    </w:p>
    <w:p w14:paraId="683AF406" w14:textId="09D9CE6C" w:rsidR="00420A42" w:rsidRPr="00006F36" w:rsidRDefault="00375BC9" w:rsidP="00420A42">
      <w:pPr>
        <w:rPr>
          <w:rFonts w:ascii="Arial Narrow" w:hAnsi="Arial Narrow"/>
          <w:sz w:val="18"/>
          <w:szCs w:val="18"/>
        </w:rPr>
      </w:pPr>
      <w:r w:rsidRPr="00DD78A3">
        <w:rPr>
          <w:rFonts w:ascii="Arial Narrow" w:hAnsi="Arial Narrow"/>
          <w:sz w:val="18"/>
          <w:szCs w:val="18"/>
          <w:vertAlign w:val="superscript"/>
        </w:rPr>
        <w:t>a</w:t>
      </w:r>
      <w:r w:rsidR="00456C9E" w:rsidRPr="00006F36">
        <w:rPr>
          <w:rFonts w:ascii="Arial Narrow" w:hAnsi="Arial Narrow"/>
          <w:sz w:val="18"/>
          <w:szCs w:val="18"/>
        </w:rPr>
        <w:t xml:space="preserve"> Number of patients with </w:t>
      </w:r>
      <w:r w:rsidR="001701BB">
        <w:rPr>
          <w:rFonts w:ascii="Arial Narrow" w:hAnsi="Arial Narrow"/>
          <w:sz w:val="18"/>
          <w:szCs w:val="18"/>
        </w:rPr>
        <w:t>organ involvement</w:t>
      </w:r>
      <w:r w:rsidR="00456C9E" w:rsidRPr="00006F36">
        <w:rPr>
          <w:rFonts w:ascii="Arial Narrow" w:hAnsi="Arial Narrow"/>
          <w:sz w:val="18"/>
          <w:szCs w:val="18"/>
        </w:rPr>
        <w:t xml:space="preserve"> multiplied by 12 scripts per patient per year at </w:t>
      </w:r>
      <w:r w:rsidR="00A44A40" w:rsidRPr="00006F36">
        <w:rPr>
          <w:rFonts w:ascii="Arial Narrow" w:hAnsi="Arial Narrow"/>
          <w:sz w:val="18"/>
          <w:szCs w:val="18"/>
        </w:rPr>
        <w:t>$</w:t>
      </w:r>
      <w:r w:rsidR="00494449" w:rsidRPr="00D12810">
        <w:rPr>
          <w:rFonts w:ascii="Arial Narrow" w:hAnsi="Arial Narrow"/>
          <w:color w:val="000000"/>
          <w:spacing w:val="21"/>
          <w:sz w:val="18"/>
          <w:szCs w:val="18"/>
          <w:shd w:val="solid" w:color="000000" w:fill="000000"/>
          <w:fitText w:val="281" w:id="-961870579"/>
          <w14:textFill>
            <w14:solidFill>
              <w14:srgbClr w14:val="000000">
                <w14:alpha w14:val="100000"/>
              </w14:srgbClr>
            </w14:solidFill>
          </w14:textFill>
        </w:rPr>
        <w:t>||</w:t>
      </w:r>
      <w:r w:rsidR="00D12810" w:rsidRPr="00D12810">
        <w:rPr>
          <w:rFonts w:ascii="Arial Narrow" w:hAnsi="Arial Narrow"/>
          <w:color w:val="000000"/>
          <w:spacing w:val="21"/>
          <w:sz w:val="18"/>
          <w:szCs w:val="18"/>
          <w:shd w:val="solid" w:color="000000" w:fill="000000"/>
          <w:fitText w:val="281" w:id="-961870579"/>
          <w14:textFill>
            <w14:solidFill>
              <w14:srgbClr w14:val="000000">
                <w14:alpha w14:val="100000"/>
              </w14:srgbClr>
            </w14:solidFill>
          </w14:textFill>
        </w:rPr>
        <w:t xml:space="preserve"> </w:t>
      </w:r>
      <w:r w:rsidR="00494449" w:rsidRPr="00D12810">
        <w:rPr>
          <w:rFonts w:ascii="Arial Narrow" w:hAnsi="Arial Narrow"/>
          <w:color w:val="000000"/>
          <w:spacing w:val="21"/>
          <w:sz w:val="18"/>
          <w:szCs w:val="18"/>
          <w:shd w:val="solid" w:color="000000" w:fill="000000"/>
          <w:fitText w:val="281" w:id="-961870579"/>
          <w14:textFill>
            <w14:solidFill>
              <w14:srgbClr w14:val="000000">
                <w14:alpha w14:val="100000"/>
              </w14:srgbClr>
            </w14:solidFill>
          </w14:textFill>
        </w:rPr>
        <w:t>|</w:t>
      </w:r>
      <w:r w:rsidR="00494449" w:rsidRPr="00D12810">
        <w:rPr>
          <w:rFonts w:ascii="Arial Narrow" w:hAnsi="Arial Narrow"/>
          <w:color w:val="000000"/>
          <w:spacing w:val="3"/>
          <w:sz w:val="18"/>
          <w:szCs w:val="18"/>
          <w:shd w:val="solid" w:color="000000" w:fill="000000"/>
          <w:fitText w:val="281" w:id="-961870579"/>
          <w14:textFill>
            <w14:solidFill>
              <w14:srgbClr w14:val="000000">
                <w14:alpha w14:val="100000"/>
              </w14:srgbClr>
            </w14:solidFill>
          </w14:textFill>
        </w:rPr>
        <w:t>|</w:t>
      </w:r>
      <w:r w:rsidR="00A44A40" w:rsidRPr="00006F36">
        <w:rPr>
          <w:rFonts w:ascii="Arial Narrow" w:hAnsi="Arial Narrow"/>
          <w:sz w:val="18"/>
          <w:szCs w:val="18"/>
        </w:rPr>
        <w:t xml:space="preserve"> per script</w:t>
      </w:r>
      <w:r w:rsidR="00525A5E" w:rsidRPr="00006F36">
        <w:rPr>
          <w:rFonts w:ascii="Arial Narrow" w:hAnsi="Arial Narrow"/>
          <w:sz w:val="18"/>
          <w:szCs w:val="18"/>
        </w:rPr>
        <w:t xml:space="preserve"> (DPMQ of $</w:t>
      </w:r>
      <w:r w:rsidR="00494449" w:rsidRPr="00D12810">
        <w:rPr>
          <w:rFonts w:ascii="Arial Narrow" w:hAnsi="Arial Narrow"/>
          <w:color w:val="000000"/>
          <w:spacing w:val="81"/>
          <w:sz w:val="18"/>
          <w:szCs w:val="18"/>
          <w:shd w:val="solid" w:color="000000" w:fill="000000"/>
          <w:fitText w:val="280" w:id="-961870578"/>
          <w14:textFill>
            <w14:solidFill>
              <w14:srgbClr w14:val="000000">
                <w14:alpha w14:val="100000"/>
              </w14:srgbClr>
            </w14:solidFill>
          </w14:textFill>
        </w:rPr>
        <w:t>|</w:t>
      </w:r>
      <w:r w:rsidR="00D12810" w:rsidRPr="00D12810">
        <w:rPr>
          <w:rFonts w:ascii="Arial Narrow" w:hAnsi="Arial Narrow"/>
          <w:color w:val="000000"/>
          <w:spacing w:val="81"/>
          <w:sz w:val="18"/>
          <w:szCs w:val="18"/>
          <w:shd w:val="solid" w:color="000000" w:fill="000000"/>
          <w:fitText w:val="280" w:id="-961870578"/>
          <w14:textFill>
            <w14:solidFill>
              <w14:srgbClr w14:val="000000">
                <w14:alpha w14:val="100000"/>
              </w14:srgbClr>
            </w14:solidFill>
          </w14:textFill>
        </w:rPr>
        <w:t xml:space="preserve"> </w:t>
      </w:r>
      <w:r w:rsidR="00494449" w:rsidRPr="00D12810">
        <w:rPr>
          <w:rFonts w:ascii="Arial Narrow" w:hAnsi="Arial Narrow"/>
          <w:color w:val="000000"/>
          <w:spacing w:val="1"/>
          <w:sz w:val="18"/>
          <w:szCs w:val="18"/>
          <w:shd w:val="solid" w:color="000000" w:fill="000000"/>
          <w:fitText w:val="280" w:id="-961870578"/>
          <w14:textFill>
            <w14:solidFill>
              <w14:srgbClr w14:val="000000">
                <w14:alpha w14:val="100000"/>
              </w14:srgbClr>
            </w14:solidFill>
          </w14:textFill>
        </w:rPr>
        <w:t>|</w:t>
      </w:r>
      <w:r w:rsidR="00525A5E" w:rsidRPr="00006F36">
        <w:rPr>
          <w:rFonts w:ascii="Arial Narrow" w:hAnsi="Arial Narrow"/>
          <w:sz w:val="18"/>
          <w:szCs w:val="18"/>
        </w:rPr>
        <w:t xml:space="preserve"> minus $17.48 copayment)</w:t>
      </w:r>
    </w:p>
    <w:p w14:paraId="5314ABE0" w14:textId="27D509AC" w:rsidR="00525A5E" w:rsidRPr="00006F36" w:rsidRDefault="00A22FEF" w:rsidP="00525A5E">
      <w:pPr>
        <w:rPr>
          <w:rFonts w:ascii="Arial Narrow" w:hAnsi="Arial Narrow"/>
          <w:sz w:val="18"/>
          <w:szCs w:val="18"/>
        </w:rPr>
      </w:pPr>
      <w:r w:rsidRPr="00DD78A3">
        <w:rPr>
          <w:rFonts w:ascii="Arial Narrow" w:hAnsi="Arial Narrow"/>
          <w:sz w:val="18"/>
          <w:szCs w:val="18"/>
          <w:vertAlign w:val="superscript"/>
        </w:rPr>
        <w:t>b</w:t>
      </w:r>
      <w:r w:rsidR="00525A5E" w:rsidRPr="00006F36">
        <w:rPr>
          <w:rFonts w:ascii="Arial Narrow" w:hAnsi="Arial Narrow"/>
          <w:sz w:val="18"/>
          <w:szCs w:val="18"/>
        </w:rPr>
        <w:t xml:space="preserve"> Number of classical Fabry disease patients treated with early treatment multiplied by 12 scripts per patient per year at $</w:t>
      </w:r>
      <w:r w:rsidR="00494449" w:rsidRPr="00D12810">
        <w:rPr>
          <w:rFonts w:ascii="Arial Narrow" w:hAnsi="Arial Narrow"/>
          <w:color w:val="000000"/>
          <w:spacing w:val="81"/>
          <w:sz w:val="18"/>
          <w:szCs w:val="18"/>
          <w:shd w:val="solid" w:color="000000" w:fill="000000"/>
          <w:fitText w:val="280" w:id="-961870577"/>
          <w14:textFill>
            <w14:solidFill>
              <w14:srgbClr w14:val="000000">
                <w14:alpha w14:val="100000"/>
              </w14:srgbClr>
            </w14:solidFill>
          </w14:textFill>
        </w:rPr>
        <w:t>|</w:t>
      </w:r>
      <w:r w:rsidR="00D12810" w:rsidRPr="00D12810">
        <w:rPr>
          <w:rFonts w:ascii="Arial Narrow" w:hAnsi="Arial Narrow"/>
          <w:color w:val="000000"/>
          <w:spacing w:val="81"/>
          <w:sz w:val="18"/>
          <w:szCs w:val="18"/>
          <w:shd w:val="solid" w:color="000000" w:fill="000000"/>
          <w:fitText w:val="280" w:id="-961870577"/>
          <w14:textFill>
            <w14:solidFill>
              <w14:srgbClr w14:val="000000">
                <w14:alpha w14:val="100000"/>
              </w14:srgbClr>
            </w14:solidFill>
          </w14:textFill>
        </w:rPr>
        <w:t xml:space="preserve"> </w:t>
      </w:r>
      <w:r w:rsidR="00494449" w:rsidRPr="00D12810">
        <w:rPr>
          <w:rFonts w:ascii="Arial Narrow" w:hAnsi="Arial Narrow"/>
          <w:color w:val="000000"/>
          <w:spacing w:val="1"/>
          <w:sz w:val="18"/>
          <w:szCs w:val="18"/>
          <w:shd w:val="solid" w:color="000000" w:fill="000000"/>
          <w:fitText w:val="280" w:id="-961870577"/>
          <w14:textFill>
            <w14:solidFill>
              <w14:srgbClr w14:val="000000">
                <w14:alpha w14:val="100000"/>
              </w14:srgbClr>
            </w14:solidFill>
          </w14:textFill>
        </w:rPr>
        <w:t>|</w:t>
      </w:r>
      <w:r w:rsidR="00EF0265" w:rsidRPr="00006F36">
        <w:rPr>
          <w:rFonts w:ascii="Arial Narrow" w:hAnsi="Arial Narrow"/>
          <w:sz w:val="18"/>
          <w:szCs w:val="18"/>
        </w:rPr>
        <w:t xml:space="preserve"> </w:t>
      </w:r>
      <w:r w:rsidR="00525A5E" w:rsidRPr="00006F36">
        <w:rPr>
          <w:rFonts w:ascii="Arial Narrow" w:hAnsi="Arial Narrow"/>
          <w:sz w:val="18"/>
          <w:szCs w:val="18"/>
        </w:rPr>
        <w:t>per script (DPMQ of $</w:t>
      </w:r>
      <w:r w:rsidR="00494449" w:rsidRPr="00D12810">
        <w:rPr>
          <w:rFonts w:ascii="Arial Narrow" w:hAnsi="Arial Narrow"/>
          <w:color w:val="000000"/>
          <w:spacing w:val="21"/>
          <w:sz w:val="18"/>
          <w:szCs w:val="18"/>
          <w:shd w:val="solid" w:color="000000" w:fill="000000"/>
          <w:fitText w:val="280" w:id="-961870576"/>
          <w14:textFill>
            <w14:solidFill>
              <w14:srgbClr w14:val="000000">
                <w14:alpha w14:val="100000"/>
              </w14:srgbClr>
            </w14:solidFill>
          </w14:textFill>
        </w:rPr>
        <w:t>||</w:t>
      </w:r>
      <w:r w:rsidR="00D12810" w:rsidRPr="00D12810">
        <w:rPr>
          <w:rFonts w:ascii="Arial Narrow" w:hAnsi="Arial Narrow"/>
          <w:color w:val="000000"/>
          <w:spacing w:val="21"/>
          <w:sz w:val="18"/>
          <w:szCs w:val="18"/>
          <w:shd w:val="solid" w:color="000000" w:fill="000000"/>
          <w:fitText w:val="280" w:id="-961870576"/>
          <w14:textFill>
            <w14:solidFill>
              <w14:srgbClr w14:val="000000">
                <w14:alpha w14:val="100000"/>
              </w14:srgbClr>
            </w14:solidFill>
          </w14:textFill>
        </w:rPr>
        <w:t xml:space="preserve"> </w:t>
      </w:r>
      <w:r w:rsidR="00494449" w:rsidRPr="00D12810">
        <w:rPr>
          <w:rFonts w:ascii="Arial Narrow" w:hAnsi="Arial Narrow"/>
          <w:color w:val="000000"/>
          <w:spacing w:val="21"/>
          <w:sz w:val="18"/>
          <w:szCs w:val="18"/>
          <w:shd w:val="solid" w:color="000000" w:fill="000000"/>
          <w:fitText w:val="280" w:id="-961870576"/>
          <w14:textFill>
            <w14:solidFill>
              <w14:srgbClr w14:val="000000">
                <w14:alpha w14:val="100000"/>
              </w14:srgbClr>
            </w14:solidFill>
          </w14:textFill>
        </w:rPr>
        <w:t>|</w:t>
      </w:r>
      <w:r w:rsidR="00494449" w:rsidRPr="00D12810">
        <w:rPr>
          <w:rFonts w:ascii="Arial Narrow" w:hAnsi="Arial Narrow"/>
          <w:color w:val="000000"/>
          <w:spacing w:val="2"/>
          <w:sz w:val="18"/>
          <w:szCs w:val="18"/>
          <w:shd w:val="solid" w:color="000000" w:fill="000000"/>
          <w:fitText w:val="280" w:id="-961870576"/>
          <w14:textFill>
            <w14:solidFill>
              <w14:srgbClr w14:val="000000">
                <w14:alpha w14:val="100000"/>
              </w14:srgbClr>
            </w14:solidFill>
          </w14:textFill>
        </w:rPr>
        <w:t>|</w:t>
      </w:r>
      <w:r w:rsidR="00525A5E" w:rsidRPr="00006F36">
        <w:rPr>
          <w:rFonts w:ascii="Arial Narrow" w:hAnsi="Arial Narrow"/>
          <w:sz w:val="18"/>
          <w:szCs w:val="18"/>
        </w:rPr>
        <w:t xml:space="preserve"> minus $17.48 copayment</w:t>
      </w:r>
      <w:r w:rsidR="00EF0265" w:rsidRPr="00006F36">
        <w:rPr>
          <w:rFonts w:ascii="Arial Narrow" w:hAnsi="Arial Narrow"/>
          <w:sz w:val="18"/>
          <w:szCs w:val="18"/>
        </w:rPr>
        <w:t xml:space="preserve">, with a </w:t>
      </w:r>
      <w:r w:rsidR="00494449" w:rsidRPr="00D12810">
        <w:rPr>
          <w:rFonts w:ascii="Arial Narrow" w:hAnsi="Arial Narrow"/>
          <w:color w:val="000000"/>
          <w:spacing w:val="81"/>
          <w:sz w:val="18"/>
          <w:szCs w:val="18"/>
          <w:shd w:val="solid" w:color="000000" w:fill="000000"/>
          <w:fitText w:val="280" w:id="-961870592"/>
          <w14:textFill>
            <w14:solidFill>
              <w14:srgbClr w14:val="000000">
                <w14:alpha w14:val="100000"/>
              </w14:srgbClr>
            </w14:solidFill>
          </w14:textFill>
        </w:rPr>
        <w:t>|</w:t>
      </w:r>
      <w:r w:rsidR="00D12810" w:rsidRPr="00D12810">
        <w:rPr>
          <w:rFonts w:ascii="Arial Narrow" w:hAnsi="Arial Narrow"/>
          <w:color w:val="000000"/>
          <w:spacing w:val="81"/>
          <w:sz w:val="18"/>
          <w:szCs w:val="18"/>
          <w:shd w:val="solid" w:color="000000" w:fill="000000"/>
          <w:fitText w:val="280" w:id="-961870592"/>
          <w14:textFill>
            <w14:solidFill>
              <w14:srgbClr w14:val="000000">
                <w14:alpha w14:val="100000"/>
              </w14:srgbClr>
            </w14:solidFill>
          </w14:textFill>
        </w:rPr>
        <w:t xml:space="preserve"> </w:t>
      </w:r>
      <w:r w:rsidR="00494449" w:rsidRPr="00D12810">
        <w:rPr>
          <w:rFonts w:ascii="Arial Narrow" w:hAnsi="Arial Narrow"/>
          <w:color w:val="000000"/>
          <w:spacing w:val="1"/>
          <w:sz w:val="18"/>
          <w:szCs w:val="18"/>
          <w:shd w:val="solid" w:color="000000" w:fill="000000"/>
          <w:fitText w:val="280" w:id="-961870592"/>
          <w14:textFill>
            <w14:solidFill>
              <w14:srgbClr w14:val="000000">
                <w14:alpha w14:val="100000"/>
              </w14:srgbClr>
            </w14:solidFill>
          </w14:textFill>
        </w:rPr>
        <w:t>|</w:t>
      </w:r>
      <w:r w:rsidR="00EF0265" w:rsidRPr="00006F36">
        <w:rPr>
          <w:rFonts w:ascii="Arial Narrow" w:hAnsi="Arial Narrow"/>
          <w:sz w:val="18"/>
          <w:szCs w:val="18"/>
        </w:rPr>
        <w:t>% rebate applied</w:t>
      </w:r>
      <w:r w:rsidR="00525A5E" w:rsidRPr="00006F36">
        <w:rPr>
          <w:rFonts w:ascii="Arial Narrow" w:hAnsi="Arial Narrow"/>
          <w:sz w:val="18"/>
          <w:szCs w:val="18"/>
        </w:rPr>
        <w:t>)</w:t>
      </w:r>
    </w:p>
    <w:p w14:paraId="5B4C074C" w14:textId="75B9B621" w:rsidR="00762A3B" w:rsidRDefault="00762A3B" w:rsidP="004161CA">
      <w:pPr>
        <w:pStyle w:val="FooterTableFigure"/>
      </w:pPr>
      <w:r w:rsidRPr="00DD78A3">
        <w:rPr>
          <w:vertAlign w:val="superscript"/>
        </w:rPr>
        <w:t>c</w:t>
      </w:r>
      <w:r w:rsidRPr="00006F36">
        <w:t xml:space="preserve"> </w:t>
      </w:r>
      <w:r w:rsidR="008F6D9B" w:rsidRPr="00006F36">
        <w:t>Compared to current LSDP price of $</w:t>
      </w:r>
      <w:r w:rsidR="00494449" w:rsidRPr="00D12810">
        <w:rPr>
          <w:color w:val="000000"/>
          <w:spacing w:val="21"/>
          <w:shd w:val="solid" w:color="000000" w:fill="000000"/>
          <w:fitText w:val="281" w:id="-961870591"/>
          <w14:textFill>
            <w14:solidFill>
              <w14:srgbClr w14:val="000000">
                <w14:alpha w14:val="100000"/>
              </w14:srgbClr>
            </w14:solidFill>
          </w14:textFill>
        </w:rPr>
        <w:t>||</w:t>
      </w:r>
      <w:r w:rsidR="00D12810" w:rsidRPr="00D12810">
        <w:rPr>
          <w:color w:val="000000"/>
          <w:spacing w:val="21"/>
          <w:shd w:val="solid" w:color="000000" w:fill="000000"/>
          <w:fitText w:val="281" w:id="-961870591"/>
          <w14:textFill>
            <w14:solidFill>
              <w14:srgbClr w14:val="000000">
                <w14:alpha w14:val="100000"/>
              </w14:srgbClr>
            </w14:solidFill>
          </w14:textFill>
        </w:rPr>
        <w:t xml:space="preserve"> </w:t>
      </w:r>
      <w:r w:rsidR="00494449" w:rsidRPr="00D12810">
        <w:rPr>
          <w:color w:val="000000"/>
          <w:spacing w:val="21"/>
          <w:shd w:val="solid" w:color="000000" w:fill="000000"/>
          <w:fitText w:val="281" w:id="-961870591"/>
          <w14:textFill>
            <w14:solidFill>
              <w14:srgbClr w14:val="000000">
                <w14:alpha w14:val="100000"/>
              </w14:srgbClr>
            </w14:solidFill>
          </w14:textFill>
        </w:rPr>
        <w:t>|</w:t>
      </w:r>
      <w:r w:rsidR="00494449" w:rsidRPr="00D12810">
        <w:rPr>
          <w:color w:val="000000"/>
          <w:spacing w:val="3"/>
          <w:shd w:val="solid" w:color="000000" w:fill="000000"/>
          <w:fitText w:val="281" w:id="-961870591"/>
          <w14:textFill>
            <w14:solidFill>
              <w14:srgbClr w14:val="000000">
                <w14:alpha w14:val="100000"/>
              </w14:srgbClr>
            </w14:solidFill>
          </w14:textFill>
        </w:rPr>
        <w:t>|</w:t>
      </w:r>
      <w:r w:rsidR="008F6D9B" w:rsidRPr="00006F36">
        <w:t xml:space="preserve"> </w:t>
      </w:r>
      <w:r w:rsidR="001701BB">
        <w:t xml:space="preserve">EMP </w:t>
      </w:r>
      <w:r w:rsidR="008F6D9B" w:rsidRPr="00006F36">
        <w:t>per script</w:t>
      </w:r>
    </w:p>
    <w:p w14:paraId="3DBD3C70" w14:textId="77777777" w:rsidR="007B749D" w:rsidRPr="00033F32" w:rsidRDefault="007B749D" w:rsidP="007B749D">
      <w:pPr>
        <w:pStyle w:val="FooterTableFigure"/>
        <w:rPr>
          <w:i/>
          <w:iCs/>
        </w:rPr>
      </w:pPr>
      <w:r w:rsidRPr="00033F32">
        <w:rPr>
          <w:i/>
          <w:iCs/>
        </w:rPr>
        <w:t>The redacted values correspond to the following ranges:</w:t>
      </w:r>
    </w:p>
    <w:p w14:paraId="1FC4695C" w14:textId="77777777" w:rsidR="007B749D" w:rsidRPr="00033F32" w:rsidRDefault="007B749D" w:rsidP="007B749D">
      <w:pPr>
        <w:pStyle w:val="FooterTableFigure"/>
        <w:rPr>
          <w:i/>
          <w:iCs/>
        </w:rPr>
      </w:pPr>
      <w:r w:rsidRPr="00033F32">
        <w:rPr>
          <w:i/>
          <w:iCs/>
          <w:vertAlign w:val="superscript"/>
        </w:rPr>
        <w:t>1</w:t>
      </w:r>
      <w:r w:rsidRPr="00033F32">
        <w:rPr>
          <w:i/>
          <w:iCs/>
        </w:rPr>
        <w:t xml:space="preserve"> &lt; 500</w:t>
      </w:r>
    </w:p>
    <w:p w14:paraId="4D0AABA3" w14:textId="77777777" w:rsidR="007B749D" w:rsidRPr="00033F32" w:rsidRDefault="007B749D" w:rsidP="007B749D">
      <w:pPr>
        <w:pStyle w:val="FooterTableFigure"/>
        <w:rPr>
          <w:i/>
          <w:iCs/>
        </w:rPr>
      </w:pPr>
      <w:r w:rsidRPr="00033F32">
        <w:rPr>
          <w:i/>
          <w:iCs/>
          <w:vertAlign w:val="superscript"/>
        </w:rPr>
        <w:t>2</w:t>
      </w:r>
      <w:r w:rsidRPr="00033F32">
        <w:rPr>
          <w:i/>
          <w:iCs/>
        </w:rPr>
        <w:t xml:space="preserve"> 500 to &lt; 5,000</w:t>
      </w:r>
    </w:p>
    <w:p w14:paraId="2D67756A" w14:textId="77777777" w:rsidR="007B749D" w:rsidRPr="00033F32" w:rsidRDefault="007B749D" w:rsidP="007B749D">
      <w:pPr>
        <w:pStyle w:val="FooterTableFigure"/>
        <w:rPr>
          <w:i/>
          <w:iCs/>
        </w:rPr>
      </w:pPr>
      <w:r w:rsidRPr="00033F32">
        <w:rPr>
          <w:i/>
          <w:iCs/>
          <w:vertAlign w:val="superscript"/>
        </w:rPr>
        <w:t>3</w:t>
      </w:r>
      <w:r w:rsidRPr="00033F32">
        <w:rPr>
          <w:i/>
          <w:iCs/>
        </w:rPr>
        <w:t xml:space="preserve"> $10 million to &lt; $20 million</w:t>
      </w:r>
    </w:p>
    <w:p w14:paraId="75103E3E" w14:textId="77777777" w:rsidR="007B749D" w:rsidRPr="00033F32" w:rsidRDefault="007B749D" w:rsidP="007B749D">
      <w:pPr>
        <w:pStyle w:val="FooterTableFigure"/>
        <w:rPr>
          <w:i/>
          <w:iCs/>
        </w:rPr>
      </w:pPr>
      <w:r w:rsidRPr="00033F32">
        <w:rPr>
          <w:i/>
          <w:iCs/>
          <w:vertAlign w:val="superscript"/>
        </w:rPr>
        <w:t>4</w:t>
      </w:r>
      <w:r w:rsidRPr="00033F32">
        <w:rPr>
          <w:i/>
          <w:iCs/>
        </w:rPr>
        <w:t xml:space="preserve"> $20 million to &lt; $30 million</w:t>
      </w:r>
    </w:p>
    <w:p w14:paraId="4B6F3AD2" w14:textId="0B30CF75" w:rsidR="007B749D" w:rsidRPr="00033F32" w:rsidRDefault="007B749D" w:rsidP="007B749D">
      <w:pPr>
        <w:pStyle w:val="FooterTableFigure"/>
        <w:rPr>
          <w:i/>
          <w:iCs/>
        </w:rPr>
      </w:pPr>
      <w:r w:rsidRPr="00033F32">
        <w:rPr>
          <w:i/>
          <w:iCs/>
          <w:vertAlign w:val="superscript"/>
        </w:rPr>
        <w:t>5</w:t>
      </w:r>
      <w:r w:rsidRPr="00033F32">
        <w:rPr>
          <w:i/>
          <w:iCs/>
        </w:rPr>
        <w:t xml:space="preserve"> $0 to &lt; $10 million</w:t>
      </w:r>
    </w:p>
    <w:p w14:paraId="217AF19D" w14:textId="2C40AB6A" w:rsidR="0048760F" w:rsidRPr="00006F36" w:rsidRDefault="00947AB2" w:rsidP="00947AB2">
      <w:pPr>
        <w:ind w:left="720" w:hanging="360"/>
        <w:rPr>
          <w:i/>
        </w:rPr>
      </w:pPr>
      <w:bookmarkStart w:id="65" w:name="_Hlk76375324"/>
      <w:bookmarkStart w:id="66" w:name="_Hlk103934877"/>
      <w:bookmarkStart w:id="67" w:name="_Toc156995885"/>
      <w:r w:rsidRPr="00006F36">
        <w:rPr>
          <w:i/>
        </w:rPr>
        <w:t>For more detail on PBAC’s view, see section 7 PBAC outcome.</w:t>
      </w:r>
      <w:bookmarkEnd w:id="65"/>
      <w:bookmarkEnd w:id="66"/>
    </w:p>
    <w:p w14:paraId="27BEB7CF" w14:textId="77777777" w:rsidR="00947AB2" w:rsidRPr="00006F36" w:rsidRDefault="00947AB2" w:rsidP="00947AB2">
      <w:pPr>
        <w:pStyle w:val="2-SectionHeading"/>
      </w:pPr>
      <w:r w:rsidRPr="00006F36">
        <w:t>PBAC Outcome</w:t>
      </w:r>
    </w:p>
    <w:p w14:paraId="7DC427ED" w14:textId="77777777" w:rsidR="00D12810" w:rsidRDefault="009C6802" w:rsidP="002A7C11">
      <w:pPr>
        <w:pStyle w:val="3-BodyText"/>
      </w:pPr>
      <w:bookmarkStart w:id="68" w:name="_Hlk111543188"/>
      <w:r w:rsidRPr="00006F36">
        <w:t xml:space="preserve">The PBAC recommended the listing of migalastat for the treatment of Fabry disease in patients aged 12 years of age and older who have an amenable mutation </w:t>
      </w:r>
      <w:r w:rsidR="00D87E4F" w:rsidRPr="00006F36">
        <w:t xml:space="preserve">and </w:t>
      </w:r>
      <w:r w:rsidRPr="00006F36">
        <w:t xml:space="preserve">evidence </w:t>
      </w:r>
      <w:r w:rsidR="00260756" w:rsidRPr="00006F36">
        <w:t>of organ involvement</w:t>
      </w:r>
      <w:r w:rsidR="00294484">
        <w:t>/injury</w:t>
      </w:r>
      <w:r w:rsidR="00260756" w:rsidRPr="00006F36">
        <w:t xml:space="preserve"> (including </w:t>
      </w:r>
      <w:r w:rsidR="002D1E28" w:rsidRPr="00006F36">
        <w:t>severe gastrointestinal symptoms, and uncontrolled chronic pai</w:t>
      </w:r>
      <w:r w:rsidR="002D1E28">
        <w:t xml:space="preserve">n, </w:t>
      </w:r>
      <w:r w:rsidR="00260756" w:rsidRPr="00006F36">
        <w:t xml:space="preserve">renal disease, cardiac disease, ischaemic </w:t>
      </w:r>
      <w:r w:rsidR="00294484">
        <w:t>and cer</w:t>
      </w:r>
      <w:r w:rsidR="002D1E28">
        <w:t>e</w:t>
      </w:r>
      <w:r w:rsidR="00294484">
        <w:t>bro</w:t>
      </w:r>
      <w:r w:rsidR="00260756" w:rsidRPr="00006F36">
        <w:t>vascular disease)</w:t>
      </w:r>
      <w:r w:rsidRPr="00006F36">
        <w:t>.</w:t>
      </w:r>
      <w:r w:rsidR="00F24A24" w:rsidRPr="00006F36">
        <w:t xml:space="preserve"> The PBAC noted the</w:t>
      </w:r>
      <w:r w:rsidR="00C07398" w:rsidRPr="00006F36">
        <w:t xml:space="preserve"> proposed</w:t>
      </w:r>
      <w:r w:rsidR="00F24A24" w:rsidRPr="00006F36">
        <w:t xml:space="preserve"> cost of migalastat was substantially higher than recommended in December 2022 but considered that, on balance, noting the high clinical need for </w:t>
      </w:r>
      <w:r w:rsidR="00A92E98">
        <w:t xml:space="preserve">ongoing access to </w:t>
      </w:r>
      <w:r w:rsidR="00F24A24" w:rsidRPr="00006F36">
        <w:t xml:space="preserve">funded treatments for Fabry disease, migalastat was likely to be of </w:t>
      </w:r>
      <w:r w:rsidR="002D1E28">
        <w:t xml:space="preserve">high but </w:t>
      </w:r>
      <w:r w:rsidR="00F24A24" w:rsidRPr="00006F36">
        <w:t>acceptable cost effectiveness</w:t>
      </w:r>
      <w:r w:rsidR="00A234F6" w:rsidRPr="00006F36">
        <w:t xml:space="preserve"> in the recommended</w:t>
      </w:r>
      <w:r w:rsidR="00F24A24" w:rsidRPr="00006F36">
        <w:t xml:space="preserve"> population</w:t>
      </w:r>
      <w:r w:rsidR="00FC3287" w:rsidRPr="00006F36">
        <w:t xml:space="preserve"> </w:t>
      </w:r>
      <w:r w:rsidR="00297B09" w:rsidRPr="00297B09">
        <w:t xml:space="preserve">at the cost per patient </w:t>
      </w:r>
      <w:r w:rsidR="00297B09">
        <w:t xml:space="preserve">per year </w:t>
      </w:r>
      <w:r w:rsidR="00297B09" w:rsidRPr="00297B09">
        <w:t>proposed in the resubmission</w:t>
      </w:r>
      <w:r w:rsidR="00F24A24" w:rsidRPr="00297B09">
        <w:t>.</w:t>
      </w:r>
      <w:r w:rsidR="00F24A24" w:rsidRPr="00006F36">
        <w:t xml:space="preserve"> The PBAC considered the estimated number of patients with Fabry disease who had evidence of organ involvement</w:t>
      </w:r>
      <w:r w:rsidR="00CD789E">
        <w:t>/injury</w:t>
      </w:r>
      <w:r w:rsidR="00F24A24" w:rsidRPr="00006F36">
        <w:t xml:space="preserve"> was likely to be reasonable. </w:t>
      </w:r>
      <w:r w:rsidR="00F24A24" w:rsidRPr="00006F36">
        <w:lastRenderedPageBreak/>
        <w:t>The PBAC acknowledged the importance of treating some patients at an earlier stage of disease but considered the clinical effectiveness and cost-effectiveness of this was unknown, and therefore did not recommend extending the listing to patients with classical Fabry disease without evidence of organ involvement</w:t>
      </w:r>
      <w:r w:rsidR="000B5060">
        <w:t>/injury</w:t>
      </w:r>
      <w:r w:rsidR="00F24A24" w:rsidRPr="00006F36">
        <w:t>.</w:t>
      </w:r>
    </w:p>
    <w:p w14:paraId="58856A10" w14:textId="77777777" w:rsidR="00D12810" w:rsidRDefault="00DF10EC" w:rsidP="00DF10EC">
      <w:pPr>
        <w:pStyle w:val="3-BodyText"/>
      </w:pPr>
      <w:r w:rsidRPr="00006F36">
        <w:t xml:space="preserve">The PBAC noted the </w:t>
      </w:r>
      <w:r w:rsidR="00A234F6" w:rsidRPr="00006F36">
        <w:t xml:space="preserve">strong </w:t>
      </w:r>
      <w:r w:rsidRPr="00006F36">
        <w:t>consumer</w:t>
      </w:r>
      <w:r w:rsidR="00A234F6" w:rsidRPr="00006F36">
        <w:t xml:space="preserve"> support for adding migalastat to the PBS and the importance of continuity of access</w:t>
      </w:r>
      <w:r w:rsidRPr="00006F36">
        <w:t>. The PBAC reiterated the importance of patients with Fabry disease having ongoing access to effective therapies.</w:t>
      </w:r>
    </w:p>
    <w:p w14:paraId="05B81DFA" w14:textId="693CB1FF" w:rsidR="004E394B" w:rsidRPr="004E394B" w:rsidRDefault="004E394B" w:rsidP="004E394B">
      <w:pPr>
        <w:pStyle w:val="3-BodyText"/>
      </w:pPr>
      <w:bookmarkStart w:id="69" w:name="_Ref163045233"/>
      <w:r>
        <w:t>The PBAC considered the restriction criteria should identify patients with Fabry disease and (i) signs/ symptoms suggesting major organ involvement or (ii) evidence of injury to major organs. The PBAC considered it would be appropriate for patients with cerebrovascular disease and severe gastrointestinal symptoms to be eligible for treatment with migalastat. The PBAC advised the following amendments to the restriction criteria recommended in December 2022 would be appropriate:</w:t>
      </w:r>
      <w:bookmarkEnd w:id="69"/>
    </w:p>
    <w:p w14:paraId="4AC9814B" w14:textId="77777777" w:rsidR="00D12810" w:rsidRDefault="004E394B" w:rsidP="004E394B">
      <w:pPr>
        <w:pStyle w:val="ListParagraph"/>
        <w:widowControl w:val="0"/>
        <w:numPr>
          <w:ilvl w:val="0"/>
          <w:numId w:val="34"/>
        </w:numPr>
      </w:pPr>
      <w:r w:rsidRPr="004E394B">
        <w:t>Amend the population criterion ‘Patient must be at least 16 years of age’ to ‘Patient must be at least 12 years of age</w:t>
      </w:r>
      <w:r>
        <w:t>’</w:t>
      </w:r>
      <w:r w:rsidRPr="004E394B">
        <w:t>.</w:t>
      </w:r>
    </w:p>
    <w:p w14:paraId="439F0B4A" w14:textId="77777777" w:rsidR="00D12810" w:rsidRDefault="00F14C86" w:rsidP="00A234F6">
      <w:pPr>
        <w:pStyle w:val="ListParagraph"/>
        <w:widowControl w:val="0"/>
        <w:numPr>
          <w:ilvl w:val="0"/>
          <w:numId w:val="34"/>
        </w:numPr>
      </w:pPr>
      <w:r w:rsidRPr="00006F36">
        <w:t>Amend the clinical criteri</w:t>
      </w:r>
      <w:r w:rsidR="004E394B">
        <w:t>on</w:t>
      </w:r>
      <w:r w:rsidRPr="00006F36">
        <w:t xml:space="preserve"> ‘Patient must have at least one of (i) documented </w:t>
      </w:r>
      <w:r w:rsidRPr="004E394B">
        <w:rPr>
          <w:strike/>
        </w:rPr>
        <w:t xml:space="preserve">specific </w:t>
      </w:r>
      <w:r w:rsidRPr="00006F36">
        <w:t xml:space="preserve">deficiency of alpha- galactosidase enzyme activity in blood </w:t>
      </w:r>
      <w:r w:rsidRPr="00006F36">
        <w:rPr>
          <w:strike/>
        </w:rPr>
        <w:t>or white</w:t>
      </w:r>
      <w:r w:rsidRPr="00006F36">
        <w:t xml:space="preserve"> cells, (ii) presence of genetic mutations known to result in deficiency of alpha-galactosidase enzyme activity’ with deletions as per strikethrough.</w:t>
      </w:r>
    </w:p>
    <w:p w14:paraId="143187E4" w14:textId="2F72010D" w:rsidR="004E394B" w:rsidRPr="004E394B" w:rsidRDefault="004E394B" w:rsidP="004E394B">
      <w:pPr>
        <w:pStyle w:val="ListBullet"/>
        <w:tabs>
          <w:tab w:val="clear" w:pos="360"/>
          <w:tab w:val="num" w:pos="1440"/>
        </w:tabs>
        <w:spacing w:after="120"/>
        <w:ind w:left="1434" w:hanging="357"/>
        <w:contextualSpacing w:val="0"/>
        <w:rPr>
          <w:rFonts w:asciiTheme="minorHAnsi" w:hAnsiTheme="minorHAnsi"/>
          <w:snapToGrid w:val="0"/>
        </w:rPr>
      </w:pPr>
      <w:r w:rsidRPr="004E394B">
        <w:rPr>
          <w:rFonts w:asciiTheme="minorHAnsi" w:hAnsiTheme="minorHAnsi"/>
          <w:snapToGrid w:val="0"/>
        </w:rPr>
        <w:t xml:space="preserve">Add the clinical criterion ‘Patient must have significant Fabry-related gastrointestinal symptoms despite the use of the recommended doses of appropriate pharmacological </w:t>
      </w:r>
      <w:proofErr w:type="gramStart"/>
      <w:r w:rsidRPr="004E394B">
        <w:rPr>
          <w:rFonts w:asciiTheme="minorHAnsi" w:hAnsiTheme="minorHAnsi"/>
          <w:snapToGrid w:val="0"/>
        </w:rPr>
        <w:t>therapies’</w:t>
      </w:r>
      <w:proofErr w:type="gramEnd"/>
      <w:r w:rsidRPr="004E394B">
        <w:rPr>
          <w:rFonts w:asciiTheme="minorHAnsi" w:hAnsiTheme="minorHAnsi"/>
          <w:snapToGrid w:val="0"/>
        </w:rPr>
        <w:t>.</w:t>
      </w:r>
    </w:p>
    <w:p w14:paraId="2FB0D638" w14:textId="6F24D396" w:rsidR="004E394B" w:rsidRDefault="004E394B" w:rsidP="004E394B">
      <w:pPr>
        <w:pStyle w:val="ListParagraph"/>
        <w:widowControl w:val="0"/>
        <w:numPr>
          <w:ilvl w:val="0"/>
          <w:numId w:val="34"/>
        </w:numPr>
      </w:pPr>
      <w:r w:rsidRPr="004E394B">
        <w:t>Amend the clinical criterion ‘Patient must have ischaemic vascular disease as shown on objective testing with no other cause or risk factors identified’ to ‘Patient must have Fabry-related either (i) ischaemic</w:t>
      </w:r>
      <w:r w:rsidR="001B10BF">
        <w:t xml:space="preserve"> disease</w:t>
      </w:r>
      <w:r w:rsidRPr="004E394B">
        <w:t>, (ii) cerebr</w:t>
      </w:r>
      <w:r w:rsidR="001B10BF">
        <w:t>o</w:t>
      </w:r>
      <w:r w:rsidRPr="004E394B">
        <w:t>vascular disease as shown on objective testing with no other cause or risk factors identified’</w:t>
      </w:r>
      <w:r>
        <w:t>.</w:t>
      </w:r>
    </w:p>
    <w:p w14:paraId="3ACC631C" w14:textId="77777777" w:rsidR="00D12810" w:rsidRDefault="004E394B" w:rsidP="00AA44D7">
      <w:pPr>
        <w:pStyle w:val="3-BodyText"/>
      </w:pPr>
      <w:bookmarkStart w:id="70" w:name="_Ref163114960"/>
      <w:r>
        <w:t>The PBAC considered it was appropriate for the grandfathering restriction criteria to allow patients currently receiving LSDP-funded migalastat or enzyme replacement therapy (ERT) to transition to PBS-subsidised migalastat.</w:t>
      </w:r>
      <w:r w:rsidR="0046388F">
        <w:t xml:space="preserve"> The PBAC noted patients currently on LSDP-funded ERT transitioning to migalastat would need to (i) have an amendable mutation (ii) be over 12 years of age and (iii) </w:t>
      </w:r>
      <w:r w:rsidR="0046388F" w:rsidRPr="00297B09">
        <w:t>have/ have had</w:t>
      </w:r>
      <w:r w:rsidR="0046388F">
        <w:t xml:space="preserve"> </w:t>
      </w:r>
      <w:r w:rsidR="0046388F" w:rsidRPr="0046388F">
        <w:t>an estimated glomerular filtration rate (eGFR) of at least 30 mL/min/1.73 m².</w:t>
      </w:r>
      <w:bookmarkEnd w:id="70"/>
      <w:r w:rsidR="00D12810">
        <w:t xml:space="preserve"> </w:t>
      </w:r>
      <w:r w:rsidR="00C44812">
        <w:t xml:space="preserve">The PBAC noted the grandfathering restriction may need to stay in place for longer than the standard timeframe (i.e., </w:t>
      </w:r>
      <w:r w:rsidR="001B10BF">
        <w:t xml:space="preserve">more than </w:t>
      </w:r>
      <w:r w:rsidR="00C44812">
        <w:t xml:space="preserve">12 months), depending on the transition of </w:t>
      </w:r>
      <w:r w:rsidR="001B10BF">
        <w:t xml:space="preserve">other </w:t>
      </w:r>
      <w:r w:rsidR="00C44812">
        <w:t>treatments for Fabry disease to the PBS.</w:t>
      </w:r>
    </w:p>
    <w:p w14:paraId="632A4C2F" w14:textId="77777777" w:rsidR="00D12810" w:rsidRDefault="00DF10EC" w:rsidP="00A234F6">
      <w:pPr>
        <w:pStyle w:val="3-BodyText"/>
      </w:pPr>
      <w:r w:rsidRPr="00006F36">
        <w:t xml:space="preserve">The PBAC </w:t>
      </w:r>
      <w:r w:rsidR="00FC3287" w:rsidRPr="00006F36">
        <w:t xml:space="preserve">considered the proposed place in therapy for migalastat in patients </w:t>
      </w:r>
      <w:r w:rsidR="004E7159" w:rsidRPr="00006F36">
        <w:t xml:space="preserve">over </w:t>
      </w:r>
      <w:r w:rsidR="003C7206" w:rsidRPr="00006F36">
        <w:t>12 </w:t>
      </w:r>
      <w:r w:rsidR="004E7159" w:rsidRPr="00006F36">
        <w:t xml:space="preserve">years of age </w:t>
      </w:r>
      <w:r w:rsidR="00FC3287" w:rsidRPr="00006F36">
        <w:t>with an amenable mutation was appropriate and reiterated its previous recommendation that the requirement for at least 12 months of ERT prior to initiating migalastat could be removed</w:t>
      </w:r>
      <w:r w:rsidR="00006F36">
        <w:t>.</w:t>
      </w:r>
    </w:p>
    <w:p w14:paraId="3333D8E9" w14:textId="77777777" w:rsidR="00D12810" w:rsidRDefault="00411DCC" w:rsidP="00411DCC">
      <w:pPr>
        <w:pStyle w:val="3-BodyText"/>
      </w:pPr>
      <w:r w:rsidRPr="00006F36">
        <w:lastRenderedPageBreak/>
        <w:t>The PBAC noted longer term clinical data for ATTRACT and FACETS were provided in the submission (up to 8.6 years follow up)</w:t>
      </w:r>
      <w:r w:rsidR="00006F36">
        <w:t xml:space="preserve">. </w:t>
      </w:r>
      <w:r w:rsidRPr="00006F36">
        <w:t>The PBAC noted the longer</w:t>
      </w:r>
      <w:r w:rsidR="005B03FD" w:rsidRPr="00006F36">
        <w:noBreakHyphen/>
      </w:r>
      <w:r w:rsidRPr="00006F36">
        <w:t>term data were inconsistent and confounded, but considered there may be some limited evidence that ERT and migalastat have similar outcomes in terms of renal function. However, the PBAC considered that, overall, the claim that migalastat is non-inferior to ERT remain</w:t>
      </w:r>
      <w:r w:rsidR="004E7159" w:rsidRPr="00006F36">
        <w:t>ed</w:t>
      </w:r>
      <w:r w:rsidRPr="00006F36">
        <w:t xml:space="preserve"> insufficient</w:t>
      </w:r>
      <w:r w:rsidR="00006F36">
        <w:t>.</w:t>
      </w:r>
    </w:p>
    <w:p w14:paraId="30AAC1AA" w14:textId="77777777" w:rsidR="00D12810" w:rsidRDefault="00AF01A3" w:rsidP="00AF01A3">
      <w:pPr>
        <w:pStyle w:val="3-BodyText"/>
      </w:pPr>
      <w:r w:rsidRPr="00006F36">
        <w:t xml:space="preserve">The PBAC noted the submission proposed a </w:t>
      </w:r>
      <w:r w:rsidR="00494449" w:rsidRPr="00D12810">
        <w:rPr>
          <w:color w:val="000000"/>
          <w:spacing w:val="6"/>
          <w:w w:val="62"/>
          <w:shd w:val="solid" w:color="000000" w:fill="000000"/>
          <w:fitText w:val="481" w:id="-961870590"/>
          <w14:textFill>
            <w14:solidFill>
              <w14:srgbClr w14:val="000000">
                <w14:alpha w14:val="100000"/>
              </w14:srgbClr>
            </w14:solidFill>
          </w14:textFill>
        </w:rPr>
        <w:t>|||</w:t>
      </w:r>
      <w:r w:rsidR="00D12810" w:rsidRPr="00D12810">
        <w:rPr>
          <w:color w:val="000000"/>
          <w:spacing w:val="6"/>
          <w:w w:val="62"/>
          <w:shd w:val="solid" w:color="000000" w:fill="000000"/>
          <w:fitText w:val="481" w:id="-961870590"/>
          <w14:textFill>
            <w14:solidFill>
              <w14:srgbClr w14:val="000000">
                <w14:alpha w14:val="100000"/>
              </w14:srgbClr>
            </w14:solidFill>
          </w14:textFill>
        </w:rPr>
        <w:t xml:space="preserve"> </w:t>
      </w:r>
      <w:r w:rsidR="00494449" w:rsidRPr="00D12810">
        <w:rPr>
          <w:color w:val="000000"/>
          <w:spacing w:val="6"/>
          <w:w w:val="62"/>
          <w:shd w:val="solid" w:color="000000" w:fill="000000"/>
          <w:fitText w:val="481" w:id="-961870590"/>
          <w14:textFill>
            <w14:solidFill>
              <w14:srgbClr w14:val="000000">
                <w14:alpha w14:val="100000"/>
              </w14:srgbClr>
            </w14:solidFill>
          </w14:textFill>
        </w:rPr>
        <w:t>||</w:t>
      </w:r>
      <w:r w:rsidR="00494449" w:rsidRPr="00D12810">
        <w:rPr>
          <w:color w:val="000000"/>
          <w:spacing w:val="1"/>
          <w:w w:val="62"/>
          <w:shd w:val="solid" w:color="000000" w:fill="000000"/>
          <w:fitText w:val="481" w:id="-961870590"/>
          <w14:textFill>
            <w14:solidFill>
              <w14:srgbClr w14:val="000000">
                <w14:alpha w14:val="100000"/>
              </w14:srgbClr>
            </w14:solidFill>
          </w14:textFill>
        </w:rPr>
        <w:t>|</w:t>
      </w:r>
      <w:r w:rsidRPr="00006F36">
        <w:t>% price reduction to the unit cost of migalastat</w:t>
      </w:r>
      <w:r w:rsidR="000874CD" w:rsidRPr="00006F36">
        <w:t xml:space="preserve"> on the LSDP</w:t>
      </w:r>
      <w:r w:rsidRPr="00006F36">
        <w:t xml:space="preserve"> </w:t>
      </w:r>
      <w:r w:rsidR="004E7159" w:rsidRPr="00006F36">
        <w:t>(ex-manufacturer price (EMP) of $</w:t>
      </w:r>
      <w:r w:rsidR="00494449" w:rsidRPr="00177590">
        <w:rPr>
          <w:color w:val="000000"/>
          <w:w w:val="15"/>
          <w:shd w:val="solid" w:color="000000" w:fill="000000"/>
          <w:fitText w:val="-20" w:id="-961870589"/>
          <w14:textFill>
            <w14:solidFill>
              <w14:srgbClr w14:val="000000">
                <w14:alpha w14:val="100000"/>
              </w14:srgbClr>
            </w14:solidFill>
          </w14:textFill>
        </w:rPr>
        <w:t>|</w:t>
      </w:r>
      <w:r w:rsidR="00D12810" w:rsidRPr="00177590">
        <w:rPr>
          <w:color w:val="000000"/>
          <w:w w:val="15"/>
          <w:shd w:val="solid" w:color="000000" w:fill="000000"/>
          <w:fitText w:val="-20" w:id="-961870589"/>
          <w14:textFill>
            <w14:solidFill>
              <w14:srgbClr w14:val="000000">
                <w14:alpha w14:val="100000"/>
              </w14:srgbClr>
            </w14:solidFill>
          </w14:textFill>
        </w:rPr>
        <w:t xml:space="preserve"> </w:t>
      </w:r>
      <w:r w:rsidR="00494449" w:rsidRPr="00177590">
        <w:rPr>
          <w:color w:val="000000"/>
          <w:spacing w:val="-61"/>
          <w:w w:val="15"/>
          <w:shd w:val="solid" w:color="000000" w:fill="000000"/>
          <w:fitText w:val="-20" w:id="-961870589"/>
          <w14:textFill>
            <w14:solidFill>
              <w14:srgbClr w14:val="000000">
                <w14:alpha w14:val="100000"/>
              </w14:srgbClr>
            </w14:solidFill>
          </w14:textFill>
        </w:rPr>
        <w:t>|</w:t>
      </w:r>
      <w:r w:rsidR="004E7159" w:rsidRPr="00006F36">
        <w:t xml:space="preserve">per pack) </w:t>
      </w:r>
      <w:r w:rsidRPr="00006F36">
        <w:t>which reduced the cost per patient per year from $</w:t>
      </w:r>
      <w:r w:rsidR="00494449" w:rsidRPr="00177590">
        <w:rPr>
          <w:color w:val="000000"/>
          <w:w w:val="15"/>
          <w:shd w:val="solid" w:color="000000" w:fill="000000"/>
          <w:fitText w:val="-20" w:id="-961870588"/>
          <w14:textFill>
            <w14:solidFill>
              <w14:srgbClr w14:val="000000">
                <w14:alpha w14:val="100000"/>
              </w14:srgbClr>
            </w14:solidFill>
          </w14:textFill>
        </w:rPr>
        <w:t>|</w:t>
      </w:r>
      <w:r w:rsidR="00D12810" w:rsidRPr="00177590">
        <w:rPr>
          <w:color w:val="000000"/>
          <w:w w:val="15"/>
          <w:shd w:val="solid" w:color="000000" w:fill="000000"/>
          <w:fitText w:val="-20" w:id="-961870588"/>
          <w14:textFill>
            <w14:solidFill>
              <w14:srgbClr w14:val="000000">
                <w14:alpha w14:val="100000"/>
              </w14:srgbClr>
            </w14:solidFill>
          </w14:textFill>
        </w:rPr>
        <w:t xml:space="preserve"> </w:t>
      </w:r>
      <w:r w:rsidR="00494449" w:rsidRPr="00177590">
        <w:rPr>
          <w:color w:val="000000"/>
          <w:spacing w:val="-61"/>
          <w:w w:val="15"/>
          <w:shd w:val="solid" w:color="000000" w:fill="000000"/>
          <w:fitText w:val="-20" w:id="-961870588"/>
          <w14:textFill>
            <w14:solidFill>
              <w14:srgbClr w14:val="000000">
                <w14:alpha w14:val="100000"/>
              </w14:srgbClr>
            </w14:solidFill>
          </w14:textFill>
        </w:rPr>
        <w:t>|</w:t>
      </w:r>
      <w:r w:rsidRPr="00006F36">
        <w:t xml:space="preserve"> to $</w:t>
      </w:r>
      <w:r w:rsidR="00494449" w:rsidRPr="00177590">
        <w:rPr>
          <w:color w:val="000000"/>
          <w:w w:val="15"/>
          <w:shd w:val="solid" w:color="000000" w:fill="000000"/>
          <w:fitText w:val="-20" w:id="-961870587"/>
          <w14:textFill>
            <w14:solidFill>
              <w14:srgbClr w14:val="000000">
                <w14:alpha w14:val="100000"/>
              </w14:srgbClr>
            </w14:solidFill>
          </w14:textFill>
        </w:rPr>
        <w:t>|</w:t>
      </w:r>
      <w:r w:rsidR="00D12810" w:rsidRPr="00177590">
        <w:rPr>
          <w:color w:val="000000"/>
          <w:w w:val="15"/>
          <w:shd w:val="solid" w:color="000000" w:fill="000000"/>
          <w:fitText w:val="-20" w:id="-961870587"/>
          <w14:textFill>
            <w14:solidFill>
              <w14:srgbClr w14:val="000000">
                <w14:alpha w14:val="100000"/>
              </w14:srgbClr>
            </w14:solidFill>
          </w14:textFill>
        </w:rPr>
        <w:t xml:space="preserve"> </w:t>
      </w:r>
      <w:r w:rsidR="00494449" w:rsidRPr="00177590">
        <w:rPr>
          <w:color w:val="000000"/>
          <w:spacing w:val="-61"/>
          <w:w w:val="15"/>
          <w:shd w:val="solid" w:color="000000" w:fill="000000"/>
          <w:fitText w:val="-20" w:id="-961870587"/>
          <w14:textFill>
            <w14:solidFill>
              <w14:srgbClr w14:val="000000">
                <w14:alpha w14:val="100000"/>
              </w14:srgbClr>
            </w14:solidFill>
          </w14:textFill>
        </w:rPr>
        <w:t>|</w:t>
      </w:r>
      <w:r w:rsidRPr="00006F36">
        <w:t>assuming 13.04 packs per year. The PBAC noted the financial estimates</w:t>
      </w:r>
      <w:r w:rsidR="00BB707F">
        <w:t xml:space="preserve"> were based on </w:t>
      </w:r>
      <w:r w:rsidRPr="00006F36">
        <w:t>a cost per patient per year of $</w:t>
      </w:r>
      <w:r w:rsidR="00494449" w:rsidRPr="00177590">
        <w:rPr>
          <w:color w:val="000000"/>
          <w:w w:val="15"/>
          <w:shd w:val="solid" w:color="000000" w:fill="000000"/>
          <w:fitText w:val="-20" w:id="-961870586"/>
          <w14:textFill>
            <w14:solidFill>
              <w14:srgbClr w14:val="000000">
                <w14:alpha w14:val="100000"/>
              </w14:srgbClr>
            </w14:solidFill>
          </w14:textFill>
        </w:rPr>
        <w:t>|</w:t>
      </w:r>
      <w:r w:rsidR="00D12810" w:rsidRPr="00177590">
        <w:rPr>
          <w:color w:val="000000"/>
          <w:w w:val="15"/>
          <w:shd w:val="solid" w:color="000000" w:fill="000000"/>
          <w:fitText w:val="-20" w:id="-961870586"/>
          <w14:textFill>
            <w14:solidFill>
              <w14:srgbClr w14:val="000000">
                <w14:alpha w14:val="100000"/>
              </w14:srgbClr>
            </w14:solidFill>
          </w14:textFill>
        </w:rPr>
        <w:t xml:space="preserve"> </w:t>
      </w:r>
      <w:r w:rsidR="00494449" w:rsidRPr="00177590">
        <w:rPr>
          <w:color w:val="000000"/>
          <w:spacing w:val="-61"/>
          <w:w w:val="15"/>
          <w:shd w:val="solid" w:color="000000" w:fill="000000"/>
          <w:fitText w:val="-20" w:id="-961870586"/>
          <w14:textFill>
            <w14:solidFill>
              <w14:srgbClr w14:val="000000">
                <w14:alpha w14:val="100000"/>
              </w14:srgbClr>
            </w14:solidFill>
          </w14:textFill>
        </w:rPr>
        <w:t>|</w:t>
      </w:r>
      <w:r w:rsidRPr="00006F36">
        <w:t>assuming 12</w:t>
      </w:r>
      <w:r w:rsidR="00033F32">
        <w:t> </w:t>
      </w:r>
      <w:r w:rsidRPr="00006F36">
        <w:t>packs per year</w:t>
      </w:r>
      <w:r w:rsidR="00006F36">
        <w:t>.</w:t>
      </w:r>
    </w:p>
    <w:p w14:paraId="786B60DF" w14:textId="67152148" w:rsidR="00D12810" w:rsidRDefault="00DF10EC" w:rsidP="00DF10EC">
      <w:pPr>
        <w:pStyle w:val="3-BodyText"/>
      </w:pPr>
      <w:bookmarkStart w:id="71" w:name="_Ref162510042"/>
      <w:r w:rsidRPr="00006F36">
        <w:t xml:space="preserve">The PBAC noted the </w:t>
      </w:r>
      <w:r w:rsidR="003C7206" w:rsidRPr="00006F36">
        <w:t xml:space="preserve">proposed </w:t>
      </w:r>
      <w:r w:rsidRPr="00006F36">
        <w:t>cost of migalastat was higher than recommended in December 2022 but considered that, on balance, noting the high clinical need for</w:t>
      </w:r>
      <w:r w:rsidR="00E67FCC">
        <w:t xml:space="preserve"> ongoing access to</w:t>
      </w:r>
      <w:r w:rsidRPr="00006F36">
        <w:t xml:space="preserve"> funded treatments for Fabry disease, migalastat was likely to be of </w:t>
      </w:r>
      <w:r w:rsidR="002D1E28">
        <w:t xml:space="preserve">high but </w:t>
      </w:r>
      <w:r w:rsidRPr="00006F36">
        <w:t>acceptable cost effectiveness for th</w:t>
      </w:r>
      <w:r w:rsidR="001518CE" w:rsidRPr="00006F36">
        <w:t xml:space="preserve">e population of patients with evidence of </w:t>
      </w:r>
      <w:r w:rsidR="00FB1863">
        <w:t>organ involvement/injury</w:t>
      </w:r>
      <w:r w:rsidR="00FC3287" w:rsidRPr="00006F36">
        <w:t xml:space="preserve"> with </w:t>
      </w:r>
      <w:r w:rsidR="00D55AFD" w:rsidRPr="00006F36">
        <w:t xml:space="preserve">a </w:t>
      </w:r>
      <w:r w:rsidR="00FC3287" w:rsidRPr="00006F36">
        <w:t>cost per patient</w:t>
      </w:r>
      <w:r w:rsidR="00060569">
        <w:t xml:space="preserve"> </w:t>
      </w:r>
      <w:r w:rsidR="00297B09">
        <w:t>per year of $</w:t>
      </w:r>
      <w:r w:rsidR="00494449" w:rsidRPr="00177590">
        <w:rPr>
          <w:color w:val="000000"/>
          <w:w w:val="15"/>
          <w:shd w:val="solid" w:color="000000" w:fill="000000"/>
          <w:fitText w:val="-20" w:id="-961870585"/>
          <w14:textFill>
            <w14:solidFill>
              <w14:srgbClr w14:val="000000">
                <w14:alpha w14:val="100000"/>
              </w14:srgbClr>
            </w14:solidFill>
          </w14:textFill>
        </w:rPr>
        <w:t>|</w:t>
      </w:r>
      <w:r w:rsidR="00D12810" w:rsidRPr="00177590">
        <w:rPr>
          <w:color w:val="000000"/>
          <w:w w:val="15"/>
          <w:shd w:val="solid" w:color="000000" w:fill="000000"/>
          <w:fitText w:val="-20" w:id="-961870585"/>
          <w14:textFill>
            <w14:solidFill>
              <w14:srgbClr w14:val="000000">
                <w14:alpha w14:val="100000"/>
              </w14:srgbClr>
            </w14:solidFill>
          </w14:textFill>
        </w:rPr>
        <w:t xml:space="preserve"> </w:t>
      </w:r>
      <w:r w:rsidR="00494449" w:rsidRPr="00177590">
        <w:rPr>
          <w:color w:val="000000"/>
          <w:spacing w:val="-61"/>
          <w:w w:val="15"/>
          <w:shd w:val="solid" w:color="000000" w:fill="000000"/>
          <w:fitText w:val="-20" w:id="-961870585"/>
          <w14:textFill>
            <w14:solidFill>
              <w14:srgbClr w14:val="000000">
                <w14:alpha w14:val="100000"/>
              </w14:srgbClr>
            </w14:solidFill>
          </w14:textFill>
        </w:rPr>
        <w:t>|</w:t>
      </w:r>
      <w:r w:rsidR="00297B09">
        <w:t>as proposed in the financial estimates</w:t>
      </w:r>
      <w:r w:rsidRPr="00006F36">
        <w:t>.</w:t>
      </w:r>
      <w:bookmarkEnd w:id="71"/>
    </w:p>
    <w:p w14:paraId="11ADE690" w14:textId="77777777" w:rsidR="00D12810" w:rsidRDefault="00D55AFD" w:rsidP="00947AB2">
      <w:pPr>
        <w:widowControl w:val="0"/>
        <w:numPr>
          <w:ilvl w:val="1"/>
          <w:numId w:val="1"/>
        </w:numPr>
        <w:spacing w:after="120"/>
        <w:rPr>
          <w:rFonts w:asciiTheme="minorHAnsi" w:hAnsiTheme="minorHAnsi"/>
          <w:bCs/>
          <w:snapToGrid w:val="0"/>
        </w:rPr>
      </w:pPr>
      <w:bookmarkStart w:id="72" w:name="_Ref162522968"/>
      <w:bookmarkEnd w:id="68"/>
      <w:r w:rsidRPr="00006F36">
        <w:rPr>
          <w:rFonts w:asciiTheme="minorHAnsi" w:hAnsiTheme="minorHAnsi"/>
          <w:bCs/>
          <w:snapToGrid w:val="0"/>
        </w:rPr>
        <w:t xml:space="preserve">The PBAC advised the number of eligible patients with </w:t>
      </w:r>
      <w:r w:rsidR="002D1E28">
        <w:rPr>
          <w:rFonts w:asciiTheme="minorHAnsi" w:hAnsiTheme="minorHAnsi"/>
          <w:bCs/>
          <w:snapToGrid w:val="0"/>
        </w:rPr>
        <w:t xml:space="preserve">evidence of </w:t>
      </w:r>
      <w:r w:rsidR="00FB1863">
        <w:rPr>
          <w:rFonts w:asciiTheme="minorHAnsi" w:hAnsiTheme="minorHAnsi"/>
          <w:bCs/>
          <w:snapToGrid w:val="0"/>
        </w:rPr>
        <w:t>organ involvement/injury</w:t>
      </w:r>
      <w:r w:rsidR="002D1E28">
        <w:rPr>
          <w:rFonts w:asciiTheme="minorHAnsi" w:hAnsiTheme="minorHAnsi"/>
          <w:bCs/>
          <w:snapToGrid w:val="0"/>
        </w:rPr>
        <w:t xml:space="preserve"> </w:t>
      </w:r>
      <w:r w:rsidRPr="00006F36">
        <w:rPr>
          <w:rFonts w:asciiTheme="minorHAnsi" w:hAnsiTheme="minorHAnsi"/>
          <w:bCs/>
          <w:snapToGrid w:val="0"/>
        </w:rPr>
        <w:t xml:space="preserve">that would be treated with migalastat on the PBS was high but reasonable </w:t>
      </w:r>
      <w:r w:rsidRPr="00153F33">
        <w:rPr>
          <w:rFonts w:asciiTheme="minorHAnsi" w:hAnsiTheme="minorHAnsi"/>
          <w:bCs/>
          <w:snapToGrid w:val="0"/>
        </w:rPr>
        <w:t>(</w:t>
      </w:r>
      <w:r w:rsidR="00153F33" w:rsidRPr="00153F33">
        <w:rPr>
          <w:rFonts w:asciiTheme="minorHAnsi" w:hAnsiTheme="minorHAnsi"/>
          <w:bCs/>
          <w:snapToGrid w:val="0"/>
        </w:rPr>
        <w:t>&lt; 500</w:t>
      </w:r>
      <w:r w:rsidRPr="00006F36">
        <w:rPr>
          <w:rFonts w:asciiTheme="minorHAnsi" w:hAnsiTheme="minorHAnsi"/>
          <w:bCs/>
          <w:snapToGrid w:val="0"/>
        </w:rPr>
        <w:t xml:space="preserve"> in Year 1, increasing to </w:t>
      </w:r>
      <w:r w:rsidR="00153F33" w:rsidRPr="00153F33">
        <w:rPr>
          <w:rFonts w:asciiTheme="minorHAnsi" w:hAnsiTheme="minorHAnsi"/>
          <w:bCs/>
          <w:snapToGrid w:val="0"/>
        </w:rPr>
        <w:t>&lt; 500</w:t>
      </w:r>
      <w:r w:rsidRPr="00006F36">
        <w:rPr>
          <w:rFonts w:asciiTheme="minorHAnsi" w:hAnsiTheme="minorHAnsi"/>
          <w:bCs/>
          <w:snapToGrid w:val="0"/>
        </w:rPr>
        <w:t xml:space="preserve"> in Year 6, see </w:t>
      </w:r>
      <w:r w:rsidRPr="00006F36">
        <w:rPr>
          <w:rFonts w:asciiTheme="minorHAnsi" w:hAnsiTheme="minorHAnsi"/>
          <w:bCs/>
          <w:snapToGrid w:val="0"/>
        </w:rPr>
        <w:fldChar w:fldCharType="begin" w:fldLock="1"/>
      </w:r>
      <w:r w:rsidRPr="00006F36">
        <w:rPr>
          <w:rFonts w:asciiTheme="minorHAnsi" w:hAnsiTheme="minorHAnsi"/>
          <w:bCs/>
          <w:snapToGrid w:val="0"/>
        </w:rPr>
        <w:instrText xml:space="preserve"> REF _Ref152009290 \h  \* MERGEFORMAT </w:instrText>
      </w:r>
      <w:r w:rsidRPr="00006F36">
        <w:rPr>
          <w:rFonts w:asciiTheme="minorHAnsi" w:hAnsiTheme="minorHAnsi"/>
          <w:bCs/>
          <w:snapToGrid w:val="0"/>
        </w:rPr>
      </w:r>
      <w:r w:rsidRPr="00006F36">
        <w:rPr>
          <w:rFonts w:asciiTheme="minorHAnsi" w:hAnsiTheme="minorHAnsi"/>
          <w:bCs/>
          <w:snapToGrid w:val="0"/>
        </w:rPr>
        <w:fldChar w:fldCharType="separate"/>
      </w:r>
      <w:r w:rsidR="00F42C5D" w:rsidRPr="00006F36">
        <w:t xml:space="preserve">Table </w:t>
      </w:r>
      <w:r w:rsidR="00F42C5D">
        <w:t>11</w:t>
      </w:r>
      <w:r w:rsidRPr="00006F36">
        <w:rPr>
          <w:rFonts w:asciiTheme="minorHAnsi" w:hAnsiTheme="minorHAnsi"/>
          <w:bCs/>
          <w:snapToGrid w:val="0"/>
        </w:rPr>
        <w:fldChar w:fldCharType="end"/>
      </w:r>
      <w:r w:rsidRPr="00006F36">
        <w:rPr>
          <w:rFonts w:asciiTheme="minorHAnsi" w:hAnsiTheme="minorHAnsi"/>
          <w:bCs/>
          <w:snapToGrid w:val="0"/>
        </w:rPr>
        <w:t xml:space="preserve">). </w:t>
      </w:r>
      <w:r w:rsidR="00B665E6">
        <w:rPr>
          <w:rFonts w:asciiTheme="minorHAnsi" w:hAnsiTheme="minorHAnsi"/>
          <w:bCs/>
          <w:snapToGrid w:val="0"/>
        </w:rPr>
        <w:t>The PBAC considered the</w:t>
      </w:r>
      <w:r w:rsidR="00297B09">
        <w:rPr>
          <w:rFonts w:asciiTheme="minorHAnsi" w:hAnsiTheme="minorHAnsi"/>
          <w:bCs/>
          <w:snapToGrid w:val="0"/>
        </w:rPr>
        <w:t xml:space="preserve"> </w:t>
      </w:r>
      <w:r w:rsidR="00EC69F1">
        <w:rPr>
          <w:rFonts w:asciiTheme="minorHAnsi" w:hAnsiTheme="minorHAnsi"/>
          <w:bCs/>
          <w:snapToGrid w:val="0"/>
        </w:rPr>
        <w:t xml:space="preserve">estimated number of treated patients accounted for the </w:t>
      </w:r>
      <w:r w:rsidR="00297B09">
        <w:rPr>
          <w:rFonts w:asciiTheme="minorHAnsi" w:hAnsiTheme="minorHAnsi"/>
          <w:bCs/>
          <w:snapToGrid w:val="0"/>
        </w:rPr>
        <w:t>addition of criteria to allow</w:t>
      </w:r>
      <w:r w:rsidR="00B665E6">
        <w:rPr>
          <w:rFonts w:asciiTheme="minorHAnsi" w:hAnsiTheme="minorHAnsi"/>
          <w:bCs/>
          <w:snapToGrid w:val="0"/>
        </w:rPr>
        <w:t xml:space="preserve"> </w:t>
      </w:r>
      <w:r w:rsidR="00297B09">
        <w:rPr>
          <w:rFonts w:asciiTheme="minorHAnsi" w:hAnsiTheme="minorHAnsi"/>
          <w:bCs/>
          <w:snapToGrid w:val="0"/>
        </w:rPr>
        <w:t xml:space="preserve">(i) patients with </w:t>
      </w:r>
      <w:r w:rsidR="00EC69F1">
        <w:rPr>
          <w:rFonts w:asciiTheme="minorHAnsi" w:hAnsiTheme="minorHAnsi"/>
          <w:bCs/>
          <w:snapToGrid w:val="0"/>
        </w:rPr>
        <w:t xml:space="preserve">significant </w:t>
      </w:r>
      <w:r w:rsidR="00B665E6">
        <w:rPr>
          <w:rFonts w:asciiTheme="minorHAnsi" w:hAnsiTheme="minorHAnsi"/>
          <w:bCs/>
          <w:snapToGrid w:val="0"/>
        </w:rPr>
        <w:t xml:space="preserve">gastrointestinal </w:t>
      </w:r>
      <w:r w:rsidR="00EC69F1">
        <w:rPr>
          <w:rFonts w:asciiTheme="minorHAnsi" w:hAnsiTheme="minorHAnsi"/>
          <w:bCs/>
          <w:snapToGrid w:val="0"/>
        </w:rPr>
        <w:t xml:space="preserve">symptoms </w:t>
      </w:r>
      <w:r w:rsidR="00B665E6">
        <w:rPr>
          <w:rFonts w:asciiTheme="minorHAnsi" w:hAnsiTheme="minorHAnsi"/>
          <w:bCs/>
          <w:snapToGrid w:val="0"/>
        </w:rPr>
        <w:t xml:space="preserve">and cerebrovascular disease </w:t>
      </w:r>
      <w:r w:rsidR="00297B09">
        <w:rPr>
          <w:rFonts w:asciiTheme="minorHAnsi" w:hAnsiTheme="minorHAnsi"/>
          <w:bCs/>
          <w:snapToGrid w:val="0"/>
        </w:rPr>
        <w:t xml:space="preserve">to access treatment with migalastat </w:t>
      </w:r>
      <w:r w:rsidR="00B665E6">
        <w:rPr>
          <w:rFonts w:asciiTheme="minorHAnsi" w:hAnsiTheme="minorHAnsi"/>
          <w:bCs/>
          <w:snapToGrid w:val="0"/>
        </w:rPr>
        <w:t xml:space="preserve">(as discussed in paragraph </w:t>
      </w:r>
      <w:r w:rsidR="00B665E6">
        <w:rPr>
          <w:rFonts w:asciiTheme="minorHAnsi" w:hAnsiTheme="minorHAnsi"/>
          <w:bCs/>
          <w:snapToGrid w:val="0"/>
        </w:rPr>
        <w:fldChar w:fldCharType="begin" w:fldLock="1"/>
      </w:r>
      <w:r w:rsidR="00B665E6">
        <w:rPr>
          <w:rFonts w:asciiTheme="minorHAnsi" w:hAnsiTheme="minorHAnsi"/>
          <w:bCs/>
          <w:snapToGrid w:val="0"/>
        </w:rPr>
        <w:instrText xml:space="preserve"> REF _Ref163045233 \r \h </w:instrText>
      </w:r>
      <w:r w:rsidR="00B665E6">
        <w:rPr>
          <w:rFonts w:asciiTheme="minorHAnsi" w:hAnsiTheme="minorHAnsi"/>
          <w:bCs/>
          <w:snapToGrid w:val="0"/>
        </w:rPr>
      </w:r>
      <w:r w:rsidR="00B665E6">
        <w:rPr>
          <w:rFonts w:asciiTheme="minorHAnsi" w:hAnsiTheme="minorHAnsi"/>
          <w:bCs/>
          <w:snapToGrid w:val="0"/>
        </w:rPr>
        <w:fldChar w:fldCharType="separate"/>
      </w:r>
      <w:r w:rsidR="00F42C5D">
        <w:rPr>
          <w:rFonts w:asciiTheme="minorHAnsi" w:hAnsiTheme="minorHAnsi"/>
          <w:bCs/>
          <w:snapToGrid w:val="0"/>
        </w:rPr>
        <w:t>7.3</w:t>
      </w:r>
      <w:r w:rsidR="00B665E6">
        <w:rPr>
          <w:rFonts w:asciiTheme="minorHAnsi" w:hAnsiTheme="minorHAnsi"/>
          <w:bCs/>
          <w:snapToGrid w:val="0"/>
        </w:rPr>
        <w:fldChar w:fldCharType="end"/>
      </w:r>
      <w:r w:rsidR="00B665E6">
        <w:rPr>
          <w:rFonts w:asciiTheme="minorHAnsi" w:hAnsiTheme="minorHAnsi"/>
          <w:bCs/>
          <w:snapToGrid w:val="0"/>
        </w:rPr>
        <w:t xml:space="preserve">) </w:t>
      </w:r>
      <w:r w:rsidR="00297B09">
        <w:rPr>
          <w:rFonts w:asciiTheme="minorHAnsi" w:hAnsiTheme="minorHAnsi"/>
          <w:bCs/>
          <w:snapToGrid w:val="0"/>
        </w:rPr>
        <w:t xml:space="preserve">and (ii) eligible ERT patients to transition to PBS-subsidised migalastat </w:t>
      </w:r>
      <w:r w:rsidR="00B20FE1">
        <w:rPr>
          <w:rFonts w:asciiTheme="minorHAnsi" w:hAnsiTheme="minorHAnsi"/>
          <w:bCs/>
          <w:snapToGrid w:val="0"/>
        </w:rPr>
        <w:t xml:space="preserve">(as discussed in paragraph </w:t>
      </w:r>
      <w:r w:rsidR="00B20FE1">
        <w:rPr>
          <w:rFonts w:asciiTheme="minorHAnsi" w:hAnsiTheme="minorHAnsi"/>
          <w:bCs/>
          <w:snapToGrid w:val="0"/>
        </w:rPr>
        <w:fldChar w:fldCharType="begin" w:fldLock="1"/>
      </w:r>
      <w:r w:rsidR="00B20FE1">
        <w:rPr>
          <w:rFonts w:asciiTheme="minorHAnsi" w:hAnsiTheme="minorHAnsi"/>
          <w:bCs/>
          <w:snapToGrid w:val="0"/>
        </w:rPr>
        <w:instrText xml:space="preserve"> REF _Ref163114960 \r \h </w:instrText>
      </w:r>
      <w:r w:rsidR="00B20FE1">
        <w:rPr>
          <w:rFonts w:asciiTheme="minorHAnsi" w:hAnsiTheme="minorHAnsi"/>
          <w:bCs/>
          <w:snapToGrid w:val="0"/>
        </w:rPr>
      </w:r>
      <w:r w:rsidR="00B20FE1">
        <w:rPr>
          <w:rFonts w:asciiTheme="minorHAnsi" w:hAnsiTheme="minorHAnsi"/>
          <w:bCs/>
          <w:snapToGrid w:val="0"/>
        </w:rPr>
        <w:fldChar w:fldCharType="separate"/>
      </w:r>
      <w:r w:rsidR="00F42C5D">
        <w:rPr>
          <w:rFonts w:asciiTheme="minorHAnsi" w:hAnsiTheme="minorHAnsi"/>
          <w:bCs/>
          <w:snapToGrid w:val="0"/>
        </w:rPr>
        <w:t>7.4</w:t>
      </w:r>
      <w:r w:rsidR="00B20FE1">
        <w:rPr>
          <w:rFonts w:asciiTheme="minorHAnsi" w:hAnsiTheme="minorHAnsi"/>
          <w:bCs/>
          <w:snapToGrid w:val="0"/>
        </w:rPr>
        <w:fldChar w:fldCharType="end"/>
      </w:r>
      <w:r w:rsidR="00B20FE1">
        <w:rPr>
          <w:rFonts w:asciiTheme="minorHAnsi" w:hAnsiTheme="minorHAnsi"/>
          <w:bCs/>
          <w:snapToGrid w:val="0"/>
        </w:rPr>
        <w:t>)</w:t>
      </w:r>
      <w:r w:rsidR="00B665E6" w:rsidRPr="00C935D4">
        <w:rPr>
          <w:rFonts w:asciiTheme="minorHAnsi" w:hAnsiTheme="minorHAnsi"/>
          <w:bCs/>
          <w:snapToGrid w:val="0"/>
        </w:rPr>
        <w:t>.</w:t>
      </w:r>
      <w:bookmarkEnd w:id="72"/>
    </w:p>
    <w:p w14:paraId="6E018994" w14:textId="77777777" w:rsidR="00D12810" w:rsidRDefault="006F0E88" w:rsidP="00947AB2">
      <w:pPr>
        <w:widowControl w:val="0"/>
        <w:numPr>
          <w:ilvl w:val="1"/>
          <w:numId w:val="1"/>
        </w:numPr>
        <w:spacing w:after="120"/>
        <w:rPr>
          <w:rFonts w:asciiTheme="minorHAnsi" w:hAnsiTheme="minorHAnsi"/>
          <w:bCs/>
          <w:snapToGrid w:val="0"/>
        </w:rPr>
      </w:pPr>
      <w:r w:rsidRPr="00006F36">
        <w:rPr>
          <w:rFonts w:asciiTheme="minorHAnsi" w:hAnsiTheme="minorHAnsi"/>
          <w:bCs/>
          <w:snapToGrid w:val="0"/>
        </w:rPr>
        <w:t xml:space="preserve">The PBAC considered </w:t>
      </w:r>
      <w:r w:rsidR="002D1E28">
        <w:rPr>
          <w:rFonts w:asciiTheme="minorHAnsi" w:hAnsiTheme="minorHAnsi"/>
          <w:bCs/>
          <w:snapToGrid w:val="0"/>
        </w:rPr>
        <w:t xml:space="preserve">a </w:t>
      </w:r>
      <w:r w:rsidRPr="00006F36">
        <w:rPr>
          <w:rFonts w:asciiTheme="minorHAnsi" w:hAnsiTheme="minorHAnsi"/>
          <w:bCs/>
          <w:snapToGrid w:val="0"/>
        </w:rPr>
        <w:t xml:space="preserve">risk sharing arrangement </w:t>
      </w:r>
      <w:r w:rsidR="002D1E28">
        <w:rPr>
          <w:rFonts w:asciiTheme="minorHAnsi" w:hAnsiTheme="minorHAnsi"/>
          <w:bCs/>
          <w:snapToGrid w:val="0"/>
        </w:rPr>
        <w:t xml:space="preserve">with expenditure caps defined by the revised financial estimates (as outlined in paragraph </w:t>
      </w:r>
      <w:r w:rsidR="002D1E28">
        <w:rPr>
          <w:rFonts w:asciiTheme="minorHAnsi" w:hAnsiTheme="minorHAnsi"/>
          <w:bCs/>
          <w:snapToGrid w:val="0"/>
        </w:rPr>
        <w:fldChar w:fldCharType="begin" w:fldLock="1"/>
      </w:r>
      <w:r w:rsidR="002D1E28">
        <w:rPr>
          <w:rFonts w:asciiTheme="minorHAnsi" w:hAnsiTheme="minorHAnsi"/>
          <w:bCs/>
          <w:snapToGrid w:val="0"/>
        </w:rPr>
        <w:instrText xml:space="preserve"> REF _Ref162522968 \r \h </w:instrText>
      </w:r>
      <w:r w:rsidR="002D1E28">
        <w:rPr>
          <w:rFonts w:asciiTheme="minorHAnsi" w:hAnsiTheme="minorHAnsi"/>
          <w:bCs/>
          <w:snapToGrid w:val="0"/>
        </w:rPr>
      </w:r>
      <w:r w:rsidR="002D1E28">
        <w:rPr>
          <w:rFonts w:asciiTheme="minorHAnsi" w:hAnsiTheme="minorHAnsi"/>
          <w:bCs/>
          <w:snapToGrid w:val="0"/>
        </w:rPr>
        <w:fldChar w:fldCharType="separate"/>
      </w:r>
      <w:r w:rsidR="00F42C5D">
        <w:rPr>
          <w:rFonts w:asciiTheme="minorHAnsi" w:hAnsiTheme="minorHAnsi"/>
          <w:bCs/>
          <w:snapToGrid w:val="0"/>
        </w:rPr>
        <w:t>7.9</w:t>
      </w:r>
      <w:r w:rsidR="002D1E28">
        <w:rPr>
          <w:rFonts w:asciiTheme="minorHAnsi" w:hAnsiTheme="minorHAnsi"/>
          <w:bCs/>
          <w:snapToGrid w:val="0"/>
        </w:rPr>
        <w:fldChar w:fldCharType="end"/>
      </w:r>
      <w:r w:rsidR="002D1E28">
        <w:rPr>
          <w:rFonts w:asciiTheme="minorHAnsi" w:hAnsiTheme="minorHAnsi"/>
          <w:bCs/>
          <w:snapToGrid w:val="0"/>
        </w:rPr>
        <w:t xml:space="preserve">) </w:t>
      </w:r>
      <w:r w:rsidRPr="00006F36">
        <w:rPr>
          <w:rFonts w:asciiTheme="minorHAnsi" w:hAnsiTheme="minorHAnsi"/>
          <w:bCs/>
          <w:snapToGrid w:val="0"/>
        </w:rPr>
        <w:t xml:space="preserve">with a </w:t>
      </w:r>
      <w:r w:rsidR="002D1E28">
        <w:rPr>
          <w:rFonts w:asciiTheme="minorHAnsi" w:hAnsiTheme="minorHAnsi"/>
          <w:bCs/>
          <w:snapToGrid w:val="0"/>
        </w:rPr>
        <w:t>10</w:t>
      </w:r>
      <w:r w:rsidRPr="00006F36">
        <w:rPr>
          <w:rFonts w:asciiTheme="minorHAnsi" w:hAnsiTheme="minorHAnsi"/>
          <w:bCs/>
          <w:snapToGrid w:val="0"/>
        </w:rPr>
        <w:t xml:space="preserve">0% rebate </w:t>
      </w:r>
      <w:r w:rsidR="00E67FCC">
        <w:rPr>
          <w:rFonts w:asciiTheme="minorHAnsi" w:hAnsiTheme="minorHAnsi"/>
          <w:bCs/>
          <w:snapToGrid w:val="0"/>
        </w:rPr>
        <w:t xml:space="preserve">for any cost </w:t>
      </w:r>
      <w:r w:rsidRPr="00006F36">
        <w:rPr>
          <w:rFonts w:asciiTheme="minorHAnsi" w:hAnsiTheme="minorHAnsi"/>
          <w:bCs/>
          <w:snapToGrid w:val="0"/>
        </w:rPr>
        <w:t xml:space="preserve">over </w:t>
      </w:r>
      <w:r w:rsidR="00E67FCC">
        <w:rPr>
          <w:rFonts w:asciiTheme="minorHAnsi" w:hAnsiTheme="minorHAnsi"/>
          <w:bCs/>
          <w:snapToGrid w:val="0"/>
        </w:rPr>
        <w:t xml:space="preserve">the </w:t>
      </w:r>
      <w:r w:rsidRPr="00006F36">
        <w:rPr>
          <w:rFonts w:asciiTheme="minorHAnsi" w:hAnsiTheme="minorHAnsi"/>
          <w:bCs/>
          <w:snapToGrid w:val="0"/>
        </w:rPr>
        <w:t xml:space="preserve">expenditure caps </w:t>
      </w:r>
      <w:r w:rsidR="002D1E28">
        <w:rPr>
          <w:rFonts w:asciiTheme="minorHAnsi" w:hAnsiTheme="minorHAnsi"/>
          <w:bCs/>
          <w:snapToGrid w:val="0"/>
        </w:rPr>
        <w:t xml:space="preserve">would </w:t>
      </w:r>
      <w:r w:rsidRPr="00006F36">
        <w:rPr>
          <w:rFonts w:asciiTheme="minorHAnsi" w:hAnsiTheme="minorHAnsi"/>
          <w:bCs/>
          <w:snapToGrid w:val="0"/>
        </w:rPr>
        <w:t>appropriately manage</w:t>
      </w:r>
      <w:r w:rsidR="002D1E28">
        <w:rPr>
          <w:rFonts w:asciiTheme="minorHAnsi" w:hAnsiTheme="minorHAnsi"/>
          <w:bCs/>
          <w:snapToGrid w:val="0"/>
        </w:rPr>
        <w:t xml:space="preserve"> </w:t>
      </w:r>
      <w:r w:rsidRPr="00006F36">
        <w:rPr>
          <w:rFonts w:asciiTheme="minorHAnsi" w:hAnsiTheme="minorHAnsi"/>
          <w:bCs/>
          <w:snapToGrid w:val="0"/>
        </w:rPr>
        <w:t xml:space="preserve">the risk of use outside the </w:t>
      </w:r>
      <w:r w:rsidR="00E67FCC">
        <w:rPr>
          <w:rFonts w:asciiTheme="minorHAnsi" w:hAnsiTheme="minorHAnsi"/>
          <w:bCs/>
          <w:snapToGrid w:val="0"/>
        </w:rPr>
        <w:t xml:space="preserve">restriction </w:t>
      </w:r>
      <w:r w:rsidRPr="00006F36">
        <w:rPr>
          <w:rFonts w:asciiTheme="minorHAnsi" w:hAnsiTheme="minorHAnsi"/>
          <w:bCs/>
          <w:snapToGrid w:val="0"/>
        </w:rPr>
        <w:t>criteria.</w:t>
      </w:r>
    </w:p>
    <w:p w14:paraId="68A79E56" w14:textId="77777777" w:rsidR="00D12810" w:rsidRDefault="006F0E88" w:rsidP="006F0E88">
      <w:pPr>
        <w:pStyle w:val="3-BodyText"/>
        <w:rPr>
          <w:bCs/>
        </w:rPr>
      </w:pPr>
      <w:r w:rsidRPr="00006F36">
        <w:rPr>
          <w:bCs/>
        </w:rPr>
        <w:t xml:space="preserve">The PBAC acknowledged the importance of treating some patients at an earlier stage of disease but considered the clinical effectiveness and cost-effectiveness of this was unknown, and therefore did not recommend extending the listing to patients with classical Fabry disease without evidence of </w:t>
      </w:r>
      <w:r w:rsidR="00FB1863">
        <w:rPr>
          <w:bCs/>
        </w:rPr>
        <w:t>organ involvement/injury</w:t>
      </w:r>
      <w:r w:rsidRPr="00006F36">
        <w:rPr>
          <w:bCs/>
        </w:rPr>
        <w:t xml:space="preserve">. </w:t>
      </w:r>
      <w:r w:rsidR="004E7159" w:rsidRPr="00006F36">
        <w:rPr>
          <w:bCs/>
        </w:rPr>
        <w:t xml:space="preserve">The PBAC noted earlier use </w:t>
      </w:r>
      <w:r w:rsidR="00E67FCC">
        <w:rPr>
          <w:bCs/>
        </w:rPr>
        <w:t xml:space="preserve">was likely to </w:t>
      </w:r>
      <w:r w:rsidR="004E7159" w:rsidRPr="00006F36">
        <w:rPr>
          <w:bCs/>
        </w:rPr>
        <w:t xml:space="preserve">result in a significant number of additional years of treatment at a high cost per patient. </w:t>
      </w:r>
      <w:r w:rsidRPr="00006F36">
        <w:rPr>
          <w:bCs/>
        </w:rPr>
        <w:t>Additionally, the PBAC noted the estimated number of patients that would access treatment in the earlier disease setting relied on a number of poorly supported assumptions and was highly uncertain</w:t>
      </w:r>
      <w:r w:rsidR="00006F36">
        <w:rPr>
          <w:bCs/>
        </w:rPr>
        <w:t>.</w:t>
      </w:r>
    </w:p>
    <w:p w14:paraId="181F5019" w14:textId="77777777" w:rsidR="00D12810" w:rsidRDefault="00947AB2" w:rsidP="00947AB2">
      <w:pPr>
        <w:widowControl w:val="0"/>
        <w:numPr>
          <w:ilvl w:val="1"/>
          <w:numId w:val="1"/>
        </w:numPr>
        <w:spacing w:after="120"/>
        <w:rPr>
          <w:rFonts w:asciiTheme="minorHAnsi" w:hAnsiTheme="minorHAnsi"/>
          <w:bCs/>
          <w:snapToGrid w:val="0"/>
        </w:rPr>
      </w:pPr>
      <w:r w:rsidRPr="00006F36">
        <w:rPr>
          <w:rFonts w:asciiTheme="minorHAnsi" w:hAnsiTheme="minorHAnsi"/>
          <w:bCs/>
          <w:snapToGrid w:val="0"/>
        </w:rPr>
        <w:t>The PBAC previously advised that migalastat is not suitable for prescribing by nurse practitioners.</w:t>
      </w:r>
    </w:p>
    <w:p w14:paraId="2182100B" w14:textId="77777777" w:rsidR="00D12810" w:rsidRDefault="00947AB2" w:rsidP="00633A0C">
      <w:pPr>
        <w:pStyle w:val="3-BodyText"/>
      </w:pPr>
      <w:r w:rsidRPr="00006F36">
        <w:lastRenderedPageBreak/>
        <w:t xml:space="preserve">The PBAC </w:t>
      </w:r>
      <w:r w:rsidR="00633A0C" w:rsidRPr="00006F36">
        <w:t xml:space="preserve">previously </w:t>
      </w:r>
      <w:r w:rsidRPr="00006F36">
        <w:t>recommended that the Early Supply Rule should apply to migalastat.</w:t>
      </w:r>
    </w:p>
    <w:p w14:paraId="63B7F234" w14:textId="04508EC7" w:rsidR="00947AB2" w:rsidRPr="00006F36" w:rsidRDefault="00947AB2" w:rsidP="00947AB2">
      <w:pPr>
        <w:pStyle w:val="3-BodyText"/>
      </w:pPr>
      <w:r w:rsidRPr="00006F36">
        <w:t xml:space="preserve">The PBAC found that the criteria prescribed by the </w:t>
      </w:r>
      <w:r w:rsidRPr="000C2DB0">
        <w:rPr>
          <w:i/>
          <w:iCs/>
        </w:rPr>
        <w:t>National Health (Pharmaceuticals and Vaccines – Cost Recovery) Regulations 2022</w:t>
      </w:r>
      <w:r w:rsidRPr="00006F36">
        <w:t xml:space="preserve"> for Pricing Pathway A were not met. </w:t>
      </w:r>
      <w:r w:rsidR="00396C3A" w:rsidRPr="00006F36">
        <w:t>Specifically,</w:t>
      </w:r>
      <w:r w:rsidRPr="00006F36">
        <w:t xml:space="preserve"> the PBAC found that in the circumstances of its recommendation for migalastat:</w:t>
      </w:r>
    </w:p>
    <w:p w14:paraId="5A6C0FA9" w14:textId="77777777" w:rsidR="00D12810" w:rsidRDefault="00947AB2" w:rsidP="00947AB2">
      <w:pPr>
        <w:pStyle w:val="3-BodyText"/>
        <w:numPr>
          <w:ilvl w:val="0"/>
          <w:numId w:val="32"/>
        </w:numPr>
      </w:pPr>
      <w:r w:rsidRPr="00006F36">
        <w:t>The treatment is not expected to provide a substantial and clinically relevant improvement in efficacy, or reduction of toxicity, over alternative treatments for Fabry disease;</w:t>
      </w:r>
    </w:p>
    <w:p w14:paraId="2DB1F895" w14:textId="15AE4A7B" w:rsidR="00947AB2" w:rsidRPr="00006F36" w:rsidRDefault="00947AB2" w:rsidP="00947AB2">
      <w:pPr>
        <w:pStyle w:val="3-BodyText"/>
        <w:numPr>
          <w:ilvl w:val="0"/>
          <w:numId w:val="32"/>
        </w:numPr>
      </w:pPr>
      <w:r w:rsidRPr="00006F36">
        <w:t>The treatment is not expected to address a high and urgent unmet clinical need because of the availability of alternative treatments for Fabry disease;</w:t>
      </w:r>
    </w:p>
    <w:p w14:paraId="1F9A43DF" w14:textId="77777777" w:rsidR="00947AB2" w:rsidRPr="00006F36" w:rsidRDefault="00947AB2" w:rsidP="00947AB2">
      <w:pPr>
        <w:pStyle w:val="3-BodyText"/>
        <w:numPr>
          <w:ilvl w:val="0"/>
          <w:numId w:val="32"/>
        </w:numPr>
      </w:pPr>
      <w:r w:rsidRPr="00006F36">
        <w:t>It was not necessary to make a finding in relation to whether it would be in the public interest for the subsequent pricing application to be progressed under Pricing Pathway A because one or more of the preceding tests had failed.</w:t>
      </w:r>
    </w:p>
    <w:p w14:paraId="1A85943F" w14:textId="77777777" w:rsidR="00D12810" w:rsidRDefault="00947AB2" w:rsidP="00947AB2">
      <w:pPr>
        <w:widowControl w:val="0"/>
        <w:numPr>
          <w:ilvl w:val="1"/>
          <w:numId w:val="1"/>
        </w:numPr>
        <w:spacing w:after="120"/>
        <w:rPr>
          <w:rFonts w:asciiTheme="minorHAnsi" w:hAnsiTheme="minorHAnsi"/>
          <w:bCs/>
          <w:snapToGrid w:val="0"/>
        </w:rPr>
      </w:pPr>
      <w:r w:rsidRPr="00006F36">
        <w:rPr>
          <w:rFonts w:asciiTheme="minorHAnsi" w:hAnsiTheme="minorHAnsi"/>
          <w:bCs/>
          <w:snapToGrid w:val="0"/>
        </w:rPr>
        <w:t>The PBAC noted that this submission is not eligible for an Independent Review as it received a positive recommendation.</w:t>
      </w:r>
    </w:p>
    <w:p w14:paraId="741B1A80" w14:textId="7EA1A6B6" w:rsidR="00947AB2" w:rsidRPr="00006F36" w:rsidRDefault="00947AB2" w:rsidP="00947AB2">
      <w:pPr>
        <w:spacing w:before="240"/>
        <w:rPr>
          <w:rFonts w:asciiTheme="minorHAnsi" w:hAnsiTheme="minorHAnsi"/>
          <w:b/>
          <w:bCs/>
          <w:snapToGrid w:val="0"/>
        </w:rPr>
      </w:pPr>
      <w:r w:rsidRPr="00006F36">
        <w:rPr>
          <w:rFonts w:asciiTheme="minorHAnsi" w:hAnsiTheme="minorHAnsi"/>
          <w:b/>
          <w:bCs/>
          <w:snapToGrid w:val="0"/>
        </w:rPr>
        <w:t>Outcome:</w:t>
      </w:r>
    </w:p>
    <w:p w14:paraId="4D3FF57C" w14:textId="6D210081" w:rsidR="00947AB2" w:rsidRPr="000D40B9" w:rsidRDefault="00947AB2" w:rsidP="000D40B9">
      <w:pPr>
        <w:rPr>
          <w:rFonts w:asciiTheme="minorHAnsi" w:hAnsiTheme="minorHAnsi"/>
          <w:bCs/>
          <w:snapToGrid w:val="0"/>
        </w:rPr>
      </w:pPr>
      <w:r w:rsidRPr="00006F36">
        <w:rPr>
          <w:rFonts w:asciiTheme="minorHAnsi" w:hAnsiTheme="minorHAnsi"/>
          <w:bCs/>
          <w:snapToGrid w:val="0"/>
        </w:rPr>
        <w:t>Recommended</w:t>
      </w:r>
    </w:p>
    <w:p w14:paraId="1A533817" w14:textId="77777777" w:rsidR="00947AB2" w:rsidRPr="00006F36" w:rsidRDefault="00947AB2" w:rsidP="00947AB2">
      <w:pPr>
        <w:pStyle w:val="2-SectionHeading"/>
      </w:pPr>
      <w:r w:rsidRPr="00006F36">
        <w:t>Recommended listing</w:t>
      </w:r>
    </w:p>
    <w:p w14:paraId="396DC398" w14:textId="554C2799" w:rsidR="00947AB2" w:rsidRPr="00006F36" w:rsidRDefault="00947AB2" w:rsidP="0062604D">
      <w:pPr>
        <w:widowControl w:val="0"/>
        <w:numPr>
          <w:ilvl w:val="1"/>
          <w:numId w:val="1"/>
        </w:numPr>
        <w:spacing w:after="120"/>
        <w:contextualSpacing/>
        <w:rPr>
          <w:rFonts w:asciiTheme="minorHAnsi" w:hAnsiTheme="minorHAnsi"/>
          <w:bCs/>
          <w:snapToGrid w:val="0"/>
        </w:rPr>
      </w:pPr>
      <w:r w:rsidRPr="00006F36">
        <w:rPr>
          <w:rFonts w:asciiTheme="minorHAnsi" w:hAnsiTheme="minorHAnsi"/>
          <w:bCs/>
          <w:snapToGrid w:val="0"/>
        </w:rPr>
        <w:t>Add new item</w:t>
      </w:r>
      <w:r w:rsidR="001B10BF">
        <w:rPr>
          <w:rFonts w:asciiTheme="minorHAnsi" w:hAnsiTheme="minorHAnsi"/>
          <w:bCs/>
          <w:snapToGrid w:val="0"/>
        </w:rPr>
        <w:t xml:space="preserve"> and new indication</w:t>
      </w:r>
      <w:r w:rsidRPr="00006F36">
        <w:rPr>
          <w:rFonts w:asciiTheme="minorHAnsi" w:hAnsiTheme="minorHAnsi"/>
          <w:bCs/>
          <w:snapToGrid w:val="0"/>
        </w:rPr>
        <w:t>:</w:t>
      </w:r>
    </w:p>
    <w:p w14:paraId="2D139F13" w14:textId="7B368C18" w:rsidR="00C84E6D" w:rsidRPr="00006F36" w:rsidRDefault="00C84E6D" w:rsidP="00C84E6D">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9"/>
        <w:gridCol w:w="1134"/>
        <w:gridCol w:w="709"/>
        <w:gridCol w:w="851"/>
        <w:gridCol w:w="693"/>
        <w:gridCol w:w="1546"/>
        <w:gridCol w:w="1255"/>
      </w:tblGrid>
      <w:tr w:rsidR="00C84E6D" w:rsidRPr="00006F36" w14:paraId="77257BE8" w14:textId="77777777" w:rsidTr="000D6074">
        <w:trPr>
          <w:cantSplit/>
          <w:trHeight w:val="20"/>
        </w:trPr>
        <w:tc>
          <w:tcPr>
            <w:tcW w:w="1569" w:type="pct"/>
          </w:tcPr>
          <w:p w14:paraId="64CA7A16" w14:textId="77777777" w:rsidR="00C84E6D" w:rsidRPr="00006F36" w:rsidRDefault="00C84E6D" w:rsidP="000D6074">
            <w:pPr>
              <w:keepLines/>
              <w:rPr>
                <w:rFonts w:ascii="Arial Narrow" w:hAnsi="Arial Narrow"/>
                <w:b/>
                <w:sz w:val="20"/>
                <w:szCs w:val="20"/>
              </w:rPr>
            </w:pPr>
            <w:r w:rsidRPr="00006F36">
              <w:rPr>
                <w:rFonts w:ascii="Arial Narrow" w:hAnsi="Arial Narrow"/>
                <w:b/>
                <w:sz w:val="20"/>
                <w:szCs w:val="20"/>
              </w:rPr>
              <w:t>MEDICINAL PRODUCT</w:t>
            </w:r>
          </w:p>
          <w:p w14:paraId="46BA8432" w14:textId="77777777" w:rsidR="00C84E6D" w:rsidRPr="00006F36" w:rsidRDefault="00C84E6D" w:rsidP="000D6074">
            <w:pPr>
              <w:keepLines/>
              <w:rPr>
                <w:rFonts w:ascii="Arial Narrow" w:hAnsi="Arial Narrow"/>
                <w:b/>
                <w:sz w:val="20"/>
                <w:szCs w:val="20"/>
              </w:rPr>
            </w:pPr>
            <w:r w:rsidRPr="00006F36">
              <w:rPr>
                <w:rFonts w:ascii="Arial Narrow" w:hAnsi="Arial Narrow"/>
                <w:b/>
                <w:sz w:val="20"/>
                <w:szCs w:val="20"/>
              </w:rPr>
              <w:t>medicinal product pack</w:t>
            </w:r>
          </w:p>
        </w:tc>
        <w:tc>
          <w:tcPr>
            <w:tcW w:w="629" w:type="pct"/>
            <w:vAlign w:val="center"/>
          </w:tcPr>
          <w:p w14:paraId="7C6E42B5" w14:textId="77777777" w:rsidR="00C84E6D" w:rsidRPr="00006F36" w:rsidRDefault="00C84E6D" w:rsidP="000D6074">
            <w:pPr>
              <w:keepLines/>
              <w:jc w:val="center"/>
              <w:rPr>
                <w:rFonts w:ascii="Arial Narrow" w:hAnsi="Arial Narrow"/>
                <w:b/>
                <w:sz w:val="20"/>
                <w:szCs w:val="20"/>
              </w:rPr>
            </w:pPr>
            <w:r w:rsidRPr="00006F36">
              <w:rPr>
                <w:rFonts w:ascii="Arial Narrow" w:hAnsi="Arial Narrow"/>
                <w:b/>
                <w:sz w:val="20"/>
                <w:szCs w:val="20"/>
              </w:rPr>
              <w:t>PBS item code</w:t>
            </w:r>
          </w:p>
        </w:tc>
        <w:tc>
          <w:tcPr>
            <w:tcW w:w="393" w:type="pct"/>
            <w:vAlign w:val="center"/>
          </w:tcPr>
          <w:p w14:paraId="2D022413" w14:textId="77777777" w:rsidR="00C84E6D" w:rsidRPr="00006F36" w:rsidRDefault="00C84E6D" w:rsidP="000D6074">
            <w:pPr>
              <w:keepLines/>
              <w:jc w:val="center"/>
              <w:rPr>
                <w:rFonts w:ascii="Arial Narrow" w:hAnsi="Arial Narrow"/>
                <w:b/>
                <w:sz w:val="20"/>
                <w:szCs w:val="20"/>
              </w:rPr>
            </w:pPr>
            <w:r w:rsidRPr="00006F36">
              <w:rPr>
                <w:rFonts w:ascii="Arial Narrow" w:hAnsi="Arial Narrow"/>
                <w:b/>
                <w:sz w:val="20"/>
                <w:szCs w:val="20"/>
              </w:rPr>
              <w:t>Max. qty packs</w:t>
            </w:r>
          </w:p>
        </w:tc>
        <w:tc>
          <w:tcPr>
            <w:tcW w:w="472" w:type="pct"/>
            <w:vAlign w:val="center"/>
          </w:tcPr>
          <w:p w14:paraId="462EAC5E" w14:textId="77777777" w:rsidR="00C84E6D" w:rsidRPr="00006F36" w:rsidRDefault="00C84E6D" w:rsidP="000D6074">
            <w:pPr>
              <w:keepLines/>
              <w:jc w:val="center"/>
              <w:rPr>
                <w:rFonts w:ascii="Arial Narrow" w:hAnsi="Arial Narrow"/>
                <w:b/>
                <w:sz w:val="20"/>
                <w:szCs w:val="20"/>
              </w:rPr>
            </w:pPr>
            <w:r w:rsidRPr="00006F36">
              <w:rPr>
                <w:rFonts w:ascii="Arial Narrow" w:hAnsi="Arial Narrow"/>
                <w:b/>
                <w:sz w:val="20"/>
                <w:szCs w:val="20"/>
              </w:rPr>
              <w:t>Max. qty units</w:t>
            </w:r>
          </w:p>
        </w:tc>
        <w:tc>
          <w:tcPr>
            <w:tcW w:w="384" w:type="pct"/>
            <w:vAlign w:val="center"/>
          </w:tcPr>
          <w:p w14:paraId="07976639" w14:textId="77777777" w:rsidR="00C84E6D" w:rsidRPr="00006F36" w:rsidRDefault="00C84E6D" w:rsidP="000D6074">
            <w:pPr>
              <w:keepLines/>
              <w:jc w:val="center"/>
              <w:rPr>
                <w:rFonts w:ascii="Arial Narrow" w:hAnsi="Arial Narrow"/>
                <w:b/>
                <w:sz w:val="20"/>
                <w:szCs w:val="20"/>
              </w:rPr>
            </w:pPr>
            <w:r w:rsidRPr="00006F36">
              <w:rPr>
                <w:rFonts w:ascii="Arial Narrow" w:hAnsi="Arial Narrow"/>
                <w:b/>
                <w:sz w:val="20"/>
                <w:szCs w:val="20"/>
              </w:rPr>
              <w:t>№.of</w:t>
            </w:r>
          </w:p>
          <w:p w14:paraId="5639448A" w14:textId="77777777" w:rsidR="00C84E6D" w:rsidRPr="00006F36" w:rsidRDefault="00C84E6D" w:rsidP="000D6074">
            <w:pPr>
              <w:keepLines/>
              <w:jc w:val="center"/>
              <w:rPr>
                <w:rFonts w:ascii="Arial Narrow" w:hAnsi="Arial Narrow"/>
                <w:b/>
                <w:sz w:val="20"/>
                <w:szCs w:val="20"/>
              </w:rPr>
            </w:pPr>
            <w:r w:rsidRPr="00006F36">
              <w:rPr>
                <w:rFonts w:ascii="Arial Narrow" w:hAnsi="Arial Narrow"/>
                <w:b/>
                <w:sz w:val="20"/>
                <w:szCs w:val="20"/>
              </w:rPr>
              <w:t>Rpts</w:t>
            </w:r>
          </w:p>
        </w:tc>
        <w:tc>
          <w:tcPr>
            <w:tcW w:w="857" w:type="pct"/>
            <w:vAlign w:val="center"/>
          </w:tcPr>
          <w:p w14:paraId="6E0745EF" w14:textId="77777777" w:rsidR="00C84E6D" w:rsidRPr="00006F36" w:rsidRDefault="00C84E6D" w:rsidP="000D6074">
            <w:pPr>
              <w:keepLines/>
              <w:rPr>
                <w:rFonts w:ascii="Arial Narrow" w:hAnsi="Arial Narrow"/>
                <w:b/>
                <w:sz w:val="20"/>
                <w:szCs w:val="20"/>
              </w:rPr>
            </w:pPr>
            <w:r w:rsidRPr="00006F36">
              <w:rPr>
                <w:rFonts w:ascii="Arial Narrow" w:hAnsi="Arial Narrow"/>
                <w:b/>
                <w:sz w:val="20"/>
                <w:szCs w:val="20"/>
              </w:rPr>
              <w:t>Available brands</w:t>
            </w:r>
          </w:p>
        </w:tc>
        <w:tc>
          <w:tcPr>
            <w:tcW w:w="696" w:type="pct"/>
            <w:vAlign w:val="center"/>
          </w:tcPr>
          <w:p w14:paraId="2812DFEE" w14:textId="77777777" w:rsidR="00C84E6D" w:rsidRPr="00006F36" w:rsidRDefault="00C84E6D" w:rsidP="000D6074">
            <w:pPr>
              <w:keepLines/>
              <w:rPr>
                <w:rFonts w:ascii="Arial Narrow" w:hAnsi="Arial Narrow"/>
                <w:b/>
                <w:sz w:val="20"/>
                <w:szCs w:val="20"/>
              </w:rPr>
            </w:pPr>
            <w:r w:rsidRPr="00006F36">
              <w:rPr>
                <w:rFonts w:ascii="Arial Narrow" w:hAnsi="Arial Narrow"/>
                <w:b/>
                <w:sz w:val="20"/>
                <w:szCs w:val="20"/>
              </w:rPr>
              <w:t>Manufacturer</w:t>
            </w:r>
          </w:p>
        </w:tc>
      </w:tr>
      <w:tr w:rsidR="00C84E6D" w:rsidRPr="00006F36" w14:paraId="10D3C21A" w14:textId="77777777" w:rsidTr="000D6074">
        <w:trPr>
          <w:cantSplit/>
          <w:trHeight w:val="20"/>
        </w:trPr>
        <w:tc>
          <w:tcPr>
            <w:tcW w:w="5000" w:type="pct"/>
            <w:gridSpan w:val="7"/>
          </w:tcPr>
          <w:p w14:paraId="740F7A4D" w14:textId="77777777" w:rsidR="00C84E6D" w:rsidRPr="00006F36" w:rsidRDefault="00C84E6D" w:rsidP="000D6074">
            <w:pPr>
              <w:keepLines/>
              <w:rPr>
                <w:rFonts w:ascii="Arial Narrow" w:hAnsi="Arial Narrow"/>
                <w:b/>
                <w:sz w:val="20"/>
                <w:szCs w:val="20"/>
              </w:rPr>
            </w:pPr>
            <w:r w:rsidRPr="00006F36">
              <w:rPr>
                <w:rFonts w:ascii="Arial Narrow" w:hAnsi="Arial Narrow"/>
                <w:sz w:val="20"/>
                <w:szCs w:val="20"/>
              </w:rPr>
              <w:t>MIGALASTAT</w:t>
            </w:r>
          </w:p>
        </w:tc>
      </w:tr>
      <w:tr w:rsidR="00C84E6D" w:rsidRPr="00006F36" w14:paraId="5EC0E9E5" w14:textId="77777777" w:rsidTr="000D40B9">
        <w:trPr>
          <w:cantSplit/>
          <w:trHeight w:val="20"/>
        </w:trPr>
        <w:tc>
          <w:tcPr>
            <w:tcW w:w="1569" w:type="pct"/>
            <w:vAlign w:val="center"/>
          </w:tcPr>
          <w:p w14:paraId="26CA291A" w14:textId="77777777" w:rsidR="00C84E6D" w:rsidRPr="00006F36" w:rsidRDefault="00C84E6D" w:rsidP="000D40B9">
            <w:pPr>
              <w:keepLines/>
              <w:jc w:val="left"/>
              <w:rPr>
                <w:rFonts w:ascii="Arial Narrow" w:hAnsi="Arial Narrow"/>
                <w:sz w:val="20"/>
                <w:szCs w:val="20"/>
              </w:rPr>
            </w:pPr>
            <w:r w:rsidRPr="00006F36">
              <w:rPr>
                <w:rFonts w:ascii="Arial Narrow" w:hAnsi="Arial Narrow"/>
                <w:sz w:val="20"/>
                <w:szCs w:val="20"/>
              </w:rPr>
              <w:t>migalastat 123 mg capsule, 14</w:t>
            </w:r>
          </w:p>
        </w:tc>
        <w:tc>
          <w:tcPr>
            <w:tcW w:w="629" w:type="pct"/>
            <w:vAlign w:val="center"/>
          </w:tcPr>
          <w:p w14:paraId="34979320" w14:textId="77777777" w:rsidR="00C84E6D" w:rsidRPr="00006F36" w:rsidRDefault="00C84E6D" w:rsidP="000D6074">
            <w:pPr>
              <w:keepLines/>
              <w:jc w:val="center"/>
              <w:rPr>
                <w:rFonts w:ascii="Arial Narrow" w:hAnsi="Arial Narrow"/>
                <w:sz w:val="20"/>
                <w:szCs w:val="20"/>
              </w:rPr>
            </w:pPr>
            <w:r w:rsidRPr="00006F36">
              <w:rPr>
                <w:rFonts w:ascii="Arial Narrow" w:hAnsi="Arial Narrow"/>
                <w:sz w:val="20"/>
                <w:szCs w:val="20"/>
              </w:rPr>
              <w:t>NEW</w:t>
            </w:r>
          </w:p>
        </w:tc>
        <w:tc>
          <w:tcPr>
            <w:tcW w:w="393" w:type="pct"/>
            <w:vAlign w:val="center"/>
          </w:tcPr>
          <w:p w14:paraId="35F413CF" w14:textId="77777777" w:rsidR="00C84E6D" w:rsidRPr="00006F36" w:rsidRDefault="00C84E6D" w:rsidP="000D6074">
            <w:pPr>
              <w:keepLines/>
              <w:jc w:val="center"/>
              <w:rPr>
                <w:rFonts w:ascii="Arial Narrow" w:hAnsi="Arial Narrow"/>
                <w:sz w:val="20"/>
                <w:szCs w:val="20"/>
              </w:rPr>
            </w:pPr>
            <w:r w:rsidRPr="00006F36">
              <w:rPr>
                <w:rFonts w:ascii="Arial Narrow" w:hAnsi="Arial Narrow"/>
                <w:sz w:val="20"/>
                <w:szCs w:val="20"/>
              </w:rPr>
              <w:t>1</w:t>
            </w:r>
          </w:p>
        </w:tc>
        <w:tc>
          <w:tcPr>
            <w:tcW w:w="472" w:type="pct"/>
            <w:vAlign w:val="center"/>
          </w:tcPr>
          <w:p w14:paraId="6FA8B63A" w14:textId="77777777" w:rsidR="00C84E6D" w:rsidRPr="00006F36" w:rsidRDefault="00C84E6D" w:rsidP="000D6074">
            <w:pPr>
              <w:keepLines/>
              <w:jc w:val="center"/>
              <w:rPr>
                <w:rFonts w:ascii="Arial Narrow" w:hAnsi="Arial Narrow"/>
                <w:sz w:val="20"/>
                <w:szCs w:val="20"/>
              </w:rPr>
            </w:pPr>
            <w:r w:rsidRPr="00006F36">
              <w:rPr>
                <w:rFonts w:ascii="Arial Narrow" w:hAnsi="Arial Narrow"/>
                <w:sz w:val="20"/>
                <w:szCs w:val="20"/>
              </w:rPr>
              <w:t>14</w:t>
            </w:r>
          </w:p>
        </w:tc>
        <w:tc>
          <w:tcPr>
            <w:tcW w:w="384" w:type="pct"/>
            <w:vAlign w:val="center"/>
          </w:tcPr>
          <w:p w14:paraId="3663BA98" w14:textId="77777777" w:rsidR="00C84E6D" w:rsidRPr="00006F36" w:rsidRDefault="00C84E6D" w:rsidP="000D6074">
            <w:pPr>
              <w:keepLines/>
              <w:jc w:val="center"/>
              <w:rPr>
                <w:rFonts w:ascii="Arial Narrow" w:hAnsi="Arial Narrow"/>
                <w:sz w:val="20"/>
                <w:szCs w:val="20"/>
              </w:rPr>
            </w:pPr>
            <w:r w:rsidRPr="00006F36">
              <w:rPr>
                <w:rFonts w:ascii="Arial Narrow" w:hAnsi="Arial Narrow"/>
                <w:sz w:val="20"/>
                <w:szCs w:val="20"/>
              </w:rPr>
              <w:t>5</w:t>
            </w:r>
          </w:p>
        </w:tc>
        <w:tc>
          <w:tcPr>
            <w:tcW w:w="857" w:type="pct"/>
            <w:vAlign w:val="center"/>
          </w:tcPr>
          <w:p w14:paraId="2AFA25DF" w14:textId="77777777" w:rsidR="00C84E6D" w:rsidRPr="00006F36" w:rsidRDefault="00C84E6D" w:rsidP="000D6074">
            <w:pPr>
              <w:keepLines/>
              <w:rPr>
                <w:rFonts w:ascii="Arial Narrow" w:hAnsi="Arial Narrow"/>
                <w:sz w:val="20"/>
                <w:szCs w:val="20"/>
              </w:rPr>
            </w:pPr>
            <w:r w:rsidRPr="00006F36">
              <w:rPr>
                <w:rFonts w:ascii="Arial Narrow" w:hAnsi="Arial Narrow"/>
                <w:sz w:val="20"/>
                <w:szCs w:val="20"/>
              </w:rPr>
              <w:t>Galafold</w:t>
            </w:r>
          </w:p>
        </w:tc>
        <w:tc>
          <w:tcPr>
            <w:tcW w:w="696" w:type="pct"/>
            <w:vAlign w:val="center"/>
          </w:tcPr>
          <w:p w14:paraId="598BAEE2" w14:textId="77777777" w:rsidR="00C84E6D" w:rsidRPr="00006F36" w:rsidRDefault="00C84E6D" w:rsidP="000D6074">
            <w:pPr>
              <w:keepLines/>
              <w:rPr>
                <w:rFonts w:ascii="Arial Narrow" w:hAnsi="Arial Narrow"/>
                <w:sz w:val="20"/>
                <w:szCs w:val="20"/>
              </w:rPr>
            </w:pPr>
            <w:r w:rsidRPr="00006F36">
              <w:rPr>
                <w:rFonts w:ascii="Arial Narrow" w:hAnsi="Arial Narrow"/>
                <w:sz w:val="20"/>
                <w:szCs w:val="20"/>
              </w:rPr>
              <w:t>Amicus Therapeutics</w:t>
            </w:r>
          </w:p>
        </w:tc>
      </w:tr>
    </w:tbl>
    <w:p w14:paraId="29D9CF35" w14:textId="77777777" w:rsidR="00C84E6D" w:rsidRPr="00006F36" w:rsidRDefault="00C84E6D" w:rsidP="00C84E6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9017"/>
      </w:tblGrid>
      <w:tr w:rsidR="000D40B9" w:rsidRPr="00006F36" w14:paraId="61D28C70" w14:textId="77777777" w:rsidTr="000D40B9">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9F11C2B" w14:textId="77777777" w:rsidR="000D40B9" w:rsidRPr="00006F36" w:rsidRDefault="000D40B9" w:rsidP="000D6074">
            <w:pPr>
              <w:keepLines/>
              <w:rPr>
                <w:rFonts w:ascii="Arial Narrow" w:hAnsi="Arial Narrow"/>
                <w:sz w:val="20"/>
                <w:szCs w:val="20"/>
              </w:rPr>
            </w:pPr>
            <w:r w:rsidRPr="00006F36">
              <w:rPr>
                <w:rFonts w:ascii="Arial Narrow" w:hAnsi="Arial Narrow"/>
                <w:b/>
                <w:sz w:val="20"/>
                <w:szCs w:val="20"/>
              </w:rPr>
              <w:t xml:space="preserve">Category / Program: </w:t>
            </w:r>
            <w:r w:rsidRPr="00006F36">
              <w:rPr>
                <w:rFonts w:ascii="Arial Narrow" w:hAnsi="Arial Narrow"/>
                <w:sz w:val="20"/>
                <w:szCs w:val="20"/>
              </w:rPr>
              <w:t>GENERAL – General Schedule (Code GE)</w:t>
            </w:r>
            <w:r w:rsidRPr="00006F36">
              <w:rPr>
                <w:rFonts w:ascii="Arial Narrow" w:hAnsi="Arial Narrow"/>
                <w:color w:val="FF0000"/>
                <w:sz w:val="20"/>
                <w:szCs w:val="20"/>
              </w:rPr>
              <w:t xml:space="preserve"> </w:t>
            </w:r>
          </w:p>
        </w:tc>
      </w:tr>
      <w:tr w:rsidR="000D40B9" w:rsidRPr="00006F36" w14:paraId="465779AE" w14:textId="77777777" w:rsidTr="000D40B9">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25447E9" w14:textId="77777777" w:rsidR="000D40B9" w:rsidRPr="00006F36" w:rsidRDefault="000D40B9" w:rsidP="000D6074">
            <w:pPr>
              <w:keepLines/>
              <w:rPr>
                <w:rFonts w:ascii="Arial Narrow" w:hAnsi="Arial Narrow"/>
                <w:b/>
                <w:sz w:val="20"/>
                <w:szCs w:val="20"/>
              </w:rPr>
            </w:pPr>
            <w:r w:rsidRPr="00006F36">
              <w:rPr>
                <w:rFonts w:ascii="Arial Narrow" w:hAnsi="Arial Narrow"/>
                <w:b/>
                <w:sz w:val="20"/>
                <w:szCs w:val="20"/>
              </w:rPr>
              <w:t xml:space="preserve">Prescriber type: </w:t>
            </w:r>
            <w:r w:rsidRPr="00006F36">
              <w:rPr>
                <w:rFonts w:ascii="Arial Narrow" w:hAnsi="Arial Narrow"/>
                <w:sz w:val="20"/>
                <w:szCs w:val="20"/>
              </w:rPr>
              <w:t xml:space="preserve">Medical Practitioners </w:t>
            </w:r>
          </w:p>
        </w:tc>
      </w:tr>
      <w:tr w:rsidR="000D40B9" w:rsidRPr="00006F36" w14:paraId="7170BE04" w14:textId="77777777" w:rsidTr="000D40B9">
        <w:trPr>
          <w:trHeight w:val="169"/>
        </w:trPr>
        <w:tc>
          <w:tcPr>
            <w:tcW w:w="5000" w:type="pct"/>
            <w:tcBorders>
              <w:top w:val="single" w:sz="4" w:space="0" w:color="auto"/>
              <w:left w:val="single" w:sz="4" w:space="0" w:color="auto"/>
              <w:bottom w:val="single" w:sz="4" w:space="0" w:color="auto"/>
              <w:right w:val="single" w:sz="4" w:space="0" w:color="auto"/>
            </w:tcBorders>
            <w:vAlign w:val="center"/>
          </w:tcPr>
          <w:p w14:paraId="54FC630D" w14:textId="77777777" w:rsidR="000D40B9" w:rsidRPr="00006F36" w:rsidRDefault="000D40B9" w:rsidP="000D6074">
            <w:pPr>
              <w:keepLines/>
              <w:rPr>
                <w:rFonts w:ascii="Arial Narrow" w:hAnsi="Arial Narrow"/>
                <w:b/>
                <w:sz w:val="20"/>
                <w:szCs w:val="20"/>
              </w:rPr>
            </w:pPr>
            <w:r w:rsidRPr="00006F36">
              <w:rPr>
                <w:rFonts w:ascii="Arial Narrow" w:hAnsi="Arial Narrow"/>
                <w:b/>
                <w:sz w:val="20"/>
                <w:szCs w:val="20"/>
              </w:rPr>
              <w:t xml:space="preserve">Restriction type: </w:t>
            </w:r>
            <w:r w:rsidRPr="00006F36">
              <w:rPr>
                <w:rFonts w:ascii="Arial Narrow" w:eastAsia="Calibri" w:hAnsi="Arial Narrow"/>
                <w:sz w:val="20"/>
                <w:szCs w:val="20"/>
              </w:rPr>
              <w:t xml:space="preserve">Authority Required (in writing only via post/HPOS upload) </w:t>
            </w:r>
          </w:p>
        </w:tc>
      </w:tr>
      <w:tr w:rsidR="000D40B9" w:rsidRPr="00006F36" w14:paraId="40B529FB" w14:textId="77777777" w:rsidTr="000D40B9">
        <w:trPr>
          <w:trHeight w:val="20"/>
        </w:trPr>
        <w:tc>
          <w:tcPr>
            <w:tcW w:w="5000" w:type="pct"/>
            <w:vAlign w:val="center"/>
          </w:tcPr>
          <w:p w14:paraId="21CA5E69" w14:textId="77777777" w:rsidR="000D40B9" w:rsidRPr="00006F36" w:rsidRDefault="000D40B9" w:rsidP="000D6074">
            <w:pPr>
              <w:rPr>
                <w:rFonts w:ascii="Arial Narrow" w:hAnsi="Arial Narrow"/>
                <w:color w:val="333333"/>
                <w:sz w:val="20"/>
                <w:szCs w:val="20"/>
              </w:rPr>
            </w:pPr>
            <w:r w:rsidRPr="00006F36">
              <w:rPr>
                <w:rFonts w:ascii="Arial Narrow" w:hAnsi="Arial Narrow"/>
                <w:b/>
                <w:bCs/>
                <w:color w:val="333333"/>
                <w:sz w:val="20"/>
                <w:szCs w:val="20"/>
              </w:rPr>
              <w:t>Administrative Advice:</w:t>
            </w:r>
          </w:p>
          <w:p w14:paraId="6B94A61A" w14:textId="77777777" w:rsidR="000D40B9" w:rsidRPr="00006F36" w:rsidRDefault="000D40B9" w:rsidP="000D6074">
            <w:pPr>
              <w:rPr>
                <w:rFonts w:ascii="Arial Narrow" w:hAnsi="Arial Narrow"/>
                <w:color w:val="333333"/>
                <w:sz w:val="20"/>
                <w:szCs w:val="20"/>
              </w:rPr>
            </w:pPr>
            <w:r w:rsidRPr="00006F36">
              <w:rPr>
                <w:rFonts w:ascii="Arial Narrow" w:eastAsia="Calibri" w:hAnsi="Arial Narrow"/>
                <w:sz w:val="20"/>
                <w:szCs w:val="20"/>
              </w:rPr>
              <w:t>No increase in the maximum quantity or number of units may be authorised.</w:t>
            </w:r>
          </w:p>
        </w:tc>
      </w:tr>
      <w:tr w:rsidR="000D40B9" w:rsidRPr="00006F36" w14:paraId="2B51E19B" w14:textId="77777777" w:rsidTr="000D40B9">
        <w:trPr>
          <w:trHeight w:val="20"/>
        </w:trPr>
        <w:tc>
          <w:tcPr>
            <w:tcW w:w="5000" w:type="pct"/>
            <w:vAlign w:val="center"/>
          </w:tcPr>
          <w:p w14:paraId="36FB5778" w14:textId="77777777" w:rsidR="000D40B9" w:rsidRPr="00006F36" w:rsidRDefault="000D40B9" w:rsidP="000D6074">
            <w:pPr>
              <w:rPr>
                <w:rFonts w:ascii="Arial Narrow" w:hAnsi="Arial Narrow"/>
                <w:b/>
                <w:bCs/>
                <w:color w:val="333333"/>
                <w:sz w:val="20"/>
                <w:szCs w:val="20"/>
              </w:rPr>
            </w:pPr>
            <w:r w:rsidRPr="00006F36">
              <w:rPr>
                <w:rFonts w:ascii="Arial Narrow" w:hAnsi="Arial Narrow"/>
                <w:b/>
                <w:bCs/>
                <w:color w:val="333333"/>
                <w:sz w:val="20"/>
                <w:szCs w:val="20"/>
              </w:rPr>
              <w:t>Administrative Advice:</w:t>
            </w:r>
          </w:p>
          <w:p w14:paraId="63576887" w14:textId="77777777" w:rsidR="000D40B9" w:rsidRPr="00006F36" w:rsidRDefault="000D40B9" w:rsidP="000D6074">
            <w:pPr>
              <w:rPr>
                <w:rFonts w:ascii="Arial Narrow" w:hAnsi="Arial Narrow"/>
                <w:b/>
                <w:bCs/>
                <w:color w:val="333333"/>
                <w:sz w:val="20"/>
                <w:szCs w:val="20"/>
              </w:rPr>
            </w:pPr>
            <w:r w:rsidRPr="00006F36">
              <w:rPr>
                <w:rFonts w:ascii="Arial Narrow" w:eastAsia="Calibri" w:hAnsi="Arial Narrow"/>
                <w:sz w:val="20"/>
                <w:szCs w:val="20"/>
              </w:rPr>
              <w:t>No increase in the maximum number of repeats may be authorised.</w:t>
            </w:r>
          </w:p>
        </w:tc>
      </w:tr>
      <w:tr w:rsidR="000D40B9" w:rsidRPr="00006F36" w14:paraId="6B21E156" w14:textId="77777777" w:rsidTr="000D40B9">
        <w:trPr>
          <w:trHeight w:val="20"/>
        </w:trPr>
        <w:tc>
          <w:tcPr>
            <w:tcW w:w="5000" w:type="pct"/>
            <w:vAlign w:val="center"/>
          </w:tcPr>
          <w:p w14:paraId="1964D8CB" w14:textId="77777777" w:rsidR="000D40B9" w:rsidRPr="00006F36" w:rsidRDefault="000D40B9" w:rsidP="000D6074">
            <w:pPr>
              <w:rPr>
                <w:rFonts w:ascii="Arial Narrow" w:hAnsi="Arial Narrow"/>
                <w:b/>
                <w:bCs/>
                <w:color w:val="333333"/>
                <w:sz w:val="20"/>
                <w:szCs w:val="20"/>
              </w:rPr>
            </w:pPr>
            <w:r w:rsidRPr="00006F36">
              <w:rPr>
                <w:rFonts w:ascii="Arial Narrow" w:hAnsi="Arial Narrow"/>
                <w:b/>
                <w:bCs/>
                <w:color w:val="333333"/>
                <w:sz w:val="20"/>
                <w:szCs w:val="20"/>
              </w:rPr>
              <w:t>Administrative Advice:</w:t>
            </w:r>
          </w:p>
          <w:p w14:paraId="4CDD9174" w14:textId="77777777" w:rsidR="000D40B9" w:rsidRPr="00006F36" w:rsidRDefault="000D40B9" w:rsidP="000D6074">
            <w:pPr>
              <w:rPr>
                <w:rFonts w:ascii="Arial Narrow" w:hAnsi="Arial Narrow"/>
                <w:b/>
                <w:bCs/>
                <w:color w:val="333333"/>
                <w:sz w:val="20"/>
                <w:szCs w:val="20"/>
              </w:rPr>
            </w:pPr>
            <w:r w:rsidRPr="00006F36">
              <w:rPr>
                <w:rFonts w:ascii="Arial Narrow" w:eastAsia="Calibri" w:hAnsi="Arial Narrow"/>
                <w:sz w:val="20"/>
                <w:szCs w:val="20"/>
              </w:rPr>
              <w:t>Special Pricing Arrangements apply.</w:t>
            </w:r>
          </w:p>
        </w:tc>
      </w:tr>
      <w:tr w:rsidR="00C84E6D" w:rsidRPr="00006F36" w14:paraId="46AC981A" w14:textId="77777777" w:rsidTr="000D6074">
        <w:trPr>
          <w:trHeight w:val="20"/>
        </w:trPr>
        <w:tc>
          <w:tcPr>
            <w:tcW w:w="5000" w:type="pct"/>
          </w:tcPr>
          <w:p w14:paraId="0DCE840D" w14:textId="77777777" w:rsidR="00C84E6D" w:rsidRPr="00006F36" w:rsidRDefault="00C84E6D" w:rsidP="000D6074">
            <w:pPr>
              <w:rPr>
                <w:rFonts w:ascii="Arial Narrow" w:hAnsi="Arial Narrow"/>
                <w:b/>
                <w:bCs/>
                <w:color w:val="333333"/>
                <w:sz w:val="20"/>
                <w:szCs w:val="20"/>
              </w:rPr>
            </w:pPr>
            <w:r w:rsidRPr="00006F36">
              <w:rPr>
                <w:rFonts w:ascii="Arial Narrow" w:hAnsi="Arial Narrow"/>
                <w:b/>
                <w:bCs/>
                <w:color w:val="333333"/>
                <w:sz w:val="20"/>
                <w:szCs w:val="20"/>
              </w:rPr>
              <w:t>Restriction summary</w:t>
            </w:r>
            <w:r w:rsidRPr="00006F36">
              <w:rPr>
                <w:rFonts w:ascii="Arial Narrow" w:hAnsi="Arial Narrow"/>
                <w:color w:val="333333"/>
                <w:sz w:val="20"/>
                <w:szCs w:val="20"/>
              </w:rPr>
              <w:t>: New 1</w:t>
            </w:r>
            <w:r w:rsidRPr="00006F36">
              <w:rPr>
                <w:rFonts w:ascii="Arial Narrow" w:hAnsi="Arial Narrow"/>
                <w:b/>
                <w:bCs/>
                <w:color w:val="333333"/>
                <w:sz w:val="20"/>
                <w:szCs w:val="20"/>
              </w:rPr>
              <w:t>/ Treatment of concept:</w:t>
            </w:r>
            <w:r w:rsidRPr="00006F36">
              <w:rPr>
                <w:rFonts w:ascii="Arial Narrow" w:hAnsi="Arial Narrow"/>
                <w:color w:val="333333"/>
                <w:sz w:val="20"/>
                <w:szCs w:val="20"/>
              </w:rPr>
              <w:t xml:space="preserve"> New 2</w:t>
            </w:r>
          </w:p>
        </w:tc>
      </w:tr>
      <w:tr w:rsidR="000D40B9" w:rsidRPr="00006F36" w14:paraId="2FB450EC" w14:textId="77777777" w:rsidTr="000D40B9">
        <w:trPr>
          <w:cantSplit/>
          <w:trHeight w:val="20"/>
        </w:trPr>
        <w:tc>
          <w:tcPr>
            <w:tcW w:w="5000" w:type="pct"/>
            <w:vAlign w:val="center"/>
            <w:hideMark/>
          </w:tcPr>
          <w:p w14:paraId="3C8AB0FB" w14:textId="77777777" w:rsidR="000D40B9" w:rsidRPr="00006F36" w:rsidRDefault="000D40B9" w:rsidP="000D6074">
            <w:pPr>
              <w:keepLines/>
              <w:rPr>
                <w:rFonts w:ascii="Arial Narrow" w:hAnsi="Arial Narrow"/>
                <w:color w:val="333333"/>
                <w:sz w:val="20"/>
                <w:szCs w:val="20"/>
              </w:rPr>
            </w:pPr>
            <w:r w:rsidRPr="00006F36">
              <w:rPr>
                <w:rFonts w:ascii="Arial Narrow" w:hAnsi="Arial Narrow"/>
                <w:b/>
                <w:bCs/>
                <w:color w:val="333333"/>
                <w:sz w:val="20"/>
                <w:szCs w:val="20"/>
              </w:rPr>
              <w:t>Indication:</w:t>
            </w:r>
            <w:r w:rsidRPr="00006F36">
              <w:rPr>
                <w:rFonts w:ascii="Arial Narrow" w:hAnsi="Arial Narrow"/>
                <w:color w:val="333333"/>
                <w:sz w:val="20"/>
                <w:szCs w:val="20"/>
              </w:rPr>
              <w:t xml:space="preserve"> Fabry disease</w:t>
            </w:r>
          </w:p>
        </w:tc>
      </w:tr>
      <w:tr w:rsidR="000D40B9" w:rsidRPr="00006F36" w14:paraId="1A3182E7" w14:textId="77777777" w:rsidTr="000D40B9">
        <w:trPr>
          <w:cantSplit/>
          <w:trHeight w:val="20"/>
        </w:trPr>
        <w:tc>
          <w:tcPr>
            <w:tcW w:w="5000" w:type="pct"/>
            <w:vAlign w:val="center"/>
            <w:hideMark/>
          </w:tcPr>
          <w:p w14:paraId="62DED8D6" w14:textId="77777777" w:rsidR="000D40B9" w:rsidRPr="00006F36" w:rsidRDefault="000D40B9" w:rsidP="000D6074">
            <w:pPr>
              <w:rPr>
                <w:rFonts w:ascii="Arial Narrow" w:hAnsi="Arial Narrow"/>
                <w:sz w:val="20"/>
                <w:szCs w:val="20"/>
              </w:rPr>
            </w:pPr>
            <w:r w:rsidRPr="00006F36">
              <w:rPr>
                <w:rFonts w:ascii="Arial Narrow" w:hAnsi="Arial Narrow"/>
                <w:b/>
                <w:bCs/>
                <w:color w:val="333333"/>
                <w:sz w:val="20"/>
                <w:szCs w:val="20"/>
              </w:rPr>
              <w:t>Treatment Phase</w:t>
            </w:r>
            <w:r w:rsidRPr="00006F36">
              <w:rPr>
                <w:rFonts w:ascii="Arial Narrow" w:hAnsi="Arial Narrow"/>
                <w:b/>
                <w:bCs/>
                <w:sz w:val="20"/>
                <w:szCs w:val="20"/>
              </w:rPr>
              <w:t>:</w:t>
            </w:r>
            <w:r w:rsidRPr="00006F36">
              <w:rPr>
                <w:rFonts w:ascii="Arial Narrow" w:hAnsi="Arial Narrow"/>
                <w:sz w:val="20"/>
                <w:szCs w:val="20"/>
              </w:rPr>
              <w:t xml:space="preserve"> Initial treatment</w:t>
            </w:r>
          </w:p>
        </w:tc>
      </w:tr>
      <w:tr w:rsidR="000D40B9" w:rsidRPr="00006F36" w14:paraId="615A8A57" w14:textId="77777777" w:rsidTr="000D40B9">
        <w:trPr>
          <w:cantSplit/>
          <w:trHeight w:val="20"/>
        </w:trPr>
        <w:tc>
          <w:tcPr>
            <w:tcW w:w="5000" w:type="pct"/>
            <w:vAlign w:val="center"/>
            <w:hideMark/>
          </w:tcPr>
          <w:p w14:paraId="2144A429" w14:textId="77777777" w:rsidR="000D40B9" w:rsidRPr="00006F36" w:rsidRDefault="000D40B9" w:rsidP="000D6074">
            <w:pPr>
              <w:rPr>
                <w:rFonts w:ascii="Arial Narrow" w:hAnsi="Arial Narrow"/>
                <w:bCs/>
                <w:color w:val="FF0000"/>
                <w:sz w:val="20"/>
                <w:szCs w:val="20"/>
              </w:rPr>
            </w:pPr>
            <w:r w:rsidRPr="00006F36">
              <w:rPr>
                <w:rFonts w:ascii="Arial Narrow" w:hAnsi="Arial Narrow"/>
                <w:b/>
                <w:bCs/>
                <w:color w:val="333333"/>
                <w:sz w:val="20"/>
                <w:szCs w:val="20"/>
              </w:rPr>
              <w:t xml:space="preserve">Clinical criteria: </w:t>
            </w:r>
          </w:p>
        </w:tc>
      </w:tr>
      <w:tr w:rsidR="000D40B9" w:rsidRPr="00006F36" w14:paraId="4F25E290" w14:textId="77777777" w:rsidTr="000D40B9">
        <w:trPr>
          <w:cantSplit/>
          <w:trHeight w:val="20"/>
        </w:trPr>
        <w:tc>
          <w:tcPr>
            <w:tcW w:w="5000" w:type="pct"/>
            <w:vAlign w:val="center"/>
          </w:tcPr>
          <w:p w14:paraId="0BBC3ABC" w14:textId="4D0E9028" w:rsidR="000D40B9" w:rsidRPr="00006F36" w:rsidRDefault="000D40B9" w:rsidP="000D6074">
            <w:pPr>
              <w:rPr>
                <w:rFonts w:ascii="Arial Narrow" w:hAnsi="Arial Narrow"/>
                <w:color w:val="333333"/>
                <w:sz w:val="20"/>
                <w:szCs w:val="20"/>
              </w:rPr>
            </w:pPr>
            <w:r w:rsidRPr="00006F36">
              <w:rPr>
                <w:rFonts w:ascii="Arial Narrow" w:hAnsi="Arial Narrow"/>
                <w:color w:val="333333"/>
                <w:sz w:val="20"/>
                <w:szCs w:val="20"/>
              </w:rPr>
              <w:lastRenderedPageBreak/>
              <w:t>Patient must have at least one of (i) documented deficiency of alpha- galactosidase enzyme activity in blood (ii)</w:t>
            </w:r>
            <w:r w:rsidRPr="00006F36">
              <w:rPr>
                <w:rFonts w:ascii="Arial Narrow" w:hAnsi="Arial Narrow"/>
                <w:b/>
                <w:bCs/>
                <w:color w:val="333333"/>
                <w:sz w:val="20"/>
                <w:szCs w:val="20"/>
              </w:rPr>
              <w:t xml:space="preserve"> </w:t>
            </w:r>
            <w:r w:rsidRPr="00006F36">
              <w:rPr>
                <w:rFonts w:ascii="Arial Narrow" w:hAnsi="Arial Narrow"/>
                <w:color w:val="333333"/>
                <w:sz w:val="20"/>
                <w:szCs w:val="20"/>
              </w:rPr>
              <w:t>presence of genetic mutations known to result in deficiency of alpha-galactosidase enzyme activity.</w:t>
            </w:r>
          </w:p>
        </w:tc>
      </w:tr>
      <w:tr w:rsidR="000D40B9" w:rsidRPr="00006F36" w14:paraId="777C0B74" w14:textId="77777777" w:rsidTr="000D40B9">
        <w:trPr>
          <w:cantSplit/>
          <w:trHeight w:val="20"/>
        </w:trPr>
        <w:tc>
          <w:tcPr>
            <w:tcW w:w="5000" w:type="pct"/>
            <w:vAlign w:val="center"/>
          </w:tcPr>
          <w:p w14:paraId="4D029788" w14:textId="77777777" w:rsidR="000D40B9" w:rsidRPr="00006F36" w:rsidRDefault="000D40B9" w:rsidP="000D6074">
            <w:pPr>
              <w:rPr>
                <w:rFonts w:ascii="Arial Narrow" w:hAnsi="Arial Narrow"/>
                <w:b/>
                <w:bCs/>
                <w:color w:val="333333"/>
                <w:sz w:val="20"/>
                <w:szCs w:val="20"/>
              </w:rPr>
            </w:pPr>
            <w:r w:rsidRPr="00006F36">
              <w:rPr>
                <w:rFonts w:ascii="Arial Narrow" w:hAnsi="Arial Narrow"/>
                <w:b/>
                <w:bCs/>
                <w:color w:val="333333"/>
                <w:sz w:val="20"/>
                <w:szCs w:val="20"/>
              </w:rPr>
              <w:t>AND</w:t>
            </w:r>
          </w:p>
        </w:tc>
      </w:tr>
      <w:tr w:rsidR="000D40B9" w:rsidRPr="00006F36" w14:paraId="0C008574" w14:textId="77777777" w:rsidTr="000D40B9">
        <w:trPr>
          <w:cantSplit/>
          <w:trHeight w:val="20"/>
        </w:trPr>
        <w:tc>
          <w:tcPr>
            <w:tcW w:w="5000" w:type="pct"/>
            <w:vAlign w:val="center"/>
          </w:tcPr>
          <w:p w14:paraId="0F13F73D" w14:textId="77777777" w:rsidR="000D40B9" w:rsidRPr="00006F36" w:rsidRDefault="000D40B9" w:rsidP="000D6074">
            <w:pPr>
              <w:rPr>
                <w:rFonts w:ascii="Arial Narrow" w:hAnsi="Arial Narrow"/>
                <w:b/>
                <w:bCs/>
                <w:color w:val="333333"/>
                <w:sz w:val="20"/>
                <w:szCs w:val="20"/>
              </w:rPr>
            </w:pPr>
            <w:r w:rsidRPr="00006F36">
              <w:rPr>
                <w:rFonts w:ascii="Arial Narrow" w:hAnsi="Arial Narrow"/>
                <w:b/>
                <w:bCs/>
                <w:color w:val="333333"/>
                <w:sz w:val="20"/>
                <w:szCs w:val="20"/>
              </w:rPr>
              <w:t>Clinical criteria:</w:t>
            </w:r>
          </w:p>
        </w:tc>
      </w:tr>
      <w:tr w:rsidR="000D40B9" w:rsidRPr="00006F36" w14:paraId="40A14D19" w14:textId="77777777" w:rsidTr="000D40B9">
        <w:trPr>
          <w:cantSplit/>
          <w:trHeight w:val="20"/>
        </w:trPr>
        <w:tc>
          <w:tcPr>
            <w:tcW w:w="5000" w:type="pct"/>
            <w:vAlign w:val="center"/>
          </w:tcPr>
          <w:p w14:paraId="74BE3918" w14:textId="77777777" w:rsidR="000D40B9" w:rsidRPr="00006F36" w:rsidRDefault="000D40B9" w:rsidP="000D6074">
            <w:pPr>
              <w:rPr>
                <w:rFonts w:ascii="Arial Narrow" w:hAnsi="Arial Narrow"/>
                <w:b/>
                <w:bCs/>
                <w:sz w:val="20"/>
                <w:szCs w:val="20"/>
              </w:rPr>
            </w:pPr>
            <w:r w:rsidRPr="00006F36">
              <w:rPr>
                <w:rFonts w:ascii="Arial Narrow" w:hAnsi="Arial Narrow"/>
                <w:sz w:val="20"/>
                <w:szCs w:val="20"/>
              </w:rPr>
              <w:t xml:space="preserve">Patient must have a documented migalastat amenable galactosidase alpha (GLA) gene variant </w:t>
            </w:r>
          </w:p>
        </w:tc>
      </w:tr>
      <w:tr w:rsidR="000D40B9" w:rsidRPr="00006F36" w14:paraId="4370AEFB" w14:textId="77777777" w:rsidTr="000D40B9">
        <w:trPr>
          <w:cantSplit/>
          <w:trHeight w:val="20"/>
        </w:trPr>
        <w:tc>
          <w:tcPr>
            <w:tcW w:w="5000" w:type="pct"/>
            <w:vAlign w:val="center"/>
          </w:tcPr>
          <w:p w14:paraId="2D0F6A60" w14:textId="77777777" w:rsidR="000D40B9" w:rsidRPr="00006F36" w:rsidRDefault="000D40B9" w:rsidP="000D6074">
            <w:pPr>
              <w:rPr>
                <w:rFonts w:ascii="Arial Narrow" w:hAnsi="Arial Narrow"/>
                <w:color w:val="333333"/>
                <w:sz w:val="20"/>
                <w:szCs w:val="20"/>
              </w:rPr>
            </w:pPr>
            <w:r w:rsidRPr="00006F36">
              <w:rPr>
                <w:rFonts w:ascii="Arial Narrow" w:hAnsi="Arial Narrow"/>
                <w:b/>
                <w:bCs/>
                <w:color w:val="333333"/>
                <w:sz w:val="20"/>
                <w:szCs w:val="20"/>
              </w:rPr>
              <w:t>AND</w:t>
            </w:r>
          </w:p>
        </w:tc>
      </w:tr>
      <w:tr w:rsidR="000D40B9" w:rsidRPr="00006F36" w14:paraId="4C9B2298" w14:textId="77777777" w:rsidTr="000D40B9">
        <w:trPr>
          <w:cantSplit/>
          <w:trHeight w:val="20"/>
        </w:trPr>
        <w:tc>
          <w:tcPr>
            <w:tcW w:w="5000" w:type="pct"/>
            <w:vAlign w:val="center"/>
          </w:tcPr>
          <w:p w14:paraId="6DED8884" w14:textId="77777777" w:rsidR="000D40B9" w:rsidRPr="00006F36" w:rsidRDefault="000D40B9" w:rsidP="000D6074">
            <w:pPr>
              <w:rPr>
                <w:rFonts w:ascii="Arial Narrow" w:hAnsi="Arial Narrow"/>
                <w:color w:val="333333"/>
                <w:sz w:val="20"/>
                <w:szCs w:val="20"/>
              </w:rPr>
            </w:pPr>
            <w:r w:rsidRPr="00006F36">
              <w:rPr>
                <w:rFonts w:ascii="Arial Narrow" w:hAnsi="Arial Narrow"/>
                <w:b/>
                <w:bCs/>
                <w:color w:val="333333"/>
                <w:sz w:val="20"/>
                <w:szCs w:val="20"/>
              </w:rPr>
              <w:t>Clinical criteria:</w:t>
            </w:r>
          </w:p>
        </w:tc>
      </w:tr>
      <w:tr w:rsidR="000D40B9" w:rsidRPr="00006F36" w14:paraId="2B648B9D" w14:textId="77777777" w:rsidTr="000D40B9">
        <w:trPr>
          <w:cantSplit/>
          <w:trHeight w:val="20"/>
        </w:trPr>
        <w:tc>
          <w:tcPr>
            <w:tcW w:w="5000" w:type="pct"/>
            <w:vAlign w:val="center"/>
          </w:tcPr>
          <w:p w14:paraId="4C4FC5D0" w14:textId="77777777" w:rsidR="000D40B9" w:rsidRPr="00006F36" w:rsidRDefault="000D40B9" w:rsidP="000D6074">
            <w:pPr>
              <w:rPr>
                <w:rFonts w:ascii="Arial Narrow" w:hAnsi="Arial Narrow"/>
                <w:color w:val="333333"/>
                <w:sz w:val="20"/>
                <w:szCs w:val="20"/>
              </w:rPr>
            </w:pPr>
            <w:r w:rsidRPr="00006F36">
              <w:rPr>
                <w:rFonts w:ascii="Arial Narrow" w:hAnsi="Arial Narrow"/>
                <w:color w:val="333333"/>
                <w:sz w:val="20"/>
                <w:szCs w:val="20"/>
              </w:rPr>
              <w:t>Patient must have an estimated glomerular filtration rate (eGFR) of at least 30 mL/min/1.73 m².</w:t>
            </w:r>
          </w:p>
        </w:tc>
      </w:tr>
      <w:tr w:rsidR="000D40B9" w:rsidRPr="00006F36" w14:paraId="349C866A" w14:textId="77777777" w:rsidTr="000D40B9">
        <w:trPr>
          <w:cantSplit/>
          <w:trHeight w:val="20"/>
        </w:trPr>
        <w:tc>
          <w:tcPr>
            <w:tcW w:w="5000" w:type="pct"/>
            <w:vAlign w:val="center"/>
          </w:tcPr>
          <w:p w14:paraId="5D161E7D" w14:textId="77777777" w:rsidR="000D40B9" w:rsidRPr="00006F36" w:rsidRDefault="000D40B9" w:rsidP="000D6074">
            <w:pPr>
              <w:rPr>
                <w:rFonts w:ascii="Arial Narrow" w:hAnsi="Arial Narrow"/>
                <w:color w:val="333333"/>
                <w:sz w:val="20"/>
                <w:szCs w:val="20"/>
              </w:rPr>
            </w:pPr>
            <w:r w:rsidRPr="00006F36">
              <w:rPr>
                <w:rFonts w:ascii="Arial Narrow" w:hAnsi="Arial Narrow"/>
                <w:b/>
                <w:bCs/>
                <w:color w:val="333333"/>
                <w:sz w:val="20"/>
                <w:szCs w:val="20"/>
              </w:rPr>
              <w:t>AND</w:t>
            </w:r>
          </w:p>
        </w:tc>
      </w:tr>
      <w:tr w:rsidR="000D40B9" w:rsidRPr="00006F36" w14:paraId="1EB05237" w14:textId="77777777" w:rsidTr="000D40B9">
        <w:trPr>
          <w:cantSplit/>
          <w:trHeight w:val="20"/>
        </w:trPr>
        <w:tc>
          <w:tcPr>
            <w:tcW w:w="5000" w:type="pct"/>
            <w:vAlign w:val="center"/>
          </w:tcPr>
          <w:p w14:paraId="0F6B33D6" w14:textId="77777777" w:rsidR="000D40B9" w:rsidRPr="00006F36" w:rsidRDefault="000D40B9" w:rsidP="000D6074">
            <w:pPr>
              <w:rPr>
                <w:rFonts w:ascii="Arial Narrow" w:hAnsi="Arial Narrow"/>
                <w:color w:val="333333"/>
                <w:sz w:val="20"/>
                <w:szCs w:val="20"/>
              </w:rPr>
            </w:pPr>
            <w:r w:rsidRPr="00006F36">
              <w:rPr>
                <w:rFonts w:ascii="Arial Narrow" w:hAnsi="Arial Narrow"/>
                <w:b/>
                <w:bCs/>
                <w:color w:val="333333"/>
                <w:sz w:val="20"/>
                <w:szCs w:val="20"/>
              </w:rPr>
              <w:t xml:space="preserve">Clinical criteria: </w:t>
            </w:r>
          </w:p>
        </w:tc>
      </w:tr>
      <w:tr w:rsidR="000D40B9" w:rsidRPr="00006F36" w14:paraId="252B88FE" w14:textId="77777777" w:rsidTr="000D40B9">
        <w:trPr>
          <w:cantSplit/>
          <w:trHeight w:val="20"/>
        </w:trPr>
        <w:tc>
          <w:tcPr>
            <w:tcW w:w="5000" w:type="pct"/>
            <w:vAlign w:val="center"/>
          </w:tcPr>
          <w:p w14:paraId="024ED41A" w14:textId="0CE2153D" w:rsidR="000D40B9" w:rsidRPr="00006F36" w:rsidRDefault="000D40B9" w:rsidP="000D6074">
            <w:pPr>
              <w:rPr>
                <w:rFonts w:ascii="Arial Narrow" w:hAnsi="Arial Narrow"/>
                <w:color w:val="333333"/>
                <w:sz w:val="20"/>
                <w:szCs w:val="20"/>
              </w:rPr>
            </w:pPr>
            <w:r w:rsidRPr="00006F36">
              <w:rPr>
                <w:rFonts w:ascii="Arial Narrow" w:hAnsi="Arial Narrow"/>
                <w:color w:val="333333"/>
                <w:sz w:val="20"/>
                <w:szCs w:val="20"/>
              </w:rPr>
              <w:t xml:space="preserve">Patient must be male </w:t>
            </w:r>
            <w:r w:rsidRPr="00006F36">
              <w:rPr>
                <w:rFonts w:ascii="Arial Narrow" w:hAnsi="Arial Narrow"/>
                <w:sz w:val="20"/>
                <w:szCs w:val="20"/>
              </w:rPr>
              <w:t>with</w:t>
            </w:r>
            <w:r w:rsidRPr="00006F36">
              <w:rPr>
                <w:rFonts w:ascii="Arial Narrow" w:hAnsi="Arial Narrow"/>
                <w:color w:val="333333"/>
                <w:sz w:val="20"/>
                <w:szCs w:val="20"/>
              </w:rPr>
              <w:t xml:space="preserve"> Fabry-related renal disease confirmed by at least one of the following: (i) abnormal album</w:t>
            </w:r>
            <w:r w:rsidRPr="00006F36">
              <w:rPr>
                <w:rFonts w:ascii="Arial Narrow" w:hAnsi="Arial Narrow"/>
                <w:sz w:val="20"/>
                <w:szCs w:val="20"/>
              </w:rPr>
              <w:t xml:space="preserve">inuria of more than </w:t>
            </w:r>
            <w:r w:rsidRPr="00006F36">
              <w:rPr>
                <w:rFonts w:ascii="Arial Narrow" w:hAnsi="Arial Narrow"/>
                <w:color w:val="333333"/>
                <w:sz w:val="20"/>
                <w:szCs w:val="20"/>
              </w:rPr>
              <w:t>20</w:t>
            </w:r>
            <w:r w:rsidRPr="00006F36">
              <w:rPr>
                <w:rFonts w:ascii="Arial Narrow" w:hAnsi="Arial Narrow"/>
                <w:sz w:val="20"/>
                <w:szCs w:val="20"/>
              </w:rPr>
              <w:t xml:space="preserve"> mcg</w:t>
            </w:r>
            <w:r w:rsidRPr="00006F36">
              <w:rPr>
                <w:rFonts w:ascii="Arial Narrow" w:hAnsi="Arial Narrow"/>
                <w:color w:val="333333"/>
                <w:sz w:val="20"/>
                <w:szCs w:val="20"/>
              </w:rPr>
              <w:t>/min), as determined by 2 separate samples at least 24 hours apart, (ii)</w:t>
            </w:r>
            <w:r w:rsidRPr="00006F36">
              <w:t xml:space="preserve"> </w:t>
            </w:r>
            <w:r w:rsidRPr="00006F36">
              <w:rPr>
                <w:rFonts w:ascii="Arial Narrow" w:hAnsi="Arial Narrow"/>
                <w:color w:val="333333"/>
                <w:sz w:val="20"/>
                <w:szCs w:val="20"/>
              </w:rPr>
              <w:t xml:space="preserve">abnormal </w:t>
            </w:r>
            <w:r w:rsidRPr="00006F36">
              <w:rPr>
                <w:rFonts w:ascii="Arial Narrow" w:hAnsi="Arial Narrow"/>
                <w:sz w:val="20"/>
                <w:szCs w:val="20"/>
              </w:rPr>
              <w:t>proteinuria</w:t>
            </w:r>
            <w:r w:rsidRPr="00006F36">
              <w:rPr>
                <w:rFonts w:ascii="Arial Narrow" w:hAnsi="Arial Narrow"/>
                <w:color w:val="333333"/>
                <w:sz w:val="20"/>
                <w:szCs w:val="20"/>
              </w:rPr>
              <w:t xml:space="preserve"> </w:t>
            </w:r>
            <w:r w:rsidRPr="00006F36">
              <w:rPr>
                <w:rFonts w:ascii="Arial Narrow" w:hAnsi="Arial Narrow"/>
                <w:sz w:val="20"/>
                <w:szCs w:val="20"/>
              </w:rPr>
              <w:t xml:space="preserve">of more than </w:t>
            </w:r>
            <w:r w:rsidRPr="00006F36">
              <w:rPr>
                <w:rFonts w:ascii="Arial Narrow" w:hAnsi="Arial Narrow"/>
                <w:color w:val="333333"/>
                <w:sz w:val="20"/>
                <w:szCs w:val="20"/>
              </w:rPr>
              <w:t xml:space="preserve">150 mg/24 hours), (iii) albumin: creatinine ratio greater than upper limit of normal in 2 separate samples at least 24 hours apart, (iv) renal disease due to long-term accumulation of glycosphingolipids in the kidneys. </w:t>
            </w:r>
            <w:r w:rsidRPr="00006F36">
              <w:rPr>
                <w:rFonts w:ascii="Arial Narrow" w:hAnsi="Arial Narrow"/>
                <w:b/>
                <w:bCs/>
                <w:color w:val="333333"/>
                <w:sz w:val="20"/>
                <w:szCs w:val="20"/>
              </w:rPr>
              <w:t>OR</w:t>
            </w:r>
          </w:p>
        </w:tc>
      </w:tr>
      <w:tr w:rsidR="000D40B9" w:rsidRPr="00006F36" w14:paraId="1F4ACE93" w14:textId="77777777" w:rsidTr="000D40B9">
        <w:trPr>
          <w:cantSplit/>
          <w:trHeight w:val="20"/>
        </w:trPr>
        <w:tc>
          <w:tcPr>
            <w:tcW w:w="5000" w:type="pct"/>
            <w:vAlign w:val="center"/>
          </w:tcPr>
          <w:p w14:paraId="52D70E42" w14:textId="135A296F" w:rsidR="000D40B9" w:rsidRPr="00006F36" w:rsidRDefault="000D40B9" w:rsidP="000D6074">
            <w:pPr>
              <w:rPr>
                <w:rFonts w:ascii="Arial Narrow" w:hAnsi="Arial Narrow"/>
                <w:color w:val="333333"/>
                <w:sz w:val="20"/>
                <w:szCs w:val="20"/>
              </w:rPr>
            </w:pPr>
            <w:r w:rsidRPr="00006F36">
              <w:rPr>
                <w:rFonts w:ascii="Arial Narrow" w:hAnsi="Arial Narrow"/>
                <w:color w:val="333333"/>
                <w:sz w:val="20"/>
                <w:szCs w:val="20"/>
              </w:rPr>
              <w:t xml:space="preserve">Patient must be female </w:t>
            </w:r>
            <w:r w:rsidRPr="00006F36">
              <w:rPr>
                <w:rFonts w:ascii="Arial Narrow" w:hAnsi="Arial Narrow"/>
                <w:sz w:val="20"/>
                <w:szCs w:val="20"/>
              </w:rPr>
              <w:t>with</w:t>
            </w:r>
            <w:r w:rsidRPr="00006F36">
              <w:rPr>
                <w:rFonts w:ascii="Arial Narrow" w:hAnsi="Arial Narrow"/>
                <w:color w:val="333333"/>
                <w:sz w:val="20"/>
                <w:szCs w:val="20"/>
              </w:rPr>
              <w:t xml:space="preserve"> Fabry-related renal disease confirmed by at least one of the following: (i) proteinuria </w:t>
            </w:r>
            <w:r w:rsidRPr="00006F36">
              <w:rPr>
                <w:rFonts w:ascii="Arial Narrow" w:hAnsi="Arial Narrow"/>
                <w:sz w:val="20"/>
                <w:szCs w:val="20"/>
              </w:rPr>
              <w:t xml:space="preserve">of more than </w:t>
            </w:r>
            <w:r w:rsidRPr="00006F36">
              <w:rPr>
                <w:rFonts w:ascii="Arial Narrow" w:hAnsi="Arial Narrow"/>
                <w:color w:val="333333"/>
                <w:sz w:val="20"/>
                <w:szCs w:val="20"/>
              </w:rPr>
              <w:t>300</w:t>
            </w:r>
            <w:r>
              <w:rPr>
                <w:rFonts w:ascii="Arial Narrow" w:hAnsi="Arial Narrow"/>
                <w:color w:val="333333"/>
                <w:sz w:val="20"/>
                <w:szCs w:val="20"/>
              </w:rPr>
              <w:t xml:space="preserve"> </w:t>
            </w:r>
            <w:r w:rsidRPr="00006F36">
              <w:rPr>
                <w:rFonts w:ascii="Arial Narrow" w:hAnsi="Arial Narrow"/>
                <w:color w:val="333333"/>
                <w:sz w:val="20"/>
                <w:szCs w:val="20"/>
              </w:rPr>
              <w:t xml:space="preserve">mg/24 hours with clinical evidence of progression, (ii) renal disease due to long-term accumulation of glycosphingolipids in the kidneys. </w:t>
            </w:r>
            <w:r w:rsidRPr="00006F36">
              <w:rPr>
                <w:rFonts w:ascii="Arial Narrow" w:hAnsi="Arial Narrow"/>
                <w:b/>
                <w:bCs/>
                <w:color w:val="333333"/>
                <w:sz w:val="20"/>
                <w:szCs w:val="20"/>
              </w:rPr>
              <w:t xml:space="preserve">OR </w:t>
            </w:r>
          </w:p>
        </w:tc>
      </w:tr>
      <w:tr w:rsidR="000D40B9" w:rsidRPr="00006F36" w14:paraId="6283B87D" w14:textId="77777777" w:rsidTr="000D40B9">
        <w:trPr>
          <w:cantSplit/>
          <w:trHeight w:val="20"/>
        </w:trPr>
        <w:tc>
          <w:tcPr>
            <w:tcW w:w="5000" w:type="pct"/>
            <w:vAlign w:val="center"/>
          </w:tcPr>
          <w:p w14:paraId="1CA434A1" w14:textId="77777777" w:rsidR="000D40B9" w:rsidRPr="00006F36" w:rsidRDefault="000D40B9" w:rsidP="000D6074">
            <w:pPr>
              <w:rPr>
                <w:rFonts w:ascii="Arial Narrow" w:hAnsi="Arial Narrow"/>
                <w:color w:val="333333"/>
                <w:sz w:val="20"/>
                <w:szCs w:val="20"/>
              </w:rPr>
            </w:pPr>
            <w:r w:rsidRPr="00006F36">
              <w:rPr>
                <w:rFonts w:ascii="Arial Narrow" w:hAnsi="Arial Narrow"/>
                <w:color w:val="333333"/>
                <w:sz w:val="20"/>
                <w:szCs w:val="20"/>
              </w:rPr>
              <w:t xml:space="preserve">Patient must have Fabry-related cardiac disease confirmed by at least one of the following: (i) Left ventricular hypertrophy, as evidenced by cardiac MRI or echocardiogram data, in the absence of hypertension, (ii) Significant life-threatening arrhythmia or conduction defect. </w:t>
            </w:r>
            <w:r w:rsidRPr="00006F36">
              <w:rPr>
                <w:rFonts w:ascii="Arial Narrow" w:hAnsi="Arial Narrow"/>
                <w:b/>
                <w:bCs/>
                <w:color w:val="333333"/>
                <w:sz w:val="20"/>
                <w:szCs w:val="20"/>
              </w:rPr>
              <w:t>OR</w:t>
            </w:r>
          </w:p>
        </w:tc>
      </w:tr>
      <w:tr w:rsidR="000D40B9" w:rsidRPr="00006F36" w14:paraId="7623FCD7" w14:textId="77777777" w:rsidTr="000D40B9">
        <w:trPr>
          <w:cantSplit/>
          <w:trHeight w:val="20"/>
        </w:trPr>
        <w:tc>
          <w:tcPr>
            <w:tcW w:w="5000" w:type="pct"/>
            <w:vAlign w:val="center"/>
          </w:tcPr>
          <w:p w14:paraId="06473E0C" w14:textId="6494F5D0" w:rsidR="000D40B9" w:rsidRPr="00A92E98" w:rsidRDefault="000D40B9" w:rsidP="000D6074">
            <w:pPr>
              <w:rPr>
                <w:rFonts w:ascii="Arial Narrow" w:hAnsi="Arial Narrow"/>
                <w:color w:val="333333"/>
                <w:sz w:val="20"/>
                <w:szCs w:val="20"/>
              </w:rPr>
            </w:pPr>
            <w:r w:rsidRPr="00A92E98">
              <w:rPr>
                <w:rFonts w:ascii="Arial Narrow" w:hAnsi="Arial Narrow"/>
                <w:color w:val="333333"/>
                <w:sz w:val="20"/>
                <w:szCs w:val="20"/>
              </w:rPr>
              <w:t xml:space="preserve">Patient must </w:t>
            </w:r>
            <w:r w:rsidRPr="00A92E98">
              <w:rPr>
                <w:rFonts w:ascii="Arial Narrow" w:hAnsi="Arial Narrow"/>
                <w:sz w:val="20"/>
                <w:szCs w:val="20"/>
              </w:rPr>
              <w:t xml:space="preserve">have </w:t>
            </w:r>
            <w:r w:rsidRPr="00A92E98">
              <w:rPr>
                <w:rFonts w:ascii="Arial Narrow" w:hAnsi="Arial Narrow"/>
                <w:color w:val="333333"/>
                <w:sz w:val="20"/>
                <w:szCs w:val="20"/>
              </w:rPr>
              <w:t xml:space="preserve">Fabry-related either </w:t>
            </w:r>
            <w:r w:rsidRPr="00A92E98">
              <w:rPr>
                <w:rFonts w:ascii="Arial Narrow" w:hAnsi="Arial Narrow"/>
                <w:sz w:val="20"/>
                <w:szCs w:val="20"/>
              </w:rPr>
              <w:t>(i) ischaemic</w:t>
            </w:r>
            <w:r>
              <w:rPr>
                <w:rFonts w:ascii="Arial Narrow" w:hAnsi="Arial Narrow"/>
                <w:sz w:val="20"/>
                <w:szCs w:val="20"/>
              </w:rPr>
              <w:t xml:space="preserve"> disease</w:t>
            </w:r>
            <w:r w:rsidRPr="00A92E98">
              <w:rPr>
                <w:rFonts w:ascii="Arial Narrow" w:hAnsi="Arial Narrow"/>
                <w:sz w:val="20"/>
                <w:szCs w:val="20"/>
              </w:rPr>
              <w:t>, (ii) cerebr</w:t>
            </w:r>
            <w:r>
              <w:rPr>
                <w:rFonts w:ascii="Arial Narrow" w:hAnsi="Arial Narrow"/>
                <w:sz w:val="20"/>
                <w:szCs w:val="20"/>
              </w:rPr>
              <w:t>o</w:t>
            </w:r>
            <w:r w:rsidRPr="00A92E98">
              <w:rPr>
                <w:rFonts w:ascii="Arial Narrow" w:hAnsi="Arial Narrow"/>
                <w:sz w:val="20"/>
                <w:szCs w:val="20"/>
              </w:rPr>
              <w:t>vascular disease</w:t>
            </w:r>
            <w:r w:rsidRPr="00A92E98">
              <w:rPr>
                <w:rFonts w:ascii="Arial Narrow" w:hAnsi="Arial Narrow"/>
                <w:color w:val="FF0000"/>
                <w:sz w:val="20"/>
                <w:szCs w:val="20"/>
              </w:rPr>
              <w:t xml:space="preserve"> </w:t>
            </w:r>
            <w:r w:rsidRPr="00A92E98">
              <w:rPr>
                <w:rFonts w:ascii="Arial Narrow" w:hAnsi="Arial Narrow"/>
                <w:color w:val="333333"/>
                <w:sz w:val="20"/>
                <w:szCs w:val="20"/>
              </w:rPr>
              <w:t xml:space="preserve">as shown on objective testing with no other cause or risk factors identified. </w:t>
            </w:r>
            <w:r w:rsidRPr="00A92E98">
              <w:rPr>
                <w:rFonts w:ascii="Arial Narrow" w:hAnsi="Arial Narrow"/>
                <w:b/>
                <w:bCs/>
                <w:color w:val="333333"/>
                <w:sz w:val="20"/>
                <w:szCs w:val="20"/>
              </w:rPr>
              <w:t>OR</w:t>
            </w:r>
          </w:p>
        </w:tc>
      </w:tr>
      <w:tr w:rsidR="000D40B9" w:rsidRPr="00006F36" w14:paraId="1512B031" w14:textId="77777777" w:rsidTr="000D40B9">
        <w:trPr>
          <w:cantSplit/>
          <w:trHeight w:val="20"/>
        </w:trPr>
        <w:tc>
          <w:tcPr>
            <w:tcW w:w="5000" w:type="pct"/>
            <w:vAlign w:val="center"/>
          </w:tcPr>
          <w:p w14:paraId="08147D2C" w14:textId="1B74DEEE" w:rsidR="000D40B9" w:rsidRPr="00006F36" w:rsidRDefault="000D40B9" w:rsidP="000D6074">
            <w:pPr>
              <w:rPr>
                <w:rFonts w:ascii="Arial Narrow" w:hAnsi="Arial Narrow"/>
                <w:b/>
                <w:bCs/>
                <w:color w:val="333333"/>
                <w:sz w:val="20"/>
                <w:szCs w:val="20"/>
              </w:rPr>
            </w:pPr>
            <w:r w:rsidRPr="00006F36">
              <w:rPr>
                <w:rFonts w:ascii="Arial Narrow" w:hAnsi="Arial Narrow"/>
                <w:color w:val="333333"/>
                <w:sz w:val="20"/>
                <w:szCs w:val="20"/>
              </w:rPr>
              <w:t>Patient must have Fabry-related uncontrolled chronic pain despite the use of recommended</w:t>
            </w:r>
            <w:r w:rsidRPr="00006F36">
              <w:rPr>
                <w:rFonts w:ascii="Arial Narrow" w:hAnsi="Arial Narrow"/>
                <w:i/>
                <w:iCs/>
                <w:color w:val="333333"/>
                <w:sz w:val="20"/>
                <w:szCs w:val="20"/>
              </w:rPr>
              <w:t xml:space="preserve"> </w:t>
            </w:r>
            <w:r w:rsidRPr="00006F36">
              <w:rPr>
                <w:rFonts w:ascii="Arial Narrow" w:hAnsi="Arial Narrow"/>
                <w:color w:val="333333"/>
                <w:sz w:val="20"/>
                <w:szCs w:val="20"/>
              </w:rPr>
              <w:t xml:space="preserve">doses of appropriate analgesia and antiepileptic medications for peripheral neuropathy. </w:t>
            </w:r>
            <w:r w:rsidRPr="00006F36">
              <w:rPr>
                <w:rFonts w:ascii="Arial Narrow" w:hAnsi="Arial Narrow"/>
                <w:b/>
                <w:bCs/>
                <w:color w:val="333333"/>
                <w:sz w:val="20"/>
                <w:szCs w:val="20"/>
              </w:rPr>
              <w:t>OR</w:t>
            </w:r>
          </w:p>
        </w:tc>
      </w:tr>
      <w:tr w:rsidR="000D40B9" w:rsidRPr="00006F36" w14:paraId="65CB1658" w14:textId="77777777" w:rsidTr="000D40B9">
        <w:trPr>
          <w:cantSplit/>
          <w:trHeight w:val="20"/>
        </w:trPr>
        <w:tc>
          <w:tcPr>
            <w:tcW w:w="5000" w:type="pct"/>
            <w:vAlign w:val="center"/>
          </w:tcPr>
          <w:p w14:paraId="151BC7C2" w14:textId="61DE0578" w:rsidR="000D40B9" w:rsidRPr="00006F36" w:rsidRDefault="000D40B9" w:rsidP="000D6074">
            <w:pPr>
              <w:rPr>
                <w:rFonts w:ascii="Arial Narrow" w:hAnsi="Arial Narrow"/>
                <w:color w:val="333333"/>
                <w:sz w:val="20"/>
                <w:szCs w:val="20"/>
              </w:rPr>
            </w:pPr>
            <w:r w:rsidRPr="00006F36">
              <w:rPr>
                <w:rFonts w:ascii="Arial Narrow" w:hAnsi="Arial Narrow"/>
                <w:sz w:val="20"/>
                <w:szCs w:val="20"/>
              </w:rPr>
              <w:t xml:space="preserve">Patient must have significant </w:t>
            </w:r>
            <w:r w:rsidRPr="00006F36">
              <w:rPr>
                <w:rFonts w:ascii="Arial Narrow" w:hAnsi="Arial Narrow"/>
                <w:color w:val="333333"/>
                <w:sz w:val="20"/>
                <w:szCs w:val="20"/>
              </w:rPr>
              <w:t xml:space="preserve">Fabry-related </w:t>
            </w:r>
            <w:r w:rsidRPr="00006F36">
              <w:rPr>
                <w:rFonts w:ascii="Arial Narrow" w:hAnsi="Arial Narrow"/>
                <w:sz w:val="20"/>
                <w:szCs w:val="20"/>
              </w:rPr>
              <w:t>gastrointestinal symptoms despite the use of the recommended doses of appropriate pharmacological therapies</w:t>
            </w:r>
            <w:r>
              <w:rPr>
                <w:rFonts w:ascii="Arial Narrow" w:hAnsi="Arial Narrow"/>
                <w:sz w:val="20"/>
                <w:szCs w:val="20"/>
              </w:rPr>
              <w:t xml:space="preserve">. </w:t>
            </w:r>
          </w:p>
        </w:tc>
      </w:tr>
      <w:tr w:rsidR="000D40B9" w:rsidRPr="00006F36" w14:paraId="4FA3FE0C" w14:textId="5110C8AF" w:rsidTr="000D40B9">
        <w:trPr>
          <w:cantSplit/>
          <w:trHeight w:val="20"/>
        </w:trPr>
        <w:tc>
          <w:tcPr>
            <w:tcW w:w="5000" w:type="pct"/>
            <w:vAlign w:val="center"/>
          </w:tcPr>
          <w:p w14:paraId="1402EF53" w14:textId="14AAF8A9" w:rsidR="000D40B9" w:rsidRPr="00A92E98" w:rsidRDefault="000D40B9" w:rsidP="000D6074">
            <w:pPr>
              <w:keepNext/>
              <w:rPr>
                <w:rFonts w:ascii="Arial Narrow" w:hAnsi="Arial Narrow"/>
                <w:b/>
                <w:bCs/>
                <w:color w:val="FF0000"/>
                <w:sz w:val="20"/>
                <w:szCs w:val="20"/>
              </w:rPr>
            </w:pPr>
            <w:r w:rsidRPr="00A92E98">
              <w:rPr>
                <w:rFonts w:ascii="Arial Narrow" w:hAnsi="Arial Narrow"/>
                <w:b/>
                <w:bCs/>
                <w:sz w:val="20"/>
                <w:szCs w:val="20"/>
              </w:rPr>
              <w:t>AND</w:t>
            </w:r>
          </w:p>
        </w:tc>
      </w:tr>
      <w:tr w:rsidR="000D40B9" w:rsidRPr="00006F36" w14:paraId="1644D8D2" w14:textId="77777777" w:rsidTr="000D40B9">
        <w:trPr>
          <w:cantSplit/>
          <w:trHeight w:val="20"/>
        </w:trPr>
        <w:tc>
          <w:tcPr>
            <w:tcW w:w="5000" w:type="pct"/>
            <w:vAlign w:val="center"/>
            <w:hideMark/>
          </w:tcPr>
          <w:p w14:paraId="37000176" w14:textId="77777777" w:rsidR="000D40B9" w:rsidRPr="00006F36" w:rsidRDefault="000D40B9" w:rsidP="000D6074">
            <w:pPr>
              <w:keepNext/>
              <w:rPr>
                <w:rFonts w:ascii="Arial Narrow" w:hAnsi="Arial Narrow"/>
                <w:color w:val="333333"/>
                <w:sz w:val="20"/>
                <w:szCs w:val="20"/>
              </w:rPr>
            </w:pPr>
            <w:r w:rsidRPr="00006F36">
              <w:rPr>
                <w:rFonts w:ascii="Arial Narrow" w:hAnsi="Arial Narrow"/>
                <w:b/>
                <w:bCs/>
                <w:color w:val="333333"/>
                <w:sz w:val="20"/>
                <w:szCs w:val="20"/>
              </w:rPr>
              <w:t>Treatment criteria:</w:t>
            </w:r>
          </w:p>
        </w:tc>
      </w:tr>
      <w:tr w:rsidR="000D40B9" w:rsidRPr="00006F36" w14:paraId="31E43D43" w14:textId="77777777" w:rsidTr="000D40B9">
        <w:trPr>
          <w:cantSplit/>
          <w:trHeight w:val="20"/>
        </w:trPr>
        <w:tc>
          <w:tcPr>
            <w:tcW w:w="5000" w:type="pct"/>
            <w:vAlign w:val="center"/>
            <w:hideMark/>
          </w:tcPr>
          <w:p w14:paraId="033F63CC" w14:textId="77777777" w:rsidR="000D40B9" w:rsidRPr="00006F36" w:rsidRDefault="000D40B9" w:rsidP="000D6074">
            <w:pPr>
              <w:autoSpaceDE w:val="0"/>
              <w:autoSpaceDN w:val="0"/>
              <w:adjustRightInd w:val="0"/>
              <w:rPr>
                <w:rFonts w:ascii="Arial Narrow" w:hAnsi="Arial Narrow" w:cs="Arial Narrow"/>
                <w:sz w:val="20"/>
                <w:szCs w:val="20"/>
              </w:rPr>
            </w:pPr>
            <w:r w:rsidRPr="00006F36">
              <w:rPr>
                <w:rFonts w:ascii="Arial Narrow" w:hAnsi="Arial Narrow" w:cs="Arial Narrow"/>
                <w:sz w:val="20"/>
                <w:szCs w:val="20"/>
              </w:rPr>
              <w:t>Must be treated by a physician with expertise in the management of Fabry disease</w:t>
            </w:r>
          </w:p>
        </w:tc>
      </w:tr>
      <w:tr w:rsidR="000D40B9" w:rsidRPr="00006F36" w14:paraId="37BAE4A7" w14:textId="77777777" w:rsidTr="000D40B9">
        <w:trPr>
          <w:cantSplit/>
          <w:trHeight w:val="20"/>
        </w:trPr>
        <w:tc>
          <w:tcPr>
            <w:tcW w:w="5000" w:type="pct"/>
            <w:vAlign w:val="center"/>
          </w:tcPr>
          <w:p w14:paraId="0526ACAC" w14:textId="377B0BFB" w:rsidR="000D40B9" w:rsidRPr="00006F36" w:rsidRDefault="000D40B9" w:rsidP="000D6074">
            <w:pPr>
              <w:rPr>
                <w:rFonts w:ascii="Arial Narrow" w:hAnsi="Arial Narrow"/>
                <w:b/>
                <w:bCs/>
                <w:color w:val="333333"/>
                <w:sz w:val="20"/>
                <w:szCs w:val="20"/>
              </w:rPr>
            </w:pPr>
            <w:r w:rsidRPr="00A92E98">
              <w:rPr>
                <w:rFonts w:ascii="Arial Narrow" w:hAnsi="Arial Narrow"/>
                <w:b/>
                <w:bCs/>
                <w:sz w:val="20"/>
                <w:szCs w:val="20"/>
              </w:rPr>
              <w:t>AND</w:t>
            </w:r>
          </w:p>
        </w:tc>
      </w:tr>
      <w:tr w:rsidR="000D40B9" w:rsidRPr="00006F36" w14:paraId="44E1DA91" w14:textId="77777777" w:rsidTr="000D40B9">
        <w:trPr>
          <w:cantSplit/>
          <w:trHeight w:val="20"/>
        </w:trPr>
        <w:tc>
          <w:tcPr>
            <w:tcW w:w="5000" w:type="pct"/>
            <w:vAlign w:val="center"/>
            <w:hideMark/>
          </w:tcPr>
          <w:p w14:paraId="6E36BC47" w14:textId="77777777" w:rsidR="000D40B9" w:rsidRPr="00006F36" w:rsidRDefault="000D40B9" w:rsidP="000D6074">
            <w:pPr>
              <w:rPr>
                <w:rFonts w:ascii="Arial Narrow" w:hAnsi="Arial Narrow"/>
                <w:color w:val="333333"/>
                <w:sz w:val="20"/>
                <w:szCs w:val="20"/>
              </w:rPr>
            </w:pPr>
            <w:r w:rsidRPr="00006F36">
              <w:rPr>
                <w:rFonts w:ascii="Arial Narrow" w:hAnsi="Arial Narrow"/>
                <w:b/>
                <w:bCs/>
                <w:color w:val="333333"/>
                <w:sz w:val="20"/>
                <w:szCs w:val="20"/>
              </w:rPr>
              <w:t>Population criteria:</w:t>
            </w:r>
          </w:p>
        </w:tc>
      </w:tr>
      <w:tr w:rsidR="000D40B9" w:rsidRPr="00006F36" w14:paraId="3447F37B" w14:textId="77777777" w:rsidTr="000D40B9">
        <w:trPr>
          <w:cantSplit/>
          <w:trHeight w:val="20"/>
        </w:trPr>
        <w:tc>
          <w:tcPr>
            <w:tcW w:w="5000" w:type="pct"/>
            <w:vAlign w:val="center"/>
            <w:hideMark/>
          </w:tcPr>
          <w:p w14:paraId="1102D23C" w14:textId="77777777" w:rsidR="000D40B9" w:rsidRPr="00006F36" w:rsidRDefault="000D40B9" w:rsidP="000D6074">
            <w:pPr>
              <w:rPr>
                <w:rFonts w:ascii="Arial Narrow" w:hAnsi="Arial Narrow"/>
                <w:color w:val="333333"/>
                <w:sz w:val="20"/>
                <w:szCs w:val="20"/>
              </w:rPr>
            </w:pPr>
            <w:r w:rsidRPr="00006F36">
              <w:rPr>
                <w:rFonts w:ascii="Arial Narrow" w:hAnsi="Arial Narrow"/>
                <w:sz w:val="20"/>
                <w:szCs w:val="20"/>
              </w:rPr>
              <w:t>Patient must be at least 12 years of age.</w:t>
            </w:r>
          </w:p>
        </w:tc>
      </w:tr>
      <w:tr w:rsidR="000D40B9" w:rsidRPr="00006F36" w14:paraId="23953EE2" w14:textId="77777777" w:rsidTr="000D40B9">
        <w:trPr>
          <w:cantSplit/>
          <w:trHeight w:val="20"/>
        </w:trPr>
        <w:tc>
          <w:tcPr>
            <w:tcW w:w="5000" w:type="pct"/>
            <w:vAlign w:val="center"/>
          </w:tcPr>
          <w:p w14:paraId="117A8035" w14:textId="77777777" w:rsidR="000D40B9" w:rsidRPr="00006F36" w:rsidRDefault="000D40B9" w:rsidP="000D6074">
            <w:pPr>
              <w:rPr>
                <w:rFonts w:ascii="Arial Narrow" w:hAnsi="Arial Narrow"/>
                <w:color w:val="333333"/>
                <w:sz w:val="20"/>
                <w:szCs w:val="20"/>
              </w:rPr>
            </w:pPr>
          </w:p>
        </w:tc>
      </w:tr>
      <w:tr w:rsidR="000D40B9" w:rsidRPr="00006F36" w14:paraId="35042425" w14:textId="77777777" w:rsidTr="000D40B9">
        <w:trPr>
          <w:cantSplit/>
          <w:trHeight w:val="20"/>
        </w:trPr>
        <w:tc>
          <w:tcPr>
            <w:tcW w:w="5000" w:type="pct"/>
            <w:vAlign w:val="center"/>
            <w:hideMark/>
          </w:tcPr>
          <w:p w14:paraId="1C23E11C" w14:textId="77777777" w:rsidR="00D12810" w:rsidRDefault="000D40B9" w:rsidP="000D6074">
            <w:pPr>
              <w:rPr>
                <w:rFonts w:ascii="Arial Narrow" w:hAnsi="Arial Narrow"/>
                <w:color w:val="333333"/>
                <w:sz w:val="20"/>
                <w:szCs w:val="20"/>
              </w:rPr>
            </w:pPr>
            <w:r w:rsidRPr="00006F36">
              <w:rPr>
                <w:rFonts w:ascii="Arial Narrow" w:hAnsi="Arial Narrow"/>
                <w:b/>
                <w:bCs/>
                <w:color w:val="333333"/>
                <w:sz w:val="20"/>
                <w:szCs w:val="20"/>
              </w:rPr>
              <w:t>Prescribing Instructions:</w:t>
            </w:r>
          </w:p>
          <w:p w14:paraId="15F36205" w14:textId="1194FFBE" w:rsidR="000D40B9" w:rsidRPr="00006F36" w:rsidRDefault="000D40B9" w:rsidP="000D6074">
            <w:pPr>
              <w:rPr>
                <w:rFonts w:ascii="Arial Narrow" w:hAnsi="Arial Narrow"/>
                <w:sz w:val="20"/>
                <w:szCs w:val="20"/>
              </w:rPr>
            </w:pPr>
            <w:r w:rsidRPr="00006F36">
              <w:rPr>
                <w:rFonts w:ascii="Arial Narrow" w:hAnsi="Arial Narrow"/>
                <w:color w:val="333333"/>
                <w:sz w:val="20"/>
                <w:szCs w:val="20"/>
              </w:rPr>
              <w:t>If hypertension is present in patients relying their eligibility</w:t>
            </w:r>
            <w:r w:rsidRPr="00006F36">
              <w:rPr>
                <w:rFonts w:ascii="Arial Narrow" w:hAnsi="Arial Narrow"/>
                <w:i/>
                <w:iCs/>
                <w:color w:val="333333"/>
                <w:sz w:val="20"/>
                <w:szCs w:val="20"/>
              </w:rPr>
              <w:t xml:space="preserve"> </w:t>
            </w:r>
            <w:r w:rsidRPr="00006F36">
              <w:rPr>
                <w:rFonts w:ascii="Arial Narrow" w:hAnsi="Arial Narrow"/>
                <w:color w:val="333333"/>
                <w:sz w:val="20"/>
                <w:szCs w:val="20"/>
              </w:rPr>
              <w:t xml:space="preserve">on Fabry-related cardiac disease, the prescriber must treat it optimally for at least 6 months prior to submitting the first PBS authority application. </w:t>
            </w:r>
          </w:p>
        </w:tc>
      </w:tr>
      <w:tr w:rsidR="000D40B9" w:rsidRPr="00006F36" w14:paraId="630A6878" w14:textId="77777777" w:rsidTr="000D40B9">
        <w:trPr>
          <w:cantSplit/>
          <w:trHeight w:val="20"/>
        </w:trPr>
        <w:tc>
          <w:tcPr>
            <w:tcW w:w="5000" w:type="pct"/>
            <w:vAlign w:val="center"/>
          </w:tcPr>
          <w:p w14:paraId="6868904A" w14:textId="4703845A" w:rsidR="000D40B9" w:rsidRPr="00A92E98" w:rsidRDefault="000D40B9" w:rsidP="007B7D06">
            <w:pPr>
              <w:rPr>
                <w:rFonts w:ascii="Arial Narrow" w:hAnsi="Arial Narrow"/>
                <w:color w:val="333333"/>
                <w:sz w:val="20"/>
                <w:szCs w:val="20"/>
              </w:rPr>
            </w:pPr>
            <w:r w:rsidRPr="00A92E98">
              <w:rPr>
                <w:rFonts w:ascii="Arial Narrow" w:hAnsi="Arial Narrow"/>
                <w:b/>
                <w:bCs/>
                <w:color w:val="333333"/>
                <w:sz w:val="20"/>
                <w:szCs w:val="20"/>
              </w:rPr>
              <w:t>Prescribing Instructions:</w:t>
            </w:r>
          </w:p>
          <w:p w14:paraId="78795DA5" w14:textId="600D02BA" w:rsidR="000D40B9" w:rsidRPr="00B95430" w:rsidRDefault="000D40B9" w:rsidP="00B95430">
            <w:pPr>
              <w:rPr>
                <w:rFonts w:ascii="Arial Narrow" w:hAnsi="Arial Narrow"/>
                <w:color w:val="333333"/>
                <w:sz w:val="20"/>
                <w:szCs w:val="20"/>
              </w:rPr>
            </w:pPr>
            <w:r>
              <w:rPr>
                <w:rFonts w:ascii="Arial Narrow" w:hAnsi="Arial Narrow" w:cs="Segoe UI"/>
                <w:color w:val="333333"/>
                <w:sz w:val="20"/>
                <w:szCs w:val="20"/>
              </w:rPr>
              <w:t>C</w:t>
            </w:r>
            <w:r w:rsidRPr="00B95430">
              <w:rPr>
                <w:rFonts w:ascii="Arial Narrow" w:hAnsi="Arial Narrow" w:cs="Segoe UI"/>
                <w:color w:val="333333"/>
                <w:sz w:val="20"/>
                <w:szCs w:val="20"/>
              </w:rPr>
              <w:t>onfirmation of eligibility for treatment with diagnostic reports including the confirmed mutations must be documented in the patient's medical records.</w:t>
            </w:r>
          </w:p>
        </w:tc>
      </w:tr>
      <w:tr w:rsidR="000D40B9" w:rsidRPr="00006F36" w14:paraId="0151FD7C" w14:textId="77777777" w:rsidTr="000D40B9">
        <w:trPr>
          <w:cantSplit/>
          <w:trHeight w:val="20"/>
        </w:trPr>
        <w:tc>
          <w:tcPr>
            <w:tcW w:w="5000" w:type="pct"/>
            <w:vAlign w:val="center"/>
          </w:tcPr>
          <w:p w14:paraId="7B3016CD" w14:textId="2F7BDC0A" w:rsidR="000D40B9" w:rsidRPr="00E67FCC" w:rsidRDefault="000D40B9" w:rsidP="000D6074">
            <w:pPr>
              <w:rPr>
                <w:rFonts w:ascii="Arial Narrow" w:hAnsi="Arial Narrow"/>
                <w:color w:val="333333"/>
                <w:sz w:val="20"/>
                <w:szCs w:val="20"/>
              </w:rPr>
            </w:pPr>
            <w:r w:rsidRPr="00E67FCC">
              <w:rPr>
                <w:rFonts w:ascii="Arial Narrow" w:hAnsi="Arial Narrow"/>
                <w:b/>
                <w:bCs/>
                <w:color w:val="333333"/>
                <w:sz w:val="20"/>
                <w:szCs w:val="20"/>
              </w:rPr>
              <w:t>Prescribing Instructions</w:t>
            </w:r>
          </w:p>
          <w:p w14:paraId="716E13BE" w14:textId="13609490" w:rsidR="000D40B9" w:rsidRPr="00006F36" w:rsidRDefault="000D40B9" w:rsidP="000D6074">
            <w:pPr>
              <w:rPr>
                <w:rFonts w:ascii="Arial Narrow" w:hAnsi="Arial Narrow"/>
                <w:color w:val="333333"/>
                <w:sz w:val="20"/>
                <w:szCs w:val="20"/>
              </w:rPr>
            </w:pPr>
            <w:r w:rsidRPr="00006F36">
              <w:rPr>
                <w:rFonts w:ascii="Arial Narrow" w:hAnsi="Arial Narrow"/>
                <w:color w:val="333333"/>
                <w:sz w:val="20"/>
                <w:szCs w:val="20"/>
              </w:rPr>
              <w:t>The authority application must be made in writing and must include:</w:t>
            </w:r>
          </w:p>
          <w:p w14:paraId="26F856F0" w14:textId="77777777" w:rsidR="000D40B9" w:rsidRPr="00006F36" w:rsidRDefault="000D40B9" w:rsidP="000D6074">
            <w:pPr>
              <w:rPr>
                <w:rFonts w:ascii="Arial Narrow" w:hAnsi="Arial Narrow"/>
                <w:color w:val="333333"/>
                <w:sz w:val="20"/>
                <w:szCs w:val="20"/>
              </w:rPr>
            </w:pPr>
            <w:r w:rsidRPr="00006F36">
              <w:rPr>
                <w:rFonts w:ascii="Arial Narrow" w:hAnsi="Arial Narrow"/>
                <w:color w:val="333333"/>
                <w:sz w:val="20"/>
                <w:szCs w:val="20"/>
              </w:rPr>
              <w:t>(1) a completed authority prescription form; and</w:t>
            </w:r>
          </w:p>
          <w:p w14:paraId="511081D7" w14:textId="403DD7FB" w:rsidR="000D40B9" w:rsidRPr="00006F36" w:rsidRDefault="000D40B9" w:rsidP="000D6074">
            <w:pPr>
              <w:rPr>
                <w:rFonts w:ascii="Arial Narrow" w:hAnsi="Arial Narrow"/>
                <w:color w:val="333333"/>
                <w:sz w:val="20"/>
                <w:szCs w:val="20"/>
              </w:rPr>
            </w:pPr>
            <w:r w:rsidRPr="00006F36">
              <w:rPr>
                <w:rFonts w:ascii="Arial Narrow" w:hAnsi="Arial Narrow"/>
                <w:color w:val="333333"/>
                <w:sz w:val="20"/>
                <w:szCs w:val="20"/>
              </w:rPr>
              <w:t>(2) a completed authority application form relevant to the indication and treatment phase (the latest version is located on the website specified in the Administrative Advice).</w:t>
            </w:r>
          </w:p>
        </w:tc>
      </w:tr>
      <w:tr w:rsidR="000D40B9" w:rsidRPr="00006F36" w14:paraId="694B0960" w14:textId="77777777" w:rsidTr="000D40B9">
        <w:trPr>
          <w:cantSplit/>
          <w:trHeight w:val="20"/>
        </w:trPr>
        <w:tc>
          <w:tcPr>
            <w:tcW w:w="5000" w:type="pct"/>
            <w:vAlign w:val="center"/>
          </w:tcPr>
          <w:p w14:paraId="69472CAD" w14:textId="77777777" w:rsidR="00D12810" w:rsidRDefault="000D40B9" w:rsidP="000D6074">
            <w:pPr>
              <w:rPr>
                <w:rFonts w:ascii="Arial Narrow" w:hAnsi="Arial Narrow"/>
                <w:b/>
                <w:bCs/>
                <w:color w:val="333333"/>
                <w:sz w:val="20"/>
                <w:szCs w:val="20"/>
              </w:rPr>
            </w:pPr>
            <w:r w:rsidRPr="00006F36">
              <w:rPr>
                <w:rFonts w:ascii="Arial Narrow" w:hAnsi="Arial Narrow"/>
                <w:b/>
                <w:bCs/>
                <w:color w:val="333333"/>
                <w:sz w:val="20"/>
                <w:szCs w:val="20"/>
              </w:rPr>
              <w:lastRenderedPageBreak/>
              <w:t>Administrative Advice:</w:t>
            </w:r>
          </w:p>
          <w:p w14:paraId="3A36C224" w14:textId="277FB4C8" w:rsidR="000D40B9" w:rsidRPr="00006F36" w:rsidRDefault="000D40B9" w:rsidP="000D6074">
            <w:pPr>
              <w:textAlignment w:val="baseline"/>
              <w:rPr>
                <w:rFonts w:ascii="Arial Narrow" w:hAnsi="Arial Narrow" w:cs="Open Sans"/>
                <w:color w:val="333333"/>
                <w:sz w:val="20"/>
                <w:szCs w:val="20"/>
              </w:rPr>
            </w:pPr>
            <w:r w:rsidRPr="00006F36">
              <w:rPr>
                <w:rFonts w:ascii="Arial Narrow" w:hAnsi="Arial Narrow" w:cs="Open Sans"/>
                <w:color w:val="333333"/>
                <w:sz w:val="20"/>
                <w:szCs w:val="20"/>
              </w:rPr>
              <w:t>Any queries concerning the arrangements to prescribe may be directed to Services Australia on 1800 700 270 (hours of operation 8 a.m. to 5 p.m. Monday to Friday).</w:t>
            </w:r>
          </w:p>
          <w:p w14:paraId="61C2C009" w14:textId="77777777" w:rsidR="000D40B9" w:rsidRPr="00006F36" w:rsidRDefault="000D40B9" w:rsidP="000D6074">
            <w:pPr>
              <w:textAlignment w:val="baseline"/>
              <w:rPr>
                <w:rFonts w:ascii="Arial Narrow" w:hAnsi="Arial Narrow" w:cs="Open Sans"/>
                <w:color w:val="333333"/>
                <w:sz w:val="20"/>
                <w:szCs w:val="20"/>
              </w:rPr>
            </w:pPr>
            <w:r w:rsidRPr="00006F36">
              <w:rPr>
                <w:rFonts w:ascii="Arial Narrow" w:hAnsi="Arial Narrow" w:cs="Open Sans"/>
                <w:color w:val="333333"/>
                <w:sz w:val="20"/>
                <w:szCs w:val="20"/>
              </w:rPr>
              <w:t>Prescribing information (including Authority Application forms and other relevant documentation as applicable) is available on the Services Australia website at www.servicesaustralia.gov.au</w:t>
            </w:r>
          </w:p>
          <w:p w14:paraId="074DF4C3" w14:textId="77777777" w:rsidR="000D40B9" w:rsidRPr="00006F36" w:rsidRDefault="000D40B9" w:rsidP="000D6074">
            <w:pPr>
              <w:textAlignment w:val="baseline"/>
              <w:rPr>
                <w:rFonts w:ascii="Arial Narrow" w:hAnsi="Arial Narrow" w:cs="Open Sans"/>
                <w:color w:val="333333"/>
                <w:sz w:val="20"/>
                <w:szCs w:val="20"/>
              </w:rPr>
            </w:pPr>
            <w:r w:rsidRPr="00006F36">
              <w:rPr>
                <w:rFonts w:ascii="Arial Narrow" w:hAnsi="Arial Narrow" w:cs="Open Sans"/>
                <w:color w:val="333333"/>
                <w:sz w:val="20"/>
                <w:szCs w:val="20"/>
              </w:rPr>
              <w:t>Applications for authority to prescribe should be submitted online using the form upload facility in Health Professional Online Services (HPOS) at www.servicesaustralia.gov.au/hpos</w:t>
            </w:r>
          </w:p>
          <w:p w14:paraId="54B387FF" w14:textId="77777777" w:rsidR="000D40B9" w:rsidRPr="00006F36" w:rsidRDefault="000D40B9" w:rsidP="000D6074">
            <w:pPr>
              <w:textAlignment w:val="baseline"/>
              <w:rPr>
                <w:rFonts w:ascii="Arial Narrow" w:hAnsi="Arial Narrow" w:cs="Open Sans"/>
                <w:color w:val="333333"/>
                <w:sz w:val="20"/>
                <w:szCs w:val="20"/>
              </w:rPr>
            </w:pPr>
            <w:r w:rsidRPr="00006F36">
              <w:rPr>
                <w:rFonts w:ascii="Arial Narrow" w:hAnsi="Arial Narrow" w:cs="Open Sans"/>
                <w:color w:val="333333"/>
                <w:sz w:val="20"/>
                <w:szCs w:val="20"/>
              </w:rPr>
              <w:t>Or mailed to:</w:t>
            </w:r>
          </w:p>
          <w:p w14:paraId="06753375" w14:textId="77777777" w:rsidR="000D40B9" w:rsidRPr="00006F36" w:rsidRDefault="000D40B9" w:rsidP="000D6074">
            <w:pPr>
              <w:textAlignment w:val="baseline"/>
              <w:rPr>
                <w:rFonts w:ascii="Arial Narrow" w:hAnsi="Arial Narrow" w:cs="Open Sans"/>
                <w:color w:val="333333"/>
                <w:sz w:val="20"/>
                <w:szCs w:val="20"/>
              </w:rPr>
            </w:pPr>
            <w:r w:rsidRPr="00006F36">
              <w:rPr>
                <w:rFonts w:ascii="Arial Narrow" w:hAnsi="Arial Narrow" w:cs="Open Sans"/>
                <w:color w:val="333333"/>
                <w:sz w:val="20"/>
                <w:szCs w:val="20"/>
              </w:rPr>
              <w:t>Services Australia</w:t>
            </w:r>
          </w:p>
          <w:p w14:paraId="5943BF9B" w14:textId="77777777" w:rsidR="000D40B9" w:rsidRPr="00006F36" w:rsidRDefault="000D40B9" w:rsidP="000D6074">
            <w:pPr>
              <w:textAlignment w:val="baseline"/>
              <w:rPr>
                <w:rFonts w:ascii="Arial Narrow" w:hAnsi="Arial Narrow" w:cs="Open Sans"/>
                <w:color w:val="333333"/>
                <w:sz w:val="20"/>
                <w:szCs w:val="20"/>
              </w:rPr>
            </w:pPr>
            <w:r w:rsidRPr="00006F36">
              <w:rPr>
                <w:rFonts w:ascii="Arial Narrow" w:hAnsi="Arial Narrow" w:cs="Open Sans"/>
                <w:color w:val="333333"/>
                <w:sz w:val="20"/>
                <w:szCs w:val="20"/>
              </w:rPr>
              <w:t>Complex Drugs</w:t>
            </w:r>
          </w:p>
          <w:p w14:paraId="171A8EAE" w14:textId="77777777" w:rsidR="000D40B9" w:rsidRPr="00006F36" w:rsidRDefault="000D40B9" w:rsidP="000D6074">
            <w:pPr>
              <w:textAlignment w:val="baseline"/>
              <w:rPr>
                <w:rFonts w:ascii="Arial Narrow" w:hAnsi="Arial Narrow" w:cs="Open Sans"/>
                <w:color w:val="333333"/>
                <w:sz w:val="20"/>
                <w:szCs w:val="20"/>
              </w:rPr>
            </w:pPr>
            <w:r w:rsidRPr="00006F36">
              <w:rPr>
                <w:rFonts w:ascii="Arial Narrow" w:hAnsi="Arial Narrow" w:cs="Open Sans"/>
                <w:color w:val="333333"/>
                <w:sz w:val="20"/>
                <w:szCs w:val="20"/>
              </w:rPr>
              <w:t>Reply Paid 9826</w:t>
            </w:r>
          </w:p>
          <w:p w14:paraId="70E055DE" w14:textId="77777777" w:rsidR="000D40B9" w:rsidRPr="00006F36" w:rsidRDefault="000D40B9" w:rsidP="000D6074">
            <w:pPr>
              <w:textAlignment w:val="baseline"/>
              <w:rPr>
                <w:rFonts w:ascii="Arial Narrow" w:hAnsi="Arial Narrow" w:cs="Open Sans"/>
                <w:color w:val="333333"/>
                <w:sz w:val="20"/>
                <w:szCs w:val="20"/>
              </w:rPr>
            </w:pPr>
            <w:r w:rsidRPr="00006F36">
              <w:rPr>
                <w:rFonts w:ascii="Arial Narrow" w:hAnsi="Arial Narrow" w:cs="Open Sans"/>
                <w:color w:val="333333"/>
                <w:sz w:val="20"/>
                <w:szCs w:val="20"/>
              </w:rPr>
              <w:t>HOBART TAS 7001</w:t>
            </w:r>
          </w:p>
        </w:tc>
      </w:tr>
      <w:tr w:rsidR="00990644" w:rsidRPr="00006F36" w14:paraId="49084ADE" w14:textId="77777777" w:rsidTr="00990644">
        <w:trPr>
          <w:cantSplit/>
          <w:trHeight w:val="499"/>
        </w:trPr>
        <w:tc>
          <w:tcPr>
            <w:tcW w:w="5000" w:type="pct"/>
          </w:tcPr>
          <w:p w14:paraId="2B612655" w14:textId="77777777" w:rsidR="00990644" w:rsidRPr="00006F36" w:rsidRDefault="00990644" w:rsidP="000D6074">
            <w:pPr>
              <w:rPr>
                <w:rFonts w:ascii="Arial Narrow" w:hAnsi="Arial Narrow"/>
                <w:b/>
                <w:bCs/>
                <w:color w:val="333333"/>
                <w:sz w:val="20"/>
                <w:szCs w:val="20"/>
              </w:rPr>
            </w:pPr>
          </w:p>
        </w:tc>
      </w:tr>
      <w:tr w:rsidR="00C84E6D" w:rsidRPr="00006F36" w14:paraId="4BEAE875" w14:textId="77777777" w:rsidTr="000D6074">
        <w:trPr>
          <w:cantSplit/>
          <w:trHeight w:val="20"/>
        </w:trPr>
        <w:tc>
          <w:tcPr>
            <w:tcW w:w="5000" w:type="pct"/>
          </w:tcPr>
          <w:p w14:paraId="7EB39F15" w14:textId="77777777" w:rsidR="00C84E6D" w:rsidRPr="00006F36" w:rsidRDefault="00C84E6D" w:rsidP="000D6074">
            <w:pPr>
              <w:rPr>
                <w:rFonts w:ascii="Arial Narrow" w:hAnsi="Arial Narrow"/>
                <w:color w:val="333333"/>
                <w:sz w:val="20"/>
                <w:szCs w:val="20"/>
              </w:rPr>
            </w:pPr>
            <w:r w:rsidRPr="00006F36">
              <w:rPr>
                <w:rFonts w:ascii="Arial Narrow" w:hAnsi="Arial Narrow"/>
                <w:b/>
                <w:bCs/>
                <w:color w:val="333333"/>
                <w:sz w:val="20"/>
                <w:szCs w:val="20"/>
              </w:rPr>
              <w:t>Restriction summary: New 3/ Treatment of concept: New 4</w:t>
            </w:r>
          </w:p>
        </w:tc>
      </w:tr>
      <w:tr w:rsidR="000D40B9" w:rsidRPr="00006F36" w14:paraId="07487288" w14:textId="77777777" w:rsidTr="000D40B9">
        <w:trPr>
          <w:cantSplit/>
          <w:trHeight w:val="20"/>
        </w:trPr>
        <w:tc>
          <w:tcPr>
            <w:tcW w:w="5000" w:type="pct"/>
            <w:vAlign w:val="center"/>
            <w:hideMark/>
          </w:tcPr>
          <w:p w14:paraId="17BB4B67" w14:textId="77777777" w:rsidR="000D40B9" w:rsidRPr="00006F36" w:rsidRDefault="000D40B9" w:rsidP="000D6074">
            <w:pPr>
              <w:rPr>
                <w:rFonts w:ascii="Arial Narrow" w:hAnsi="Arial Narrow"/>
                <w:color w:val="333333"/>
                <w:sz w:val="20"/>
                <w:szCs w:val="20"/>
              </w:rPr>
            </w:pPr>
            <w:r w:rsidRPr="00006F36">
              <w:rPr>
                <w:rFonts w:ascii="Arial Narrow" w:hAnsi="Arial Narrow"/>
                <w:b/>
                <w:bCs/>
                <w:color w:val="333333"/>
                <w:sz w:val="20"/>
                <w:szCs w:val="20"/>
              </w:rPr>
              <w:t>Indication:</w:t>
            </w:r>
            <w:r w:rsidRPr="00006F36">
              <w:rPr>
                <w:rFonts w:ascii="Arial Narrow" w:hAnsi="Arial Narrow"/>
                <w:color w:val="333333"/>
                <w:sz w:val="20"/>
                <w:szCs w:val="20"/>
              </w:rPr>
              <w:t xml:space="preserve"> Fabry disease</w:t>
            </w:r>
          </w:p>
        </w:tc>
      </w:tr>
      <w:tr w:rsidR="000D40B9" w:rsidRPr="00006F36" w14:paraId="4EFE9A16" w14:textId="77777777" w:rsidTr="000D40B9">
        <w:trPr>
          <w:cantSplit/>
          <w:trHeight w:val="20"/>
        </w:trPr>
        <w:tc>
          <w:tcPr>
            <w:tcW w:w="5000" w:type="pct"/>
            <w:vAlign w:val="center"/>
            <w:hideMark/>
          </w:tcPr>
          <w:p w14:paraId="21DA4E67" w14:textId="77777777" w:rsidR="000D40B9" w:rsidRPr="00006F36" w:rsidRDefault="000D40B9" w:rsidP="000D6074">
            <w:pPr>
              <w:rPr>
                <w:rFonts w:ascii="Arial Narrow" w:hAnsi="Arial Narrow"/>
                <w:sz w:val="20"/>
                <w:szCs w:val="20"/>
              </w:rPr>
            </w:pPr>
            <w:r w:rsidRPr="00006F36">
              <w:rPr>
                <w:rFonts w:ascii="Arial Narrow" w:hAnsi="Arial Narrow"/>
                <w:b/>
                <w:bCs/>
                <w:color w:val="333333"/>
                <w:sz w:val="20"/>
                <w:szCs w:val="20"/>
              </w:rPr>
              <w:t>Treatment Phase:</w:t>
            </w:r>
            <w:r w:rsidRPr="00006F36">
              <w:rPr>
                <w:rFonts w:ascii="Arial Narrow" w:hAnsi="Arial Narrow"/>
                <w:color w:val="FF0000"/>
                <w:sz w:val="20"/>
                <w:szCs w:val="20"/>
              </w:rPr>
              <w:t xml:space="preserve"> </w:t>
            </w:r>
            <w:r w:rsidRPr="00006F36">
              <w:rPr>
                <w:rFonts w:ascii="Arial Narrow" w:hAnsi="Arial Narrow"/>
                <w:color w:val="333333"/>
                <w:sz w:val="20"/>
                <w:szCs w:val="20"/>
              </w:rPr>
              <w:t xml:space="preserve">Continuing treatment </w:t>
            </w:r>
          </w:p>
        </w:tc>
      </w:tr>
      <w:tr w:rsidR="000D40B9" w:rsidRPr="00006F36" w14:paraId="64A0380C" w14:textId="77777777" w:rsidTr="000D40B9">
        <w:trPr>
          <w:cantSplit/>
          <w:trHeight w:val="20"/>
        </w:trPr>
        <w:tc>
          <w:tcPr>
            <w:tcW w:w="5000" w:type="pct"/>
            <w:vAlign w:val="center"/>
          </w:tcPr>
          <w:p w14:paraId="3C50036D" w14:textId="77777777" w:rsidR="000D40B9" w:rsidRPr="00006F36" w:rsidRDefault="000D40B9" w:rsidP="000D6074">
            <w:pPr>
              <w:rPr>
                <w:rFonts w:ascii="Arial Narrow" w:hAnsi="Arial Narrow"/>
                <w:b/>
                <w:bCs/>
                <w:color w:val="333333"/>
                <w:sz w:val="20"/>
                <w:szCs w:val="20"/>
              </w:rPr>
            </w:pPr>
            <w:r w:rsidRPr="00006F36">
              <w:rPr>
                <w:rFonts w:ascii="Arial Narrow" w:hAnsi="Arial Narrow"/>
                <w:b/>
                <w:bCs/>
                <w:color w:val="333333"/>
                <w:sz w:val="20"/>
                <w:szCs w:val="20"/>
              </w:rPr>
              <w:t>Clinical criteria:</w:t>
            </w:r>
          </w:p>
        </w:tc>
      </w:tr>
      <w:tr w:rsidR="000D40B9" w:rsidRPr="00006F36" w14:paraId="5969F4EE" w14:textId="77777777" w:rsidTr="000D40B9">
        <w:trPr>
          <w:cantSplit/>
          <w:trHeight w:val="20"/>
        </w:trPr>
        <w:tc>
          <w:tcPr>
            <w:tcW w:w="5000" w:type="pct"/>
            <w:vAlign w:val="center"/>
          </w:tcPr>
          <w:p w14:paraId="346D1FCE" w14:textId="77777777" w:rsidR="000D40B9" w:rsidRPr="00006F36" w:rsidRDefault="000D40B9" w:rsidP="000D6074">
            <w:pPr>
              <w:rPr>
                <w:rFonts w:ascii="Arial Narrow" w:hAnsi="Arial Narrow"/>
                <w:color w:val="333333"/>
                <w:sz w:val="20"/>
                <w:szCs w:val="20"/>
              </w:rPr>
            </w:pPr>
            <w:r w:rsidRPr="00006F36">
              <w:rPr>
                <w:rFonts w:ascii="Arial Narrow" w:hAnsi="Arial Narrow"/>
                <w:color w:val="333333"/>
                <w:sz w:val="20"/>
                <w:szCs w:val="20"/>
              </w:rPr>
              <w:t>Patient must have received prior PBS-subsidised treatment with this drug for this condition.</w:t>
            </w:r>
          </w:p>
        </w:tc>
      </w:tr>
      <w:tr w:rsidR="000D40B9" w:rsidRPr="00006F36" w14:paraId="44A11BBB" w14:textId="77777777" w:rsidTr="000D40B9">
        <w:trPr>
          <w:cantSplit/>
          <w:trHeight w:val="20"/>
        </w:trPr>
        <w:tc>
          <w:tcPr>
            <w:tcW w:w="5000" w:type="pct"/>
            <w:vAlign w:val="center"/>
          </w:tcPr>
          <w:p w14:paraId="2B2BA68C" w14:textId="77777777" w:rsidR="000D40B9" w:rsidRPr="00006F36" w:rsidRDefault="000D40B9" w:rsidP="000D6074">
            <w:pPr>
              <w:rPr>
                <w:rFonts w:ascii="Arial Narrow" w:hAnsi="Arial Narrow"/>
                <w:b/>
                <w:bCs/>
                <w:color w:val="333333"/>
                <w:sz w:val="20"/>
                <w:szCs w:val="20"/>
              </w:rPr>
            </w:pPr>
            <w:r w:rsidRPr="00006F36">
              <w:rPr>
                <w:rFonts w:ascii="Arial Narrow" w:hAnsi="Arial Narrow"/>
                <w:b/>
                <w:bCs/>
                <w:color w:val="333333"/>
                <w:sz w:val="20"/>
                <w:szCs w:val="20"/>
              </w:rPr>
              <w:t>AND</w:t>
            </w:r>
          </w:p>
        </w:tc>
      </w:tr>
      <w:tr w:rsidR="000D40B9" w:rsidRPr="00006F36" w14:paraId="5B3E9E3D" w14:textId="77777777" w:rsidTr="000D40B9">
        <w:trPr>
          <w:cantSplit/>
          <w:trHeight w:val="20"/>
        </w:trPr>
        <w:tc>
          <w:tcPr>
            <w:tcW w:w="5000" w:type="pct"/>
            <w:vAlign w:val="center"/>
          </w:tcPr>
          <w:p w14:paraId="01EF7A97" w14:textId="77777777" w:rsidR="000D40B9" w:rsidRPr="00006F36" w:rsidRDefault="000D40B9" w:rsidP="000D6074">
            <w:pPr>
              <w:rPr>
                <w:rFonts w:ascii="Arial Narrow" w:hAnsi="Arial Narrow"/>
                <w:b/>
                <w:bCs/>
                <w:color w:val="333333"/>
                <w:sz w:val="20"/>
                <w:szCs w:val="20"/>
              </w:rPr>
            </w:pPr>
            <w:r w:rsidRPr="00006F36">
              <w:rPr>
                <w:rFonts w:ascii="Arial Narrow" w:hAnsi="Arial Narrow"/>
                <w:b/>
                <w:bCs/>
                <w:color w:val="333333"/>
                <w:sz w:val="20"/>
                <w:szCs w:val="20"/>
              </w:rPr>
              <w:t xml:space="preserve">Clinical criteria: </w:t>
            </w:r>
          </w:p>
        </w:tc>
      </w:tr>
      <w:tr w:rsidR="000D40B9" w:rsidRPr="00006F36" w14:paraId="43A885A9" w14:textId="77777777" w:rsidTr="000D40B9">
        <w:trPr>
          <w:cantSplit/>
          <w:trHeight w:val="20"/>
        </w:trPr>
        <w:tc>
          <w:tcPr>
            <w:tcW w:w="5000" w:type="pct"/>
            <w:vAlign w:val="center"/>
          </w:tcPr>
          <w:p w14:paraId="7788516C" w14:textId="7E176688" w:rsidR="000D40B9" w:rsidRPr="00006F36" w:rsidRDefault="000D40B9" w:rsidP="000D6074">
            <w:pPr>
              <w:rPr>
                <w:rFonts w:ascii="Arial Narrow" w:hAnsi="Arial Narrow"/>
                <w:color w:val="333333"/>
                <w:sz w:val="20"/>
                <w:szCs w:val="20"/>
              </w:rPr>
            </w:pPr>
            <w:r w:rsidRPr="00006F36">
              <w:rPr>
                <w:rFonts w:ascii="Arial Narrow" w:hAnsi="Arial Narrow"/>
                <w:color w:val="333333"/>
                <w:sz w:val="20"/>
                <w:szCs w:val="20"/>
              </w:rPr>
              <w:t>Patient must have demonstrated clinical improvement or stabilisation of condition, the details of which must be kept with the patient's record.</w:t>
            </w:r>
          </w:p>
        </w:tc>
      </w:tr>
      <w:tr w:rsidR="000D40B9" w:rsidRPr="00006F36" w14:paraId="16A6F60A" w14:textId="77777777" w:rsidTr="000D40B9">
        <w:trPr>
          <w:cantSplit/>
          <w:trHeight w:val="20"/>
        </w:trPr>
        <w:tc>
          <w:tcPr>
            <w:tcW w:w="5000" w:type="pct"/>
            <w:vAlign w:val="center"/>
          </w:tcPr>
          <w:p w14:paraId="64AB31EB" w14:textId="77777777" w:rsidR="000D40B9" w:rsidRPr="00006F36" w:rsidRDefault="000D40B9" w:rsidP="000D6074">
            <w:pPr>
              <w:rPr>
                <w:rFonts w:ascii="Arial Narrow" w:hAnsi="Arial Narrow"/>
                <w:b/>
                <w:bCs/>
                <w:color w:val="333333"/>
                <w:sz w:val="20"/>
                <w:szCs w:val="20"/>
              </w:rPr>
            </w:pPr>
            <w:r w:rsidRPr="00006F36">
              <w:rPr>
                <w:rFonts w:ascii="Arial Narrow" w:hAnsi="Arial Narrow"/>
                <w:b/>
                <w:bCs/>
                <w:color w:val="333333"/>
                <w:sz w:val="20"/>
                <w:szCs w:val="20"/>
              </w:rPr>
              <w:t>AND</w:t>
            </w:r>
          </w:p>
        </w:tc>
      </w:tr>
      <w:tr w:rsidR="000D40B9" w:rsidRPr="00006F36" w14:paraId="6C576322" w14:textId="77777777" w:rsidTr="000D40B9">
        <w:trPr>
          <w:cantSplit/>
          <w:trHeight w:val="20"/>
        </w:trPr>
        <w:tc>
          <w:tcPr>
            <w:tcW w:w="5000" w:type="pct"/>
            <w:vAlign w:val="center"/>
          </w:tcPr>
          <w:p w14:paraId="24A86C81" w14:textId="77777777" w:rsidR="000D40B9" w:rsidRPr="00006F36" w:rsidRDefault="000D40B9" w:rsidP="000D6074">
            <w:pPr>
              <w:rPr>
                <w:rFonts w:ascii="Arial Narrow" w:hAnsi="Arial Narrow"/>
                <w:b/>
                <w:bCs/>
                <w:color w:val="333333"/>
                <w:sz w:val="20"/>
                <w:szCs w:val="20"/>
              </w:rPr>
            </w:pPr>
            <w:r w:rsidRPr="00006F36">
              <w:rPr>
                <w:rFonts w:ascii="Arial Narrow" w:hAnsi="Arial Narrow"/>
                <w:b/>
                <w:bCs/>
                <w:color w:val="333333"/>
                <w:sz w:val="20"/>
                <w:szCs w:val="20"/>
              </w:rPr>
              <w:t xml:space="preserve">Clinical criteria: </w:t>
            </w:r>
          </w:p>
        </w:tc>
      </w:tr>
      <w:tr w:rsidR="000D40B9" w:rsidRPr="00006F36" w14:paraId="54822C95" w14:textId="77777777" w:rsidTr="000D40B9">
        <w:trPr>
          <w:cantSplit/>
          <w:trHeight w:val="20"/>
        </w:trPr>
        <w:tc>
          <w:tcPr>
            <w:tcW w:w="5000" w:type="pct"/>
            <w:vAlign w:val="center"/>
          </w:tcPr>
          <w:p w14:paraId="0EC27153" w14:textId="77777777" w:rsidR="000D40B9" w:rsidRPr="00006F36" w:rsidRDefault="000D40B9" w:rsidP="000D6074">
            <w:pPr>
              <w:rPr>
                <w:rFonts w:ascii="Arial Narrow" w:hAnsi="Arial Narrow"/>
                <w:b/>
                <w:bCs/>
                <w:color w:val="333333"/>
                <w:sz w:val="20"/>
                <w:szCs w:val="20"/>
              </w:rPr>
            </w:pPr>
            <w:r w:rsidRPr="00006F36">
              <w:rPr>
                <w:rFonts w:ascii="Arial Narrow" w:hAnsi="Arial Narrow"/>
                <w:color w:val="333333"/>
                <w:sz w:val="20"/>
                <w:szCs w:val="20"/>
              </w:rPr>
              <w:t>Patient must not have developed another life threatening / severe disease where long term prognosis is unlikely to be influenced by migalastat.</w:t>
            </w:r>
          </w:p>
        </w:tc>
      </w:tr>
      <w:tr w:rsidR="000D40B9" w:rsidRPr="00006F36" w14:paraId="540C594D" w14:textId="77777777" w:rsidTr="000D40B9">
        <w:trPr>
          <w:cantSplit/>
          <w:trHeight w:val="20"/>
        </w:trPr>
        <w:tc>
          <w:tcPr>
            <w:tcW w:w="5000" w:type="pct"/>
            <w:vAlign w:val="center"/>
          </w:tcPr>
          <w:p w14:paraId="32327056" w14:textId="17EBE73D" w:rsidR="000D40B9" w:rsidRPr="00006F36" w:rsidRDefault="000D40B9" w:rsidP="000D6074">
            <w:pPr>
              <w:rPr>
                <w:rFonts w:ascii="Arial Narrow" w:hAnsi="Arial Narrow"/>
                <w:color w:val="333333"/>
                <w:sz w:val="20"/>
                <w:szCs w:val="20"/>
              </w:rPr>
            </w:pPr>
            <w:r w:rsidRPr="00006F36">
              <w:rPr>
                <w:rFonts w:ascii="Arial Narrow" w:hAnsi="Arial Narrow"/>
                <w:b/>
                <w:bCs/>
                <w:color w:val="333333"/>
                <w:sz w:val="20"/>
                <w:szCs w:val="20"/>
              </w:rPr>
              <w:t>AND</w:t>
            </w:r>
          </w:p>
        </w:tc>
      </w:tr>
      <w:tr w:rsidR="000D40B9" w:rsidRPr="00006F36" w14:paraId="2D400F8E" w14:textId="77777777" w:rsidTr="000D40B9">
        <w:trPr>
          <w:cantSplit/>
          <w:trHeight w:val="20"/>
        </w:trPr>
        <w:tc>
          <w:tcPr>
            <w:tcW w:w="5000" w:type="pct"/>
            <w:vAlign w:val="center"/>
          </w:tcPr>
          <w:p w14:paraId="132C803B" w14:textId="77777777" w:rsidR="000D40B9" w:rsidRPr="00006F36" w:rsidRDefault="000D40B9" w:rsidP="000D6074">
            <w:pPr>
              <w:rPr>
                <w:rFonts w:ascii="Arial Narrow" w:hAnsi="Arial Narrow"/>
                <w:color w:val="333333"/>
                <w:sz w:val="20"/>
                <w:szCs w:val="20"/>
              </w:rPr>
            </w:pPr>
            <w:r w:rsidRPr="00006F36">
              <w:rPr>
                <w:rFonts w:ascii="Arial Narrow" w:hAnsi="Arial Narrow"/>
                <w:b/>
                <w:bCs/>
                <w:color w:val="333333"/>
                <w:sz w:val="20"/>
                <w:szCs w:val="20"/>
              </w:rPr>
              <w:t>Treatment criteria:</w:t>
            </w:r>
          </w:p>
        </w:tc>
      </w:tr>
      <w:tr w:rsidR="000D40B9" w:rsidRPr="00006F36" w14:paraId="7779E6B8" w14:textId="77777777" w:rsidTr="000D40B9">
        <w:trPr>
          <w:cantSplit/>
          <w:trHeight w:val="20"/>
        </w:trPr>
        <w:tc>
          <w:tcPr>
            <w:tcW w:w="5000" w:type="pct"/>
            <w:vAlign w:val="center"/>
          </w:tcPr>
          <w:p w14:paraId="0B0FC80A" w14:textId="77777777" w:rsidR="000D40B9" w:rsidRPr="00006F36" w:rsidRDefault="000D40B9" w:rsidP="000D6074">
            <w:pPr>
              <w:rPr>
                <w:rFonts w:ascii="Arial Narrow" w:hAnsi="Arial Narrow"/>
                <w:color w:val="333333"/>
                <w:sz w:val="20"/>
                <w:szCs w:val="20"/>
              </w:rPr>
            </w:pPr>
            <w:r w:rsidRPr="00006F36">
              <w:rPr>
                <w:rFonts w:ascii="Arial Narrow" w:hAnsi="Arial Narrow" w:cs="Arial Narrow"/>
                <w:sz w:val="20"/>
                <w:szCs w:val="20"/>
              </w:rPr>
              <w:t>Must be treated by a physician with expertise in the management of Fabry disease</w:t>
            </w:r>
          </w:p>
        </w:tc>
      </w:tr>
      <w:tr w:rsidR="000D40B9" w:rsidRPr="00006F36" w14:paraId="4607D272" w14:textId="77777777" w:rsidTr="000D40B9">
        <w:trPr>
          <w:cantSplit/>
          <w:trHeight w:val="20"/>
        </w:trPr>
        <w:tc>
          <w:tcPr>
            <w:tcW w:w="5000" w:type="pct"/>
            <w:vAlign w:val="center"/>
          </w:tcPr>
          <w:p w14:paraId="65CB5EFC" w14:textId="77777777" w:rsidR="000D40B9" w:rsidRPr="00006F36" w:rsidRDefault="000D40B9" w:rsidP="000D6074">
            <w:pPr>
              <w:rPr>
                <w:rFonts w:ascii="Arial Narrow" w:hAnsi="Arial Narrow" w:cs="Arial Narrow"/>
                <w:sz w:val="20"/>
                <w:szCs w:val="20"/>
              </w:rPr>
            </w:pPr>
          </w:p>
        </w:tc>
      </w:tr>
      <w:tr w:rsidR="000D40B9" w:rsidRPr="00006F36" w14:paraId="5B0F6BF5" w14:textId="77777777" w:rsidTr="000D40B9">
        <w:trPr>
          <w:cantSplit/>
          <w:trHeight w:val="20"/>
        </w:trPr>
        <w:tc>
          <w:tcPr>
            <w:tcW w:w="5000" w:type="pct"/>
            <w:vAlign w:val="center"/>
          </w:tcPr>
          <w:p w14:paraId="0670C0B2" w14:textId="77777777" w:rsidR="000D40B9" w:rsidRPr="00006F36" w:rsidRDefault="000D40B9" w:rsidP="000D6074">
            <w:pPr>
              <w:rPr>
                <w:rFonts w:ascii="Arial Narrow" w:hAnsi="Arial Narrow" w:cs="Arial Narrow"/>
                <w:b/>
                <w:bCs/>
                <w:sz w:val="20"/>
                <w:szCs w:val="20"/>
              </w:rPr>
            </w:pPr>
            <w:r w:rsidRPr="00006F36">
              <w:rPr>
                <w:rFonts w:ascii="Arial Narrow" w:hAnsi="Arial Narrow" w:cs="Arial Narrow"/>
                <w:b/>
                <w:bCs/>
                <w:sz w:val="20"/>
                <w:szCs w:val="20"/>
              </w:rPr>
              <w:t>Administrative advice:</w:t>
            </w:r>
          </w:p>
          <w:p w14:paraId="2E9D13DA" w14:textId="77777777" w:rsidR="000D40B9" w:rsidRPr="00006F36" w:rsidRDefault="000D40B9" w:rsidP="000D6074">
            <w:pPr>
              <w:rPr>
                <w:rFonts w:ascii="Arial Narrow" w:hAnsi="Arial Narrow" w:cs="Arial Narrow"/>
                <w:sz w:val="20"/>
                <w:szCs w:val="20"/>
              </w:rPr>
            </w:pPr>
            <w:r w:rsidRPr="00006F36">
              <w:rPr>
                <w:rFonts w:ascii="Arial Narrow" w:hAnsi="Arial Narrow" w:cs="Arial Narrow"/>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C84E6D" w:rsidRPr="00006F36" w14:paraId="11239B0E" w14:textId="77777777" w:rsidTr="000D6074">
        <w:trPr>
          <w:cantSplit/>
          <w:trHeight w:val="535"/>
        </w:trPr>
        <w:tc>
          <w:tcPr>
            <w:tcW w:w="5000" w:type="pct"/>
          </w:tcPr>
          <w:p w14:paraId="79AD8711" w14:textId="77777777" w:rsidR="00C84E6D" w:rsidRPr="00006F36" w:rsidRDefault="00C84E6D" w:rsidP="000D6074">
            <w:pPr>
              <w:rPr>
                <w:rFonts w:ascii="Arial Narrow" w:hAnsi="Arial Narrow" w:cs="Arial Narrow"/>
                <w:b/>
                <w:bCs/>
                <w:sz w:val="20"/>
                <w:szCs w:val="20"/>
              </w:rPr>
            </w:pPr>
          </w:p>
        </w:tc>
      </w:tr>
      <w:tr w:rsidR="00C84E6D" w:rsidRPr="00006F36" w14:paraId="036249AE" w14:textId="77777777" w:rsidTr="000D6074">
        <w:trPr>
          <w:cantSplit/>
          <w:trHeight w:val="20"/>
        </w:trPr>
        <w:tc>
          <w:tcPr>
            <w:tcW w:w="5000" w:type="pct"/>
          </w:tcPr>
          <w:p w14:paraId="1E000F93" w14:textId="0CA85447" w:rsidR="00C84E6D" w:rsidRPr="00006F36" w:rsidRDefault="00C84E6D" w:rsidP="000D6074">
            <w:pPr>
              <w:rPr>
                <w:rFonts w:ascii="Arial Narrow" w:hAnsi="Arial Narrow"/>
                <w:b/>
                <w:bCs/>
                <w:color w:val="333333"/>
                <w:sz w:val="20"/>
                <w:szCs w:val="20"/>
              </w:rPr>
            </w:pPr>
            <w:r w:rsidRPr="00006F36">
              <w:rPr>
                <w:rFonts w:ascii="Arial Narrow" w:hAnsi="Arial Narrow"/>
                <w:b/>
                <w:bCs/>
                <w:color w:val="333333"/>
                <w:sz w:val="20"/>
                <w:szCs w:val="20"/>
              </w:rPr>
              <w:t xml:space="preserve">Restriction summary: New </w:t>
            </w:r>
            <w:r w:rsidR="00E27082" w:rsidRPr="00006F36">
              <w:rPr>
                <w:rFonts w:ascii="Arial Narrow" w:hAnsi="Arial Narrow"/>
                <w:b/>
                <w:bCs/>
                <w:color w:val="333333"/>
                <w:sz w:val="20"/>
                <w:szCs w:val="20"/>
              </w:rPr>
              <w:t>5</w:t>
            </w:r>
            <w:r w:rsidRPr="00006F36">
              <w:rPr>
                <w:rFonts w:ascii="Arial Narrow" w:hAnsi="Arial Narrow"/>
                <w:b/>
                <w:bCs/>
                <w:color w:val="333333"/>
                <w:sz w:val="20"/>
                <w:szCs w:val="20"/>
              </w:rPr>
              <w:t xml:space="preserve">/ Treatment of concept: New </w:t>
            </w:r>
            <w:r w:rsidR="00E27082" w:rsidRPr="00006F36">
              <w:rPr>
                <w:rFonts w:ascii="Arial Narrow" w:hAnsi="Arial Narrow"/>
                <w:b/>
                <w:bCs/>
                <w:color w:val="333333"/>
                <w:sz w:val="20"/>
                <w:szCs w:val="20"/>
              </w:rPr>
              <w:t>6</w:t>
            </w:r>
          </w:p>
        </w:tc>
      </w:tr>
      <w:tr w:rsidR="000D40B9" w:rsidRPr="00006F36" w14:paraId="3EFB2439" w14:textId="77777777" w:rsidTr="000D40B9">
        <w:trPr>
          <w:cantSplit/>
          <w:trHeight w:val="20"/>
        </w:trPr>
        <w:tc>
          <w:tcPr>
            <w:tcW w:w="5000" w:type="pct"/>
            <w:vAlign w:val="center"/>
          </w:tcPr>
          <w:p w14:paraId="69B424F8" w14:textId="77777777" w:rsidR="000D40B9" w:rsidRPr="00006F36" w:rsidRDefault="000D40B9" w:rsidP="000D6074">
            <w:pPr>
              <w:rPr>
                <w:rFonts w:ascii="Arial Narrow" w:hAnsi="Arial Narrow"/>
                <w:b/>
                <w:bCs/>
                <w:color w:val="333333"/>
                <w:sz w:val="20"/>
                <w:szCs w:val="20"/>
              </w:rPr>
            </w:pPr>
            <w:r w:rsidRPr="00006F36">
              <w:rPr>
                <w:rFonts w:ascii="Arial Narrow" w:hAnsi="Arial Narrow"/>
                <w:b/>
                <w:bCs/>
                <w:color w:val="333333"/>
                <w:sz w:val="20"/>
                <w:szCs w:val="20"/>
              </w:rPr>
              <w:t>Indication:</w:t>
            </w:r>
            <w:r w:rsidRPr="00006F36">
              <w:rPr>
                <w:rFonts w:ascii="Arial Narrow" w:hAnsi="Arial Narrow"/>
                <w:color w:val="333333"/>
                <w:sz w:val="20"/>
                <w:szCs w:val="20"/>
              </w:rPr>
              <w:t xml:space="preserve"> Fabry disease</w:t>
            </w:r>
          </w:p>
        </w:tc>
      </w:tr>
      <w:tr w:rsidR="000D40B9" w:rsidRPr="00006F36" w14:paraId="46A7CC86" w14:textId="77777777" w:rsidTr="000D40B9">
        <w:trPr>
          <w:cantSplit/>
          <w:trHeight w:val="20"/>
        </w:trPr>
        <w:tc>
          <w:tcPr>
            <w:tcW w:w="5000" w:type="pct"/>
            <w:vAlign w:val="center"/>
          </w:tcPr>
          <w:p w14:paraId="5512A098" w14:textId="1FF012FA" w:rsidR="000D40B9" w:rsidRPr="00006F36" w:rsidRDefault="000D40B9" w:rsidP="000D6074">
            <w:pPr>
              <w:rPr>
                <w:rFonts w:ascii="Arial Narrow" w:hAnsi="Arial Narrow"/>
                <w:b/>
                <w:bCs/>
                <w:color w:val="333333"/>
                <w:sz w:val="20"/>
                <w:szCs w:val="20"/>
              </w:rPr>
            </w:pPr>
            <w:r w:rsidRPr="00006F36">
              <w:rPr>
                <w:rFonts w:ascii="Arial Narrow" w:hAnsi="Arial Narrow"/>
                <w:b/>
                <w:bCs/>
                <w:color w:val="333333"/>
                <w:sz w:val="20"/>
                <w:szCs w:val="20"/>
              </w:rPr>
              <w:t>Treatment Phase:</w:t>
            </w:r>
            <w:r w:rsidRPr="00006F36">
              <w:rPr>
                <w:rFonts w:ascii="Arial Narrow" w:hAnsi="Arial Narrow"/>
                <w:color w:val="FF0000"/>
                <w:sz w:val="20"/>
                <w:szCs w:val="20"/>
              </w:rPr>
              <w:t xml:space="preserve"> </w:t>
            </w:r>
            <w:r w:rsidRPr="00006F36">
              <w:rPr>
                <w:rFonts w:ascii="Arial Narrow" w:hAnsi="Arial Narrow"/>
                <w:color w:val="333333"/>
                <w:sz w:val="20"/>
                <w:szCs w:val="20"/>
              </w:rPr>
              <w:t xml:space="preserve">Grandfather arrangement (transition from LSDP-funded Fabry disease therapy) </w:t>
            </w:r>
          </w:p>
        </w:tc>
      </w:tr>
      <w:tr w:rsidR="000D40B9" w:rsidRPr="00006F36" w14:paraId="1240A7EB" w14:textId="77777777" w:rsidTr="000D40B9">
        <w:trPr>
          <w:cantSplit/>
          <w:trHeight w:val="20"/>
        </w:trPr>
        <w:tc>
          <w:tcPr>
            <w:tcW w:w="5000" w:type="pct"/>
            <w:vAlign w:val="center"/>
          </w:tcPr>
          <w:p w14:paraId="66597DEC" w14:textId="77777777" w:rsidR="000D40B9" w:rsidRPr="00006F36" w:rsidRDefault="000D40B9" w:rsidP="000D6074">
            <w:pPr>
              <w:rPr>
                <w:rFonts w:ascii="Arial Narrow" w:hAnsi="Arial Narrow"/>
                <w:b/>
                <w:bCs/>
                <w:color w:val="333333"/>
                <w:sz w:val="20"/>
                <w:szCs w:val="20"/>
              </w:rPr>
            </w:pPr>
            <w:r w:rsidRPr="00006F36">
              <w:rPr>
                <w:rFonts w:ascii="Arial Narrow" w:hAnsi="Arial Narrow"/>
                <w:b/>
                <w:bCs/>
                <w:color w:val="333333"/>
                <w:sz w:val="20"/>
                <w:szCs w:val="20"/>
              </w:rPr>
              <w:t>Clinical criteria:</w:t>
            </w:r>
          </w:p>
        </w:tc>
      </w:tr>
      <w:tr w:rsidR="000D40B9" w:rsidRPr="00006F36" w14:paraId="2F42EA58" w14:textId="77777777" w:rsidTr="000D40B9">
        <w:trPr>
          <w:cantSplit/>
          <w:trHeight w:val="20"/>
        </w:trPr>
        <w:tc>
          <w:tcPr>
            <w:tcW w:w="5000" w:type="pct"/>
            <w:vAlign w:val="center"/>
          </w:tcPr>
          <w:p w14:paraId="44C0B094" w14:textId="7E9CCF22" w:rsidR="000D40B9" w:rsidRPr="00006F36" w:rsidRDefault="000D40B9" w:rsidP="000D6074">
            <w:pPr>
              <w:rPr>
                <w:rFonts w:ascii="Arial Narrow" w:hAnsi="Arial Narrow"/>
                <w:color w:val="333333"/>
                <w:sz w:val="20"/>
                <w:szCs w:val="20"/>
              </w:rPr>
            </w:pPr>
            <w:r w:rsidRPr="00006F36">
              <w:rPr>
                <w:rFonts w:ascii="Arial Narrow" w:hAnsi="Arial Narrow"/>
                <w:color w:val="333333"/>
                <w:sz w:val="20"/>
                <w:szCs w:val="20"/>
              </w:rPr>
              <w:t>Patient must have previously received treatment with this drug for this condition funded under the Australian Government's Life Saving Drugs Program (LSDP) prior to (PBS listing date) OR</w:t>
            </w:r>
          </w:p>
        </w:tc>
      </w:tr>
      <w:tr w:rsidR="000D40B9" w:rsidRPr="00006F36" w14:paraId="78BC1FBD" w14:textId="77777777" w:rsidTr="000D40B9">
        <w:trPr>
          <w:cantSplit/>
          <w:trHeight w:val="20"/>
        </w:trPr>
        <w:tc>
          <w:tcPr>
            <w:tcW w:w="5000" w:type="pct"/>
            <w:vAlign w:val="center"/>
          </w:tcPr>
          <w:p w14:paraId="10D28EC7" w14:textId="50BBB526" w:rsidR="000D40B9" w:rsidRPr="00006F36" w:rsidRDefault="000D40B9" w:rsidP="000D6074">
            <w:pPr>
              <w:rPr>
                <w:rFonts w:ascii="Arial Narrow" w:hAnsi="Arial Narrow"/>
                <w:color w:val="333333"/>
                <w:sz w:val="20"/>
                <w:szCs w:val="20"/>
              </w:rPr>
            </w:pPr>
            <w:r w:rsidRPr="00006F36">
              <w:rPr>
                <w:rFonts w:ascii="Arial Narrow" w:hAnsi="Arial Narrow"/>
                <w:color w:val="333333"/>
                <w:sz w:val="20"/>
                <w:szCs w:val="20"/>
              </w:rPr>
              <w:t>Patient must have previously received treatment with Enzyme Replacement Therapy for this condition funded under the Australian Government's Life Saving Drugs Program (LSDP) prior to (PBS listing date)</w:t>
            </w:r>
          </w:p>
        </w:tc>
      </w:tr>
      <w:tr w:rsidR="000D40B9" w:rsidRPr="00006F36" w14:paraId="53EB6041" w14:textId="77777777" w:rsidTr="000D40B9">
        <w:trPr>
          <w:cantSplit/>
          <w:trHeight w:val="20"/>
        </w:trPr>
        <w:tc>
          <w:tcPr>
            <w:tcW w:w="5000" w:type="pct"/>
            <w:vAlign w:val="center"/>
          </w:tcPr>
          <w:p w14:paraId="53A3F498" w14:textId="77777777" w:rsidR="000D40B9" w:rsidRPr="00006F36" w:rsidRDefault="000D40B9" w:rsidP="000D6074">
            <w:pPr>
              <w:rPr>
                <w:rFonts w:ascii="Arial Narrow" w:hAnsi="Arial Narrow"/>
                <w:b/>
                <w:bCs/>
                <w:color w:val="333333"/>
                <w:sz w:val="20"/>
                <w:szCs w:val="20"/>
              </w:rPr>
            </w:pPr>
            <w:r w:rsidRPr="00006F36">
              <w:rPr>
                <w:rFonts w:ascii="Arial Narrow" w:hAnsi="Arial Narrow"/>
                <w:b/>
                <w:bCs/>
                <w:color w:val="333333"/>
                <w:sz w:val="20"/>
                <w:szCs w:val="20"/>
              </w:rPr>
              <w:t>AND</w:t>
            </w:r>
          </w:p>
        </w:tc>
      </w:tr>
      <w:tr w:rsidR="000D40B9" w:rsidRPr="00006F36" w14:paraId="144C0680" w14:textId="77777777" w:rsidTr="000D40B9">
        <w:trPr>
          <w:cantSplit/>
          <w:trHeight w:val="20"/>
        </w:trPr>
        <w:tc>
          <w:tcPr>
            <w:tcW w:w="5000" w:type="pct"/>
            <w:vAlign w:val="center"/>
          </w:tcPr>
          <w:p w14:paraId="1A92FEF7" w14:textId="77777777" w:rsidR="000D40B9" w:rsidRPr="00006F36" w:rsidRDefault="000D40B9" w:rsidP="000D6074">
            <w:pPr>
              <w:rPr>
                <w:rFonts w:ascii="Arial Narrow" w:hAnsi="Arial Narrow"/>
                <w:b/>
                <w:bCs/>
                <w:color w:val="333333"/>
                <w:sz w:val="20"/>
                <w:szCs w:val="20"/>
              </w:rPr>
            </w:pPr>
            <w:r w:rsidRPr="00006F36">
              <w:rPr>
                <w:rFonts w:ascii="Arial Narrow" w:hAnsi="Arial Narrow"/>
                <w:b/>
                <w:bCs/>
                <w:color w:val="333333"/>
                <w:sz w:val="20"/>
                <w:szCs w:val="20"/>
              </w:rPr>
              <w:t>Clinical criteria:</w:t>
            </w:r>
          </w:p>
        </w:tc>
      </w:tr>
      <w:tr w:rsidR="000D40B9" w:rsidRPr="00006F36" w14:paraId="61206EC7" w14:textId="77777777" w:rsidTr="000D40B9">
        <w:trPr>
          <w:cantSplit/>
          <w:trHeight w:val="20"/>
        </w:trPr>
        <w:tc>
          <w:tcPr>
            <w:tcW w:w="5000" w:type="pct"/>
            <w:vAlign w:val="center"/>
          </w:tcPr>
          <w:p w14:paraId="3D14C6EE" w14:textId="7AA090D1" w:rsidR="000D40B9" w:rsidRPr="00006F36" w:rsidRDefault="000D40B9" w:rsidP="000D6074">
            <w:pPr>
              <w:rPr>
                <w:rFonts w:ascii="Arial Narrow" w:hAnsi="Arial Narrow"/>
                <w:b/>
                <w:bCs/>
                <w:color w:val="333333"/>
                <w:sz w:val="20"/>
                <w:szCs w:val="20"/>
              </w:rPr>
            </w:pPr>
            <w:r w:rsidRPr="00006F36">
              <w:rPr>
                <w:rFonts w:ascii="Arial Narrow" w:hAnsi="Arial Narrow"/>
                <w:color w:val="333333"/>
                <w:sz w:val="20"/>
                <w:szCs w:val="20"/>
              </w:rPr>
              <w:t>Patient must have a documented migalastat amenable galactosidase alpha (GLA) gene variant prior to commencing treatment with this drug.</w:t>
            </w:r>
          </w:p>
        </w:tc>
      </w:tr>
      <w:tr w:rsidR="000D40B9" w:rsidRPr="00006F36" w14:paraId="4B8FE593" w14:textId="77777777" w:rsidTr="000D40B9">
        <w:trPr>
          <w:cantSplit/>
          <w:trHeight w:val="20"/>
        </w:trPr>
        <w:tc>
          <w:tcPr>
            <w:tcW w:w="5000" w:type="pct"/>
            <w:vAlign w:val="center"/>
          </w:tcPr>
          <w:p w14:paraId="1636B379" w14:textId="77777777" w:rsidR="000D40B9" w:rsidRPr="00006F36" w:rsidRDefault="000D40B9" w:rsidP="000D6074">
            <w:pPr>
              <w:rPr>
                <w:rFonts w:ascii="Arial Narrow" w:hAnsi="Arial Narrow"/>
                <w:color w:val="333333"/>
                <w:sz w:val="20"/>
                <w:szCs w:val="20"/>
              </w:rPr>
            </w:pPr>
            <w:r w:rsidRPr="00006F36">
              <w:rPr>
                <w:rFonts w:ascii="Arial Narrow" w:hAnsi="Arial Narrow"/>
                <w:b/>
                <w:bCs/>
                <w:color w:val="333333"/>
                <w:sz w:val="20"/>
                <w:szCs w:val="20"/>
              </w:rPr>
              <w:t>AND</w:t>
            </w:r>
          </w:p>
        </w:tc>
      </w:tr>
      <w:tr w:rsidR="000D40B9" w:rsidRPr="00006F36" w14:paraId="2A0E7A82" w14:textId="77777777" w:rsidTr="000D40B9">
        <w:trPr>
          <w:cantSplit/>
          <w:trHeight w:val="20"/>
        </w:trPr>
        <w:tc>
          <w:tcPr>
            <w:tcW w:w="5000" w:type="pct"/>
            <w:vAlign w:val="center"/>
          </w:tcPr>
          <w:p w14:paraId="0EE609B1" w14:textId="77777777" w:rsidR="000D40B9" w:rsidRPr="00006F36" w:rsidRDefault="000D40B9" w:rsidP="000D6074">
            <w:pPr>
              <w:rPr>
                <w:rFonts w:ascii="Arial Narrow" w:hAnsi="Arial Narrow"/>
                <w:color w:val="333333"/>
                <w:sz w:val="20"/>
                <w:szCs w:val="20"/>
              </w:rPr>
            </w:pPr>
            <w:r w:rsidRPr="00006F36">
              <w:rPr>
                <w:rFonts w:ascii="Arial Narrow" w:hAnsi="Arial Narrow"/>
                <w:b/>
                <w:bCs/>
                <w:color w:val="333333"/>
                <w:sz w:val="20"/>
                <w:szCs w:val="20"/>
              </w:rPr>
              <w:lastRenderedPageBreak/>
              <w:t>Clinical criteria:</w:t>
            </w:r>
          </w:p>
        </w:tc>
      </w:tr>
      <w:tr w:rsidR="000D40B9" w:rsidRPr="00006F36" w14:paraId="118851EF" w14:textId="77777777" w:rsidTr="000D40B9">
        <w:trPr>
          <w:cantSplit/>
          <w:trHeight w:val="20"/>
        </w:trPr>
        <w:tc>
          <w:tcPr>
            <w:tcW w:w="5000" w:type="pct"/>
            <w:vAlign w:val="center"/>
          </w:tcPr>
          <w:p w14:paraId="7A9A6E59" w14:textId="28CCE2B9" w:rsidR="000D40B9" w:rsidRPr="00006F36" w:rsidRDefault="000D40B9" w:rsidP="000D6074">
            <w:pPr>
              <w:rPr>
                <w:rFonts w:ascii="Arial Narrow" w:hAnsi="Arial Narrow"/>
                <w:b/>
                <w:bCs/>
                <w:color w:val="333333"/>
                <w:sz w:val="20"/>
                <w:szCs w:val="20"/>
              </w:rPr>
            </w:pPr>
            <w:r w:rsidRPr="00006F36">
              <w:rPr>
                <w:rFonts w:ascii="Arial Narrow" w:hAnsi="Arial Narrow"/>
                <w:color w:val="333333"/>
                <w:sz w:val="20"/>
                <w:szCs w:val="20"/>
              </w:rPr>
              <w:t>Patient must have/ have had an estimated glomerular filtration rate (eGFR) of at least 30 mL/min/1.73 m² prior to commencing treatment with this drug.</w:t>
            </w:r>
          </w:p>
        </w:tc>
      </w:tr>
      <w:tr w:rsidR="000D40B9" w:rsidRPr="00006F36" w14:paraId="3C629A26" w14:textId="77777777" w:rsidTr="000D40B9">
        <w:trPr>
          <w:cantSplit/>
          <w:trHeight w:val="20"/>
        </w:trPr>
        <w:tc>
          <w:tcPr>
            <w:tcW w:w="5000" w:type="pct"/>
            <w:vAlign w:val="center"/>
          </w:tcPr>
          <w:p w14:paraId="3C163E58" w14:textId="12891840" w:rsidR="000D40B9" w:rsidRPr="00006F36" w:rsidRDefault="000D40B9" w:rsidP="000D6074">
            <w:pPr>
              <w:rPr>
                <w:rFonts w:ascii="Arial Narrow" w:hAnsi="Arial Narrow"/>
                <w:b/>
                <w:bCs/>
                <w:color w:val="333333"/>
                <w:sz w:val="20"/>
                <w:szCs w:val="20"/>
              </w:rPr>
            </w:pPr>
            <w:r w:rsidRPr="00006F36">
              <w:rPr>
                <w:rFonts w:ascii="Arial Narrow" w:hAnsi="Arial Narrow"/>
                <w:b/>
                <w:bCs/>
                <w:color w:val="333333"/>
                <w:sz w:val="20"/>
                <w:szCs w:val="20"/>
              </w:rPr>
              <w:t>AND</w:t>
            </w:r>
          </w:p>
        </w:tc>
      </w:tr>
      <w:tr w:rsidR="000D40B9" w:rsidRPr="00006F36" w14:paraId="6C1DF9EE" w14:textId="77777777" w:rsidTr="000D40B9">
        <w:trPr>
          <w:cantSplit/>
          <w:trHeight w:val="20"/>
        </w:trPr>
        <w:tc>
          <w:tcPr>
            <w:tcW w:w="5000" w:type="pct"/>
            <w:vAlign w:val="center"/>
          </w:tcPr>
          <w:p w14:paraId="2CB9B9E9" w14:textId="77777777" w:rsidR="000D40B9" w:rsidRPr="00006F36" w:rsidRDefault="000D40B9" w:rsidP="000D6074">
            <w:pPr>
              <w:rPr>
                <w:rFonts w:ascii="Arial Narrow" w:hAnsi="Arial Narrow"/>
                <w:b/>
                <w:bCs/>
                <w:color w:val="333333"/>
                <w:sz w:val="20"/>
                <w:szCs w:val="20"/>
              </w:rPr>
            </w:pPr>
            <w:r w:rsidRPr="00006F36">
              <w:rPr>
                <w:rFonts w:ascii="Arial Narrow" w:hAnsi="Arial Narrow"/>
                <w:b/>
                <w:bCs/>
                <w:color w:val="333333"/>
                <w:sz w:val="20"/>
                <w:szCs w:val="20"/>
              </w:rPr>
              <w:t>Treatment criteria:</w:t>
            </w:r>
          </w:p>
        </w:tc>
      </w:tr>
      <w:tr w:rsidR="000D40B9" w:rsidRPr="00006F36" w14:paraId="62A9DC3D" w14:textId="77777777" w:rsidTr="000D40B9">
        <w:trPr>
          <w:cantSplit/>
          <w:trHeight w:val="20"/>
        </w:trPr>
        <w:tc>
          <w:tcPr>
            <w:tcW w:w="5000" w:type="pct"/>
            <w:vAlign w:val="center"/>
          </w:tcPr>
          <w:p w14:paraId="7FB87693" w14:textId="77777777" w:rsidR="000D40B9" w:rsidRPr="00006F36" w:rsidRDefault="000D40B9" w:rsidP="000D6074">
            <w:pPr>
              <w:rPr>
                <w:rFonts w:ascii="Arial Narrow" w:hAnsi="Arial Narrow"/>
                <w:color w:val="333333"/>
                <w:sz w:val="20"/>
                <w:szCs w:val="20"/>
              </w:rPr>
            </w:pPr>
            <w:r w:rsidRPr="00006F36">
              <w:rPr>
                <w:rFonts w:ascii="Arial Narrow" w:hAnsi="Arial Narrow" w:cs="Arial Narrow"/>
                <w:sz w:val="20"/>
                <w:szCs w:val="20"/>
              </w:rPr>
              <w:t>Must be treated by a physician with expertise in the management of Fabry disease</w:t>
            </w:r>
          </w:p>
        </w:tc>
      </w:tr>
      <w:tr w:rsidR="000D40B9" w:rsidRPr="00006F36" w14:paraId="1ED14DBE" w14:textId="77777777" w:rsidTr="000D40B9">
        <w:trPr>
          <w:cantSplit/>
          <w:trHeight w:val="20"/>
        </w:trPr>
        <w:tc>
          <w:tcPr>
            <w:tcW w:w="5000" w:type="pct"/>
            <w:vAlign w:val="center"/>
          </w:tcPr>
          <w:p w14:paraId="6194A6D6" w14:textId="65F60FCD" w:rsidR="000D40B9" w:rsidRPr="00006F36" w:rsidRDefault="000D40B9" w:rsidP="000D6074">
            <w:pPr>
              <w:rPr>
                <w:rFonts w:ascii="Arial Narrow" w:hAnsi="Arial Narrow" w:cs="Arial Narrow"/>
                <w:sz w:val="20"/>
                <w:szCs w:val="20"/>
              </w:rPr>
            </w:pPr>
            <w:r w:rsidRPr="00006F36">
              <w:rPr>
                <w:rFonts w:ascii="Arial Narrow" w:hAnsi="Arial Narrow"/>
                <w:b/>
                <w:bCs/>
                <w:color w:val="333333"/>
                <w:sz w:val="20"/>
                <w:szCs w:val="20"/>
              </w:rPr>
              <w:t>AND</w:t>
            </w:r>
          </w:p>
        </w:tc>
      </w:tr>
      <w:tr w:rsidR="000D40B9" w:rsidRPr="00006F36" w14:paraId="4BB0E10B" w14:textId="77777777" w:rsidTr="000D40B9">
        <w:trPr>
          <w:cantSplit/>
          <w:trHeight w:val="20"/>
        </w:trPr>
        <w:tc>
          <w:tcPr>
            <w:tcW w:w="5000" w:type="pct"/>
            <w:vAlign w:val="center"/>
          </w:tcPr>
          <w:p w14:paraId="334A7D2C" w14:textId="2236DECA" w:rsidR="000D40B9" w:rsidRPr="00006F36" w:rsidRDefault="000D40B9" w:rsidP="005F4732">
            <w:pPr>
              <w:rPr>
                <w:rFonts w:ascii="Arial Narrow" w:hAnsi="Arial Narrow" w:cs="Arial Narrow"/>
                <w:sz w:val="20"/>
                <w:szCs w:val="20"/>
              </w:rPr>
            </w:pPr>
            <w:r w:rsidRPr="00006F36">
              <w:rPr>
                <w:rFonts w:ascii="Arial Narrow" w:hAnsi="Arial Narrow"/>
                <w:b/>
                <w:bCs/>
                <w:color w:val="333333"/>
                <w:sz w:val="20"/>
                <w:szCs w:val="20"/>
              </w:rPr>
              <w:t>Population criteria:</w:t>
            </w:r>
          </w:p>
        </w:tc>
      </w:tr>
      <w:tr w:rsidR="000D40B9" w:rsidRPr="00006F36" w14:paraId="281B49DF" w14:textId="77777777" w:rsidTr="000D40B9">
        <w:trPr>
          <w:cantSplit/>
          <w:trHeight w:val="20"/>
        </w:trPr>
        <w:tc>
          <w:tcPr>
            <w:tcW w:w="5000" w:type="pct"/>
            <w:vAlign w:val="center"/>
          </w:tcPr>
          <w:p w14:paraId="2236B71B" w14:textId="600C3C1F" w:rsidR="000D40B9" w:rsidRPr="00006F36" w:rsidRDefault="000D40B9" w:rsidP="005F4732">
            <w:pPr>
              <w:rPr>
                <w:rFonts w:ascii="Arial Narrow" w:hAnsi="Arial Narrow" w:cs="Arial Narrow"/>
                <w:sz w:val="20"/>
                <w:szCs w:val="20"/>
              </w:rPr>
            </w:pPr>
            <w:r w:rsidRPr="00006F36">
              <w:rPr>
                <w:rFonts w:ascii="Arial Narrow" w:hAnsi="Arial Narrow"/>
                <w:sz w:val="20"/>
                <w:szCs w:val="20"/>
              </w:rPr>
              <w:t>Patient must be at least 12 years of age.</w:t>
            </w:r>
          </w:p>
        </w:tc>
      </w:tr>
      <w:tr w:rsidR="000D40B9" w:rsidRPr="00006F36" w14:paraId="7EB76D86" w14:textId="77777777" w:rsidTr="000D40B9">
        <w:trPr>
          <w:cantSplit/>
          <w:trHeight w:val="20"/>
        </w:trPr>
        <w:tc>
          <w:tcPr>
            <w:tcW w:w="5000" w:type="pct"/>
            <w:vAlign w:val="center"/>
          </w:tcPr>
          <w:p w14:paraId="1D451806" w14:textId="77777777" w:rsidR="000D40B9" w:rsidRPr="00006F36" w:rsidRDefault="000D40B9" w:rsidP="000D6074">
            <w:pPr>
              <w:rPr>
                <w:rFonts w:ascii="Arial Narrow" w:hAnsi="Arial Narrow"/>
                <w:color w:val="333333"/>
                <w:sz w:val="20"/>
                <w:szCs w:val="20"/>
              </w:rPr>
            </w:pPr>
            <w:r w:rsidRPr="00006F36">
              <w:rPr>
                <w:rFonts w:ascii="Arial Narrow" w:hAnsi="Arial Narrow"/>
                <w:b/>
                <w:bCs/>
                <w:color w:val="333333"/>
                <w:sz w:val="20"/>
                <w:szCs w:val="20"/>
              </w:rPr>
              <w:t>Prescribing Instructions:</w:t>
            </w:r>
            <w:r w:rsidRPr="00006F36">
              <w:rPr>
                <w:rFonts w:ascii="Arial Narrow" w:hAnsi="Arial Narrow"/>
                <w:color w:val="333333"/>
                <w:sz w:val="20"/>
                <w:szCs w:val="20"/>
              </w:rPr>
              <w:t xml:space="preserve"> A patient may qualify for PBS-subsidised treatment under this restriction once only. For continuing PBS-subsidised treatment, a Grandfathered patient must qualify under the Continuing treatment criteria.</w:t>
            </w:r>
          </w:p>
        </w:tc>
      </w:tr>
      <w:tr w:rsidR="000D40B9" w:rsidRPr="00006F36" w14:paraId="1F06EF4A" w14:textId="77777777" w:rsidTr="000D40B9">
        <w:trPr>
          <w:cantSplit/>
          <w:trHeight w:val="20"/>
        </w:trPr>
        <w:tc>
          <w:tcPr>
            <w:tcW w:w="5000" w:type="pct"/>
            <w:vAlign w:val="center"/>
          </w:tcPr>
          <w:p w14:paraId="47B2E9E9" w14:textId="77777777" w:rsidR="00D12810" w:rsidRDefault="000D40B9" w:rsidP="007B7D06">
            <w:pPr>
              <w:rPr>
                <w:rFonts w:ascii="Arial Narrow" w:hAnsi="Arial Narrow"/>
                <w:color w:val="333333"/>
                <w:sz w:val="20"/>
                <w:szCs w:val="20"/>
              </w:rPr>
            </w:pPr>
            <w:r w:rsidRPr="00A92E98">
              <w:rPr>
                <w:rFonts w:ascii="Arial Narrow" w:hAnsi="Arial Narrow"/>
                <w:b/>
                <w:bCs/>
                <w:color w:val="333333"/>
                <w:sz w:val="20"/>
                <w:szCs w:val="20"/>
              </w:rPr>
              <w:t>Prescribing Instructions:</w:t>
            </w:r>
          </w:p>
          <w:p w14:paraId="31C649B8" w14:textId="6A89E8BF" w:rsidR="000D40B9" w:rsidRPr="00006F36" w:rsidRDefault="000D40B9" w:rsidP="007B7D06">
            <w:pPr>
              <w:rPr>
                <w:rFonts w:ascii="Arial Narrow" w:hAnsi="Arial Narrow"/>
                <w:b/>
                <w:bCs/>
                <w:i/>
                <w:iCs/>
                <w:color w:val="333333"/>
                <w:sz w:val="20"/>
                <w:szCs w:val="20"/>
              </w:rPr>
            </w:pPr>
            <w:r>
              <w:rPr>
                <w:rFonts w:ascii="Arial Narrow" w:hAnsi="Arial Narrow" w:cs="Segoe UI"/>
                <w:color w:val="333333"/>
                <w:sz w:val="20"/>
                <w:szCs w:val="20"/>
              </w:rPr>
              <w:t>C</w:t>
            </w:r>
            <w:r w:rsidRPr="00B95430">
              <w:rPr>
                <w:rFonts w:ascii="Arial Narrow" w:hAnsi="Arial Narrow" w:cs="Segoe UI"/>
                <w:color w:val="333333"/>
                <w:sz w:val="20"/>
                <w:szCs w:val="20"/>
              </w:rPr>
              <w:t>onfirmation of eligibility for treatment with diagnostic reports including the confirmed mutations must be documented in the patient's medical records</w:t>
            </w:r>
          </w:p>
        </w:tc>
      </w:tr>
      <w:tr w:rsidR="000D40B9" w:rsidRPr="00006F36" w14:paraId="06A1643A" w14:textId="77777777" w:rsidTr="000D40B9">
        <w:trPr>
          <w:cantSplit/>
          <w:trHeight w:val="20"/>
        </w:trPr>
        <w:tc>
          <w:tcPr>
            <w:tcW w:w="5000" w:type="pct"/>
            <w:vAlign w:val="center"/>
          </w:tcPr>
          <w:p w14:paraId="4D76B00B" w14:textId="77777777" w:rsidR="00D12810" w:rsidRDefault="000D40B9" w:rsidP="007B7D06">
            <w:pPr>
              <w:rPr>
                <w:rFonts w:ascii="Arial Narrow" w:hAnsi="Arial Narrow"/>
                <w:color w:val="333333"/>
                <w:sz w:val="20"/>
                <w:szCs w:val="20"/>
              </w:rPr>
            </w:pPr>
            <w:r w:rsidRPr="00A92E98">
              <w:rPr>
                <w:rFonts w:ascii="Arial Narrow" w:hAnsi="Arial Narrow"/>
                <w:b/>
                <w:bCs/>
                <w:color w:val="333333"/>
                <w:sz w:val="20"/>
                <w:szCs w:val="20"/>
              </w:rPr>
              <w:t>Prescribing Instructions:</w:t>
            </w:r>
          </w:p>
          <w:p w14:paraId="61821BC2" w14:textId="35C47985" w:rsidR="000D40B9" w:rsidRPr="00006F36" w:rsidRDefault="000D40B9" w:rsidP="000D6074">
            <w:pPr>
              <w:rPr>
                <w:rFonts w:ascii="Arial Narrow" w:hAnsi="Arial Narrow"/>
                <w:color w:val="333333"/>
                <w:sz w:val="20"/>
                <w:szCs w:val="20"/>
              </w:rPr>
            </w:pPr>
            <w:r w:rsidRPr="00006F36">
              <w:rPr>
                <w:rFonts w:ascii="Arial Narrow" w:hAnsi="Arial Narrow"/>
                <w:color w:val="333333"/>
                <w:sz w:val="20"/>
                <w:szCs w:val="20"/>
              </w:rPr>
              <w:t>The authority application must be made in writing and must include:</w:t>
            </w:r>
          </w:p>
          <w:p w14:paraId="576FDB02" w14:textId="77777777" w:rsidR="000D40B9" w:rsidRPr="00006F36" w:rsidRDefault="000D40B9" w:rsidP="000D6074">
            <w:pPr>
              <w:rPr>
                <w:rFonts w:ascii="Arial Narrow" w:hAnsi="Arial Narrow"/>
                <w:color w:val="333333"/>
                <w:sz w:val="20"/>
                <w:szCs w:val="20"/>
              </w:rPr>
            </w:pPr>
            <w:r w:rsidRPr="00006F36">
              <w:rPr>
                <w:rFonts w:ascii="Arial Narrow" w:hAnsi="Arial Narrow"/>
                <w:color w:val="333333"/>
                <w:sz w:val="20"/>
                <w:szCs w:val="20"/>
              </w:rPr>
              <w:t>(1) a completed authority prescription form; and</w:t>
            </w:r>
          </w:p>
          <w:p w14:paraId="7931CD64" w14:textId="062478E0" w:rsidR="000D40B9" w:rsidRPr="000D40B9" w:rsidRDefault="000D40B9" w:rsidP="00B95430">
            <w:pPr>
              <w:rPr>
                <w:rFonts w:ascii="Arial Narrow" w:hAnsi="Arial Narrow"/>
                <w:color w:val="333333"/>
                <w:sz w:val="20"/>
                <w:szCs w:val="20"/>
              </w:rPr>
            </w:pPr>
            <w:r w:rsidRPr="00006F36">
              <w:rPr>
                <w:rFonts w:ascii="Arial Narrow" w:hAnsi="Arial Narrow"/>
                <w:color w:val="333333"/>
                <w:sz w:val="20"/>
                <w:szCs w:val="20"/>
              </w:rPr>
              <w:t>(2) a completed authority application form relevant to the indication and treatment phase (the latest version is located on the website specified in the Administrative Advice).</w:t>
            </w:r>
          </w:p>
        </w:tc>
      </w:tr>
      <w:tr w:rsidR="000D40B9" w:rsidRPr="00006F36" w14:paraId="0D2AC89F" w14:textId="77777777" w:rsidTr="000D40B9">
        <w:trPr>
          <w:cantSplit/>
          <w:trHeight w:val="20"/>
        </w:trPr>
        <w:tc>
          <w:tcPr>
            <w:tcW w:w="5000" w:type="pct"/>
            <w:vAlign w:val="center"/>
          </w:tcPr>
          <w:p w14:paraId="586B366A" w14:textId="77777777" w:rsidR="00D12810" w:rsidRDefault="000D40B9" w:rsidP="000D6074">
            <w:pPr>
              <w:rPr>
                <w:rFonts w:ascii="Arial Narrow" w:hAnsi="Arial Narrow"/>
                <w:b/>
                <w:bCs/>
                <w:color w:val="333333"/>
                <w:sz w:val="20"/>
                <w:szCs w:val="20"/>
              </w:rPr>
            </w:pPr>
            <w:r w:rsidRPr="00006F36">
              <w:rPr>
                <w:rFonts w:ascii="Arial Narrow" w:hAnsi="Arial Narrow"/>
                <w:b/>
                <w:bCs/>
                <w:color w:val="333333"/>
                <w:sz w:val="20"/>
                <w:szCs w:val="20"/>
              </w:rPr>
              <w:t>Administrative Advice:</w:t>
            </w:r>
          </w:p>
          <w:p w14:paraId="3A52643C" w14:textId="5D4C6FD5" w:rsidR="000D40B9" w:rsidRPr="00006F36" w:rsidRDefault="000D40B9" w:rsidP="000D6074">
            <w:pPr>
              <w:textAlignment w:val="baseline"/>
              <w:rPr>
                <w:rFonts w:ascii="Arial Narrow" w:hAnsi="Arial Narrow" w:cs="Open Sans"/>
                <w:color w:val="333333"/>
                <w:sz w:val="20"/>
                <w:szCs w:val="20"/>
              </w:rPr>
            </w:pPr>
            <w:r w:rsidRPr="00006F36">
              <w:rPr>
                <w:rFonts w:ascii="Arial Narrow" w:hAnsi="Arial Narrow" w:cs="Open Sans"/>
                <w:color w:val="333333"/>
                <w:sz w:val="20"/>
                <w:szCs w:val="20"/>
              </w:rPr>
              <w:t>Any queries concerning the arrangements to prescribe may be directed to Services Australia on 1800 700 270 (hours of operation 8 a.m. to 5 p.m. Monday to Friday).</w:t>
            </w:r>
          </w:p>
          <w:p w14:paraId="05DC184F" w14:textId="77777777" w:rsidR="000D40B9" w:rsidRPr="00006F36" w:rsidRDefault="000D40B9" w:rsidP="000D6074">
            <w:pPr>
              <w:textAlignment w:val="baseline"/>
              <w:rPr>
                <w:rFonts w:ascii="Arial Narrow" w:hAnsi="Arial Narrow" w:cs="Open Sans"/>
                <w:color w:val="333333"/>
                <w:sz w:val="20"/>
                <w:szCs w:val="20"/>
              </w:rPr>
            </w:pPr>
            <w:r w:rsidRPr="00006F36">
              <w:rPr>
                <w:rFonts w:ascii="Arial Narrow" w:hAnsi="Arial Narrow" w:cs="Open Sans"/>
                <w:color w:val="333333"/>
                <w:sz w:val="20"/>
                <w:szCs w:val="20"/>
              </w:rPr>
              <w:t>Prescribing information (including Authority Application forms and other relevant documentation as applicable) is available on the Services Australia website at www.servicesaustralia.gov.au</w:t>
            </w:r>
          </w:p>
          <w:p w14:paraId="679D3F40" w14:textId="77777777" w:rsidR="000D40B9" w:rsidRPr="00006F36" w:rsidRDefault="000D40B9" w:rsidP="000D6074">
            <w:pPr>
              <w:textAlignment w:val="baseline"/>
              <w:rPr>
                <w:rFonts w:ascii="Arial Narrow" w:hAnsi="Arial Narrow" w:cs="Open Sans"/>
                <w:color w:val="333333"/>
                <w:sz w:val="20"/>
                <w:szCs w:val="20"/>
              </w:rPr>
            </w:pPr>
            <w:r w:rsidRPr="00006F36">
              <w:rPr>
                <w:rFonts w:ascii="Arial Narrow" w:hAnsi="Arial Narrow" w:cs="Open Sans"/>
                <w:color w:val="333333"/>
                <w:sz w:val="20"/>
                <w:szCs w:val="20"/>
              </w:rPr>
              <w:t>Applications for authority to prescribe should be submitted online using the form upload facility in Health Professional Online Services (HPOS) at www.servicesaustralia.gov.au/hpos</w:t>
            </w:r>
          </w:p>
          <w:p w14:paraId="16906F11" w14:textId="77777777" w:rsidR="000D40B9" w:rsidRPr="00006F36" w:rsidRDefault="000D40B9" w:rsidP="000D6074">
            <w:pPr>
              <w:textAlignment w:val="baseline"/>
              <w:rPr>
                <w:rFonts w:ascii="Arial Narrow" w:hAnsi="Arial Narrow" w:cs="Open Sans"/>
                <w:color w:val="333333"/>
                <w:sz w:val="20"/>
                <w:szCs w:val="20"/>
              </w:rPr>
            </w:pPr>
            <w:r w:rsidRPr="00006F36">
              <w:rPr>
                <w:rFonts w:ascii="Arial Narrow" w:hAnsi="Arial Narrow" w:cs="Open Sans"/>
                <w:color w:val="333333"/>
                <w:sz w:val="20"/>
                <w:szCs w:val="20"/>
              </w:rPr>
              <w:t>Or mailed to:</w:t>
            </w:r>
          </w:p>
          <w:p w14:paraId="3E019978" w14:textId="77777777" w:rsidR="000D40B9" w:rsidRPr="00006F36" w:rsidRDefault="000D40B9" w:rsidP="000D6074">
            <w:pPr>
              <w:textAlignment w:val="baseline"/>
              <w:rPr>
                <w:rFonts w:ascii="Arial Narrow" w:hAnsi="Arial Narrow" w:cs="Open Sans"/>
                <w:color w:val="333333"/>
                <w:sz w:val="20"/>
                <w:szCs w:val="20"/>
              </w:rPr>
            </w:pPr>
            <w:r w:rsidRPr="00006F36">
              <w:rPr>
                <w:rFonts w:ascii="Arial Narrow" w:hAnsi="Arial Narrow" w:cs="Open Sans"/>
                <w:color w:val="333333"/>
                <w:sz w:val="20"/>
                <w:szCs w:val="20"/>
              </w:rPr>
              <w:t>Services Australia</w:t>
            </w:r>
          </w:p>
          <w:p w14:paraId="5E697692" w14:textId="77777777" w:rsidR="000D40B9" w:rsidRPr="00006F36" w:rsidRDefault="000D40B9" w:rsidP="000D6074">
            <w:pPr>
              <w:textAlignment w:val="baseline"/>
              <w:rPr>
                <w:rFonts w:ascii="Arial Narrow" w:hAnsi="Arial Narrow" w:cs="Open Sans"/>
                <w:color w:val="333333"/>
                <w:sz w:val="20"/>
                <w:szCs w:val="20"/>
              </w:rPr>
            </w:pPr>
            <w:r w:rsidRPr="00006F36">
              <w:rPr>
                <w:rFonts w:ascii="Arial Narrow" w:hAnsi="Arial Narrow" w:cs="Open Sans"/>
                <w:color w:val="333333"/>
                <w:sz w:val="20"/>
                <w:szCs w:val="20"/>
              </w:rPr>
              <w:t>Complex Drugs</w:t>
            </w:r>
          </w:p>
          <w:p w14:paraId="0EF6A10C" w14:textId="77777777" w:rsidR="000D40B9" w:rsidRPr="00006F36" w:rsidRDefault="000D40B9" w:rsidP="000D6074">
            <w:pPr>
              <w:textAlignment w:val="baseline"/>
              <w:rPr>
                <w:rFonts w:ascii="Arial Narrow" w:hAnsi="Arial Narrow" w:cs="Open Sans"/>
                <w:color w:val="333333"/>
                <w:sz w:val="20"/>
                <w:szCs w:val="20"/>
              </w:rPr>
            </w:pPr>
            <w:r w:rsidRPr="00006F36">
              <w:rPr>
                <w:rFonts w:ascii="Arial Narrow" w:hAnsi="Arial Narrow" w:cs="Open Sans"/>
                <w:color w:val="333333"/>
                <w:sz w:val="20"/>
                <w:szCs w:val="20"/>
              </w:rPr>
              <w:t>Reply Paid 9826</w:t>
            </w:r>
          </w:p>
          <w:p w14:paraId="268D1351" w14:textId="77777777" w:rsidR="000D40B9" w:rsidRPr="00006F36" w:rsidRDefault="000D40B9" w:rsidP="000D6074">
            <w:pPr>
              <w:rPr>
                <w:rFonts w:ascii="Arial Narrow" w:hAnsi="Arial Narrow"/>
                <w:b/>
                <w:bCs/>
                <w:color w:val="333333"/>
                <w:sz w:val="20"/>
                <w:szCs w:val="20"/>
              </w:rPr>
            </w:pPr>
            <w:r w:rsidRPr="00006F36">
              <w:rPr>
                <w:rFonts w:ascii="Arial Narrow" w:hAnsi="Arial Narrow" w:cs="Open Sans"/>
                <w:color w:val="333333"/>
                <w:sz w:val="20"/>
                <w:szCs w:val="20"/>
              </w:rPr>
              <w:t>HOBART TAS 7001</w:t>
            </w:r>
          </w:p>
        </w:tc>
      </w:tr>
    </w:tbl>
    <w:p w14:paraId="2268185A" w14:textId="77777777" w:rsidR="00947AB2" w:rsidRPr="00006F36" w:rsidRDefault="00947AB2" w:rsidP="003F26A4"/>
    <w:p w14:paraId="2059E16C" w14:textId="1ABDE851" w:rsidR="00947AB2" w:rsidRPr="000D40B9" w:rsidRDefault="008440E1" w:rsidP="000D40B9">
      <w:pPr>
        <w:jc w:val="left"/>
        <w:rPr>
          <w:b/>
          <w:bCs/>
          <w:u w:val="single"/>
        </w:rPr>
      </w:pPr>
      <w:r w:rsidRPr="00006F36">
        <w:rPr>
          <w:rFonts w:asciiTheme="minorHAnsi" w:hAnsiTheme="minorHAnsi" w:cstheme="minorHAnsi"/>
          <w:b/>
          <w:i/>
        </w:rPr>
        <w:t>The restriction may be subject to further review. Should there be any changes made to the restriction the sponsor will be informed</w:t>
      </w:r>
      <w:r w:rsidRPr="00006F36">
        <w:rPr>
          <w:rFonts w:asciiTheme="minorHAnsi" w:hAnsiTheme="minorHAnsi" w:cstheme="minorHAnsi"/>
          <w:b/>
        </w:rPr>
        <w:t>.</w:t>
      </w:r>
    </w:p>
    <w:p w14:paraId="2E07EC52" w14:textId="77777777" w:rsidR="00E55CB4" w:rsidRPr="00E55CB4" w:rsidRDefault="00E55CB4" w:rsidP="00B00865">
      <w:pPr>
        <w:pStyle w:val="2-SectionHeading"/>
        <w:rPr>
          <w:b w:val="0"/>
        </w:rPr>
      </w:pPr>
      <w:bookmarkStart w:id="73" w:name="_Hlk164850980"/>
      <w:bookmarkEnd w:id="67"/>
      <w:r w:rsidRPr="00E55CB4">
        <w:t>Context for Decision</w:t>
      </w:r>
    </w:p>
    <w:p w14:paraId="0101CD5A" w14:textId="77777777" w:rsidR="00E55CB4" w:rsidRPr="00E55CB4" w:rsidRDefault="00E55CB4" w:rsidP="00E55CB4">
      <w:pPr>
        <w:spacing w:after="120" w:line="259" w:lineRule="auto"/>
        <w:ind w:left="709"/>
        <w:rPr>
          <w:rFonts w:eastAsia="Calibri"/>
          <w:bCs/>
          <w:sz w:val="22"/>
          <w:szCs w:val="22"/>
          <w:lang w:val="en-GB" w:eastAsia="en-US"/>
        </w:rPr>
      </w:pPr>
      <w:r w:rsidRPr="00E55CB4">
        <w:rPr>
          <w:rFonts w:eastAsia="Calibri"/>
          <w:bCs/>
          <w:sz w:val="22"/>
          <w:szCs w:val="22"/>
          <w:lang w:val="en-GB"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D2F94B7" w14:textId="77777777" w:rsidR="00E55CB4" w:rsidRPr="00003B0D" w:rsidRDefault="00E55CB4" w:rsidP="00B00865">
      <w:pPr>
        <w:pStyle w:val="2-SectionHeading"/>
      </w:pPr>
      <w:r w:rsidRPr="00E55CB4">
        <w:t>Sponsor’s Comment</w:t>
      </w:r>
    </w:p>
    <w:p w14:paraId="4FBBA5C9" w14:textId="4256D643" w:rsidR="00F502E3" w:rsidRPr="000D40B9" w:rsidRDefault="008348FB" w:rsidP="000D40B9">
      <w:pPr>
        <w:spacing w:after="120" w:line="259" w:lineRule="auto"/>
        <w:ind w:left="709"/>
        <w:rPr>
          <w:rFonts w:eastAsia="Calibri"/>
          <w:bCs/>
          <w:sz w:val="22"/>
          <w:lang w:eastAsia="en-US"/>
        </w:rPr>
      </w:pPr>
      <w:r>
        <w:rPr>
          <w:rFonts w:eastAsia="Calibri"/>
          <w:bCs/>
          <w:sz w:val="22"/>
          <w:szCs w:val="22"/>
          <w:lang w:val="en-GB" w:eastAsia="en-US"/>
        </w:rPr>
        <w:t xml:space="preserve">Amicus are pleased that the PBAC has agreed that Galafold is a </w:t>
      </w:r>
      <w:r w:rsidR="0029742B">
        <w:rPr>
          <w:rFonts w:eastAsia="Calibri"/>
          <w:bCs/>
          <w:sz w:val="22"/>
          <w:szCs w:val="22"/>
          <w:lang w:val="en-GB" w:eastAsia="en-US"/>
        </w:rPr>
        <w:t>cost-effective</w:t>
      </w:r>
      <w:r>
        <w:rPr>
          <w:rFonts w:eastAsia="Calibri"/>
          <w:bCs/>
          <w:sz w:val="22"/>
          <w:szCs w:val="22"/>
          <w:lang w:val="en-GB" w:eastAsia="en-US"/>
        </w:rPr>
        <w:t xml:space="preserve"> medication for the treatment of Fabry disease in amenable patients under the proposed</w:t>
      </w:r>
      <w:r w:rsidR="00DF29D7">
        <w:rPr>
          <w:rFonts w:eastAsia="Calibri"/>
          <w:bCs/>
          <w:sz w:val="22"/>
          <w:szCs w:val="22"/>
          <w:lang w:val="en-GB" w:eastAsia="en-US"/>
        </w:rPr>
        <w:t xml:space="preserve"> arrangement. We </w:t>
      </w:r>
      <w:r w:rsidR="00DF29D7">
        <w:rPr>
          <w:rFonts w:eastAsia="Calibri"/>
          <w:bCs/>
          <w:sz w:val="22"/>
          <w:szCs w:val="22"/>
          <w:lang w:val="en-GB" w:eastAsia="en-US"/>
        </w:rPr>
        <w:lastRenderedPageBreak/>
        <w:t xml:space="preserve">will work with the department to make this </w:t>
      </w:r>
      <w:r w:rsidR="00C335C2">
        <w:rPr>
          <w:rFonts w:eastAsia="Calibri"/>
          <w:bCs/>
          <w:sz w:val="22"/>
          <w:szCs w:val="22"/>
          <w:lang w:val="en-GB" w:eastAsia="en-US"/>
        </w:rPr>
        <w:t>important therapy available through the PBS as quickly as possible.</w:t>
      </w:r>
      <w:bookmarkEnd w:id="73"/>
    </w:p>
    <w:p w14:paraId="7E3D2F3F" w14:textId="77777777" w:rsidR="008C634B" w:rsidRDefault="008C634B">
      <w:pPr>
        <w:jc w:val="left"/>
        <w:rPr>
          <w:rFonts w:asciiTheme="minorHAnsi" w:eastAsiaTheme="majorEastAsia" w:hAnsiTheme="minorHAnsi" w:cstheme="majorBidi"/>
          <w:b/>
          <w:color w:val="FF0000"/>
          <w:spacing w:val="5"/>
          <w:kern w:val="28"/>
          <w:sz w:val="28"/>
          <w:szCs w:val="28"/>
        </w:rPr>
      </w:pPr>
      <w:r>
        <w:rPr>
          <w:color w:val="FF0000"/>
          <w:sz w:val="28"/>
          <w:szCs w:val="28"/>
        </w:rPr>
        <w:br w:type="page"/>
      </w:r>
    </w:p>
    <w:p w14:paraId="3D00166C" w14:textId="7B978102" w:rsidR="000D40B9" w:rsidRPr="00E71ECE" w:rsidRDefault="000D40B9" w:rsidP="000D40B9">
      <w:pPr>
        <w:pStyle w:val="1-MainHeading0"/>
        <w:rPr>
          <w:color w:val="FF0000"/>
          <w:sz w:val="28"/>
          <w:szCs w:val="28"/>
        </w:rPr>
      </w:pPr>
      <w:r w:rsidRPr="00E71ECE">
        <w:rPr>
          <w:color w:val="FF0000"/>
          <w:sz w:val="28"/>
          <w:szCs w:val="28"/>
        </w:rPr>
        <w:lastRenderedPageBreak/>
        <w:t xml:space="preserve">Addendum to the </w:t>
      </w:r>
      <w:r>
        <w:rPr>
          <w:color w:val="FF0000"/>
          <w:sz w:val="28"/>
          <w:szCs w:val="28"/>
        </w:rPr>
        <w:t>March 2024</w:t>
      </w:r>
      <w:r w:rsidRPr="00E71ECE">
        <w:rPr>
          <w:color w:val="FF0000"/>
          <w:sz w:val="28"/>
          <w:szCs w:val="28"/>
        </w:rPr>
        <w:t xml:space="preserve"> PBAC </w:t>
      </w:r>
      <w:r w:rsidR="00C1025E">
        <w:rPr>
          <w:color w:val="FF0000"/>
          <w:sz w:val="28"/>
          <w:szCs w:val="28"/>
        </w:rPr>
        <w:t>PSD</w:t>
      </w:r>
      <w:r w:rsidRPr="00E71ECE">
        <w:rPr>
          <w:color w:val="FF0000"/>
          <w:sz w:val="28"/>
          <w:szCs w:val="28"/>
        </w:rPr>
        <w:t>:</w:t>
      </w:r>
    </w:p>
    <w:p w14:paraId="3E33831A" w14:textId="77777777" w:rsidR="000D40B9" w:rsidRPr="00F15A90" w:rsidRDefault="000D40B9" w:rsidP="000D40B9">
      <w:pPr>
        <w:pStyle w:val="1-MainHeading"/>
      </w:pPr>
      <w:r>
        <w:t>4.01</w:t>
      </w:r>
      <w:r w:rsidRPr="00006F36">
        <w:tab/>
        <w:t>MIGALASTAT,</w:t>
      </w:r>
      <w:r w:rsidRPr="00006F36">
        <w:br/>
      </w:r>
      <w:r w:rsidRPr="00006F36">
        <w:rPr>
          <w:rFonts w:ascii="Calibri" w:hAnsi="Calibri" w:cs="Calibri"/>
          <w:color w:val="000000"/>
        </w:rPr>
        <w:t>Capsule containing migalastat hydrochloride 150 mg</w:t>
      </w:r>
      <w:r w:rsidRPr="00006F36">
        <w:rPr>
          <w:rFonts w:ascii="Arial" w:hAnsi="Arial" w:cs="Arial"/>
          <w:color w:val="000000"/>
        </w:rPr>
        <w:br/>
      </w:r>
      <w:r w:rsidRPr="00006F36">
        <w:t>Galafold®,</w:t>
      </w:r>
      <w:r w:rsidRPr="00006F36">
        <w:br/>
        <w:t>Amicus Therapeutics Pty Ltd</w:t>
      </w:r>
    </w:p>
    <w:p w14:paraId="5939480C" w14:textId="77777777" w:rsidR="000D40B9" w:rsidRPr="0035358E" w:rsidRDefault="000D40B9" w:rsidP="000D40B9">
      <w:pPr>
        <w:pStyle w:val="2-SectionHeading"/>
        <w:numPr>
          <w:ilvl w:val="0"/>
          <w:numId w:val="1"/>
        </w:numPr>
      </w:pPr>
      <w:r w:rsidRPr="0035358E">
        <w:t>Background</w:t>
      </w:r>
    </w:p>
    <w:p w14:paraId="058DD8C4" w14:textId="77777777" w:rsidR="000D40B9" w:rsidRPr="00E86F8C" w:rsidRDefault="000D40B9" w:rsidP="000D40B9">
      <w:pPr>
        <w:pStyle w:val="3-BodyText"/>
      </w:pPr>
      <w:r w:rsidRPr="00E86F8C">
        <w:t>At its March 2024 meeting, the PBAC recommended the listing of migalastat for the treatment of Fabry disease in patients aged 12 years of age and older who have an amenable mutation and evidence of organ involvement/injury (including severe gastrointestinal symptoms, uncontrolled chronic pain, renal disease, cardiac disease, ischaemic disease and cerebrovascular disease).</w:t>
      </w:r>
    </w:p>
    <w:p w14:paraId="2DC199F7" w14:textId="77777777" w:rsidR="000D40B9" w:rsidRPr="00E86F8C" w:rsidRDefault="000D40B9" w:rsidP="000D40B9">
      <w:pPr>
        <w:pStyle w:val="3-BodyText"/>
      </w:pPr>
      <w:r>
        <w:t>Subsequent to the March 2024 meeting,</w:t>
      </w:r>
      <w:r w:rsidRPr="00E86F8C">
        <w:t xml:space="preserve"> the </w:t>
      </w:r>
      <w:r>
        <w:t xml:space="preserve">sponsor </w:t>
      </w:r>
      <w:r w:rsidRPr="00E86F8C">
        <w:t>requested</w:t>
      </w:r>
      <w:r>
        <w:t xml:space="preserve"> the PBAC consider</w:t>
      </w:r>
      <w:r w:rsidRPr="00E86F8C">
        <w:t>:</w:t>
      </w:r>
    </w:p>
    <w:p w14:paraId="38B4A61F" w14:textId="77777777" w:rsidR="00D12810" w:rsidRDefault="000D40B9" w:rsidP="000D40B9">
      <w:pPr>
        <w:pStyle w:val="3-BodyText"/>
        <w:numPr>
          <w:ilvl w:val="1"/>
          <w:numId w:val="42"/>
        </w:numPr>
        <w:ind w:left="1134"/>
      </w:pPr>
      <w:r w:rsidRPr="00E86F8C">
        <w:t>An amendment to the restriction to include an additional cardiac criterion; and</w:t>
      </w:r>
    </w:p>
    <w:p w14:paraId="641B472F" w14:textId="027AB66A" w:rsidR="000D40B9" w:rsidRPr="00E86F8C" w:rsidRDefault="000D40B9" w:rsidP="000D40B9">
      <w:pPr>
        <w:pStyle w:val="3-BodyText"/>
        <w:numPr>
          <w:ilvl w:val="1"/>
          <w:numId w:val="42"/>
        </w:numPr>
        <w:ind w:left="1134"/>
      </w:pPr>
      <w:r w:rsidRPr="00E86F8C">
        <w:t>An amendment to allow a less than 100% rebate for any costs over the expenditure caps.</w:t>
      </w:r>
    </w:p>
    <w:p w14:paraId="0586CA71" w14:textId="77777777" w:rsidR="000D40B9" w:rsidRDefault="000D40B9" w:rsidP="000D40B9">
      <w:pPr>
        <w:pStyle w:val="2-SectionHeading"/>
        <w:numPr>
          <w:ilvl w:val="0"/>
          <w:numId w:val="1"/>
        </w:numPr>
        <w:rPr>
          <w:rFonts w:eastAsiaTheme="minorEastAsia"/>
        </w:rPr>
      </w:pPr>
      <w:r>
        <w:rPr>
          <w:rFonts w:eastAsiaTheme="minorEastAsia"/>
        </w:rPr>
        <w:t>Requested listing</w:t>
      </w:r>
    </w:p>
    <w:p w14:paraId="1F1107E7" w14:textId="4FD260E0" w:rsidR="000D40B9" w:rsidRDefault="000D40B9" w:rsidP="000D40B9">
      <w:pPr>
        <w:pStyle w:val="3-BodyText"/>
      </w:pPr>
      <w:r>
        <w:t>The sponsor stated that they have received feedback from clinicians experienced in treating Fabry disease that the cardiac criteria could be improved to include late gadolinium enhancement or low T1 changes on cardiac magnetic resonance imaging (MRI). Clinicians have advised the sponsor that this testing is covered by MBS item 63385</w:t>
      </w:r>
      <w:r w:rsidRPr="00FD790A">
        <w:rPr>
          <w:rStyle w:val="FootnoteReference"/>
        </w:rPr>
        <w:footnoteReference w:id="15"/>
      </w:r>
      <w:r w:rsidRPr="00FD790A">
        <w:t>.</w:t>
      </w:r>
      <w:r>
        <w:t xml:space="preserve"> The sponsor did not request an increase in patient numbers to include this amendment.</w:t>
      </w:r>
    </w:p>
    <w:p w14:paraId="6B68DAE5" w14:textId="77777777" w:rsidR="000D40B9" w:rsidRPr="0042604C" w:rsidRDefault="000D40B9" w:rsidP="000D40B9">
      <w:pPr>
        <w:pStyle w:val="2-SectionHeading"/>
        <w:numPr>
          <w:ilvl w:val="0"/>
          <w:numId w:val="1"/>
        </w:numPr>
        <w:rPr>
          <w:rFonts w:eastAsiaTheme="minorEastAsia"/>
        </w:rPr>
      </w:pPr>
      <w:r>
        <w:rPr>
          <w:rFonts w:eastAsiaTheme="minorEastAsia"/>
        </w:rPr>
        <w:t>Financial management – Risk Sharing Arrangement</w:t>
      </w:r>
    </w:p>
    <w:p w14:paraId="48B87AF7" w14:textId="77777777" w:rsidR="00D12810" w:rsidRDefault="000D40B9" w:rsidP="000D40B9">
      <w:pPr>
        <w:pStyle w:val="3-BodyText"/>
      </w:pPr>
      <w:r w:rsidRPr="00D35F12">
        <w:t xml:space="preserve">The PBAC </w:t>
      </w:r>
      <w:r>
        <w:t xml:space="preserve">previously </w:t>
      </w:r>
      <w:r w:rsidRPr="00D35F12">
        <w:t xml:space="preserve">considered a risk sharing arrangement with expenditure caps defined by financial estimates with a 100% rebate for any cost over the expenditure caps </w:t>
      </w:r>
      <w:r w:rsidRPr="00FD790A">
        <w:t>would</w:t>
      </w:r>
      <w:r w:rsidRPr="00D35F12">
        <w:t xml:space="preserve"> appropriately manage the risk of use outside the restriction criteria</w:t>
      </w:r>
      <w:r>
        <w:t xml:space="preserve"> (paragraph 7.10)</w:t>
      </w:r>
      <w:r w:rsidRPr="00D35F12">
        <w:t>.</w:t>
      </w:r>
    </w:p>
    <w:p w14:paraId="31FAFC9A" w14:textId="77777777" w:rsidR="00D12810" w:rsidRDefault="000D40B9" w:rsidP="000D40B9">
      <w:pPr>
        <w:pStyle w:val="3-BodyText"/>
      </w:pPr>
      <w:r>
        <w:t>Subsequent to the March 2024 PBAC meeting, the sponsor indicated the addition of the clinical criterion ‘</w:t>
      </w:r>
      <w:r w:rsidRPr="0048124A">
        <w:t>Patient must have significant Fabry-related gastrointestinal symptoms despite the use of the recommended doses of appropriate pharmacological therapies’</w:t>
      </w:r>
      <w:r>
        <w:t xml:space="preserve"> (paragraph 7.3) may increase the number of patients likely to be treated </w:t>
      </w:r>
      <w:r>
        <w:lastRenderedPageBreak/>
        <w:t>with migalastat. However, the PBAC had considered that the number of eligible patients, which was high but reasonable, accounted for the additional criterion regarding gastrointestinal symptoms (paragraph 7.9).</w:t>
      </w:r>
    </w:p>
    <w:p w14:paraId="5A84C590" w14:textId="77777777" w:rsidR="00D12810" w:rsidRDefault="000D40B9" w:rsidP="000D40B9">
      <w:pPr>
        <w:pStyle w:val="3-BodyText"/>
      </w:pPr>
      <w:r>
        <w:t>As an alternative to increasing the patient numbers, was PBAC was asked to consider whether a rebate of less than 100% would be acceptable.</w:t>
      </w:r>
    </w:p>
    <w:p w14:paraId="10B8E08F" w14:textId="04B979DD" w:rsidR="000D40B9" w:rsidRDefault="000D40B9" w:rsidP="000D40B9">
      <w:pPr>
        <w:pStyle w:val="2-SectionHeading"/>
        <w:numPr>
          <w:ilvl w:val="0"/>
          <w:numId w:val="1"/>
        </w:numPr>
      </w:pPr>
      <w:r>
        <w:t>PBAC Outcome</w:t>
      </w:r>
    </w:p>
    <w:p w14:paraId="24E8F4BB" w14:textId="77777777" w:rsidR="00D12810" w:rsidRDefault="000D40B9" w:rsidP="000D40B9">
      <w:pPr>
        <w:pStyle w:val="3-BodyText"/>
      </w:pPr>
      <w:r>
        <w:t xml:space="preserve">The PBAC recommended the requested amendment to the cardiac restriction criterion to include </w:t>
      </w:r>
      <w:r w:rsidRPr="00704673">
        <w:t xml:space="preserve">late gadolinium enhancement or </w:t>
      </w:r>
      <w:r>
        <w:t xml:space="preserve">low </w:t>
      </w:r>
      <w:r w:rsidRPr="00704673">
        <w:t>T1 changes on cardiac magnetic resonance imaging</w:t>
      </w:r>
      <w:r>
        <w:t>. The PBAC noted this requested change to the restriction</w:t>
      </w:r>
      <w:r w:rsidRPr="00704673">
        <w:t xml:space="preserve"> </w:t>
      </w:r>
      <w:r>
        <w:t>was consistent with the Fabry Australia Treatment Review White Paper (now published as Nicholls 2024). The PBAC considered this amendment was clinically appropriate and it was unlikely to increase the number of eligible patients.</w:t>
      </w:r>
    </w:p>
    <w:p w14:paraId="0A8592FF" w14:textId="033D0286" w:rsidR="00D12810" w:rsidRDefault="000D40B9" w:rsidP="000D40B9">
      <w:pPr>
        <w:pStyle w:val="3-BodyText"/>
      </w:pPr>
      <w:r>
        <w:t xml:space="preserve">The PBAC reiterated its consideration that the number of eligible patients with evidence of organ involvement/ injury was high but reasonable and accounted for patients with significant gastrointestinal symptoms (paragraph </w:t>
      </w:r>
      <w:r>
        <w:fldChar w:fldCharType="begin"/>
      </w:r>
      <w:r>
        <w:instrText xml:space="preserve"> REF _Ref167782320 \r \h </w:instrText>
      </w:r>
      <w:r>
        <w:fldChar w:fldCharType="separate"/>
      </w:r>
      <w:r w:rsidR="00177590">
        <w:rPr>
          <w:b/>
          <w:bCs/>
          <w:lang w:val="en-US"/>
        </w:rPr>
        <w:t>Error! Reference source not found.</w:t>
      </w:r>
      <w:r>
        <w:fldChar w:fldCharType="end"/>
      </w:r>
      <w:r>
        <w:t>). However, the PBAC considered it would be reasonable to allow a rebate of less than 100% in the first 2 years of listing to share any residual uncertainty regarding the eligible patient numbers, particularly the uncertainty associated with the transition from the LSDP to the PBS. T</w:t>
      </w:r>
      <w:r w:rsidRPr="00734E4B">
        <w:t xml:space="preserve">he PBAC </w:t>
      </w:r>
      <w:r>
        <w:t>advised</w:t>
      </w:r>
      <w:r w:rsidRPr="00734E4B">
        <w:t xml:space="preserve"> that any rebate would need to require the sponsor to rebate the majority of the cost of migalastat</w:t>
      </w:r>
      <w:r>
        <w:t>.</w:t>
      </w:r>
    </w:p>
    <w:p w14:paraId="06E6D9F0" w14:textId="1801722B" w:rsidR="000D40B9" w:rsidRPr="00EB0B82" w:rsidRDefault="000D40B9" w:rsidP="000D40B9">
      <w:pPr>
        <w:pStyle w:val="3-BodyText"/>
        <w:numPr>
          <w:ilvl w:val="0"/>
          <w:numId w:val="0"/>
        </w:numPr>
        <w:rPr>
          <w:b/>
          <w:bCs/>
        </w:rPr>
      </w:pPr>
      <w:r w:rsidRPr="00EB0B82">
        <w:rPr>
          <w:b/>
          <w:bCs/>
        </w:rPr>
        <w:t>Outcome:</w:t>
      </w:r>
    </w:p>
    <w:p w14:paraId="73D921B2" w14:textId="0DFCA11D" w:rsidR="000D40B9" w:rsidRPr="00135ABE" w:rsidRDefault="000D40B9" w:rsidP="00135ABE">
      <w:pPr>
        <w:pStyle w:val="3-BodyText"/>
        <w:numPr>
          <w:ilvl w:val="0"/>
          <w:numId w:val="0"/>
        </w:numPr>
        <w:ind w:left="720" w:hanging="720"/>
      </w:pPr>
      <w:r>
        <w:t>Recommended</w:t>
      </w:r>
    </w:p>
    <w:p w14:paraId="6BEEA9A4" w14:textId="77777777" w:rsidR="000D40B9" w:rsidRDefault="000D40B9" w:rsidP="000D40B9">
      <w:pPr>
        <w:pStyle w:val="2-SectionHeading"/>
        <w:numPr>
          <w:ilvl w:val="0"/>
          <w:numId w:val="1"/>
        </w:numPr>
      </w:pPr>
      <w:r>
        <w:t>Recommended listing</w:t>
      </w:r>
    </w:p>
    <w:p w14:paraId="3DEEDBB5" w14:textId="2913AD9C" w:rsidR="000D40B9" w:rsidRDefault="000D40B9" w:rsidP="000D40B9">
      <w:pPr>
        <w:widowControl w:val="0"/>
        <w:numPr>
          <w:ilvl w:val="1"/>
          <w:numId w:val="1"/>
        </w:numPr>
        <w:spacing w:after="120"/>
        <w:contextualSpacing/>
        <w:rPr>
          <w:rFonts w:asciiTheme="minorHAnsi" w:hAnsiTheme="minorHAnsi"/>
          <w:bCs/>
          <w:snapToGrid w:val="0"/>
        </w:rPr>
      </w:pPr>
      <w:r>
        <w:rPr>
          <w:rFonts w:asciiTheme="minorHAnsi" w:hAnsiTheme="minorHAnsi"/>
          <w:bCs/>
          <w:snapToGrid w:val="0"/>
        </w:rPr>
        <w:t xml:space="preserve">Amend restriction provided in paragraph </w:t>
      </w:r>
      <w:r>
        <w:rPr>
          <w:rFonts w:asciiTheme="minorHAnsi" w:hAnsiTheme="minorHAnsi"/>
          <w:bCs/>
          <w:snapToGrid w:val="0"/>
        </w:rPr>
        <w:fldChar w:fldCharType="begin"/>
      </w:r>
      <w:r>
        <w:rPr>
          <w:rFonts w:asciiTheme="minorHAnsi" w:hAnsiTheme="minorHAnsi"/>
          <w:bCs/>
          <w:snapToGrid w:val="0"/>
        </w:rPr>
        <w:instrText xml:space="preserve"> REF _Ref167354091 \r \h </w:instrText>
      </w:r>
      <w:r>
        <w:rPr>
          <w:rFonts w:asciiTheme="minorHAnsi" w:hAnsiTheme="minorHAnsi"/>
          <w:bCs/>
          <w:snapToGrid w:val="0"/>
        </w:rPr>
        <w:fldChar w:fldCharType="separate"/>
      </w:r>
      <w:r w:rsidR="00177590">
        <w:rPr>
          <w:rFonts w:asciiTheme="minorHAnsi" w:hAnsiTheme="minorHAnsi"/>
          <w:b/>
          <w:snapToGrid w:val="0"/>
          <w:lang w:val="en-US"/>
        </w:rPr>
        <w:t>Error! Reference source not found.</w:t>
      </w:r>
      <w:r>
        <w:rPr>
          <w:rFonts w:asciiTheme="minorHAnsi" w:hAnsiTheme="minorHAnsi"/>
          <w:bCs/>
          <w:snapToGrid w:val="0"/>
        </w:rPr>
        <w:fldChar w:fldCharType="end"/>
      </w:r>
      <w:r>
        <w:rPr>
          <w:rFonts w:asciiTheme="minorHAnsi" w:hAnsiTheme="minorHAnsi"/>
          <w:bCs/>
          <w:snapToGrid w:val="0"/>
        </w:rPr>
        <w:t xml:space="preserve"> (additions in italics)</w:t>
      </w:r>
      <w:r w:rsidRPr="00006F36">
        <w:rPr>
          <w:rFonts w:asciiTheme="minorHAnsi" w:hAnsiTheme="minorHAnsi"/>
          <w:bCs/>
          <w:snapToGrid w:val="0"/>
        </w:rPr>
        <w:t>:</w:t>
      </w:r>
    </w:p>
    <w:p w14:paraId="0F6F9496" w14:textId="77777777" w:rsidR="000D40B9" w:rsidRPr="00006F36" w:rsidRDefault="000D40B9" w:rsidP="000D40B9">
      <w:pPr>
        <w:widowControl w:val="0"/>
        <w:spacing w:after="120"/>
        <w:contextualSpacing/>
        <w:rPr>
          <w:rFonts w:asciiTheme="minorHAnsi" w:hAnsiTheme="minorHAnsi"/>
          <w:bCs/>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9017"/>
      </w:tblGrid>
      <w:tr w:rsidR="00A24D36" w:rsidRPr="00006F36" w14:paraId="0B0BC704" w14:textId="77777777" w:rsidTr="00A24D36">
        <w:trPr>
          <w:cantSplit/>
          <w:trHeight w:val="20"/>
        </w:trPr>
        <w:tc>
          <w:tcPr>
            <w:tcW w:w="5000" w:type="pct"/>
            <w:vAlign w:val="center"/>
          </w:tcPr>
          <w:p w14:paraId="19A932BA" w14:textId="77777777" w:rsidR="00A24D36" w:rsidRPr="00006F36" w:rsidRDefault="00A24D36" w:rsidP="00022AC7">
            <w:pPr>
              <w:rPr>
                <w:rFonts w:ascii="Arial Narrow" w:hAnsi="Arial Narrow"/>
                <w:color w:val="333333"/>
                <w:sz w:val="20"/>
                <w:szCs w:val="20"/>
              </w:rPr>
            </w:pPr>
            <w:r w:rsidRPr="00006F36">
              <w:rPr>
                <w:rFonts w:ascii="Arial Narrow" w:hAnsi="Arial Narrow"/>
                <w:color w:val="333333"/>
                <w:sz w:val="20"/>
                <w:szCs w:val="20"/>
              </w:rPr>
              <w:t xml:space="preserve">Patient must have Fabry-related cardiac disease confirmed by at least one of the following: (i) Left ventricular hypertrophy, as evidenced by cardiac MRI or echocardiogram data, in the absence of hypertension, (ii) Significant life-threatening arrhythmia or conduction defect. </w:t>
            </w:r>
            <w:r w:rsidRPr="00FD790A">
              <w:rPr>
                <w:rFonts w:ascii="Arial Narrow" w:eastAsia="Arial" w:hAnsi="Arial Narrow"/>
                <w:i/>
                <w:iCs/>
                <w:color w:val="333333"/>
                <w:sz w:val="20"/>
              </w:rPr>
              <w:t xml:space="preserve">(iii) Late gadolinium enhancement or a low T1 on cardiac MRI </w:t>
            </w:r>
            <w:r w:rsidRPr="00006F36">
              <w:rPr>
                <w:rFonts w:ascii="Arial Narrow" w:hAnsi="Arial Narrow"/>
                <w:b/>
                <w:bCs/>
                <w:color w:val="333333"/>
                <w:sz w:val="20"/>
                <w:szCs w:val="20"/>
              </w:rPr>
              <w:t>OR</w:t>
            </w:r>
          </w:p>
        </w:tc>
      </w:tr>
    </w:tbl>
    <w:p w14:paraId="746A835E" w14:textId="0C4FF427" w:rsidR="000D40B9" w:rsidRPr="00003B0D" w:rsidRDefault="000D40B9" w:rsidP="00003B0D">
      <w:pPr>
        <w:pStyle w:val="2-SectionHeading"/>
        <w:numPr>
          <w:ilvl w:val="0"/>
          <w:numId w:val="1"/>
        </w:numPr>
      </w:pPr>
      <w:r w:rsidRPr="00061CBE">
        <w:t>Context for Decision</w:t>
      </w:r>
    </w:p>
    <w:p w14:paraId="353E9D9E" w14:textId="77777777" w:rsidR="000D40B9" w:rsidRPr="00061CBE" w:rsidRDefault="000D40B9" w:rsidP="000D40B9">
      <w:pPr>
        <w:ind w:left="720"/>
        <w:rPr>
          <w:bCs/>
          <w:lang w:val="en-GB"/>
        </w:rPr>
      </w:pPr>
      <w:r w:rsidRPr="00061CBE">
        <w:rPr>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w:t>
      </w:r>
      <w:r w:rsidRPr="00061CBE">
        <w:rPr>
          <w:bCs/>
          <w:lang w:val="en-GB"/>
        </w:rPr>
        <w:lastRenderedPageBreak/>
        <w:t>through the PBS. The PBAC welcomes applications containing new information at any time.</w:t>
      </w:r>
    </w:p>
    <w:p w14:paraId="4E8579DA" w14:textId="188884B6" w:rsidR="000470BE" w:rsidRPr="00061CBE" w:rsidRDefault="000D40B9" w:rsidP="00003B0D">
      <w:pPr>
        <w:pStyle w:val="2-SectionHeading"/>
        <w:numPr>
          <w:ilvl w:val="0"/>
          <w:numId w:val="1"/>
        </w:numPr>
      </w:pPr>
      <w:r w:rsidRPr="00061CBE">
        <w:t>Sponsor’s Comment</w:t>
      </w:r>
    </w:p>
    <w:p w14:paraId="3392B12F" w14:textId="62EFBC18" w:rsidR="00D12810" w:rsidRPr="00D12810" w:rsidRDefault="000470BE" w:rsidP="0056032D">
      <w:pPr>
        <w:pStyle w:val="3-BodyText"/>
        <w:numPr>
          <w:ilvl w:val="0"/>
          <w:numId w:val="0"/>
        </w:numPr>
        <w:ind w:left="720"/>
        <w:rPr>
          <w:bCs/>
        </w:rPr>
      </w:pPr>
      <w:r w:rsidRPr="000470BE">
        <w:t xml:space="preserve">Amicus is pleased to have found a solution that works for patients and the </w:t>
      </w:r>
      <w:r w:rsidR="008F0508">
        <w:t>C</w:t>
      </w:r>
      <w:r w:rsidRPr="000470BE">
        <w:t>ommonwealth allowing broader access to Galafold (Migalastat) for eligible Fabry patients in Australia</w:t>
      </w:r>
      <w:r>
        <w:t>.</w:t>
      </w:r>
    </w:p>
    <w:sectPr w:rsidR="00D12810" w:rsidRPr="00D12810" w:rsidSect="001A2A35">
      <w:headerReference w:type="default" r:id="rId9"/>
      <w:footerReference w:type="default" r:id="rId10"/>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0B5DB" w14:textId="77777777" w:rsidR="00F51F1A" w:rsidRDefault="00F51F1A" w:rsidP="00124A51">
      <w:r>
        <w:separator/>
      </w:r>
    </w:p>
    <w:p w14:paraId="214D7AC9" w14:textId="77777777" w:rsidR="00F51F1A" w:rsidRDefault="00F51F1A"/>
  </w:endnote>
  <w:endnote w:type="continuationSeparator" w:id="0">
    <w:p w14:paraId="378F61F8" w14:textId="77777777" w:rsidR="00F51F1A" w:rsidRDefault="00F51F1A" w:rsidP="00124A51">
      <w:r>
        <w:continuationSeparator/>
      </w:r>
    </w:p>
    <w:p w14:paraId="12AE3087" w14:textId="77777777" w:rsidR="00F51F1A" w:rsidRDefault="00F51F1A"/>
  </w:endnote>
  <w:endnote w:type="continuationNotice" w:id="1">
    <w:p w14:paraId="6DAA6578" w14:textId="77777777" w:rsidR="00F51F1A" w:rsidRDefault="00F51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Regular">
    <w:altName w:val="Robo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D843F2" w:rsidRDefault="00D843F2" w:rsidP="00753B29">
    <w:pPr>
      <w:pStyle w:val="Footer"/>
      <w:jc w:val="center"/>
    </w:pPr>
  </w:p>
  <w:p w14:paraId="37484CD3" w14:textId="771C6ED4" w:rsidR="00D843F2" w:rsidRPr="007C1CD9" w:rsidRDefault="00177590" w:rsidP="00753B29">
    <w:pPr>
      <w:pStyle w:val="Footer"/>
      <w:jc w:val="center"/>
    </w:pPr>
    <w:sdt>
      <w:sdtPr>
        <w:id w:val="1036156457"/>
        <w:docPartObj>
          <w:docPartGallery w:val="Page Numbers (Bottom of Page)"/>
          <w:docPartUnique/>
        </w:docPartObj>
      </w:sdtPr>
      <w:sdtEndPr>
        <w:rPr>
          <w:noProof/>
        </w:rPr>
      </w:sdtEndPr>
      <w:sdtContent>
        <w:r w:rsidR="00D843F2">
          <w:fldChar w:fldCharType="begin"/>
        </w:r>
        <w:r w:rsidR="00D843F2">
          <w:instrText xml:space="preserve"> PAGE   \* MERGEFORMAT </w:instrText>
        </w:r>
        <w:r w:rsidR="00D843F2">
          <w:fldChar w:fldCharType="separate"/>
        </w:r>
        <w:r w:rsidR="00D843F2">
          <w:rPr>
            <w:noProof/>
          </w:rPr>
          <w:t>2</w:t>
        </w:r>
        <w:r w:rsidR="00D843F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77AAA" w14:textId="77777777" w:rsidR="00F51F1A" w:rsidRDefault="00F51F1A" w:rsidP="00124A51">
      <w:r>
        <w:separator/>
      </w:r>
    </w:p>
    <w:p w14:paraId="5379B482" w14:textId="77777777" w:rsidR="00F51F1A" w:rsidRDefault="00F51F1A"/>
  </w:footnote>
  <w:footnote w:type="continuationSeparator" w:id="0">
    <w:p w14:paraId="727CD73E" w14:textId="77777777" w:rsidR="00F51F1A" w:rsidRDefault="00F51F1A" w:rsidP="00124A51">
      <w:r>
        <w:continuationSeparator/>
      </w:r>
    </w:p>
    <w:p w14:paraId="3A5A57F1" w14:textId="77777777" w:rsidR="00F51F1A" w:rsidRDefault="00F51F1A"/>
  </w:footnote>
  <w:footnote w:type="continuationNotice" w:id="1">
    <w:p w14:paraId="291581E7" w14:textId="77777777" w:rsidR="00F51F1A" w:rsidRDefault="00F51F1A"/>
  </w:footnote>
  <w:footnote w:id="2">
    <w:p w14:paraId="6BDAB27E" w14:textId="77777777" w:rsidR="00F37172" w:rsidRDefault="00F37172" w:rsidP="00F37172">
      <w:pPr>
        <w:pStyle w:val="FootnoteText"/>
      </w:pPr>
      <w:r>
        <w:rPr>
          <w:rStyle w:val="FootnoteReference"/>
        </w:rPr>
        <w:footnoteRef/>
      </w:r>
      <w:r>
        <w:t xml:space="preserve"> https://www.fabry.com.au/preventing-the-consequences/</w:t>
      </w:r>
    </w:p>
  </w:footnote>
  <w:footnote w:id="3">
    <w:p w14:paraId="25A1358F" w14:textId="37B3CCF3" w:rsidR="00D0603A" w:rsidRPr="00B95EE0" w:rsidRDefault="00D0603A" w:rsidP="00D0603A">
      <w:pPr>
        <w:pStyle w:val="FootnoteText"/>
      </w:pPr>
      <w:r>
        <w:rPr>
          <w:rStyle w:val="FootnoteReference"/>
        </w:rPr>
        <w:footnoteRef/>
      </w:r>
      <w:r>
        <w:t xml:space="preserve"> </w:t>
      </w:r>
      <w:r w:rsidRPr="00B95EE0">
        <w:t xml:space="preserve">Nicholls K et al (2024). Fabry-specific treatment in Australia: time to align eligibility criteria with international best practices. Internal Medicine Journal. </w:t>
      </w:r>
      <w:hyperlink r:id="rId1" w:history="1">
        <w:r w:rsidRPr="00B95EE0">
          <w:t>https://doi.org/10.1111/imj.16327</w:t>
        </w:r>
      </w:hyperlink>
    </w:p>
    <w:p w14:paraId="62C020D7" w14:textId="34906D97" w:rsidR="00D0603A" w:rsidRDefault="00D0603A">
      <w:pPr>
        <w:pStyle w:val="FootnoteText"/>
      </w:pPr>
    </w:p>
  </w:footnote>
  <w:footnote w:id="4">
    <w:p w14:paraId="1C7CAFD4" w14:textId="54B221D2" w:rsidR="00C14DC0" w:rsidRDefault="00C14DC0">
      <w:pPr>
        <w:pStyle w:val="FootnoteText"/>
      </w:pPr>
      <w:r>
        <w:rPr>
          <w:rStyle w:val="FootnoteReference"/>
        </w:rPr>
        <w:footnoteRef/>
      </w:r>
      <w:r>
        <w:t xml:space="preserve"> Wallace E</w:t>
      </w:r>
      <w:r w:rsidR="00F053B3">
        <w:t xml:space="preserve">, (2023), </w:t>
      </w:r>
      <w:r w:rsidR="00F053B3" w:rsidRPr="00F053B3">
        <w:t>Gene test interpretation: GLA (Fabry disease gene)</w:t>
      </w:r>
      <w:r w:rsidR="00F053B3">
        <w:t>, UpToDate</w:t>
      </w:r>
      <w:r w:rsidR="00783CFB">
        <w:t>, accessed 15 November 2023</w:t>
      </w:r>
    </w:p>
  </w:footnote>
  <w:footnote w:id="5">
    <w:p w14:paraId="30D54B6C" w14:textId="0C50E890" w:rsidR="002D1799" w:rsidRDefault="002D1799" w:rsidP="00BD188D">
      <w:pPr>
        <w:pStyle w:val="FootnoteText"/>
      </w:pPr>
      <w:r>
        <w:rPr>
          <w:rStyle w:val="FootnoteReference"/>
        </w:rPr>
        <w:footnoteRef/>
      </w:r>
      <w:r>
        <w:t xml:space="preserve"> Germain D et al. (2022), An</w:t>
      </w:r>
      <w:r w:rsidR="00BD188D">
        <w:t xml:space="preserve"> expert consensus on practical clinical recommendations and guidance for patients with classic Fabry disease, Molecular Genetics and Metabolism, 137</w:t>
      </w:r>
      <w:r w:rsidR="007E5470">
        <w:t>, pp48-61</w:t>
      </w:r>
    </w:p>
  </w:footnote>
  <w:footnote w:id="6">
    <w:p w14:paraId="53FE5B73" w14:textId="7943BE73" w:rsidR="007F2E6D" w:rsidRDefault="007F2E6D">
      <w:pPr>
        <w:pStyle w:val="FootnoteText"/>
      </w:pPr>
      <w:r>
        <w:rPr>
          <w:rStyle w:val="FootnoteReference"/>
        </w:rPr>
        <w:footnoteRef/>
      </w:r>
      <w:r>
        <w:t xml:space="preserve"> Michaud et al. (2020) When and How to Diagnose Fabry Disease in Clinical Practice. American Journal of the Medical Sciences. 360(6), pp641-649</w:t>
      </w:r>
    </w:p>
  </w:footnote>
  <w:footnote w:id="7">
    <w:p w14:paraId="7DF5132E" w14:textId="45397E47" w:rsidR="00A526B5" w:rsidRDefault="00A526B5">
      <w:pPr>
        <w:pStyle w:val="FootnoteText"/>
      </w:pPr>
      <w:r>
        <w:rPr>
          <w:rStyle w:val="FootnoteReference"/>
        </w:rPr>
        <w:footnoteRef/>
      </w:r>
      <w:r>
        <w:t xml:space="preserve"> Sirrs S et al. (2018) Canadian Fabry Disease Treatment Guidelines 2018. </w:t>
      </w:r>
      <w:r w:rsidR="004B11EF">
        <w:t xml:space="preserve">Sherbrooke Quebec. </w:t>
      </w:r>
      <w:r w:rsidR="00D01B07">
        <w:t xml:space="preserve">Accessed 15 Nov 2023 via </w:t>
      </w:r>
      <w:hyperlink r:id="rId2" w:history="1">
        <w:r w:rsidR="00D01B07" w:rsidRPr="00F34E63">
          <w:rPr>
            <w:rStyle w:val="Hyperlink"/>
          </w:rPr>
          <w:t>https://www.garrod.ca/guidelines-and-resources</w:t>
        </w:r>
      </w:hyperlink>
      <w:r w:rsidR="00D01B07">
        <w:t xml:space="preserve"> </w:t>
      </w:r>
    </w:p>
  </w:footnote>
  <w:footnote w:id="8">
    <w:p w14:paraId="740C74C2" w14:textId="6A1122CF" w:rsidR="00F26C22" w:rsidRDefault="00F26C22">
      <w:pPr>
        <w:pStyle w:val="FootnoteText"/>
      </w:pPr>
      <w:r>
        <w:rPr>
          <w:rStyle w:val="FootnoteReference"/>
        </w:rPr>
        <w:footnoteRef/>
      </w:r>
      <w:r>
        <w:t xml:space="preserve"> </w:t>
      </w:r>
      <w:r w:rsidRPr="00F26C22">
        <w:t>Mauhin W</w:t>
      </w:r>
      <w:r>
        <w:t xml:space="preserve"> et al (2022)</w:t>
      </w:r>
      <w:r w:rsidRPr="00F26C22">
        <w:t xml:space="preserve"> Cornea verticillata and acroparesthesia efficiently discriminate clusters of severity in Fabry disease. PLoS One. 15(5):e0233460. doi: 10.1371/journal.pone.0233460. </w:t>
      </w:r>
    </w:p>
  </w:footnote>
  <w:footnote w:id="9">
    <w:p w14:paraId="6CEDF858" w14:textId="5AF32C19" w:rsidR="0077531C" w:rsidRDefault="0077531C">
      <w:pPr>
        <w:pStyle w:val="FootnoteText"/>
      </w:pPr>
      <w:r>
        <w:rPr>
          <w:rStyle w:val="FootnoteReference"/>
        </w:rPr>
        <w:footnoteRef/>
      </w:r>
      <w:r>
        <w:t xml:space="preserve"> Mauer</w:t>
      </w:r>
      <w:r w:rsidR="000E64D6">
        <w:t xml:space="preserve"> M, et al. </w:t>
      </w:r>
      <w:r w:rsidR="000E64D6" w:rsidRPr="000E64D6">
        <w:t>Fabry disease: Clinical features and diagnosis</w:t>
      </w:r>
      <w:r w:rsidR="000E64D6">
        <w:t xml:space="preserve">. UpToDate, accessed 10 January 2024. </w:t>
      </w:r>
    </w:p>
  </w:footnote>
  <w:footnote w:id="10">
    <w:p w14:paraId="09B1330A" w14:textId="3A08B70F" w:rsidR="004E2204" w:rsidRDefault="004E2204" w:rsidP="00BD23E8">
      <w:pPr>
        <w:pStyle w:val="FootnoteText"/>
      </w:pPr>
      <w:r>
        <w:rPr>
          <w:rStyle w:val="FootnoteReference"/>
        </w:rPr>
        <w:footnoteRef/>
      </w:r>
      <w:r w:rsidR="00A927D5">
        <w:t>Schiff</w:t>
      </w:r>
      <w:r w:rsidR="00BD23E8">
        <w:t>mann R et al. (2009) Fabry disease: progression of nephropathy, and prevalence of cardiac and cerebrovascular events before enzyme replacement therapy, Nephrol</w:t>
      </w:r>
      <w:r w:rsidR="00D07026">
        <w:t>ogy</w:t>
      </w:r>
      <w:r w:rsidR="00BD23E8">
        <w:t xml:space="preserve"> Dial</w:t>
      </w:r>
      <w:r w:rsidR="008F5046">
        <w:t>ysis</w:t>
      </w:r>
      <w:r w:rsidR="00BD23E8">
        <w:t xml:space="preserve"> Transplant 24: 2102–2111.</w:t>
      </w:r>
    </w:p>
  </w:footnote>
  <w:footnote w:id="11">
    <w:p w14:paraId="3EBA5D8D" w14:textId="7D0B6AAF" w:rsidR="008F5046" w:rsidRDefault="008F5046" w:rsidP="00DC66A6">
      <w:pPr>
        <w:pStyle w:val="FootnoteText"/>
      </w:pPr>
      <w:r>
        <w:rPr>
          <w:rStyle w:val="FootnoteReference"/>
        </w:rPr>
        <w:footnoteRef/>
      </w:r>
      <w:r w:rsidR="00DC66A6">
        <w:t>Rombach S et al. (2013) Long term enzyme replacement therapy for Fabry disease: effectiveness on kidney, heart and brain, Orphanet J</w:t>
      </w:r>
      <w:r w:rsidR="003D6D39">
        <w:t>ournal of</w:t>
      </w:r>
      <w:r w:rsidR="00DC66A6">
        <w:t xml:space="preserve"> Rare Di</w:t>
      </w:r>
      <w:r w:rsidR="003D6D39">
        <w:t>sease</w:t>
      </w:r>
      <w:r w:rsidR="00DC66A6">
        <w:t xml:space="preserve"> 8:47</w:t>
      </w:r>
    </w:p>
  </w:footnote>
  <w:footnote w:id="12">
    <w:p w14:paraId="18743F47" w14:textId="6E575155" w:rsidR="00C533CB" w:rsidRDefault="00C533CB" w:rsidP="00651174">
      <w:pPr>
        <w:pStyle w:val="FootnoteText"/>
      </w:pPr>
      <w:r>
        <w:rPr>
          <w:rStyle w:val="FootnoteReference"/>
        </w:rPr>
        <w:footnoteRef/>
      </w:r>
      <w:r>
        <w:t>Madsen C et al. (201</w:t>
      </w:r>
      <w:r w:rsidR="00651174">
        <w:t>9</w:t>
      </w:r>
      <w:r>
        <w:t>)</w:t>
      </w:r>
      <w:r w:rsidR="00651174">
        <w:t xml:space="preserve"> </w:t>
      </w:r>
      <w:r>
        <w:t>Age-related renal function decline in Fabry disease patients on enzyme</w:t>
      </w:r>
      <w:r w:rsidR="00651174">
        <w:t xml:space="preserve"> </w:t>
      </w:r>
      <w:r>
        <w:t>replacement therapy: a longitudinal cohort study</w:t>
      </w:r>
      <w:r w:rsidR="00651174">
        <w:t>, Nephrology Dialysis Transplant</w:t>
      </w:r>
      <w:r>
        <w:t xml:space="preserve"> 34</w:t>
      </w:r>
      <w:r w:rsidR="00651174">
        <w:t xml:space="preserve"> </w:t>
      </w:r>
      <w:r>
        <w:t>1525–1533.,</w:t>
      </w:r>
    </w:p>
  </w:footnote>
  <w:footnote w:id="13">
    <w:p w14:paraId="62FEA989" w14:textId="15A00CB0" w:rsidR="00BA0BF0" w:rsidRDefault="00BA0BF0" w:rsidP="00BA0BF0">
      <w:pPr>
        <w:pStyle w:val="FootnoteText"/>
      </w:pPr>
      <w:r>
        <w:rPr>
          <w:rStyle w:val="FootnoteReference"/>
        </w:rPr>
        <w:footnoteRef/>
      </w:r>
      <w:r>
        <w:t xml:space="preserve"> Baba M et al. (2015) Longitudinal study of the decline in renal function in healthy subjects, PLoS One 10,</w:t>
      </w:r>
    </w:p>
    <w:p w14:paraId="6352A6F5" w14:textId="5EBAD3A5" w:rsidR="00BA0BF0" w:rsidRDefault="00BA0BF0" w:rsidP="00BA0BF0">
      <w:pPr>
        <w:pStyle w:val="FootnoteText"/>
      </w:pPr>
      <w:r>
        <w:t>e0129036.</w:t>
      </w:r>
    </w:p>
  </w:footnote>
  <w:footnote w:id="14">
    <w:p w14:paraId="6F3E845D" w14:textId="2BB5D3BA" w:rsidR="004C0FDD" w:rsidRDefault="004C0FDD">
      <w:pPr>
        <w:pStyle w:val="FootnoteText"/>
      </w:pPr>
      <w:r>
        <w:rPr>
          <w:rStyle w:val="FootnoteReference"/>
        </w:rPr>
        <w:footnoteRef/>
      </w:r>
      <w:r>
        <w:t xml:space="preserve"> Nowak A. et al. </w:t>
      </w:r>
      <w:r w:rsidR="00276A59">
        <w:t xml:space="preserve">(2020) </w:t>
      </w:r>
      <w:r w:rsidR="00276A59" w:rsidRPr="00276A59">
        <w:t>Fabry disease genotype, phenotype, and migalastat amenability: Insights from a national cohort</w:t>
      </w:r>
      <w:r w:rsidR="00276A59">
        <w:t xml:space="preserve">. Journal of Inherited Metabolic Disease. Vol 43 Issue 2. pp326-333. </w:t>
      </w:r>
    </w:p>
  </w:footnote>
  <w:footnote w:id="15">
    <w:p w14:paraId="3F26DAC1" w14:textId="77777777" w:rsidR="000D40B9" w:rsidRDefault="000D40B9" w:rsidP="000D40B9">
      <w:pPr>
        <w:pStyle w:val="FootnoteText"/>
      </w:pPr>
      <w:r>
        <w:rPr>
          <w:rStyle w:val="FootnoteReference"/>
        </w:rPr>
        <w:footnoteRef/>
      </w:r>
      <w:r>
        <w:t xml:space="preserve"> “</w:t>
      </w:r>
      <w:r>
        <w:rPr>
          <w:rFonts w:ascii="Helvetica" w:hAnsi="Helvetica"/>
          <w:color w:val="222222"/>
          <w:shd w:val="clear" w:color="auto" w:fill="FBFBFB"/>
        </w:rPr>
        <w:t>MRI—scan of cardiovascular system for congenital disease of the heart or a great vessel”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8354" w14:textId="4FFF39CC" w:rsidR="00D843F2" w:rsidRDefault="007A42DF" w:rsidP="00532B25">
    <w:pPr>
      <w:pStyle w:val="Header"/>
      <w:rPr>
        <w:rFonts w:asciiTheme="minorHAnsi" w:hAnsiTheme="minorHAnsi"/>
        <w:i/>
        <w:color w:val="808080"/>
      </w:rPr>
    </w:pPr>
    <w:r w:rsidRPr="007A42DF">
      <w:rPr>
        <w:rFonts w:asciiTheme="minorHAnsi" w:hAnsiTheme="minorHAnsi"/>
        <w:i/>
        <w:color w:val="808080"/>
      </w:rPr>
      <w:t xml:space="preserve">Public Summary Document </w:t>
    </w:r>
    <w:r w:rsidR="00DE0C3F">
      <w:rPr>
        <w:rFonts w:asciiTheme="minorHAnsi" w:hAnsiTheme="minorHAnsi"/>
        <w:i/>
        <w:color w:val="808080"/>
      </w:rPr>
      <w:t xml:space="preserve">- </w:t>
    </w:r>
    <w:r w:rsidR="00D435E4">
      <w:rPr>
        <w:rFonts w:asciiTheme="minorHAnsi" w:hAnsiTheme="minorHAnsi"/>
        <w:i/>
        <w:color w:val="808080"/>
      </w:rPr>
      <w:t>March 2024</w:t>
    </w:r>
    <w:r w:rsidR="00D843F2">
      <w:rPr>
        <w:rFonts w:asciiTheme="minorHAnsi" w:hAnsiTheme="minorHAnsi"/>
        <w:i/>
        <w:color w:val="808080"/>
      </w:rPr>
      <w:t xml:space="preserve"> </w:t>
    </w:r>
    <w:r w:rsidR="00D843F2" w:rsidRPr="00195452">
      <w:rPr>
        <w:rFonts w:asciiTheme="minorHAnsi" w:hAnsiTheme="minorHAnsi"/>
        <w:i/>
        <w:color w:val="808080"/>
      </w:rPr>
      <w:t>PBAC Meeting</w:t>
    </w:r>
    <w:r w:rsidR="002D5163">
      <w:rPr>
        <w:rFonts w:asciiTheme="minorHAnsi" w:hAnsiTheme="minorHAnsi"/>
        <w:i/>
        <w:color w:val="808080"/>
      </w:rPr>
      <w:t xml:space="preserve"> with May 2024 Addendum</w:t>
    </w:r>
  </w:p>
  <w:p w14:paraId="03AF943B" w14:textId="77777777" w:rsidR="00D843F2" w:rsidRPr="008C7ECB" w:rsidRDefault="00D84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10247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53E99"/>
    <w:multiLevelType w:val="hybridMultilevel"/>
    <w:tmpl w:val="7ED29CEC"/>
    <w:lvl w:ilvl="0" w:tplc="825EE83E">
      <w:start w:val="1"/>
      <w:numFmt w:val="bullet"/>
      <w:lvlText w:val="•"/>
      <w:lvlJc w:val="left"/>
      <w:pPr>
        <w:tabs>
          <w:tab w:val="num" w:pos="720"/>
        </w:tabs>
        <w:ind w:left="720" w:hanging="360"/>
      </w:pPr>
      <w:rPr>
        <w:rFonts w:ascii="Arial" w:hAnsi="Arial" w:hint="default"/>
      </w:rPr>
    </w:lvl>
    <w:lvl w:ilvl="1" w:tplc="4202D10E">
      <w:numFmt w:val="bullet"/>
      <w:lvlText w:val="•"/>
      <w:lvlJc w:val="left"/>
      <w:pPr>
        <w:tabs>
          <w:tab w:val="num" w:pos="1440"/>
        </w:tabs>
        <w:ind w:left="1440" w:hanging="360"/>
      </w:pPr>
      <w:rPr>
        <w:rFonts w:ascii="Arial" w:hAnsi="Arial" w:hint="default"/>
      </w:rPr>
    </w:lvl>
    <w:lvl w:ilvl="2" w:tplc="A9D26EC2" w:tentative="1">
      <w:start w:val="1"/>
      <w:numFmt w:val="bullet"/>
      <w:lvlText w:val="•"/>
      <w:lvlJc w:val="left"/>
      <w:pPr>
        <w:tabs>
          <w:tab w:val="num" w:pos="2160"/>
        </w:tabs>
        <w:ind w:left="2160" w:hanging="360"/>
      </w:pPr>
      <w:rPr>
        <w:rFonts w:ascii="Arial" w:hAnsi="Arial" w:hint="default"/>
      </w:rPr>
    </w:lvl>
    <w:lvl w:ilvl="3" w:tplc="A18C2A56" w:tentative="1">
      <w:start w:val="1"/>
      <w:numFmt w:val="bullet"/>
      <w:lvlText w:val="•"/>
      <w:lvlJc w:val="left"/>
      <w:pPr>
        <w:tabs>
          <w:tab w:val="num" w:pos="2880"/>
        </w:tabs>
        <w:ind w:left="2880" w:hanging="360"/>
      </w:pPr>
      <w:rPr>
        <w:rFonts w:ascii="Arial" w:hAnsi="Arial" w:hint="default"/>
      </w:rPr>
    </w:lvl>
    <w:lvl w:ilvl="4" w:tplc="70EC7FD2" w:tentative="1">
      <w:start w:val="1"/>
      <w:numFmt w:val="bullet"/>
      <w:lvlText w:val="•"/>
      <w:lvlJc w:val="left"/>
      <w:pPr>
        <w:tabs>
          <w:tab w:val="num" w:pos="3600"/>
        </w:tabs>
        <w:ind w:left="3600" w:hanging="360"/>
      </w:pPr>
      <w:rPr>
        <w:rFonts w:ascii="Arial" w:hAnsi="Arial" w:hint="default"/>
      </w:rPr>
    </w:lvl>
    <w:lvl w:ilvl="5" w:tplc="2CA2A860" w:tentative="1">
      <w:start w:val="1"/>
      <w:numFmt w:val="bullet"/>
      <w:lvlText w:val="•"/>
      <w:lvlJc w:val="left"/>
      <w:pPr>
        <w:tabs>
          <w:tab w:val="num" w:pos="4320"/>
        </w:tabs>
        <w:ind w:left="4320" w:hanging="360"/>
      </w:pPr>
      <w:rPr>
        <w:rFonts w:ascii="Arial" w:hAnsi="Arial" w:hint="default"/>
      </w:rPr>
    </w:lvl>
    <w:lvl w:ilvl="6" w:tplc="15B878E8" w:tentative="1">
      <w:start w:val="1"/>
      <w:numFmt w:val="bullet"/>
      <w:lvlText w:val="•"/>
      <w:lvlJc w:val="left"/>
      <w:pPr>
        <w:tabs>
          <w:tab w:val="num" w:pos="5040"/>
        </w:tabs>
        <w:ind w:left="5040" w:hanging="360"/>
      </w:pPr>
      <w:rPr>
        <w:rFonts w:ascii="Arial" w:hAnsi="Arial" w:hint="default"/>
      </w:rPr>
    </w:lvl>
    <w:lvl w:ilvl="7" w:tplc="FA30BF86" w:tentative="1">
      <w:start w:val="1"/>
      <w:numFmt w:val="bullet"/>
      <w:lvlText w:val="•"/>
      <w:lvlJc w:val="left"/>
      <w:pPr>
        <w:tabs>
          <w:tab w:val="num" w:pos="5760"/>
        </w:tabs>
        <w:ind w:left="5760" w:hanging="360"/>
      </w:pPr>
      <w:rPr>
        <w:rFonts w:ascii="Arial" w:hAnsi="Arial" w:hint="default"/>
      </w:rPr>
    </w:lvl>
    <w:lvl w:ilvl="8" w:tplc="2E34D6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1C1140"/>
    <w:multiLevelType w:val="hybridMultilevel"/>
    <w:tmpl w:val="E73C7BF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EEB7011"/>
    <w:multiLevelType w:val="hybridMultilevel"/>
    <w:tmpl w:val="234441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F5150F0"/>
    <w:multiLevelType w:val="multilevel"/>
    <w:tmpl w:val="53C042D8"/>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B01276"/>
    <w:multiLevelType w:val="hybridMultilevel"/>
    <w:tmpl w:val="D764B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044397"/>
    <w:multiLevelType w:val="hybridMultilevel"/>
    <w:tmpl w:val="7C542F20"/>
    <w:lvl w:ilvl="0" w:tplc="7D627A78">
      <w:numFmt w:val="bullet"/>
      <w:lvlText w:val="•"/>
      <w:lvlJc w:val="left"/>
      <w:pPr>
        <w:ind w:left="529" w:hanging="360"/>
      </w:pPr>
      <w:rPr>
        <w:rFonts w:ascii="Arial Narrow" w:eastAsiaTheme="minorHAnsi" w:hAnsi="Arial Narrow" w:cs="Roboto-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B77A32"/>
    <w:multiLevelType w:val="hybridMultilevel"/>
    <w:tmpl w:val="5030A1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3E275DD"/>
    <w:multiLevelType w:val="hybridMultilevel"/>
    <w:tmpl w:val="D06C3F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5440A97"/>
    <w:multiLevelType w:val="hybridMultilevel"/>
    <w:tmpl w:val="EA1CF3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6777D08"/>
    <w:multiLevelType w:val="hybridMultilevel"/>
    <w:tmpl w:val="C136A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9C5B8E"/>
    <w:multiLevelType w:val="hybridMultilevel"/>
    <w:tmpl w:val="3AB001F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FB219F8"/>
    <w:multiLevelType w:val="hybridMultilevel"/>
    <w:tmpl w:val="1E2844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26052C"/>
    <w:multiLevelType w:val="hybridMultilevel"/>
    <w:tmpl w:val="AE6A883A"/>
    <w:lvl w:ilvl="0" w:tplc="7D627A78">
      <w:numFmt w:val="bullet"/>
      <w:lvlText w:val="•"/>
      <w:lvlJc w:val="left"/>
      <w:pPr>
        <w:ind w:left="529" w:hanging="360"/>
      </w:pPr>
      <w:rPr>
        <w:rFonts w:ascii="Arial Narrow" w:eastAsiaTheme="minorHAnsi" w:hAnsi="Arial Narrow" w:cs="Roboto-Regular" w:hint="default"/>
      </w:rPr>
    </w:lvl>
    <w:lvl w:ilvl="1" w:tplc="0C090003" w:tentative="1">
      <w:start w:val="1"/>
      <w:numFmt w:val="bullet"/>
      <w:lvlText w:val="o"/>
      <w:lvlJc w:val="left"/>
      <w:pPr>
        <w:ind w:left="1249" w:hanging="360"/>
      </w:pPr>
      <w:rPr>
        <w:rFonts w:ascii="Courier New" w:hAnsi="Courier New" w:cs="Courier New" w:hint="default"/>
      </w:rPr>
    </w:lvl>
    <w:lvl w:ilvl="2" w:tplc="0C090005" w:tentative="1">
      <w:start w:val="1"/>
      <w:numFmt w:val="bullet"/>
      <w:lvlText w:val=""/>
      <w:lvlJc w:val="left"/>
      <w:pPr>
        <w:ind w:left="1969" w:hanging="360"/>
      </w:pPr>
      <w:rPr>
        <w:rFonts w:ascii="Wingdings" w:hAnsi="Wingdings" w:hint="default"/>
      </w:rPr>
    </w:lvl>
    <w:lvl w:ilvl="3" w:tplc="0C090001" w:tentative="1">
      <w:start w:val="1"/>
      <w:numFmt w:val="bullet"/>
      <w:lvlText w:val=""/>
      <w:lvlJc w:val="left"/>
      <w:pPr>
        <w:ind w:left="2689" w:hanging="360"/>
      </w:pPr>
      <w:rPr>
        <w:rFonts w:ascii="Symbol" w:hAnsi="Symbol" w:hint="default"/>
      </w:rPr>
    </w:lvl>
    <w:lvl w:ilvl="4" w:tplc="0C090003" w:tentative="1">
      <w:start w:val="1"/>
      <w:numFmt w:val="bullet"/>
      <w:lvlText w:val="o"/>
      <w:lvlJc w:val="left"/>
      <w:pPr>
        <w:ind w:left="3409" w:hanging="360"/>
      </w:pPr>
      <w:rPr>
        <w:rFonts w:ascii="Courier New" w:hAnsi="Courier New" w:cs="Courier New" w:hint="default"/>
      </w:rPr>
    </w:lvl>
    <w:lvl w:ilvl="5" w:tplc="0C090005" w:tentative="1">
      <w:start w:val="1"/>
      <w:numFmt w:val="bullet"/>
      <w:lvlText w:val=""/>
      <w:lvlJc w:val="left"/>
      <w:pPr>
        <w:ind w:left="4129" w:hanging="360"/>
      </w:pPr>
      <w:rPr>
        <w:rFonts w:ascii="Wingdings" w:hAnsi="Wingdings" w:hint="default"/>
      </w:rPr>
    </w:lvl>
    <w:lvl w:ilvl="6" w:tplc="0C090001" w:tentative="1">
      <w:start w:val="1"/>
      <w:numFmt w:val="bullet"/>
      <w:lvlText w:val=""/>
      <w:lvlJc w:val="left"/>
      <w:pPr>
        <w:ind w:left="4849" w:hanging="360"/>
      </w:pPr>
      <w:rPr>
        <w:rFonts w:ascii="Symbol" w:hAnsi="Symbol" w:hint="default"/>
      </w:rPr>
    </w:lvl>
    <w:lvl w:ilvl="7" w:tplc="0C090003" w:tentative="1">
      <w:start w:val="1"/>
      <w:numFmt w:val="bullet"/>
      <w:lvlText w:val="o"/>
      <w:lvlJc w:val="left"/>
      <w:pPr>
        <w:ind w:left="5569" w:hanging="360"/>
      </w:pPr>
      <w:rPr>
        <w:rFonts w:ascii="Courier New" w:hAnsi="Courier New" w:cs="Courier New" w:hint="default"/>
      </w:rPr>
    </w:lvl>
    <w:lvl w:ilvl="8" w:tplc="0C090005" w:tentative="1">
      <w:start w:val="1"/>
      <w:numFmt w:val="bullet"/>
      <w:lvlText w:val=""/>
      <w:lvlJc w:val="left"/>
      <w:pPr>
        <w:ind w:left="6289" w:hanging="360"/>
      </w:pPr>
      <w:rPr>
        <w:rFonts w:ascii="Wingdings" w:hAnsi="Wingdings" w:hint="default"/>
      </w:rPr>
    </w:lvl>
  </w:abstractNum>
  <w:abstractNum w:abstractNumId="14" w15:restartNumberingAfterBreak="0">
    <w:nsid w:val="266B0C90"/>
    <w:multiLevelType w:val="hybridMultilevel"/>
    <w:tmpl w:val="F912F070"/>
    <w:lvl w:ilvl="0" w:tplc="29AC347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B6C1481"/>
    <w:multiLevelType w:val="hybridMultilevel"/>
    <w:tmpl w:val="7F3A77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C4B6469"/>
    <w:multiLevelType w:val="hybridMultilevel"/>
    <w:tmpl w:val="D300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223251"/>
    <w:multiLevelType w:val="hybridMultilevel"/>
    <w:tmpl w:val="75F80956"/>
    <w:lvl w:ilvl="0" w:tplc="7D627A78">
      <w:numFmt w:val="bullet"/>
      <w:lvlText w:val="•"/>
      <w:lvlJc w:val="left"/>
      <w:pPr>
        <w:ind w:left="529" w:hanging="360"/>
      </w:pPr>
      <w:rPr>
        <w:rFonts w:ascii="Arial Narrow" w:eastAsiaTheme="minorHAnsi" w:hAnsi="Arial Narrow" w:cs="Roboto-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7862C3"/>
    <w:multiLevelType w:val="hybridMultilevel"/>
    <w:tmpl w:val="1DA802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5CC0399"/>
    <w:multiLevelType w:val="hybridMultilevel"/>
    <w:tmpl w:val="647EA6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91B0960"/>
    <w:multiLevelType w:val="hybridMultilevel"/>
    <w:tmpl w:val="B62E8D7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F724C8B"/>
    <w:multiLevelType w:val="hybridMultilevel"/>
    <w:tmpl w:val="FA7A9DBC"/>
    <w:lvl w:ilvl="0" w:tplc="E42CF9BA">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F7A6CCE"/>
    <w:multiLevelType w:val="hybridMultilevel"/>
    <w:tmpl w:val="E3C499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FF01678"/>
    <w:multiLevelType w:val="hybridMultilevel"/>
    <w:tmpl w:val="AB52D586"/>
    <w:lvl w:ilvl="0" w:tplc="7D627A78">
      <w:numFmt w:val="bullet"/>
      <w:lvlText w:val="•"/>
      <w:lvlJc w:val="left"/>
      <w:pPr>
        <w:ind w:left="529" w:hanging="360"/>
      </w:pPr>
      <w:rPr>
        <w:rFonts w:ascii="Arial Narrow" w:eastAsiaTheme="minorHAnsi" w:hAnsi="Arial Narrow" w:cs="Roboto-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0B5D54"/>
    <w:multiLevelType w:val="hybridMultilevel"/>
    <w:tmpl w:val="5CFEDDD6"/>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1C7017"/>
    <w:multiLevelType w:val="hybridMultilevel"/>
    <w:tmpl w:val="EAEAC6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C1D3A97"/>
    <w:multiLevelType w:val="hybridMultilevel"/>
    <w:tmpl w:val="8F5066A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062795D"/>
    <w:multiLevelType w:val="hybridMultilevel"/>
    <w:tmpl w:val="5292222E"/>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1" w15:restartNumberingAfterBreak="0">
    <w:nsid w:val="527B10E7"/>
    <w:multiLevelType w:val="hybridMultilevel"/>
    <w:tmpl w:val="4A4E299E"/>
    <w:lvl w:ilvl="0" w:tplc="45788CF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F96F37"/>
    <w:multiLevelType w:val="hybridMultilevel"/>
    <w:tmpl w:val="BE320D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DAC5FFD"/>
    <w:multiLevelType w:val="multilevel"/>
    <w:tmpl w:val="0CAA3C6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5ED00A85"/>
    <w:multiLevelType w:val="hybridMultilevel"/>
    <w:tmpl w:val="CC4883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47036A9"/>
    <w:multiLevelType w:val="hybridMultilevel"/>
    <w:tmpl w:val="B9C07366"/>
    <w:lvl w:ilvl="0" w:tplc="9D8A6562">
      <w:start w:val="5"/>
      <w:numFmt w:val="bullet"/>
      <w:lvlText w:val="-"/>
      <w:lvlJc w:val="left"/>
      <w:pPr>
        <w:ind w:left="720" w:hanging="360"/>
      </w:pPr>
      <w:rPr>
        <w:rFonts w:ascii="Calibri Light" w:eastAsia="Calibr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43023408">
    <w:abstractNumId w:val="37"/>
  </w:num>
  <w:num w:numId="2" w16cid:durableId="1504202591">
    <w:abstractNumId w:val="26"/>
  </w:num>
  <w:num w:numId="3" w16cid:durableId="571356643">
    <w:abstractNumId w:val="27"/>
  </w:num>
  <w:num w:numId="4" w16cid:durableId="1955356482">
    <w:abstractNumId w:val="0"/>
  </w:num>
  <w:num w:numId="5" w16cid:durableId="466093329">
    <w:abstractNumId w:val="37"/>
  </w:num>
  <w:num w:numId="6" w16cid:durableId="1473018700">
    <w:abstractNumId w:val="12"/>
  </w:num>
  <w:num w:numId="7" w16cid:durableId="421341046">
    <w:abstractNumId w:val="35"/>
  </w:num>
  <w:num w:numId="8" w16cid:durableId="781648644">
    <w:abstractNumId w:val="16"/>
  </w:num>
  <w:num w:numId="9" w16cid:durableId="1903323923">
    <w:abstractNumId w:val="11"/>
  </w:num>
  <w:num w:numId="10" w16cid:durableId="752318738">
    <w:abstractNumId w:val="8"/>
  </w:num>
  <w:num w:numId="11" w16cid:durableId="440731523">
    <w:abstractNumId w:val="20"/>
  </w:num>
  <w:num w:numId="12" w16cid:durableId="547229143">
    <w:abstractNumId w:val="34"/>
  </w:num>
  <w:num w:numId="13" w16cid:durableId="152651342">
    <w:abstractNumId w:val="15"/>
  </w:num>
  <w:num w:numId="14" w16cid:durableId="2063820210">
    <w:abstractNumId w:val="3"/>
  </w:num>
  <w:num w:numId="15" w16cid:durableId="1749377400">
    <w:abstractNumId w:val="9"/>
  </w:num>
  <w:num w:numId="16" w16cid:durableId="881866041">
    <w:abstractNumId w:val="7"/>
  </w:num>
  <w:num w:numId="17" w16cid:durableId="1041172339">
    <w:abstractNumId w:val="28"/>
  </w:num>
  <w:num w:numId="18" w16cid:durableId="2069842408">
    <w:abstractNumId w:val="36"/>
  </w:num>
  <w:num w:numId="19" w16cid:durableId="430318225">
    <w:abstractNumId w:val="25"/>
  </w:num>
  <w:num w:numId="20" w16cid:durableId="1419129781">
    <w:abstractNumId w:val="32"/>
  </w:num>
  <w:num w:numId="21" w16cid:durableId="1152332385">
    <w:abstractNumId w:val="23"/>
  </w:num>
  <w:num w:numId="22" w16cid:durableId="981428144">
    <w:abstractNumId w:val="30"/>
  </w:num>
  <w:num w:numId="23" w16cid:durableId="1983343572">
    <w:abstractNumId w:val="13"/>
  </w:num>
  <w:num w:numId="24" w16cid:durableId="2062902548">
    <w:abstractNumId w:val="6"/>
  </w:num>
  <w:num w:numId="25" w16cid:durableId="2004553235">
    <w:abstractNumId w:val="18"/>
  </w:num>
  <w:num w:numId="26" w16cid:durableId="1777946937">
    <w:abstractNumId w:val="24"/>
  </w:num>
  <w:num w:numId="27" w16cid:durableId="1825706084">
    <w:abstractNumId w:val="29"/>
  </w:num>
  <w:num w:numId="28" w16cid:durableId="112527843">
    <w:abstractNumId w:val="2"/>
  </w:num>
  <w:num w:numId="29" w16cid:durableId="1310554386">
    <w:abstractNumId w:val="22"/>
  </w:num>
  <w:num w:numId="30" w16cid:durableId="1557668756">
    <w:abstractNumId w:val="17"/>
  </w:num>
  <w:num w:numId="31" w16cid:durableId="903294335">
    <w:abstractNumId w:val="33"/>
  </w:num>
  <w:num w:numId="32" w16cid:durableId="731805511">
    <w:abstractNumId w:val="14"/>
  </w:num>
  <w:num w:numId="33" w16cid:durableId="917405612">
    <w:abstractNumId w:val="31"/>
  </w:num>
  <w:num w:numId="34" w16cid:durableId="486895826">
    <w:abstractNumId w:val="21"/>
  </w:num>
  <w:num w:numId="35" w16cid:durableId="1138261387">
    <w:abstractNumId w:val="19"/>
  </w:num>
  <w:num w:numId="36" w16cid:durableId="1099106956">
    <w:abstractNumId w:val="5"/>
  </w:num>
  <w:num w:numId="37" w16cid:durableId="1684547799">
    <w:abstractNumId w:val="1"/>
  </w:num>
  <w:num w:numId="38" w16cid:durableId="1709916883">
    <w:abstractNumId w:val="27"/>
  </w:num>
  <w:num w:numId="39" w16cid:durableId="2097704424">
    <w:abstractNumId w:val="10"/>
  </w:num>
  <w:num w:numId="40" w16cid:durableId="127014720">
    <w:abstractNumId w:val="37"/>
  </w:num>
  <w:num w:numId="41" w16cid:durableId="1946695967">
    <w:abstractNumId w:val="37"/>
  </w:num>
  <w:num w:numId="42" w16cid:durableId="1900172063">
    <w:abstractNumId w:val="4"/>
  </w:num>
  <w:num w:numId="43" w16cid:durableId="1622999276">
    <w:abstractNumId w:val="37"/>
  </w:num>
  <w:num w:numId="44" w16cid:durableId="940799014">
    <w:abstractNumId w:val="37"/>
  </w:num>
  <w:num w:numId="45" w16cid:durableId="643464640">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91C"/>
    <w:rsid w:val="0000110B"/>
    <w:rsid w:val="00001C54"/>
    <w:rsid w:val="000024A0"/>
    <w:rsid w:val="00003179"/>
    <w:rsid w:val="00003499"/>
    <w:rsid w:val="000034FE"/>
    <w:rsid w:val="00003603"/>
    <w:rsid w:val="000039B7"/>
    <w:rsid w:val="00003B0D"/>
    <w:rsid w:val="000055A1"/>
    <w:rsid w:val="000056B9"/>
    <w:rsid w:val="00005C34"/>
    <w:rsid w:val="000061B4"/>
    <w:rsid w:val="00006231"/>
    <w:rsid w:val="0000639A"/>
    <w:rsid w:val="00006899"/>
    <w:rsid w:val="00006990"/>
    <w:rsid w:val="00006B74"/>
    <w:rsid w:val="00006F36"/>
    <w:rsid w:val="00007E7A"/>
    <w:rsid w:val="000101EF"/>
    <w:rsid w:val="0001083E"/>
    <w:rsid w:val="00010A0B"/>
    <w:rsid w:val="00010D9F"/>
    <w:rsid w:val="000112FE"/>
    <w:rsid w:val="00011422"/>
    <w:rsid w:val="000126B5"/>
    <w:rsid w:val="00012C66"/>
    <w:rsid w:val="00013247"/>
    <w:rsid w:val="00014643"/>
    <w:rsid w:val="00014663"/>
    <w:rsid w:val="00014A39"/>
    <w:rsid w:val="00014A78"/>
    <w:rsid w:val="00015886"/>
    <w:rsid w:val="000162EF"/>
    <w:rsid w:val="000174AF"/>
    <w:rsid w:val="0002003A"/>
    <w:rsid w:val="000203D8"/>
    <w:rsid w:val="000205FE"/>
    <w:rsid w:val="000207C9"/>
    <w:rsid w:val="00021121"/>
    <w:rsid w:val="000213C7"/>
    <w:rsid w:val="00021A30"/>
    <w:rsid w:val="0002225F"/>
    <w:rsid w:val="000222F5"/>
    <w:rsid w:val="00022A87"/>
    <w:rsid w:val="00023763"/>
    <w:rsid w:val="000239F2"/>
    <w:rsid w:val="00023CD8"/>
    <w:rsid w:val="0002400F"/>
    <w:rsid w:val="00024843"/>
    <w:rsid w:val="00024904"/>
    <w:rsid w:val="00024990"/>
    <w:rsid w:val="00024EB5"/>
    <w:rsid w:val="00025923"/>
    <w:rsid w:val="00025BFC"/>
    <w:rsid w:val="00026421"/>
    <w:rsid w:val="00026E71"/>
    <w:rsid w:val="000274B8"/>
    <w:rsid w:val="00030045"/>
    <w:rsid w:val="000306A3"/>
    <w:rsid w:val="000310E2"/>
    <w:rsid w:val="00031CBA"/>
    <w:rsid w:val="00032745"/>
    <w:rsid w:val="00032A58"/>
    <w:rsid w:val="00032D33"/>
    <w:rsid w:val="00033009"/>
    <w:rsid w:val="00033863"/>
    <w:rsid w:val="00033F32"/>
    <w:rsid w:val="00034610"/>
    <w:rsid w:val="00034D32"/>
    <w:rsid w:val="00035DC0"/>
    <w:rsid w:val="00036829"/>
    <w:rsid w:val="0003714E"/>
    <w:rsid w:val="0004001F"/>
    <w:rsid w:val="00040895"/>
    <w:rsid w:val="000410A0"/>
    <w:rsid w:val="000427C2"/>
    <w:rsid w:val="000430FF"/>
    <w:rsid w:val="000435EE"/>
    <w:rsid w:val="00043C37"/>
    <w:rsid w:val="0004411B"/>
    <w:rsid w:val="00044E6C"/>
    <w:rsid w:val="00045017"/>
    <w:rsid w:val="00045A2B"/>
    <w:rsid w:val="0004637F"/>
    <w:rsid w:val="000464CE"/>
    <w:rsid w:val="0004698F"/>
    <w:rsid w:val="00046D64"/>
    <w:rsid w:val="000470BE"/>
    <w:rsid w:val="00047141"/>
    <w:rsid w:val="000508C2"/>
    <w:rsid w:val="00050F81"/>
    <w:rsid w:val="000523C6"/>
    <w:rsid w:val="000528DC"/>
    <w:rsid w:val="000539D0"/>
    <w:rsid w:val="00054621"/>
    <w:rsid w:val="000546D7"/>
    <w:rsid w:val="00054A8D"/>
    <w:rsid w:val="00055A8F"/>
    <w:rsid w:val="0005681D"/>
    <w:rsid w:val="00056ECF"/>
    <w:rsid w:val="00057C78"/>
    <w:rsid w:val="00057EFB"/>
    <w:rsid w:val="000604DF"/>
    <w:rsid w:val="00060569"/>
    <w:rsid w:val="00061A98"/>
    <w:rsid w:val="00062CA5"/>
    <w:rsid w:val="00063533"/>
    <w:rsid w:val="00063CBD"/>
    <w:rsid w:val="00064A87"/>
    <w:rsid w:val="00064D71"/>
    <w:rsid w:val="000653B5"/>
    <w:rsid w:val="00066308"/>
    <w:rsid w:val="00066360"/>
    <w:rsid w:val="00066AF8"/>
    <w:rsid w:val="00067B58"/>
    <w:rsid w:val="00067C7D"/>
    <w:rsid w:val="00070056"/>
    <w:rsid w:val="00070896"/>
    <w:rsid w:val="00071248"/>
    <w:rsid w:val="000720B9"/>
    <w:rsid w:val="000737F7"/>
    <w:rsid w:val="00074593"/>
    <w:rsid w:val="00074762"/>
    <w:rsid w:val="000748CA"/>
    <w:rsid w:val="000753E9"/>
    <w:rsid w:val="00075A37"/>
    <w:rsid w:val="0007672F"/>
    <w:rsid w:val="00076B54"/>
    <w:rsid w:val="0007726D"/>
    <w:rsid w:val="000774F0"/>
    <w:rsid w:val="00080590"/>
    <w:rsid w:val="00080886"/>
    <w:rsid w:val="00080909"/>
    <w:rsid w:val="000812CA"/>
    <w:rsid w:val="00081385"/>
    <w:rsid w:val="0008185F"/>
    <w:rsid w:val="00081E63"/>
    <w:rsid w:val="0008258D"/>
    <w:rsid w:val="00082FD9"/>
    <w:rsid w:val="00083918"/>
    <w:rsid w:val="00083E99"/>
    <w:rsid w:val="000845C3"/>
    <w:rsid w:val="00084CFC"/>
    <w:rsid w:val="00084FA8"/>
    <w:rsid w:val="000856C5"/>
    <w:rsid w:val="00085752"/>
    <w:rsid w:val="00085C31"/>
    <w:rsid w:val="00085C75"/>
    <w:rsid w:val="00086A0B"/>
    <w:rsid w:val="000874CD"/>
    <w:rsid w:val="00087F33"/>
    <w:rsid w:val="000902D9"/>
    <w:rsid w:val="00090C7E"/>
    <w:rsid w:val="000911AC"/>
    <w:rsid w:val="00091DF3"/>
    <w:rsid w:val="00092600"/>
    <w:rsid w:val="0009262B"/>
    <w:rsid w:val="00093310"/>
    <w:rsid w:val="00093470"/>
    <w:rsid w:val="000941EE"/>
    <w:rsid w:val="0009445C"/>
    <w:rsid w:val="00094675"/>
    <w:rsid w:val="00095200"/>
    <w:rsid w:val="00095416"/>
    <w:rsid w:val="00095FE5"/>
    <w:rsid w:val="00096267"/>
    <w:rsid w:val="00096284"/>
    <w:rsid w:val="000970BA"/>
    <w:rsid w:val="000A1283"/>
    <w:rsid w:val="000A1BC0"/>
    <w:rsid w:val="000A2F9E"/>
    <w:rsid w:val="000A37C9"/>
    <w:rsid w:val="000A3E47"/>
    <w:rsid w:val="000A447C"/>
    <w:rsid w:val="000A522B"/>
    <w:rsid w:val="000A58C5"/>
    <w:rsid w:val="000A6039"/>
    <w:rsid w:val="000A7453"/>
    <w:rsid w:val="000A778C"/>
    <w:rsid w:val="000A7D08"/>
    <w:rsid w:val="000A7FDB"/>
    <w:rsid w:val="000B0121"/>
    <w:rsid w:val="000B0670"/>
    <w:rsid w:val="000B0A9B"/>
    <w:rsid w:val="000B0E75"/>
    <w:rsid w:val="000B1BAF"/>
    <w:rsid w:val="000B2457"/>
    <w:rsid w:val="000B2900"/>
    <w:rsid w:val="000B2DCB"/>
    <w:rsid w:val="000B420A"/>
    <w:rsid w:val="000B4678"/>
    <w:rsid w:val="000B5060"/>
    <w:rsid w:val="000B5821"/>
    <w:rsid w:val="000B5CE0"/>
    <w:rsid w:val="000B5F7B"/>
    <w:rsid w:val="000B6135"/>
    <w:rsid w:val="000B6CAC"/>
    <w:rsid w:val="000B7612"/>
    <w:rsid w:val="000B78AE"/>
    <w:rsid w:val="000B7961"/>
    <w:rsid w:val="000C0D91"/>
    <w:rsid w:val="000C0E3C"/>
    <w:rsid w:val="000C18B6"/>
    <w:rsid w:val="000C24F6"/>
    <w:rsid w:val="000C2B61"/>
    <w:rsid w:val="000C2DB0"/>
    <w:rsid w:val="000C2F6C"/>
    <w:rsid w:val="000C3DF9"/>
    <w:rsid w:val="000C46C5"/>
    <w:rsid w:val="000C4CF2"/>
    <w:rsid w:val="000C6713"/>
    <w:rsid w:val="000D044B"/>
    <w:rsid w:val="000D04FA"/>
    <w:rsid w:val="000D0F35"/>
    <w:rsid w:val="000D137C"/>
    <w:rsid w:val="000D155A"/>
    <w:rsid w:val="000D1630"/>
    <w:rsid w:val="000D1BCC"/>
    <w:rsid w:val="000D1BFC"/>
    <w:rsid w:val="000D1D5D"/>
    <w:rsid w:val="000D2429"/>
    <w:rsid w:val="000D281A"/>
    <w:rsid w:val="000D2848"/>
    <w:rsid w:val="000D2E30"/>
    <w:rsid w:val="000D326A"/>
    <w:rsid w:val="000D40B9"/>
    <w:rsid w:val="000D4279"/>
    <w:rsid w:val="000D4635"/>
    <w:rsid w:val="000D4934"/>
    <w:rsid w:val="000D51FB"/>
    <w:rsid w:val="000D5A46"/>
    <w:rsid w:val="000D6485"/>
    <w:rsid w:val="000D689A"/>
    <w:rsid w:val="000D7BF0"/>
    <w:rsid w:val="000D7C67"/>
    <w:rsid w:val="000D7CBC"/>
    <w:rsid w:val="000D7F26"/>
    <w:rsid w:val="000E0640"/>
    <w:rsid w:val="000E1048"/>
    <w:rsid w:val="000E10B5"/>
    <w:rsid w:val="000E135D"/>
    <w:rsid w:val="000E204B"/>
    <w:rsid w:val="000E216E"/>
    <w:rsid w:val="000E2359"/>
    <w:rsid w:val="000E4A73"/>
    <w:rsid w:val="000E4D09"/>
    <w:rsid w:val="000E5244"/>
    <w:rsid w:val="000E528B"/>
    <w:rsid w:val="000E52B3"/>
    <w:rsid w:val="000E64D6"/>
    <w:rsid w:val="000E77D8"/>
    <w:rsid w:val="000F00BA"/>
    <w:rsid w:val="000F0CA6"/>
    <w:rsid w:val="000F0F0A"/>
    <w:rsid w:val="000F146D"/>
    <w:rsid w:val="000F271E"/>
    <w:rsid w:val="000F2B03"/>
    <w:rsid w:val="000F316A"/>
    <w:rsid w:val="000F329D"/>
    <w:rsid w:val="000F3507"/>
    <w:rsid w:val="000F3C74"/>
    <w:rsid w:val="000F48EF"/>
    <w:rsid w:val="000F4BB8"/>
    <w:rsid w:val="000F4FA9"/>
    <w:rsid w:val="000F50A0"/>
    <w:rsid w:val="000F50EC"/>
    <w:rsid w:val="000F52F2"/>
    <w:rsid w:val="000F53FB"/>
    <w:rsid w:val="000F69E5"/>
    <w:rsid w:val="000F7127"/>
    <w:rsid w:val="000F762D"/>
    <w:rsid w:val="000F7B54"/>
    <w:rsid w:val="001000B3"/>
    <w:rsid w:val="00100777"/>
    <w:rsid w:val="00100F8A"/>
    <w:rsid w:val="00101824"/>
    <w:rsid w:val="00102007"/>
    <w:rsid w:val="00102086"/>
    <w:rsid w:val="00103C6F"/>
    <w:rsid w:val="001043EF"/>
    <w:rsid w:val="0010452E"/>
    <w:rsid w:val="00105532"/>
    <w:rsid w:val="00105AE2"/>
    <w:rsid w:val="001060C6"/>
    <w:rsid w:val="001069BC"/>
    <w:rsid w:val="00106B80"/>
    <w:rsid w:val="00106E4D"/>
    <w:rsid w:val="00106EDE"/>
    <w:rsid w:val="001074C4"/>
    <w:rsid w:val="0011032E"/>
    <w:rsid w:val="00111610"/>
    <w:rsid w:val="00111A3E"/>
    <w:rsid w:val="00111D96"/>
    <w:rsid w:val="00112FBE"/>
    <w:rsid w:val="0011348B"/>
    <w:rsid w:val="00113819"/>
    <w:rsid w:val="001139CC"/>
    <w:rsid w:val="00114E50"/>
    <w:rsid w:val="001150C5"/>
    <w:rsid w:val="00115982"/>
    <w:rsid w:val="0011622F"/>
    <w:rsid w:val="00116C53"/>
    <w:rsid w:val="00117E5C"/>
    <w:rsid w:val="00121799"/>
    <w:rsid w:val="001218F6"/>
    <w:rsid w:val="00121E84"/>
    <w:rsid w:val="001222FC"/>
    <w:rsid w:val="001225CF"/>
    <w:rsid w:val="001230CA"/>
    <w:rsid w:val="00123902"/>
    <w:rsid w:val="001241A9"/>
    <w:rsid w:val="00124573"/>
    <w:rsid w:val="00124A51"/>
    <w:rsid w:val="001256FC"/>
    <w:rsid w:val="0012574B"/>
    <w:rsid w:val="00125C2F"/>
    <w:rsid w:val="00126621"/>
    <w:rsid w:val="00126B1D"/>
    <w:rsid w:val="001301E9"/>
    <w:rsid w:val="00130C80"/>
    <w:rsid w:val="00130EDB"/>
    <w:rsid w:val="00131133"/>
    <w:rsid w:val="00131406"/>
    <w:rsid w:val="00131684"/>
    <w:rsid w:val="00131D82"/>
    <w:rsid w:val="00132B22"/>
    <w:rsid w:val="00133D36"/>
    <w:rsid w:val="00133FB7"/>
    <w:rsid w:val="00134121"/>
    <w:rsid w:val="001347BD"/>
    <w:rsid w:val="00135ABE"/>
    <w:rsid w:val="00135D6C"/>
    <w:rsid w:val="00136B7B"/>
    <w:rsid w:val="0013713F"/>
    <w:rsid w:val="001372F6"/>
    <w:rsid w:val="00137645"/>
    <w:rsid w:val="0014015A"/>
    <w:rsid w:val="00140E99"/>
    <w:rsid w:val="00140EB7"/>
    <w:rsid w:val="00141467"/>
    <w:rsid w:val="001421ED"/>
    <w:rsid w:val="00143033"/>
    <w:rsid w:val="00143F67"/>
    <w:rsid w:val="0014515C"/>
    <w:rsid w:val="00145234"/>
    <w:rsid w:val="00145361"/>
    <w:rsid w:val="00145540"/>
    <w:rsid w:val="001456B0"/>
    <w:rsid w:val="00145F99"/>
    <w:rsid w:val="00146DC4"/>
    <w:rsid w:val="0015084A"/>
    <w:rsid w:val="001509AC"/>
    <w:rsid w:val="00150A7F"/>
    <w:rsid w:val="00150D22"/>
    <w:rsid w:val="0015158F"/>
    <w:rsid w:val="001518CE"/>
    <w:rsid w:val="00151CA2"/>
    <w:rsid w:val="00151E69"/>
    <w:rsid w:val="001528FE"/>
    <w:rsid w:val="0015334A"/>
    <w:rsid w:val="00153F33"/>
    <w:rsid w:val="001547AB"/>
    <w:rsid w:val="001547F3"/>
    <w:rsid w:val="0015491E"/>
    <w:rsid w:val="00154E2D"/>
    <w:rsid w:val="00155803"/>
    <w:rsid w:val="001562F5"/>
    <w:rsid w:val="00156F8F"/>
    <w:rsid w:val="00157130"/>
    <w:rsid w:val="001576B1"/>
    <w:rsid w:val="0016047B"/>
    <w:rsid w:val="00160A4C"/>
    <w:rsid w:val="00160A6C"/>
    <w:rsid w:val="001615A0"/>
    <w:rsid w:val="00161975"/>
    <w:rsid w:val="001625CD"/>
    <w:rsid w:val="00162913"/>
    <w:rsid w:val="00162E85"/>
    <w:rsid w:val="0016312E"/>
    <w:rsid w:val="00163EFF"/>
    <w:rsid w:val="00163F66"/>
    <w:rsid w:val="001640C0"/>
    <w:rsid w:val="0016443E"/>
    <w:rsid w:val="001644A3"/>
    <w:rsid w:val="0016478E"/>
    <w:rsid w:val="00164F98"/>
    <w:rsid w:val="001654C2"/>
    <w:rsid w:val="00165DAB"/>
    <w:rsid w:val="00165EC4"/>
    <w:rsid w:val="001661FB"/>
    <w:rsid w:val="001665B3"/>
    <w:rsid w:val="00166D5E"/>
    <w:rsid w:val="001671A0"/>
    <w:rsid w:val="0016767F"/>
    <w:rsid w:val="00167734"/>
    <w:rsid w:val="001701BB"/>
    <w:rsid w:val="00172ADE"/>
    <w:rsid w:val="00173565"/>
    <w:rsid w:val="001738D9"/>
    <w:rsid w:val="00173B07"/>
    <w:rsid w:val="0017433B"/>
    <w:rsid w:val="001751FA"/>
    <w:rsid w:val="00177590"/>
    <w:rsid w:val="00177E3A"/>
    <w:rsid w:val="00181C10"/>
    <w:rsid w:val="00181D9C"/>
    <w:rsid w:val="00182A75"/>
    <w:rsid w:val="00182D83"/>
    <w:rsid w:val="00183060"/>
    <w:rsid w:val="001832E9"/>
    <w:rsid w:val="001837FF"/>
    <w:rsid w:val="0018497F"/>
    <w:rsid w:val="00184B0E"/>
    <w:rsid w:val="001853D4"/>
    <w:rsid w:val="00185BE1"/>
    <w:rsid w:val="001863B5"/>
    <w:rsid w:val="0018752F"/>
    <w:rsid w:val="00187D05"/>
    <w:rsid w:val="00190810"/>
    <w:rsid w:val="001910CB"/>
    <w:rsid w:val="00191743"/>
    <w:rsid w:val="001928BF"/>
    <w:rsid w:val="00193838"/>
    <w:rsid w:val="001940AC"/>
    <w:rsid w:val="00194AD8"/>
    <w:rsid w:val="00195222"/>
    <w:rsid w:val="00195452"/>
    <w:rsid w:val="00196317"/>
    <w:rsid w:val="00196EA7"/>
    <w:rsid w:val="001975D8"/>
    <w:rsid w:val="001A02FC"/>
    <w:rsid w:val="001A049A"/>
    <w:rsid w:val="001A04EC"/>
    <w:rsid w:val="001A0A65"/>
    <w:rsid w:val="001A0C89"/>
    <w:rsid w:val="001A178E"/>
    <w:rsid w:val="001A1C92"/>
    <w:rsid w:val="001A1D56"/>
    <w:rsid w:val="001A1F53"/>
    <w:rsid w:val="001A2987"/>
    <w:rsid w:val="001A2A35"/>
    <w:rsid w:val="001A3100"/>
    <w:rsid w:val="001A334F"/>
    <w:rsid w:val="001A3384"/>
    <w:rsid w:val="001A3D72"/>
    <w:rsid w:val="001A3E06"/>
    <w:rsid w:val="001A43FA"/>
    <w:rsid w:val="001A45A0"/>
    <w:rsid w:val="001A47C5"/>
    <w:rsid w:val="001A4FAD"/>
    <w:rsid w:val="001A59FB"/>
    <w:rsid w:val="001A5E9E"/>
    <w:rsid w:val="001A6354"/>
    <w:rsid w:val="001A6366"/>
    <w:rsid w:val="001A6537"/>
    <w:rsid w:val="001A65EC"/>
    <w:rsid w:val="001A6E52"/>
    <w:rsid w:val="001A7736"/>
    <w:rsid w:val="001A7837"/>
    <w:rsid w:val="001A7AE8"/>
    <w:rsid w:val="001A7F12"/>
    <w:rsid w:val="001B01C7"/>
    <w:rsid w:val="001B10BF"/>
    <w:rsid w:val="001B1590"/>
    <w:rsid w:val="001B204E"/>
    <w:rsid w:val="001B21D3"/>
    <w:rsid w:val="001B2372"/>
    <w:rsid w:val="001B3443"/>
    <w:rsid w:val="001B4A16"/>
    <w:rsid w:val="001B4D20"/>
    <w:rsid w:val="001B63B9"/>
    <w:rsid w:val="001B6762"/>
    <w:rsid w:val="001B7667"/>
    <w:rsid w:val="001B7E3F"/>
    <w:rsid w:val="001B7F84"/>
    <w:rsid w:val="001C09EB"/>
    <w:rsid w:val="001C0C6F"/>
    <w:rsid w:val="001C170B"/>
    <w:rsid w:val="001C2025"/>
    <w:rsid w:val="001C2059"/>
    <w:rsid w:val="001C2385"/>
    <w:rsid w:val="001C24CD"/>
    <w:rsid w:val="001C2718"/>
    <w:rsid w:val="001C2A9B"/>
    <w:rsid w:val="001C30B6"/>
    <w:rsid w:val="001C3DD6"/>
    <w:rsid w:val="001C3E41"/>
    <w:rsid w:val="001C4299"/>
    <w:rsid w:val="001C4381"/>
    <w:rsid w:val="001C4874"/>
    <w:rsid w:val="001C5F94"/>
    <w:rsid w:val="001C6B61"/>
    <w:rsid w:val="001C6E66"/>
    <w:rsid w:val="001C7341"/>
    <w:rsid w:val="001C7555"/>
    <w:rsid w:val="001C79E3"/>
    <w:rsid w:val="001D07AD"/>
    <w:rsid w:val="001D1100"/>
    <w:rsid w:val="001D1391"/>
    <w:rsid w:val="001D2308"/>
    <w:rsid w:val="001D254F"/>
    <w:rsid w:val="001D25D7"/>
    <w:rsid w:val="001D3C27"/>
    <w:rsid w:val="001D41DC"/>
    <w:rsid w:val="001D4E98"/>
    <w:rsid w:val="001D50B2"/>
    <w:rsid w:val="001D5BA2"/>
    <w:rsid w:val="001D6517"/>
    <w:rsid w:val="001D6544"/>
    <w:rsid w:val="001D69FB"/>
    <w:rsid w:val="001D6A23"/>
    <w:rsid w:val="001D70AA"/>
    <w:rsid w:val="001D71F4"/>
    <w:rsid w:val="001D7645"/>
    <w:rsid w:val="001D77C0"/>
    <w:rsid w:val="001E0C22"/>
    <w:rsid w:val="001E1E86"/>
    <w:rsid w:val="001E238E"/>
    <w:rsid w:val="001E2483"/>
    <w:rsid w:val="001E27D5"/>
    <w:rsid w:val="001E2B1E"/>
    <w:rsid w:val="001E2CFF"/>
    <w:rsid w:val="001E2F24"/>
    <w:rsid w:val="001E30D4"/>
    <w:rsid w:val="001E34DF"/>
    <w:rsid w:val="001E3A2B"/>
    <w:rsid w:val="001E52EB"/>
    <w:rsid w:val="001E61D2"/>
    <w:rsid w:val="001E740C"/>
    <w:rsid w:val="001F0491"/>
    <w:rsid w:val="001F1235"/>
    <w:rsid w:val="001F1A63"/>
    <w:rsid w:val="001F1CB3"/>
    <w:rsid w:val="001F1F2C"/>
    <w:rsid w:val="001F22DC"/>
    <w:rsid w:val="001F2B3B"/>
    <w:rsid w:val="001F38B5"/>
    <w:rsid w:val="001F3E6B"/>
    <w:rsid w:val="001F3FDE"/>
    <w:rsid w:val="001F4081"/>
    <w:rsid w:val="001F509D"/>
    <w:rsid w:val="001F68C1"/>
    <w:rsid w:val="001F6950"/>
    <w:rsid w:val="001F7361"/>
    <w:rsid w:val="001F758D"/>
    <w:rsid w:val="001F7D0B"/>
    <w:rsid w:val="002011B0"/>
    <w:rsid w:val="00202A7D"/>
    <w:rsid w:val="00203181"/>
    <w:rsid w:val="002035D9"/>
    <w:rsid w:val="00203783"/>
    <w:rsid w:val="0020385F"/>
    <w:rsid w:val="0020394F"/>
    <w:rsid w:val="0020411E"/>
    <w:rsid w:val="00205B35"/>
    <w:rsid w:val="00205D75"/>
    <w:rsid w:val="002068A0"/>
    <w:rsid w:val="00207021"/>
    <w:rsid w:val="0020732F"/>
    <w:rsid w:val="0020756B"/>
    <w:rsid w:val="00207D00"/>
    <w:rsid w:val="00207E54"/>
    <w:rsid w:val="002105C1"/>
    <w:rsid w:val="00210E7A"/>
    <w:rsid w:val="002113C0"/>
    <w:rsid w:val="002116FD"/>
    <w:rsid w:val="00212099"/>
    <w:rsid w:val="00213EF5"/>
    <w:rsid w:val="00213F89"/>
    <w:rsid w:val="00215063"/>
    <w:rsid w:val="00215160"/>
    <w:rsid w:val="00215DE1"/>
    <w:rsid w:val="00216B95"/>
    <w:rsid w:val="00216BF5"/>
    <w:rsid w:val="00216CEA"/>
    <w:rsid w:val="00216F5A"/>
    <w:rsid w:val="00217615"/>
    <w:rsid w:val="00217838"/>
    <w:rsid w:val="00217C09"/>
    <w:rsid w:val="002211BC"/>
    <w:rsid w:val="0022289B"/>
    <w:rsid w:val="0022384D"/>
    <w:rsid w:val="00223B49"/>
    <w:rsid w:val="00223D5A"/>
    <w:rsid w:val="0022456D"/>
    <w:rsid w:val="00224831"/>
    <w:rsid w:val="00224DD4"/>
    <w:rsid w:val="002258C8"/>
    <w:rsid w:val="00226ABE"/>
    <w:rsid w:val="002278A0"/>
    <w:rsid w:val="00227A17"/>
    <w:rsid w:val="002304E7"/>
    <w:rsid w:val="002305CE"/>
    <w:rsid w:val="0023065E"/>
    <w:rsid w:val="002309CC"/>
    <w:rsid w:val="00230AEC"/>
    <w:rsid w:val="00231225"/>
    <w:rsid w:val="002315EB"/>
    <w:rsid w:val="00231949"/>
    <w:rsid w:val="002319D2"/>
    <w:rsid w:val="00231BA9"/>
    <w:rsid w:val="0023209F"/>
    <w:rsid w:val="00232152"/>
    <w:rsid w:val="00233C01"/>
    <w:rsid w:val="00233EDB"/>
    <w:rsid w:val="0023413C"/>
    <w:rsid w:val="002346F0"/>
    <w:rsid w:val="002350F3"/>
    <w:rsid w:val="0023629D"/>
    <w:rsid w:val="00237119"/>
    <w:rsid w:val="00237255"/>
    <w:rsid w:val="002379A2"/>
    <w:rsid w:val="00240B67"/>
    <w:rsid w:val="00242370"/>
    <w:rsid w:val="002424AF"/>
    <w:rsid w:val="00242677"/>
    <w:rsid w:val="002427EB"/>
    <w:rsid w:val="00242943"/>
    <w:rsid w:val="00243120"/>
    <w:rsid w:val="002439DC"/>
    <w:rsid w:val="002441D2"/>
    <w:rsid w:val="0024466A"/>
    <w:rsid w:val="00244DC8"/>
    <w:rsid w:val="00245285"/>
    <w:rsid w:val="0024573B"/>
    <w:rsid w:val="002458BA"/>
    <w:rsid w:val="00245BF8"/>
    <w:rsid w:val="00245CE9"/>
    <w:rsid w:val="0024636C"/>
    <w:rsid w:val="002466C6"/>
    <w:rsid w:val="0024722E"/>
    <w:rsid w:val="00247925"/>
    <w:rsid w:val="00251006"/>
    <w:rsid w:val="002517EF"/>
    <w:rsid w:val="002524D5"/>
    <w:rsid w:val="00252D10"/>
    <w:rsid w:val="00253B1D"/>
    <w:rsid w:val="00253D4E"/>
    <w:rsid w:val="002540A7"/>
    <w:rsid w:val="002541E6"/>
    <w:rsid w:val="00254D75"/>
    <w:rsid w:val="00254DCF"/>
    <w:rsid w:val="0025534B"/>
    <w:rsid w:val="0025580E"/>
    <w:rsid w:val="00255BB7"/>
    <w:rsid w:val="00257541"/>
    <w:rsid w:val="00257A39"/>
    <w:rsid w:val="00257AC4"/>
    <w:rsid w:val="00257BBE"/>
    <w:rsid w:val="002601CC"/>
    <w:rsid w:val="00260756"/>
    <w:rsid w:val="00261354"/>
    <w:rsid w:val="002618AE"/>
    <w:rsid w:val="00261B1D"/>
    <w:rsid w:val="00261EEF"/>
    <w:rsid w:val="00262A1A"/>
    <w:rsid w:val="00262A87"/>
    <w:rsid w:val="00263067"/>
    <w:rsid w:val="002638F3"/>
    <w:rsid w:val="00263981"/>
    <w:rsid w:val="002640FF"/>
    <w:rsid w:val="00264D26"/>
    <w:rsid w:val="00264FF5"/>
    <w:rsid w:val="002651F6"/>
    <w:rsid w:val="00265764"/>
    <w:rsid w:val="00266F5A"/>
    <w:rsid w:val="00267642"/>
    <w:rsid w:val="00267AEA"/>
    <w:rsid w:val="002700E6"/>
    <w:rsid w:val="0027294B"/>
    <w:rsid w:val="002730E2"/>
    <w:rsid w:val="0027343C"/>
    <w:rsid w:val="00273C85"/>
    <w:rsid w:val="00273EB4"/>
    <w:rsid w:val="00273F30"/>
    <w:rsid w:val="00273F33"/>
    <w:rsid w:val="002744B1"/>
    <w:rsid w:val="00274682"/>
    <w:rsid w:val="00274DEB"/>
    <w:rsid w:val="00275158"/>
    <w:rsid w:val="00275474"/>
    <w:rsid w:val="002754E4"/>
    <w:rsid w:val="00275C5A"/>
    <w:rsid w:val="00275D76"/>
    <w:rsid w:val="00276A59"/>
    <w:rsid w:val="00280E3C"/>
    <w:rsid w:val="00281014"/>
    <w:rsid w:val="00281ACD"/>
    <w:rsid w:val="00281ECD"/>
    <w:rsid w:val="00282D96"/>
    <w:rsid w:val="00283F7C"/>
    <w:rsid w:val="00284870"/>
    <w:rsid w:val="00284D2C"/>
    <w:rsid w:val="00285733"/>
    <w:rsid w:val="00285BCE"/>
    <w:rsid w:val="002863BD"/>
    <w:rsid w:val="0028665D"/>
    <w:rsid w:val="0028720D"/>
    <w:rsid w:val="002875C6"/>
    <w:rsid w:val="00287951"/>
    <w:rsid w:val="0029050E"/>
    <w:rsid w:val="00290DF2"/>
    <w:rsid w:val="002913B5"/>
    <w:rsid w:val="00291685"/>
    <w:rsid w:val="00291D5F"/>
    <w:rsid w:val="00292331"/>
    <w:rsid w:val="00292749"/>
    <w:rsid w:val="00294484"/>
    <w:rsid w:val="002950CE"/>
    <w:rsid w:val="00295F58"/>
    <w:rsid w:val="0029742B"/>
    <w:rsid w:val="00297B09"/>
    <w:rsid w:val="00297D74"/>
    <w:rsid w:val="002A01F5"/>
    <w:rsid w:val="002A14AB"/>
    <w:rsid w:val="002A2ADE"/>
    <w:rsid w:val="002A2F50"/>
    <w:rsid w:val="002A6244"/>
    <w:rsid w:val="002A63F0"/>
    <w:rsid w:val="002A660B"/>
    <w:rsid w:val="002A7943"/>
    <w:rsid w:val="002B05A1"/>
    <w:rsid w:val="002B09A4"/>
    <w:rsid w:val="002B1C1F"/>
    <w:rsid w:val="002B2031"/>
    <w:rsid w:val="002B432F"/>
    <w:rsid w:val="002B5831"/>
    <w:rsid w:val="002B6034"/>
    <w:rsid w:val="002B62B3"/>
    <w:rsid w:val="002B6754"/>
    <w:rsid w:val="002B6CCE"/>
    <w:rsid w:val="002B7091"/>
    <w:rsid w:val="002B70D6"/>
    <w:rsid w:val="002B7927"/>
    <w:rsid w:val="002C0469"/>
    <w:rsid w:val="002C204C"/>
    <w:rsid w:val="002C2510"/>
    <w:rsid w:val="002C2775"/>
    <w:rsid w:val="002C27C1"/>
    <w:rsid w:val="002C31F7"/>
    <w:rsid w:val="002C343D"/>
    <w:rsid w:val="002C36E3"/>
    <w:rsid w:val="002C4059"/>
    <w:rsid w:val="002C4A4D"/>
    <w:rsid w:val="002C5099"/>
    <w:rsid w:val="002C523D"/>
    <w:rsid w:val="002C5889"/>
    <w:rsid w:val="002C5AE2"/>
    <w:rsid w:val="002C657D"/>
    <w:rsid w:val="002C69B5"/>
    <w:rsid w:val="002C70B5"/>
    <w:rsid w:val="002C711B"/>
    <w:rsid w:val="002C71CE"/>
    <w:rsid w:val="002D03ED"/>
    <w:rsid w:val="002D08F8"/>
    <w:rsid w:val="002D14E5"/>
    <w:rsid w:val="002D172C"/>
    <w:rsid w:val="002D1799"/>
    <w:rsid w:val="002D1E28"/>
    <w:rsid w:val="002D2A38"/>
    <w:rsid w:val="002D30B6"/>
    <w:rsid w:val="002D3703"/>
    <w:rsid w:val="002D3855"/>
    <w:rsid w:val="002D4086"/>
    <w:rsid w:val="002D4734"/>
    <w:rsid w:val="002D483C"/>
    <w:rsid w:val="002D4917"/>
    <w:rsid w:val="002D5163"/>
    <w:rsid w:val="002D544C"/>
    <w:rsid w:val="002D577C"/>
    <w:rsid w:val="002D5EDB"/>
    <w:rsid w:val="002D7832"/>
    <w:rsid w:val="002E0C20"/>
    <w:rsid w:val="002E1071"/>
    <w:rsid w:val="002E15B9"/>
    <w:rsid w:val="002E1ED8"/>
    <w:rsid w:val="002E2158"/>
    <w:rsid w:val="002E3C47"/>
    <w:rsid w:val="002E41A9"/>
    <w:rsid w:val="002E4431"/>
    <w:rsid w:val="002E4F02"/>
    <w:rsid w:val="002E6630"/>
    <w:rsid w:val="002E6966"/>
    <w:rsid w:val="002E70B9"/>
    <w:rsid w:val="002E7722"/>
    <w:rsid w:val="002F039F"/>
    <w:rsid w:val="002F07BA"/>
    <w:rsid w:val="002F0DA9"/>
    <w:rsid w:val="002F0E2D"/>
    <w:rsid w:val="002F1014"/>
    <w:rsid w:val="002F1E3B"/>
    <w:rsid w:val="002F22D0"/>
    <w:rsid w:val="002F2A26"/>
    <w:rsid w:val="002F2C65"/>
    <w:rsid w:val="002F2F22"/>
    <w:rsid w:val="002F4452"/>
    <w:rsid w:val="002F44F2"/>
    <w:rsid w:val="002F4F97"/>
    <w:rsid w:val="002F5065"/>
    <w:rsid w:val="002F54CB"/>
    <w:rsid w:val="002F643C"/>
    <w:rsid w:val="002F68C2"/>
    <w:rsid w:val="002F6965"/>
    <w:rsid w:val="002F71C0"/>
    <w:rsid w:val="002F74F1"/>
    <w:rsid w:val="002F7521"/>
    <w:rsid w:val="002F75D7"/>
    <w:rsid w:val="002F7940"/>
    <w:rsid w:val="002F7FFD"/>
    <w:rsid w:val="00300122"/>
    <w:rsid w:val="00301017"/>
    <w:rsid w:val="0030155F"/>
    <w:rsid w:val="003017BC"/>
    <w:rsid w:val="00301917"/>
    <w:rsid w:val="00302600"/>
    <w:rsid w:val="0030587B"/>
    <w:rsid w:val="00306D98"/>
    <w:rsid w:val="0030786C"/>
    <w:rsid w:val="00307BA9"/>
    <w:rsid w:val="00307FEE"/>
    <w:rsid w:val="0031031A"/>
    <w:rsid w:val="00310981"/>
    <w:rsid w:val="00310B6C"/>
    <w:rsid w:val="0031138C"/>
    <w:rsid w:val="00311D9B"/>
    <w:rsid w:val="003124D9"/>
    <w:rsid w:val="00312594"/>
    <w:rsid w:val="00314019"/>
    <w:rsid w:val="003141DC"/>
    <w:rsid w:val="00315498"/>
    <w:rsid w:val="00315F84"/>
    <w:rsid w:val="00316474"/>
    <w:rsid w:val="00322107"/>
    <w:rsid w:val="00322355"/>
    <w:rsid w:val="003223EE"/>
    <w:rsid w:val="003227A4"/>
    <w:rsid w:val="00322846"/>
    <w:rsid w:val="00322CF6"/>
    <w:rsid w:val="0032311D"/>
    <w:rsid w:val="003247AB"/>
    <w:rsid w:val="00324EF0"/>
    <w:rsid w:val="00325641"/>
    <w:rsid w:val="003259F5"/>
    <w:rsid w:val="00326451"/>
    <w:rsid w:val="00326DA7"/>
    <w:rsid w:val="003270E4"/>
    <w:rsid w:val="0033007F"/>
    <w:rsid w:val="0033024B"/>
    <w:rsid w:val="00330DAA"/>
    <w:rsid w:val="00330F5C"/>
    <w:rsid w:val="003310B4"/>
    <w:rsid w:val="003310EA"/>
    <w:rsid w:val="00331470"/>
    <w:rsid w:val="003314E8"/>
    <w:rsid w:val="003349C5"/>
    <w:rsid w:val="00335838"/>
    <w:rsid w:val="003366C9"/>
    <w:rsid w:val="003367B2"/>
    <w:rsid w:val="003371B0"/>
    <w:rsid w:val="00337567"/>
    <w:rsid w:val="00337BFB"/>
    <w:rsid w:val="00340DF1"/>
    <w:rsid w:val="00341BB4"/>
    <w:rsid w:val="003448B2"/>
    <w:rsid w:val="00344F3F"/>
    <w:rsid w:val="00345615"/>
    <w:rsid w:val="00346D34"/>
    <w:rsid w:val="003517F9"/>
    <w:rsid w:val="00351BA9"/>
    <w:rsid w:val="00352911"/>
    <w:rsid w:val="003537B5"/>
    <w:rsid w:val="003549E3"/>
    <w:rsid w:val="00354F64"/>
    <w:rsid w:val="00355344"/>
    <w:rsid w:val="00355473"/>
    <w:rsid w:val="0035620E"/>
    <w:rsid w:val="00356790"/>
    <w:rsid w:val="00356CF2"/>
    <w:rsid w:val="003575BE"/>
    <w:rsid w:val="00360345"/>
    <w:rsid w:val="00360699"/>
    <w:rsid w:val="00361A05"/>
    <w:rsid w:val="00361B39"/>
    <w:rsid w:val="003624C4"/>
    <w:rsid w:val="00362540"/>
    <w:rsid w:val="00363A89"/>
    <w:rsid w:val="00363B00"/>
    <w:rsid w:val="003654AC"/>
    <w:rsid w:val="00365703"/>
    <w:rsid w:val="00365793"/>
    <w:rsid w:val="00365BE9"/>
    <w:rsid w:val="00366CB4"/>
    <w:rsid w:val="003704EF"/>
    <w:rsid w:val="003709C5"/>
    <w:rsid w:val="003710CF"/>
    <w:rsid w:val="003714B1"/>
    <w:rsid w:val="003726F0"/>
    <w:rsid w:val="00372907"/>
    <w:rsid w:val="0037358A"/>
    <w:rsid w:val="00374808"/>
    <w:rsid w:val="00374FE4"/>
    <w:rsid w:val="003750F6"/>
    <w:rsid w:val="00375735"/>
    <w:rsid w:val="00375BC9"/>
    <w:rsid w:val="003760FC"/>
    <w:rsid w:val="0037676E"/>
    <w:rsid w:val="003774C8"/>
    <w:rsid w:val="00377A87"/>
    <w:rsid w:val="00380C7B"/>
    <w:rsid w:val="00380D6D"/>
    <w:rsid w:val="00381736"/>
    <w:rsid w:val="00381E5F"/>
    <w:rsid w:val="00382A50"/>
    <w:rsid w:val="00383142"/>
    <w:rsid w:val="0038365C"/>
    <w:rsid w:val="0038369B"/>
    <w:rsid w:val="00383B78"/>
    <w:rsid w:val="00384B83"/>
    <w:rsid w:val="00385A9D"/>
    <w:rsid w:val="003860F6"/>
    <w:rsid w:val="00387121"/>
    <w:rsid w:val="003902B1"/>
    <w:rsid w:val="00390796"/>
    <w:rsid w:val="00390A19"/>
    <w:rsid w:val="00390C31"/>
    <w:rsid w:val="0039179C"/>
    <w:rsid w:val="003918E9"/>
    <w:rsid w:val="00391D7B"/>
    <w:rsid w:val="0039233E"/>
    <w:rsid w:val="003924B8"/>
    <w:rsid w:val="00392EE1"/>
    <w:rsid w:val="00394373"/>
    <w:rsid w:val="00395551"/>
    <w:rsid w:val="0039644A"/>
    <w:rsid w:val="00396896"/>
    <w:rsid w:val="00396C3A"/>
    <w:rsid w:val="00396FD0"/>
    <w:rsid w:val="003A0027"/>
    <w:rsid w:val="003A1344"/>
    <w:rsid w:val="003A14E9"/>
    <w:rsid w:val="003A1A7A"/>
    <w:rsid w:val="003A22DC"/>
    <w:rsid w:val="003A2392"/>
    <w:rsid w:val="003A2831"/>
    <w:rsid w:val="003A3CB6"/>
    <w:rsid w:val="003A3ED1"/>
    <w:rsid w:val="003A40DC"/>
    <w:rsid w:val="003A44DB"/>
    <w:rsid w:val="003A4C14"/>
    <w:rsid w:val="003A5497"/>
    <w:rsid w:val="003A5F88"/>
    <w:rsid w:val="003A62C9"/>
    <w:rsid w:val="003A6E35"/>
    <w:rsid w:val="003A720B"/>
    <w:rsid w:val="003A78EB"/>
    <w:rsid w:val="003A7CAD"/>
    <w:rsid w:val="003B090C"/>
    <w:rsid w:val="003B1175"/>
    <w:rsid w:val="003B1ADF"/>
    <w:rsid w:val="003B1D85"/>
    <w:rsid w:val="003B2AF3"/>
    <w:rsid w:val="003B3971"/>
    <w:rsid w:val="003B3B62"/>
    <w:rsid w:val="003B55D1"/>
    <w:rsid w:val="003B5859"/>
    <w:rsid w:val="003B5B61"/>
    <w:rsid w:val="003B5EE4"/>
    <w:rsid w:val="003B715D"/>
    <w:rsid w:val="003B7FA5"/>
    <w:rsid w:val="003B7FCE"/>
    <w:rsid w:val="003C04D6"/>
    <w:rsid w:val="003C1153"/>
    <w:rsid w:val="003C1654"/>
    <w:rsid w:val="003C1E30"/>
    <w:rsid w:val="003C216A"/>
    <w:rsid w:val="003C439B"/>
    <w:rsid w:val="003C5542"/>
    <w:rsid w:val="003C6685"/>
    <w:rsid w:val="003C6758"/>
    <w:rsid w:val="003C716A"/>
    <w:rsid w:val="003C7206"/>
    <w:rsid w:val="003C7301"/>
    <w:rsid w:val="003C74B0"/>
    <w:rsid w:val="003C7C15"/>
    <w:rsid w:val="003C7D19"/>
    <w:rsid w:val="003C7D2F"/>
    <w:rsid w:val="003D0C5A"/>
    <w:rsid w:val="003D1828"/>
    <w:rsid w:val="003D1A4E"/>
    <w:rsid w:val="003D1DE4"/>
    <w:rsid w:val="003D1E9A"/>
    <w:rsid w:val="003D2422"/>
    <w:rsid w:val="003D39A1"/>
    <w:rsid w:val="003D3CDC"/>
    <w:rsid w:val="003D3FBF"/>
    <w:rsid w:val="003D419A"/>
    <w:rsid w:val="003D4A30"/>
    <w:rsid w:val="003D4CF9"/>
    <w:rsid w:val="003D530A"/>
    <w:rsid w:val="003D6D39"/>
    <w:rsid w:val="003D7186"/>
    <w:rsid w:val="003D7452"/>
    <w:rsid w:val="003D7513"/>
    <w:rsid w:val="003D79BB"/>
    <w:rsid w:val="003D7C98"/>
    <w:rsid w:val="003D7D9D"/>
    <w:rsid w:val="003D7E3C"/>
    <w:rsid w:val="003E0028"/>
    <w:rsid w:val="003E0543"/>
    <w:rsid w:val="003E2321"/>
    <w:rsid w:val="003E236D"/>
    <w:rsid w:val="003E264F"/>
    <w:rsid w:val="003E5603"/>
    <w:rsid w:val="003E57E3"/>
    <w:rsid w:val="003E5E1C"/>
    <w:rsid w:val="003E749E"/>
    <w:rsid w:val="003E75B7"/>
    <w:rsid w:val="003E7F27"/>
    <w:rsid w:val="003F0019"/>
    <w:rsid w:val="003F05C1"/>
    <w:rsid w:val="003F0933"/>
    <w:rsid w:val="003F1801"/>
    <w:rsid w:val="003F1A8D"/>
    <w:rsid w:val="003F26A4"/>
    <w:rsid w:val="003F2A59"/>
    <w:rsid w:val="003F2F4F"/>
    <w:rsid w:val="003F4156"/>
    <w:rsid w:val="003F41D9"/>
    <w:rsid w:val="003F4A1A"/>
    <w:rsid w:val="003F4A9F"/>
    <w:rsid w:val="003F585B"/>
    <w:rsid w:val="003F5ADF"/>
    <w:rsid w:val="003F63F8"/>
    <w:rsid w:val="003F6423"/>
    <w:rsid w:val="003F67A1"/>
    <w:rsid w:val="003F7093"/>
    <w:rsid w:val="0040078E"/>
    <w:rsid w:val="00400B29"/>
    <w:rsid w:val="004013EF"/>
    <w:rsid w:val="00401CD2"/>
    <w:rsid w:val="00402812"/>
    <w:rsid w:val="00402BD7"/>
    <w:rsid w:val="00404895"/>
    <w:rsid w:val="0040504B"/>
    <w:rsid w:val="004059F4"/>
    <w:rsid w:val="0040611F"/>
    <w:rsid w:val="004070F9"/>
    <w:rsid w:val="00407FE5"/>
    <w:rsid w:val="004101B0"/>
    <w:rsid w:val="00410326"/>
    <w:rsid w:val="00410556"/>
    <w:rsid w:val="00410708"/>
    <w:rsid w:val="00410EC7"/>
    <w:rsid w:val="00411B39"/>
    <w:rsid w:val="00411DCC"/>
    <w:rsid w:val="004122A2"/>
    <w:rsid w:val="004127A7"/>
    <w:rsid w:val="00412CEF"/>
    <w:rsid w:val="004131EE"/>
    <w:rsid w:val="004134C5"/>
    <w:rsid w:val="004135EB"/>
    <w:rsid w:val="00413774"/>
    <w:rsid w:val="00413A1E"/>
    <w:rsid w:val="00413CF5"/>
    <w:rsid w:val="00414476"/>
    <w:rsid w:val="00414C2E"/>
    <w:rsid w:val="00414DA7"/>
    <w:rsid w:val="004151CF"/>
    <w:rsid w:val="004158B4"/>
    <w:rsid w:val="004161CA"/>
    <w:rsid w:val="00416364"/>
    <w:rsid w:val="00416AC0"/>
    <w:rsid w:val="00417028"/>
    <w:rsid w:val="00417E16"/>
    <w:rsid w:val="0042047F"/>
    <w:rsid w:val="00420A42"/>
    <w:rsid w:val="00420AA6"/>
    <w:rsid w:val="00420B9F"/>
    <w:rsid w:val="00420DDB"/>
    <w:rsid w:val="0042192C"/>
    <w:rsid w:val="00422260"/>
    <w:rsid w:val="004231A9"/>
    <w:rsid w:val="0042413F"/>
    <w:rsid w:val="004241AE"/>
    <w:rsid w:val="00424E4D"/>
    <w:rsid w:val="00426064"/>
    <w:rsid w:val="004267AC"/>
    <w:rsid w:val="00426900"/>
    <w:rsid w:val="0042796B"/>
    <w:rsid w:val="004319F8"/>
    <w:rsid w:val="00431E55"/>
    <w:rsid w:val="004321F6"/>
    <w:rsid w:val="00433044"/>
    <w:rsid w:val="00433DAA"/>
    <w:rsid w:val="00434088"/>
    <w:rsid w:val="00436675"/>
    <w:rsid w:val="00436E32"/>
    <w:rsid w:val="004375B9"/>
    <w:rsid w:val="00437BFC"/>
    <w:rsid w:val="00440081"/>
    <w:rsid w:val="0044017B"/>
    <w:rsid w:val="00440782"/>
    <w:rsid w:val="00440B03"/>
    <w:rsid w:val="00440C45"/>
    <w:rsid w:val="00440C7B"/>
    <w:rsid w:val="0044213A"/>
    <w:rsid w:val="004428D0"/>
    <w:rsid w:val="00442AC3"/>
    <w:rsid w:val="0044371A"/>
    <w:rsid w:val="00444185"/>
    <w:rsid w:val="004443A7"/>
    <w:rsid w:val="0044442C"/>
    <w:rsid w:val="00445941"/>
    <w:rsid w:val="004464EB"/>
    <w:rsid w:val="00447A7A"/>
    <w:rsid w:val="00447D26"/>
    <w:rsid w:val="00447DFC"/>
    <w:rsid w:val="0045097A"/>
    <w:rsid w:val="00451187"/>
    <w:rsid w:val="00451370"/>
    <w:rsid w:val="004515E0"/>
    <w:rsid w:val="00451958"/>
    <w:rsid w:val="00451F27"/>
    <w:rsid w:val="0045206D"/>
    <w:rsid w:val="004520C6"/>
    <w:rsid w:val="00452638"/>
    <w:rsid w:val="00453433"/>
    <w:rsid w:val="004534DC"/>
    <w:rsid w:val="004540AD"/>
    <w:rsid w:val="00454FE3"/>
    <w:rsid w:val="00455B83"/>
    <w:rsid w:val="00455D45"/>
    <w:rsid w:val="00455E71"/>
    <w:rsid w:val="0045626B"/>
    <w:rsid w:val="004563E0"/>
    <w:rsid w:val="0045658F"/>
    <w:rsid w:val="00456C9E"/>
    <w:rsid w:val="004575BF"/>
    <w:rsid w:val="004579E1"/>
    <w:rsid w:val="004603FA"/>
    <w:rsid w:val="004617C7"/>
    <w:rsid w:val="004624A2"/>
    <w:rsid w:val="00462861"/>
    <w:rsid w:val="0046388F"/>
    <w:rsid w:val="00464595"/>
    <w:rsid w:val="004653AE"/>
    <w:rsid w:val="0046581A"/>
    <w:rsid w:val="004658B5"/>
    <w:rsid w:val="00466237"/>
    <w:rsid w:val="004663FF"/>
    <w:rsid w:val="004673DA"/>
    <w:rsid w:val="004679E1"/>
    <w:rsid w:val="00471020"/>
    <w:rsid w:val="00471092"/>
    <w:rsid w:val="00471EA5"/>
    <w:rsid w:val="00472A79"/>
    <w:rsid w:val="00473F19"/>
    <w:rsid w:val="00474A00"/>
    <w:rsid w:val="0047509D"/>
    <w:rsid w:val="00475570"/>
    <w:rsid w:val="00475E22"/>
    <w:rsid w:val="00476CB8"/>
    <w:rsid w:val="0047724D"/>
    <w:rsid w:val="004773A1"/>
    <w:rsid w:val="004804AD"/>
    <w:rsid w:val="00480530"/>
    <w:rsid w:val="0048088E"/>
    <w:rsid w:val="00480F26"/>
    <w:rsid w:val="00480F2B"/>
    <w:rsid w:val="004818B0"/>
    <w:rsid w:val="00482720"/>
    <w:rsid w:val="004828F6"/>
    <w:rsid w:val="004835E7"/>
    <w:rsid w:val="00483BF8"/>
    <w:rsid w:val="00484671"/>
    <w:rsid w:val="00484EB3"/>
    <w:rsid w:val="004859E1"/>
    <w:rsid w:val="00486432"/>
    <w:rsid w:val="004867E2"/>
    <w:rsid w:val="0048760D"/>
    <w:rsid w:val="0048760F"/>
    <w:rsid w:val="0048793F"/>
    <w:rsid w:val="00487B39"/>
    <w:rsid w:val="00490B17"/>
    <w:rsid w:val="00491B3A"/>
    <w:rsid w:val="00491DB4"/>
    <w:rsid w:val="00492CFD"/>
    <w:rsid w:val="004932B3"/>
    <w:rsid w:val="004941FD"/>
    <w:rsid w:val="00494207"/>
    <w:rsid w:val="00494449"/>
    <w:rsid w:val="00494C63"/>
    <w:rsid w:val="00494DD5"/>
    <w:rsid w:val="00495194"/>
    <w:rsid w:val="00495817"/>
    <w:rsid w:val="004962D2"/>
    <w:rsid w:val="00496A44"/>
    <w:rsid w:val="00496B76"/>
    <w:rsid w:val="0049748A"/>
    <w:rsid w:val="004A0648"/>
    <w:rsid w:val="004A0A07"/>
    <w:rsid w:val="004A0DA1"/>
    <w:rsid w:val="004A13D6"/>
    <w:rsid w:val="004A16D4"/>
    <w:rsid w:val="004A1A4A"/>
    <w:rsid w:val="004A36A6"/>
    <w:rsid w:val="004A3936"/>
    <w:rsid w:val="004A39B8"/>
    <w:rsid w:val="004A3DF0"/>
    <w:rsid w:val="004A3E4F"/>
    <w:rsid w:val="004A52E9"/>
    <w:rsid w:val="004A6040"/>
    <w:rsid w:val="004A6597"/>
    <w:rsid w:val="004A7848"/>
    <w:rsid w:val="004A793B"/>
    <w:rsid w:val="004A7D26"/>
    <w:rsid w:val="004B11EF"/>
    <w:rsid w:val="004B1582"/>
    <w:rsid w:val="004B18DF"/>
    <w:rsid w:val="004B1999"/>
    <w:rsid w:val="004B1A1B"/>
    <w:rsid w:val="004B1CB4"/>
    <w:rsid w:val="004B2D03"/>
    <w:rsid w:val="004B2D96"/>
    <w:rsid w:val="004B2F18"/>
    <w:rsid w:val="004B3B15"/>
    <w:rsid w:val="004B3DDB"/>
    <w:rsid w:val="004B3EE9"/>
    <w:rsid w:val="004B4296"/>
    <w:rsid w:val="004B44FD"/>
    <w:rsid w:val="004B47DD"/>
    <w:rsid w:val="004B52F7"/>
    <w:rsid w:val="004B530A"/>
    <w:rsid w:val="004B5CFC"/>
    <w:rsid w:val="004B611C"/>
    <w:rsid w:val="004B69B9"/>
    <w:rsid w:val="004B6F79"/>
    <w:rsid w:val="004B774D"/>
    <w:rsid w:val="004C0FDD"/>
    <w:rsid w:val="004C29E7"/>
    <w:rsid w:val="004C2AC2"/>
    <w:rsid w:val="004C4730"/>
    <w:rsid w:val="004C4921"/>
    <w:rsid w:val="004C4AED"/>
    <w:rsid w:val="004C62E1"/>
    <w:rsid w:val="004C7398"/>
    <w:rsid w:val="004D08E8"/>
    <w:rsid w:val="004D0920"/>
    <w:rsid w:val="004D1D5D"/>
    <w:rsid w:val="004D25B3"/>
    <w:rsid w:val="004D2686"/>
    <w:rsid w:val="004D2A8D"/>
    <w:rsid w:val="004D2C2D"/>
    <w:rsid w:val="004D30D4"/>
    <w:rsid w:val="004D3714"/>
    <w:rsid w:val="004D38D5"/>
    <w:rsid w:val="004D3EF3"/>
    <w:rsid w:val="004D576D"/>
    <w:rsid w:val="004D6773"/>
    <w:rsid w:val="004D6857"/>
    <w:rsid w:val="004D69B5"/>
    <w:rsid w:val="004D7227"/>
    <w:rsid w:val="004D79DC"/>
    <w:rsid w:val="004D7B5E"/>
    <w:rsid w:val="004D7ED3"/>
    <w:rsid w:val="004E00AB"/>
    <w:rsid w:val="004E02BA"/>
    <w:rsid w:val="004E0E7F"/>
    <w:rsid w:val="004E0EB8"/>
    <w:rsid w:val="004E18E9"/>
    <w:rsid w:val="004E1C54"/>
    <w:rsid w:val="004E2204"/>
    <w:rsid w:val="004E2ADC"/>
    <w:rsid w:val="004E2F0C"/>
    <w:rsid w:val="004E3831"/>
    <w:rsid w:val="004E394B"/>
    <w:rsid w:val="004E3D5C"/>
    <w:rsid w:val="004E43B2"/>
    <w:rsid w:val="004E4A0A"/>
    <w:rsid w:val="004E62D8"/>
    <w:rsid w:val="004E6537"/>
    <w:rsid w:val="004E7145"/>
    <w:rsid w:val="004E7159"/>
    <w:rsid w:val="004F0E6C"/>
    <w:rsid w:val="004F145B"/>
    <w:rsid w:val="004F1677"/>
    <w:rsid w:val="004F183A"/>
    <w:rsid w:val="004F1B24"/>
    <w:rsid w:val="004F1C0A"/>
    <w:rsid w:val="004F1D02"/>
    <w:rsid w:val="004F238F"/>
    <w:rsid w:val="004F2679"/>
    <w:rsid w:val="004F27BA"/>
    <w:rsid w:val="004F2C39"/>
    <w:rsid w:val="004F2F21"/>
    <w:rsid w:val="004F3957"/>
    <w:rsid w:val="004F3A12"/>
    <w:rsid w:val="004F3DE5"/>
    <w:rsid w:val="004F45E4"/>
    <w:rsid w:val="004F538D"/>
    <w:rsid w:val="004F6497"/>
    <w:rsid w:val="004F6749"/>
    <w:rsid w:val="004F6913"/>
    <w:rsid w:val="004F6E77"/>
    <w:rsid w:val="004F7865"/>
    <w:rsid w:val="004F7AD2"/>
    <w:rsid w:val="004F7CBC"/>
    <w:rsid w:val="005014EA"/>
    <w:rsid w:val="0050174E"/>
    <w:rsid w:val="00501854"/>
    <w:rsid w:val="0050190C"/>
    <w:rsid w:val="00501FC0"/>
    <w:rsid w:val="0050219B"/>
    <w:rsid w:val="005021A6"/>
    <w:rsid w:val="00502D78"/>
    <w:rsid w:val="005032B5"/>
    <w:rsid w:val="00503C02"/>
    <w:rsid w:val="00503F17"/>
    <w:rsid w:val="00503F3A"/>
    <w:rsid w:val="0050515A"/>
    <w:rsid w:val="005058EA"/>
    <w:rsid w:val="00505AF1"/>
    <w:rsid w:val="00506711"/>
    <w:rsid w:val="00506846"/>
    <w:rsid w:val="00506928"/>
    <w:rsid w:val="005071A2"/>
    <w:rsid w:val="005077EF"/>
    <w:rsid w:val="005078BB"/>
    <w:rsid w:val="00511AD5"/>
    <w:rsid w:val="00511CC1"/>
    <w:rsid w:val="00511DC7"/>
    <w:rsid w:val="0051339E"/>
    <w:rsid w:val="00513F73"/>
    <w:rsid w:val="005142C5"/>
    <w:rsid w:val="00514AB6"/>
    <w:rsid w:val="0051501B"/>
    <w:rsid w:val="005152B5"/>
    <w:rsid w:val="00515886"/>
    <w:rsid w:val="00515E61"/>
    <w:rsid w:val="00516C9A"/>
    <w:rsid w:val="0052020E"/>
    <w:rsid w:val="0052123C"/>
    <w:rsid w:val="00521319"/>
    <w:rsid w:val="00522765"/>
    <w:rsid w:val="00522BC8"/>
    <w:rsid w:val="00523C28"/>
    <w:rsid w:val="00524FF1"/>
    <w:rsid w:val="005258E4"/>
    <w:rsid w:val="00525A5E"/>
    <w:rsid w:val="0052680A"/>
    <w:rsid w:val="005269AE"/>
    <w:rsid w:val="00526D2B"/>
    <w:rsid w:val="00530844"/>
    <w:rsid w:val="0053176B"/>
    <w:rsid w:val="00532B25"/>
    <w:rsid w:val="00532D0D"/>
    <w:rsid w:val="005341B3"/>
    <w:rsid w:val="0053523D"/>
    <w:rsid w:val="00535B4D"/>
    <w:rsid w:val="00535C81"/>
    <w:rsid w:val="005363D0"/>
    <w:rsid w:val="0053666E"/>
    <w:rsid w:val="00536F42"/>
    <w:rsid w:val="00537182"/>
    <w:rsid w:val="005374B8"/>
    <w:rsid w:val="005378E1"/>
    <w:rsid w:val="0054059E"/>
    <w:rsid w:val="0054120C"/>
    <w:rsid w:val="00541EDD"/>
    <w:rsid w:val="0054268A"/>
    <w:rsid w:val="00542743"/>
    <w:rsid w:val="00542C2D"/>
    <w:rsid w:val="00543BE6"/>
    <w:rsid w:val="00544A58"/>
    <w:rsid w:val="0054524F"/>
    <w:rsid w:val="00545A0E"/>
    <w:rsid w:val="005478BD"/>
    <w:rsid w:val="005479E3"/>
    <w:rsid w:val="00547CA9"/>
    <w:rsid w:val="00550687"/>
    <w:rsid w:val="005512CE"/>
    <w:rsid w:val="00551483"/>
    <w:rsid w:val="00551985"/>
    <w:rsid w:val="00552450"/>
    <w:rsid w:val="0055248B"/>
    <w:rsid w:val="00552635"/>
    <w:rsid w:val="00552BD3"/>
    <w:rsid w:val="00552D79"/>
    <w:rsid w:val="005532A0"/>
    <w:rsid w:val="00553E7A"/>
    <w:rsid w:val="00554394"/>
    <w:rsid w:val="00555109"/>
    <w:rsid w:val="00555652"/>
    <w:rsid w:val="00555FC4"/>
    <w:rsid w:val="0055619F"/>
    <w:rsid w:val="0055687D"/>
    <w:rsid w:val="0055698D"/>
    <w:rsid w:val="00556B35"/>
    <w:rsid w:val="0055741A"/>
    <w:rsid w:val="0056032D"/>
    <w:rsid w:val="005611B7"/>
    <w:rsid w:val="005618D4"/>
    <w:rsid w:val="00561A1B"/>
    <w:rsid w:val="005637D4"/>
    <w:rsid w:val="00564241"/>
    <w:rsid w:val="005645AA"/>
    <w:rsid w:val="00564867"/>
    <w:rsid w:val="00564D62"/>
    <w:rsid w:val="00564F3F"/>
    <w:rsid w:val="005651EA"/>
    <w:rsid w:val="00565C79"/>
    <w:rsid w:val="00565DF0"/>
    <w:rsid w:val="0056696F"/>
    <w:rsid w:val="00566F20"/>
    <w:rsid w:val="00567093"/>
    <w:rsid w:val="00567474"/>
    <w:rsid w:val="00567559"/>
    <w:rsid w:val="00567818"/>
    <w:rsid w:val="00567CEC"/>
    <w:rsid w:val="00572269"/>
    <w:rsid w:val="0057244A"/>
    <w:rsid w:val="00572678"/>
    <w:rsid w:val="005729FA"/>
    <w:rsid w:val="00572DCD"/>
    <w:rsid w:val="00572F26"/>
    <w:rsid w:val="0057360B"/>
    <w:rsid w:val="00573BEB"/>
    <w:rsid w:val="00574F30"/>
    <w:rsid w:val="005750C5"/>
    <w:rsid w:val="005752DE"/>
    <w:rsid w:val="00575923"/>
    <w:rsid w:val="00575D60"/>
    <w:rsid w:val="00575D8D"/>
    <w:rsid w:val="00576972"/>
    <w:rsid w:val="00576E8C"/>
    <w:rsid w:val="00577188"/>
    <w:rsid w:val="00577248"/>
    <w:rsid w:val="0057740E"/>
    <w:rsid w:val="0058017B"/>
    <w:rsid w:val="005813E5"/>
    <w:rsid w:val="005815CE"/>
    <w:rsid w:val="00582649"/>
    <w:rsid w:val="00583010"/>
    <w:rsid w:val="00583699"/>
    <w:rsid w:val="0058378A"/>
    <w:rsid w:val="0058497E"/>
    <w:rsid w:val="00584C07"/>
    <w:rsid w:val="00585038"/>
    <w:rsid w:val="00585CDD"/>
    <w:rsid w:val="00587058"/>
    <w:rsid w:val="00587896"/>
    <w:rsid w:val="005916C9"/>
    <w:rsid w:val="00591762"/>
    <w:rsid w:val="00591957"/>
    <w:rsid w:val="00591C9B"/>
    <w:rsid w:val="00594584"/>
    <w:rsid w:val="0059497E"/>
    <w:rsid w:val="00594F20"/>
    <w:rsid w:val="00597395"/>
    <w:rsid w:val="00597B25"/>
    <w:rsid w:val="00597BF9"/>
    <w:rsid w:val="00597EDE"/>
    <w:rsid w:val="005A09AF"/>
    <w:rsid w:val="005A0C11"/>
    <w:rsid w:val="005A15B0"/>
    <w:rsid w:val="005A16E4"/>
    <w:rsid w:val="005A1BAC"/>
    <w:rsid w:val="005A1CD5"/>
    <w:rsid w:val="005A1D1B"/>
    <w:rsid w:val="005A2056"/>
    <w:rsid w:val="005A309A"/>
    <w:rsid w:val="005A3103"/>
    <w:rsid w:val="005A373D"/>
    <w:rsid w:val="005A45A7"/>
    <w:rsid w:val="005A49F1"/>
    <w:rsid w:val="005A5731"/>
    <w:rsid w:val="005A6259"/>
    <w:rsid w:val="005A626B"/>
    <w:rsid w:val="005A6693"/>
    <w:rsid w:val="005A7BFC"/>
    <w:rsid w:val="005A7FDE"/>
    <w:rsid w:val="005B03FD"/>
    <w:rsid w:val="005B0A8E"/>
    <w:rsid w:val="005B0B58"/>
    <w:rsid w:val="005B2040"/>
    <w:rsid w:val="005B30D2"/>
    <w:rsid w:val="005B3518"/>
    <w:rsid w:val="005B4707"/>
    <w:rsid w:val="005B4D87"/>
    <w:rsid w:val="005B4E53"/>
    <w:rsid w:val="005B4E57"/>
    <w:rsid w:val="005B55DD"/>
    <w:rsid w:val="005B5857"/>
    <w:rsid w:val="005B6528"/>
    <w:rsid w:val="005C19C4"/>
    <w:rsid w:val="005C1B83"/>
    <w:rsid w:val="005C25FF"/>
    <w:rsid w:val="005C2D55"/>
    <w:rsid w:val="005C346B"/>
    <w:rsid w:val="005C51E7"/>
    <w:rsid w:val="005C5ABC"/>
    <w:rsid w:val="005C622B"/>
    <w:rsid w:val="005C6AF3"/>
    <w:rsid w:val="005C7B14"/>
    <w:rsid w:val="005C7B4E"/>
    <w:rsid w:val="005D044D"/>
    <w:rsid w:val="005D06AF"/>
    <w:rsid w:val="005D0ABD"/>
    <w:rsid w:val="005D0BFB"/>
    <w:rsid w:val="005D18AD"/>
    <w:rsid w:val="005D1FB4"/>
    <w:rsid w:val="005D26B4"/>
    <w:rsid w:val="005D289E"/>
    <w:rsid w:val="005D3097"/>
    <w:rsid w:val="005D6B14"/>
    <w:rsid w:val="005E0072"/>
    <w:rsid w:val="005E0988"/>
    <w:rsid w:val="005E1995"/>
    <w:rsid w:val="005E1A73"/>
    <w:rsid w:val="005E2305"/>
    <w:rsid w:val="005E2B2B"/>
    <w:rsid w:val="005E3854"/>
    <w:rsid w:val="005E6CBC"/>
    <w:rsid w:val="005E6CFC"/>
    <w:rsid w:val="005E72FF"/>
    <w:rsid w:val="005E73C0"/>
    <w:rsid w:val="005E7417"/>
    <w:rsid w:val="005F00F1"/>
    <w:rsid w:val="005F07ED"/>
    <w:rsid w:val="005F1379"/>
    <w:rsid w:val="005F13AA"/>
    <w:rsid w:val="005F235D"/>
    <w:rsid w:val="005F24AE"/>
    <w:rsid w:val="005F2706"/>
    <w:rsid w:val="005F299E"/>
    <w:rsid w:val="005F2F2E"/>
    <w:rsid w:val="005F3C2D"/>
    <w:rsid w:val="005F437D"/>
    <w:rsid w:val="005F4732"/>
    <w:rsid w:val="005F5E47"/>
    <w:rsid w:val="005F63D3"/>
    <w:rsid w:val="005F666F"/>
    <w:rsid w:val="005F6A35"/>
    <w:rsid w:val="005F6A8F"/>
    <w:rsid w:val="005F6BB7"/>
    <w:rsid w:val="005F7588"/>
    <w:rsid w:val="00600017"/>
    <w:rsid w:val="00600C77"/>
    <w:rsid w:val="006012CE"/>
    <w:rsid w:val="00602650"/>
    <w:rsid w:val="00603DB9"/>
    <w:rsid w:val="006050DF"/>
    <w:rsid w:val="00606F79"/>
    <w:rsid w:val="00606FBA"/>
    <w:rsid w:val="00607669"/>
    <w:rsid w:val="006076F4"/>
    <w:rsid w:val="00607AFD"/>
    <w:rsid w:val="00610090"/>
    <w:rsid w:val="0061094C"/>
    <w:rsid w:val="006114F9"/>
    <w:rsid w:val="00611B12"/>
    <w:rsid w:val="00611BAC"/>
    <w:rsid w:val="00611D47"/>
    <w:rsid w:val="00612F97"/>
    <w:rsid w:val="0061345D"/>
    <w:rsid w:val="00613962"/>
    <w:rsid w:val="0061482C"/>
    <w:rsid w:val="00614D9B"/>
    <w:rsid w:val="0061549B"/>
    <w:rsid w:val="00616802"/>
    <w:rsid w:val="00617E12"/>
    <w:rsid w:val="00620A3D"/>
    <w:rsid w:val="00620B13"/>
    <w:rsid w:val="00620C25"/>
    <w:rsid w:val="00621283"/>
    <w:rsid w:val="00621477"/>
    <w:rsid w:val="00621962"/>
    <w:rsid w:val="00621ADA"/>
    <w:rsid w:val="00621FB0"/>
    <w:rsid w:val="00622D5E"/>
    <w:rsid w:val="00622E39"/>
    <w:rsid w:val="006235BC"/>
    <w:rsid w:val="00623B50"/>
    <w:rsid w:val="00623C38"/>
    <w:rsid w:val="00623F7B"/>
    <w:rsid w:val="006244F1"/>
    <w:rsid w:val="00624BD4"/>
    <w:rsid w:val="00624E34"/>
    <w:rsid w:val="006251CB"/>
    <w:rsid w:val="006253EE"/>
    <w:rsid w:val="00625559"/>
    <w:rsid w:val="006257DB"/>
    <w:rsid w:val="0062604D"/>
    <w:rsid w:val="006270E0"/>
    <w:rsid w:val="00627115"/>
    <w:rsid w:val="00627839"/>
    <w:rsid w:val="00627FF8"/>
    <w:rsid w:val="0063158F"/>
    <w:rsid w:val="006316F0"/>
    <w:rsid w:val="00631D6B"/>
    <w:rsid w:val="00632183"/>
    <w:rsid w:val="006330A1"/>
    <w:rsid w:val="006332F0"/>
    <w:rsid w:val="006335CA"/>
    <w:rsid w:val="00633601"/>
    <w:rsid w:val="00633A0C"/>
    <w:rsid w:val="006344EC"/>
    <w:rsid w:val="0063479F"/>
    <w:rsid w:val="006353F0"/>
    <w:rsid w:val="006357B5"/>
    <w:rsid w:val="00635B81"/>
    <w:rsid w:val="006364A1"/>
    <w:rsid w:val="0063664E"/>
    <w:rsid w:val="0063678E"/>
    <w:rsid w:val="00637BFD"/>
    <w:rsid w:val="00637C5C"/>
    <w:rsid w:val="00640661"/>
    <w:rsid w:val="006406EB"/>
    <w:rsid w:val="00641913"/>
    <w:rsid w:val="00641C4E"/>
    <w:rsid w:val="00641FB3"/>
    <w:rsid w:val="006432D8"/>
    <w:rsid w:val="00643BFD"/>
    <w:rsid w:val="006440CC"/>
    <w:rsid w:val="0064434C"/>
    <w:rsid w:val="0064685B"/>
    <w:rsid w:val="00646F9C"/>
    <w:rsid w:val="006471CC"/>
    <w:rsid w:val="006472FE"/>
    <w:rsid w:val="0064748E"/>
    <w:rsid w:val="006476AA"/>
    <w:rsid w:val="0064791B"/>
    <w:rsid w:val="00647A29"/>
    <w:rsid w:val="00647F8D"/>
    <w:rsid w:val="0065079F"/>
    <w:rsid w:val="00651174"/>
    <w:rsid w:val="0065139B"/>
    <w:rsid w:val="00651D5A"/>
    <w:rsid w:val="0065241F"/>
    <w:rsid w:val="00652A28"/>
    <w:rsid w:val="0065379F"/>
    <w:rsid w:val="00655B8A"/>
    <w:rsid w:val="00656188"/>
    <w:rsid w:val="0065715A"/>
    <w:rsid w:val="00657CB8"/>
    <w:rsid w:val="00660F5E"/>
    <w:rsid w:val="006610F1"/>
    <w:rsid w:val="00661C6B"/>
    <w:rsid w:val="00662218"/>
    <w:rsid w:val="00662279"/>
    <w:rsid w:val="00662999"/>
    <w:rsid w:val="00662D3E"/>
    <w:rsid w:val="00663C5E"/>
    <w:rsid w:val="00663FF9"/>
    <w:rsid w:val="00664305"/>
    <w:rsid w:val="00664748"/>
    <w:rsid w:val="006647BA"/>
    <w:rsid w:val="006648DC"/>
    <w:rsid w:val="006657E9"/>
    <w:rsid w:val="00665BBB"/>
    <w:rsid w:val="00665FC4"/>
    <w:rsid w:val="006663D7"/>
    <w:rsid w:val="00667BE3"/>
    <w:rsid w:val="00670494"/>
    <w:rsid w:val="00670743"/>
    <w:rsid w:val="00670796"/>
    <w:rsid w:val="00671004"/>
    <w:rsid w:val="0067163B"/>
    <w:rsid w:val="00672646"/>
    <w:rsid w:val="00672B55"/>
    <w:rsid w:val="00672D21"/>
    <w:rsid w:val="00673434"/>
    <w:rsid w:val="00673A3D"/>
    <w:rsid w:val="00674591"/>
    <w:rsid w:val="00674D48"/>
    <w:rsid w:val="00674E42"/>
    <w:rsid w:val="00674F37"/>
    <w:rsid w:val="00674FA1"/>
    <w:rsid w:val="00675C59"/>
    <w:rsid w:val="00676563"/>
    <w:rsid w:val="006813F8"/>
    <w:rsid w:val="00681E79"/>
    <w:rsid w:val="00682112"/>
    <w:rsid w:val="00682BA6"/>
    <w:rsid w:val="00683E66"/>
    <w:rsid w:val="006840FA"/>
    <w:rsid w:val="0068500C"/>
    <w:rsid w:val="0068662E"/>
    <w:rsid w:val="00686957"/>
    <w:rsid w:val="00686EE4"/>
    <w:rsid w:val="006872BA"/>
    <w:rsid w:val="00690795"/>
    <w:rsid w:val="00690FA8"/>
    <w:rsid w:val="00691648"/>
    <w:rsid w:val="006917D7"/>
    <w:rsid w:val="00692775"/>
    <w:rsid w:val="0069278D"/>
    <w:rsid w:val="00694284"/>
    <w:rsid w:val="006942CA"/>
    <w:rsid w:val="0069434C"/>
    <w:rsid w:val="00694C4B"/>
    <w:rsid w:val="00694F44"/>
    <w:rsid w:val="00695951"/>
    <w:rsid w:val="00695D53"/>
    <w:rsid w:val="00695D5C"/>
    <w:rsid w:val="00696567"/>
    <w:rsid w:val="00696EF9"/>
    <w:rsid w:val="00696F51"/>
    <w:rsid w:val="006971F5"/>
    <w:rsid w:val="006975C1"/>
    <w:rsid w:val="006979A5"/>
    <w:rsid w:val="006A016F"/>
    <w:rsid w:val="006A0D61"/>
    <w:rsid w:val="006A0DF7"/>
    <w:rsid w:val="006A349F"/>
    <w:rsid w:val="006A4321"/>
    <w:rsid w:val="006A43D9"/>
    <w:rsid w:val="006A43F4"/>
    <w:rsid w:val="006A458C"/>
    <w:rsid w:val="006A4789"/>
    <w:rsid w:val="006A480B"/>
    <w:rsid w:val="006A5382"/>
    <w:rsid w:val="006A6B99"/>
    <w:rsid w:val="006A7E5F"/>
    <w:rsid w:val="006B00A3"/>
    <w:rsid w:val="006B15AC"/>
    <w:rsid w:val="006B261B"/>
    <w:rsid w:val="006B2C90"/>
    <w:rsid w:val="006B35E6"/>
    <w:rsid w:val="006B3A9A"/>
    <w:rsid w:val="006B3FC9"/>
    <w:rsid w:val="006B465A"/>
    <w:rsid w:val="006B68B7"/>
    <w:rsid w:val="006B6DD0"/>
    <w:rsid w:val="006B753F"/>
    <w:rsid w:val="006C0366"/>
    <w:rsid w:val="006C0399"/>
    <w:rsid w:val="006C04B3"/>
    <w:rsid w:val="006C0820"/>
    <w:rsid w:val="006C125E"/>
    <w:rsid w:val="006C2349"/>
    <w:rsid w:val="006C2A8E"/>
    <w:rsid w:val="006C2F34"/>
    <w:rsid w:val="006C3255"/>
    <w:rsid w:val="006C3F26"/>
    <w:rsid w:val="006C414B"/>
    <w:rsid w:val="006C41C3"/>
    <w:rsid w:val="006C4656"/>
    <w:rsid w:val="006C4750"/>
    <w:rsid w:val="006C4AC2"/>
    <w:rsid w:val="006C4FD5"/>
    <w:rsid w:val="006C5372"/>
    <w:rsid w:val="006C6F77"/>
    <w:rsid w:val="006C7F95"/>
    <w:rsid w:val="006D0329"/>
    <w:rsid w:val="006D0D17"/>
    <w:rsid w:val="006D21ED"/>
    <w:rsid w:val="006D2899"/>
    <w:rsid w:val="006D3C7D"/>
    <w:rsid w:val="006D4659"/>
    <w:rsid w:val="006D4730"/>
    <w:rsid w:val="006D5D5F"/>
    <w:rsid w:val="006D60AC"/>
    <w:rsid w:val="006D60B0"/>
    <w:rsid w:val="006D627D"/>
    <w:rsid w:val="006D68FB"/>
    <w:rsid w:val="006D7044"/>
    <w:rsid w:val="006D77C8"/>
    <w:rsid w:val="006E1A32"/>
    <w:rsid w:val="006E246B"/>
    <w:rsid w:val="006E27F9"/>
    <w:rsid w:val="006E2868"/>
    <w:rsid w:val="006E31C5"/>
    <w:rsid w:val="006E32A0"/>
    <w:rsid w:val="006E331C"/>
    <w:rsid w:val="006E39C2"/>
    <w:rsid w:val="006E4903"/>
    <w:rsid w:val="006E4BCC"/>
    <w:rsid w:val="006E4CED"/>
    <w:rsid w:val="006F0E88"/>
    <w:rsid w:val="006F104C"/>
    <w:rsid w:val="006F2256"/>
    <w:rsid w:val="006F306C"/>
    <w:rsid w:val="006F63A5"/>
    <w:rsid w:val="006F6676"/>
    <w:rsid w:val="006F6892"/>
    <w:rsid w:val="006F6A74"/>
    <w:rsid w:val="006F6AC1"/>
    <w:rsid w:val="006F6B5E"/>
    <w:rsid w:val="006F6F86"/>
    <w:rsid w:val="006F786B"/>
    <w:rsid w:val="00701276"/>
    <w:rsid w:val="007013D9"/>
    <w:rsid w:val="0070142B"/>
    <w:rsid w:val="007020D7"/>
    <w:rsid w:val="0070276E"/>
    <w:rsid w:val="00702F8F"/>
    <w:rsid w:val="00703ED7"/>
    <w:rsid w:val="007053F1"/>
    <w:rsid w:val="00705AB7"/>
    <w:rsid w:val="00706AEC"/>
    <w:rsid w:val="007079FC"/>
    <w:rsid w:val="00710B23"/>
    <w:rsid w:val="00711A36"/>
    <w:rsid w:val="00712045"/>
    <w:rsid w:val="007125D3"/>
    <w:rsid w:val="0071331A"/>
    <w:rsid w:val="00713A5E"/>
    <w:rsid w:val="00714C00"/>
    <w:rsid w:val="00714C26"/>
    <w:rsid w:val="0071529C"/>
    <w:rsid w:val="00715515"/>
    <w:rsid w:val="0071600D"/>
    <w:rsid w:val="007170DA"/>
    <w:rsid w:val="007172AD"/>
    <w:rsid w:val="00717546"/>
    <w:rsid w:val="00717E12"/>
    <w:rsid w:val="00717FEC"/>
    <w:rsid w:val="00720801"/>
    <w:rsid w:val="00720C29"/>
    <w:rsid w:val="007214C3"/>
    <w:rsid w:val="00721F3B"/>
    <w:rsid w:val="007226D9"/>
    <w:rsid w:val="00722B1B"/>
    <w:rsid w:val="00723019"/>
    <w:rsid w:val="00724024"/>
    <w:rsid w:val="0072416F"/>
    <w:rsid w:val="00724B65"/>
    <w:rsid w:val="007250B0"/>
    <w:rsid w:val="00726761"/>
    <w:rsid w:val="007267CC"/>
    <w:rsid w:val="00727C94"/>
    <w:rsid w:val="00731636"/>
    <w:rsid w:val="007316B1"/>
    <w:rsid w:val="00731B0A"/>
    <w:rsid w:val="00731D62"/>
    <w:rsid w:val="00731EAE"/>
    <w:rsid w:val="0073214E"/>
    <w:rsid w:val="00733073"/>
    <w:rsid w:val="007330DD"/>
    <w:rsid w:val="0073367E"/>
    <w:rsid w:val="00733AE4"/>
    <w:rsid w:val="0073448A"/>
    <w:rsid w:val="007346BA"/>
    <w:rsid w:val="00734872"/>
    <w:rsid w:val="00734D88"/>
    <w:rsid w:val="00735033"/>
    <w:rsid w:val="00735328"/>
    <w:rsid w:val="0073638D"/>
    <w:rsid w:val="00736703"/>
    <w:rsid w:val="00736787"/>
    <w:rsid w:val="0073685B"/>
    <w:rsid w:val="00736F54"/>
    <w:rsid w:val="0073730A"/>
    <w:rsid w:val="00742094"/>
    <w:rsid w:val="007421E6"/>
    <w:rsid w:val="00743477"/>
    <w:rsid w:val="0074389B"/>
    <w:rsid w:val="007438B3"/>
    <w:rsid w:val="00743F9B"/>
    <w:rsid w:val="007449BF"/>
    <w:rsid w:val="00744EBA"/>
    <w:rsid w:val="007454E2"/>
    <w:rsid w:val="00745513"/>
    <w:rsid w:val="00745906"/>
    <w:rsid w:val="00745CAB"/>
    <w:rsid w:val="007463FE"/>
    <w:rsid w:val="007466D4"/>
    <w:rsid w:val="00746AA1"/>
    <w:rsid w:val="00746BC0"/>
    <w:rsid w:val="00746C3A"/>
    <w:rsid w:val="00747553"/>
    <w:rsid w:val="0075027F"/>
    <w:rsid w:val="007510B4"/>
    <w:rsid w:val="00752142"/>
    <w:rsid w:val="007523F9"/>
    <w:rsid w:val="0075357E"/>
    <w:rsid w:val="00753734"/>
    <w:rsid w:val="00753B29"/>
    <w:rsid w:val="00754302"/>
    <w:rsid w:val="00755E2B"/>
    <w:rsid w:val="00755F9F"/>
    <w:rsid w:val="00756105"/>
    <w:rsid w:val="0075677A"/>
    <w:rsid w:val="00756F56"/>
    <w:rsid w:val="007573E8"/>
    <w:rsid w:val="00757433"/>
    <w:rsid w:val="0075796C"/>
    <w:rsid w:val="00760532"/>
    <w:rsid w:val="00760C3B"/>
    <w:rsid w:val="00760C4E"/>
    <w:rsid w:val="00760F9E"/>
    <w:rsid w:val="007616E6"/>
    <w:rsid w:val="007627BE"/>
    <w:rsid w:val="00762A3B"/>
    <w:rsid w:val="00762FEA"/>
    <w:rsid w:val="007632F8"/>
    <w:rsid w:val="007634EE"/>
    <w:rsid w:val="00763DF6"/>
    <w:rsid w:val="00764ABC"/>
    <w:rsid w:val="00764F03"/>
    <w:rsid w:val="00765079"/>
    <w:rsid w:val="0076548F"/>
    <w:rsid w:val="0076575A"/>
    <w:rsid w:val="00765B1A"/>
    <w:rsid w:val="00765CC6"/>
    <w:rsid w:val="00765DC1"/>
    <w:rsid w:val="00765F40"/>
    <w:rsid w:val="0076609A"/>
    <w:rsid w:val="0076618C"/>
    <w:rsid w:val="00766976"/>
    <w:rsid w:val="00766EF6"/>
    <w:rsid w:val="007674F0"/>
    <w:rsid w:val="00767A94"/>
    <w:rsid w:val="00767C76"/>
    <w:rsid w:val="00767DE2"/>
    <w:rsid w:val="00770364"/>
    <w:rsid w:val="007709F2"/>
    <w:rsid w:val="00771CAA"/>
    <w:rsid w:val="00771D1D"/>
    <w:rsid w:val="00773D27"/>
    <w:rsid w:val="00774374"/>
    <w:rsid w:val="0077531C"/>
    <w:rsid w:val="00775E31"/>
    <w:rsid w:val="007765A7"/>
    <w:rsid w:val="0077683D"/>
    <w:rsid w:val="00776D87"/>
    <w:rsid w:val="00776E9C"/>
    <w:rsid w:val="00777335"/>
    <w:rsid w:val="00777B30"/>
    <w:rsid w:val="007803AF"/>
    <w:rsid w:val="0078073A"/>
    <w:rsid w:val="00780831"/>
    <w:rsid w:val="00781DB2"/>
    <w:rsid w:val="00781FAC"/>
    <w:rsid w:val="007834FC"/>
    <w:rsid w:val="00783CFB"/>
    <w:rsid w:val="00783E0D"/>
    <w:rsid w:val="007843F2"/>
    <w:rsid w:val="007844EF"/>
    <w:rsid w:val="007846FA"/>
    <w:rsid w:val="0078510C"/>
    <w:rsid w:val="007852D0"/>
    <w:rsid w:val="007857A8"/>
    <w:rsid w:val="00785A2B"/>
    <w:rsid w:val="00785A9F"/>
    <w:rsid w:val="00786449"/>
    <w:rsid w:val="00787C04"/>
    <w:rsid w:val="007903D8"/>
    <w:rsid w:val="00790B43"/>
    <w:rsid w:val="00791B69"/>
    <w:rsid w:val="0079253C"/>
    <w:rsid w:val="007925DF"/>
    <w:rsid w:val="00792E99"/>
    <w:rsid w:val="00793050"/>
    <w:rsid w:val="00793232"/>
    <w:rsid w:val="00793E58"/>
    <w:rsid w:val="00797469"/>
    <w:rsid w:val="0079755D"/>
    <w:rsid w:val="007A08AA"/>
    <w:rsid w:val="007A0A12"/>
    <w:rsid w:val="007A132D"/>
    <w:rsid w:val="007A1345"/>
    <w:rsid w:val="007A2814"/>
    <w:rsid w:val="007A2DDB"/>
    <w:rsid w:val="007A35C2"/>
    <w:rsid w:val="007A3E4B"/>
    <w:rsid w:val="007A42DF"/>
    <w:rsid w:val="007A4BF7"/>
    <w:rsid w:val="007A4C94"/>
    <w:rsid w:val="007A4F67"/>
    <w:rsid w:val="007A4F89"/>
    <w:rsid w:val="007A5174"/>
    <w:rsid w:val="007A70BA"/>
    <w:rsid w:val="007A72B1"/>
    <w:rsid w:val="007B0002"/>
    <w:rsid w:val="007B0434"/>
    <w:rsid w:val="007B052D"/>
    <w:rsid w:val="007B0D68"/>
    <w:rsid w:val="007B1598"/>
    <w:rsid w:val="007B251D"/>
    <w:rsid w:val="007B26A2"/>
    <w:rsid w:val="007B2F7D"/>
    <w:rsid w:val="007B3533"/>
    <w:rsid w:val="007B4AA8"/>
    <w:rsid w:val="007B4F58"/>
    <w:rsid w:val="007B528D"/>
    <w:rsid w:val="007B5456"/>
    <w:rsid w:val="007B5CF8"/>
    <w:rsid w:val="007B5D49"/>
    <w:rsid w:val="007B63CA"/>
    <w:rsid w:val="007B749D"/>
    <w:rsid w:val="007B77D1"/>
    <w:rsid w:val="007B7D06"/>
    <w:rsid w:val="007B7FF8"/>
    <w:rsid w:val="007C0210"/>
    <w:rsid w:val="007C07C7"/>
    <w:rsid w:val="007C08CD"/>
    <w:rsid w:val="007C1CD9"/>
    <w:rsid w:val="007C27B0"/>
    <w:rsid w:val="007C32EF"/>
    <w:rsid w:val="007C361D"/>
    <w:rsid w:val="007C3FAA"/>
    <w:rsid w:val="007C4B84"/>
    <w:rsid w:val="007C5EBF"/>
    <w:rsid w:val="007C6276"/>
    <w:rsid w:val="007C70FF"/>
    <w:rsid w:val="007C7C25"/>
    <w:rsid w:val="007D004F"/>
    <w:rsid w:val="007D035F"/>
    <w:rsid w:val="007D06B2"/>
    <w:rsid w:val="007D0B38"/>
    <w:rsid w:val="007D1596"/>
    <w:rsid w:val="007D28B3"/>
    <w:rsid w:val="007D3E4E"/>
    <w:rsid w:val="007D4BD3"/>
    <w:rsid w:val="007D4C24"/>
    <w:rsid w:val="007D5440"/>
    <w:rsid w:val="007D617B"/>
    <w:rsid w:val="007D69EB"/>
    <w:rsid w:val="007D6E95"/>
    <w:rsid w:val="007D7212"/>
    <w:rsid w:val="007E1013"/>
    <w:rsid w:val="007E11F4"/>
    <w:rsid w:val="007E1285"/>
    <w:rsid w:val="007E128F"/>
    <w:rsid w:val="007E3129"/>
    <w:rsid w:val="007E495B"/>
    <w:rsid w:val="007E4F69"/>
    <w:rsid w:val="007E530C"/>
    <w:rsid w:val="007E5459"/>
    <w:rsid w:val="007E5470"/>
    <w:rsid w:val="007E5BE1"/>
    <w:rsid w:val="007E6DDB"/>
    <w:rsid w:val="007E7C5D"/>
    <w:rsid w:val="007F0810"/>
    <w:rsid w:val="007F1017"/>
    <w:rsid w:val="007F1919"/>
    <w:rsid w:val="007F22A4"/>
    <w:rsid w:val="007F2E6D"/>
    <w:rsid w:val="007F3EE5"/>
    <w:rsid w:val="007F4361"/>
    <w:rsid w:val="007F4A3F"/>
    <w:rsid w:val="007F4A61"/>
    <w:rsid w:val="007F4C9D"/>
    <w:rsid w:val="007F5064"/>
    <w:rsid w:val="007F5255"/>
    <w:rsid w:val="007F56CC"/>
    <w:rsid w:val="007F61C2"/>
    <w:rsid w:val="007F6ECE"/>
    <w:rsid w:val="007F6F49"/>
    <w:rsid w:val="007F795E"/>
    <w:rsid w:val="00800552"/>
    <w:rsid w:val="00801D44"/>
    <w:rsid w:val="008021B0"/>
    <w:rsid w:val="008035D6"/>
    <w:rsid w:val="00804490"/>
    <w:rsid w:val="00804D81"/>
    <w:rsid w:val="008050F5"/>
    <w:rsid w:val="00805142"/>
    <w:rsid w:val="00805FCE"/>
    <w:rsid w:val="008063CF"/>
    <w:rsid w:val="008063D1"/>
    <w:rsid w:val="00806672"/>
    <w:rsid w:val="00806E51"/>
    <w:rsid w:val="00807197"/>
    <w:rsid w:val="00807A8B"/>
    <w:rsid w:val="00810521"/>
    <w:rsid w:val="00810578"/>
    <w:rsid w:val="00811383"/>
    <w:rsid w:val="008115D8"/>
    <w:rsid w:val="00811B6E"/>
    <w:rsid w:val="00812149"/>
    <w:rsid w:val="008125D4"/>
    <w:rsid w:val="00812CAC"/>
    <w:rsid w:val="008133C5"/>
    <w:rsid w:val="008150BF"/>
    <w:rsid w:val="00816361"/>
    <w:rsid w:val="008166EF"/>
    <w:rsid w:val="00816FEF"/>
    <w:rsid w:val="008171E5"/>
    <w:rsid w:val="00820A8C"/>
    <w:rsid w:val="008215FB"/>
    <w:rsid w:val="008220CC"/>
    <w:rsid w:val="00823174"/>
    <w:rsid w:val="0082437C"/>
    <w:rsid w:val="00824A3F"/>
    <w:rsid w:val="00825751"/>
    <w:rsid w:val="00825804"/>
    <w:rsid w:val="008264EB"/>
    <w:rsid w:val="008268CE"/>
    <w:rsid w:val="00826DC1"/>
    <w:rsid w:val="00827C23"/>
    <w:rsid w:val="008314FC"/>
    <w:rsid w:val="00832A99"/>
    <w:rsid w:val="00833B05"/>
    <w:rsid w:val="008348FB"/>
    <w:rsid w:val="00835025"/>
    <w:rsid w:val="008353DE"/>
    <w:rsid w:val="00835D84"/>
    <w:rsid w:val="008362B4"/>
    <w:rsid w:val="008363CD"/>
    <w:rsid w:val="00836BF9"/>
    <w:rsid w:val="008408A3"/>
    <w:rsid w:val="00840CA2"/>
    <w:rsid w:val="00840E35"/>
    <w:rsid w:val="00841A85"/>
    <w:rsid w:val="00841C4C"/>
    <w:rsid w:val="00841D29"/>
    <w:rsid w:val="00842F1A"/>
    <w:rsid w:val="0084374F"/>
    <w:rsid w:val="008440E1"/>
    <w:rsid w:val="00844A22"/>
    <w:rsid w:val="008458BD"/>
    <w:rsid w:val="00846C23"/>
    <w:rsid w:val="00847487"/>
    <w:rsid w:val="00847703"/>
    <w:rsid w:val="00847839"/>
    <w:rsid w:val="00847DF5"/>
    <w:rsid w:val="00850808"/>
    <w:rsid w:val="00850AC7"/>
    <w:rsid w:val="008512C5"/>
    <w:rsid w:val="00851C55"/>
    <w:rsid w:val="0085309D"/>
    <w:rsid w:val="008542AD"/>
    <w:rsid w:val="00854B05"/>
    <w:rsid w:val="00856039"/>
    <w:rsid w:val="0085655C"/>
    <w:rsid w:val="00856897"/>
    <w:rsid w:val="00856E9A"/>
    <w:rsid w:val="00857218"/>
    <w:rsid w:val="008577BD"/>
    <w:rsid w:val="0086075D"/>
    <w:rsid w:val="0086225F"/>
    <w:rsid w:val="00862502"/>
    <w:rsid w:val="00862508"/>
    <w:rsid w:val="00862568"/>
    <w:rsid w:val="00862CC1"/>
    <w:rsid w:val="00863746"/>
    <w:rsid w:val="0086393C"/>
    <w:rsid w:val="008642A7"/>
    <w:rsid w:val="008660D4"/>
    <w:rsid w:val="008660EF"/>
    <w:rsid w:val="008666C9"/>
    <w:rsid w:val="00866B46"/>
    <w:rsid w:val="00871FA9"/>
    <w:rsid w:val="008720CE"/>
    <w:rsid w:val="008728E9"/>
    <w:rsid w:val="00872FA8"/>
    <w:rsid w:val="00874B7E"/>
    <w:rsid w:val="0087570D"/>
    <w:rsid w:val="00875B4C"/>
    <w:rsid w:val="00876C06"/>
    <w:rsid w:val="00880F2B"/>
    <w:rsid w:val="00881672"/>
    <w:rsid w:val="0088179E"/>
    <w:rsid w:val="00882874"/>
    <w:rsid w:val="00882E3C"/>
    <w:rsid w:val="00882F8A"/>
    <w:rsid w:val="0088308A"/>
    <w:rsid w:val="00883787"/>
    <w:rsid w:val="00883839"/>
    <w:rsid w:val="0088533A"/>
    <w:rsid w:val="008853C6"/>
    <w:rsid w:val="00885503"/>
    <w:rsid w:val="008855E4"/>
    <w:rsid w:val="00885E13"/>
    <w:rsid w:val="008867C3"/>
    <w:rsid w:val="00886CD2"/>
    <w:rsid w:val="00887405"/>
    <w:rsid w:val="00887A6D"/>
    <w:rsid w:val="0089012E"/>
    <w:rsid w:val="0089082D"/>
    <w:rsid w:val="00891E6F"/>
    <w:rsid w:val="00892416"/>
    <w:rsid w:val="00892505"/>
    <w:rsid w:val="0089275D"/>
    <w:rsid w:val="00892934"/>
    <w:rsid w:val="00892A36"/>
    <w:rsid w:val="00893195"/>
    <w:rsid w:val="00893239"/>
    <w:rsid w:val="00894489"/>
    <w:rsid w:val="00894583"/>
    <w:rsid w:val="008949EA"/>
    <w:rsid w:val="00894CD6"/>
    <w:rsid w:val="008963A5"/>
    <w:rsid w:val="00896D5D"/>
    <w:rsid w:val="008975CE"/>
    <w:rsid w:val="0089788A"/>
    <w:rsid w:val="008A0068"/>
    <w:rsid w:val="008A1243"/>
    <w:rsid w:val="008A1882"/>
    <w:rsid w:val="008A2777"/>
    <w:rsid w:val="008A3158"/>
    <w:rsid w:val="008A3201"/>
    <w:rsid w:val="008A3363"/>
    <w:rsid w:val="008A3371"/>
    <w:rsid w:val="008A3C01"/>
    <w:rsid w:val="008A3C3E"/>
    <w:rsid w:val="008A5187"/>
    <w:rsid w:val="008A51C8"/>
    <w:rsid w:val="008A5613"/>
    <w:rsid w:val="008A5DF9"/>
    <w:rsid w:val="008A6B88"/>
    <w:rsid w:val="008A79DE"/>
    <w:rsid w:val="008B06BD"/>
    <w:rsid w:val="008B1757"/>
    <w:rsid w:val="008B1C33"/>
    <w:rsid w:val="008B2177"/>
    <w:rsid w:val="008B2B74"/>
    <w:rsid w:val="008B3905"/>
    <w:rsid w:val="008B4B6F"/>
    <w:rsid w:val="008B5697"/>
    <w:rsid w:val="008B6C07"/>
    <w:rsid w:val="008B7706"/>
    <w:rsid w:val="008B7733"/>
    <w:rsid w:val="008B7992"/>
    <w:rsid w:val="008B7D7E"/>
    <w:rsid w:val="008B7D9A"/>
    <w:rsid w:val="008C0923"/>
    <w:rsid w:val="008C1812"/>
    <w:rsid w:val="008C1E5D"/>
    <w:rsid w:val="008C21A2"/>
    <w:rsid w:val="008C45EB"/>
    <w:rsid w:val="008C4B7D"/>
    <w:rsid w:val="008C5610"/>
    <w:rsid w:val="008C5714"/>
    <w:rsid w:val="008C5739"/>
    <w:rsid w:val="008C634B"/>
    <w:rsid w:val="008C7282"/>
    <w:rsid w:val="008C7ECB"/>
    <w:rsid w:val="008D1693"/>
    <w:rsid w:val="008D1DD5"/>
    <w:rsid w:val="008D22F5"/>
    <w:rsid w:val="008D2E46"/>
    <w:rsid w:val="008D3B86"/>
    <w:rsid w:val="008D43FD"/>
    <w:rsid w:val="008D4433"/>
    <w:rsid w:val="008D4755"/>
    <w:rsid w:val="008D47A2"/>
    <w:rsid w:val="008D4C3D"/>
    <w:rsid w:val="008D642E"/>
    <w:rsid w:val="008D743C"/>
    <w:rsid w:val="008D7D48"/>
    <w:rsid w:val="008E056E"/>
    <w:rsid w:val="008E076A"/>
    <w:rsid w:val="008E0D3C"/>
    <w:rsid w:val="008E1280"/>
    <w:rsid w:val="008E1B9E"/>
    <w:rsid w:val="008E1D85"/>
    <w:rsid w:val="008E2F94"/>
    <w:rsid w:val="008E37BF"/>
    <w:rsid w:val="008E39DE"/>
    <w:rsid w:val="008E531B"/>
    <w:rsid w:val="008E55AB"/>
    <w:rsid w:val="008E56FE"/>
    <w:rsid w:val="008E5742"/>
    <w:rsid w:val="008E7D88"/>
    <w:rsid w:val="008F0508"/>
    <w:rsid w:val="008F1022"/>
    <w:rsid w:val="008F120A"/>
    <w:rsid w:val="008F1925"/>
    <w:rsid w:val="008F1DF0"/>
    <w:rsid w:val="008F27E0"/>
    <w:rsid w:val="008F2E47"/>
    <w:rsid w:val="008F3069"/>
    <w:rsid w:val="008F3DDE"/>
    <w:rsid w:val="008F4185"/>
    <w:rsid w:val="008F48EB"/>
    <w:rsid w:val="008F4946"/>
    <w:rsid w:val="008F4DDA"/>
    <w:rsid w:val="008F4EBB"/>
    <w:rsid w:val="008F4F0B"/>
    <w:rsid w:val="008F5046"/>
    <w:rsid w:val="008F5798"/>
    <w:rsid w:val="008F5A94"/>
    <w:rsid w:val="008F65F5"/>
    <w:rsid w:val="008F6D9B"/>
    <w:rsid w:val="008F7B84"/>
    <w:rsid w:val="008F7FDF"/>
    <w:rsid w:val="009005D3"/>
    <w:rsid w:val="0090317E"/>
    <w:rsid w:val="00904399"/>
    <w:rsid w:val="009046C4"/>
    <w:rsid w:val="00905B16"/>
    <w:rsid w:val="009062A5"/>
    <w:rsid w:val="00906C63"/>
    <w:rsid w:val="00907699"/>
    <w:rsid w:val="0091008D"/>
    <w:rsid w:val="00910A88"/>
    <w:rsid w:val="00910FA7"/>
    <w:rsid w:val="00911272"/>
    <w:rsid w:val="00911339"/>
    <w:rsid w:val="0091211D"/>
    <w:rsid w:val="00912821"/>
    <w:rsid w:val="00913460"/>
    <w:rsid w:val="009135D6"/>
    <w:rsid w:val="009138FD"/>
    <w:rsid w:val="00914200"/>
    <w:rsid w:val="00914C77"/>
    <w:rsid w:val="00914DDB"/>
    <w:rsid w:val="00915410"/>
    <w:rsid w:val="0091588B"/>
    <w:rsid w:val="00915D11"/>
    <w:rsid w:val="00921ACB"/>
    <w:rsid w:val="00921BD5"/>
    <w:rsid w:val="00922055"/>
    <w:rsid w:val="0092213B"/>
    <w:rsid w:val="0092369B"/>
    <w:rsid w:val="00923857"/>
    <w:rsid w:val="0092495A"/>
    <w:rsid w:val="00924F01"/>
    <w:rsid w:val="009263A5"/>
    <w:rsid w:val="00927393"/>
    <w:rsid w:val="00927E49"/>
    <w:rsid w:val="00930321"/>
    <w:rsid w:val="0093051D"/>
    <w:rsid w:val="00930D1C"/>
    <w:rsid w:val="00930D55"/>
    <w:rsid w:val="00932529"/>
    <w:rsid w:val="0093392B"/>
    <w:rsid w:val="00933A81"/>
    <w:rsid w:val="00934360"/>
    <w:rsid w:val="00934988"/>
    <w:rsid w:val="00934B51"/>
    <w:rsid w:val="00935064"/>
    <w:rsid w:val="00937089"/>
    <w:rsid w:val="009375FF"/>
    <w:rsid w:val="00937B2C"/>
    <w:rsid w:val="00937BCE"/>
    <w:rsid w:val="00941004"/>
    <w:rsid w:val="009412AA"/>
    <w:rsid w:val="0094185D"/>
    <w:rsid w:val="00941A59"/>
    <w:rsid w:val="00942A1F"/>
    <w:rsid w:val="00943292"/>
    <w:rsid w:val="00943E0A"/>
    <w:rsid w:val="0094442F"/>
    <w:rsid w:val="009446F9"/>
    <w:rsid w:val="00944EC1"/>
    <w:rsid w:val="00944F8A"/>
    <w:rsid w:val="00945160"/>
    <w:rsid w:val="00947AB2"/>
    <w:rsid w:val="009510A2"/>
    <w:rsid w:val="00952455"/>
    <w:rsid w:val="009526EE"/>
    <w:rsid w:val="00952B6D"/>
    <w:rsid w:val="00952DD6"/>
    <w:rsid w:val="00953257"/>
    <w:rsid w:val="00953A2E"/>
    <w:rsid w:val="009544D1"/>
    <w:rsid w:val="0095474C"/>
    <w:rsid w:val="00954B83"/>
    <w:rsid w:val="00955C10"/>
    <w:rsid w:val="0095641B"/>
    <w:rsid w:val="009575C4"/>
    <w:rsid w:val="00957D92"/>
    <w:rsid w:val="009607BE"/>
    <w:rsid w:val="009607F6"/>
    <w:rsid w:val="00961621"/>
    <w:rsid w:val="00961869"/>
    <w:rsid w:val="00962CB9"/>
    <w:rsid w:val="00963113"/>
    <w:rsid w:val="009637F5"/>
    <w:rsid w:val="00964312"/>
    <w:rsid w:val="0096449E"/>
    <w:rsid w:val="00965320"/>
    <w:rsid w:val="00965B8A"/>
    <w:rsid w:val="00965E05"/>
    <w:rsid w:val="00966703"/>
    <w:rsid w:val="00966844"/>
    <w:rsid w:val="00966F2B"/>
    <w:rsid w:val="009679EF"/>
    <w:rsid w:val="0097071F"/>
    <w:rsid w:val="009717AC"/>
    <w:rsid w:val="00971DF9"/>
    <w:rsid w:val="00972C44"/>
    <w:rsid w:val="00973610"/>
    <w:rsid w:val="00973842"/>
    <w:rsid w:val="00973B75"/>
    <w:rsid w:val="009751C1"/>
    <w:rsid w:val="00975F6A"/>
    <w:rsid w:val="009762AF"/>
    <w:rsid w:val="009763E3"/>
    <w:rsid w:val="00976469"/>
    <w:rsid w:val="00980846"/>
    <w:rsid w:val="009808FC"/>
    <w:rsid w:val="009811F1"/>
    <w:rsid w:val="00981D15"/>
    <w:rsid w:val="00982C1F"/>
    <w:rsid w:val="00983E57"/>
    <w:rsid w:val="00984FD6"/>
    <w:rsid w:val="009856B3"/>
    <w:rsid w:val="00985DE2"/>
    <w:rsid w:val="0098675D"/>
    <w:rsid w:val="00986869"/>
    <w:rsid w:val="009877A2"/>
    <w:rsid w:val="00987BA4"/>
    <w:rsid w:val="00990644"/>
    <w:rsid w:val="00990E38"/>
    <w:rsid w:val="00991370"/>
    <w:rsid w:val="009926E0"/>
    <w:rsid w:val="00993526"/>
    <w:rsid w:val="0099451E"/>
    <w:rsid w:val="00994F3E"/>
    <w:rsid w:val="00995214"/>
    <w:rsid w:val="00996B1A"/>
    <w:rsid w:val="00997D54"/>
    <w:rsid w:val="009A18F6"/>
    <w:rsid w:val="009A1F06"/>
    <w:rsid w:val="009A2DCC"/>
    <w:rsid w:val="009A35E4"/>
    <w:rsid w:val="009A599D"/>
    <w:rsid w:val="009A5ABC"/>
    <w:rsid w:val="009A7F10"/>
    <w:rsid w:val="009B0937"/>
    <w:rsid w:val="009B0BED"/>
    <w:rsid w:val="009B144A"/>
    <w:rsid w:val="009B2114"/>
    <w:rsid w:val="009B2162"/>
    <w:rsid w:val="009B2815"/>
    <w:rsid w:val="009B31D8"/>
    <w:rsid w:val="009B3B6E"/>
    <w:rsid w:val="009B3E26"/>
    <w:rsid w:val="009B46C0"/>
    <w:rsid w:val="009B4EF8"/>
    <w:rsid w:val="009B529F"/>
    <w:rsid w:val="009B530A"/>
    <w:rsid w:val="009B5532"/>
    <w:rsid w:val="009B5A71"/>
    <w:rsid w:val="009B5A92"/>
    <w:rsid w:val="009B604C"/>
    <w:rsid w:val="009B7D71"/>
    <w:rsid w:val="009C1271"/>
    <w:rsid w:val="009C2A3C"/>
    <w:rsid w:val="009C3706"/>
    <w:rsid w:val="009C37DB"/>
    <w:rsid w:val="009C3A3A"/>
    <w:rsid w:val="009C455F"/>
    <w:rsid w:val="009C59B1"/>
    <w:rsid w:val="009C6802"/>
    <w:rsid w:val="009C6BE9"/>
    <w:rsid w:val="009C6CEA"/>
    <w:rsid w:val="009C7B85"/>
    <w:rsid w:val="009C7FDA"/>
    <w:rsid w:val="009D0254"/>
    <w:rsid w:val="009D16C8"/>
    <w:rsid w:val="009D1A64"/>
    <w:rsid w:val="009D1F6A"/>
    <w:rsid w:val="009D3AB7"/>
    <w:rsid w:val="009D449F"/>
    <w:rsid w:val="009D48BA"/>
    <w:rsid w:val="009D5878"/>
    <w:rsid w:val="009D5B91"/>
    <w:rsid w:val="009D6A56"/>
    <w:rsid w:val="009D6BBD"/>
    <w:rsid w:val="009D739F"/>
    <w:rsid w:val="009D792E"/>
    <w:rsid w:val="009E00D4"/>
    <w:rsid w:val="009E0DFE"/>
    <w:rsid w:val="009E14CA"/>
    <w:rsid w:val="009E31F6"/>
    <w:rsid w:val="009E351A"/>
    <w:rsid w:val="009E4C07"/>
    <w:rsid w:val="009E7475"/>
    <w:rsid w:val="009E777F"/>
    <w:rsid w:val="009E7840"/>
    <w:rsid w:val="009F0980"/>
    <w:rsid w:val="009F0BDA"/>
    <w:rsid w:val="009F1022"/>
    <w:rsid w:val="009F1059"/>
    <w:rsid w:val="009F111E"/>
    <w:rsid w:val="009F13BE"/>
    <w:rsid w:val="009F2173"/>
    <w:rsid w:val="009F2771"/>
    <w:rsid w:val="009F3D58"/>
    <w:rsid w:val="009F3FFC"/>
    <w:rsid w:val="009F5306"/>
    <w:rsid w:val="009F605C"/>
    <w:rsid w:val="009F6120"/>
    <w:rsid w:val="009F7729"/>
    <w:rsid w:val="00A00D76"/>
    <w:rsid w:val="00A01184"/>
    <w:rsid w:val="00A01449"/>
    <w:rsid w:val="00A025F6"/>
    <w:rsid w:val="00A02D73"/>
    <w:rsid w:val="00A0308F"/>
    <w:rsid w:val="00A03139"/>
    <w:rsid w:val="00A037C2"/>
    <w:rsid w:val="00A03C4F"/>
    <w:rsid w:val="00A03D43"/>
    <w:rsid w:val="00A04072"/>
    <w:rsid w:val="00A04380"/>
    <w:rsid w:val="00A04786"/>
    <w:rsid w:val="00A04AEE"/>
    <w:rsid w:val="00A05472"/>
    <w:rsid w:val="00A057FA"/>
    <w:rsid w:val="00A05C32"/>
    <w:rsid w:val="00A0653F"/>
    <w:rsid w:val="00A06D5B"/>
    <w:rsid w:val="00A06F38"/>
    <w:rsid w:val="00A0787D"/>
    <w:rsid w:val="00A1018E"/>
    <w:rsid w:val="00A10ED0"/>
    <w:rsid w:val="00A11AEF"/>
    <w:rsid w:val="00A11CD0"/>
    <w:rsid w:val="00A13491"/>
    <w:rsid w:val="00A13948"/>
    <w:rsid w:val="00A13ACA"/>
    <w:rsid w:val="00A13C00"/>
    <w:rsid w:val="00A143AE"/>
    <w:rsid w:val="00A1446E"/>
    <w:rsid w:val="00A1457C"/>
    <w:rsid w:val="00A14FBB"/>
    <w:rsid w:val="00A1555B"/>
    <w:rsid w:val="00A155C5"/>
    <w:rsid w:val="00A160B6"/>
    <w:rsid w:val="00A16AD8"/>
    <w:rsid w:val="00A20122"/>
    <w:rsid w:val="00A2021E"/>
    <w:rsid w:val="00A203B7"/>
    <w:rsid w:val="00A21719"/>
    <w:rsid w:val="00A21947"/>
    <w:rsid w:val="00A21C95"/>
    <w:rsid w:val="00A21CF3"/>
    <w:rsid w:val="00A22FEF"/>
    <w:rsid w:val="00A230A1"/>
    <w:rsid w:val="00A234F6"/>
    <w:rsid w:val="00A23634"/>
    <w:rsid w:val="00A24813"/>
    <w:rsid w:val="00A248A3"/>
    <w:rsid w:val="00A24D36"/>
    <w:rsid w:val="00A264D7"/>
    <w:rsid w:val="00A266BE"/>
    <w:rsid w:val="00A27035"/>
    <w:rsid w:val="00A2736A"/>
    <w:rsid w:val="00A2775E"/>
    <w:rsid w:val="00A27AEC"/>
    <w:rsid w:val="00A30BA8"/>
    <w:rsid w:val="00A311EC"/>
    <w:rsid w:val="00A320DB"/>
    <w:rsid w:val="00A32A35"/>
    <w:rsid w:val="00A34040"/>
    <w:rsid w:val="00A3451B"/>
    <w:rsid w:val="00A35D16"/>
    <w:rsid w:val="00A3679A"/>
    <w:rsid w:val="00A3756D"/>
    <w:rsid w:val="00A375BD"/>
    <w:rsid w:val="00A37BCD"/>
    <w:rsid w:val="00A37EFD"/>
    <w:rsid w:val="00A406AF"/>
    <w:rsid w:val="00A407B1"/>
    <w:rsid w:val="00A41689"/>
    <w:rsid w:val="00A41B02"/>
    <w:rsid w:val="00A41B2E"/>
    <w:rsid w:val="00A42068"/>
    <w:rsid w:val="00A42473"/>
    <w:rsid w:val="00A42592"/>
    <w:rsid w:val="00A43B67"/>
    <w:rsid w:val="00A43BC0"/>
    <w:rsid w:val="00A43C59"/>
    <w:rsid w:val="00A44A40"/>
    <w:rsid w:val="00A44CFB"/>
    <w:rsid w:val="00A44DEE"/>
    <w:rsid w:val="00A45044"/>
    <w:rsid w:val="00A451C9"/>
    <w:rsid w:val="00A45DED"/>
    <w:rsid w:val="00A45F5F"/>
    <w:rsid w:val="00A463E6"/>
    <w:rsid w:val="00A46588"/>
    <w:rsid w:val="00A46CE3"/>
    <w:rsid w:val="00A50BAD"/>
    <w:rsid w:val="00A50C93"/>
    <w:rsid w:val="00A50ECD"/>
    <w:rsid w:val="00A512FE"/>
    <w:rsid w:val="00A51724"/>
    <w:rsid w:val="00A51776"/>
    <w:rsid w:val="00A518F3"/>
    <w:rsid w:val="00A525A3"/>
    <w:rsid w:val="00A526B5"/>
    <w:rsid w:val="00A52729"/>
    <w:rsid w:val="00A534F7"/>
    <w:rsid w:val="00A53675"/>
    <w:rsid w:val="00A538FD"/>
    <w:rsid w:val="00A5494D"/>
    <w:rsid w:val="00A54B33"/>
    <w:rsid w:val="00A55482"/>
    <w:rsid w:val="00A564D7"/>
    <w:rsid w:val="00A56B6A"/>
    <w:rsid w:val="00A5789C"/>
    <w:rsid w:val="00A578DC"/>
    <w:rsid w:val="00A60A96"/>
    <w:rsid w:val="00A614B5"/>
    <w:rsid w:val="00A61C0F"/>
    <w:rsid w:val="00A622DC"/>
    <w:rsid w:val="00A62320"/>
    <w:rsid w:val="00A640E2"/>
    <w:rsid w:val="00A64D65"/>
    <w:rsid w:val="00A660D6"/>
    <w:rsid w:val="00A6721F"/>
    <w:rsid w:val="00A6725B"/>
    <w:rsid w:val="00A67F18"/>
    <w:rsid w:val="00A70564"/>
    <w:rsid w:val="00A70605"/>
    <w:rsid w:val="00A707B9"/>
    <w:rsid w:val="00A71D18"/>
    <w:rsid w:val="00A72CA2"/>
    <w:rsid w:val="00A72D2C"/>
    <w:rsid w:val="00A73110"/>
    <w:rsid w:val="00A73134"/>
    <w:rsid w:val="00A7365A"/>
    <w:rsid w:val="00A73C1F"/>
    <w:rsid w:val="00A7420A"/>
    <w:rsid w:val="00A755EC"/>
    <w:rsid w:val="00A75C2B"/>
    <w:rsid w:val="00A76001"/>
    <w:rsid w:val="00A76954"/>
    <w:rsid w:val="00A777B2"/>
    <w:rsid w:val="00A802AE"/>
    <w:rsid w:val="00A8033D"/>
    <w:rsid w:val="00A810C5"/>
    <w:rsid w:val="00A811F6"/>
    <w:rsid w:val="00A81682"/>
    <w:rsid w:val="00A8189E"/>
    <w:rsid w:val="00A8200D"/>
    <w:rsid w:val="00A825D4"/>
    <w:rsid w:val="00A828F6"/>
    <w:rsid w:val="00A82B73"/>
    <w:rsid w:val="00A832C9"/>
    <w:rsid w:val="00A8399E"/>
    <w:rsid w:val="00A84EEC"/>
    <w:rsid w:val="00A8506A"/>
    <w:rsid w:val="00A8620B"/>
    <w:rsid w:val="00A866D1"/>
    <w:rsid w:val="00A86E8B"/>
    <w:rsid w:val="00A87164"/>
    <w:rsid w:val="00A8734D"/>
    <w:rsid w:val="00A90E18"/>
    <w:rsid w:val="00A90F83"/>
    <w:rsid w:val="00A91764"/>
    <w:rsid w:val="00A927D5"/>
    <w:rsid w:val="00A92E98"/>
    <w:rsid w:val="00A92FB5"/>
    <w:rsid w:val="00A93072"/>
    <w:rsid w:val="00A93519"/>
    <w:rsid w:val="00A938BD"/>
    <w:rsid w:val="00A93953"/>
    <w:rsid w:val="00A94E92"/>
    <w:rsid w:val="00A959D8"/>
    <w:rsid w:val="00A95CD8"/>
    <w:rsid w:val="00A95EDC"/>
    <w:rsid w:val="00A96550"/>
    <w:rsid w:val="00A9680E"/>
    <w:rsid w:val="00A97BC8"/>
    <w:rsid w:val="00AA0D61"/>
    <w:rsid w:val="00AA113D"/>
    <w:rsid w:val="00AA1327"/>
    <w:rsid w:val="00AA149C"/>
    <w:rsid w:val="00AA1A14"/>
    <w:rsid w:val="00AA4202"/>
    <w:rsid w:val="00AA44D7"/>
    <w:rsid w:val="00AA4EE3"/>
    <w:rsid w:val="00AA5060"/>
    <w:rsid w:val="00AA5D09"/>
    <w:rsid w:val="00AA6AB8"/>
    <w:rsid w:val="00AA6BD5"/>
    <w:rsid w:val="00AA6BD8"/>
    <w:rsid w:val="00AA6C7D"/>
    <w:rsid w:val="00AA7383"/>
    <w:rsid w:val="00AA7FD6"/>
    <w:rsid w:val="00AB01CE"/>
    <w:rsid w:val="00AB042A"/>
    <w:rsid w:val="00AB11AD"/>
    <w:rsid w:val="00AB1405"/>
    <w:rsid w:val="00AB19EF"/>
    <w:rsid w:val="00AB1FE9"/>
    <w:rsid w:val="00AB2495"/>
    <w:rsid w:val="00AB2D34"/>
    <w:rsid w:val="00AB3430"/>
    <w:rsid w:val="00AB37B9"/>
    <w:rsid w:val="00AB40B1"/>
    <w:rsid w:val="00AB4856"/>
    <w:rsid w:val="00AB4AD1"/>
    <w:rsid w:val="00AB50FE"/>
    <w:rsid w:val="00AB5E07"/>
    <w:rsid w:val="00AB5E8F"/>
    <w:rsid w:val="00AB60DE"/>
    <w:rsid w:val="00AB636E"/>
    <w:rsid w:val="00AB7041"/>
    <w:rsid w:val="00AB714D"/>
    <w:rsid w:val="00AB780C"/>
    <w:rsid w:val="00AB7832"/>
    <w:rsid w:val="00AB7CFA"/>
    <w:rsid w:val="00AC01A6"/>
    <w:rsid w:val="00AC044B"/>
    <w:rsid w:val="00AC074A"/>
    <w:rsid w:val="00AC1751"/>
    <w:rsid w:val="00AC20ED"/>
    <w:rsid w:val="00AC26B6"/>
    <w:rsid w:val="00AC363F"/>
    <w:rsid w:val="00AC3C24"/>
    <w:rsid w:val="00AC45F9"/>
    <w:rsid w:val="00AC4B5F"/>
    <w:rsid w:val="00AC4E4D"/>
    <w:rsid w:val="00AC5288"/>
    <w:rsid w:val="00AC55D6"/>
    <w:rsid w:val="00AC5B42"/>
    <w:rsid w:val="00AC5B48"/>
    <w:rsid w:val="00AD1450"/>
    <w:rsid w:val="00AD148D"/>
    <w:rsid w:val="00AD15E8"/>
    <w:rsid w:val="00AD356D"/>
    <w:rsid w:val="00AD479D"/>
    <w:rsid w:val="00AD4B69"/>
    <w:rsid w:val="00AD5612"/>
    <w:rsid w:val="00AD5626"/>
    <w:rsid w:val="00AD6502"/>
    <w:rsid w:val="00AE0695"/>
    <w:rsid w:val="00AE1498"/>
    <w:rsid w:val="00AE19A0"/>
    <w:rsid w:val="00AE232C"/>
    <w:rsid w:val="00AE2599"/>
    <w:rsid w:val="00AE3E7E"/>
    <w:rsid w:val="00AE627C"/>
    <w:rsid w:val="00AE7988"/>
    <w:rsid w:val="00AE7E53"/>
    <w:rsid w:val="00AF01A3"/>
    <w:rsid w:val="00AF125A"/>
    <w:rsid w:val="00AF1315"/>
    <w:rsid w:val="00AF19BF"/>
    <w:rsid w:val="00AF27B8"/>
    <w:rsid w:val="00AF2DC3"/>
    <w:rsid w:val="00AF46F5"/>
    <w:rsid w:val="00AF4716"/>
    <w:rsid w:val="00AF4F87"/>
    <w:rsid w:val="00AF507F"/>
    <w:rsid w:val="00AF55D7"/>
    <w:rsid w:val="00AF6319"/>
    <w:rsid w:val="00AF74F7"/>
    <w:rsid w:val="00B002FA"/>
    <w:rsid w:val="00B00865"/>
    <w:rsid w:val="00B00A11"/>
    <w:rsid w:val="00B028B2"/>
    <w:rsid w:val="00B033E5"/>
    <w:rsid w:val="00B03A63"/>
    <w:rsid w:val="00B03F94"/>
    <w:rsid w:val="00B069B9"/>
    <w:rsid w:val="00B106A1"/>
    <w:rsid w:val="00B1086B"/>
    <w:rsid w:val="00B11C88"/>
    <w:rsid w:val="00B11DE1"/>
    <w:rsid w:val="00B127BF"/>
    <w:rsid w:val="00B129A4"/>
    <w:rsid w:val="00B13412"/>
    <w:rsid w:val="00B14912"/>
    <w:rsid w:val="00B1553C"/>
    <w:rsid w:val="00B15BD3"/>
    <w:rsid w:val="00B16431"/>
    <w:rsid w:val="00B164D3"/>
    <w:rsid w:val="00B173D2"/>
    <w:rsid w:val="00B17452"/>
    <w:rsid w:val="00B201A4"/>
    <w:rsid w:val="00B201D1"/>
    <w:rsid w:val="00B208AD"/>
    <w:rsid w:val="00B20FE1"/>
    <w:rsid w:val="00B213A6"/>
    <w:rsid w:val="00B227A3"/>
    <w:rsid w:val="00B235B0"/>
    <w:rsid w:val="00B23F52"/>
    <w:rsid w:val="00B24558"/>
    <w:rsid w:val="00B24732"/>
    <w:rsid w:val="00B24BBC"/>
    <w:rsid w:val="00B24DF6"/>
    <w:rsid w:val="00B25C21"/>
    <w:rsid w:val="00B263A2"/>
    <w:rsid w:val="00B2739E"/>
    <w:rsid w:val="00B27A61"/>
    <w:rsid w:val="00B30A4A"/>
    <w:rsid w:val="00B31CD7"/>
    <w:rsid w:val="00B31F66"/>
    <w:rsid w:val="00B32887"/>
    <w:rsid w:val="00B32C27"/>
    <w:rsid w:val="00B334B2"/>
    <w:rsid w:val="00B335CC"/>
    <w:rsid w:val="00B34FE2"/>
    <w:rsid w:val="00B35166"/>
    <w:rsid w:val="00B357D8"/>
    <w:rsid w:val="00B36074"/>
    <w:rsid w:val="00B360F4"/>
    <w:rsid w:val="00B36628"/>
    <w:rsid w:val="00B36A00"/>
    <w:rsid w:val="00B3762A"/>
    <w:rsid w:val="00B37884"/>
    <w:rsid w:val="00B378C6"/>
    <w:rsid w:val="00B3792B"/>
    <w:rsid w:val="00B37BFC"/>
    <w:rsid w:val="00B40358"/>
    <w:rsid w:val="00B41614"/>
    <w:rsid w:val="00B42851"/>
    <w:rsid w:val="00B42A33"/>
    <w:rsid w:val="00B42F80"/>
    <w:rsid w:val="00B43143"/>
    <w:rsid w:val="00B433BB"/>
    <w:rsid w:val="00B435CB"/>
    <w:rsid w:val="00B4403A"/>
    <w:rsid w:val="00B44C41"/>
    <w:rsid w:val="00B45956"/>
    <w:rsid w:val="00B46113"/>
    <w:rsid w:val="00B465EC"/>
    <w:rsid w:val="00B467F5"/>
    <w:rsid w:val="00B46AD1"/>
    <w:rsid w:val="00B47183"/>
    <w:rsid w:val="00B47338"/>
    <w:rsid w:val="00B505C8"/>
    <w:rsid w:val="00B50DB8"/>
    <w:rsid w:val="00B51441"/>
    <w:rsid w:val="00B521BF"/>
    <w:rsid w:val="00B52306"/>
    <w:rsid w:val="00B53244"/>
    <w:rsid w:val="00B53654"/>
    <w:rsid w:val="00B53905"/>
    <w:rsid w:val="00B546DB"/>
    <w:rsid w:val="00B54B5B"/>
    <w:rsid w:val="00B5562E"/>
    <w:rsid w:val="00B55862"/>
    <w:rsid w:val="00B55D65"/>
    <w:rsid w:val="00B56305"/>
    <w:rsid w:val="00B57000"/>
    <w:rsid w:val="00B5747E"/>
    <w:rsid w:val="00B5783B"/>
    <w:rsid w:val="00B60939"/>
    <w:rsid w:val="00B60AFD"/>
    <w:rsid w:val="00B61769"/>
    <w:rsid w:val="00B61C99"/>
    <w:rsid w:val="00B6211F"/>
    <w:rsid w:val="00B62715"/>
    <w:rsid w:val="00B628AA"/>
    <w:rsid w:val="00B62BB5"/>
    <w:rsid w:val="00B62E2A"/>
    <w:rsid w:val="00B63225"/>
    <w:rsid w:val="00B637DE"/>
    <w:rsid w:val="00B648BC"/>
    <w:rsid w:val="00B65611"/>
    <w:rsid w:val="00B65A79"/>
    <w:rsid w:val="00B664F6"/>
    <w:rsid w:val="00B665E6"/>
    <w:rsid w:val="00B66A6C"/>
    <w:rsid w:val="00B67897"/>
    <w:rsid w:val="00B70CCE"/>
    <w:rsid w:val="00B70E8E"/>
    <w:rsid w:val="00B72C7D"/>
    <w:rsid w:val="00B73E4E"/>
    <w:rsid w:val="00B7450B"/>
    <w:rsid w:val="00B74621"/>
    <w:rsid w:val="00B74B43"/>
    <w:rsid w:val="00B766EF"/>
    <w:rsid w:val="00B76C92"/>
    <w:rsid w:val="00B76E59"/>
    <w:rsid w:val="00B7730F"/>
    <w:rsid w:val="00B775E2"/>
    <w:rsid w:val="00B777C8"/>
    <w:rsid w:val="00B80BB2"/>
    <w:rsid w:val="00B80D0D"/>
    <w:rsid w:val="00B80EFD"/>
    <w:rsid w:val="00B81383"/>
    <w:rsid w:val="00B818A4"/>
    <w:rsid w:val="00B82A97"/>
    <w:rsid w:val="00B82CA5"/>
    <w:rsid w:val="00B83739"/>
    <w:rsid w:val="00B84117"/>
    <w:rsid w:val="00B858F0"/>
    <w:rsid w:val="00B85AA2"/>
    <w:rsid w:val="00B85D16"/>
    <w:rsid w:val="00B8637A"/>
    <w:rsid w:val="00B8649C"/>
    <w:rsid w:val="00B86526"/>
    <w:rsid w:val="00B8695D"/>
    <w:rsid w:val="00B8797A"/>
    <w:rsid w:val="00B87F0A"/>
    <w:rsid w:val="00B90230"/>
    <w:rsid w:val="00B907CE"/>
    <w:rsid w:val="00B90D4D"/>
    <w:rsid w:val="00B91ABA"/>
    <w:rsid w:val="00B92D0B"/>
    <w:rsid w:val="00B9363E"/>
    <w:rsid w:val="00B93777"/>
    <w:rsid w:val="00B940B8"/>
    <w:rsid w:val="00B9463A"/>
    <w:rsid w:val="00B94945"/>
    <w:rsid w:val="00B94979"/>
    <w:rsid w:val="00B94DD6"/>
    <w:rsid w:val="00B952A5"/>
    <w:rsid w:val="00B95430"/>
    <w:rsid w:val="00B95EE0"/>
    <w:rsid w:val="00B9742B"/>
    <w:rsid w:val="00B97B68"/>
    <w:rsid w:val="00BA0BD4"/>
    <w:rsid w:val="00BA0BF0"/>
    <w:rsid w:val="00BA2562"/>
    <w:rsid w:val="00BA3030"/>
    <w:rsid w:val="00BA322D"/>
    <w:rsid w:val="00BA3586"/>
    <w:rsid w:val="00BA44B0"/>
    <w:rsid w:val="00BA4539"/>
    <w:rsid w:val="00BA5033"/>
    <w:rsid w:val="00BA569F"/>
    <w:rsid w:val="00BA63FA"/>
    <w:rsid w:val="00BA641F"/>
    <w:rsid w:val="00BA6976"/>
    <w:rsid w:val="00BB00B3"/>
    <w:rsid w:val="00BB07B6"/>
    <w:rsid w:val="00BB0AA9"/>
    <w:rsid w:val="00BB0B5C"/>
    <w:rsid w:val="00BB0BDD"/>
    <w:rsid w:val="00BB109D"/>
    <w:rsid w:val="00BB176C"/>
    <w:rsid w:val="00BB1D5D"/>
    <w:rsid w:val="00BB2A73"/>
    <w:rsid w:val="00BB2B78"/>
    <w:rsid w:val="00BB2D33"/>
    <w:rsid w:val="00BB3171"/>
    <w:rsid w:val="00BB340E"/>
    <w:rsid w:val="00BB3A45"/>
    <w:rsid w:val="00BB3ABA"/>
    <w:rsid w:val="00BB42E9"/>
    <w:rsid w:val="00BB459E"/>
    <w:rsid w:val="00BB4873"/>
    <w:rsid w:val="00BB4ACC"/>
    <w:rsid w:val="00BB62DB"/>
    <w:rsid w:val="00BB703E"/>
    <w:rsid w:val="00BB707F"/>
    <w:rsid w:val="00BB732D"/>
    <w:rsid w:val="00BB7405"/>
    <w:rsid w:val="00BB7A70"/>
    <w:rsid w:val="00BC05AC"/>
    <w:rsid w:val="00BC19CC"/>
    <w:rsid w:val="00BC34AD"/>
    <w:rsid w:val="00BC3631"/>
    <w:rsid w:val="00BC49C5"/>
    <w:rsid w:val="00BC591F"/>
    <w:rsid w:val="00BC5F7C"/>
    <w:rsid w:val="00BC6E3B"/>
    <w:rsid w:val="00BC7D6D"/>
    <w:rsid w:val="00BD06C5"/>
    <w:rsid w:val="00BD0BB6"/>
    <w:rsid w:val="00BD0F21"/>
    <w:rsid w:val="00BD1299"/>
    <w:rsid w:val="00BD188D"/>
    <w:rsid w:val="00BD1E40"/>
    <w:rsid w:val="00BD2108"/>
    <w:rsid w:val="00BD23E8"/>
    <w:rsid w:val="00BD3013"/>
    <w:rsid w:val="00BD30BC"/>
    <w:rsid w:val="00BD427A"/>
    <w:rsid w:val="00BD44B1"/>
    <w:rsid w:val="00BD5335"/>
    <w:rsid w:val="00BD5ABC"/>
    <w:rsid w:val="00BD68A3"/>
    <w:rsid w:val="00BD6938"/>
    <w:rsid w:val="00BD6CF3"/>
    <w:rsid w:val="00BD7072"/>
    <w:rsid w:val="00BD7F72"/>
    <w:rsid w:val="00BE0ECA"/>
    <w:rsid w:val="00BE14B8"/>
    <w:rsid w:val="00BE1555"/>
    <w:rsid w:val="00BE1A32"/>
    <w:rsid w:val="00BE2180"/>
    <w:rsid w:val="00BE21F2"/>
    <w:rsid w:val="00BE29D3"/>
    <w:rsid w:val="00BE2C75"/>
    <w:rsid w:val="00BE3E26"/>
    <w:rsid w:val="00BE4275"/>
    <w:rsid w:val="00BE4A95"/>
    <w:rsid w:val="00BE568F"/>
    <w:rsid w:val="00BE5FFF"/>
    <w:rsid w:val="00BE68F4"/>
    <w:rsid w:val="00BE7230"/>
    <w:rsid w:val="00BF05CB"/>
    <w:rsid w:val="00BF06AE"/>
    <w:rsid w:val="00BF0E37"/>
    <w:rsid w:val="00BF0F95"/>
    <w:rsid w:val="00BF2129"/>
    <w:rsid w:val="00BF22D2"/>
    <w:rsid w:val="00BF2433"/>
    <w:rsid w:val="00BF2E6E"/>
    <w:rsid w:val="00BF322F"/>
    <w:rsid w:val="00BF3617"/>
    <w:rsid w:val="00BF39F6"/>
    <w:rsid w:val="00BF417F"/>
    <w:rsid w:val="00BF4250"/>
    <w:rsid w:val="00BF5960"/>
    <w:rsid w:val="00BF61C9"/>
    <w:rsid w:val="00BF6C94"/>
    <w:rsid w:val="00C0034C"/>
    <w:rsid w:val="00C00424"/>
    <w:rsid w:val="00C0061E"/>
    <w:rsid w:val="00C00BB0"/>
    <w:rsid w:val="00C01839"/>
    <w:rsid w:val="00C032B3"/>
    <w:rsid w:val="00C03DB5"/>
    <w:rsid w:val="00C04C14"/>
    <w:rsid w:val="00C07398"/>
    <w:rsid w:val="00C074EB"/>
    <w:rsid w:val="00C1025E"/>
    <w:rsid w:val="00C1179F"/>
    <w:rsid w:val="00C11A17"/>
    <w:rsid w:val="00C12517"/>
    <w:rsid w:val="00C127B9"/>
    <w:rsid w:val="00C128FA"/>
    <w:rsid w:val="00C12C14"/>
    <w:rsid w:val="00C14467"/>
    <w:rsid w:val="00C14DC0"/>
    <w:rsid w:val="00C15F04"/>
    <w:rsid w:val="00C16A59"/>
    <w:rsid w:val="00C179B3"/>
    <w:rsid w:val="00C17B4C"/>
    <w:rsid w:val="00C17E3F"/>
    <w:rsid w:val="00C200AA"/>
    <w:rsid w:val="00C207E7"/>
    <w:rsid w:val="00C219D6"/>
    <w:rsid w:val="00C21FCB"/>
    <w:rsid w:val="00C2325E"/>
    <w:rsid w:val="00C23618"/>
    <w:rsid w:val="00C237ED"/>
    <w:rsid w:val="00C24632"/>
    <w:rsid w:val="00C25021"/>
    <w:rsid w:val="00C25418"/>
    <w:rsid w:val="00C25C42"/>
    <w:rsid w:val="00C25D9C"/>
    <w:rsid w:val="00C25F1D"/>
    <w:rsid w:val="00C26C6E"/>
    <w:rsid w:val="00C27403"/>
    <w:rsid w:val="00C2778B"/>
    <w:rsid w:val="00C27986"/>
    <w:rsid w:val="00C3002C"/>
    <w:rsid w:val="00C304B7"/>
    <w:rsid w:val="00C31498"/>
    <w:rsid w:val="00C31649"/>
    <w:rsid w:val="00C31E31"/>
    <w:rsid w:val="00C324D8"/>
    <w:rsid w:val="00C335C2"/>
    <w:rsid w:val="00C3434C"/>
    <w:rsid w:val="00C344C0"/>
    <w:rsid w:val="00C35804"/>
    <w:rsid w:val="00C3672F"/>
    <w:rsid w:val="00C40351"/>
    <w:rsid w:val="00C40385"/>
    <w:rsid w:val="00C40677"/>
    <w:rsid w:val="00C41768"/>
    <w:rsid w:val="00C41993"/>
    <w:rsid w:val="00C41DA0"/>
    <w:rsid w:val="00C42DE0"/>
    <w:rsid w:val="00C436EE"/>
    <w:rsid w:val="00C44097"/>
    <w:rsid w:val="00C44154"/>
    <w:rsid w:val="00C44812"/>
    <w:rsid w:val="00C45415"/>
    <w:rsid w:val="00C45F5B"/>
    <w:rsid w:val="00C45FEE"/>
    <w:rsid w:val="00C46721"/>
    <w:rsid w:val="00C46E27"/>
    <w:rsid w:val="00C46F3F"/>
    <w:rsid w:val="00C475AA"/>
    <w:rsid w:val="00C47B55"/>
    <w:rsid w:val="00C527C7"/>
    <w:rsid w:val="00C52C22"/>
    <w:rsid w:val="00C530A8"/>
    <w:rsid w:val="00C533CB"/>
    <w:rsid w:val="00C53C98"/>
    <w:rsid w:val="00C544B6"/>
    <w:rsid w:val="00C5468B"/>
    <w:rsid w:val="00C55FD9"/>
    <w:rsid w:val="00C56CBC"/>
    <w:rsid w:val="00C56E7F"/>
    <w:rsid w:val="00C56FCF"/>
    <w:rsid w:val="00C57B6C"/>
    <w:rsid w:val="00C61429"/>
    <w:rsid w:val="00C61567"/>
    <w:rsid w:val="00C61A59"/>
    <w:rsid w:val="00C628A6"/>
    <w:rsid w:val="00C63F3E"/>
    <w:rsid w:val="00C64344"/>
    <w:rsid w:val="00C648F8"/>
    <w:rsid w:val="00C6499E"/>
    <w:rsid w:val="00C65108"/>
    <w:rsid w:val="00C65576"/>
    <w:rsid w:val="00C66165"/>
    <w:rsid w:val="00C6713C"/>
    <w:rsid w:val="00C7060A"/>
    <w:rsid w:val="00C70D9D"/>
    <w:rsid w:val="00C7125D"/>
    <w:rsid w:val="00C7151A"/>
    <w:rsid w:val="00C717E3"/>
    <w:rsid w:val="00C71B39"/>
    <w:rsid w:val="00C71C0B"/>
    <w:rsid w:val="00C71ECB"/>
    <w:rsid w:val="00C71F60"/>
    <w:rsid w:val="00C72241"/>
    <w:rsid w:val="00C73646"/>
    <w:rsid w:val="00C73968"/>
    <w:rsid w:val="00C748E9"/>
    <w:rsid w:val="00C750C8"/>
    <w:rsid w:val="00C7529F"/>
    <w:rsid w:val="00C7560F"/>
    <w:rsid w:val="00C75EDE"/>
    <w:rsid w:val="00C7627E"/>
    <w:rsid w:val="00C80A0E"/>
    <w:rsid w:val="00C8213F"/>
    <w:rsid w:val="00C8303F"/>
    <w:rsid w:val="00C8390B"/>
    <w:rsid w:val="00C844D1"/>
    <w:rsid w:val="00C84E6D"/>
    <w:rsid w:val="00C85154"/>
    <w:rsid w:val="00C85A70"/>
    <w:rsid w:val="00C87391"/>
    <w:rsid w:val="00C877D7"/>
    <w:rsid w:val="00C8797A"/>
    <w:rsid w:val="00C87B1E"/>
    <w:rsid w:val="00C900B8"/>
    <w:rsid w:val="00C90197"/>
    <w:rsid w:val="00C90215"/>
    <w:rsid w:val="00C90C71"/>
    <w:rsid w:val="00C91875"/>
    <w:rsid w:val="00C91BAC"/>
    <w:rsid w:val="00C91FD1"/>
    <w:rsid w:val="00C931CF"/>
    <w:rsid w:val="00C93491"/>
    <w:rsid w:val="00C935D4"/>
    <w:rsid w:val="00C938CF"/>
    <w:rsid w:val="00C94053"/>
    <w:rsid w:val="00C95A94"/>
    <w:rsid w:val="00C95EDF"/>
    <w:rsid w:val="00C9624D"/>
    <w:rsid w:val="00C969DA"/>
    <w:rsid w:val="00C97D9D"/>
    <w:rsid w:val="00CA01B2"/>
    <w:rsid w:val="00CA18A2"/>
    <w:rsid w:val="00CA1D9B"/>
    <w:rsid w:val="00CA2230"/>
    <w:rsid w:val="00CA2C77"/>
    <w:rsid w:val="00CA32CF"/>
    <w:rsid w:val="00CA3CF3"/>
    <w:rsid w:val="00CA4432"/>
    <w:rsid w:val="00CA444F"/>
    <w:rsid w:val="00CA4A0C"/>
    <w:rsid w:val="00CA4A53"/>
    <w:rsid w:val="00CA501A"/>
    <w:rsid w:val="00CA5245"/>
    <w:rsid w:val="00CA5D84"/>
    <w:rsid w:val="00CA71F4"/>
    <w:rsid w:val="00CA7B09"/>
    <w:rsid w:val="00CB0964"/>
    <w:rsid w:val="00CB12A5"/>
    <w:rsid w:val="00CB1CAC"/>
    <w:rsid w:val="00CB1F3A"/>
    <w:rsid w:val="00CB293D"/>
    <w:rsid w:val="00CB2B8E"/>
    <w:rsid w:val="00CB2F18"/>
    <w:rsid w:val="00CB2F2A"/>
    <w:rsid w:val="00CB49D4"/>
    <w:rsid w:val="00CB544E"/>
    <w:rsid w:val="00CB55AF"/>
    <w:rsid w:val="00CB5B1A"/>
    <w:rsid w:val="00CB6B22"/>
    <w:rsid w:val="00CB7360"/>
    <w:rsid w:val="00CB7404"/>
    <w:rsid w:val="00CB7473"/>
    <w:rsid w:val="00CB7B59"/>
    <w:rsid w:val="00CB7F5F"/>
    <w:rsid w:val="00CC029A"/>
    <w:rsid w:val="00CC0EAD"/>
    <w:rsid w:val="00CC1AC4"/>
    <w:rsid w:val="00CC1B39"/>
    <w:rsid w:val="00CC1BFA"/>
    <w:rsid w:val="00CC1CCB"/>
    <w:rsid w:val="00CC1F3D"/>
    <w:rsid w:val="00CC2E9F"/>
    <w:rsid w:val="00CC35EA"/>
    <w:rsid w:val="00CC3848"/>
    <w:rsid w:val="00CC3A96"/>
    <w:rsid w:val="00CC58AD"/>
    <w:rsid w:val="00CC6494"/>
    <w:rsid w:val="00CC6D20"/>
    <w:rsid w:val="00CC6D5E"/>
    <w:rsid w:val="00CC7B6B"/>
    <w:rsid w:val="00CC7CD4"/>
    <w:rsid w:val="00CD0200"/>
    <w:rsid w:val="00CD11AC"/>
    <w:rsid w:val="00CD37B7"/>
    <w:rsid w:val="00CD3C15"/>
    <w:rsid w:val="00CD3F77"/>
    <w:rsid w:val="00CD4855"/>
    <w:rsid w:val="00CD6ADC"/>
    <w:rsid w:val="00CD70C6"/>
    <w:rsid w:val="00CD7193"/>
    <w:rsid w:val="00CD789E"/>
    <w:rsid w:val="00CD7B4F"/>
    <w:rsid w:val="00CE19F5"/>
    <w:rsid w:val="00CE221C"/>
    <w:rsid w:val="00CE25FB"/>
    <w:rsid w:val="00CE2D6B"/>
    <w:rsid w:val="00CE303C"/>
    <w:rsid w:val="00CE33FA"/>
    <w:rsid w:val="00CE38C8"/>
    <w:rsid w:val="00CE4EA5"/>
    <w:rsid w:val="00CE524F"/>
    <w:rsid w:val="00CE53A1"/>
    <w:rsid w:val="00CE5777"/>
    <w:rsid w:val="00CE58CC"/>
    <w:rsid w:val="00CE6274"/>
    <w:rsid w:val="00CE6924"/>
    <w:rsid w:val="00CE7171"/>
    <w:rsid w:val="00CE770D"/>
    <w:rsid w:val="00CE77B6"/>
    <w:rsid w:val="00CE7E16"/>
    <w:rsid w:val="00CF2980"/>
    <w:rsid w:val="00CF2B8D"/>
    <w:rsid w:val="00CF3A1B"/>
    <w:rsid w:val="00CF456B"/>
    <w:rsid w:val="00CF5A22"/>
    <w:rsid w:val="00CF608A"/>
    <w:rsid w:val="00CF6690"/>
    <w:rsid w:val="00CF6EE3"/>
    <w:rsid w:val="00CF7ED8"/>
    <w:rsid w:val="00D00098"/>
    <w:rsid w:val="00D011F9"/>
    <w:rsid w:val="00D013DA"/>
    <w:rsid w:val="00D0146D"/>
    <w:rsid w:val="00D01B07"/>
    <w:rsid w:val="00D0262E"/>
    <w:rsid w:val="00D03679"/>
    <w:rsid w:val="00D03F07"/>
    <w:rsid w:val="00D05080"/>
    <w:rsid w:val="00D05E3D"/>
    <w:rsid w:val="00D05F57"/>
    <w:rsid w:val="00D05F5C"/>
    <w:rsid w:val="00D0603A"/>
    <w:rsid w:val="00D06139"/>
    <w:rsid w:val="00D07026"/>
    <w:rsid w:val="00D0731A"/>
    <w:rsid w:val="00D10AE4"/>
    <w:rsid w:val="00D110BD"/>
    <w:rsid w:val="00D11EC4"/>
    <w:rsid w:val="00D11F1B"/>
    <w:rsid w:val="00D12810"/>
    <w:rsid w:val="00D13675"/>
    <w:rsid w:val="00D13A39"/>
    <w:rsid w:val="00D141E1"/>
    <w:rsid w:val="00D14AAA"/>
    <w:rsid w:val="00D15314"/>
    <w:rsid w:val="00D15B48"/>
    <w:rsid w:val="00D16B51"/>
    <w:rsid w:val="00D17D6C"/>
    <w:rsid w:val="00D17D90"/>
    <w:rsid w:val="00D2155B"/>
    <w:rsid w:val="00D21E24"/>
    <w:rsid w:val="00D23D11"/>
    <w:rsid w:val="00D244B6"/>
    <w:rsid w:val="00D25758"/>
    <w:rsid w:val="00D25A32"/>
    <w:rsid w:val="00D2754D"/>
    <w:rsid w:val="00D27B27"/>
    <w:rsid w:val="00D3019B"/>
    <w:rsid w:val="00D30D5B"/>
    <w:rsid w:val="00D31678"/>
    <w:rsid w:val="00D33BE9"/>
    <w:rsid w:val="00D33F93"/>
    <w:rsid w:val="00D3438D"/>
    <w:rsid w:val="00D35045"/>
    <w:rsid w:val="00D356AF"/>
    <w:rsid w:val="00D357FF"/>
    <w:rsid w:val="00D35D05"/>
    <w:rsid w:val="00D4002D"/>
    <w:rsid w:val="00D410D0"/>
    <w:rsid w:val="00D415D3"/>
    <w:rsid w:val="00D417EB"/>
    <w:rsid w:val="00D421F5"/>
    <w:rsid w:val="00D424C7"/>
    <w:rsid w:val="00D435E4"/>
    <w:rsid w:val="00D435F3"/>
    <w:rsid w:val="00D43B2A"/>
    <w:rsid w:val="00D43CF1"/>
    <w:rsid w:val="00D43D83"/>
    <w:rsid w:val="00D443E3"/>
    <w:rsid w:val="00D44B3C"/>
    <w:rsid w:val="00D44B4F"/>
    <w:rsid w:val="00D453D8"/>
    <w:rsid w:val="00D45BDC"/>
    <w:rsid w:val="00D45D87"/>
    <w:rsid w:val="00D47557"/>
    <w:rsid w:val="00D47575"/>
    <w:rsid w:val="00D4760B"/>
    <w:rsid w:val="00D4776E"/>
    <w:rsid w:val="00D504B9"/>
    <w:rsid w:val="00D50B32"/>
    <w:rsid w:val="00D514D2"/>
    <w:rsid w:val="00D51C10"/>
    <w:rsid w:val="00D51EA7"/>
    <w:rsid w:val="00D5243B"/>
    <w:rsid w:val="00D52893"/>
    <w:rsid w:val="00D533EC"/>
    <w:rsid w:val="00D54B83"/>
    <w:rsid w:val="00D55AFD"/>
    <w:rsid w:val="00D55CDD"/>
    <w:rsid w:val="00D564C3"/>
    <w:rsid w:val="00D56558"/>
    <w:rsid w:val="00D56A95"/>
    <w:rsid w:val="00D57FDF"/>
    <w:rsid w:val="00D6076E"/>
    <w:rsid w:val="00D619DB"/>
    <w:rsid w:val="00D62A87"/>
    <w:rsid w:val="00D62CCC"/>
    <w:rsid w:val="00D646D6"/>
    <w:rsid w:val="00D65698"/>
    <w:rsid w:val="00D66156"/>
    <w:rsid w:val="00D6657E"/>
    <w:rsid w:val="00D6692D"/>
    <w:rsid w:val="00D66E25"/>
    <w:rsid w:val="00D66F0E"/>
    <w:rsid w:val="00D67109"/>
    <w:rsid w:val="00D6754A"/>
    <w:rsid w:val="00D70060"/>
    <w:rsid w:val="00D70418"/>
    <w:rsid w:val="00D70F16"/>
    <w:rsid w:val="00D715AD"/>
    <w:rsid w:val="00D72617"/>
    <w:rsid w:val="00D72F57"/>
    <w:rsid w:val="00D744FF"/>
    <w:rsid w:val="00D74996"/>
    <w:rsid w:val="00D74A83"/>
    <w:rsid w:val="00D75D86"/>
    <w:rsid w:val="00D75F0F"/>
    <w:rsid w:val="00D7638E"/>
    <w:rsid w:val="00D76538"/>
    <w:rsid w:val="00D76A44"/>
    <w:rsid w:val="00D802B3"/>
    <w:rsid w:val="00D80929"/>
    <w:rsid w:val="00D80D94"/>
    <w:rsid w:val="00D815EF"/>
    <w:rsid w:val="00D81949"/>
    <w:rsid w:val="00D81F26"/>
    <w:rsid w:val="00D822E2"/>
    <w:rsid w:val="00D82345"/>
    <w:rsid w:val="00D8405C"/>
    <w:rsid w:val="00D843F2"/>
    <w:rsid w:val="00D844BF"/>
    <w:rsid w:val="00D85492"/>
    <w:rsid w:val="00D85633"/>
    <w:rsid w:val="00D85A45"/>
    <w:rsid w:val="00D86231"/>
    <w:rsid w:val="00D87D23"/>
    <w:rsid w:val="00D87E4F"/>
    <w:rsid w:val="00D908E8"/>
    <w:rsid w:val="00D912AB"/>
    <w:rsid w:val="00D91644"/>
    <w:rsid w:val="00D917D7"/>
    <w:rsid w:val="00D91923"/>
    <w:rsid w:val="00D926B0"/>
    <w:rsid w:val="00D928EC"/>
    <w:rsid w:val="00D93753"/>
    <w:rsid w:val="00D94133"/>
    <w:rsid w:val="00D9474C"/>
    <w:rsid w:val="00D96349"/>
    <w:rsid w:val="00D963BC"/>
    <w:rsid w:val="00D964DF"/>
    <w:rsid w:val="00D96FA4"/>
    <w:rsid w:val="00D97139"/>
    <w:rsid w:val="00D9719B"/>
    <w:rsid w:val="00D97382"/>
    <w:rsid w:val="00D97990"/>
    <w:rsid w:val="00DA115F"/>
    <w:rsid w:val="00DA1A96"/>
    <w:rsid w:val="00DA3167"/>
    <w:rsid w:val="00DA38B4"/>
    <w:rsid w:val="00DA4625"/>
    <w:rsid w:val="00DA4DC3"/>
    <w:rsid w:val="00DA67DA"/>
    <w:rsid w:val="00DA6972"/>
    <w:rsid w:val="00DA77A5"/>
    <w:rsid w:val="00DB0107"/>
    <w:rsid w:val="00DB0DE7"/>
    <w:rsid w:val="00DB0E36"/>
    <w:rsid w:val="00DB3C09"/>
    <w:rsid w:val="00DB3C71"/>
    <w:rsid w:val="00DB3DBF"/>
    <w:rsid w:val="00DB400A"/>
    <w:rsid w:val="00DB4747"/>
    <w:rsid w:val="00DB484F"/>
    <w:rsid w:val="00DB5100"/>
    <w:rsid w:val="00DB6231"/>
    <w:rsid w:val="00DB6A3C"/>
    <w:rsid w:val="00DB701A"/>
    <w:rsid w:val="00DB7073"/>
    <w:rsid w:val="00DB7B80"/>
    <w:rsid w:val="00DC04F6"/>
    <w:rsid w:val="00DC0690"/>
    <w:rsid w:val="00DC070E"/>
    <w:rsid w:val="00DC1A95"/>
    <w:rsid w:val="00DC1D65"/>
    <w:rsid w:val="00DC2C98"/>
    <w:rsid w:val="00DC3C57"/>
    <w:rsid w:val="00DC5501"/>
    <w:rsid w:val="00DC5DE4"/>
    <w:rsid w:val="00DC60D3"/>
    <w:rsid w:val="00DC6461"/>
    <w:rsid w:val="00DC66A6"/>
    <w:rsid w:val="00DC7154"/>
    <w:rsid w:val="00DC7555"/>
    <w:rsid w:val="00DC7E8A"/>
    <w:rsid w:val="00DD0F78"/>
    <w:rsid w:val="00DD10FB"/>
    <w:rsid w:val="00DD23A2"/>
    <w:rsid w:val="00DD273C"/>
    <w:rsid w:val="00DD2FB7"/>
    <w:rsid w:val="00DD3A9B"/>
    <w:rsid w:val="00DD3D2B"/>
    <w:rsid w:val="00DD3F28"/>
    <w:rsid w:val="00DD4295"/>
    <w:rsid w:val="00DD4446"/>
    <w:rsid w:val="00DD4537"/>
    <w:rsid w:val="00DD4B32"/>
    <w:rsid w:val="00DD4E15"/>
    <w:rsid w:val="00DD546B"/>
    <w:rsid w:val="00DD5954"/>
    <w:rsid w:val="00DD5EAD"/>
    <w:rsid w:val="00DD5FD1"/>
    <w:rsid w:val="00DD606E"/>
    <w:rsid w:val="00DD7317"/>
    <w:rsid w:val="00DD78A3"/>
    <w:rsid w:val="00DE0C3F"/>
    <w:rsid w:val="00DE0C69"/>
    <w:rsid w:val="00DE1801"/>
    <w:rsid w:val="00DE2304"/>
    <w:rsid w:val="00DE26D7"/>
    <w:rsid w:val="00DE2FE3"/>
    <w:rsid w:val="00DE3138"/>
    <w:rsid w:val="00DE32B4"/>
    <w:rsid w:val="00DE37F8"/>
    <w:rsid w:val="00DE3BB8"/>
    <w:rsid w:val="00DE3BEF"/>
    <w:rsid w:val="00DE4158"/>
    <w:rsid w:val="00DE426B"/>
    <w:rsid w:val="00DE4273"/>
    <w:rsid w:val="00DE4314"/>
    <w:rsid w:val="00DE4A17"/>
    <w:rsid w:val="00DE4FCB"/>
    <w:rsid w:val="00DE5D07"/>
    <w:rsid w:val="00DE5DDA"/>
    <w:rsid w:val="00DE64C6"/>
    <w:rsid w:val="00DE6A78"/>
    <w:rsid w:val="00DE72A7"/>
    <w:rsid w:val="00DE7832"/>
    <w:rsid w:val="00DE7A45"/>
    <w:rsid w:val="00DF003A"/>
    <w:rsid w:val="00DF00D9"/>
    <w:rsid w:val="00DF08F7"/>
    <w:rsid w:val="00DF10EC"/>
    <w:rsid w:val="00DF18FC"/>
    <w:rsid w:val="00DF23B0"/>
    <w:rsid w:val="00DF2697"/>
    <w:rsid w:val="00DF29D7"/>
    <w:rsid w:val="00DF2B5A"/>
    <w:rsid w:val="00DF32A0"/>
    <w:rsid w:val="00DF3D7E"/>
    <w:rsid w:val="00DF5463"/>
    <w:rsid w:val="00DF5D26"/>
    <w:rsid w:val="00DF5D2B"/>
    <w:rsid w:val="00DF6341"/>
    <w:rsid w:val="00DF6375"/>
    <w:rsid w:val="00DF71A0"/>
    <w:rsid w:val="00DF7DDB"/>
    <w:rsid w:val="00E00616"/>
    <w:rsid w:val="00E00CB3"/>
    <w:rsid w:val="00E00E8E"/>
    <w:rsid w:val="00E054A3"/>
    <w:rsid w:val="00E05619"/>
    <w:rsid w:val="00E05630"/>
    <w:rsid w:val="00E05791"/>
    <w:rsid w:val="00E06DBB"/>
    <w:rsid w:val="00E07F85"/>
    <w:rsid w:val="00E10149"/>
    <w:rsid w:val="00E11091"/>
    <w:rsid w:val="00E11340"/>
    <w:rsid w:val="00E122A1"/>
    <w:rsid w:val="00E122F6"/>
    <w:rsid w:val="00E135E2"/>
    <w:rsid w:val="00E13A3A"/>
    <w:rsid w:val="00E13C19"/>
    <w:rsid w:val="00E141E8"/>
    <w:rsid w:val="00E142E8"/>
    <w:rsid w:val="00E14659"/>
    <w:rsid w:val="00E1467E"/>
    <w:rsid w:val="00E15B35"/>
    <w:rsid w:val="00E16372"/>
    <w:rsid w:val="00E16AD8"/>
    <w:rsid w:val="00E17129"/>
    <w:rsid w:val="00E17FFA"/>
    <w:rsid w:val="00E20E4D"/>
    <w:rsid w:val="00E20ED6"/>
    <w:rsid w:val="00E21358"/>
    <w:rsid w:val="00E2169C"/>
    <w:rsid w:val="00E2249B"/>
    <w:rsid w:val="00E228A0"/>
    <w:rsid w:val="00E22A0D"/>
    <w:rsid w:val="00E2300B"/>
    <w:rsid w:val="00E23F02"/>
    <w:rsid w:val="00E2412D"/>
    <w:rsid w:val="00E244F6"/>
    <w:rsid w:val="00E2476D"/>
    <w:rsid w:val="00E257E8"/>
    <w:rsid w:val="00E258DB"/>
    <w:rsid w:val="00E266EE"/>
    <w:rsid w:val="00E27082"/>
    <w:rsid w:val="00E2771E"/>
    <w:rsid w:val="00E27B61"/>
    <w:rsid w:val="00E30766"/>
    <w:rsid w:val="00E311EF"/>
    <w:rsid w:val="00E314D3"/>
    <w:rsid w:val="00E320D4"/>
    <w:rsid w:val="00E32180"/>
    <w:rsid w:val="00E34177"/>
    <w:rsid w:val="00E34948"/>
    <w:rsid w:val="00E35DB3"/>
    <w:rsid w:val="00E36460"/>
    <w:rsid w:val="00E36D29"/>
    <w:rsid w:val="00E36D70"/>
    <w:rsid w:val="00E37569"/>
    <w:rsid w:val="00E3759B"/>
    <w:rsid w:val="00E37AC0"/>
    <w:rsid w:val="00E401B2"/>
    <w:rsid w:val="00E417A4"/>
    <w:rsid w:val="00E41BDE"/>
    <w:rsid w:val="00E41E30"/>
    <w:rsid w:val="00E42DF8"/>
    <w:rsid w:val="00E42EEF"/>
    <w:rsid w:val="00E42F73"/>
    <w:rsid w:val="00E435A8"/>
    <w:rsid w:val="00E43D70"/>
    <w:rsid w:val="00E44493"/>
    <w:rsid w:val="00E44849"/>
    <w:rsid w:val="00E45278"/>
    <w:rsid w:val="00E45666"/>
    <w:rsid w:val="00E45C74"/>
    <w:rsid w:val="00E466F3"/>
    <w:rsid w:val="00E475C8"/>
    <w:rsid w:val="00E47B2B"/>
    <w:rsid w:val="00E47B2C"/>
    <w:rsid w:val="00E47FAE"/>
    <w:rsid w:val="00E51434"/>
    <w:rsid w:val="00E51560"/>
    <w:rsid w:val="00E51821"/>
    <w:rsid w:val="00E51A84"/>
    <w:rsid w:val="00E51F72"/>
    <w:rsid w:val="00E52F1B"/>
    <w:rsid w:val="00E53C32"/>
    <w:rsid w:val="00E53FC8"/>
    <w:rsid w:val="00E54347"/>
    <w:rsid w:val="00E54492"/>
    <w:rsid w:val="00E549C9"/>
    <w:rsid w:val="00E55424"/>
    <w:rsid w:val="00E55915"/>
    <w:rsid w:val="00E55BB5"/>
    <w:rsid w:val="00E55CB4"/>
    <w:rsid w:val="00E56CE6"/>
    <w:rsid w:val="00E56D1D"/>
    <w:rsid w:val="00E56F90"/>
    <w:rsid w:val="00E57260"/>
    <w:rsid w:val="00E5794C"/>
    <w:rsid w:val="00E6012C"/>
    <w:rsid w:val="00E60407"/>
    <w:rsid w:val="00E60968"/>
    <w:rsid w:val="00E611DF"/>
    <w:rsid w:val="00E61A12"/>
    <w:rsid w:val="00E61A9A"/>
    <w:rsid w:val="00E61FE9"/>
    <w:rsid w:val="00E62854"/>
    <w:rsid w:val="00E6297C"/>
    <w:rsid w:val="00E62B9E"/>
    <w:rsid w:val="00E62CF4"/>
    <w:rsid w:val="00E63C5B"/>
    <w:rsid w:val="00E652F0"/>
    <w:rsid w:val="00E65E79"/>
    <w:rsid w:val="00E66BA2"/>
    <w:rsid w:val="00E67380"/>
    <w:rsid w:val="00E67416"/>
    <w:rsid w:val="00E67ED2"/>
    <w:rsid w:val="00E67FCC"/>
    <w:rsid w:val="00E705E2"/>
    <w:rsid w:val="00E7150D"/>
    <w:rsid w:val="00E718B6"/>
    <w:rsid w:val="00E719FA"/>
    <w:rsid w:val="00E72240"/>
    <w:rsid w:val="00E723BA"/>
    <w:rsid w:val="00E727A0"/>
    <w:rsid w:val="00E73581"/>
    <w:rsid w:val="00E73AB0"/>
    <w:rsid w:val="00E74EF4"/>
    <w:rsid w:val="00E75D14"/>
    <w:rsid w:val="00E76969"/>
    <w:rsid w:val="00E80F5B"/>
    <w:rsid w:val="00E81FF9"/>
    <w:rsid w:val="00E833F7"/>
    <w:rsid w:val="00E83BDF"/>
    <w:rsid w:val="00E85CA0"/>
    <w:rsid w:val="00E86CB8"/>
    <w:rsid w:val="00E86FCC"/>
    <w:rsid w:val="00E8788B"/>
    <w:rsid w:val="00E87A1D"/>
    <w:rsid w:val="00E87B2C"/>
    <w:rsid w:val="00E90301"/>
    <w:rsid w:val="00E905EE"/>
    <w:rsid w:val="00E9094A"/>
    <w:rsid w:val="00E9134F"/>
    <w:rsid w:val="00E91D35"/>
    <w:rsid w:val="00E92381"/>
    <w:rsid w:val="00E926A5"/>
    <w:rsid w:val="00E928E0"/>
    <w:rsid w:val="00E94327"/>
    <w:rsid w:val="00E9606F"/>
    <w:rsid w:val="00E962CC"/>
    <w:rsid w:val="00E9635C"/>
    <w:rsid w:val="00E96A21"/>
    <w:rsid w:val="00E97841"/>
    <w:rsid w:val="00EA0CA6"/>
    <w:rsid w:val="00EA11F0"/>
    <w:rsid w:val="00EA17C3"/>
    <w:rsid w:val="00EA213A"/>
    <w:rsid w:val="00EA271D"/>
    <w:rsid w:val="00EA2CAA"/>
    <w:rsid w:val="00EA3864"/>
    <w:rsid w:val="00EA3F30"/>
    <w:rsid w:val="00EA42F3"/>
    <w:rsid w:val="00EA50B0"/>
    <w:rsid w:val="00EA57A4"/>
    <w:rsid w:val="00EA5C65"/>
    <w:rsid w:val="00EA7F1C"/>
    <w:rsid w:val="00EB074B"/>
    <w:rsid w:val="00EB0CCF"/>
    <w:rsid w:val="00EB15B6"/>
    <w:rsid w:val="00EB27E3"/>
    <w:rsid w:val="00EB3D02"/>
    <w:rsid w:val="00EB3D06"/>
    <w:rsid w:val="00EB4916"/>
    <w:rsid w:val="00EB50F8"/>
    <w:rsid w:val="00EB6727"/>
    <w:rsid w:val="00EB712A"/>
    <w:rsid w:val="00EC00C9"/>
    <w:rsid w:val="00EC0DD9"/>
    <w:rsid w:val="00EC2540"/>
    <w:rsid w:val="00EC2649"/>
    <w:rsid w:val="00EC27BA"/>
    <w:rsid w:val="00EC31ED"/>
    <w:rsid w:val="00EC4536"/>
    <w:rsid w:val="00EC4689"/>
    <w:rsid w:val="00EC4D5C"/>
    <w:rsid w:val="00EC52EE"/>
    <w:rsid w:val="00EC5836"/>
    <w:rsid w:val="00EC5C72"/>
    <w:rsid w:val="00EC5C88"/>
    <w:rsid w:val="00EC6254"/>
    <w:rsid w:val="00EC64B3"/>
    <w:rsid w:val="00EC688C"/>
    <w:rsid w:val="00EC69F1"/>
    <w:rsid w:val="00EC6A3B"/>
    <w:rsid w:val="00EC6F28"/>
    <w:rsid w:val="00EC76EF"/>
    <w:rsid w:val="00ED12E3"/>
    <w:rsid w:val="00ED27CA"/>
    <w:rsid w:val="00ED4279"/>
    <w:rsid w:val="00ED4B04"/>
    <w:rsid w:val="00ED4D5F"/>
    <w:rsid w:val="00ED569D"/>
    <w:rsid w:val="00ED5767"/>
    <w:rsid w:val="00ED57EA"/>
    <w:rsid w:val="00ED5BD4"/>
    <w:rsid w:val="00ED619D"/>
    <w:rsid w:val="00ED6AF0"/>
    <w:rsid w:val="00ED73B0"/>
    <w:rsid w:val="00ED7BC0"/>
    <w:rsid w:val="00ED7DB2"/>
    <w:rsid w:val="00EE03C7"/>
    <w:rsid w:val="00EE07D3"/>
    <w:rsid w:val="00EE1097"/>
    <w:rsid w:val="00EE10D7"/>
    <w:rsid w:val="00EE156D"/>
    <w:rsid w:val="00EE1996"/>
    <w:rsid w:val="00EE1ACA"/>
    <w:rsid w:val="00EE1C01"/>
    <w:rsid w:val="00EE22AF"/>
    <w:rsid w:val="00EE22C5"/>
    <w:rsid w:val="00EE2A98"/>
    <w:rsid w:val="00EE3354"/>
    <w:rsid w:val="00EE33EC"/>
    <w:rsid w:val="00EE361C"/>
    <w:rsid w:val="00EE4C26"/>
    <w:rsid w:val="00EE68AF"/>
    <w:rsid w:val="00EE704A"/>
    <w:rsid w:val="00EE76CD"/>
    <w:rsid w:val="00EE7C00"/>
    <w:rsid w:val="00EE7E11"/>
    <w:rsid w:val="00EF0171"/>
    <w:rsid w:val="00EF0265"/>
    <w:rsid w:val="00EF0508"/>
    <w:rsid w:val="00EF1B25"/>
    <w:rsid w:val="00EF1DA0"/>
    <w:rsid w:val="00EF2363"/>
    <w:rsid w:val="00EF23B1"/>
    <w:rsid w:val="00EF2A0C"/>
    <w:rsid w:val="00EF4747"/>
    <w:rsid w:val="00EF4926"/>
    <w:rsid w:val="00EF4BF8"/>
    <w:rsid w:val="00EF559A"/>
    <w:rsid w:val="00EF640E"/>
    <w:rsid w:val="00EF68E2"/>
    <w:rsid w:val="00F0014E"/>
    <w:rsid w:val="00F006BA"/>
    <w:rsid w:val="00F00B68"/>
    <w:rsid w:val="00F0145F"/>
    <w:rsid w:val="00F02253"/>
    <w:rsid w:val="00F03C2E"/>
    <w:rsid w:val="00F047BD"/>
    <w:rsid w:val="00F04A66"/>
    <w:rsid w:val="00F04B4B"/>
    <w:rsid w:val="00F0516C"/>
    <w:rsid w:val="00F053B3"/>
    <w:rsid w:val="00F067A2"/>
    <w:rsid w:val="00F06896"/>
    <w:rsid w:val="00F074A7"/>
    <w:rsid w:val="00F07B9E"/>
    <w:rsid w:val="00F10E54"/>
    <w:rsid w:val="00F10F0E"/>
    <w:rsid w:val="00F11033"/>
    <w:rsid w:val="00F1116F"/>
    <w:rsid w:val="00F114EC"/>
    <w:rsid w:val="00F11785"/>
    <w:rsid w:val="00F1263A"/>
    <w:rsid w:val="00F12C89"/>
    <w:rsid w:val="00F12E1E"/>
    <w:rsid w:val="00F13481"/>
    <w:rsid w:val="00F139C5"/>
    <w:rsid w:val="00F1407D"/>
    <w:rsid w:val="00F14742"/>
    <w:rsid w:val="00F14C86"/>
    <w:rsid w:val="00F14E18"/>
    <w:rsid w:val="00F15B77"/>
    <w:rsid w:val="00F16D21"/>
    <w:rsid w:val="00F17AC8"/>
    <w:rsid w:val="00F21103"/>
    <w:rsid w:val="00F21236"/>
    <w:rsid w:val="00F21282"/>
    <w:rsid w:val="00F21506"/>
    <w:rsid w:val="00F2179A"/>
    <w:rsid w:val="00F21A18"/>
    <w:rsid w:val="00F233E3"/>
    <w:rsid w:val="00F23F04"/>
    <w:rsid w:val="00F240B3"/>
    <w:rsid w:val="00F24837"/>
    <w:rsid w:val="00F24A24"/>
    <w:rsid w:val="00F24C82"/>
    <w:rsid w:val="00F2575F"/>
    <w:rsid w:val="00F259F4"/>
    <w:rsid w:val="00F25A69"/>
    <w:rsid w:val="00F26016"/>
    <w:rsid w:val="00F26C22"/>
    <w:rsid w:val="00F27565"/>
    <w:rsid w:val="00F308B3"/>
    <w:rsid w:val="00F310D4"/>
    <w:rsid w:val="00F31D5A"/>
    <w:rsid w:val="00F3303B"/>
    <w:rsid w:val="00F33846"/>
    <w:rsid w:val="00F33975"/>
    <w:rsid w:val="00F33DE9"/>
    <w:rsid w:val="00F34BD9"/>
    <w:rsid w:val="00F35305"/>
    <w:rsid w:val="00F35A52"/>
    <w:rsid w:val="00F35E6D"/>
    <w:rsid w:val="00F3619A"/>
    <w:rsid w:val="00F36BD3"/>
    <w:rsid w:val="00F37172"/>
    <w:rsid w:val="00F40AAA"/>
    <w:rsid w:val="00F40BA7"/>
    <w:rsid w:val="00F40F9D"/>
    <w:rsid w:val="00F41ACD"/>
    <w:rsid w:val="00F42ABB"/>
    <w:rsid w:val="00F42C5D"/>
    <w:rsid w:val="00F43B8C"/>
    <w:rsid w:val="00F43BD7"/>
    <w:rsid w:val="00F43DE2"/>
    <w:rsid w:val="00F44A77"/>
    <w:rsid w:val="00F44BE3"/>
    <w:rsid w:val="00F451D7"/>
    <w:rsid w:val="00F45A57"/>
    <w:rsid w:val="00F45AF5"/>
    <w:rsid w:val="00F4683D"/>
    <w:rsid w:val="00F46CB6"/>
    <w:rsid w:val="00F4736B"/>
    <w:rsid w:val="00F4756D"/>
    <w:rsid w:val="00F47DE8"/>
    <w:rsid w:val="00F47FCF"/>
    <w:rsid w:val="00F501EB"/>
    <w:rsid w:val="00F502E3"/>
    <w:rsid w:val="00F50A8C"/>
    <w:rsid w:val="00F51814"/>
    <w:rsid w:val="00F51A57"/>
    <w:rsid w:val="00F51F1A"/>
    <w:rsid w:val="00F5215B"/>
    <w:rsid w:val="00F537E1"/>
    <w:rsid w:val="00F542C1"/>
    <w:rsid w:val="00F54A5B"/>
    <w:rsid w:val="00F550E3"/>
    <w:rsid w:val="00F55E1F"/>
    <w:rsid w:val="00F55E73"/>
    <w:rsid w:val="00F55EDA"/>
    <w:rsid w:val="00F565E4"/>
    <w:rsid w:val="00F56C80"/>
    <w:rsid w:val="00F57247"/>
    <w:rsid w:val="00F57411"/>
    <w:rsid w:val="00F576CD"/>
    <w:rsid w:val="00F60092"/>
    <w:rsid w:val="00F612BC"/>
    <w:rsid w:val="00F614DD"/>
    <w:rsid w:val="00F61C18"/>
    <w:rsid w:val="00F61CCC"/>
    <w:rsid w:val="00F62C17"/>
    <w:rsid w:val="00F639BB"/>
    <w:rsid w:val="00F643A7"/>
    <w:rsid w:val="00F64403"/>
    <w:rsid w:val="00F649E0"/>
    <w:rsid w:val="00F65388"/>
    <w:rsid w:val="00F65393"/>
    <w:rsid w:val="00F655BD"/>
    <w:rsid w:val="00F65B60"/>
    <w:rsid w:val="00F65F4B"/>
    <w:rsid w:val="00F66AA5"/>
    <w:rsid w:val="00F67724"/>
    <w:rsid w:val="00F67A69"/>
    <w:rsid w:val="00F7033A"/>
    <w:rsid w:val="00F70BED"/>
    <w:rsid w:val="00F70BFF"/>
    <w:rsid w:val="00F70C9D"/>
    <w:rsid w:val="00F70DDA"/>
    <w:rsid w:val="00F70ECA"/>
    <w:rsid w:val="00F7149F"/>
    <w:rsid w:val="00F71747"/>
    <w:rsid w:val="00F7187B"/>
    <w:rsid w:val="00F726BE"/>
    <w:rsid w:val="00F73E08"/>
    <w:rsid w:val="00F74A6A"/>
    <w:rsid w:val="00F74CD9"/>
    <w:rsid w:val="00F75169"/>
    <w:rsid w:val="00F75A24"/>
    <w:rsid w:val="00F76FE3"/>
    <w:rsid w:val="00F77CF5"/>
    <w:rsid w:val="00F80A7B"/>
    <w:rsid w:val="00F80D38"/>
    <w:rsid w:val="00F80E5D"/>
    <w:rsid w:val="00F817D7"/>
    <w:rsid w:val="00F8197B"/>
    <w:rsid w:val="00F819CB"/>
    <w:rsid w:val="00F81E78"/>
    <w:rsid w:val="00F82234"/>
    <w:rsid w:val="00F82593"/>
    <w:rsid w:val="00F82CD1"/>
    <w:rsid w:val="00F83916"/>
    <w:rsid w:val="00F851CE"/>
    <w:rsid w:val="00F871BD"/>
    <w:rsid w:val="00F909CE"/>
    <w:rsid w:val="00F91219"/>
    <w:rsid w:val="00F92444"/>
    <w:rsid w:val="00F93729"/>
    <w:rsid w:val="00F9393E"/>
    <w:rsid w:val="00F93D26"/>
    <w:rsid w:val="00F9420E"/>
    <w:rsid w:val="00F959C6"/>
    <w:rsid w:val="00F95CA0"/>
    <w:rsid w:val="00F95DDD"/>
    <w:rsid w:val="00F960B7"/>
    <w:rsid w:val="00F9661D"/>
    <w:rsid w:val="00F96A44"/>
    <w:rsid w:val="00F96FD0"/>
    <w:rsid w:val="00F97A78"/>
    <w:rsid w:val="00F97DF0"/>
    <w:rsid w:val="00FA065E"/>
    <w:rsid w:val="00FA06E0"/>
    <w:rsid w:val="00FA0860"/>
    <w:rsid w:val="00FA0B20"/>
    <w:rsid w:val="00FA24E7"/>
    <w:rsid w:val="00FA31BF"/>
    <w:rsid w:val="00FA3552"/>
    <w:rsid w:val="00FA5EE6"/>
    <w:rsid w:val="00FA6105"/>
    <w:rsid w:val="00FA6351"/>
    <w:rsid w:val="00FA7030"/>
    <w:rsid w:val="00FA7679"/>
    <w:rsid w:val="00FA7956"/>
    <w:rsid w:val="00FA7A3A"/>
    <w:rsid w:val="00FB0159"/>
    <w:rsid w:val="00FB0824"/>
    <w:rsid w:val="00FB0F15"/>
    <w:rsid w:val="00FB1863"/>
    <w:rsid w:val="00FB2FCB"/>
    <w:rsid w:val="00FB30AF"/>
    <w:rsid w:val="00FB3EE2"/>
    <w:rsid w:val="00FB4C9C"/>
    <w:rsid w:val="00FB4FB9"/>
    <w:rsid w:val="00FB6674"/>
    <w:rsid w:val="00FB74DD"/>
    <w:rsid w:val="00FB7C55"/>
    <w:rsid w:val="00FB7E1E"/>
    <w:rsid w:val="00FB7F57"/>
    <w:rsid w:val="00FC0579"/>
    <w:rsid w:val="00FC0FC6"/>
    <w:rsid w:val="00FC1074"/>
    <w:rsid w:val="00FC1884"/>
    <w:rsid w:val="00FC197D"/>
    <w:rsid w:val="00FC2C35"/>
    <w:rsid w:val="00FC3287"/>
    <w:rsid w:val="00FC371D"/>
    <w:rsid w:val="00FC381D"/>
    <w:rsid w:val="00FC3949"/>
    <w:rsid w:val="00FC4BC3"/>
    <w:rsid w:val="00FC5307"/>
    <w:rsid w:val="00FC5F0B"/>
    <w:rsid w:val="00FC7D21"/>
    <w:rsid w:val="00FD0380"/>
    <w:rsid w:val="00FD1C8A"/>
    <w:rsid w:val="00FD2100"/>
    <w:rsid w:val="00FD293A"/>
    <w:rsid w:val="00FD2FD9"/>
    <w:rsid w:val="00FD436C"/>
    <w:rsid w:val="00FD446D"/>
    <w:rsid w:val="00FD4992"/>
    <w:rsid w:val="00FD4F2C"/>
    <w:rsid w:val="00FD5105"/>
    <w:rsid w:val="00FD5200"/>
    <w:rsid w:val="00FD591B"/>
    <w:rsid w:val="00FD6394"/>
    <w:rsid w:val="00FE0E6C"/>
    <w:rsid w:val="00FE1CDC"/>
    <w:rsid w:val="00FE345C"/>
    <w:rsid w:val="00FE489E"/>
    <w:rsid w:val="00FE5BF2"/>
    <w:rsid w:val="00FE6822"/>
    <w:rsid w:val="00FE70C3"/>
    <w:rsid w:val="00FF0A4A"/>
    <w:rsid w:val="00FF19E2"/>
    <w:rsid w:val="00FF1A8B"/>
    <w:rsid w:val="00FF1B3D"/>
    <w:rsid w:val="00FF22A5"/>
    <w:rsid w:val="00FF2A0A"/>
    <w:rsid w:val="00FF2AD9"/>
    <w:rsid w:val="00FF2B5F"/>
    <w:rsid w:val="00FF359F"/>
    <w:rsid w:val="00FF3D14"/>
    <w:rsid w:val="00FF3DCF"/>
    <w:rsid w:val="00FF492C"/>
    <w:rsid w:val="00FF4A21"/>
    <w:rsid w:val="00FF58AC"/>
    <w:rsid w:val="00FF5AA3"/>
    <w:rsid w:val="00FF5AD8"/>
    <w:rsid w:val="00FF5EBA"/>
    <w:rsid w:val="00FF7701"/>
    <w:rsid w:val="00FF792E"/>
    <w:rsid w:val="00FF7E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D06"/>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List,ES Paragraph,PBAC ES Paragraph,PBAC normal points,_CC_Bullet,Paragraphe de liste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List Char,ES Paragraph Char,_CC_Bulle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091DF3"/>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qFormat/>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94327"/>
    <w:rPr>
      <w:color w:val="605E5C"/>
      <w:shd w:val="clear" w:color="auto" w:fill="E1DFDD"/>
    </w:rPr>
  </w:style>
  <w:style w:type="paragraph" w:styleId="FootnoteText">
    <w:name w:val="footnote text"/>
    <w:basedOn w:val="Normal"/>
    <w:link w:val="FootnoteTextChar"/>
    <w:unhideWhenUsed/>
    <w:rsid w:val="00F37172"/>
    <w:rPr>
      <w:rFonts w:cs="Times New Roman"/>
      <w:sz w:val="20"/>
      <w:szCs w:val="20"/>
    </w:rPr>
  </w:style>
  <w:style w:type="character" w:customStyle="1" w:styleId="FootnoteTextChar">
    <w:name w:val="Footnote Text Char"/>
    <w:basedOn w:val="DefaultParagraphFont"/>
    <w:link w:val="FootnoteText"/>
    <w:rsid w:val="00F37172"/>
    <w:rPr>
      <w:rFonts w:ascii="Calibri" w:hAnsi="Calibri"/>
    </w:rPr>
  </w:style>
  <w:style w:type="character" w:styleId="FootnoteReference">
    <w:name w:val="footnote reference"/>
    <w:basedOn w:val="DefaultParagraphFont"/>
    <w:semiHidden/>
    <w:unhideWhenUsed/>
    <w:rsid w:val="00F37172"/>
    <w:rPr>
      <w:vertAlign w:val="superscript"/>
    </w:rPr>
  </w:style>
  <w:style w:type="numbering" w:customStyle="1" w:styleId="SectionBi1">
    <w:name w:val="Section Bi1"/>
    <w:uiPriority w:val="99"/>
    <w:rsid w:val="00913460"/>
  </w:style>
  <w:style w:type="paragraph" w:customStyle="1" w:styleId="PBACTabletext">
    <w:name w:val="PBAC Table text"/>
    <w:qFormat/>
    <w:rsid w:val="00913460"/>
    <w:pPr>
      <w:keepNext/>
      <w:keepLines/>
      <w:suppressLineNumbers/>
      <w:spacing w:after="20"/>
      <w:textboxTightWrap w:val="allLines"/>
    </w:pPr>
    <w:rPr>
      <w:rFonts w:ascii="Arial Narrow" w:hAnsi="Arial Narrow" w:cs="Arial"/>
      <w:szCs w:val="24"/>
      <w:lang w:eastAsia="en-GB"/>
    </w:rPr>
  </w:style>
  <w:style w:type="numbering" w:customStyle="1" w:styleId="Style121">
    <w:name w:val="Style121"/>
    <w:uiPriority w:val="99"/>
    <w:rsid w:val="00D94133"/>
  </w:style>
  <w:style w:type="character" w:customStyle="1" w:styleId="cf01">
    <w:name w:val="cf01"/>
    <w:basedOn w:val="DefaultParagraphFont"/>
    <w:rsid w:val="00CA32CF"/>
    <w:rPr>
      <w:rFonts w:ascii="Segoe UI" w:hAnsi="Segoe UI" w:cs="Segoe UI" w:hint="default"/>
      <w:sz w:val="18"/>
      <w:szCs w:val="18"/>
    </w:rPr>
  </w:style>
  <w:style w:type="paragraph" w:customStyle="1" w:styleId="3-SubsectionHeading">
    <w:name w:val="3-Subsection Heading"/>
    <w:basedOn w:val="Heading2"/>
    <w:next w:val="Normal"/>
    <w:link w:val="3-SubsectionHeadingChar"/>
    <w:qFormat/>
    <w:rsid w:val="00947AB2"/>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947AB2"/>
    <w:rPr>
      <w:rFonts w:asciiTheme="minorHAnsi" w:eastAsiaTheme="majorEastAsia" w:hAnsiTheme="minorHAnsi" w:cstheme="majorBidi"/>
      <w:b/>
      <w:i/>
      <w:snapToGrid/>
      <w:spacing w:val="5"/>
      <w:kern w:val="28"/>
      <w:sz w:val="28"/>
      <w:szCs w:val="36"/>
      <w:lang w:eastAsia="en-US"/>
    </w:rPr>
  </w:style>
  <w:style w:type="paragraph" w:customStyle="1" w:styleId="pf0">
    <w:name w:val="pf0"/>
    <w:basedOn w:val="Normal"/>
    <w:rsid w:val="00B95430"/>
    <w:pPr>
      <w:spacing w:before="100" w:beforeAutospacing="1" w:after="100" w:afterAutospacing="1"/>
      <w:jc w:val="left"/>
    </w:pPr>
    <w:rPr>
      <w:rFonts w:ascii="Times New Roman" w:hAnsi="Times New Roman" w:cs="Times New Roman"/>
    </w:rPr>
  </w:style>
  <w:style w:type="paragraph" w:customStyle="1" w:styleId="TableFigureFooter">
    <w:name w:val="Table/Figure Footer"/>
    <w:basedOn w:val="Normal"/>
    <w:link w:val="TableFigureFooterChar"/>
    <w:qFormat/>
    <w:rsid w:val="007A5174"/>
    <w:pPr>
      <w:spacing w:after="60"/>
      <w:contextualSpacing/>
    </w:pPr>
    <w:rPr>
      <w:rFonts w:ascii="Arial Narrow" w:hAnsi="Arial Narrow"/>
      <w:snapToGrid w:val="0"/>
      <w:sz w:val="18"/>
      <w:szCs w:val="22"/>
    </w:rPr>
  </w:style>
  <w:style w:type="character" w:customStyle="1" w:styleId="TableFigureFooterChar">
    <w:name w:val="Table/Figure Footer Char"/>
    <w:link w:val="TableFigureFooter"/>
    <w:rsid w:val="007A5174"/>
    <w:rPr>
      <w:rFonts w:ascii="Arial Narrow" w:hAnsi="Arial Narrow" w:cs="Arial"/>
      <w:snapToGrid w:val="0"/>
      <w:sz w:val="18"/>
      <w:szCs w:val="22"/>
    </w:rPr>
  </w:style>
  <w:style w:type="paragraph" w:customStyle="1" w:styleId="1-MainHeading0">
    <w:name w:val="1- Main Heading"/>
    <w:link w:val="1-MainHeadingChar0"/>
    <w:qFormat/>
    <w:rsid w:val="000D40B9"/>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0">
    <w:name w:val="1- Main Heading Char"/>
    <w:basedOn w:val="DefaultParagraphFont"/>
    <w:link w:val="1-MainHeading0"/>
    <w:rsid w:val="000D40B9"/>
    <w:rPr>
      <w:rFonts w:asciiTheme="minorHAnsi" w:eastAsiaTheme="majorEastAsia" w:hAnsiTheme="minorHAnsi" w:cstheme="majorBidi"/>
      <w:b/>
      <w:spacing w:val="5"/>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3782">
      <w:bodyDiv w:val="1"/>
      <w:marLeft w:val="0"/>
      <w:marRight w:val="0"/>
      <w:marTop w:val="0"/>
      <w:marBottom w:val="0"/>
      <w:divBdr>
        <w:top w:val="none" w:sz="0" w:space="0" w:color="auto"/>
        <w:left w:val="none" w:sz="0" w:space="0" w:color="auto"/>
        <w:bottom w:val="none" w:sz="0" w:space="0" w:color="auto"/>
        <w:right w:val="none" w:sz="0" w:space="0" w:color="auto"/>
      </w:divBdr>
      <w:divsChild>
        <w:div w:id="2005933486">
          <w:marLeft w:val="446"/>
          <w:marRight w:val="0"/>
          <w:marTop w:val="0"/>
          <w:marBottom w:val="0"/>
          <w:divBdr>
            <w:top w:val="none" w:sz="0" w:space="0" w:color="auto"/>
            <w:left w:val="none" w:sz="0" w:space="0" w:color="auto"/>
            <w:bottom w:val="none" w:sz="0" w:space="0" w:color="auto"/>
            <w:right w:val="none" w:sz="0" w:space="0" w:color="auto"/>
          </w:divBdr>
        </w:div>
        <w:div w:id="1460608368">
          <w:marLeft w:val="1166"/>
          <w:marRight w:val="0"/>
          <w:marTop w:val="0"/>
          <w:marBottom w:val="0"/>
          <w:divBdr>
            <w:top w:val="none" w:sz="0" w:space="0" w:color="auto"/>
            <w:left w:val="none" w:sz="0" w:space="0" w:color="auto"/>
            <w:bottom w:val="none" w:sz="0" w:space="0" w:color="auto"/>
            <w:right w:val="none" w:sz="0" w:space="0" w:color="auto"/>
          </w:divBdr>
        </w:div>
        <w:div w:id="132645447">
          <w:marLeft w:val="1166"/>
          <w:marRight w:val="0"/>
          <w:marTop w:val="0"/>
          <w:marBottom w:val="0"/>
          <w:divBdr>
            <w:top w:val="none" w:sz="0" w:space="0" w:color="auto"/>
            <w:left w:val="none" w:sz="0" w:space="0" w:color="auto"/>
            <w:bottom w:val="none" w:sz="0" w:space="0" w:color="auto"/>
            <w:right w:val="none" w:sz="0" w:space="0" w:color="auto"/>
          </w:divBdr>
        </w:div>
        <w:div w:id="1458833572">
          <w:marLeft w:val="1166"/>
          <w:marRight w:val="0"/>
          <w:marTop w:val="0"/>
          <w:marBottom w:val="0"/>
          <w:divBdr>
            <w:top w:val="none" w:sz="0" w:space="0" w:color="auto"/>
            <w:left w:val="none" w:sz="0" w:space="0" w:color="auto"/>
            <w:bottom w:val="none" w:sz="0" w:space="0" w:color="auto"/>
            <w:right w:val="none" w:sz="0" w:space="0" w:color="auto"/>
          </w:divBdr>
        </w:div>
        <w:div w:id="405733734">
          <w:marLeft w:val="1166"/>
          <w:marRight w:val="0"/>
          <w:marTop w:val="0"/>
          <w:marBottom w:val="0"/>
          <w:divBdr>
            <w:top w:val="none" w:sz="0" w:space="0" w:color="auto"/>
            <w:left w:val="none" w:sz="0" w:space="0" w:color="auto"/>
            <w:bottom w:val="none" w:sz="0" w:space="0" w:color="auto"/>
            <w:right w:val="none" w:sz="0" w:space="0" w:color="auto"/>
          </w:divBdr>
        </w:div>
        <w:div w:id="1799181186">
          <w:marLeft w:val="1166"/>
          <w:marRight w:val="0"/>
          <w:marTop w:val="0"/>
          <w:marBottom w:val="0"/>
          <w:divBdr>
            <w:top w:val="none" w:sz="0" w:space="0" w:color="auto"/>
            <w:left w:val="none" w:sz="0" w:space="0" w:color="auto"/>
            <w:bottom w:val="none" w:sz="0" w:space="0" w:color="auto"/>
            <w:right w:val="none" w:sz="0" w:space="0" w:color="auto"/>
          </w:divBdr>
        </w:div>
        <w:div w:id="2017882784">
          <w:marLeft w:val="1166"/>
          <w:marRight w:val="0"/>
          <w:marTop w:val="0"/>
          <w:marBottom w:val="0"/>
          <w:divBdr>
            <w:top w:val="none" w:sz="0" w:space="0" w:color="auto"/>
            <w:left w:val="none" w:sz="0" w:space="0" w:color="auto"/>
            <w:bottom w:val="none" w:sz="0" w:space="0" w:color="auto"/>
            <w:right w:val="none" w:sz="0" w:space="0" w:color="auto"/>
          </w:divBdr>
        </w:div>
      </w:divsChild>
    </w:div>
    <w:div w:id="85153288">
      <w:bodyDiv w:val="1"/>
      <w:marLeft w:val="0"/>
      <w:marRight w:val="0"/>
      <w:marTop w:val="0"/>
      <w:marBottom w:val="0"/>
      <w:divBdr>
        <w:top w:val="none" w:sz="0" w:space="0" w:color="auto"/>
        <w:left w:val="none" w:sz="0" w:space="0" w:color="auto"/>
        <w:bottom w:val="none" w:sz="0" w:space="0" w:color="auto"/>
        <w:right w:val="none" w:sz="0" w:space="0" w:color="auto"/>
      </w:divBdr>
      <w:divsChild>
        <w:div w:id="424957498">
          <w:marLeft w:val="360"/>
          <w:marRight w:val="0"/>
          <w:marTop w:val="200"/>
          <w:marBottom w:val="0"/>
          <w:divBdr>
            <w:top w:val="none" w:sz="0" w:space="0" w:color="auto"/>
            <w:left w:val="none" w:sz="0" w:space="0" w:color="auto"/>
            <w:bottom w:val="none" w:sz="0" w:space="0" w:color="auto"/>
            <w:right w:val="none" w:sz="0" w:space="0" w:color="auto"/>
          </w:divBdr>
        </w:div>
        <w:div w:id="765617991">
          <w:marLeft w:val="360"/>
          <w:marRight w:val="0"/>
          <w:marTop w:val="200"/>
          <w:marBottom w:val="0"/>
          <w:divBdr>
            <w:top w:val="none" w:sz="0" w:space="0" w:color="auto"/>
            <w:left w:val="none" w:sz="0" w:space="0" w:color="auto"/>
            <w:bottom w:val="none" w:sz="0" w:space="0" w:color="auto"/>
            <w:right w:val="none" w:sz="0" w:space="0" w:color="auto"/>
          </w:divBdr>
        </w:div>
        <w:div w:id="1562449311">
          <w:marLeft w:val="360"/>
          <w:marRight w:val="0"/>
          <w:marTop w:val="20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5312650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7928003">
      <w:bodyDiv w:val="1"/>
      <w:marLeft w:val="0"/>
      <w:marRight w:val="0"/>
      <w:marTop w:val="0"/>
      <w:marBottom w:val="0"/>
      <w:divBdr>
        <w:top w:val="none" w:sz="0" w:space="0" w:color="auto"/>
        <w:left w:val="none" w:sz="0" w:space="0" w:color="auto"/>
        <w:bottom w:val="none" w:sz="0" w:space="0" w:color="auto"/>
        <w:right w:val="none" w:sz="0" w:space="0" w:color="auto"/>
      </w:divBdr>
    </w:div>
    <w:div w:id="391857628">
      <w:bodyDiv w:val="1"/>
      <w:marLeft w:val="0"/>
      <w:marRight w:val="0"/>
      <w:marTop w:val="0"/>
      <w:marBottom w:val="0"/>
      <w:divBdr>
        <w:top w:val="none" w:sz="0" w:space="0" w:color="auto"/>
        <w:left w:val="none" w:sz="0" w:space="0" w:color="auto"/>
        <w:bottom w:val="none" w:sz="0" w:space="0" w:color="auto"/>
        <w:right w:val="none" w:sz="0" w:space="0" w:color="auto"/>
      </w:divBdr>
    </w:div>
    <w:div w:id="394665917">
      <w:bodyDiv w:val="1"/>
      <w:marLeft w:val="0"/>
      <w:marRight w:val="0"/>
      <w:marTop w:val="0"/>
      <w:marBottom w:val="0"/>
      <w:divBdr>
        <w:top w:val="none" w:sz="0" w:space="0" w:color="auto"/>
        <w:left w:val="none" w:sz="0" w:space="0" w:color="auto"/>
        <w:bottom w:val="none" w:sz="0" w:space="0" w:color="auto"/>
        <w:right w:val="none" w:sz="0" w:space="0" w:color="auto"/>
      </w:divBdr>
    </w:div>
    <w:div w:id="501699385">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59993058">
      <w:bodyDiv w:val="1"/>
      <w:marLeft w:val="0"/>
      <w:marRight w:val="0"/>
      <w:marTop w:val="0"/>
      <w:marBottom w:val="0"/>
      <w:divBdr>
        <w:top w:val="none" w:sz="0" w:space="0" w:color="auto"/>
        <w:left w:val="none" w:sz="0" w:space="0" w:color="auto"/>
        <w:bottom w:val="none" w:sz="0" w:space="0" w:color="auto"/>
        <w:right w:val="none" w:sz="0" w:space="0" w:color="auto"/>
      </w:divBdr>
      <w:divsChild>
        <w:div w:id="559097782">
          <w:marLeft w:val="360"/>
          <w:marRight w:val="0"/>
          <w:marTop w:val="200"/>
          <w:marBottom w:val="0"/>
          <w:divBdr>
            <w:top w:val="none" w:sz="0" w:space="0" w:color="auto"/>
            <w:left w:val="none" w:sz="0" w:space="0" w:color="auto"/>
            <w:bottom w:val="none" w:sz="0" w:space="0" w:color="auto"/>
            <w:right w:val="none" w:sz="0" w:space="0" w:color="auto"/>
          </w:divBdr>
        </w:div>
        <w:div w:id="1450079150">
          <w:marLeft w:val="360"/>
          <w:marRight w:val="0"/>
          <w:marTop w:val="200"/>
          <w:marBottom w:val="0"/>
          <w:divBdr>
            <w:top w:val="none" w:sz="0" w:space="0" w:color="auto"/>
            <w:left w:val="none" w:sz="0" w:space="0" w:color="auto"/>
            <w:bottom w:val="none" w:sz="0" w:space="0" w:color="auto"/>
            <w:right w:val="none" w:sz="0" w:space="0" w:color="auto"/>
          </w:divBdr>
        </w:div>
        <w:div w:id="879364498">
          <w:marLeft w:val="360"/>
          <w:marRight w:val="0"/>
          <w:marTop w:val="200"/>
          <w:marBottom w:val="0"/>
          <w:divBdr>
            <w:top w:val="none" w:sz="0" w:space="0" w:color="auto"/>
            <w:left w:val="none" w:sz="0" w:space="0" w:color="auto"/>
            <w:bottom w:val="none" w:sz="0" w:space="0" w:color="auto"/>
            <w:right w:val="none" w:sz="0" w:space="0" w:color="auto"/>
          </w:divBdr>
        </w:div>
      </w:divsChild>
    </w:div>
    <w:div w:id="984435389">
      <w:bodyDiv w:val="1"/>
      <w:marLeft w:val="0"/>
      <w:marRight w:val="0"/>
      <w:marTop w:val="0"/>
      <w:marBottom w:val="0"/>
      <w:divBdr>
        <w:top w:val="none" w:sz="0" w:space="0" w:color="auto"/>
        <w:left w:val="none" w:sz="0" w:space="0" w:color="auto"/>
        <w:bottom w:val="none" w:sz="0" w:space="0" w:color="auto"/>
        <w:right w:val="none" w:sz="0" w:space="0" w:color="auto"/>
      </w:divBdr>
      <w:divsChild>
        <w:div w:id="1950119085">
          <w:marLeft w:val="0"/>
          <w:marRight w:val="0"/>
          <w:marTop w:val="0"/>
          <w:marBottom w:val="0"/>
          <w:divBdr>
            <w:top w:val="none" w:sz="0" w:space="0" w:color="auto"/>
            <w:left w:val="none" w:sz="0" w:space="0" w:color="auto"/>
            <w:bottom w:val="none" w:sz="0" w:space="0" w:color="auto"/>
            <w:right w:val="none" w:sz="0" w:space="0" w:color="auto"/>
          </w:divBdr>
        </w:div>
      </w:divsChild>
    </w:div>
    <w:div w:id="116543483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92063617">
      <w:bodyDiv w:val="1"/>
      <w:marLeft w:val="0"/>
      <w:marRight w:val="0"/>
      <w:marTop w:val="0"/>
      <w:marBottom w:val="0"/>
      <w:divBdr>
        <w:top w:val="none" w:sz="0" w:space="0" w:color="auto"/>
        <w:left w:val="none" w:sz="0" w:space="0" w:color="auto"/>
        <w:bottom w:val="none" w:sz="0" w:space="0" w:color="auto"/>
        <w:right w:val="none" w:sz="0" w:space="0" w:color="auto"/>
      </w:divBdr>
    </w:div>
    <w:div w:id="1217859560">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3812686">
      <w:bodyDiv w:val="1"/>
      <w:marLeft w:val="0"/>
      <w:marRight w:val="0"/>
      <w:marTop w:val="0"/>
      <w:marBottom w:val="0"/>
      <w:divBdr>
        <w:top w:val="none" w:sz="0" w:space="0" w:color="auto"/>
        <w:left w:val="none" w:sz="0" w:space="0" w:color="auto"/>
        <w:bottom w:val="none" w:sz="0" w:space="0" w:color="auto"/>
        <w:right w:val="none" w:sz="0" w:space="0" w:color="auto"/>
      </w:divBdr>
    </w:div>
    <w:div w:id="1304698749">
      <w:bodyDiv w:val="1"/>
      <w:marLeft w:val="0"/>
      <w:marRight w:val="0"/>
      <w:marTop w:val="0"/>
      <w:marBottom w:val="0"/>
      <w:divBdr>
        <w:top w:val="none" w:sz="0" w:space="0" w:color="auto"/>
        <w:left w:val="none" w:sz="0" w:space="0" w:color="auto"/>
        <w:bottom w:val="none" w:sz="0" w:space="0" w:color="auto"/>
        <w:right w:val="none" w:sz="0" w:space="0" w:color="auto"/>
      </w:divBdr>
      <w:divsChild>
        <w:div w:id="1196775736">
          <w:marLeft w:val="0"/>
          <w:marRight w:val="0"/>
          <w:marTop w:val="0"/>
          <w:marBottom w:val="0"/>
          <w:divBdr>
            <w:top w:val="none" w:sz="0" w:space="0" w:color="auto"/>
            <w:left w:val="none" w:sz="0" w:space="0" w:color="auto"/>
            <w:bottom w:val="none" w:sz="0" w:space="0" w:color="auto"/>
            <w:right w:val="none" w:sz="0" w:space="0" w:color="auto"/>
          </w:divBdr>
        </w:div>
      </w:divsChild>
    </w:div>
    <w:div w:id="1435859023">
      <w:bodyDiv w:val="1"/>
      <w:marLeft w:val="0"/>
      <w:marRight w:val="0"/>
      <w:marTop w:val="0"/>
      <w:marBottom w:val="0"/>
      <w:divBdr>
        <w:top w:val="none" w:sz="0" w:space="0" w:color="auto"/>
        <w:left w:val="none" w:sz="0" w:space="0" w:color="auto"/>
        <w:bottom w:val="none" w:sz="0" w:space="0" w:color="auto"/>
        <w:right w:val="none" w:sz="0" w:space="0" w:color="auto"/>
      </w:divBdr>
    </w:div>
    <w:div w:id="1507943648">
      <w:bodyDiv w:val="1"/>
      <w:marLeft w:val="0"/>
      <w:marRight w:val="0"/>
      <w:marTop w:val="0"/>
      <w:marBottom w:val="0"/>
      <w:divBdr>
        <w:top w:val="none" w:sz="0" w:space="0" w:color="auto"/>
        <w:left w:val="none" w:sz="0" w:space="0" w:color="auto"/>
        <w:bottom w:val="none" w:sz="0" w:space="0" w:color="auto"/>
        <w:right w:val="none" w:sz="0" w:space="0" w:color="auto"/>
      </w:divBdr>
    </w:div>
    <w:div w:id="1559777553">
      <w:bodyDiv w:val="1"/>
      <w:marLeft w:val="0"/>
      <w:marRight w:val="0"/>
      <w:marTop w:val="0"/>
      <w:marBottom w:val="0"/>
      <w:divBdr>
        <w:top w:val="none" w:sz="0" w:space="0" w:color="auto"/>
        <w:left w:val="none" w:sz="0" w:space="0" w:color="auto"/>
        <w:bottom w:val="none" w:sz="0" w:space="0" w:color="auto"/>
        <w:right w:val="none" w:sz="0" w:space="0" w:color="auto"/>
      </w:divBdr>
    </w:div>
    <w:div w:id="1584560125">
      <w:bodyDiv w:val="1"/>
      <w:marLeft w:val="0"/>
      <w:marRight w:val="0"/>
      <w:marTop w:val="0"/>
      <w:marBottom w:val="0"/>
      <w:divBdr>
        <w:top w:val="none" w:sz="0" w:space="0" w:color="auto"/>
        <w:left w:val="none" w:sz="0" w:space="0" w:color="auto"/>
        <w:bottom w:val="none" w:sz="0" w:space="0" w:color="auto"/>
        <w:right w:val="none" w:sz="0" w:space="0" w:color="auto"/>
      </w:divBdr>
      <w:divsChild>
        <w:div w:id="1099182246">
          <w:marLeft w:val="0"/>
          <w:marRight w:val="0"/>
          <w:marTop w:val="0"/>
          <w:marBottom w:val="0"/>
          <w:divBdr>
            <w:top w:val="none" w:sz="0" w:space="0" w:color="auto"/>
            <w:left w:val="none" w:sz="0" w:space="0" w:color="auto"/>
            <w:bottom w:val="none" w:sz="0" w:space="0" w:color="auto"/>
            <w:right w:val="none" w:sz="0" w:space="0" w:color="auto"/>
          </w:divBdr>
        </w:div>
      </w:divsChild>
    </w:div>
    <w:div w:id="1722705337">
      <w:bodyDiv w:val="1"/>
      <w:marLeft w:val="0"/>
      <w:marRight w:val="0"/>
      <w:marTop w:val="0"/>
      <w:marBottom w:val="0"/>
      <w:divBdr>
        <w:top w:val="none" w:sz="0" w:space="0" w:color="auto"/>
        <w:left w:val="none" w:sz="0" w:space="0" w:color="auto"/>
        <w:bottom w:val="none" w:sz="0" w:space="0" w:color="auto"/>
        <w:right w:val="none" w:sz="0" w:space="0" w:color="auto"/>
      </w:divBdr>
      <w:divsChild>
        <w:div w:id="1541819927">
          <w:marLeft w:val="0"/>
          <w:marRight w:val="0"/>
          <w:marTop w:val="0"/>
          <w:marBottom w:val="0"/>
          <w:divBdr>
            <w:top w:val="none" w:sz="0" w:space="0" w:color="auto"/>
            <w:left w:val="none" w:sz="0" w:space="0" w:color="auto"/>
            <w:bottom w:val="none" w:sz="0" w:space="0" w:color="auto"/>
            <w:right w:val="none" w:sz="0" w:space="0" w:color="auto"/>
          </w:divBdr>
        </w:div>
      </w:divsChild>
    </w:div>
    <w:div w:id="1875384400">
      <w:bodyDiv w:val="1"/>
      <w:marLeft w:val="0"/>
      <w:marRight w:val="0"/>
      <w:marTop w:val="0"/>
      <w:marBottom w:val="0"/>
      <w:divBdr>
        <w:top w:val="none" w:sz="0" w:space="0" w:color="auto"/>
        <w:left w:val="none" w:sz="0" w:space="0" w:color="auto"/>
        <w:bottom w:val="none" w:sz="0" w:space="0" w:color="auto"/>
        <w:right w:val="none" w:sz="0" w:space="0" w:color="auto"/>
      </w:divBdr>
    </w:div>
    <w:div w:id="188398272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99772192">
      <w:bodyDiv w:val="1"/>
      <w:marLeft w:val="0"/>
      <w:marRight w:val="0"/>
      <w:marTop w:val="0"/>
      <w:marBottom w:val="0"/>
      <w:divBdr>
        <w:top w:val="none" w:sz="0" w:space="0" w:color="auto"/>
        <w:left w:val="none" w:sz="0" w:space="0" w:color="auto"/>
        <w:bottom w:val="none" w:sz="0" w:space="0" w:color="auto"/>
        <w:right w:val="none" w:sz="0" w:space="0" w:color="auto"/>
      </w:divBdr>
    </w:div>
    <w:div w:id="200890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arrod.ca/guidelines-and-resources" TargetMode="External"/><Relationship Id="rId1" Type="http://schemas.openxmlformats.org/officeDocument/2006/relationships/hyperlink" Target="https://doi.org/10.1111/imj.163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15688</Words>
  <Characters>86564</Characters>
  <Application>Microsoft Office Word</Application>
  <DocSecurity>0</DocSecurity>
  <Lines>721</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2024-08-23T01:09:00Z</dcterms:created>
  <dcterms:modified xsi:type="dcterms:W3CDTF">2024-08-23T01:09:00Z</dcterms:modified>
</cp:coreProperties>
</file>