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E5E1D" w14:textId="2313FA47" w:rsidR="004779D9" w:rsidRPr="00FE714A" w:rsidRDefault="009C7AC9" w:rsidP="00E113B7">
      <w:pPr>
        <w:pStyle w:val="1-MainHeading"/>
        <w:ind w:left="851" w:hanging="862"/>
      </w:pPr>
      <w:bookmarkStart w:id="0" w:name="_Toc155860009"/>
      <w:bookmarkStart w:id="1" w:name="_Toc380679747"/>
      <w:bookmarkStart w:id="2" w:name="_Toc380742604"/>
      <w:bookmarkStart w:id="3" w:name="_Toc380746171"/>
      <w:bookmarkStart w:id="4" w:name="_Toc380746294"/>
      <w:bookmarkStart w:id="5" w:name="_Toc380746578"/>
      <w:r w:rsidRPr="00FE714A">
        <w:t>5</w:t>
      </w:r>
      <w:r w:rsidR="004779D9" w:rsidRPr="00FE714A">
        <w:t>.</w:t>
      </w:r>
      <w:r w:rsidRPr="00FE714A">
        <w:t>12</w:t>
      </w:r>
      <w:r w:rsidR="004779D9" w:rsidRPr="00FE714A">
        <w:tab/>
        <w:t>LEBRIKIZUMAB,</w:t>
      </w:r>
      <w:r w:rsidR="004779D9" w:rsidRPr="00FE714A">
        <w:br/>
        <w:t>Injection 250 mg in 2</w:t>
      </w:r>
      <w:r w:rsidR="00996F74">
        <w:t> </w:t>
      </w:r>
      <w:r w:rsidR="004779D9" w:rsidRPr="00FE714A">
        <w:t>mL single use autoinjector,</w:t>
      </w:r>
      <w:r w:rsidR="004779D9" w:rsidRPr="00FE714A">
        <w:br/>
      </w:r>
      <w:proofErr w:type="spellStart"/>
      <w:r w:rsidR="004779D9" w:rsidRPr="00FE714A">
        <w:t>Ebglyss</w:t>
      </w:r>
      <w:proofErr w:type="spellEnd"/>
      <w:r w:rsidR="004779D9" w:rsidRPr="00FE714A">
        <w:rPr>
          <w:vertAlign w:val="superscript"/>
        </w:rPr>
        <w:t>®</w:t>
      </w:r>
      <w:r w:rsidR="004779D9" w:rsidRPr="00FE714A">
        <w:t>,</w:t>
      </w:r>
      <w:r w:rsidR="004779D9" w:rsidRPr="00FE714A">
        <w:br/>
        <w:t>ELI LILLY AUSTRALIA PTY LTD.</w:t>
      </w:r>
      <w:bookmarkEnd w:id="0"/>
    </w:p>
    <w:p w14:paraId="00413E68" w14:textId="77777777" w:rsidR="004779D9" w:rsidRPr="00FE714A" w:rsidRDefault="004779D9" w:rsidP="004779D9">
      <w:pPr>
        <w:pStyle w:val="2-SectionHeading"/>
        <w:numPr>
          <w:ilvl w:val="0"/>
          <w:numId w:val="1"/>
        </w:numPr>
      </w:pPr>
      <w:bookmarkStart w:id="6" w:name="_Toc155860011"/>
      <w:r w:rsidRPr="00FE714A">
        <w:t>Purpose of submission</w:t>
      </w:r>
      <w:bookmarkEnd w:id="6"/>
    </w:p>
    <w:p w14:paraId="6203DCF8" w14:textId="4DCE9654" w:rsidR="004779D9" w:rsidRPr="00FE714A" w:rsidRDefault="004779D9" w:rsidP="004E18E9">
      <w:pPr>
        <w:pStyle w:val="3-BodyText"/>
      </w:pPr>
      <w:r w:rsidRPr="00FE714A">
        <w:t xml:space="preserve">The Category </w:t>
      </w:r>
      <w:r w:rsidR="0068587C" w:rsidRPr="00FE714A">
        <w:t>2</w:t>
      </w:r>
      <w:r w:rsidRPr="00FE714A">
        <w:t xml:space="preserve"> submission requested a General Schedule Authority Required (Telephone/Online) listing for lebrikizumab (LEB) for the treatment of severe atopic dermatitis (AD)</w:t>
      </w:r>
      <w:r w:rsidR="00FE714A">
        <w:t xml:space="preserve">. </w:t>
      </w:r>
    </w:p>
    <w:p w14:paraId="4940F0FC" w14:textId="77777777" w:rsidR="004779D9" w:rsidRPr="00FE714A" w:rsidRDefault="004779D9" w:rsidP="004E18E9">
      <w:pPr>
        <w:pStyle w:val="3-BodyText"/>
      </w:pPr>
      <w:r w:rsidRPr="00FE714A">
        <w:t xml:space="preserve">Listing was requested on the basis of a cost-minimisation approach (CMA) versus dupilumab (DUPI). </w:t>
      </w:r>
    </w:p>
    <w:p w14:paraId="5B69C212" w14:textId="1A690E71" w:rsidR="004779D9" w:rsidRPr="00FE714A" w:rsidRDefault="004779D9" w:rsidP="004A6040">
      <w:pPr>
        <w:pStyle w:val="TableFigureHeading"/>
        <w:rPr>
          <w:rStyle w:val="CommentReference"/>
          <w:b/>
          <w:szCs w:val="24"/>
        </w:rPr>
      </w:pPr>
      <w:bookmarkStart w:id="7" w:name="_Ref155544431"/>
      <w:r w:rsidRPr="00FE714A">
        <w:lastRenderedPageBreak/>
        <w:t xml:space="preserve">Table </w:t>
      </w:r>
      <w:r w:rsidR="008B26E3">
        <w:fldChar w:fldCharType="begin" w:fldLock="1"/>
      </w:r>
      <w:r w:rsidR="008B26E3">
        <w:instrText xml:space="preserve"> SEQ Table \* ARABIC </w:instrText>
      </w:r>
      <w:r w:rsidR="008B26E3">
        <w:fldChar w:fldCharType="separate"/>
      </w:r>
      <w:r w:rsidR="00B3585E">
        <w:rPr>
          <w:noProof/>
        </w:rPr>
        <w:t>1</w:t>
      </w:r>
      <w:r w:rsidR="008B26E3">
        <w:rPr>
          <w:noProof/>
        </w:rPr>
        <w:fldChar w:fldCharType="end"/>
      </w:r>
      <w:bookmarkEnd w:id="7"/>
      <w:r w:rsidRPr="00FE714A">
        <w:t>:</w:t>
      </w:r>
      <w:r w:rsidRPr="00FE714A">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as stated in the submission)"/>
      </w:tblPr>
      <w:tblGrid>
        <w:gridCol w:w="1643"/>
        <w:gridCol w:w="7374"/>
      </w:tblGrid>
      <w:tr w:rsidR="004779D9" w:rsidRPr="00FE714A" w14:paraId="424947EB" w14:textId="77777777" w:rsidTr="00F26C19">
        <w:tc>
          <w:tcPr>
            <w:tcW w:w="911" w:type="pct"/>
            <w:vAlign w:val="center"/>
          </w:tcPr>
          <w:p w14:paraId="0347142B" w14:textId="77777777" w:rsidR="004779D9" w:rsidRPr="00FE714A" w:rsidRDefault="004779D9" w:rsidP="00E8207A">
            <w:pPr>
              <w:pStyle w:val="In-tableHeading"/>
              <w:rPr>
                <w:lang w:val="en-AU"/>
              </w:rPr>
            </w:pPr>
            <w:r w:rsidRPr="00FE714A">
              <w:rPr>
                <w:lang w:val="en-AU"/>
              </w:rPr>
              <w:t>Component</w:t>
            </w:r>
          </w:p>
        </w:tc>
        <w:tc>
          <w:tcPr>
            <w:tcW w:w="4089" w:type="pct"/>
            <w:vAlign w:val="center"/>
          </w:tcPr>
          <w:p w14:paraId="58DD711D" w14:textId="77777777" w:rsidR="004779D9" w:rsidRPr="00FE714A" w:rsidRDefault="004779D9" w:rsidP="00E8207A">
            <w:pPr>
              <w:pStyle w:val="In-tableHeading"/>
              <w:rPr>
                <w:lang w:val="en-AU"/>
              </w:rPr>
            </w:pPr>
            <w:r w:rsidRPr="00FE714A">
              <w:rPr>
                <w:lang w:val="en-AU"/>
              </w:rPr>
              <w:t>Description</w:t>
            </w:r>
          </w:p>
        </w:tc>
      </w:tr>
      <w:tr w:rsidR="004779D9" w:rsidRPr="00FE714A" w14:paraId="4A4A41F0" w14:textId="77777777" w:rsidTr="00F26C19">
        <w:tc>
          <w:tcPr>
            <w:tcW w:w="911" w:type="pct"/>
            <w:vAlign w:val="center"/>
          </w:tcPr>
          <w:p w14:paraId="1058DFCF" w14:textId="77777777" w:rsidR="004779D9" w:rsidRPr="00FE714A" w:rsidRDefault="004779D9" w:rsidP="00E8207A">
            <w:pPr>
              <w:pStyle w:val="TableText0"/>
            </w:pPr>
            <w:r w:rsidRPr="00FE714A">
              <w:t>Population</w:t>
            </w:r>
          </w:p>
        </w:tc>
        <w:tc>
          <w:tcPr>
            <w:tcW w:w="4089" w:type="pct"/>
            <w:vAlign w:val="center"/>
          </w:tcPr>
          <w:p w14:paraId="3C8ECF15" w14:textId="77777777" w:rsidR="004779D9" w:rsidRPr="00FE714A" w:rsidRDefault="004779D9" w:rsidP="00E8207A">
            <w:pPr>
              <w:pStyle w:val="TableText0"/>
            </w:pPr>
            <w:r w:rsidRPr="00FE714A">
              <w:t xml:space="preserve">Patients aged 12 years or older with severe atopic dermatitis, affecting the whole body or the face and/or hands, who are inadequately controlled on topical therapies. </w:t>
            </w:r>
          </w:p>
          <w:p w14:paraId="4DAB2C06" w14:textId="77777777" w:rsidR="004779D9" w:rsidRPr="00FE714A" w:rsidRDefault="004779D9" w:rsidP="00E8207A">
            <w:pPr>
              <w:pStyle w:val="TableText0"/>
            </w:pPr>
            <w:r w:rsidRPr="00FE714A">
              <w:t xml:space="preserve">Key baseline characteristics defining patients eligible for treatment: </w:t>
            </w:r>
          </w:p>
          <w:p w14:paraId="3AC4C263" w14:textId="77777777" w:rsidR="004779D9" w:rsidRPr="00FE714A" w:rsidRDefault="004779D9" w:rsidP="00E8207A">
            <w:pPr>
              <w:pStyle w:val="TableText0"/>
            </w:pPr>
            <w:r w:rsidRPr="00FE714A">
              <w:t xml:space="preserve">Whole body: </w:t>
            </w:r>
          </w:p>
          <w:p w14:paraId="37380682" w14:textId="774A42DE" w:rsidR="004779D9" w:rsidRPr="00FE714A" w:rsidRDefault="004779D9" w:rsidP="00E8207A">
            <w:pPr>
              <w:pStyle w:val="TableText0"/>
              <w:ind w:left="209"/>
            </w:pPr>
            <w:r w:rsidRPr="00FE714A">
              <w:t>• EASI ≥ 20, AND PGA = 4</w:t>
            </w:r>
          </w:p>
          <w:p w14:paraId="7B5E70EE" w14:textId="77777777" w:rsidR="004779D9" w:rsidRPr="00FE714A" w:rsidRDefault="004779D9" w:rsidP="00E8207A">
            <w:pPr>
              <w:pStyle w:val="TableText0"/>
            </w:pPr>
            <w:r w:rsidRPr="00FE714A">
              <w:t>Face and/or hands:</w:t>
            </w:r>
          </w:p>
          <w:p w14:paraId="711F5424" w14:textId="77777777" w:rsidR="004779D9" w:rsidRPr="00FE714A" w:rsidRDefault="004779D9" w:rsidP="00E8207A">
            <w:pPr>
              <w:pStyle w:val="TableText0"/>
              <w:ind w:left="209"/>
            </w:pPr>
            <w:r w:rsidRPr="00FE714A">
              <w:t xml:space="preserve">• 2 x EASI symptom </w:t>
            </w:r>
            <w:proofErr w:type="spellStart"/>
            <w:r w:rsidRPr="00FE714A">
              <w:t>subscores</w:t>
            </w:r>
            <w:proofErr w:type="spellEnd"/>
            <w:r w:rsidRPr="00FE714A">
              <w:t xml:space="preserve"> rated as ‘severe’ (3), OR</w:t>
            </w:r>
          </w:p>
          <w:p w14:paraId="59EBE8AE" w14:textId="77777777" w:rsidR="004779D9" w:rsidRPr="00FE714A" w:rsidRDefault="004779D9" w:rsidP="00E8207A">
            <w:pPr>
              <w:pStyle w:val="TableText0"/>
              <w:ind w:left="209"/>
            </w:pPr>
            <w:r w:rsidRPr="00FE714A">
              <w:t>• ≥ 30% Surface area of face and/or hands affected</w:t>
            </w:r>
          </w:p>
        </w:tc>
      </w:tr>
      <w:tr w:rsidR="004779D9" w:rsidRPr="00FE714A" w14:paraId="627378FC" w14:textId="77777777" w:rsidTr="00F26C19">
        <w:tc>
          <w:tcPr>
            <w:tcW w:w="911" w:type="pct"/>
            <w:vAlign w:val="center"/>
          </w:tcPr>
          <w:p w14:paraId="1DD06F27" w14:textId="77777777" w:rsidR="004779D9" w:rsidRPr="00FE714A" w:rsidRDefault="004779D9" w:rsidP="00E8207A">
            <w:pPr>
              <w:pStyle w:val="TableText0"/>
            </w:pPr>
            <w:r w:rsidRPr="00FE714A">
              <w:t>Intervention</w:t>
            </w:r>
          </w:p>
        </w:tc>
        <w:tc>
          <w:tcPr>
            <w:tcW w:w="4089" w:type="pct"/>
            <w:vAlign w:val="center"/>
          </w:tcPr>
          <w:p w14:paraId="6044F246" w14:textId="77777777" w:rsidR="004779D9" w:rsidRPr="00FE714A" w:rsidRDefault="004779D9" w:rsidP="00E8207A">
            <w:pPr>
              <w:pStyle w:val="TableText0"/>
            </w:pPr>
            <w:r w:rsidRPr="00FE714A">
              <w:t>In adults and adolescents weighing ≥40 kg:</w:t>
            </w:r>
          </w:p>
          <w:p w14:paraId="500F4FBB" w14:textId="77777777" w:rsidR="004779D9" w:rsidRPr="00FE714A" w:rsidRDefault="004779D9" w:rsidP="00E8207A">
            <w:pPr>
              <w:pStyle w:val="TableText0"/>
            </w:pPr>
            <w:r w:rsidRPr="00FE714A">
              <w:t>Initiation: LEB 500 mg SC injection as loading doses at Week 0 &amp; 2, followed by LEB 250 mg SC injection Q2W until week 16.</w:t>
            </w:r>
          </w:p>
          <w:p w14:paraId="55DEE13B" w14:textId="6AD0BB3F" w:rsidR="004779D9" w:rsidRPr="00FE714A" w:rsidRDefault="004779D9" w:rsidP="00E8207A">
            <w:pPr>
              <w:pStyle w:val="TableText0"/>
            </w:pPr>
            <w:r w:rsidRPr="00FE714A">
              <w:t>Maintenance: LEB 250 mg SC injection Q4W</w:t>
            </w:r>
          </w:p>
        </w:tc>
      </w:tr>
      <w:tr w:rsidR="004779D9" w:rsidRPr="00FE714A" w14:paraId="03C5E163" w14:textId="77777777" w:rsidTr="00F26C19">
        <w:tc>
          <w:tcPr>
            <w:tcW w:w="911" w:type="pct"/>
            <w:vAlign w:val="center"/>
          </w:tcPr>
          <w:p w14:paraId="02F5529D" w14:textId="77777777" w:rsidR="004779D9" w:rsidRPr="00FE714A" w:rsidRDefault="004779D9" w:rsidP="00E8207A">
            <w:pPr>
              <w:pStyle w:val="TableText0"/>
            </w:pPr>
            <w:r w:rsidRPr="00FE714A">
              <w:t>Comparator</w:t>
            </w:r>
          </w:p>
        </w:tc>
        <w:tc>
          <w:tcPr>
            <w:tcW w:w="4089" w:type="pct"/>
            <w:vAlign w:val="center"/>
          </w:tcPr>
          <w:p w14:paraId="186EF634" w14:textId="77777777" w:rsidR="004779D9" w:rsidRPr="00FE714A" w:rsidRDefault="004779D9" w:rsidP="00E8207A">
            <w:pPr>
              <w:pStyle w:val="TableText0"/>
            </w:pPr>
            <w:r w:rsidRPr="00FE714A">
              <w:t xml:space="preserve">Main comparator: </w:t>
            </w:r>
          </w:p>
          <w:p w14:paraId="73E7DFF6" w14:textId="77777777" w:rsidR="004779D9" w:rsidRPr="00FE714A" w:rsidRDefault="004779D9" w:rsidP="00E8207A">
            <w:pPr>
              <w:pStyle w:val="TableText0"/>
            </w:pPr>
            <w:r w:rsidRPr="00FE714A">
              <w:t>- In adult patients: DUPI 600 mg SC injection as a loading dose followed by 300 mg SC injection Q2W</w:t>
            </w:r>
          </w:p>
          <w:p w14:paraId="2187E49E" w14:textId="77777777" w:rsidR="004779D9" w:rsidRPr="00FE714A" w:rsidRDefault="004779D9" w:rsidP="00E8207A">
            <w:pPr>
              <w:pStyle w:val="TableText0"/>
            </w:pPr>
            <w:r w:rsidRPr="00FE714A">
              <w:t>- In adolescents ≥ 60 kg: DUPI 600 mg SC injection as a loading dose followed by 300 mg SC injection Q2W</w:t>
            </w:r>
          </w:p>
          <w:p w14:paraId="755A4BCD" w14:textId="77777777" w:rsidR="004779D9" w:rsidRPr="00FE714A" w:rsidRDefault="004779D9" w:rsidP="00E8207A">
            <w:pPr>
              <w:pStyle w:val="TableText0"/>
            </w:pPr>
            <w:r w:rsidRPr="00FE714A">
              <w:t>- In adolescents 30 kg to &lt; 60 kg: DUPI 400 mg SC injection as a loading dose, followed by 200 mg SC injection Q2W</w:t>
            </w:r>
          </w:p>
          <w:p w14:paraId="241ADF7A" w14:textId="77777777" w:rsidR="004779D9" w:rsidRPr="00FE714A" w:rsidRDefault="004779D9" w:rsidP="00E8207A">
            <w:pPr>
              <w:pStyle w:val="TableText0"/>
            </w:pPr>
            <w:r w:rsidRPr="00FE714A">
              <w:t>Secondary comparator:</w:t>
            </w:r>
          </w:p>
          <w:p w14:paraId="35FC034B" w14:textId="77777777" w:rsidR="004779D9" w:rsidRPr="00FE714A" w:rsidRDefault="004779D9" w:rsidP="00E8207A">
            <w:pPr>
              <w:pStyle w:val="TableText0"/>
            </w:pPr>
            <w:r w:rsidRPr="00FE714A">
              <w:t>- In adult patients: UPA 15 or 30 mg tablet, once daily</w:t>
            </w:r>
          </w:p>
          <w:p w14:paraId="1B2F61C1" w14:textId="45ADF5FC" w:rsidR="004779D9" w:rsidRPr="00FE714A" w:rsidRDefault="004779D9" w:rsidP="00E8207A">
            <w:pPr>
              <w:pStyle w:val="TableText0"/>
            </w:pPr>
            <w:r w:rsidRPr="00FE714A">
              <w:t>- In adolescent patients: UPA 15 mg tablet, once daily</w:t>
            </w:r>
          </w:p>
        </w:tc>
      </w:tr>
      <w:tr w:rsidR="004779D9" w:rsidRPr="00FE714A" w14:paraId="01034D08" w14:textId="77777777" w:rsidTr="00F26C19">
        <w:tc>
          <w:tcPr>
            <w:tcW w:w="911" w:type="pct"/>
            <w:vAlign w:val="center"/>
          </w:tcPr>
          <w:p w14:paraId="59645640" w14:textId="77777777" w:rsidR="004779D9" w:rsidRPr="00FE714A" w:rsidRDefault="004779D9" w:rsidP="00E8207A">
            <w:pPr>
              <w:pStyle w:val="TableText0"/>
            </w:pPr>
            <w:r w:rsidRPr="00FE714A">
              <w:t>Outcomes</w:t>
            </w:r>
          </w:p>
        </w:tc>
        <w:tc>
          <w:tcPr>
            <w:tcW w:w="4089" w:type="pct"/>
            <w:vAlign w:val="center"/>
          </w:tcPr>
          <w:p w14:paraId="794DB36F" w14:textId="77777777" w:rsidR="004779D9" w:rsidRPr="00FE714A" w:rsidRDefault="004779D9" w:rsidP="00E8207A">
            <w:pPr>
              <w:pStyle w:val="TableText0"/>
            </w:pPr>
            <w:r w:rsidRPr="00FE714A">
              <w:t>Primary outcomes: Proportion of patients with a 75% improvement in EASI score at Week 16 (EASI 75); proportion of patients achieving IGA score of 0 or 1 with a ≥ 2-point improvement at Week 16.</w:t>
            </w:r>
          </w:p>
          <w:p w14:paraId="34E98F87" w14:textId="77777777" w:rsidR="004779D9" w:rsidRPr="00FE714A" w:rsidRDefault="004779D9" w:rsidP="00E8207A">
            <w:pPr>
              <w:pStyle w:val="TableText0"/>
            </w:pPr>
            <w:r w:rsidRPr="00FE714A">
              <w:t>Secondary outcomes: Proportion of patients achieving a 50% improvement in EASI score (EASI 50); proportion of patients achieving a ≥ 4-point improvement in DLQI at Week 16.</w:t>
            </w:r>
          </w:p>
          <w:p w14:paraId="7F33FE96" w14:textId="77777777" w:rsidR="004779D9" w:rsidRPr="00FE714A" w:rsidRDefault="004779D9" w:rsidP="00E8207A">
            <w:pPr>
              <w:pStyle w:val="TableText0"/>
            </w:pPr>
            <w:r w:rsidRPr="00FE714A">
              <w:t xml:space="preserve">Safety outcomes: Proportion of patients experiencing AEs, </w:t>
            </w:r>
            <w:proofErr w:type="gramStart"/>
            <w:r w:rsidRPr="00FE714A">
              <w:t>SAEs</w:t>
            </w:r>
            <w:proofErr w:type="gramEnd"/>
            <w:r w:rsidRPr="00FE714A">
              <w:t xml:space="preserve"> and discontinuation of treatment due to AEs. </w:t>
            </w:r>
          </w:p>
          <w:p w14:paraId="08BACAD0" w14:textId="77777777" w:rsidR="004779D9" w:rsidRPr="00FE714A" w:rsidRDefault="004779D9" w:rsidP="00E8207A">
            <w:pPr>
              <w:pStyle w:val="TableText0"/>
            </w:pPr>
            <w:r w:rsidRPr="00FE714A">
              <w:t>Post-hoc outcome: PBS response criteria: composite measure of response EASI 50 and improvement in DLQI ≥4-points, at Week 16.</w:t>
            </w:r>
          </w:p>
        </w:tc>
      </w:tr>
      <w:tr w:rsidR="004779D9" w:rsidRPr="00FE714A" w14:paraId="7C77F30F" w14:textId="77777777" w:rsidTr="00F26C19">
        <w:tc>
          <w:tcPr>
            <w:tcW w:w="911" w:type="pct"/>
            <w:vAlign w:val="center"/>
          </w:tcPr>
          <w:p w14:paraId="76AED99C" w14:textId="77777777" w:rsidR="004779D9" w:rsidRPr="00FE714A" w:rsidRDefault="004779D9" w:rsidP="00E8207A">
            <w:pPr>
              <w:pStyle w:val="TableText0"/>
            </w:pPr>
            <w:r w:rsidRPr="00FE714A">
              <w:t>Clinical claim</w:t>
            </w:r>
          </w:p>
        </w:tc>
        <w:tc>
          <w:tcPr>
            <w:tcW w:w="4089" w:type="pct"/>
            <w:vAlign w:val="center"/>
          </w:tcPr>
          <w:p w14:paraId="2CDF2E3C" w14:textId="77777777" w:rsidR="004779D9" w:rsidRPr="00FE714A" w:rsidRDefault="004779D9" w:rsidP="00E8207A">
            <w:pPr>
              <w:pStyle w:val="TableText0"/>
            </w:pPr>
            <w:r w:rsidRPr="00FE714A">
              <w:t xml:space="preserve">Based on the indirect comparison for the composite outcome in the severe AD subgroup: </w:t>
            </w:r>
          </w:p>
          <w:p w14:paraId="08FD7CDB" w14:textId="77777777" w:rsidR="004779D9" w:rsidRPr="00FE714A" w:rsidRDefault="004779D9" w:rsidP="00E8207A">
            <w:pPr>
              <w:pStyle w:val="TableText0"/>
            </w:pPr>
            <w:r w:rsidRPr="00FE714A">
              <w:t xml:space="preserve">LEB 250 mg Q2W ± TCS is non-inferior to DUPI 300 mg Q2W ± TCS for efficacy. </w:t>
            </w:r>
          </w:p>
          <w:p w14:paraId="7FAB94DA" w14:textId="77777777" w:rsidR="004779D9" w:rsidRPr="00FE714A" w:rsidRDefault="004779D9" w:rsidP="00E8207A">
            <w:pPr>
              <w:pStyle w:val="TableText0"/>
            </w:pPr>
            <w:r w:rsidRPr="00FE714A">
              <w:t>LEB 250 mg Q2W± TCS is non-inferior to DUPI 300 mg Q2W ± TCS for safety.</w:t>
            </w:r>
          </w:p>
          <w:p w14:paraId="747A7158" w14:textId="77777777" w:rsidR="004779D9" w:rsidRPr="00FE714A" w:rsidRDefault="004779D9" w:rsidP="00E8207A">
            <w:pPr>
              <w:pStyle w:val="TableText0"/>
            </w:pPr>
            <w:r w:rsidRPr="00FE714A">
              <w:t>LEB 250 mg Q2W ± TCS is non-inferior to UPA 15 mg ± TCS and UPA 30 mg ± TCS for efficacy.</w:t>
            </w:r>
          </w:p>
          <w:p w14:paraId="185B2A71" w14:textId="77777777" w:rsidR="004779D9" w:rsidRPr="00FE714A" w:rsidRDefault="004779D9" w:rsidP="00E8207A">
            <w:pPr>
              <w:pStyle w:val="TableText0"/>
            </w:pPr>
            <w:r w:rsidRPr="00FE714A">
              <w:t>LEB 250 mg Q2W± TCS is non-inferior to UPA 15 mg ± TCS or 30 mg ± TCS for safety.</w:t>
            </w:r>
          </w:p>
        </w:tc>
      </w:tr>
    </w:tbl>
    <w:p w14:paraId="20B487A1" w14:textId="77777777" w:rsidR="004779D9" w:rsidRPr="00FE714A" w:rsidRDefault="004779D9" w:rsidP="00374B40">
      <w:pPr>
        <w:pStyle w:val="FooterTableFigure"/>
      </w:pPr>
      <w:r w:rsidRPr="00FE714A">
        <w:t>Source: Table 1.1-1, pp3-4 of the submission.</w:t>
      </w:r>
    </w:p>
    <w:p w14:paraId="48C3E4A9" w14:textId="77777777" w:rsidR="004779D9" w:rsidRPr="00FE714A" w:rsidRDefault="004779D9" w:rsidP="00374B40">
      <w:pPr>
        <w:pStyle w:val="FooterTableFigure"/>
      </w:pPr>
      <w:r w:rsidRPr="00FE714A">
        <w:t>LEB = lebrikizumab; SC = subcutaneous; Q2W = every two weeks; Q4W = every four weeks; DUPI = dupilumab; UPA = upadacitinib; EASI = Eczema Area Severity Index; PGA/ IGA = Physician’s / Investigator’s Global Assessment; DLQI = Dermatology Life Quality Index; PBS = Pharmaceutical Benefits Scheme; AEs = adverse events; SAEs = serious adverse events; TCS = topical corticosteroids.</w:t>
      </w:r>
    </w:p>
    <w:p w14:paraId="7D6B677F" w14:textId="7FF4B946" w:rsidR="004779D9" w:rsidRPr="00FE714A" w:rsidRDefault="000F7265" w:rsidP="004A6040">
      <w:pPr>
        <w:pStyle w:val="3-BodyText"/>
      </w:pPr>
      <w:r w:rsidRPr="00FE714A">
        <w:t>T</w:t>
      </w:r>
      <w:r w:rsidR="004779D9" w:rsidRPr="00FE714A">
        <w:t xml:space="preserve">hough the submission nominated DUPI 200 mg every 2 weeks (Q2W) (for adolescents 30 kg to &lt; 60 kg) as one of the comparators and included DUPI 200 mg Q2W in the </w:t>
      </w:r>
      <w:r w:rsidRPr="00FE714A">
        <w:t>CMA</w:t>
      </w:r>
      <w:r w:rsidR="004779D9" w:rsidRPr="00FE714A">
        <w:t>, the clinical claim and clinical evidence presented for the PBS population (severe AD) was based on DUPI 300 mg Q2W</w:t>
      </w:r>
      <w:r w:rsidRPr="00FE714A">
        <w:t xml:space="preserve"> only</w:t>
      </w:r>
      <w:r w:rsidR="004779D9" w:rsidRPr="00FE714A">
        <w:t>.</w:t>
      </w:r>
    </w:p>
    <w:p w14:paraId="1C6E5DD6" w14:textId="77777777" w:rsidR="004779D9" w:rsidRPr="00FE714A" w:rsidRDefault="004779D9" w:rsidP="004779D9">
      <w:pPr>
        <w:pStyle w:val="2-SectionHeading"/>
        <w:numPr>
          <w:ilvl w:val="0"/>
          <w:numId w:val="1"/>
        </w:numPr>
      </w:pPr>
      <w:bookmarkStart w:id="8" w:name="_Toc155860012"/>
      <w:r w:rsidRPr="00FE714A">
        <w:lastRenderedPageBreak/>
        <w:t>Background</w:t>
      </w:r>
      <w:bookmarkEnd w:id="8"/>
    </w:p>
    <w:p w14:paraId="5112A765" w14:textId="77777777" w:rsidR="004779D9" w:rsidRPr="00FE714A" w:rsidRDefault="004779D9" w:rsidP="004A6040">
      <w:pPr>
        <w:pStyle w:val="4-SubsectionHeading"/>
      </w:pPr>
      <w:bookmarkStart w:id="9" w:name="_Toc155860013"/>
      <w:r w:rsidRPr="00FE714A">
        <w:t>Registration status</w:t>
      </w:r>
      <w:bookmarkEnd w:id="9"/>
    </w:p>
    <w:p w14:paraId="1DCD9E67" w14:textId="2C69BFFE" w:rsidR="004779D9" w:rsidRPr="00FE714A" w:rsidRDefault="004779D9" w:rsidP="0029072A">
      <w:pPr>
        <w:pStyle w:val="3-BodyText"/>
      </w:pPr>
      <w:r w:rsidRPr="00FE714A">
        <w:t>The submission was lodged under the TGA-PBAC parallel process</w:t>
      </w:r>
      <w:r w:rsidR="0029072A" w:rsidRPr="00FE714A">
        <w:t xml:space="preserve">. At the time of PBAC consideration the Delegate’s Overview was available. </w:t>
      </w:r>
      <w:r w:rsidRPr="00FE714A">
        <w:t>The proposed indication was</w:t>
      </w:r>
      <w:r w:rsidR="00517559" w:rsidRPr="00FE714A">
        <w:t>:</w:t>
      </w:r>
      <w:r w:rsidRPr="00FE714A">
        <w:t xml:space="preserve"> </w:t>
      </w:r>
    </w:p>
    <w:p w14:paraId="74428F69" w14:textId="77777777" w:rsidR="004779D9" w:rsidRPr="00FE714A" w:rsidRDefault="004779D9" w:rsidP="00503971">
      <w:pPr>
        <w:pStyle w:val="3-BodyText"/>
        <w:numPr>
          <w:ilvl w:val="0"/>
          <w:numId w:val="0"/>
        </w:numPr>
        <w:ind w:left="720"/>
      </w:pPr>
      <w:r w:rsidRPr="00FE714A">
        <w:t xml:space="preserve">“EBGLYSS is indicated for the treatment of adult and adolescent patients (12 years of age and older) with moderate-to-severe atopic dermatitis (AD) who are candidates for systemic therapy.” </w:t>
      </w:r>
    </w:p>
    <w:p w14:paraId="6985A702" w14:textId="253D0FDA" w:rsidR="009A786D" w:rsidRPr="00FE714A" w:rsidRDefault="009A786D" w:rsidP="005F4197">
      <w:pPr>
        <w:ind w:firstLine="709"/>
      </w:pPr>
      <w:bookmarkStart w:id="10" w:name="_Hlk76375324"/>
      <w:r w:rsidRPr="00FE714A">
        <w:rPr>
          <w:rFonts w:asciiTheme="minorHAnsi" w:hAnsiTheme="minorHAnsi"/>
          <w:i/>
        </w:rPr>
        <w:t>For more detail on PBAC’s view, see section 7 PBAC outcome.</w:t>
      </w:r>
      <w:bookmarkEnd w:id="10"/>
    </w:p>
    <w:p w14:paraId="38849F9D" w14:textId="77777777" w:rsidR="004779D9" w:rsidRPr="00FE714A" w:rsidRDefault="004779D9" w:rsidP="004779D9">
      <w:pPr>
        <w:pStyle w:val="2-SectionHeading"/>
        <w:numPr>
          <w:ilvl w:val="0"/>
          <w:numId w:val="1"/>
        </w:numPr>
      </w:pPr>
      <w:bookmarkStart w:id="11" w:name="_Toc155860014"/>
      <w:r w:rsidRPr="00FE714A">
        <w:t>Requested listing</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126"/>
        <w:gridCol w:w="1134"/>
        <w:gridCol w:w="1134"/>
        <w:gridCol w:w="709"/>
        <w:gridCol w:w="942"/>
      </w:tblGrid>
      <w:tr w:rsidR="004779D9" w:rsidRPr="00FE714A" w14:paraId="19A6F519" w14:textId="77777777" w:rsidTr="00E47477">
        <w:trPr>
          <w:cantSplit/>
          <w:trHeight w:val="20"/>
        </w:trPr>
        <w:tc>
          <w:tcPr>
            <w:tcW w:w="2972" w:type="dxa"/>
            <w:vAlign w:val="center"/>
          </w:tcPr>
          <w:p w14:paraId="52EC163D" w14:textId="77777777" w:rsidR="004779D9" w:rsidRPr="00FE714A" w:rsidRDefault="004779D9" w:rsidP="00A2021E">
            <w:pPr>
              <w:keepLines/>
              <w:rPr>
                <w:rFonts w:ascii="Arial Narrow" w:hAnsi="Arial Narrow"/>
                <w:b/>
                <w:bCs/>
                <w:sz w:val="20"/>
                <w:szCs w:val="20"/>
              </w:rPr>
            </w:pPr>
            <w:r w:rsidRPr="00FE714A">
              <w:rPr>
                <w:rFonts w:ascii="Arial Narrow" w:hAnsi="Arial Narrow"/>
                <w:b/>
                <w:bCs/>
                <w:sz w:val="20"/>
                <w:szCs w:val="20"/>
              </w:rPr>
              <w:t>MEDICINAL PRODUCT</w:t>
            </w:r>
          </w:p>
          <w:p w14:paraId="461DF196" w14:textId="77777777" w:rsidR="004779D9" w:rsidRPr="00FE714A" w:rsidRDefault="004779D9" w:rsidP="00A2021E">
            <w:pPr>
              <w:keepLines/>
              <w:rPr>
                <w:rFonts w:ascii="Arial Narrow" w:hAnsi="Arial Narrow"/>
                <w:b/>
                <w:sz w:val="20"/>
                <w:szCs w:val="20"/>
              </w:rPr>
            </w:pPr>
            <w:r w:rsidRPr="00FE714A">
              <w:rPr>
                <w:rFonts w:ascii="Arial Narrow" w:hAnsi="Arial Narrow"/>
                <w:b/>
                <w:bCs/>
                <w:sz w:val="20"/>
                <w:szCs w:val="20"/>
              </w:rPr>
              <w:t>medicinal product pack</w:t>
            </w:r>
          </w:p>
        </w:tc>
        <w:tc>
          <w:tcPr>
            <w:tcW w:w="2126" w:type="dxa"/>
            <w:vAlign w:val="center"/>
          </w:tcPr>
          <w:p w14:paraId="05C9CFA7" w14:textId="77777777" w:rsidR="004779D9" w:rsidRPr="00FE714A" w:rsidRDefault="004779D9" w:rsidP="00E47477">
            <w:pPr>
              <w:pStyle w:val="TableText0"/>
              <w:jc w:val="center"/>
              <w:rPr>
                <w:b/>
                <w:bCs w:val="0"/>
                <w:szCs w:val="20"/>
              </w:rPr>
            </w:pPr>
            <w:r w:rsidRPr="00FE714A">
              <w:rPr>
                <w:b/>
                <w:bCs w:val="0"/>
                <w:snapToGrid w:val="0"/>
              </w:rPr>
              <w:t>Dispensed Price for Max. Qty</w:t>
            </w:r>
          </w:p>
        </w:tc>
        <w:tc>
          <w:tcPr>
            <w:tcW w:w="1134" w:type="dxa"/>
            <w:vAlign w:val="center"/>
          </w:tcPr>
          <w:p w14:paraId="2A2FEA13" w14:textId="77777777" w:rsidR="004779D9" w:rsidRPr="00FE714A" w:rsidRDefault="004779D9" w:rsidP="00E47477">
            <w:pPr>
              <w:keepLines/>
              <w:jc w:val="center"/>
              <w:rPr>
                <w:rFonts w:ascii="Arial Narrow" w:hAnsi="Arial Narrow"/>
                <w:b/>
                <w:sz w:val="20"/>
                <w:szCs w:val="20"/>
              </w:rPr>
            </w:pPr>
            <w:r w:rsidRPr="00FE714A">
              <w:rPr>
                <w:rFonts w:ascii="Arial Narrow" w:hAnsi="Arial Narrow"/>
                <w:b/>
                <w:sz w:val="20"/>
                <w:szCs w:val="20"/>
              </w:rPr>
              <w:t>Max. qty packs</w:t>
            </w:r>
          </w:p>
        </w:tc>
        <w:tc>
          <w:tcPr>
            <w:tcW w:w="1134" w:type="dxa"/>
            <w:vAlign w:val="center"/>
          </w:tcPr>
          <w:p w14:paraId="0B339B6B" w14:textId="77777777" w:rsidR="004779D9" w:rsidRPr="00FE714A" w:rsidRDefault="004779D9" w:rsidP="00E47477">
            <w:pPr>
              <w:keepLines/>
              <w:jc w:val="center"/>
              <w:rPr>
                <w:rFonts w:ascii="Arial Narrow" w:hAnsi="Arial Narrow"/>
                <w:b/>
                <w:sz w:val="20"/>
                <w:szCs w:val="20"/>
              </w:rPr>
            </w:pPr>
            <w:r w:rsidRPr="00FE714A">
              <w:rPr>
                <w:rFonts w:ascii="Arial Narrow" w:hAnsi="Arial Narrow"/>
                <w:b/>
                <w:sz w:val="20"/>
                <w:szCs w:val="20"/>
              </w:rPr>
              <w:t>Max. qty units</w:t>
            </w:r>
          </w:p>
        </w:tc>
        <w:tc>
          <w:tcPr>
            <w:tcW w:w="709" w:type="dxa"/>
            <w:vAlign w:val="center"/>
          </w:tcPr>
          <w:p w14:paraId="55DE1A68" w14:textId="77777777" w:rsidR="004779D9" w:rsidRPr="00FE714A" w:rsidRDefault="004779D9" w:rsidP="00E47477">
            <w:pPr>
              <w:keepLines/>
              <w:jc w:val="center"/>
              <w:rPr>
                <w:rFonts w:ascii="Arial Narrow" w:hAnsi="Arial Narrow"/>
                <w:b/>
                <w:sz w:val="20"/>
                <w:szCs w:val="20"/>
              </w:rPr>
            </w:pPr>
            <w:r w:rsidRPr="00FE714A">
              <w:rPr>
                <w:rFonts w:ascii="Arial Narrow" w:hAnsi="Arial Narrow"/>
                <w:b/>
                <w:sz w:val="20"/>
                <w:szCs w:val="20"/>
              </w:rPr>
              <w:t>№.of</w:t>
            </w:r>
          </w:p>
          <w:p w14:paraId="44A7ED02" w14:textId="77777777" w:rsidR="004779D9" w:rsidRPr="00FE714A" w:rsidRDefault="004779D9" w:rsidP="00E47477">
            <w:pPr>
              <w:keepLines/>
              <w:jc w:val="center"/>
              <w:rPr>
                <w:rFonts w:ascii="Arial Narrow" w:hAnsi="Arial Narrow"/>
                <w:b/>
                <w:sz w:val="20"/>
                <w:szCs w:val="20"/>
              </w:rPr>
            </w:pPr>
            <w:proofErr w:type="spellStart"/>
            <w:r w:rsidRPr="00FE714A">
              <w:rPr>
                <w:rFonts w:ascii="Arial Narrow" w:hAnsi="Arial Narrow"/>
                <w:b/>
                <w:sz w:val="20"/>
                <w:szCs w:val="20"/>
              </w:rPr>
              <w:t>Rpts</w:t>
            </w:r>
            <w:proofErr w:type="spellEnd"/>
          </w:p>
        </w:tc>
        <w:tc>
          <w:tcPr>
            <w:tcW w:w="942" w:type="dxa"/>
            <w:vAlign w:val="center"/>
          </w:tcPr>
          <w:p w14:paraId="793C4EC6" w14:textId="77777777" w:rsidR="004779D9" w:rsidRPr="00FE714A" w:rsidRDefault="004779D9" w:rsidP="00E47477">
            <w:pPr>
              <w:keepLines/>
              <w:jc w:val="center"/>
              <w:rPr>
                <w:rFonts w:ascii="Arial Narrow" w:hAnsi="Arial Narrow"/>
                <w:b/>
                <w:sz w:val="20"/>
                <w:szCs w:val="20"/>
              </w:rPr>
            </w:pPr>
            <w:r w:rsidRPr="00FE714A">
              <w:rPr>
                <w:rFonts w:ascii="Arial Narrow" w:hAnsi="Arial Narrow"/>
                <w:b/>
                <w:sz w:val="20"/>
                <w:szCs w:val="20"/>
              </w:rPr>
              <w:t>Available brands</w:t>
            </w:r>
          </w:p>
        </w:tc>
      </w:tr>
      <w:tr w:rsidR="004779D9" w:rsidRPr="00FE714A" w14:paraId="140D3A78" w14:textId="77777777" w:rsidTr="00A2021E">
        <w:trPr>
          <w:cantSplit/>
          <w:trHeight w:val="20"/>
        </w:trPr>
        <w:tc>
          <w:tcPr>
            <w:tcW w:w="9017" w:type="dxa"/>
            <w:gridSpan w:val="6"/>
            <w:vAlign w:val="center"/>
          </w:tcPr>
          <w:p w14:paraId="35157A9A" w14:textId="77777777" w:rsidR="004779D9" w:rsidRPr="00FE714A" w:rsidRDefault="004779D9" w:rsidP="00A2021E">
            <w:pPr>
              <w:pStyle w:val="TableText0"/>
              <w:rPr>
                <w:rFonts w:cs="Arial"/>
                <w:szCs w:val="20"/>
              </w:rPr>
            </w:pPr>
            <w:r w:rsidRPr="00FE714A">
              <w:rPr>
                <w:rFonts w:cs="Arial"/>
                <w:szCs w:val="20"/>
              </w:rPr>
              <w:t>LEBRIKIZUMAB</w:t>
            </w:r>
          </w:p>
        </w:tc>
      </w:tr>
      <w:tr w:rsidR="004779D9" w:rsidRPr="00FE714A" w14:paraId="166FEFDA" w14:textId="77777777" w:rsidTr="00E47477">
        <w:trPr>
          <w:cantSplit/>
          <w:trHeight w:val="20"/>
        </w:trPr>
        <w:tc>
          <w:tcPr>
            <w:tcW w:w="2972" w:type="dxa"/>
            <w:vAlign w:val="center"/>
          </w:tcPr>
          <w:p w14:paraId="5A88BCDF" w14:textId="77777777" w:rsidR="004779D9" w:rsidRPr="00FE714A" w:rsidRDefault="004779D9" w:rsidP="006A4285">
            <w:pPr>
              <w:keepLines/>
              <w:rPr>
                <w:rFonts w:ascii="Arial Narrow" w:hAnsi="Arial Narrow"/>
                <w:sz w:val="20"/>
                <w:szCs w:val="20"/>
              </w:rPr>
            </w:pPr>
            <w:r w:rsidRPr="00FE714A">
              <w:rPr>
                <w:rFonts w:ascii="Arial Narrow" w:hAnsi="Arial Narrow"/>
                <w:sz w:val="20"/>
                <w:szCs w:val="20"/>
              </w:rPr>
              <w:t>Lebrikizumab (initial)</w:t>
            </w:r>
          </w:p>
          <w:p w14:paraId="4AC2A874" w14:textId="6A972810" w:rsidR="004779D9" w:rsidRPr="00FE714A" w:rsidRDefault="004779D9" w:rsidP="006A4285">
            <w:pPr>
              <w:keepLines/>
              <w:rPr>
                <w:rFonts w:ascii="Arial Narrow" w:hAnsi="Arial Narrow"/>
                <w:color w:val="0066FF"/>
                <w:sz w:val="20"/>
                <w:szCs w:val="20"/>
              </w:rPr>
            </w:pPr>
            <w:r w:rsidRPr="00FE714A">
              <w:rPr>
                <w:rFonts w:ascii="Arial Narrow" w:hAnsi="Arial Narrow"/>
                <w:sz w:val="20"/>
                <w:szCs w:val="20"/>
              </w:rPr>
              <w:t>25</w:t>
            </w:r>
            <w:r w:rsidR="00FE714A">
              <w:rPr>
                <w:rFonts w:ascii="Arial Narrow" w:hAnsi="Arial Narrow"/>
                <w:sz w:val="20"/>
                <w:szCs w:val="20"/>
              </w:rPr>
              <w:t>0 mg</w:t>
            </w:r>
            <w:r w:rsidRPr="00FE714A">
              <w:rPr>
                <w:rFonts w:ascii="Arial Narrow" w:hAnsi="Arial Narrow"/>
                <w:sz w:val="20"/>
                <w:szCs w:val="20"/>
              </w:rPr>
              <w:t xml:space="preserve">/2mL pre-filled pen autoinjector  </w:t>
            </w:r>
          </w:p>
        </w:tc>
        <w:tc>
          <w:tcPr>
            <w:tcW w:w="2126" w:type="dxa"/>
          </w:tcPr>
          <w:p w14:paraId="28C54422" w14:textId="17007042" w:rsidR="004779D9" w:rsidRPr="00461053" w:rsidRDefault="004779D9" w:rsidP="00E47477">
            <w:pPr>
              <w:pStyle w:val="TableText0"/>
              <w:jc w:val="center"/>
            </w:pPr>
            <w:r w:rsidRPr="00461053">
              <w:t>$</w:t>
            </w:r>
            <w:r w:rsidR="000727C3" w:rsidRPr="005D3A69">
              <w:rPr>
                <w:color w:val="000000"/>
                <w:spacing w:val="112"/>
                <w:shd w:val="solid" w:color="000000" w:fill="000000"/>
                <w:fitText w:val="188" w:id="-961880832"/>
                <w14:textFill>
                  <w14:solidFill>
                    <w14:srgbClr w14:val="000000">
                      <w14:alpha w14:val="100000"/>
                    </w14:srgbClr>
                  </w14:solidFill>
                </w14:textFill>
              </w:rPr>
              <w:t>|</w:t>
            </w:r>
            <w:r w:rsidR="000727C3" w:rsidRPr="005D3A69">
              <w:rPr>
                <w:color w:val="000000"/>
                <w:shd w:val="solid" w:color="000000" w:fill="000000"/>
                <w:fitText w:val="188" w:id="-961880832"/>
                <w14:textFill>
                  <w14:solidFill>
                    <w14:srgbClr w14:val="000000">
                      <w14:alpha w14:val="100000"/>
                    </w14:srgbClr>
                  </w14:solidFill>
                </w14:textFill>
              </w:rPr>
              <w:t>|</w:t>
            </w:r>
            <w:r w:rsidRPr="00461053">
              <w:t>published price</w:t>
            </w:r>
          </w:p>
          <w:p w14:paraId="32D38599" w14:textId="77777777" w:rsidR="004779D9" w:rsidRPr="00461053" w:rsidRDefault="004779D9" w:rsidP="00E47477">
            <w:pPr>
              <w:pStyle w:val="TableText0"/>
              <w:jc w:val="center"/>
              <w:rPr>
                <w:szCs w:val="20"/>
              </w:rPr>
            </w:pPr>
            <w:r w:rsidRPr="00461053">
              <w:t>TBD effective price (SPA)</w:t>
            </w:r>
          </w:p>
        </w:tc>
        <w:tc>
          <w:tcPr>
            <w:tcW w:w="1134" w:type="dxa"/>
            <w:vAlign w:val="center"/>
          </w:tcPr>
          <w:p w14:paraId="77B90FBA" w14:textId="77777777" w:rsidR="004779D9" w:rsidRPr="00FE714A" w:rsidRDefault="004779D9" w:rsidP="00E47477">
            <w:pPr>
              <w:keepLines/>
              <w:jc w:val="center"/>
              <w:rPr>
                <w:rFonts w:ascii="Arial Narrow" w:hAnsi="Arial Narrow"/>
                <w:sz w:val="20"/>
                <w:szCs w:val="20"/>
              </w:rPr>
            </w:pPr>
            <w:r w:rsidRPr="00FE714A">
              <w:rPr>
                <w:rFonts w:ascii="Arial Narrow" w:hAnsi="Arial Narrow"/>
                <w:sz w:val="20"/>
              </w:rPr>
              <w:t>4</w:t>
            </w:r>
          </w:p>
        </w:tc>
        <w:tc>
          <w:tcPr>
            <w:tcW w:w="1134" w:type="dxa"/>
            <w:vAlign w:val="center"/>
          </w:tcPr>
          <w:p w14:paraId="119D47E9" w14:textId="77777777" w:rsidR="004779D9" w:rsidRPr="00FE714A" w:rsidRDefault="004779D9" w:rsidP="00E47477">
            <w:pPr>
              <w:keepLines/>
              <w:jc w:val="center"/>
              <w:rPr>
                <w:rFonts w:ascii="Arial Narrow" w:hAnsi="Arial Narrow"/>
                <w:sz w:val="20"/>
                <w:szCs w:val="20"/>
              </w:rPr>
            </w:pPr>
            <w:r w:rsidRPr="00FE714A">
              <w:rPr>
                <w:rFonts w:ascii="Arial Narrow" w:hAnsi="Arial Narrow"/>
                <w:sz w:val="20"/>
              </w:rPr>
              <w:t>4</w:t>
            </w:r>
          </w:p>
        </w:tc>
        <w:tc>
          <w:tcPr>
            <w:tcW w:w="709" w:type="dxa"/>
            <w:vAlign w:val="center"/>
          </w:tcPr>
          <w:p w14:paraId="59DC7A81" w14:textId="77777777" w:rsidR="004779D9" w:rsidRPr="00FE714A" w:rsidRDefault="004779D9" w:rsidP="00E47477">
            <w:pPr>
              <w:keepLines/>
              <w:jc w:val="center"/>
              <w:rPr>
                <w:rFonts w:ascii="Arial Narrow" w:hAnsi="Arial Narrow"/>
                <w:sz w:val="20"/>
                <w:szCs w:val="20"/>
              </w:rPr>
            </w:pPr>
            <w:r w:rsidRPr="00FE714A">
              <w:rPr>
                <w:rFonts w:ascii="Arial Narrow" w:hAnsi="Arial Narrow"/>
                <w:sz w:val="20"/>
              </w:rPr>
              <w:t>2</w:t>
            </w:r>
          </w:p>
        </w:tc>
        <w:tc>
          <w:tcPr>
            <w:tcW w:w="942" w:type="dxa"/>
            <w:vAlign w:val="center"/>
          </w:tcPr>
          <w:p w14:paraId="7A547DED" w14:textId="77777777" w:rsidR="004779D9" w:rsidRPr="00FE714A" w:rsidRDefault="004779D9" w:rsidP="00E47477">
            <w:pPr>
              <w:keepLines/>
              <w:jc w:val="center"/>
              <w:rPr>
                <w:rFonts w:ascii="Arial Narrow" w:hAnsi="Arial Narrow"/>
                <w:color w:val="0066FF"/>
                <w:sz w:val="20"/>
                <w:szCs w:val="20"/>
              </w:rPr>
            </w:pPr>
            <w:proofErr w:type="spellStart"/>
            <w:r w:rsidRPr="00FE714A">
              <w:rPr>
                <w:rFonts w:ascii="Arial Narrow" w:hAnsi="Arial Narrow"/>
                <w:sz w:val="20"/>
                <w:szCs w:val="20"/>
              </w:rPr>
              <w:t>Ebglyss</w:t>
            </w:r>
            <w:proofErr w:type="spellEnd"/>
          </w:p>
        </w:tc>
      </w:tr>
      <w:tr w:rsidR="004779D9" w:rsidRPr="00FE714A" w14:paraId="4447F93C" w14:textId="77777777" w:rsidTr="00E47477">
        <w:trPr>
          <w:cantSplit/>
          <w:trHeight w:val="20"/>
        </w:trPr>
        <w:tc>
          <w:tcPr>
            <w:tcW w:w="2972" w:type="dxa"/>
            <w:vAlign w:val="center"/>
          </w:tcPr>
          <w:p w14:paraId="5F513052" w14:textId="77777777" w:rsidR="004779D9" w:rsidRPr="00FE714A" w:rsidRDefault="004779D9" w:rsidP="00C040BA">
            <w:pPr>
              <w:keepLines/>
              <w:rPr>
                <w:rFonts w:ascii="Arial Narrow" w:hAnsi="Arial Narrow"/>
                <w:sz w:val="20"/>
                <w:szCs w:val="20"/>
              </w:rPr>
            </w:pPr>
            <w:r w:rsidRPr="00FE714A">
              <w:rPr>
                <w:rFonts w:ascii="Arial Narrow" w:hAnsi="Arial Narrow"/>
                <w:sz w:val="20"/>
                <w:szCs w:val="20"/>
              </w:rPr>
              <w:t>Lebrikizumab (continuing)</w:t>
            </w:r>
          </w:p>
          <w:p w14:paraId="48B7A77C" w14:textId="6F4629F5" w:rsidR="004779D9" w:rsidRPr="00FE714A" w:rsidRDefault="004779D9" w:rsidP="002C36E3">
            <w:pPr>
              <w:keepLines/>
              <w:rPr>
                <w:rFonts w:ascii="Arial Narrow" w:hAnsi="Arial Narrow"/>
                <w:sz w:val="20"/>
                <w:szCs w:val="20"/>
              </w:rPr>
            </w:pPr>
            <w:r w:rsidRPr="00FE714A">
              <w:rPr>
                <w:rFonts w:ascii="Arial Narrow" w:hAnsi="Arial Narrow"/>
                <w:sz w:val="20"/>
                <w:szCs w:val="20"/>
              </w:rPr>
              <w:t>25</w:t>
            </w:r>
            <w:r w:rsidR="00FE714A">
              <w:rPr>
                <w:rFonts w:ascii="Arial Narrow" w:hAnsi="Arial Narrow"/>
                <w:sz w:val="20"/>
                <w:szCs w:val="20"/>
              </w:rPr>
              <w:t>0 mg</w:t>
            </w:r>
            <w:r w:rsidRPr="00FE714A">
              <w:rPr>
                <w:rFonts w:ascii="Arial Narrow" w:hAnsi="Arial Narrow"/>
                <w:sz w:val="20"/>
                <w:szCs w:val="20"/>
              </w:rPr>
              <w:t xml:space="preserve">/2mL pre-filled pen autoinjector  </w:t>
            </w:r>
          </w:p>
        </w:tc>
        <w:tc>
          <w:tcPr>
            <w:tcW w:w="2126" w:type="dxa"/>
          </w:tcPr>
          <w:p w14:paraId="48A116E3" w14:textId="6953BC92" w:rsidR="004779D9" w:rsidRPr="00461053" w:rsidRDefault="004779D9" w:rsidP="00411EF1">
            <w:pPr>
              <w:pStyle w:val="TableText0"/>
              <w:jc w:val="center"/>
            </w:pPr>
            <w:r w:rsidRPr="00461053">
              <w:t>$</w:t>
            </w:r>
            <w:r w:rsidR="000727C3" w:rsidRPr="005D3A69">
              <w:rPr>
                <w:color w:val="000000"/>
                <w:spacing w:val="112"/>
                <w:shd w:val="solid" w:color="000000" w:fill="000000"/>
                <w:fitText w:val="188" w:id="-961880831"/>
                <w14:textFill>
                  <w14:solidFill>
                    <w14:srgbClr w14:val="000000">
                      <w14:alpha w14:val="100000"/>
                    </w14:srgbClr>
                  </w14:solidFill>
                </w14:textFill>
              </w:rPr>
              <w:t>|</w:t>
            </w:r>
            <w:r w:rsidR="000727C3" w:rsidRPr="005D3A69">
              <w:rPr>
                <w:color w:val="000000"/>
                <w:shd w:val="solid" w:color="000000" w:fill="000000"/>
                <w:fitText w:val="188" w:id="-961880831"/>
                <w14:textFill>
                  <w14:solidFill>
                    <w14:srgbClr w14:val="000000">
                      <w14:alpha w14:val="100000"/>
                    </w14:srgbClr>
                  </w14:solidFill>
                </w14:textFill>
              </w:rPr>
              <w:t>|</w:t>
            </w:r>
            <w:r w:rsidRPr="00461053">
              <w:t>published price</w:t>
            </w:r>
          </w:p>
          <w:p w14:paraId="66F7F04F" w14:textId="77777777" w:rsidR="004779D9" w:rsidRPr="00461053" w:rsidRDefault="004779D9" w:rsidP="00411EF1">
            <w:pPr>
              <w:pStyle w:val="TableText0"/>
              <w:jc w:val="center"/>
              <w:rPr>
                <w:szCs w:val="20"/>
              </w:rPr>
            </w:pPr>
            <w:r w:rsidRPr="00461053">
              <w:t>TBD effective price (SPA)</w:t>
            </w:r>
          </w:p>
        </w:tc>
        <w:tc>
          <w:tcPr>
            <w:tcW w:w="1134" w:type="dxa"/>
            <w:vAlign w:val="center"/>
          </w:tcPr>
          <w:p w14:paraId="50CAEB7A" w14:textId="77777777" w:rsidR="004779D9" w:rsidRPr="00FE714A" w:rsidRDefault="004779D9" w:rsidP="00E47477">
            <w:pPr>
              <w:keepLines/>
              <w:jc w:val="center"/>
              <w:rPr>
                <w:rFonts w:ascii="Arial Narrow" w:hAnsi="Arial Narrow"/>
                <w:sz w:val="20"/>
                <w:szCs w:val="20"/>
              </w:rPr>
            </w:pPr>
            <w:r w:rsidRPr="00FE714A">
              <w:rPr>
                <w:rFonts w:ascii="Arial Narrow" w:hAnsi="Arial Narrow"/>
                <w:sz w:val="20"/>
              </w:rPr>
              <w:t>1</w:t>
            </w:r>
          </w:p>
        </w:tc>
        <w:tc>
          <w:tcPr>
            <w:tcW w:w="1134" w:type="dxa"/>
            <w:vAlign w:val="center"/>
          </w:tcPr>
          <w:p w14:paraId="13B88CED" w14:textId="77777777" w:rsidR="004779D9" w:rsidRPr="00FE714A" w:rsidRDefault="004779D9" w:rsidP="00E47477">
            <w:pPr>
              <w:keepLines/>
              <w:jc w:val="center"/>
              <w:rPr>
                <w:rFonts w:ascii="Arial Narrow" w:hAnsi="Arial Narrow"/>
                <w:sz w:val="20"/>
                <w:szCs w:val="20"/>
              </w:rPr>
            </w:pPr>
            <w:r w:rsidRPr="00FE714A">
              <w:rPr>
                <w:rFonts w:ascii="Arial Narrow" w:hAnsi="Arial Narrow"/>
                <w:sz w:val="20"/>
              </w:rPr>
              <w:t>1</w:t>
            </w:r>
          </w:p>
        </w:tc>
        <w:tc>
          <w:tcPr>
            <w:tcW w:w="709" w:type="dxa"/>
            <w:vAlign w:val="center"/>
          </w:tcPr>
          <w:p w14:paraId="2A031F44" w14:textId="77777777" w:rsidR="004779D9" w:rsidRPr="00FE714A" w:rsidRDefault="004779D9" w:rsidP="00E47477">
            <w:pPr>
              <w:keepLines/>
              <w:jc w:val="center"/>
              <w:rPr>
                <w:rFonts w:ascii="Arial Narrow" w:hAnsi="Arial Narrow"/>
                <w:sz w:val="20"/>
                <w:szCs w:val="20"/>
              </w:rPr>
            </w:pPr>
            <w:r w:rsidRPr="00FE714A">
              <w:rPr>
                <w:rFonts w:ascii="Arial Narrow" w:hAnsi="Arial Narrow"/>
                <w:sz w:val="20"/>
              </w:rPr>
              <w:t>5</w:t>
            </w:r>
          </w:p>
        </w:tc>
        <w:tc>
          <w:tcPr>
            <w:tcW w:w="942" w:type="dxa"/>
            <w:vAlign w:val="center"/>
          </w:tcPr>
          <w:p w14:paraId="54D32BE6" w14:textId="77777777" w:rsidR="004779D9" w:rsidRPr="00FE714A" w:rsidRDefault="004779D9" w:rsidP="00E47477">
            <w:pPr>
              <w:keepLines/>
              <w:jc w:val="center"/>
              <w:rPr>
                <w:rFonts w:ascii="Arial Narrow" w:hAnsi="Arial Narrow"/>
                <w:color w:val="0066FF"/>
                <w:sz w:val="20"/>
                <w:szCs w:val="20"/>
              </w:rPr>
            </w:pPr>
            <w:proofErr w:type="spellStart"/>
            <w:r w:rsidRPr="00FE714A">
              <w:rPr>
                <w:rFonts w:ascii="Arial Narrow" w:hAnsi="Arial Narrow"/>
                <w:sz w:val="20"/>
                <w:szCs w:val="20"/>
              </w:rPr>
              <w:t>Ebglyss</w:t>
            </w:r>
            <w:proofErr w:type="spellEnd"/>
          </w:p>
        </w:tc>
      </w:tr>
      <w:tr w:rsidR="004779D9" w:rsidRPr="00FE714A" w14:paraId="6061EE17" w14:textId="77777777" w:rsidTr="00E47477">
        <w:trPr>
          <w:cantSplit/>
          <w:trHeight w:val="20"/>
        </w:trPr>
        <w:tc>
          <w:tcPr>
            <w:tcW w:w="2972" w:type="dxa"/>
            <w:vAlign w:val="center"/>
          </w:tcPr>
          <w:p w14:paraId="1831551B" w14:textId="77777777" w:rsidR="004779D9" w:rsidRPr="00FE714A" w:rsidRDefault="004779D9" w:rsidP="00411EF1">
            <w:pPr>
              <w:keepNext/>
              <w:tabs>
                <w:tab w:val="left" w:pos="1077"/>
              </w:tabs>
              <w:rPr>
                <w:rFonts w:ascii="Arial Narrow" w:hAnsi="Arial Narrow"/>
                <w:sz w:val="20"/>
                <w:szCs w:val="20"/>
              </w:rPr>
            </w:pPr>
            <w:r w:rsidRPr="00FE714A">
              <w:rPr>
                <w:rFonts w:ascii="Arial Narrow" w:hAnsi="Arial Narrow"/>
                <w:sz w:val="20"/>
                <w:szCs w:val="20"/>
              </w:rPr>
              <w:t>Lebrikizumab (extended induction (balance of supply))</w:t>
            </w:r>
          </w:p>
          <w:p w14:paraId="379AAC46" w14:textId="6A0CDA0E" w:rsidR="004779D9" w:rsidRPr="00FE714A" w:rsidRDefault="004779D9" w:rsidP="00411EF1">
            <w:pPr>
              <w:keepNext/>
              <w:tabs>
                <w:tab w:val="left" w:pos="1077"/>
              </w:tabs>
              <w:rPr>
                <w:rFonts w:ascii="Arial Narrow" w:hAnsi="Arial Narrow"/>
                <w:color w:val="0066FF"/>
                <w:sz w:val="20"/>
                <w:szCs w:val="20"/>
              </w:rPr>
            </w:pPr>
            <w:r w:rsidRPr="00FE714A">
              <w:rPr>
                <w:rFonts w:ascii="Arial Narrow" w:hAnsi="Arial Narrow"/>
                <w:sz w:val="20"/>
                <w:szCs w:val="20"/>
              </w:rPr>
              <w:t>25</w:t>
            </w:r>
            <w:r w:rsidR="00FE714A">
              <w:rPr>
                <w:rFonts w:ascii="Arial Narrow" w:hAnsi="Arial Narrow"/>
                <w:sz w:val="20"/>
                <w:szCs w:val="20"/>
              </w:rPr>
              <w:t>0 mg</w:t>
            </w:r>
            <w:r w:rsidRPr="00FE714A">
              <w:rPr>
                <w:rFonts w:ascii="Arial Narrow" w:hAnsi="Arial Narrow"/>
                <w:sz w:val="20"/>
                <w:szCs w:val="20"/>
              </w:rPr>
              <w:t xml:space="preserve">/2mL pre-filled pen autoinjector  </w:t>
            </w:r>
          </w:p>
        </w:tc>
        <w:tc>
          <w:tcPr>
            <w:tcW w:w="2126" w:type="dxa"/>
            <w:vAlign w:val="center"/>
          </w:tcPr>
          <w:p w14:paraId="43CFCD80" w14:textId="191F1D6F" w:rsidR="004779D9" w:rsidRPr="00461053" w:rsidRDefault="004779D9" w:rsidP="00411EF1">
            <w:pPr>
              <w:keepNext/>
              <w:jc w:val="center"/>
              <w:rPr>
                <w:rFonts w:ascii="Arial Narrow" w:hAnsi="Arial Narrow"/>
                <w:sz w:val="20"/>
                <w:szCs w:val="20"/>
              </w:rPr>
            </w:pPr>
            <w:r w:rsidRPr="00461053">
              <w:rPr>
                <w:rFonts w:ascii="Arial Narrow" w:hAnsi="Arial Narrow"/>
                <w:sz w:val="20"/>
                <w:szCs w:val="20"/>
              </w:rPr>
              <w:t>$</w:t>
            </w:r>
            <w:r w:rsidR="000727C3" w:rsidRPr="005D3A69">
              <w:rPr>
                <w:rFonts w:ascii="Arial Narrow" w:hAnsi="Arial Narrow"/>
                <w:color w:val="000000"/>
                <w:spacing w:val="112"/>
                <w:sz w:val="20"/>
                <w:szCs w:val="20"/>
                <w:shd w:val="solid" w:color="000000" w:fill="000000"/>
                <w:fitText w:val="188" w:id="-961880830"/>
                <w14:textFill>
                  <w14:solidFill>
                    <w14:srgbClr w14:val="000000">
                      <w14:alpha w14:val="100000"/>
                    </w14:srgbClr>
                  </w14:solidFill>
                </w14:textFill>
              </w:rPr>
              <w:t>|</w:t>
            </w:r>
            <w:r w:rsidR="000727C3" w:rsidRPr="005D3A69">
              <w:rPr>
                <w:rFonts w:ascii="Arial Narrow" w:hAnsi="Arial Narrow"/>
                <w:color w:val="000000"/>
                <w:sz w:val="20"/>
                <w:szCs w:val="20"/>
                <w:shd w:val="solid" w:color="000000" w:fill="000000"/>
                <w:fitText w:val="188" w:id="-961880830"/>
                <w14:textFill>
                  <w14:solidFill>
                    <w14:srgbClr w14:val="000000">
                      <w14:alpha w14:val="100000"/>
                    </w14:srgbClr>
                  </w14:solidFill>
                </w14:textFill>
              </w:rPr>
              <w:t>|</w:t>
            </w:r>
            <w:r w:rsidRPr="00461053">
              <w:rPr>
                <w:rFonts w:ascii="Arial Narrow" w:hAnsi="Arial Narrow"/>
                <w:sz w:val="20"/>
                <w:szCs w:val="20"/>
              </w:rPr>
              <w:t>published price</w:t>
            </w:r>
          </w:p>
          <w:p w14:paraId="160B79B3" w14:textId="77777777" w:rsidR="004779D9" w:rsidRPr="00461053" w:rsidRDefault="004779D9" w:rsidP="00411EF1">
            <w:pPr>
              <w:keepNext/>
              <w:jc w:val="center"/>
              <w:rPr>
                <w:rFonts w:ascii="Arial Narrow" w:hAnsi="Arial Narrow"/>
                <w:sz w:val="20"/>
                <w:szCs w:val="20"/>
              </w:rPr>
            </w:pPr>
            <w:r w:rsidRPr="00461053">
              <w:rPr>
                <w:rFonts w:ascii="Arial Narrow" w:hAnsi="Arial Narrow"/>
                <w:sz w:val="20"/>
                <w:szCs w:val="20"/>
              </w:rPr>
              <w:t>TBD effective price (SPA)</w:t>
            </w:r>
          </w:p>
        </w:tc>
        <w:tc>
          <w:tcPr>
            <w:tcW w:w="1134" w:type="dxa"/>
            <w:vAlign w:val="center"/>
          </w:tcPr>
          <w:p w14:paraId="51488578" w14:textId="77777777" w:rsidR="004779D9" w:rsidRPr="00FE714A" w:rsidRDefault="004779D9" w:rsidP="00A2021E">
            <w:pPr>
              <w:keepNext/>
              <w:jc w:val="center"/>
              <w:rPr>
                <w:rFonts w:ascii="Arial Narrow" w:hAnsi="Arial Narrow"/>
                <w:sz w:val="20"/>
                <w:szCs w:val="20"/>
              </w:rPr>
            </w:pPr>
            <w:r w:rsidRPr="00FE714A">
              <w:rPr>
                <w:rFonts w:ascii="Arial Narrow" w:hAnsi="Arial Narrow"/>
                <w:sz w:val="20"/>
                <w:szCs w:val="20"/>
              </w:rPr>
              <w:t>2</w:t>
            </w:r>
          </w:p>
        </w:tc>
        <w:tc>
          <w:tcPr>
            <w:tcW w:w="1134" w:type="dxa"/>
            <w:vAlign w:val="center"/>
          </w:tcPr>
          <w:p w14:paraId="66352455" w14:textId="77777777" w:rsidR="004779D9" w:rsidRPr="00FE714A" w:rsidRDefault="004779D9" w:rsidP="00A2021E">
            <w:pPr>
              <w:keepNext/>
              <w:jc w:val="center"/>
              <w:rPr>
                <w:rFonts w:ascii="Arial Narrow" w:hAnsi="Arial Narrow"/>
                <w:sz w:val="20"/>
                <w:szCs w:val="20"/>
              </w:rPr>
            </w:pPr>
            <w:r w:rsidRPr="00FE714A">
              <w:rPr>
                <w:rFonts w:ascii="Arial Narrow" w:hAnsi="Arial Narrow"/>
                <w:sz w:val="20"/>
                <w:szCs w:val="20"/>
              </w:rPr>
              <w:t>2</w:t>
            </w:r>
          </w:p>
        </w:tc>
        <w:tc>
          <w:tcPr>
            <w:tcW w:w="709" w:type="dxa"/>
            <w:vAlign w:val="center"/>
          </w:tcPr>
          <w:p w14:paraId="1FBFC59F" w14:textId="77777777" w:rsidR="004779D9" w:rsidRPr="00FE714A" w:rsidRDefault="004779D9" w:rsidP="00A2021E">
            <w:pPr>
              <w:keepNext/>
              <w:jc w:val="center"/>
              <w:rPr>
                <w:rFonts w:ascii="Arial Narrow" w:hAnsi="Arial Narrow"/>
                <w:sz w:val="20"/>
                <w:szCs w:val="20"/>
              </w:rPr>
            </w:pPr>
            <w:r w:rsidRPr="00FE714A">
              <w:rPr>
                <w:rFonts w:ascii="Arial Narrow" w:hAnsi="Arial Narrow"/>
                <w:sz w:val="20"/>
                <w:szCs w:val="20"/>
              </w:rPr>
              <w:t>1</w:t>
            </w:r>
          </w:p>
        </w:tc>
        <w:tc>
          <w:tcPr>
            <w:tcW w:w="942" w:type="dxa"/>
            <w:vAlign w:val="center"/>
          </w:tcPr>
          <w:p w14:paraId="1B0D1817" w14:textId="77777777" w:rsidR="004779D9" w:rsidRPr="00FE714A" w:rsidRDefault="004779D9" w:rsidP="00A2021E">
            <w:pPr>
              <w:keepNext/>
              <w:jc w:val="center"/>
              <w:rPr>
                <w:rFonts w:ascii="Arial Narrow" w:hAnsi="Arial Narrow"/>
                <w:sz w:val="20"/>
                <w:szCs w:val="20"/>
              </w:rPr>
            </w:pPr>
            <w:proofErr w:type="spellStart"/>
            <w:r w:rsidRPr="00FE714A">
              <w:rPr>
                <w:rFonts w:ascii="Arial Narrow" w:hAnsi="Arial Narrow"/>
                <w:sz w:val="20"/>
                <w:szCs w:val="20"/>
              </w:rPr>
              <w:t>Ebglyss</w:t>
            </w:r>
            <w:proofErr w:type="spellEnd"/>
          </w:p>
        </w:tc>
      </w:tr>
    </w:tbl>
    <w:p w14:paraId="27F7C9FD" w14:textId="77777777" w:rsidR="004779D9" w:rsidRPr="00FE714A" w:rsidRDefault="004779D9" w:rsidP="00DD4142">
      <w:pPr>
        <w:pStyle w:val="TableFooter"/>
        <w:keepNext/>
        <w:keepLines/>
      </w:pPr>
      <w:r w:rsidRPr="00FE714A">
        <w:t xml:space="preserve">AEMP = approved ex-manufacturer price; DPMQ = dispensed price for maximum quantity; DUPI = dupilumab; LEB = lebrikizumab; SPA = special pricing arrangement; TBD = to be determined; UPA = upadacitinib; qty = quantity; </w:t>
      </w:r>
      <w:proofErr w:type="spellStart"/>
      <w:r w:rsidRPr="00FE714A">
        <w:t>rpts</w:t>
      </w:r>
      <w:proofErr w:type="spellEnd"/>
      <w:r w:rsidRPr="00FE714A">
        <w:t xml:space="preserve"> = repeats.</w:t>
      </w:r>
    </w:p>
    <w:p w14:paraId="680CBC62" w14:textId="2E7B4529" w:rsidR="004779D9" w:rsidRPr="00FE714A" w:rsidRDefault="004779D9" w:rsidP="00DD4142">
      <w:pPr>
        <w:pStyle w:val="TableFooter"/>
        <w:keepNext/>
        <w:keepLines/>
      </w:pPr>
      <w:r w:rsidRPr="00FE714A">
        <w:t xml:space="preserve">Note: The DPMQ provided by the submission was based on an </w:t>
      </w:r>
      <w:r w:rsidRPr="00461053">
        <w:t>AEMP of $</w:t>
      </w:r>
      <w:r w:rsidR="000727C3" w:rsidRPr="005D3A69">
        <w:rPr>
          <w:color w:val="000000"/>
          <w:spacing w:val="9"/>
          <w:shd w:val="solid" w:color="000000" w:fill="000000"/>
          <w:fitText w:val="281" w:id="-961880829"/>
          <w14:textFill>
            <w14:solidFill>
              <w14:srgbClr w14:val="000000">
                <w14:alpha w14:val="100000"/>
              </w14:srgbClr>
            </w14:solidFill>
          </w14:textFill>
        </w:rPr>
        <w:t>||  |</w:t>
      </w:r>
      <w:r w:rsidR="000727C3" w:rsidRPr="005D3A69">
        <w:rPr>
          <w:color w:val="000000"/>
          <w:spacing w:val="1"/>
          <w:shd w:val="solid" w:color="000000" w:fill="000000"/>
          <w:fitText w:val="281" w:id="-961880829"/>
          <w14:textFill>
            <w14:solidFill>
              <w14:srgbClr w14:val="000000">
                <w14:alpha w14:val="100000"/>
              </w14:srgbClr>
            </w14:solidFill>
          </w14:textFill>
        </w:rPr>
        <w:t>|</w:t>
      </w:r>
      <w:r w:rsidRPr="00461053">
        <w:t>. However, this DPMQ differed slightly to those calculated during the evaluation (using the ‘Mark-ups v43 - eff 1 Jul 23 external’ workbook). e.g., The DPMQ for 1 unit was $</w:t>
      </w:r>
      <w:r w:rsidR="000727C3" w:rsidRPr="005D3A69">
        <w:rPr>
          <w:color w:val="000000"/>
          <w:spacing w:val="36"/>
          <w:shd w:val="solid" w:color="000000" w:fill="000000"/>
          <w:fitText w:val="268" w:id="-961880828"/>
          <w14:textFill>
            <w14:solidFill>
              <w14:srgbClr w14:val="000000">
                <w14:alpha w14:val="100000"/>
              </w14:srgbClr>
            </w14:solidFill>
          </w14:textFill>
        </w:rPr>
        <w:t xml:space="preserve">|  </w:t>
      </w:r>
      <w:r w:rsidR="000727C3" w:rsidRPr="005D3A69">
        <w:rPr>
          <w:color w:val="000000"/>
          <w:spacing w:val="2"/>
          <w:shd w:val="solid" w:color="000000" w:fill="000000"/>
          <w:fitText w:val="268" w:id="-961880828"/>
          <w14:textFill>
            <w14:solidFill>
              <w14:srgbClr w14:val="000000">
                <w14:alpha w14:val="100000"/>
              </w14:srgbClr>
            </w14:solidFill>
          </w14:textFill>
        </w:rPr>
        <w:t>|</w:t>
      </w:r>
      <w:r w:rsidRPr="00461053">
        <w:t>, compared to $</w:t>
      </w:r>
      <w:r w:rsidR="000727C3" w:rsidRPr="005D3A69">
        <w:rPr>
          <w:color w:val="000000"/>
          <w:spacing w:val="9"/>
          <w:shd w:val="solid" w:color="000000" w:fill="000000"/>
          <w:fitText w:val="281" w:id="-961880827"/>
          <w14:textFill>
            <w14:solidFill>
              <w14:srgbClr w14:val="000000">
                <w14:alpha w14:val="100000"/>
              </w14:srgbClr>
            </w14:solidFill>
          </w14:textFill>
        </w:rPr>
        <w:t>||  |</w:t>
      </w:r>
      <w:r w:rsidR="000727C3" w:rsidRPr="005D3A69">
        <w:rPr>
          <w:color w:val="000000"/>
          <w:spacing w:val="1"/>
          <w:shd w:val="solid" w:color="000000" w:fill="000000"/>
          <w:fitText w:val="281" w:id="-961880827"/>
          <w14:textFill>
            <w14:solidFill>
              <w14:srgbClr w14:val="000000">
                <w14:alpha w14:val="100000"/>
              </w14:srgbClr>
            </w14:solidFill>
          </w14:textFill>
        </w:rPr>
        <w:t>|</w:t>
      </w:r>
      <w:r w:rsidRPr="00461053">
        <w:t>calculated during the evaluation.</w:t>
      </w:r>
      <w:r w:rsidRPr="00FE714A">
        <w:t xml:space="preserve"> </w:t>
      </w:r>
    </w:p>
    <w:p w14:paraId="4BA3F4C3" w14:textId="77777777" w:rsidR="004779D9" w:rsidRPr="00FE714A" w:rsidRDefault="004779D9">
      <w:r w:rsidRPr="00FE714A">
        <w:rPr>
          <w:rFonts w:ascii="Arial Narrow" w:hAnsi="Arial Narrow"/>
          <w:sz w:val="18"/>
        </w:rPr>
        <w:t>The submission requested a SPA for LEB. The submission noted that a SPA currently applies to DUPI and UPA, and the SPA rebate for LEB (on the basis of a cost minimisation approach vs DUPI) could not be determined given the effective AEMPs are unknown to the sponsor.</w:t>
      </w:r>
    </w:p>
    <w:p w14:paraId="6BF1ABA9" w14:textId="77777777" w:rsidR="004779D9" w:rsidRPr="00FE714A" w:rsidRDefault="004779D9" w:rsidP="004B1C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4779D9" w:rsidRPr="00FE714A" w14:paraId="69DEA3A3" w14:textId="77777777" w:rsidTr="00F26C19">
        <w:trPr>
          <w:trHeight w:val="20"/>
        </w:trPr>
        <w:tc>
          <w:tcPr>
            <w:tcW w:w="5000" w:type="pct"/>
          </w:tcPr>
          <w:p w14:paraId="315375E5" w14:textId="77777777" w:rsidR="004779D9" w:rsidRPr="00FE714A" w:rsidRDefault="004779D9" w:rsidP="002E2468">
            <w:pPr>
              <w:pStyle w:val="TableText0"/>
              <w:keepNext w:val="0"/>
            </w:pPr>
            <w:r w:rsidRPr="00FE714A">
              <w:rPr>
                <w:b/>
              </w:rPr>
              <w:t xml:space="preserve">Category / Program: </w:t>
            </w:r>
            <w:r w:rsidRPr="00FE714A">
              <w:t>General Schedule</w:t>
            </w:r>
          </w:p>
        </w:tc>
      </w:tr>
      <w:tr w:rsidR="004779D9" w:rsidRPr="00FE714A" w14:paraId="1DD53367" w14:textId="77777777" w:rsidTr="00F26C19">
        <w:trPr>
          <w:trHeight w:val="20"/>
        </w:trPr>
        <w:tc>
          <w:tcPr>
            <w:tcW w:w="5000" w:type="pct"/>
          </w:tcPr>
          <w:p w14:paraId="1D388F11" w14:textId="77777777" w:rsidR="004779D9" w:rsidRPr="00FE714A" w:rsidRDefault="004779D9" w:rsidP="002E2468">
            <w:pPr>
              <w:pStyle w:val="TableText0"/>
              <w:keepNext w:val="0"/>
              <w:rPr>
                <w:b/>
              </w:rPr>
            </w:pPr>
            <w:r w:rsidRPr="00FE714A">
              <w:rPr>
                <w:b/>
              </w:rPr>
              <w:t xml:space="preserve">Prescriber type: </w:t>
            </w:r>
            <w:r w:rsidRPr="00FE714A">
              <w:fldChar w:fldCharType="begin" w:fldLock="1">
                <w:ffData>
                  <w:name w:val=""/>
                  <w:enabled/>
                  <w:calcOnExit w:val="0"/>
                  <w:checkBox>
                    <w:sizeAuto/>
                    <w:default w:val="1"/>
                  </w:checkBox>
                </w:ffData>
              </w:fldChar>
            </w:r>
            <w:r w:rsidRPr="00FE714A">
              <w:instrText xml:space="preserve"> FORMCHECKBOX </w:instrText>
            </w:r>
            <w:r w:rsidR="008B26E3">
              <w:fldChar w:fldCharType="separate"/>
            </w:r>
            <w:r w:rsidRPr="00FE714A">
              <w:fldChar w:fldCharType="end"/>
            </w:r>
            <w:r w:rsidRPr="00FE714A">
              <w:t xml:space="preserve">Medical Practitioners </w:t>
            </w:r>
          </w:p>
        </w:tc>
      </w:tr>
      <w:tr w:rsidR="004779D9" w:rsidRPr="00FE714A" w14:paraId="04F7BFE8" w14:textId="77777777" w:rsidTr="00F26C19">
        <w:trPr>
          <w:trHeight w:val="20"/>
        </w:trPr>
        <w:tc>
          <w:tcPr>
            <w:tcW w:w="5000" w:type="pct"/>
          </w:tcPr>
          <w:p w14:paraId="1721C10D" w14:textId="77777777" w:rsidR="004779D9" w:rsidRPr="00FE714A" w:rsidRDefault="004779D9" w:rsidP="002E2468">
            <w:pPr>
              <w:pStyle w:val="TableText0"/>
              <w:keepNext w:val="0"/>
              <w:rPr>
                <w:rFonts w:eastAsia="Times New Roman"/>
              </w:rPr>
            </w:pPr>
            <w:r w:rsidRPr="00FE714A">
              <w:rPr>
                <w:b/>
              </w:rPr>
              <w:t xml:space="preserve">Restriction type: </w:t>
            </w:r>
            <w:r w:rsidRPr="00FE714A">
              <w:rPr>
                <w:rFonts w:eastAsia="Times New Roman"/>
              </w:rPr>
              <w:fldChar w:fldCharType="begin" w:fldLock="1">
                <w:ffData>
                  <w:name w:val="Check1"/>
                  <w:enabled/>
                  <w:calcOnExit w:val="0"/>
                  <w:checkBox>
                    <w:sizeAuto/>
                    <w:default w:val="1"/>
                  </w:checkBox>
                </w:ffData>
              </w:fldChar>
            </w:r>
            <w:r w:rsidRPr="00FE714A">
              <w:rPr>
                <w:rFonts w:eastAsia="Times New Roman"/>
              </w:rPr>
              <w:instrText xml:space="preserve"> FORMCHECKBOX </w:instrText>
            </w:r>
            <w:r w:rsidR="008B26E3">
              <w:rPr>
                <w:rFonts w:eastAsia="Times New Roman"/>
              </w:rPr>
            </w:r>
            <w:r w:rsidR="008B26E3">
              <w:rPr>
                <w:rFonts w:eastAsia="Times New Roman"/>
              </w:rPr>
              <w:fldChar w:fldCharType="separate"/>
            </w:r>
            <w:r w:rsidRPr="00FE714A">
              <w:rPr>
                <w:rFonts w:eastAsia="Times New Roman"/>
              </w:rPr>
              <w:fldChar w:fldCharType="end"/>
            </w:r>
            <w:r w:rsidRPr="00FE714A">
              <w:rPr>
                <w:rFonts w:eastAsia="Times New Roman"/>
              </w:rPr>
              <w:t xml:space="preserve">Restricted benefit </w:t>
            </w:r>
            <w:r w:rsidRPr="00FE714A">
              <w:rPr>
                <w:rFonts w:eastAsia="Times New Roman"/>
              </w:rPr>
              <w:fldChar w:fldCharType="begin" w:fldLock="1">
                <w:ffData>
                  <w:name w:val="Check3"/>
                  <w:enabled/>
                  <w:calcOnExit w:val="0"/>
                  <w:checkBox>
                    <w:sizeAuto/>
                    <w:default w:val="1"/>
                  </w:checkBox>
                </w:ffData>
              </w:fldChar>
            </w:r>
            <w:r w:rsidRPr="00FE714A">
              <w:rPr>
                <w:rFonts w:eastAsia="Times New Roman"/>
              </w:rPr>
              <w:instrText xml:space="preserve"> FORMCHECKBOX </w:instrText>
            </w:r>
            <w:r w:rsidR="008B26E3">
              <w:rPr>
                <w:rFonts w:eastAsia="Times New Roman"/>
              </w:rPr>
            </w:r>
            <w:r w:rsidR="008B26E3">
              <w:rPr>
                <w:rFonts w:eastAsia="Times New Roman"/>
              </w:rPr>
              <w:fldChar w:fldCharType="separate"/>
            </w:r>
            <w:r w:rsidRPr="00FE714A">
              <w:rPr>
                <w:rFonts w:eastAsia="Times New Roman"/>
              </w:rPr>
              <w:fldChar w:fldCharType="end"/>
            </w:r>
            <w:r w:rsidRPr="00FE714A">
              <w:rPr>
                <w:rFonts w:eastAsia="Times New Roman"/>
              </w:rPr>
              <w:t>Authority Required (telephone/online PBS Authorities system)</w:t>
            </w:r>
          </w:p>
        </w:tc>
      </w:tr>
      <w:tr w:rsidR="004779D9" w:rsidRPr="00FE714A" w14:paraId="556C43BA" w14:textId="77777777" w:rsidTr="00F26C19">
        <w:trPr>
          <w:trHeight w:val="20"/>
        </w:trPr>
        <w:tc>
          <w:tcPr>
            <w:tcW w:w="5000" w:type="pct"/>
            <w:vAlign w:val="center"/>
          </w:tcPr>
          <w:p w14:paraId="2F89D2E4" w14:textId="77777777" w:rsidR="004779D9" w:rsidRPr="00FE714A" w:rsidRDefault="004779D9" w:rsidP="002E2468">
            <w:pPr>
              <w:pStyle w:val="TableText0"/>
              <w:keepNext w:val="0"/>
            </w:pPr>
            <w:proofErr w:type="spellStart"/>
            <w:r w:rsidRPr="00FE714A">
              <w:rPr>
                <w:b/>
              </w:rPr>
              <w:t>Episodicity</w:t>
            </w:r>
            <w:proofErr w:type="spellEnd"/>
            <w:r w:rsidRPr="00FE714A">
              <w:rPr>
                <w:b/>
              </w:rPr>
              <w:t xml:space="preserve">: </w:t>
            </w:r>
            <w:r w:rsidRPr="00FE714A">
              <w:rPr>
                <w:bCs w:val="0"/>
              </w:rPr>
              <w:t>Chronic</w:t>
            </w:r>
          </w:p>
        </w:tc>
      </w:tr>
      <w:tr w:rsidR="004779D9" w:rsidRPr="00FE714A" w14:paraId="025F2C1A" w14:textId="77777777" w:rsidTr="00F26C19">
        <w:trPr>
          <w:trHeight w:val="20"/>
        </w:trPr>
        <w:tc>
          <w:tcPr>
            <w:tcW w:w="5000" w:type="pct"/>
            <w:vAlign w:val="center"/>
          </w:tcPr>
          <w:p w14:paraId="356F1AAD" w14:textId="77777777" w:rsidR="004779D9" w:rsidRPr="00FE714A" w:rsidRDefault="004779D9" w:rsidP="002E2468">
            <w:pPr>
              <w:pStyle w:val="TableText0"/>
              <w:keepNext w:val="0"/>
              <w:rPr>
                <w:b/>
              </w:rPr>
            </w:pPr>
            <w:r w:rsidRPr="00FE714A">
              <w:rPr>
                <w:b/>
              </w:rPr>
              <w:t xml:space="preserve">Severity: </w:t>
            </w:r>
            <w:r w:rsidRPr="00FE714A">
              <w:rPr>
                <w:bCs w:val="0"/>
              </w:rPr>
              <w:t>Severe</w:t>
            </w:r>
          </w:p>
        </w:tc>
      </w:tr>
      <w:tr w:rsidR="004779D9" w:rsidRPr="00FE714A" w14:paraId="5C8C816E" w14:textId="77777777" w:rsidTr="00F26C19">
        <w:trPr>
          <w:trHeight w:val="20"/>
        </w:trPr>
        <w:tc>
          <w:tcPr>
            <w:tcW w:w="5000" w:type="pct"/>
            <w:vAlign w:val="center"/>
          </w:tcPr>
          <w:p w14:paraId="182B9F57" w14:textId="77777777" w:rsidR="004779D9" w:rsidRPr="00FE714A" w:rsidRDefault="004779D9" w:rsidP="002E2468">
            <w:pPr>
              <w:pStyle w:val="TableText0"/>
              <w:keepNext w:val="0"/>
              <w:rPr>
                <w:b/>
              </w:rPr>
            </w:pPr>
            <w:r w:rsidRPr="00FE714A">
              <w:rPr>
                <w:b/>
              </w:rPr>
              <w:t xml:space="preserve">Condition: </w:t>
            </w:r>
            <w:r w:rsidRPr="00FE714A">
              <w:rPr>
                <w:bCs w:val="0"/>
              </w:rPr>
              <w:t xml:space="preserve">Atopic Dermatitis </w:t>
            </w:r>
          </w:p>
        </w:tc>
      </w:tr>
      <w:tr w:rsidR="004779D9" w:rsidRPr="00FE714A" w14:paraId="77C588B0" w14:textId="77777777" w:rsidTr="00F26C19">
        <w:trPr>
          <w:trHeight w:val="20"/>
        </w:trPr>
        <w:tc>
          <w:tcPr>
            <w:tcW w:w="5000" w:type="pct"/>
            <w:vAlign w:val="center"/>
            <w:hideMark/>
          </w:tcPr>
          <w:p w14:paraId="154E4BFB" w14:textId="77777777" w:rsidR="004779D9" w:rsidRPr="00FE714A" w:rsidRDefault="004779D9" w:rsidP="002E2468">
            <w:pPr>
              <w:pStyle w:val="TableText0"/>
              <w:keepNext w:val="0"/>
            </w:pPr>
            <w:r w:rsidRPr="00FE714A">
              <w:rPr>
                <w:b/>
              </w:rPr>
              <w:t>Indication:</w:t>
            </w:r>
            <w:r w:rsidRPr="00FE714A">
              <w:t xml:space="preserve"> Chronic severe atopic dermatitis</w:t>
            </w:r>
          </w:p>
        </w:tc>
      </w:tr>
      <w:tr w:rsidR="004779D9" w:rsidRPr="00FE714A" w14:paraId="2784A5CF" w14:textId="77777777" w:rsidTr="00F26C19">
        <w:trPr>
          <w:trHeight w:val="20"/>
        </w:trPr>
        <w:tc>
          <w:tcPr>
            <w:tcW w:w="5000" w:type="pct"/>
            <w:shd w:val="clear" w:color="auto" w:fill="D9D9D9" w:themeFill="background1" w:themeFillShade="D9"/>
            <w:vAlign w:val="center"/>
            <w:hideMark/>
          </w:tcPr>
          <w:p w14:paraId="7019C417" w14:textId="77777777" w:rsidR="004779D9" w:rsidRPr="00FE714A" w:rsidRDefault="004779D9" w:rsidP="002E2468">
            <w:pPr>
              <w:pStyle w:val="TableText0"/>
              <w:keepNext w:val="0"/>
            </w:pPr>
            <w:r w:rsidRPr="00FE714A">
              <w:rPr>
                <w:b/>
              </w:rPr>
              <w:t>Treatment Phase:</w:t>
            </w:r>
            <w:r w:rsidRPr="00FE714A">
              <w:t xml:space="preserve"> Initial treatment of the whole body</w:t>
            </w:r>
          </w:p>
        </w:tc>
      </w:tr>
      <w:tr w:rsidR="004779D9" w:rsidRPr="00FE714A" w14:paraId="0CE6A31E" w14:textId="77777777" w:rsidTr="00F26C19">
        <w:trPr>
          <w:trHeight w:val="20"/>
        </w:trPr>
        <w:tc>
          <w:tcPr>
            <w:tcW w:w="5000" w:type="pct"/>
            <w:vAlign w:val="center"/>
            <w:hideMark/>
          </w:tcPr>
          <w:p w14:paraId="26D9CEFE" w14:textId="77777777" w:rsidR="004779D9" w:rsidRPr="00FE714A" w:rsidRDefault="004779D9" w:rsidP="002E2468">
            <w:pPr>
              <w:pStyle w:val="TableText0"/>
              <w:keepNext w:val="0"/>
            </w:pPr>
            <w:r w:rsidRPr="00FE714A">
              <w:rPr>
                <w:b/>
              </w:rPr>
              <w:t>Clinical criteria:</w:t>
            </w:r>
          </w:p>
        </w:tc>
      </w:tr>
      <w:tr w:rsidR="004779D9" w:rsidRPr="00FE714A" w14:paraId="58F4798B" w14:textId="77777777" w:rsidTr="00F26C19">
        <w:trPr>
          <w:trHeight w:val="20"/>
        </w:trPr>
        <w:tc>
          <w:tcPr>
            <w:tcW w:w="5000" w:type="pct"/>
            <w:vAlign w:val="center"/>
            <w:hideMark/>
          </w:tcPr>
          <w:p w14:paraId="070C7C43" w14:textId="77777777" w:rsidR="004779D9" w:rsidRPr="00FE714A" w:rsidRDefault="004779D9" w:rsidP="002E2468">
            <w:pPr>
              <w:pStyle w:val="TableText0"/>
              <w:keepNext w:val="0"/>
            </w:pPr>
            <w:r w:rsidRPr="00FE714A">
              <w:t>Patient must have a Physicians Global Assessment (PGA) (5-point scale) baseline score of at least 4 as evidence of severe disease despite treatment with daily topical therapy (corticosteroid of medium to high potency/calcineurin inhibitor), for at least 28 days; AND</w:t>
            </w:r>
          </w:p>
          <w:p w14:paraId="0507B8F6" w14:textId="77777777" w:rsidR="004779D9" w:rsidRPr="00FE714A" w:rsidRDefault="004779D9" w:rsidP="002E2468">
            <w:pPr>
              <w:pStyle w:val="TableText0"/>
              <w:keepNext w:val="0"/>
            </w:pPr>
            <w:r w:rsidRPr="00FE714A">
              <w:t>Patient must have an Eczema Area and Severity Index (EASI) baseline score of at least 20 despite treatment with daily topical therapy (corticosteroid of medium to high potency/calcineurin inhibitor), for at least 28 days; AND</w:t>
            </w:r>
          </w:p>
          <w:p w14:paraId="144F65B3" w14:textId="77777777" w:rsidR="004779D9" w:rsidRPr="00FE714A" w:rsidRDefault="004779D9" w:rsidP="002E2468">
            <w:pPr>
              <w:pStyle w:val="TableText0"/>
              <w:keepNext w:val="0"/>
            </w:pPr>
            <w:r w:rsidRPr="00FE714A">
              <w:t>Patient must have an age appropriate Dermatology Life Quality Index (DLQI) baseline score (of any value) measured following treatment with daily topical therapy (corticosteroid of medium to high potency/calcineurin inhibitor), for at least 28 days; AND</w:t>
            </w:r>
          </w:p>
          <w:p w14:paraId="44FD3D93" w14:textId="77777777" w:rsidR="004779D9" w:rsidRPr="00FE714A" w:rsidRDefault="004779D9" w:rsidP="002E2468">
            <w:pPr>
              <w:pStyle w:val="TableText0"/>
              <w:keepNext w:val="0"/>
            </w:pPr>
            <w:r w:rsidRPr="00FE714A">
              <w:lastRenderedPageBreak/>
              <w:t>The condition must have had lesions for at least 6 months from the time of the initial diagnosis of chronic severe atopic dermatitis affecting either of: (</w:t>
            </w:r>
            <w:proofErr w:type="spellStart"/>
            <w:r w:rsidRPr="00FE714A">
              <w:t>i</w:t>
            </w:r>
            <w:proofErr w:type="spellEnd"/>
            <w:r w:rsidRPr="00FE714A">
              <w:t>) the whole body, (ii) face/hands; AND</w:t>
            </w:r>
          </w:p>
          <w:p w14:paraId="422FF70F" w14:textId="77777777" w:rsidR="004779D9" w:rsidRPr="00FE714A" w:rsidRDefault="004779D9" w:rsidP="002E2468">
            <w:pPr>
              <w:pStyle w:val="TableText0"/>
              <w:keepNext w:val="0"/>
            </w:pPr>
            <w:r w:rsidRPr="00FE714A">
              <w:t>Patient must have failed to achieve an adequate response to topical therapies (topical corticosteroids and/or topical calcineurin inhibitors); AND</w:t>
            </w:r>
          </w:p>
          <w:p w14:paraId="4525DF4D" w14:textId="77777777" w:rsidR="004779D9" w:rsidRPr="00FE714A" w:rsidRDefault="004779D9" w:rsidP="002E2468">
            <w:pPr>
              <w:pStyle w:val="TableText0"/>
              <w:keepNext w:val="0"/>
            </w:pPr>
            <w:r w:rsidRPr="00FE714A">
              <w:t>Patient must not have experienced an inadequate response to this therapy.</w:t>
            </w:r>
          </w:p>
        </w:tc>
      </w:tr>
      <w:tr w:rsidR="004779D9" w:rsidRPr="00FE714A" w14:paraId="13943EDB" w14:textId="77777777" w:rsidTr="00F26C19">
        <w:trPr>
          <w:trHeight w:val="20"/>
        </w:trPr>
        <w:tc>
          <w:tcPr>
            <w:tcW w:w="5000" w:type="pct"/>
            <w:vAlign w:val="center"/>
            <w:hideMark/>
          </w:tcPr>
          <w:p w14:paraId="35E7AAE7" w14:textId="77777777" w:rsidR="004779D9" w:rsidRPr="00FE714A" w:rsidRDefault="004779D9" w:rsidP="002E2468">
            <w:pPr>
              <w:pStyle w:val="TableText0"/>
              <w:keepNext w:val="0"/>
            </w:pPr>
            <w:r w:rsidRPr="00FE714A">
              <w:rPr>
                <w:b/>
              </w:rPr>
              <w:lastRenderedPageBreak/>
              <w:t>Treatment criteria:</w:t>
            </w:r>
          </w:p>
        </w:tc>
      </w:tr>
      <w:tr w:rsidR="004779D9" w:rsidRPr="00FE714A" w14:paraId="4B8DB92C" w14:textId="77777777" w:rsidTr="00F26C19">
        <w:trPr>
          <w:trHeight w:val="20"/>
        </w:trPr>
        <w:tc>
          <w:tcPr>
            <w:tcW w:w="5000" w:type="pct"/>
            <w:vAlign w:val="center"/>
            <w:hideMark/>
          </w:tcPr>
          <w:p w14:paraId="393C105B" w14:textId="77777777" w:rsidR="004779D9" w:rsidRPr="00FE714A" w:rsidRDefault="004779D9" w:rsidP="002E2468">
            <w:pPr>
              <w:pStyle w:val="TableText0"/>
              <w:keepNext w:val="0"/>
            </w:pPr>
            <w:r w:rsidRPr="00FE714A">
              <w:t>Must be treated by a dermatologist; OR</w:t>
            </w:r>
          </w:p>
          <w:p w14:paraId="504C40C2" w14:textId="77777777" w:rsidR="004779D9" w:rsidRPr="00FE714A" w:rsidRDefault="004779D9" w:rsidP="002E2468">
            <w:pPr>
              <w:pStyle w:val="TableText0"/>
              <w:keepNext w:val="0"/>
            </w:pPr>
            <w:r w:rsidRPr="00FE714A">
              <w:t>Must be treated by a clinical immunologist; AND</w:t>
            </w:r>
          </w:p>
          <w:p w14:paraId="185D3A2E" w14:textId="77777777" w:rsidR="004779D9" w:rsidRPr="00FE714A" w:rsidRDefault="004779D9" w:rsidP="002E2468">
            <w:pPr>
              <w:pStyle w:val="TableText0"/>
              <w:keepNext w:val="0"/>
              <w:rPr>
                <w:i/>
                <w:iCs/>
              </w:rPr>
            </w:pPr>
            <w:r w:rsidRPr="00FE714A">
              <w:t>Patient must be undergoing treatment with this drug as the sole PBS-subsidised therapy with this PBS indication (combination with oral corticosteroids is permitted as these are not listed with the PBS indication: chronic severe atopic dermatitis).</w:t>
            </w:r>
          </w:p>
        </w:tc>
      </w:tr>
      <w:tr w:rsidR="004779D9" w:rsidRPr="00FE714A" w14:paraId="4F8756B1" w14:textId="77777777" w:rsidTr="00F26C19">
        <w:trPr>
          <w:trHeight w:val="20"/>
        </w:trPr>
        <w:tc>
          <w:tcPr>
            <w:tcW w:w="5000" w:type="pct"/>
            <w:vAlign w:val="center"/>
            <w:hideMark/>
          </w:tcPr>
          <w:p w14:paraId="1705AB3F" w14:textId="77777777" w:rsidR="004779D9" w:rsidRPr="00FE714A" w:rsidRDefault="004779D9" w:rsidP="002E2468">
            <w:pPr>
              <w:pStyle w:val="TableText0"/>
              <w:keepNext w:val="0"/>
            </w:pPr>
            <w:r w:rsidRPr="00FE714A">
              <w:rPr>
                <w:b/>
              </w:rPr>
              <w:t>Population criteria:</w:t>
            </w:r>
          </w:p>
        </w:tc>
      </w:tr>
      <w:tr w:rsidR="004779D9" w:rsidRPr="00FE714A" w14:paraId="5A1DD1AF" w14:textId="77777777" w:rsidTr="00F26C19">
        <w:trPr>
          <w:trHeight w:val="20"/>
        </w:trPr>
        <w:tc>
          <w:tcPr>
            <w:tcW w:w="5000" w:type="pct"/>
            <w:vAlign w:val="center"/>
          </w:tcPr>
          <w:p w14:paraId="1615B718" w14:textId="77777777" w:rsidR="004779D9" w:rsidRPr="00FE714A" w:rsidRDefault="004779D9" w:rsidP="002E2468">
            <w:pPr>
              <w:pStyle w:val="TableText0"/>
              <w:keepNext w:val="0"/>
              <w:rPr>
                <w:color w:val="0066FF"/>
              </w:rPr>
            </w:pPr>
            <w:r w:rsidRPr="00FE714A">
              <w:t>Patient must be 12 years of age or older.</w:t>
            </w:r>
          </w:p>
        </w:tc>
      </w:tr>
      <w:tr w:rsidR="004779D9" w:rsidRPr="00FE714A" w14:paraId="17F4CFF2" w14:textId="77777777" w:rsidTr="00F26C19">
        <w:trPr>
          <w:trHeight w:val="20"/>
        </w:trPr>
        <w:tc>
          <w:tcPr>
            <w:tcW w:w="5000" w:type="pct"/>
            <w:shd w:val="clear" w:color="auto" w:fill="D9D9D9" w:themeFill="background1" w:themeFillShade="D9"/>
            <w:vAlign w:val="center"/>
          </w:tcPr>
          <w:p w14:paraId="1660BB0E" w14:textId="77777777" w:rsidR="004779D9" w:rsidRPr="00FE714A" w:rsidRDefault="004779D9" w:rsidP="002E2468">
            <w:pPr>
              <w:pStyle w:val="TableText0"/>
              <w:keepNext w:val="0"/>
              <w:rPr>
                <w:b/>
              </w:rPr>
            </w:pPr>
            <w:r w:rsidRPr="00FE714A">
              <w:rPr>
                <w:b/>
                <w:szCs w:val="20"/>
              </w:rPr>
              <w:t>Treatment Phase:</w:t>
            </w:r>
            <w:r w:rsidRPr="00FE714A">
              <w:rPr>
                <w:szCs w:val="20"/>
              </w:rPr>
              <w:t xml:space="preserve"> Continuing or resuming treatment of the whole body</w:t>
            </w:r>
          </w:p>
        </w:tc>
      </w:tr>
      <w:tr w:rsidR="004779D9" w:rsidRPr="00FE714A" w14:paraId="3EB5A332" w14:textId="77777777" w:rsidTr="00F26C19">
        <w:trPr>
          <w:trHeight w:val="20"/>
        </w:trPr>
        <w:tc>
          <w:tcPr>
            <w:tcW w:w="5000" w:type="pct"/>
            <w:vAlign w:val="center"/>
          </w:tcPr>
          <w:p w14:paraId="25DA31CF" w14:textId="77777777" w:rsidR="004779D9" w:rsidRPr="00FE714A" w:rsidRDefault="004779D9" w:rsidP="002E2468">
            <w:pPr>
              <w:pStyle w:val="TableText0"/>
              <w:keepNext w:val="0"/>
              <w:rPr>
                <w:b/>
              </w:rPr>
            </w:pPr>
            <w:r w:rsidRPr="00FE714A">
              <w:rPr>
                <w:b/>
              </w:rPr>
              <w:t>Clinical criteria:</w:t>
            </w:r>
          </w:p>
        </w:tc>
      </w:tr>
      <w:tr w:rsidR="004779D9" w:rsidRPr="00FE714A" w14:paraId="618736C7" w14:textId="77777777" w:rsidTr="00F26C19">
        <w:trPr>
          <w:trHeight w:val="20"/>
        </w:trPr>
        <w:tc>
          <w:tcPr>
            <w:tcW w:w="5000" w:type="pct"/>
            <w:vAlign w:val="center"/>
          </w:tcPr>
          <w:p w14:paraId="59429C90" w14:textId="77777777" w:rsidR="004779D9" w:rsidRPr="00FE714A" w:rsidRDefault="004779D9" w:rsidP="002E2468">
            <w:pPr>
              <w:pStyle w:val="TableText0"/>
              <w:keepNext w:val="0"/>
              <w:rPr>
                <w:bCs w:val="0"/>
              </w:rPr>
            </w:pPr>
            <w:r w:rsidRPr="00FE714A">
              <w:rPr>
                <w:bCs w:val="0"/>
              </w:rPr>
              <w:t>Patient must have received PBS-subsidised treatment with this biological medicine for the treatment of chronic severe atopic dermatitis affecting the whole body; AND</w:t>
            </w:r>
          </w:p>
          <w:p w14:paraId="6B7D33A0" w14:textId="77777777" w:rsidR="004779D9" w:rsidRPr="00FE714A" w:rsidRDefault="004779D9" w:rsidP="002E2468">
            <w:pPr>
              <w:pStyle w:val="TableText0"/>
              <w:keepNext w:val="0"/>
              <w:rPr>
                <w:bCs w:val="0"/>
              </w:rPr>
            </w:pPr>
            <w:r w:rsidRPr="00FE714A">
              <w:rPr>
                <w:bCs w:val="0"/>
              </w:rPr>
              <w:t>Patient must have achieved an adequate response prior to this first continuing treatment authority application; OR</w:t>
            </w:r>
          </w:p>
          <w:p w14:paraId="3D326FDF" w14:textId="77777777" w:rsidR="004779D9" w:rsidRPr="00FE714A" w:rsidRDefault="004779D9" w:rsidP="002E2468">
            <w:pPr>
              <w:pStyle w:val="TableText0"/>
              <w:keepNext w:val="0"/>
              <w:rPr>
                <w:bCs w:val="0"/>
              </w:rPr>
            </w:pPr>
            <w:r w:rsidRPr="00FE714A">
              <w:rPr>
                <w:bCs w:val="0"/>
              </w:rPr>
              <w:t>Patient must have maintained an adequate response to their most recent course of PBS-subsidised treatment with this biological medicine for this PBS indication if this is the second or subsequent Continuing treatment authority application; OR</w:t>
            </w:r>
          </w:p>
          <w:p w14:paraId="52FA8378" w14:textId="77777777" w:rsidR="004779D9" w:rsidRPr="00FE714A" w:rsidRDefault="004779D9" w:rsidP="002E2468">
            <w:pPr>
              <w:pStyle w:val="TableText0"/>
              <w:keepNext w:val="0"/>
              <w:rPr>
                <w:bCs w:val="0"/>
              </w:rPr>
            </w:pPr>
            <w:r w:rsidRPr="00FE714A">
              <w:rPr>
                <w:bCs w:val="0"/>
              </w:rPr>
              <w:t>Patient must have temporarily ceased treatment for reasons other than lack of response (e.g. family planning, vaccination with live vaccines, adverse-effect investigation), thereby being unable to achieve/maintain an adequate response immediately prior to this authority application; AND</w:t>
            </w:r>
          </w:p>
          <w:p w14:paraId="6F927B0B" w14:textId="77777777" w:rsidR="004779D9" w:rsidRPr="00FE714A" w:rsidRDefault="004779D9" w:rsidP="002E2468">
            <w:pPr>
              <w:pStyle w:val="TableText0"/>
              <w:keepNext w:val="0"/>
              <w:rPr>
                <w:bCs w:val="0"/>
              </w:rPr>
            </w:pPr>
            <w:r w:rsidRPr="00FE714A">
              <w:rPr>
                <w:bCs w:val="0"/>
              </w:rPr>
              <w:t>The treatment must be the sole PBS-subsidised biological medicine for this PBS indication.</w:t>
            </w:r>
          </w:p>
        </w:tc>
      </w:tr>
      <w:tr w:rsidR="004779D9" w:rsidRPr="00FE714A" w14:paraId="7F61092D" w14:textId="77777777" w:rsidTr="00F26C19">
        <w:trPr>
          <w:trHeight w:val="20"/>
        </w:trPr>
        <w:tc>
          <w:tcPr>
            <w:tcW w:w="5000" w:type="pct"/>
            <w:vAlign w:val="center"/>
          </w:tcPr>
          <w:p w14:paraId="1B4D4BC8" w14:textId="77777777" w:rsidR="004779D9" w:rsidRPr="00FE714A" w:rsidRDefault="004779D9" w:rsidP="002E2468">
            <w:pPr>
              <w:pStyle w:val="TableText0"/>
              <w:keepNext w:val="0"/>
              <w:rPr>
                <w:b/>
              </w:rPr>
            </w:pPr>
            <w:r w:rsidRPr="00FE714A">
              <w:rPr>
                <w:b/>
              </w:rPr>
              <w:t>Treatment criteria:</w:t>
            </w:r>
          </w:p>
        </w:tc>
      </w:tr>
      <w:tr w:rsidR="004779D9" w:rsidRPr="00FE714A" w14:paraId="1A56E472" w14:textId="77777777" w:rsidTr="00F26C19">
        <w:trPr>
          <w:trHeight w:val="20"/>
        </w:trPr>
        <w:tc>
          <w:tcPr>
            <w:tcW w:w="5000" w:type="pct"/>
            <w:vAlign w:val="center"/>
          </w:tcPr>
          <w:p w14:paraId="48A9F52A" w14:textId="77777777" w:rsidR="004779D9" w:rsidRPr="00FE714A" w:rsidRDefault="004779D9" w:rsidP="002E2468">
            <w:pPr>
              <w:pStyle w:val="TableText0"/>
              <w:keepNext w:val="0"/>
              <w:rPr>
                <w:bCs w:val="0"/>
              </w:rPr>
            </w:pPr>
            <w:r w:rsidRPr="00FE714A">
              <w:rPr>
                <w:bCs w:val="0"/>
              </w:rPr>
              <w:t>Must be treated by a dermatologist; OR</w:t>
            </w:r>
          </w:p>
          <w:p w14:paraId="3B2F22CD" w14:textId="77777777" w:rsidR="004779D9" w:rsidRPr="00FE714A" w:rsidRDefault="004779D9" w:rsidP="002E2468">
            <w:pPr>
              <w:pStyle w:val="TableText0"/>
              <w:keepNext w:val="0"/>
              <w:rPr>
                <w:b/>
              </w:rPr>
            </w:pPr>
            <w:r w:rsidRPr="00FE714A">
              <w:rPr>
                <w:bCs w:val="0"/>
              </w:rPr>
              <w:t>Must be treated by a clinical immunologist; AND</w:t>
            </w:r>
            <w:r w:rsidRPr="00FE714A">
              <w:rPr>
                <w:bCs w:val="0"/>
              </w:rPr>
              <w:br/>
              <w:t>Patient must be undergoing treatment with this drug as the sole PBS-subsidised therapy with this PBS indication (combination with oral corticosteroids is permitted as these are not listed with the PBS indication: chronic severe atopic dermatitis).</w:t>
            </w:r>
          </w:p>
        </w:tc>
      </w:tr>
      <w:tr w:rsidR="004779D9" w:rsidRPr="00FE714A" w14:paraId="68640B94" w14:textId="77777777" w:rsidTr="00F26C19">
        <w:trPr>
          <w:trHeight w:val="20"/>
        </w:trPr>
        <w:tc>
          <w:tcPr>
            <w:tcW w:w="5000" w:type="pct"/>
            <w:vAlign w:val="center"/>
          </w:tcPr>
          <w:p w14:paraId="1286B851" w14:textId="77777777" w:rsidR="004779D9" w:rsidRPr="00FE714A" w:rsidRDefault="004779D9" w:rsidP="00F26C19">
            <w:pPr>
              <w:pStyle w:val="TableText0"/>
              <w:keepNext w:val="0"/>
              <w:rPr>
                <w:b/>
              </w:rPr>
            </w:pPr>
            <w:r w:rsidRPr="00FE714A">
              <w:rPr>
                <w:b/>
              </w:rPr>
              <w:t>Prescribing Instructions:</w:t>
            </w:r>
          </w:p>
          <w:p w14:paraId="5559B92A" w14:textId="77777777" w:rsidR="004779D9" w:rsidRPr="00FE714A" w:rsidRDefault="004779D9" w:rsidP="00F26C19">
            <w:pPr>
              <w:pStyle w:val="TableText0"/>
              <w:keepNext w:val="0"/>
              <w:rPr>
                <w:bCs w:val="0"/>
              </w:rPr>
            </w:pPr>
            <w:r w:rsidRPr="00FE714A">
              <w:rPr>
                <w:bCs w:val="0"/>
              </w:rPr>
              <w:t>For the purposes of this restriction, an adequate response to treatment is defined as:</w:t>
            </w:r>
          </w:p>
          <w:p w14:paraId="6E2173DF" w14:textId="77777777" w:rsidR="004779D9" w:rsidRPr="00FE714A" w:rsidRDefault="004779D9" w:rsidP="00F26C19">
            <w:pPr>
              <w:pStyle w:val="TableText0"/>
              <w:keepNext w:val="0"/>
              <w:rPr>
                <w:bCs w:val="0"/>
              </w:rPr>
            </w:pPr>
            <w:r w:rsidRPr="00FE714A">
              <w:rPr>
                <w:bCs w:val="0"/>
              </w:rPr>
              <w:t>(a) An improvement/maintenance in the Eczema Area and Severity Index (EASI) score of at least 50% compared to baseline; and</w:t>
            </w:r>
          </w:p>
          <w:p w14:paraId="14671645" w14:textId="77777777" w:rsidR="004779D9" w:rsidRPr="00FE714A" w:rsidRDefault="004779D9" w:rsidP="00F26C19">
            <w:pPr>
              <w:pStyle w:val="TableText0"/>
              <w:keepNext w:val="0"/>
              <w:rPr>
                <w:bCs w:val="0"/>
              </w:rPr>
            </w:pPr>
            <w:r w:rsidRPr="00FE714A">
              <w:rPr>
                <w:bCs w:val="0"/>
              </w:rPr>
              <w:t>(b) An improvement/maintenance in Dermatology Life Quality Index (DLQI) score of at least 4 points compared to baseline</w:t>
            </w:r>
          </w:p>
          <w:p w14:paraId="51CE0A0A" w14:textId="77777777" w:rsidR="004779D9" w:rsidRPr="00FE714A" w:rsidRDefault="004779D9" w:rsidP="00F26C19">
            <w:pPr>
              <w:pStyle w:val="TableText0"/>
              <w:keepNext w:val="0"/>
              <w:rPr>
                <w:b/>
              </w:rPr>
            </w:pPr>
            <w:r w:rsidRPr="00FE714A">
              <w:rPr>
                <w:bCs w:val="0"/>
              </w:rPr>
              <w:t>State each of the current EASI and DLQI scores for this authority application.</w:t>
            </w:r>
          </w:p>
        </w:tc>
      </w:tr>
    </w:tbl>
    <w:p w14:paraId="611D26D2" w14:textId="77777777" w:rsidR="004779D9" w:rsidRPr="00FE714A" w:rsidRDefault="004779D9" w:rsidP="00F26C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4779D9" w:rsidRPr="00FE714A" w14:paraId="0EE62F3C" w14:textId="77777777" w:rsidTr="00F26C19">
        <w:trPr>
          <w:trHeight w:val="20"/>
        </w:trPr>
        <w:tc>
          <w:tcPr>
            <w:tcW w:w="5000" w:type="pct"/>
            <w:shd w:val="clear" w:color="auto" w:fill="D9D9D9" w:themeFill="background1" w:themeFillShade="D9"/>
            <w:vAlign w:val="center"/>
            <w:hideMark/>
          </w:tcPr>
          <w:p w14:paraId="766B5699" w14:textId="77777777" w:rsidR="004779D9" w:rsidRPr="00FE714A" w:rsidRDefault="004779D9" w:rsidP="00F26C19">
            <w:pPr>
              <w:pStyle w:val="TableText0"/>
              <w:keepNext w:val="0"/>
            </w:pPr>
            <w:r w:rsidRPr="00FE714A">
              <w:rPr>
                <w:b/>
              </w:rPr>
              <w:t>Treatment Phase:</w:t>
            </w:r>
            <w:r w:rsidRPr="00FE714A">
              <w:t xml:space="preserve"> </w:t>
            </w:r>
            <w:r w:rsidRPr="00FE714A">
              <w:rPr>
                <w:szCs w:val="20"/>
              </w:rPr>
              <w:t>Initial treatment of the face and/or hands</w:t>
            </w:r>
          </w:p>
        </w:tc>
      </w:tr>
      <w:tr w:rsidR="004779D9" w:rsidRPr="00FE714A" w14:paraId="5F813988" w14:textId="77777777" w:rsidTr="00F26C19">
        <w:trPr>
          <w:trHeight w:val="20"/>
        </w:trPr>
        <w:tc>
          <w:tcPr>
            <w:tcW w:w="5000" w:type="pct"/>
            <w:vAlign w:val="center"/>
            <w:hideMark/>
          </w:tcPr>
          <w:p w14:paraId="2FAEC9D2" w14:textId="77777777" w:rsidR="004779D9" w:rsidRPr="00FE714A" w:rsidRDefault="004779D9" w:rsidP="00F26C19">
            <w:pPr>
              <w:pStyle w:val="TableText0"/>
              <w:keepNext w:val="0"/>
            </w:pPr>
            <w:r w:rsidRPr="00FE714A">
              <w:rPr>
                <w:b/>
              </w:rPr>
              <w:t>Clinical criteria:</w:t>
            </w:r>
          </w:p>
        </w:tc>
      </w:tr>
      <w:tr w:rsidR="004779D9" w:rsidRPr="00FE714A" w14:paraId="2F044019" w14:textId="77777777" w:rsidTr="00F26C19">
        <w:trPr>
          <w:trHeight w:val="20"/>
        </w:trPr>
        <w:tc>
          <w:tcPr>
            <w:tcW w:w="5000" w:type="pct"/>
            <w:vAlign w:val="center"/>
            <w:hideMark/>
          </w:tcPr>
          <w:p w14:paraId="7B88F1BE" w14:textId="77777777" w:rsidR="004779D9" w:rsidRPr="00FE714A" w:rsidRDefault="004779D9" w:rsidP="00F26C19">
            <w:pPr>
              <w:pStyle w:val="TableText0"/>
              <w:keepNext w:val="0"/>
            </w:pPr>
            <w:r w:rsidRPr="00FE714A">
              <w:t xml:space="preserve">The condition must have at least 2 of the following Eczema Area and Severity Index (EASI) symptom sub-scores for erythema, oedema/papulation, excoriation, </w:t>
            </w:r>
            <w:proofErr w:type="spellStart"/>
            <w:r w:rsidRPr="00FE714A">
              <w:t>lichenification</w:t>
            </w:r>
            <w:proofErr w:type="spellEnd"/>
            <w:r w:rsidRPr="00FE714A">
              <w:t xml:space="preserve"> rated as severe despite treatment with daily topical therapy (corticosteroid of medium to high potency/calcineurin inhibitor), for at least 28 days; OR</w:t>
            </w:r>
          </w:p>
          <w:p w14:paraId="4FAEEFF9" w14:textId="77777777" w:rsidR="004779D9" w:rsidRPr="00FE714A" w:rsidRDefault="004779D9" w:rsidP="00F26C19">
            <w:pPr>
              <w:pStyle w:val="TableText0"/>
              <w:keepNext w:val="0"/>
            </w:pPr>
            <w:r w:rsidRPr="00FE714A">
              <w:t>The condition must have affected at least 30% of the face/hands surface area despite treatment with daily topical therapy (corticosteroid of medium to high potency/calcineurin inhibitor), for at least 28 days; AND</w:t>
            </w:r>
          </w:p>
          <w:p w14:paraId="0538F74E" w14:textId="77777777" w:rsidR="004779D9" w:rsidRPr="00FE714A" w:rsidRDefault="004779D9" w:rsidP="00F26C19">
            <w:pPr>
              <w:pStyle w:val="TableText0"/>
              <w:keepNext w:val="0"/>
            </w:pPr>
            <w:r w:rsidRPr="00FE714A">
              <w:t>Patient must have an age appropriate Dermatology Life Quality Index (DLQI) baseline score (of any value) measured following treatment with daily topical therapy (corticosteroid of medium to high potency/calcineurin inhibitor), for at least 28 days; AND</w:t>
            </w:r>
          </w:p>
          <w:p w14:paraId="757428A0" w14:textId="77777777" w:rsidR="004779D9" w:rsidRPr="00FE714A" w:rsidRDefault="004779D9" w:rsidP="00F26C19">
            <w:pPr>
              <w:pStyle w:val="TableText0"/>
              <w:keepNext w:val="0"/>
            </w:pPr>
            <w:r w:rsidRPr="00FE714A">
              <w:t>The condition must have had lesions for at least 6 months from the time of the initial diagnosis of chronic severe atopic dermatitis affecting either of: (</w:t>
            </w:r>
            <w:proofErr w:type="spellStart"/>
            <w:r w:rsidRPr="00FE714A">
              <w:t>i</w:t>
            </w:r>
            <w:proofErr w:type="spellEnd"/>
            <w:r w:rsidRPr="00FE714A">
              <w:t>) the whole body, (ii) face/hands; AND</w:t>
            </w:r>
          </w:p>
          <w:p w14:paraId="0447724C" w14:textId="77777777" w:rsidR="004779D9" w:rsidRPr="00FE714A" w:rsidRDefault="004779D9" w:rsidP="00F26C19">
            <w:pPr>
              <w:pStyle w:val="TableText0"/>
              <w:keepNext w:val="0"/>
            </w:pPr>
            <w:r w:rsidRPr="00FE714A">
              <w:lastRenderedPageBreak/>
              <w:t>Patient must have failed to achieve an adequate response to topical therapies (topical corticosteroids and/or topical calcineurin inhibitors); AND</w:t>
            </w:r>
          </w:p>
          <w:p w14:paraId="43F87DF0" w14:textId="77777777" w:rsidR="004779D9" w:rsidRPr="00FE714A" w:rsidRDefault="004779D9" w:rsidP="00F26C19">
            <w:pPr>
              <w:pStyle w:val="TableText0"/>
              <w:keepNext w:val="0"/>
            </w:pPr>
            <w:r w:rsidRPr="00FE714A">
              <w:t>Patient must not have experienced an inadequate response to this therapy.</w:t>
            </w:r>
          </w:p>
        </w:tc>
      </w:tr>
      <w:tr w:rsidR="004779D9" w:rsidRPr="00FE714A" w14:paraId="317DC884" w14:textId="77777777" w:rsidTr="00F26C19">
        <w:trPr>
          <w:trHeight w:val="20"/>
        </w:trPr>
        <w:tc>
          <w:tcPr>
            <w:tcW w:w="5000" w:type="pct"/>
            <w:vAlign w:val="center"/>
            <w:hideMark/>
          </w:tcPr>
          <w:p w14:paraId="511BC5BD" w14:textId="77777777" w:rsidR="004779D9" w:rsidRPr="00FE714A" w:rsidRDefault="004779D9" w:rsidP="00F26C19">
            <w:pPr>
              <w:pStyle w:val="TableText0"/>
              <w:keepNext w:val="0"/>
            </w:pPr>
            <w:r w:rsidRPr="00FE714A">
              <w:rPr>
                <w:b/>
              </w:rPr>
              <w:lastRenderedPageBreak/>
              <w:t>Treatment criteria:</w:t>
            </w:r>
          </w:p>
        </w:tc>
      </w:tr>
      <w:tr w:rsidR="004779D9" w:rsidRPr="00FE714A" w14:paraId="5D962F70" w14:textId="77777777" w:rsidTr="00F26C19">
        <w:trPr>
          <w:trHeight w:val="20"/>
        </w:trPr>
        <w:tc>
          <w:tcPr>
            <w:tcW w:w="5000" w:type="pct"/>
            <w:vAlign w:val="center"/>
            <w:hideMark/>
          </w:tcPr>
          <w:p w14:paraId="41823629" w14:textId="77777777" w:rsidR="004779D9" w:rsidRPr="00FE714A" w:rsidRDefault="004779D9" w:rsidP="00F26C19">
            <w:pPr>
              <w:pStyle w:val="TableText0"/>
              <w:keepNext w:val="0"/>
            </w:pPr>
            <w:r w:rsidRPr="00FE714A">
              <w:t>Must be treated by a dermatologist; OR</w:t>
            </w:r>
          </w:p>
          <w:p w14:paraId="3B64A44D" w14:textId="77777777" w:rsidR="004779D9" w:rsidRPr="00FE714A" w:rsidRDefault="004779D9" w:rsidP="00F26C19">
            <w:pPr>
              <w:pStyle w:val="TableText0"/>
              <w:keepNext w:val="0"/>
            </w:pPr>
            <w:r w:rsidRPr="00FE714A">
              <w:t>Must be treated by a clinical immunologist; AND</w:t>
            </w:r>
          </w:p>
          <w:p w14:paraId="1EFFFCE9" w14:textId="77777777" w:rsidR="004779D9" w:rsidRPr="00FE714A" w:rsidRDefault="004779D9" w:rsidP="00F26C19">
            <w:pPr>
              <w:pStyle w:val="TableText0"/>
              <w:keepNext w:val="0"/>
            </w:pPr>
            <w:r w:rsidRPr="00FE714A">
              <w:t>Patient must be undergoing treatment with this drug as the sole PBS-subsidised therapy with this PBS indication (combination with oral corticosteroids is permitted as these are not listed with the PBS indication: chronic severe atopic dermatitis).</w:t>
            </w:r>
          </w:p>
        </w:tc>
      </w:tr>
      <w:tr w:rsidR="004779D9" w:rsidRPr="00FE714A" w14:paraId="4B7CE073" w14:textId="77777777" w:rsidTr="00F26C19">
        <w:trPr>
          <w:trHeight w:val="20"/>
        </w:trPr>
        <w:tc>
          <w:tcPr>
            <w:tcW w:w="5000" w:type="pct"/>
            <w:vAlign w:val="center"/>
            <w:hideMark/>
          </w:tcPr>
          <w:p w14:paraId="65A6CFC0" w14:textId="77777777" w:rsidR="004779D9" w:rsidRPr="00FE714A" w:rsidRDefault="004779D9" w:rsidP="00F26C19">
            <w:pPr>
              <w:pStyle w:val="TableText0"/>
              <w:keepNext w:val="0"/>
            </w:pPr>
            <w:r w:rsidRPr="00FE714A">
              <w:rPr>
                <w:b/>
              </w:rPr>
              <w:t>Population criteria:</w:t>
            </w:r>
          </w:p>
        </w:tc>
      </w:tr>
      <w:tr w:rsidR="004779D9" w:rsidRPr="00FE714A" w14:paraId="04DAE636" w14:textId="77777777" w:rsidTr="00F26C19">
        <w:trPr>
          <w:trHeight w:val="20"/>
        </w:trPr>
        <w:tc>
          <w:tcPr>
            <w:tcW w:w="5000" w:type="pct"/>
            <w:vAlign w:val="center"/>
          </w:tcPr>
          <w:p w14:paraId="10BB849B" w14:textId="77777777" w:rsidR="004779D9" w:rsidRPr="00FE714A" w:rsidRDefault="004779D9" w:rsidP="00F26C19">
            <w:pPr>
              <w:pStyle w:val="TableText0"/>
              <w:keepNext w:val="0"/>
              <w:rPr>
                <w:color w:val="0066FF"/>
              </w:rPr>
            </w:pPr>
            <w:r w:rsidRPr="00FE714A">
              <w:t>Patient must be 12 years of age or older.</w:t>
            </w:r>
          </w:p>
        </w:tc>
      </w:tr>
      <w:tr w:rsidR="004779D9" w:rsidRPr="00FE714A" w14:paraId="1338DB52" w14:textId="77777777" w:rsidTr="00F26C19">
        <w:trPr>
          <w:trHeight w:val="20"/>
        </w:trPr>
        <w:tc>
          <w:tcPr>
            <w:tcW w:w="5000" w:type="pct"/>
            <w:shd w:val="clear" w:color="auto" w:fill="D9D9D9" w:themeFill="background1" w:themeFillShade="D9"/>
            <w:vAlign w:val="center"/>
          </w:tcPr>
          <w:p w14:paraId="44C6A1C5" w14:textId="77777777" w:rsidR="004779D9" w:rsidRPr="00FE714A" w:rsidRDefault="004779D9" w:rsidP="00F26C19">
            <w:pPr>
              <w:pStyle w:val="TableText0"/>
              <w:keepNext w:val="0"/>
              <w:rPr>
                <w:b/>
              </w:rPr>
            </w:pPr>
            <w:r w:rsidRPr="00FE714A">
              <w:rPr>
                <w:b/>
                <w:szCs w:val="20"/>
              </w:rPr>
              <w:t>Treatment Phase:</w:t>
            </w:r>
            <w:r w:rsidRPr="00FE714A">
              <w:rPr>
                <w:szCs w:val="20"/>
              </w:rPr>
              <w:t xml:space="preserve"> Continuing or resuming treatment of the face and/or hands</w:t>
            </w:r>
          </w:p>
        </w:tc>
      </w:tr>
      <w:tr w:rsidR="004779D9" w:rsidRPr="00FE714A" w14:paraId="22CED30E" w14:textId="77777777" w:rsidTr="00F26C19">
        <w:trPr>
          <w:trHeight w:val="20"/>
        </w:trPr>
        <w:tc>
          <w:tcPr>
            <w:tcW w:w="5000" w:type="pct"/>
            <w:vAlign w:val="center"/>
          </w:tcPr>
          <w:p w14:paraId="0742A55F" w14:textId="77777777" w:rsidR="004779D9" w:rsidRPr="00FE714A" w:rsidRDefault="004779D9" w:rsidP="00F26C19">
            <w:pPr>
              <w:pStyle w:val="TableText0"/>
              <w:keepNext w:val="0"/>
              <w:rPr>
                <w:b/>
              </w:rPr>
            </w:pPr>
            <w:r w:rsidRPr="00FE714A">
              <w:rPr>
                <w:b/>
                <w:szCs w:val="20"/>
              </w:rPr>
              <w:t>Clinical criteria:</w:t>
            </w:r>
          </w:p>
        </w:tc>
      </w:tr>
      <w:tr w:rsidR="004779D9" w:rsidRPr="00FE714A" w14:paraId="3E7E446D" w14:textId="77777777" w:rsidTr="00F26C19">
        <w:trPr>
          <w:trHeight w:val="20"/>
        </w:trPr>
        <w:tc>
          <w:tcPr>
            <w:tcW w:w="5000" w:type="pct"/>
            <w:vAlign w:val="center"/>
          </w:tcPr>
          <w:p w14:paraId="738373A2" w14:textId="77777777" w:rsidR="004779D9" w:rsidRPr="00FE714A" w:rsidRDefault="004779D9" w:rsidP="00F26C19">
            <w:pPr>
              <w:pStyle w:val="TableText0"/>
              <w:keepNext w:val="0"/>
              <w:rPr>
                <w:bCs w:val="0"/>
              </w:rPr>
            </w:pPr>
            <w:r w:rsidRPr="00FE714A">
              <w:rPr>
                <w:bCs w:val="0"/>
              </w:rPr>
              <w:t>Patient must have received PBS-subsidised treatment with this biological medicine for the treatment of chronic severe atopic dermatitis affecting the face and/or hands; AND</w:t>
            </w:r>
          </w:p>
          <w:p w14:paraId="14F80CDC" w14:textId="77777777" w:rsidR="004779D9" w:rsidRPr="00FE714A" w:rsidRDefault="004779D9" w:rsidP="00F26C19">
            <w:pPr>
              <w:pStyle w:val="TableText0"/>
              <w:keepNext w:val="0"/>
              <w:rPr>
                <w:bCs w:val="0"/>
              </w:rPr>
            </w:pPr>
            <w:r w:rsidRPr="00FE714A">
              <w:rPr>
                <w:bCs w:val="0"/>
              </w:rPr>
              <w:t>Patient must have achieved an adequate response prior to this first continuing treatment authority application; OR</w:t>
            </w:r>
          </w:p>
          <w:p w14:paraId="0B1202E8" w14:textId="77777777" w:rsidR="004779D9" w:rsidRPr="00FE714A" w:rsidRDefault="004779D9" w:rsidP="00F26C19">
            <w:pPr>
              <w:pStyle w:val="TableText0"/>
              <w:keepNext w:val="0"/>
              <w:rPr>
                <w:bCs w:val="0"/>
              </w:rPr>
            </w:pPr>
            <w:r w:rsidRPr="00FE714A">
              <w:rPr>
                <w:bCs w:val="0"/>
              </w:rPr>
              <w:t>Patient must have maintained an adequate response to their most recent course of PBS-subsidised treatment with this biological medicine for this PBS indication if this is the second or subsequent Continuing treatment authority application; OR</w:t>
            </w:r>
          </w:p>
          <w:p w14:paraId="4D062D7C" w14:textId="77777777" w:rsidR="004779D9" w:rsidRPr="00FE714A" w:rsidRDefault="004779D9" w:rsidP="00F26C19">
            <w:pPr>
              <w:pStyle w:val="TableText0"/>
              <w:keepNext w:val="0"/>
              <w:rPr>
                <w:bCs w:val="0"/>
              </w:rPr>
            </w:pPr>
            <w:r w:rsidRPr="00FE714A">
              <w:rPr>
                <w:bCs w:val="0"/>
              </w:rPr>
              <w:t>Patient must have temporarily ceased treatment for reasons other than lack of response (e.g. family planning, vaccination with live vaccines, adverse-effect investigation), thereby being unable to achieve/maintain an adequate response immediately prior to this authority application; AND</w:t>
            </w:r>
          </w:p>
          <w:p w14:paraId="010BD886" w14:textId="77777777" w:rsidR="004779D9" w:rsidRPr="00FE714A" w:rsidRDefault="004779D9" w:rsidP="00F26C19">
            <w:pPr>
              <w:pStyle w:val="TableText0"/>
              <w:keepNext w:val="0"/>
              <w:rPr>
                <w:bCs w:val="0"/>
              </w:rPr>
            </w:pPr>
            <w:r w:rsidRPr="00FE714A">
              <w:rPr>
                <w:bCs w:val="0"/>
              </w:rPr>
              <w:t>The treatment must be the sole PBS-subsidised biological medicine for this PBS indication.</w:t>
            </w:r>
          </w:p>
        </w:tc>
      </w:tr>
      <w:tr w:rsidR="004779D9" w:rsidRPr="00FE714A" w14:paraId="4FD81383" w14:textId="77777777" w:rsidTr="00F26C19">
        <w:trPr>
          <w:trHeight w:val="20"/>
        </w:trPr>
        <w:tc>
          <w:tcPr>
            <w:tcW w:w="5000" w:type="pct"/>
            <w:vAlign w:val="center"/>
          </w:tcPr>
          <w:p w14:paraId="0D13E8D6" w14:textId="77777777" w:rsidR="004779D9" w:rsidRPr="00FE714A" w:rsidRDefault="004779D9" w:rsidP="00F26C19">
            <w:pPr>
              <w:pStyle w:val="TableText0"/>
              <w:keepNext w:val="0"/>
              <w:rPr>
                <w:b/>
              </w:rPr>
            </w:pPr>
            <w:r w:rsidRPr="00FE714A">
              <w:rPr>
                <w:b/>
                <w:color w:val="333333"/>
                <w:szCs w:val="20"/>
              </w:rPr>
              <w:t>Treatment criteria:</w:t>
            </w:r>
          </w:p>
        </w:tc>
      </w:tr>
      <w:tr w:rsidR="004779D9" w:rsidRPr="00FE714A" w14:paraId="6CCF4C69" w14:textId="77777777" w:rsidTr="00F26C19">
        <w:trPr>
          <w:trHeight w:val="20"/>
        </w:trPr>
        <w:tc>
          <w:tcPr>
            <w:tcW w:w="5000" w:type="pct"/>
            <w:vAlign w:val="center"/>
          </w:tcPr>
          <w:p w14:paraId="2F716427" w14:textId="77777777" w:rsidR="004779D9" w:rsidRPr="00FE714A" w:rsidRDefault="004779D9" w:rsidP="00F26C19">
            <w:pPr>
              <w:pStyle w:val="TableText0"/>
              <w:keepNext w:val="0"/>
              <w:rPr>
                <w:bCs w:val="0"/>
              </w:rPr>
            </w:pPr>
            <w:r w:rsidRPr="00FE714A">
              <w:rPr>
                <w:bCs w:val="0"/>
              </w:rPr>
              <w:t>Must be treated by a dermatologist; OR</w:t>
            </w:r>
          </w:p>
          <w:p w14:paraId="2C1C04A9" w14:textId="77777777" w:rsidR="004779D9" w:rsidRPr="00FE714A" w:rsidRDefault="004779D9" w:rsidP="00F26C19">
            <w:pPr>
              <w:pStyle w:val="TableText0"/>
              <w:keepNext w:val="0"/>
              <w:rPr>
                <w:bCs w:val="0"/>
              </w:rPr>
            </w:pPr>
            <w:r w:rsidRPr="00FE714A">
              <w:rPr>
                <w:bCs w:val="0"/>
              </w:rPr>
              <w:t>Must be treated by a clinical immunologist; AND</w:t>
            </w:r>
          </w:p>
          <w:p w14:paraId="49EB8EBA" w14:textId="77777777" w:rsidR="004779D9" w:rsidRPr="00FE714A" w:rsidRDefault="004779D9" w:rsidP="00F26C19">
            <w:pPr>
              <w:pStyle w:val="TableText0"/>
              <w:keepNext w:val="0"/>
              <w:rPr>
                <w:b/>
              </w:rPr>
            </w:pPr>
            <w:r w:rsidRPr="00FE714A">
              <w:rPr>
                <w:bCs w:val="0"/>
              </w:rPr>
              <w:t>Patient must be undergoing treatment with this drug as the sole PBS-subsidised therapy with this PBS indication (combination with oral corticosteroids is permitted as these are not listed with the PBS indication: chronic severe atopic dermatitis).</w:t>
            </w:r>
          </w:p>
        </w:tc>
      </w:tr>
      <w:tr w:rsidR="004779D9" w:rsidRPr="00FE714A" w14:paraId="1C4C98E9" w14:textId="77777777" w:rsidTr="00F26C19">
        <w:trPr>
          <w:trHeight w:val="20"/>
        </w:trPr>
        <w:tc>
          <w:tcPr>
            <w:tcW w:w="5000" w:type="pct"/>
            <w:vAlign w:val="center"/>
          </w:tcPr>
          <w:p w14:paraId="67B345FD" w14:textId="77777777" w:rsidR="004779D9" w:rsidRPr="00FE714A" w:rsidRDefault="004779D9" w:rsidP="00F26C19">
            <w:pPr>
              <w:rPr>
                <w:rFonts w:ascii="Arial Narrow" w:hAnsi="Arial Narrow"/>
                <w:color w:val="333333"/>
                <w:sz w:val="20"/>
                <w:szCs w:val="20"/>
              </w:rPr>
            </w:pPr>
            <w:r w:rsidRPr="00FE714A">
              <w:rPr>
                <w:rFonts w:ascii="Arial Narrow" w:hAnsi="Arial Narrow"/>
                <w:b/>
                <w:bCs/>
                <w:color w:val="333333"/>
                <w:sz w:val="20"/>
                <w:szCs w:val="20"/>
              </w:rPr>
              <w:t>Prescribing Instructions:</w:t>
            </w:r>
            <w:r w:rsidRPr="00FE714A">
              <w:rPr>
                <w:rFonts w:ascii="Arial Narrow" w:hAnsi="Arial Narrow"/>
                <w:color w:val="333333"/>
                <w:sz w:val="20"/>
                <w:szCs w:val="20"/>
              </w:rPr>
              <w:t xml:space="preserve"> </w:t>
            </w:r>
          </w:p>
          <w:p w14:paraId="6390DFD6" w14:textId="77777777" w:rsidR="004779D9" w:rsidRPr="00FE714A" w:rsidRDefault="004779D9" w:rsidP="00F26C19">
            <w:pPr>
              <w:pStyle w:val="TableText0"/>
              <w:keepNext w:val="0"/>
              <w:rPr>
                <w:bCs w:val="0"/>
              </w:rPr>
            </w:pPr>
            <w:r w:rsidRPr="00FE714A">
              <w:rPr>
                <w:bCs w:val="0"/>
              </w:rPr>
              <w:t>For the purposes of this restriction, an adequate response to treatment of the face/hands is defined as:</w:t>
            </w:r>
          </w:p>
          <w:p w14:paraId="47E80848" w14:textId="77777777" w:rsidR="004779D9" w:rsidRPr="00FE714A" w:rsidRDefault="004779D9" w:rsidP="00F26C19">
            <w:pPr>
              <w:pStyle w:val="TableText0"/>
              <w:keepNext w:val="0"/>
              <w:rPr>
                <w:bCs w:val="0"/>
              </w:rPr>
            </w:pPr>
            <w:r w:rsidRPr="00FE714A">
              <w:rPr>
                <w:bCs w:val="0"/>
              </w:rPr>
              <w:t>(a) (</w:t>
            </w:r>
            <w:proofErr w:type="spellStart"/>
            <w:r w:rsidRPr="00FE714A">
              <w:rPr>
                <w:bCs w:val="0"/>
              </w:rPr>
              <w:t>i</w:t>
            </w:r>
            <w:proofErr w:type="spellEnd"/>
            <w:r w:rsidRPr="00FE714A">
              <w:rPr>
                <w:bCs w:val="0"/>
              </w:rPr>
              <w:t xml:space="preserve">) A rating of either mild (1) to none (0) on at least 3 of the assessments of erythema, oedema/papulation, excoriation and </w:t>
            </w:r>
            <w:proofErr w:type="spellStart"/>
            <w:r w:rsidRPr="00FE714A">
              <w:rPr>
                <w:bCs w:val="0"/>
              </w:rPr>
              <w:t>lichenification</w:t>
            </w:r>
            <w:proofErr w:type="spellEnd"/>
            <w:r w:rsidRPr="00FE714A">
              <w:rPr>
                <w:bCs w:val="0"/>
              </w:rPr>
              <w:t xml:space="preserve"> mentioned in the Eczema Area and Severity Index (EASI); or</w:t>
            </w:r>
          </w:p>
          <w:p w14:paraId="2B928F72" w14:textId="77777777" w:rsidR="004779D9" w:rsidRPr="00FE714A" w:rsidRDefault="004779D9" w:rsidP="00F26C19">
            <w:pPr>
              <w:pStyle w:val="TableText0"/>
              <w:keepNext w:val="0"/>
              <w:rPr>
                <w:bCs w:val="0"/>
              </w:rPr>
            </w:pPr>
            <w:r w:rsidRPr="00FE714A">
              <w:rPr>
                <w:bCs w:val="0"/>
              </w:rPr>
              <w:t>(ii) At least a 75% reduction in the skin area affected by this condition compared to baseline; and</w:t>
            </w:r>
          </w:p>
          <w:p w14:paraId="3095C15C" w14:textId="77777777" w:rsidR="004779D9" w:rsidRPr="00FE714A" w:rsidRDefault="004779D9" w:rsidP="00F26C19">
            <w:pPr>
              <w:pStyle w:val="TableText0"/>
              <w:keepNext w:val="0"/>
              <w:rPr>
                <w:bCs w:val="0"/>
              </w:rPr>
            </w:pPr>
            <w:r w:rsidRPr="00FE714A">
              <w:rPr>
                <w:bCs w:val="0"/>
              </w:rPr>
              <w:t>(b) An improvement in Dermatology Life Quality Index (DLQI) score of at least 4 points compared to baseline</w:t>
            </w:r>
          </w:p>
          <w:p w14:paraId="7C27C20E" w14:textId="77777777" w:rsidR="004779D9" w:rsidRPr="00FE714A" w:rsidRDefault="004779D9" w:rsidP="00F26C19">
            <w:pPr>
              <w:pStyle w:val="TableText0"/>
              <w:keepNext w:val="0"/>
              <w:rPr>
                <w:b/>
              </w:rPr>
            </w:pPr>
            <w:r w:rsidRPr="00FE714A">
              <w:rPr>
                <w:bCs w:val="0"/>
              </w:rPr>
              <w:t>Document each qualifying response measure in the patient's medical records for PBS compliance auditing purposes.</w:t>
            </w:r>
          </w:p>
        </w:tc>
      </w:tr>
    </w:tbl>
    <w:p w14:paraId="4192E601" w14:textId="77777777" w:rsidR="004779D9" w:rsidRPr="00FE714A" w:rsidRDefault="004779D9" w:rsidP="00F26C1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4779D9" w:rsidRPr="00FE714A" w14:paraId="6AADD6EB" w14:textId="77777777" w:rsidTr="00F26C19">
        <w:trPr>
          <w:trHeight w:val="20"/>
        </w:trPr>
        <w:tc>
          <w:tcPr>
            <w:tcW w:w="5000" w:type="pct"/>
            <w:shd w:val="clear" w:color="auto" w:fill="D9D9D9" w:themeFill="background1" w:themeFillShade="D9"/>
            <w:vAlign w:val="center"/>
            <w:hideMark/>
          </w:tcPr>
          <w:p w14:paraId="04CA9474" w14:textId="77777777" w:rsidR="004779D9" w:rsidRPr="00FE714A" w:rsidRDefault="004779D9" w:rsidP="00F26C19">
            <w:pPr>
              <w:pStyle w:val="TableText0"/>
              <w:keepNext w:val="0"/>
            </w:pPr>
            <w:r w:rsidRPr="00FE714A">
              <w:rPr>
                <w:b/>
              </w:rPr>
              <w:t>Treatment Phase:</w:t>
            </w:r>
            <w:r w:rsidRPr="00FE714A">
              <w:t xml:space="preserve"> Extended induction (balance of supply)</w:t>
            </w:r>
          </w:p>
        </w:tc>
      </w:tr>
      <w:tr w:rsidR="004779D9" w:rsidRPr="00FE714A" w14:paraId="62F92BDD" w14:textId="77777777" w:rsidTr="00F26C19">
        <w:trPr>
          <w:trHeight w:val="20"/>
        </w:trPr>
        <w:tc>
          <w:tcPr>
            <w:tcW w:w="5000" w:type="pct"/>
            <w:vAlign w:val="center"/>
            <w:hideMark/>
          </w:tcPr>
          <w:p w14:paraId="2A1AD8BA" w14:textId="77777777" w:rsidR="004779D9" w:rsidRPr="00FE714A" w:rsidRDefault="004779D9" w:rsidP="00F26C19">
            <w:pPr>
              <w:pStyle w:val="TableText0"/>
              <w:keepNext w:val="0"/>
            </w:pPr>
            <w:r w:rsidRPr="00FE714A">
              <w:rPr>
                <w:b/>
              </w:rPr>
              <w:t>Clinical criteria:</w:t>
            </w:r>
          </w:p>
        </w:tc>
      </w:tr>
      <w:tr w:rsidR="004779D9" w:rsidRPr="00FE714A" w14:paraId="11DBA013" w14:textId="77777777" w:rsidTr="00F26C19">
        <w:trPr>
          <w:trHeight w:val="20"/>
        </w:trPr>
        <w:tc>
          <w:tcPr>
            <w:tcW w:w="5000" w:type="pct"/>
            <w:vAlign w:val="center"/>
            <w:hideMark/>
          </w:tcPr>
          <w:p w14:paraId="0C14A464" w14:textId="77777777" w:rsidR="004779D9" w:rsidRPr="00FE714A" w:rsidRDefault="004779D9" w:rsidP="00F26C19">
            <w:pPr>
              <w:pStyle w:val="TableText0"/>
              <w:keepNext w:val="0"/>
            </w:pPr>
            <w:r w:rsidRPr="00FE714A">
              <w:t>Patient must have received PBS-subsidised treatment with this biological medicine for the treatment of chronic severe atopic dermatitis; AND</w:t>
            </w:r>
          </w:p>
          <w:p w14:paraId="0EF34169" w14:textId="77777777" w:rsidR="004779D9" w:rsidRPr="00FE714A" w:rsidRDefault="004779D9" w:rsidP="00F26C19">
            <w:pPr>
              <w:pStyle w:val="TableText0"/>
              <w:keepNext w:val="0"/>
            </w:pPr>
            <w:r w:rsidRPr="00FE714A">
              <w:t>Patient must not be undergoing each of: (</w:t>
            </w:r>
            <w:proofErr w:type="spellStart"/>
            <w:r w:rsidRPr="00FE714A">
              <w:t>i</w:t>
            </w:r>
            <w:proofErr w:type="spellEnd"/>
            <w:r w:rsidRPr="00FE714A">
              <w:t xml:space="preserve">) commencing treatment through this treatment phase listing, (ii) treatment accessed through this treatment phase on more than 2 consecutive occasions; AND </w:t>
            </w:r>
          </w:p>
          <w:p w14:paraId="25210BA6" w14:textId="77777777" w:rsidR="004779D9" w:rsidRPr="00FE714A" w:rsidRDefault="004779D9" w:rsidP="00F26C19">
            <w:pPr>
              <w:pStyle w:val="TableText0"/>
              <w:keepNext w:val="0"/>
            </w:pPr>
            <w:r w:rsidRPr="00FE714A">
              <w:t>Patient has not achieved adequate treatment response during the initial treatment phase; AND</w:t>
            </w:r>
          </w:p>
          <w:p w14:paraId="7FC8A31C" w14:textId="77777777" w:rsidR="004779D9" w:rsidRPr="00FE714A" w:rsidRDefault="004779D9" w:rsidP="00F26C19">
            <w:pPr>
              <w:pStyle w:val="TableText0"/>
              <w:keepNext w:val="0"/>
            </w:pPr>
            <w:r w:rsidRPr="00FE714A">
              <w:t>In the opinion of the prescriber, continued treatment is likely to result in adequate response being achieved; AND</w:t>
            </w:r>
          </w:p>
          <w:p w14:paraId="4F267822" w14:textId="77777777" w:rsidR="004779D9" w:rsidRPr="00FE714A" w:rsidRDefault="004779D9" w:rsidP="00F26C19">
            <w:pPr>
              <w:pStyle w:val="TableText0"/>
              <w:keepNext w:val="0"/>
            </w:pPr>
            <w:r w:rsidRPr="00FE714A">
              <w:t>The treatment must be the sole PBS-subsidised biological medicine for this PBS indication.</w:t>
            </w:r>
          </w:p>
        </w:tc>
      </w:tr>
      <w:tr w:rsidR="004779D9" w:rsidRPr="00FE714A" w14:paraId="481A026C" w14:textId="77777777" w:rsidTr="00F26C19">
        <w:trPr>
          <w:trHeight w:val="20"/>
        </w:trPr>
        <w:tc>
          <w:tcPr>
            <w:tcW w:w="5000" w:type="pct"/>
            <w:vAlign w:val="center"/>
            <w:hideMark/>
          </w:tcPr>
          <w:p w14:paraId="3198A5B6" w14:textId="77777777" w:rsidR="004779D9" w:rsidRPr="00FE714A" w:rsidRDefault="004779D9" w:rsidP="00F26C19">
            <w:pPr>
              <w:pStyle w:val="TableText0"/>
              <w:keepNext w:val="0"/>
            </w:pPr>
            <w:r w:rsidRPr="00FE714A">
              <w:rPr>
                <w:b/>
              </w:rPr>
              <w:t>Treatment criteria:</w:t>
            </w:r>
          </w:p>
        </w:tc>
      </w:tr>
      <w:tr w:rsidR="004779D9" w:rsidRPr="00FE714A" w14:paraId="05AB8423" w14:textId="77777777" w:rsidTr="00F26C19">
        <w:trPr>
          <w:trHeight w:val="20"/>
        </w:trPr>
        <w:tc>
          <w:tcPr>
            <w:tcW w:w="5000" w:type="pct"/>
            <w:vAlign w:val="center"/>
            <w:hideMark/>
          </w:tcPr>
          <w:p w14:paraId="28DBB1C4" w14:textId="77777777" w:rsidR="004779D9" w:rsidRPr="00FE714A" w:rsidRDefault="004779D9" w:rsidP="00F26C19">
            <w:pPr>
              <w:pStyle w:val="TableText0"/>
              <w:keepNext w:val="0"/>
            </w:pPr>
            <w:r w:rsidRPr="00FE714A">
              <w:t>Must be treated by a dermatologist; OR</w:t>
            </w:r>
          </w:p>
          <w:p w14:paraId="0F3F7F74" w14:textId="77777777" w:rsidR="004779D9" w:rsidRPr="00FE714A" w:rsidRDefault="004779D9" w:rsidP="00F26C19">
            <w:pPr>
              <w:pStyle w:val="TableText0"/>
              <w:keepNext w:val="0"/>
            </w:pPr>
            <w:r w:rsidRPr="00FE714A">
              <w:t>Must be treated by a clinical immunologist; AND</w:t>
            </w:r>
          </w:p>
          <w:p w14:paraId="1209310D" w14:textId="77777777" w:rsidR="004779D9" w:rsidRPr="00FE714A" w:rsidRDefault="004779D9" w:rsidP="00F26C19">
            <w:pPr>
              <w:pStyle w:val="TableText0"/>
              <w:keepNext w:val="0"/>
            </w:pPr>
            <w:r w:rsidRPr="00FE714A">
              <w:t>Patient must be undergoing treatment with this drug as the sole PBS-subsidised therapy with this PBS indication (combination with oral corticosteroids is permitted as these are not listed with the PBS indication: chronic severe atopic dermatitis).</w:t>
            </w:r>
          </w:p>
        </w:tc>
      </w:tr>
      <w:tr w:rsidR="004779D9" w:rsidRPr="00FE714A" w14:paraId="29B52235" w14:textId="77777777" w:rsidTr="00F26C19">
        <w:trPr>
          <w:trHeight w:val="20"/>
        </w:trPr>
        <w:tc>
          <w:tcPr>
            <w:tcW w:w="5000" w:type="pct"/>
            <w:vAlign w:val="center"/>
            <w:hideMark/>
          </w:tcPr>
          <w:p w14:paraId="1FF8DFF9" w14:textId="77777777" w:rsidR="004779D9" w:rsidRPr="00FE714A" w:rsidRDefault="004779D9" w:rsidP="00F26C19">
            <w:pPr>
              <w:pStyle w:val="TableText0"/>
              <w:keepNext w:val="0"/>
            </w:pPr>
            <w:r w:rsidRPr="00FE714A">
              <w:rPr>
                <w:b/>
              </w:rPr>
              <w:lastRenderedPageBreak/>
              <w:t>Population criteria:</w:t>
            </w:r>
          </w:p>
        </w:tc>
      </w:tr>
      <w:tr w:rsidR="004779D9" w:rsidRPr="00FE714A" w14:paraId="5E8501BA" w14:textId="77777777" w:rsidTr="00F26C19">
        <w:trPr>
          <w:trHeight w:val="20"/>
        </w:trPr>
        <w:tc>
          <w:tcPr>
            <w:tcW w:w="5000" w:type="pct"/>
            <w:vAlign w:val="center"/>
          </w:tcPr>
          <w:p w14:paraId="24EE216C" w14:textId="77777777" w:rsidR="004779D9" w:rsidRPr="00FE714A" w:rsidRDefault="004779D9" w:rsidP="00F26C19">
            <w:pPr>
              <w:pStyle w:val="TableText0"/>
              <w:keepNext w:val="0"/>
              <w:rPr>
                <w:color w:val="0066FF"/>
              </w:rPr>
            </w:pPr>
            <w:r w:rsidRPr="00FE714A">
              <w:t>Patient must be 12 years of age or older.</w:t>
            </w:r>
          </w:p>
        </w:tc>
      </w:tr>
      <w:tr w:rsidR="004779D9" w:rsidRPr="00FE714A" w14:paraId="7A4151AA" w14:textId="77777777" w:rsidTr="00F26C19">
        <w:trPr>
          <w:trHeight w:val="20"/>
        </w:trPr>
        <w:tc>
          <w:tcPr>
            <w:tcW w:w="5000" w:type="pct"/>
            <w:vAlign w:val="center"/>
            <w:hideMark/>
          </w:tcPr>
          <w:p w14:paraId="2FA02014" w14:textId="77777777" w:rsidR="004779D9" w:rsidRPr="00FE714A" w:rsidRDefault="004779D9" w:rsidP="00F26C19">
            <w:pPr>
              <w:pStyle w:val="TableText0"/>
              <w:keepNext w:val="0"/>
              <w:rPr>
                <w:b/>
              </w:rPr>
            </w:pPr>
            <w:r w:rsidRPr="00FE714A">
              <w:rPr>
                <w:b/>
              </w:rPr>
              <w:t xml:space="preserve">Prescribing Instructions: </w:t>
            </w:r>
          </w:p>
          <w:p w14:paraId="2CFB5B23" w14:textId="77777777" w:rsidR="004779D9" w:rsidRPr="00FE714A" w:rsidRDefault="004779D9" w:rsidP="00F26C19">
            <w:pPr>
              <w:pStyle w:val="TableText0"/>
              <w:keepNext w:val="0"/>
              <w:rPr>
                <w:bCs w:val="0"/>
              </w:rPr>
            </w:pPr>
            <w:r w:rsidRPr="00FE714A">
              <w:rPr>
                <w:bCs w:val="0"/>
              </w:rPr>
              <w:t>For the purposes of this restriction, an adequate response to treatment is defined as:</w:t>
            </w:r>
          </w:p>
          <w:p w14:paraId="41E40636" w14:textId="77777777" w:rsidR="004779D9" w:rsidRPr="00FE714A" w:rsidRDefault="004779D9" w:rsidP="00F26C19">
            <w:pPr>
              <w:pStyle w:val="TableText0"/>
              <w:keepNext w:val="0"/>
              <w:rPr>
                <w:bCs w:val="0"/>
              </w:rPr>
            </w:pPr>
            <w:r w:rsidRPr="00FE714A">
              <w:rPr>
                <w:bCs w:val="0"/>
              </w:rPr>
              <w:t>For treatment of the whole body:</w:t>
            </w:r>
          </w:p>
          <w:p w14:paraId="63CF1DCE" w14:textId="77777777" w:rsidR="004779D9" w:rsidRPr="00FE714A" w:rsidRDefault="004779D9" w:rsidP="00F26C19">
            <w:pPr>
              <w:pStyle w:val="TableText0"/>
              <w:keepNext w:val="0"/>
              <w:rPr>
                <w:bCs w:val="0"/>
              </w:rPr>
            </w:pPr>
            <w:r w:rsidRPr="00FE714A">
              <w:rPr>
                <w:bCs w:val="0"/>
              </w:rPr>
              <w:t>(a) An improvement/maintenance in the Eczema Area and Severity Index (EASI) score of at least 50% compared to baseline; and</w:t>
            </w:r>
          </w:p>
          <w:p w14:paraId="1BB76006" w14:textId="77777777" w:rsidR="004779D9" w:rsidRPr="00FE714A" w:rsidRDefault="004779D9" w:rsidP="00F26C19">
            <w:pPr>
              <w:pStyle w:val="TableText0"/>
              <w:keepNext w:val="0"/>
              <w:rPr>
                <w:bCs w:val="0"/>
              </w:rPr>
            </w:pPr>
            <w:r w:rsidRPr="00FE714A">
              <w:rPr>
                <w:bCs w:val="0"/>
              </w:rPr>
              <w:t>(b) An improvement/maintenance in Dermatology Life Quality Index (DLQI) score of at least 4 points compared to baseline</w:t>
            </w:r>
          </w:p>
          <w:p w14:paraId="64EB8724" w14:textId="77777777" w:rsidR="004779D9" w:rsidRPr="00FE714A" w:rsidRDefault="004779D9" w:rsidP="00F26C19">
            <w:pPr>
              <w:pStyle w:val="TableText0"/>
              <w:keepNext w:val="0"/>
              <w:rPr>
                <w:bCs w:val="0"/>
              </w:rPr>
            </w:pPr>
            <w:r w:rsidRPr="00FE714A">
              <w:rPr>
                <w:bCs w:val="0"/>
              </w:rPr>
              <w:t>For treatment of the face and/or hands:</w:t>
            </w:r>
          </w:p>
          <w:p w14:paraId="3AAC5C6D" w14:textId="77777777" w:rsidR="004779D9" w:rsidRPr="00FE714A" w:rsidRDefault="004779D9" w:rsidP="00F26C19">
            <w:pPr>
              <w:pStyle w:val="TableText0"/>
              <w:keepNext w:val="0"/>
              <w:rPr>
                <w:bCs w:val="0"/>
              </w:rPr>
            </w:pPr>
            <w:r w:rsidRPr="00FE714A">
              <w:rPr>
                <w:bCs w:val="0"/>
              </w:rPr>
              <w:t>(a) (</w:t>
            </w:r>
            <w:proofErr w:type="spellStart"/>
            <w:r w:rsidRPr="00FE714A">
              <w:rPr>
                <w:bCs w:val="0"/>
              </w:rPr>
              <w:t>i</w:t>
            </w:r>
            <w:proofErr w:type="spellEnd"/>
            <w:r w:rsidRPr="00FE714A">
              <w:rPr>
                <w:bCs w:val="0"/>
              </w:rPr>
              <w:t xml:space="preserve">) A rating of either mild (1) to none (0) on at least 3 of the assessments of erythema, oedema/papulation, excoriation and </w:t>
            </w:r>
            <w:proofErr w:type="spellStart"/>
            <w:r w:rsidRPr="00FE714A">
              <w:rPr>
                <w:bCs w:val="0"/>
              </w:rPr>
              <w:t>lichenification</w:t>
            </w:r>
            <w:proofErr w:type="spellEnd"/>
            <w:r w:rsidRPr="00FE714A">
              <w:rPr>
                <w:bCs w:val="0"/>
              </w:rPr>
              <w:t xml:space="preserve"> mentioned in the Eczema Area and Severity Index (EASI); or</w:t>
            </w:r>
          </w:p>
          <w:p w14:paraId="01628E1B" w14:textId="77777777" w:rsidR="004779D9" w:rsidRPr="00FE714A" w:rsidRDefault="004779D9" w:rsidP="00F26C19">
            <w:pPr>
              <w:pStyle w:val="TableText0"/>
              <w:keepNext w:val="0"/>
              <w:rPr>
                <w:bCs w:val="0"/>
              </w:rPr>
            </w:pPr>
            <w:r w:rsidRPr="00FE714A">
              <w:rPr>
                <w:bCs w:val="0"/>
              </w:rPr>
              <w:t>(ii) At least a 75% reduction in the skin area affected by this condition compared to baseline; and</w:t>
            </w:r>
          </w:p>
          <w:p w14:paraId="3CF24061" w14:textId="77777777" w:rsidR="004779D9" w:rsidRPr="00FE714A" w:rsidRDefault="004779D9" w:rsidP="00F26C19">
            <w:pPr>
              <w:pStyle w:val="TableText0"/>
              <w:keepNext w:val="0"/>
              <w:rPr>
                <w:bCs w:val="0"/>
              </w:rPr>
            </w:pPr>
            <w:r w:rsidRPr="00FE714A">
              <w:rPr>
                <w:bCs w:val="0"/>
              </w:rPr>
              <w:t>(b) An improvement in Dermatology Life Quality Index (DLQI) score of at least 4 points compared to baseline</w:t>
            </w:r>
          </w:p>
          <w:p w14:paraId="78CA0C28" w14:textId="6AC885E4" w:rsidR="004779D9" w:rsidRPr="00FE714A" w:rsidRDefault="004779D9" w:rsidP="00F26C19">
            <w:pPr>
              <w:pStyle w:val="TableText0"/>
              <w:keepNext w:val="0"/>
            </w:pPr>
            <w:r w:rsidRPr="00FE714A">
              <w:rPr>
                <w:bCs w:val="0"/>
              </w:rPr>
              <w:t>Document each qualifying response measure in the patient's medical records for PBS compliance auditing purposes.</w:t>
            </w:r>
          </w:p>
        </w:tc>
      </w:tr>
    </w:tbl>
    <w:p w14:paraId="36E6DFC5" w14:textId="77777777" w:rsidR="004779D9" w:rsidRPr="00FE714A" w:rsidRDefault="004779D9" w:rsidP="004B1CB4"/>
    <w:p w14:paraId="52234987" w14:textId="64BE6DFF" w:rsidR="004779D9" w:rsidRPr="00FE714A" w:rsidRDefault="004779D9" w:rsidP="00DB3654">
      <w:pPr>
        <w:pStyle w:val="ExecSumBodyText"/>
        <w:numPr>
          <w:ilvl w:val="1"/>
          <w:numId w:val="1"/>
        </w:numPr>
        <w:rPr>
          <w:i/>
          <w:iCs/>
        </w:rPr>
      </w:pPr>
      <w:r w:rsidRPr="00FE714A">
        <w:t xml:space="preserve">The submission requested the listing of LEB for initial and continuing treatment of patients (aged 12 years or older) with severe AD affecting the whole body, or the face and/or hands. The proposed restrictions for LEB were consistent </w:t>
      </w:r>
      <w:r w:rsidR="003F71BD" w:rsidRPr="00FE714A">
        <w:t xml:space="preserve">with </w:t>
      </w:r>
      <w:r w:rsidRPr="00FE714A">
        <w:t>those for DUPI and upadacitinib (UPA) in severe AD, with regard</w:t>
      </w:r>
      <w:r w:rsidR="00F179D4" w:rsidRPr="00FE714A">
        <w:t>s</w:t>
      </w:r>
      <w:r w:rsidRPr="00FE714A">
        <w:t xml:space="preserve"> to eligibility and continuing criteria.</w:t>
      </w:r>
      <w:r w:rsidRPr="00FE714A">
        <w:rPr>
          <w:i/>
          <w:iCs/>
        </w:rPr>
        <w:t xml:space="preserve"> </w:t>
      </w:r>
      <w:r w:rsidRPr="00FE714A">
        <w:t xml:space="preserve">The requested quantities would provide patients with up to 24 weeks of initial therapy (if adequate response is achieved and assessed at Week 16), and 24 weeks of continuing treatment. </w:t>
      </w:r>
    </w:p>
    <w:p w14:paraId="4EDBB32C" w14:textId="5A28FC98" w:rsidR="00986118" w:rsidRPr="00FE714A" w:rsidRDefault="00986118" w:rsidP="00DB3654">
      <w:pPr>
        <w:pStyle w:val="ExecSumBodyText"/>
        <w:numPr>
          <w:ilvl w:val="1"/>
          <w:numId w:val="1"/>
        </w:numPr>
      </w:pPr>
      <w:r w:rsidRPr="00FE714A">
        <w:t xml:space="preserve">For induction treatment the submission proposed a maximum quantity of 4 units, </w:t>
      </w:r>
      <w:r w:rsidR="00996F74" w:rsidRPr="00FE714A">
        <w:t>2</w:t>
      </w:r>
      <w:r w:rsidR="00996F74">
        <w:t> </w:t>
      </w:r>
      <w:r w:rsidRPr="00FE714A">
        <w:t xml:space="preserve">repeats which would provide treatment for up to 18 weeks including loading doses and Q2W dosing. If response is assessed as being adequate at 16 weeks, the remaining dose can be given at 20 weeks, providing treatment up to 24 weeks. The PBAC noted a maximum quantity of 2 units (5 repeats) would require the patient to pay 2 co-payments for the first month, but then each repeat (2 doses) will allow for a month of treatment. This would still allow patients to receive doses up to 20-24 weeks of treatment in total. The PBAC considered that the maximum quantity of 4 units, </w:t>
      </w:r>
      <w:r w:rsidR="001330D1" w:rsidRPr="00FE714A">
        <w:t>2</w:t>
      </w:r>
      <w:r w:rsidR="007D452D">
        <w:t> </w:t>
      </w:r>
      <w:r w:rsidRPr="00FE714A">
        <w:t xml:space="preserve">repeats </w:t>
      </w:r>
      <w:r w:rsidR="001330D1" w:rsidRPr="00FE714A">
        <w:t xml:space="preserve">(as proposed) </w:t>
      </w:r>
      <w:r w:rsidRPr="00FE714A">
        <w:t>was preferable for the induction period</w:t>
      </w:r>
      <w:r w:rsidR="008C0E4E" w:rsidRPr="00FE714A">
        <w:t>, such that the patient does not pay 2 copayments in the first month of induction treatment.</w:t>
      </w:r>
    </w:p>
    <w:p w14:paraId="770C7148" w14:textId="716F2D94" w:rsidR="00986118" w:rsidRPr="00FE714A" w:rsidRDefault="004779D9" w:rsidP="005B3C9D">
      <w:pPr>
        <w:pStyle w:val="ExecSumBodyText"/>
        <w:numPr>
          <w:ilvl w:val="1"/>
          <w:numId w:val="1"/>
        </w:numPr>
      </w:pPr>
      <w:bookmarkStart w:id="12" w:name="_Ref155656094"/>
      <w:r w:rsidRPr="00FE714A">
        <w:t xml:space="preserve">The submission additionally requested a listing for an extended induction period (balance of supply) for patients deemed to have achieved a less than adequate response to LEB (‘slow responder’) after 16 weeks. The proposed extended induction supply would provide an additional eight weeks of induction treatment at Q2W dosing and would last up to 28 weeks from the initial dose of LEB. </w:t>
      </w:r>
      <w:r w:rsidR="00517559" w:rsidRPr="00FE714A">
        <w:t>T</w:t>
      </w:r>
      <w:r w:rsidRPr="00FE714A">
        <w:t>he submission proposed that all patients who do not achieve the PBS response criteria at 16 weeks would be eligible for extended induction</w:t>
      </w:r>
      <w:r w:rsidR="00414942">
        <w:t>, with assessment of response between 24-28 weeks</w:t>
      </w:r>
      <w:r w:rsidRPr="00FE714A">
        <w:t>. However, this was not fully aligned to the TGA evaluator’s recommendation that LEB should be discontinued in patients who show no evidence of clinical benefit after 16</w:t>
      </w:r>
      <w:r w:rsidR="00B3585E">
        <w:t> </w:t>
      </w:r>
      <w:r w:rsidRPr="00FE714A">
        <w:t>weeks of treatment with 250 mg Q2W (TGA Clinical Evaluation Report) or the requested restriction’s clinical criterion that “in the opinion of the prescriber, continued treatment is likely to result in adequate response being achieved”.</w:t>
      </w:r>
      <w:bookmarkEnd w:id="12"/>
      <w:r w:rsidRPr="00FE714A">
        <w:t xml:space="preserve"> </w:t>
      </w:r>
      <w:r w:rsidR="008C0E4E" w:rsidRPr="00FE714A">
        <w:t xml:space="preserve">The </w:t>
      </w:r>
      <w:r w:rsidR="008C0E4E" w:rsidRPr="00FE714A">
        <w:lastRenderedPageBreak/>
        <w:t>PBAC noted that this approach is not consistent with induction and assessment of response for DUPI and UPA, but noted that it was consistent with the clinical data presented</w:t>
      </w:r>
      <w:r w:rsidR="00B950D8" w:rsidRPr="00FE714A">
        <w:t xml:space="preserve"> for LEB</w:t>
      </w:r>
      <w:r w:rsidR="008C0E4E" w:rsidRPr="00FE714A">
        <w:t xml:space="preserve">. The PBAC also noted that, in general, </w:t>
      </w:r>
      <w:r w:rsidR="00776163" w:rsidRPr="00FE714A">
        <w:t>clinical practice with</w:t>
      </w:r>
      <w:r w:rsidR="008C0E4E" w:rsidRPr="00FE714A">
        <w:t xml:space="preserve"> biologicals is moving towards </w:t>
      </w:r>
      <w:r w:rsidR="00776163" w:rsidRPr="00FE714A">
        <w:t>a more extended induction period for assessment of response. The PBAC noted that there was potentially a higher cost associated with this approach as patients without adequate response are treated for a longer period</w:t>
      </w:r>
      <w:r w:rsidR="00B950D8" w:rsidRPr="00FE714A">
        <w:t xml:space="preserve"> before discontinuing treatment</w:t>
      </w:r>
      <w:r w:rsidR="00F9080B" w:rsidRPr="00FE714A">
        <w:t xml:space="preserve"> and slower responders receive additional doses compared with patients who respond by week 16</w:t>
      </w:r>
      <w:r w:rsidR="00776163" w:rsidRPr="00FE714A">
        <w:t>. The PBAC considered that inclusion of the extended induction period</w:t>
      </w:r>
      <w:r w:rsidR="006B0B29">
        <w:t xml:space="preserve"> with assessment at 24 weeks</w:t>
      </w:r>
      <w:r w:rsidR="00776163" w:rsidRPr="00FE714A">
        <w:t>, as proposed for the LEB restrictions, was reasonable</w:t>
      </w:r>
      <w:r w:rsidR="00B950D8" w:rsidRPr="00FE714A">
        <w:t xml:space="preserve">, but </w:t>
      </w:r>
      <w:r w:rsidR="001330D1" w:rsidRPr="00FE714A">
        <w:t xml:space="preserve">the additional doses </w:t>
      </w:r>
      <w:r w:rsidR="00B950D8" w:rsidRPr="00FE714A">
        <w:t xml:space="preserve">would need to be </w:t>
      </w:r>
      <w:r w:rsidR="00776163" w:rsidRPr="00FE714A">
        <w:t xml:space="preserve">accounted for in the calculation of </w:t>
      </w:r>
      <w:proofErr w:type="spellStart"/>
      <w:r w:rsidR="00776163" w:rsidRPr="00FE714A">
        <w:t>equi</w:t>
      </w:r>
      <w:proofErr w:type="spellEnd"/>
      <w:r w:rsidR="00776163" w:rsidRPr="00FE714A">
        <w:t>-effective doses applied in the cost-minimisation approach.</w:t>
      </w:r>
    </w:p>
    <w:p w14:paraId="638A44D4" w14:textId="19F22952" w:rsidR="004779D9" w:rsidRPr="00FE714A" w:rsidRDefault="004779D9" w:rsidP="00D30D5B">
      <w:pPr>
        <w:pStyle w:val="ExecSumBodyText"/>
        <w:numPr>
          <w:ilvl w:val="1"/>
          <w:numId w:val="1"/>
        </w:numPr>
        <w:rPr>
          <w:i/>
          <w:iCs/>
        </w:rPr>
      </w:pPr>
      <w:r w:rsidRPr="00FE714A">
        <w:t xml:space="preserve">No grandfathering of patients was </w:t>
      </w:r>
      <w:r w:rsidR="00A237FC" w:rsidRPr="00FE714A">
        <w:t xml:space="preserve">requested </w:t>
      </w:r>
      <w:r w:rsidRPr="00FE714A">
        <w:t xml:space="preserve">by the submission. </w:t>
      </w:r>
    </w:p>
    <w:p w14:paraId="780E09FE" w14:textId="2047DAAC" w:rsidR="00B950D8" w:rsidRPr="00FE714A" w:rsidRDefault="004779D9" w:rsidP="00D30D5B">
      <w:pPr>
        <w:pStyle w:val="ExecSumBodyText"/>
        <w:numPr>
          <w:ilvl w:val="1"/>
          <w:numId w:val="1"/>
        </w:numPr>
      </w:pPr>
      <w:r w:rsidRPr="00FE714A">
        <w:t xml:space="preserve">If listed, LEB would represent a third alternative treatment option in severe AD. The requested listing does not prevent the use of sequential treatment (i.e., patients who do not respond to DUPI would be eligible for LEB and vice versa) and there is potential for market growth in this treatment setting. </w:t>
      </w:r>
      <w:r w:rsidR="00B950D8" w:rsidRPr="00FE714A">
        <w:t>T</w:t>
      </w:r>
      <w:r w:rsidRPr="00FE714A">
        <w:t xml:space="preserve">he PBAC </w:t>
      </w:r>
      <w:r w:rsidR="00B950D8" w:rsidRPr="00FE714A">
        <w:t xml:space="preserve">noted that switching is currently allowed between DUPI and UPA, and </w:t>
      </w:r>
      <w:r w:rsidRPr="00FE714A">
        <w:t>consider</w:t>
      </w:r>
      <w:r w:rsidR="00B950D8" w:rsidRPr="00FE714A">
        <w:t>ed</w:t>
      </w:r>
      <w:r w:rsidRPr="00FE714A">
        <w:t xml:space="preserve"> </w:t>
      </w:r>
      <w:r w:rsidR="00B950D8" w:rsidRPr="00FE714A">
        <w:t xml:space="preserve">that allowing </w:t>
      </w:r>
      <w:r w:rsidRPr="00FE714A">
        <w:t>sequential treatment with</w:t>
      </w:r>
      <w:r w:rsidR="00963533" w:rsidRPr="00FE714A">
        <w:t xml:space="preserve"> an additional treatment</w:t>
      </w:r>
      <w:r w:rsidRPr="00FE714A">
        <w:t xml:space="preserve"> </w:t>
      </w:r>
      <w:r w:rsidR="00963533" w:rsidRPr="00FE714A">
        <w:t>(</w:t>
      </w:r>
      <w:r w:rsidRPr="00FE714A">
        <w:t>DUPI and/or UPA and LEB</w:t>
      </w:r>
      <w:r w:rsidR="00963533" w:rsidRPr="00FE714A">
        <w:t xml:space="preserve">) </w:t>
      </w:r>
      <w:r w:rsidR="00B950D8" w:rsidRPr="00FE714A">
        <w:t>wa</w:t>
      </w:r>
      <w:r w:rsidR="00963533" w:rsidRPr="00FE714A">
        <w:t>s reasonable</w:t>
      </w:r>
      <w:r w:rsidR="00B950D8" w:rsidRPr="00FE714A">
        <w:t xml:space="preserve">. The PBAC considered that allowing </w:t>
      </w:r>
      <w:r w:rsidR="001330D1" w:rsidRPr="00FE714A">
        <w:t xml:space="preserve">sequential treatment and </w:t>
      </w:r>
      <w:r w:rsidR="00B950D8" w:rsidRPr="00FE714A">
        <w:t xml:space="preserve">switching between </w:t>
      </w:r>
      <w:r w:rsidR="00A82C0E" w:rsidRPr="00FE714A">
        <w:t>treatments</w:t>
      </w:r>
      <w:r w:rsidR="00B950D8" w:rsidRPr="00FE714A">
        <w:t xml:space="preserve"> is unlikely to substantially increase the </w:t>
      </w:r>
      <w:r w:rsidR="00A82C0E" w:rsidRPr="00FE714A">
        <w:t>uptake of treatments for severe AD</w:t>
      </w:r>
      <w:r w:rsidR="00B950D8" w:rsidRPr="00FE714A">
        <w:t xml:space="preserve"> as </w:t>
      </w:r>
      <w:r w:rsidR="00A82C0E" w:rsidRPr="00FE714A">
        <w:t xml:space="preserve">the number of patients ceasing treatment </w:t>
      </w:r>
      <w:r w:rsidR="00403273" w:rsidRPr="00FE714A">
        <w:t>with</w:t>
      </w:r>
      <w:r w:rsidR="00A82C0E" w:rsidRPr="00FE714A">
        <w:t xml:space="preserve"> DUPI/UPA has been relatively low.</w:t>
      </w:r>
      <w:r w:rsidR="00B950D8" w:rsidRPr="00FE714A">
        <w:t xml:space="preserve"> </w:t>
      </w:r>
      <w:r w:rsidR="001330D1" w:rsidRPr="00FE714A">
        <w:t>The PBAC noted that the pre-PBAC response also considered that the impact of sequential use on uptake was likely to be minimal.</w:t>
      </w:r>
    </w:p>
    <w:p w14:paraId="4A73AA59" w14:textId="77777777" w:rsidR="004779D9" w:rsidRPr="00FE714A" w:rsidRDefault="004779D9" w:rsidP="006832BB">
      <w:pPr>
        <w:pStyle w:val="3-BodyText"/>
        <w:rPr>
          <w:color w:val="0066FF"/>
        </w:rPr>
      </w:pPr>
      <w:r w:rsidRPr="00FE714A">
        <w:t xml:space="preserve">The requested restriction was narrower than the proposed TGA indication. The proposed TGA indication did not restrict treatment with LEB to: </w:t>
      </w:r>
    </w:p>
    <w:p w14:paraId="525AF11F" w14:textId="77777777" w:rsidR="004779D9" w:rsidRPr="00FE714A" w:rsidRDefault="004779D9" w:rsidP="00A2503D">
      <w:pPr>
        <w:pStyle w:val="3-BodyText"/>
        <w:numPr>
          <w:ilvl w:val="0"/>
          <w:numId w:val="9"/>
        </w:numPr>
      </w:pPr>
      <w:r w:rsidRPr="00FE714A">
        <w:t xml:space="preserve">Patients with severe AD (defined in the requested restriction as an EASI score ≥ 20 and a PGA score of 4);  </w:t>
      </w:r>
    </w:p>
    <w:p w14:paraId="05E11578" w14:textId="77777777" w:rsidR="004779D9" w:rsidRPr="00FE714A" w:rsidRDefault="004779D9" w:rsidP="00A2503D">
      <w:pPr>
        <w:pStyle w:val="3-BodyText"/>
        <w:numPr>
          <w:ilvl w:val="0"/>
          <w:numId w:val="9"/>
        </w:numPr>
      </w:pPr>
      <w:r w:rsidRPr="00FE714A">
        <w:t>The presence of lesions for at least 6 months from the time of initial diagnosis of chronic severe AD; and</w:t>
      </w:r>
    </w:p>
    <w:p w14:paraId="270162F4" w14:textId="0886B146" w:rsidR="004779D9" w:rsidRPr="00FE714A" w:rsidRDefault="004779D9" w:rsidP="00A2503D">
      <w:pPr>
        <w:pStyle w:val="3-BodyText"/>
        <w:numPr>
          <w:ilvl w:val="0"/>
          <w:numId w:val="9"/>
        </w:numPr>
      </w:pPr>
      <w:r w:rsidRPr="00FE714A">
        <w:t>Patients who have failed to achieve an adequate response to topical therapies (topical corticosteroids (TCS) and/or topical calcineurin inhibitors (TCIs)</w:t>
      </w:r>
      <w:r w:rsidR="00FE714A">
        <w:t xml:space="preserve">. </w:t>
      </w:r>
    </w:p>
    <w:p w14:paraId="7B3DF39E" w14:textId="77777777" w:rsidR="004779D9" w:rsidRPr="00FE714A" w:rsidRDefault="004779D9" w:rsidP="00310E1C">
      <w:pPr>
        <w:pStyle w:val="3-BodyText"/>
      </w:pPr>
      <w:r w:rsidRPr="00FE714A">
        <w:t>The eligibility criteria of the included LEB trials were not aligned with the requested restriction as:</w:t>
      </w:r>
    </w:p>
    <w:p w14:paraId="12B7F175" w14:textId="4DF3BF42" w:rsidR="004779D9" w:rsidRPr="00FE714A" w:rsidRDefault="004779D9" w:rsidP="00A2503D">
      <w:pPr>
        <w:pStyle w:val="3-BodyText"/>
        <w:numPr>
          <w:ilvl w:val="0"/>
          <w:numId w:val="9"/>
        </w:numPr>
      </w:pPr>
      <w:r w:rsidRPr="00FE714A">
        <w:t xml:space="preserve">All trials enrolled patients with moderate-to-severe AD, which was broader than the requested PBS population of severe AD </w:t>
      </w:r>
      <w:r w:rsidR="001D5681" w:rsidRPr="00FE714A">
        <w:t xml:space="preserve">and </w:t>
      </w:r>
      <w:r w:rsidR="006C3F38" w:rsidRPr="00FE714A">
        <w:t xml:space="preserve">hence </w:t>
      </w:r>
      <w:r w:rsidR="001D5681" w:rsidRPr="00FE714A">
        <w:t>there may be potential for use outside the requested restriction</w:t>
      </w:r>
      <w:r w:rsidRPr="00FE714A">
        <w:t>;</w:t>
      </w:r>
    </w:p>
    <w:p w14:paraId="35B6CF20" w14:textId="73A9D470" w:rsidR="004779D9" w:rsidRPr="00FE714A" w:rsidRDefault="004779D9" w:rsidP="00A2503D">
      <w:pPr>
        <w:pStyle w:val="3-BodyText"/>
        <w:numPr>
          <w:ilvl w:val="0"/>
          <w:numId w:val="9"/>
        </w:numPr>
      </w:pPr>
      <w:r w:rsidRPr="00FE714A">
        <w:t>Adolescent patients (aged ≥12 to &lt; 18 years) weighing less than 40 kg were excluded in trials that enrolled adolescents (</w:t>
      </w:r>
      <w:proofErr w:type="spellStart"/>
      <w:r w:rsidRPr="00FE714A">
        <w:t>ADvocate</w:t>
      </w:r>
      <w:proofErr w:type="spellEnd"/>
      <w:r w:rsidRPr="00FE714A">
        <w:t xml:space="preserve"> 1, </w:t>
      </w:r>
      <w:proofErr w:type="spellStart"/>
      <w:r w:rsidRPr="00FE714A">
        <w:t>ADvocate</w:t>
      </w:r>
      <w:proofErr w:type="spellEnd"/>
      <w:r w:rsidRPr="00FE714A">
        <w:t xml:space="preserve"> 2, </w:t>
      </w:r>
      <w:proofErr w:type="spellStart"/>
      <w:r w:rsidRPr="00FE714A">
        <w:t>ADhere</w:t>
      </w:r>
      <w:proofErr w:type="spellEnd"/>
      <w:r w:rsidRPr="00FE714A">
        <w:t xml:space="preserve">, </w:t>
      </w:r>
      <w:proofErr w:type="spellStart"/>
      <w:r w:rsidRPr="00FE714A">
        <w:lastRenderedPageBreak/>
        <w:t>ADhere</w:t>
      </w:r>
      <w:proofErr w:type="spellEnd"/>
      <w:r w:rsidRPr="00FE714A">
        <w:t xml:space="preserve"> J and </w:t>
      </w:r>
      <w:proofErr w:type="spellStart"/>
      <w:r w:rsidRPr="00FE714A">
        <w:t>ADvantage</w:t>
      </w:r>
      <w:proofErr w:type="spellEnd"/>
      <w:r w:rsidRPr="00FE714A">
        <w:t xml:space="preserve">), but </w:t>
      </w:r>
      <w:r w:rsidR="007A02ED" w:rsidRPr="00FE714A">
        <w:t xml:space="preserve">were </w:t>
      </w:r>
      <w:r w:rsidRPr="00FE714A">
        <w:t>not excluded from the requested PBS population. The safety and effectiveness of LEB in paediatric patients aged 12</w:t>
      </w:r>
      <w:r w:rsidR="007D452D">
        <w:t> </w:t>
      </w:r>
      <w:r w:rsidRPr="00FE714A">
        <w:t xml:space="preserve">years to less than 18 years who weigh less than 40 kg and paediatric subjects less than 12 years of age with moderate-to-severe AD have not been established (draft product information); </w:t>
      </w:r>
    </w:p>
    <w:p w14:paraId="4134CC40" w14:textId="77777777" w:rsidR="004779D9" w:rsidRPr="00FE714A" w:rsidRDefault="004779D9" w:rsidP="00A2503D">
      <w:pPr>
        <w:pStyle w:val="3-BodyText"/>
        <w:numPr>
          <w:ilvl w:val="0"/>
          <w:numId w:val="9"/>
        </w:numPr>
      </w:pPr>
      <w:r w:rsidRPr="00FE714A">
        <w:t>Patients who received prior treatment with immunosuppressive/ immunomodulating drugs or phototherapy/photochemotherapy (within 4 weeks prior to baseline) were excluded from all trials but not from the requested PBS population; and</w:t>
      </w:r>
    </w:p>
    <w:p w14:paraId="218C93FC" w14:textId="7A37A462" w:rsidR="004779D9" w:rsidRPr="00FE714A" w:rsidRDefault="004779D9" w:rsidP="00A2503D">
      <w:pPr>
        <w:pStyle w:val="3-BodyText"/>
        <w:numPr>
          <w:ilvl w:val="0"/>
          <w:numId w:val="9"/>
        </w:numPr>
      </w:pPr>
      <w:r w:rsidRPr="00FE714A">
        <w:t xml:space="preserve">Patients who received treatment with DUPI (within 8 weeks of baseline visit for </w:t>
      </w:r>
      <w:proofErr w:type="spellStart"/>
      <w:r w:rsidRPr="00FE714A">
        <w:t>ADhere</w:t>
      </w:r>
      <w:proofErr w:type="spellEnd"/>
      <w:r w:rsidRPr="00FE714A">
        <w:t xml:space="preserve">, </w:t>
      </w:r>
      <w:proofErr w:type="spellStart"/>
      <w:r w:rsidRPr="00FE714A">
        <w:t>ADhere</w:t>
      </w:r>
      <w:proofErr w:type="spellEnd"/>
      <w:r w:rsidRPr="00FE714A">
        <w:t xml:space="preserve"> J and </w:t>
      </w:r>
      <w:proofErr w:type="spellStart"/>
      <w:r w:rsidRPr="00FE714A">
        <w:t>ADvantage</w:t>
      </w:r>
      <w:proofErr w:type="spellEnd"/>
      <w:r w:rsidRPr="00FE714A">
        <w:t xml:space="preserve">; within 3 months of baseline visit for KGAF) or other biologics (within </w:t>
      </w:r>
      <w:r w:rsidR="00506096" w:rsidRPr="00FE714A">
        <w:t>five</w:t>
      </w:r>
      <w:r w:rsidRPr="00FE714A">
        <w:t xml:space="preserve"> half-lives or 16 weeks prior to baseline visit, whichever is longer, in all trials) were excluded</w:t>
      </w:r>
      <w:r w:rsidR="00306DFB" w:rsidRPr="00FE714A">
        <w:t xml:space="preserve"> from trials</w:t>
      </w:r>
      <w:r w:rsidRPr="00FE714A">
        <w:t xml:space="preserve"> but not from the requested PBS population. </w:t>
      </w:r>
    </w:p>
    <w:p w14:paraId="68C2752A" w14:textId="1C7FB62C" w:rsidR="001330D1" w:rsidRPr="00D200DF" w:rsidRDefault="001330D1" w:rsidP="00D200DF">
      <w:pPr>
        <w:spacing w:after="120"/>
        <w:ind w:left="720"/>
        <w:rPr>
          <w:iCs/>
        </w:rPr>
      </w:pPr>
      <w:r w:rsidRPr="00D200DF">
        <w:rPr>
          <w:iCs/>
        </w:rPr>
        <w:t xml:space="preserve">The PBAC noted that the differences between the restriction criteria, TGA indication and the trial eligibility criteria were </w:t>
      </w:r>
      <w:r w:rsidR="001E55E9" w:rsidRPr="00D200DF">
        <w:rPr>
          <w:iCs/>
        </w:rPr>
        <w:t>also generally present for</w:t>
      </w:r>
      <w:r w:rsidRPr="00D200DF">
        <w:rPr>
          <w:iCs/>
        </w:rPr>
        <w:t xml:space="preserve"> DUPI and UPA and considered that the differences were reasonable.</w:t>
      </w:r>
    </w:p>
    <w:p w14:paraId="3488B031" w14:textId="6FA52D63" w:rsidR="009A786D" w:rsidRPr="005F4197" w:rsidRDefault="009A786D" w:rsidP="005F4197">
      <w:pPr>
        <w:ind w:firstLine="720"/>
        <w:rPr>
          <w:i/>
        </w:rPr>
      </w:pPr>
      <w:r w:rsidRPr="005F4197">
        <w:rPr>
          <w:i/>
        </w:rPr>
        <w:t>For more detail on PBAC’s view, see section 7 PBAC outcome.</w:t>
      </w:r>
    </w:p>
    <w:p w14:paraId="2915F122" w14:textId="77777777" w:rsidR="004779D9" w:rsidRPr="00FE714A" w:rsidDel="00195452" w:rsidRDefault="004779D9" w:rsidP="004779D9">
      <w:pPr>
        <w:pStyle w:val="2-SectionHeading"/>
        <w:numPr>
          <w:ilvl w:val="0"/>
          <w:numId w:val="1"/>
        </w:numPr>
      </w:pPr>
      <w:bookmarkStart w:id="13" w:name="_Toc155860015"/>
      <w:r w:rsidRPr="00FE714A" w:rsidDel="00195452">
        <w:t>Population and disease</w:t>
      </w:r>
      <w:bookmarkEnd w:id="13"/>
    </w:p>
    <w:p w14:paraId="49D05CE0" w14:textId="77777777" w:rsidR="004779D9" w:rsidRPr="00FE714A" w:rsidRDefault="004779D9" w:rsidP="004E18E9">
      <w:pPr>
        <w:pStyle w:val="3-BodyText"/>
      </w:pPr>
      <w:r w:rsidRPr="00FE714A">
        <w:t>AD is a chronic inflammatory disease characterised by dry skin, itching and extensive skin lesions. Symptoms may be continuous or of a relapsing-remitting nature. The clinical presentation of symptoms varies based on phase (chronic or acute) and severity of AD. Patients with severe AD have more frequent symptom flaring, and their disease is characterised by skin with pronounced dryness, red lesions, papulation, crusting and skin thickening. Patients can suffer from itchy painful skin, bleeding, sleep deprivation, an increased risk of skin infections, depression, anxiety and/or suicidal intentions.</w:t>
      </w:r>
    </w:p>
    <w:p w14:paraId="5987C7B4" w14:textId="77777777" w:rsidR="004779D9" w:rsidRPr="00FE714A" w:rsidRDefault="004779D9" w:rsidP="00C43246">
      <w:pPr>
        <w:pStyle w:val="3-BodyText"/>
      </w:pPr>
      <w:r w:rsidRPr="00FE714A">
        <w:t xml:space="preserve">LEB is an IgG4 monoclonal antibody that binds with high affinity and slow off-rate to the interleukin (IL)-13 cytokine, at an epitope that overlaps the binding site of the IL-4 receptor alpha (IL-4Rα) subunit. This prevents heterodimerisation of the Type II receptor and selectively inhibits IL-13 signalling through the IL-4Rα/IL-13 receptor alpha 1 (IL-13Rα1) pathway, thereby blocking the downstream effects of IL-13 with high potency. The submission claimed that emerging evidence has positioned IL-13 as a dominant driver of AD pathogenesis, and hence blocking IL-13 can have significant impacts on signalling pathways contributing to itch, skin inflammation, </w:t>
      </w:r>
      <w:proofErr w:type="spellStart"/>
      <w:r w:rsidRPr="00FE714A">
        <w:t>lichenification</w:t>
      </w:r>
      <w:proofErr w:type="spellEnd"/>
      <w:r w:rsidRPr="00FE714A">
        <w:t xml:space="preserve">, infections and skin barrier defects. </w:t>
      </w:r>
    </w:p>
    <w:p w14:paraId="4905256C" w14:textId="1E64DDD2" w:rsidR="004779D9" w:rsidRPr="00FE714A" w:rsidRDefault="004779D9" w:rsidP="00C43246">
      <w:pPr>
        <w:pStyle w:val="3-BodyText"/>
      </w:pPr>
      <w:r w:rsidRPr="00FE714A">
        <w:t xml:space="preserve">The recommended dose of LEB (as per the draft product information) </w:t>
      </w:r>
      <w:r w:rsidR="002A66BC" w:rsidRPr="00FE714A">
        <w:t>wa</w:t>
      </w:r>
      <w:r w:rsidRPr="00FE714A">
        <w:t xml:space="preserve">s an initial dose of 500 mg (two 250 mg injections) injected subcutaneously at Week 0 and </w:t>
      </w:r>
      <w:r w:rsidR="00996F74" w:rsidRPr="00FE714A">
        <w:t>Week</w:t>
      </w:r>
      <w:r w:rsidR="00996F74">
        <w:t> </w:t>
      </w:r>
      <w:r w:rsidRPr="00FE714A">
        <w:t xml:space="preserve">2, followed by 250 mg every two weeks (herein referred to as LEB 250 mg Q2W) </w:t>
      </w:r>
      <w:r w:rsidRPr="00FE714A">
        <w:lastRenderedPageBreak/>
        <w:t xml:space="preserve">until Week 16 or later, when adequate clinical response is achieved. The maintenance dose is 250 mg Q4W. However, </w:t>
      </w:r>
      <w:r w:rsidR="001E55E9" w:rsidRPr="00FE714A">
        <w:t>in the TGA</w:t>
      </w:r>
      <w:r w:rsidRPr="00FE714A">
        <w:t xml:space="preserve"> Clinical Evaluation Report</w:t>
      </w:r>
      <w:r w:rsidR="001E55E9" w:rsidRPr="00FE714A">
        <w:t>, the evaluator</w:t>
      </w:r>
      <w:r w:rsidRPr="00FE714A">
        <w:t xml:space="preserve"> recommended </w:t>
      </w:r>
      <w:r w:rsidR="001E55E9" w:rsidRPr="00FE714A">
        <w:t xml:space="preserve">the PI state </w:t>
      </w:r>
      <w:r w:rsidRPr="00FE714A">
        <w:t>that treatment is administered until Week 16, and:</w:t>
      </w:r>
    </w:p>
    <w:p w14:paraId="657982B0" w14:textId="77777777" w:rsidR="004779D9" w:rsidRPr="00FE714A" w:rsidRDefault="004779D9" w:rsidP="00A2503D">
      <w:pPr>
        <w:pStyle w:val="3-BodyText"/>
        <w:numPr>
          <w:ilvl w:val="0"/>
          <w:numId w:val="9"/>
        </w:numPr>
      </w:pPr>
      <w:r w:rsidRPr="00FE714A">
        <w:t xml:space="preserve">For patients who achieve an adequate clinical response at Week 16, LEB 250 mg Q4W can be continued as a maintenance dose; </w:t>
      </w:r>
    </w:p>
    <w:p w14:paraId="01978DB5" w14:textId="77777777" w:rsidR="004779D9" w:rsidRPr="00FE714A" w:rsidRDefault="004779D9" w:rsidP="00A2503D">
      <w:pPr>
        <w:pStyle w:val="3-BodyText"/>
        <w:numPr>
          <w:ilvl w:val="0"/>
          <w:numId w:val="9"/>
        </w:numPr>
      </w:pPr>
      <w:r w:rsidRPr="00FE714A">
        <w:t xml:space="preserve">For patients who have had a less than adequate clinical response at Week 16, consideration may be given to continuing LEB 250 mg Q2W until an adequate clinical response is achieved. Patients achieving an adequate clinical response can then continue maintenance treatment with LEB 250 mg Q4W; and </w:t>
      </w:r>
    </w:p>
    <w:p w14:paraId="2E23FE38" w14:textId="77777777" w:rsidR="004779D9" w:rsidRPr="00FE714A" w:rsidRDefault="004779D9" w:rsidP="00A2503D">
      <w:pPr>
        <w:pStyle w:val="3-BodyText"/>
        <w:numPr>
          <w:ilvl w:val="0"/>
          <w:numId w:val="9"/>
        </w:numPr>
      </w:pPr>
      <w:r w:rsidRPr="00FE714A">
        <w:t>LEB should be discontinued in patients who show no evidence of clinical benefit after 16 weeks of treatment.</w:t>
      </w:r>
    </w:p>
    <w:p w14:paraId="35DC7D4B" w14:textId="77777777" w:rsidR="004779D9" w:rsidRPr="00FE714A" w:rsidRDefault="004779D9" w:rsidP="00F40925">
      <w:pPr>
        <w:pStyle w:val="3-BodyText"/>
      </w:pPr>
      <w:r w:rsidRPr="00FE714A">
        <w:t>The requested listing would place LEB as an alternative treatment option to DUPI and UPA for patients with severe disease who have failed to achieve an adequate response to topical therapy.</w:t>
      </w:r>
    </w:p>
    <w:p w14:paraId="23177D5F" w14:textId="2ECB14CB" w:rsidR="009A786D" w:rsidRPr="00613B05" w:rsidDel="00195452" w:rsidRDefault="009A786D" w:rsidP="00613B05">
      <w:pPr>
        <w:ind w:firstLine="720"/>
        <w:rPr>
          <w:i/>
          <w:iCs/>
        </w:rPr>
      </w:pPr>
      <w:r w:rsidRPr="00FE714A">
        <w:rPr>
          <w:i/>
          <w:iCs/>
        </w:rPr>
        <w:t>For more detail on PBAC’s view, see section 7 PBAC outcome.</w:t>
      </w:r>
    </w:p>
    <w:p w14:paraId="66BF6825" w14:textId="77777777" w:rsidR="004779D9" w:rsidRPr="00FE714A" w:rsidRDefault="004779D9" w:rsidP="004779D9">
      <w:pPr>
        <w:pStyle w:val="2-SectionHeading"/>
        <w:numPr>
          <w:ilvl w:val="0"/>
          <w:numId w:val="1"/>
        </w:numPr>
      </w:pPr>
      <w:bookmarkStart w:id="14" w:name="_Toc155860016"/>
      <w:r w:rsidRPr="00FE714A">
        <w:t>Comparator</w:t>
      </w:r>
      <w:bookmarkEnd w:id="14"/>
    </w:p>
    <w:p w14:paraId="580B36F2" w14:textId="148A9D77" w:rsidR="004779D9" w:rsidRPr="00FE714A" w:rsidRDefault="004779D9" w:rsidP="00882E3C">
      <w:pPr>
        <w:pStyle w:val="3-BodyText"/>
        <w:rPr>
          <w:snapToGrid/>
        </w:rPr>
      </w:pPr>
      <w:r w:rsidRPr="00FE714A">
        <w:rPr>
          <w:snapToGrid/>
        </w:rPr>
        <w:t xml:space="preserve">There </w:t>
      </w:r>
      <w:r w:rsidR="00C371BF" w:rsidRPr="00FE714A">
        <w:rPr>
          <w:snapToGrid/>
        </w:rPr>
        <w:t xml:space="preserve">are </w:t>
      </w:r>
      <w:r w:rsidRPr="00FE714A">
        <w:rPr>
          <w:snapToGrid/>
        </w:rPr>
        <w:t xml:space="preserve">currently two medicines listed on the PBS for the same population as requested for LEB – DUPI, a biologic IL-4 inhibitor, and UPA, a Janus Kinase (JAK) inhibitor. </w:t>
      </w:r>
    </w:p>
    <w:p w14:paraId="4147C425" w14:textId="2F67BBA6" w:rsidR="004779D9" w:rsidRPr="00FE714A" w:rsidRDefault="004779D9" w:rsidP="00882E3C">
      <w:pPr>
        <w:pStyle w:val="3-BodyText"/>
        <w:rPr>
          <w:snapToGrid/>
        </w:rPr>
      </w:pPr>
      <w:r w:rsidRPr="00FE714A">
        <w:rPr>
          <w:snapToGrid/>
        </w:rPr>
        <w:t>The submission appropriately nominated DUPI as the main comparator. The main arguments provided in support of this nomination were:</w:t>
      </w:r>
    </w:p>
    <w:p w14:paraId="793C9E4C" w14:textId="2230F0C2" w:rsidR="004779D9" w:rsidRPr="00FE714A" w:rsidRDefault="003D3ACE" w:rsidP="00A2503D">
      <w:pPr>
        <w:pStyle w:val="3-BodyText"/>
        <w:numPr>
          <w:ilvl w:val="0"/>
          <w:numId w:val="9"/>
        </w:numPr>
      </w:pPr>
      <w:r w:rsidRPr="00FE714A">
        <w:t xml:space="preserve">Both DUPI and </w:t>
      </w:r>
      <w:r w:rsidR="004779D9" w:rsidRPr="00FE714A">
        <w:t xml:space="preserve">LEB </w:t>
      </w:r>
      <w:r w:rsidRPr="00FE714A">
        <w:t xml:space="preserve">are </w:t>
      </w:r>
      <w:r w:rsidR="004779D9" w:rsidRPr="00FE714A">
        <w:t>biologic</w:t>
      </w:r>
      <w:r w:rsidRPr="00FE714A">
        <w:t>s</w:t>
      </w:r>
      <w:r w:rsidR="004779D9" w:rsidRPr="00FE714A">
        <w:t xml:space="preserve"> administered by subcutaneous injection </w:t>
      </w:r>
      <w:r w:rsidRPr="00FE714A">
        <w:t xml:space="preserve">and are </w:t>
      </w:r>
      <w:r w:rsidR="004779D9" w:rsidRPr="00FE714A">
        <w:t>close pharmacological analogue</w:t>
      </w:r>
      <w:r w:rsidRPr="00FE714A">
        <w:t>s</w:t>
      </w:r>
      <w:r w:rsidR="004779D9" w:rsidRPr="00FE714A">
        <w:t xml:space="preserve">; and </w:t>
      </w:r>
    </w:p>
    <w:p w14:paraId="2591C82A" w14:textId="19879683" w:rsidR="004779D9" w:rsidRPr="00FE714A" w:rsidRDefault="003D3ACE" w:rsidP="00A2503D">
      <w:pPr>
        <w:pStyle w:val="3-BodyText"/>
        <w:numPr>
          <w:ilvl w:val="0"/>
          <w:numId w:val="9"/>
        </w:numPr>
      </w:pPr>
      <w:r w:rsidRPr="00FE714A">
        <w:t>DUPI currently has the m</w:t>
      </w:r>
      <w:r w:rsidR="004779D9" w:rsidRPr="00FE714A">
        <w:t>ajority market share, positioning it as the medicine most likely to be replaced should LEB be PBS listed.</w:t>
      </w:r>
    </w:p>
    <w:p w14:paraId="64B8C527" w14:textId="1709BC43" w:rsidR="004779D9" w:rsidRPr="00FE714A" w:rsidRDefault="004779D9" w:rsidP="008A1181">
      <w:pPr>
        <w:pStyle w:val="3-BodyText"/>
        <w:rPr>
          <w:snapToGrid/>
        </w:rPr>
      </w:pPr>
      <w:r w:rsidRPr="00FE714A">
        <w:rPr>
          <w:snapToGrid/>
        </w:rPr>
        <w:t>The submission appropriately nominated UPA (15 mg and 30 mg) as a secondary comparator due to its limited use within the Australian market (15.8% market share, compared to 84.2% market share for DUPI</w:t>
      </w:r>
      <w:r w:rsidR="00D45F00" w:rsidRPr="00FE714A">
        <w:rPr>
          <w:snapToGrid/>
        </w:rPr>
        <w:t xml:space="preserve"> as claimed by the submission,</w:t>
      </w:r>
      <w:r w:rsidRPr="00FE714A">
        <w:rPr>
          <w:snapToGrid/>
        </w:rPr>
        <w:t xml:space="preserve"> </w:t>
      </w:r>
      <w:r w:rsidR="00D45F00" w:rsidRPr="00FE714A">
        <w:rPr>
          <w:snapToGrid/>
        </w:rPr>
        <w:t xml:space="preserve">though </w:t>
      </w:r>
      <w:r w:rsidRPr="00FE714A">
        <w:rPr>
          <w:snapToGrid/>
        </w:rPr>
        <w:t>these values could not be verified during the evaluation).</w:t>
      </w:r>
      <w:r w:rsidRPr="00FE714A">
        <w:rPr>
          <w:i/>
          <w:iCs/>
          <w:snapToGrid/>
        </w:rPr>
        <w:t xml:space="preserve"> </w:t>
      </w:r>
      <w:r w:rsidRPr="00FE714A">
        <w:rPr>
          <w:snapToGrid/>
        </w:rPr>
        <w:t xml:space="preserve">UPA was recommended by the PBAC </w:t>
      </w:r>
      <w:r w:rsidR="00D45F00" w:rsidRPr="00FE714A">
        <w:rPr>
          <w:snapToGrid/>
        </w:rPr>
        <w:t xml:space="preserve">for severe AD </w:t>
      </w:r>
      <w:r w:rsidRPr="00FE714A">
        <w:rPr>
          <w:snapToGrid/>
        </w:rPr>
        <w:t>following the July 2021 meeting on a cost-minimisation basis to DUPI.</w:t>
      </w:r>
    </w:p>
    <w:p w14:paraId="730E23A7" w14:textId="77777777" w:rsidR="006C3F38" w:rsidRPr="00FE714A" w:rsidRDefault="006C3F38" w:rsidP="006C3F38">
      <w:pPr>
        <w:pStyle w:val="3-BodyText"/>
        <w:rPr>
          <w:snapToGrid/>
          <w:color w:val="0066FF"/>
        </w:rPr>
      </w:pPr>
      <w:bookmarkStart w:id="15" w:name="_Ref107305379"/>
      <w:r w:rsidRPr="00FE714A">
        <w:t xml:space="preserve">In the context of the CMA taken by the submission, a further consideration for PBAC is that, under Section 101(3B) of the </w:t>
      </w:r>
      <w:r w:rsidRPr="00FE714A">
        <w:rPr>
          <w:i/>
          <w:iCs/>
        </w:rPr>
        <w:t>National Health Act 1953</w:t>
      </w:r>
      <w:r w:rsidRPr="00FE714A">
        <w:t xml:space="preserve">, when the proposed medicine is substantially more costly than an alternative therapy, the committee cannot make a positive recommendation unless it is satisfied that, for some patients, the proposed medicine provides a significant improvement in efficacy and/or </w:t>
      </w:r>
      <w:r w:rsidRPr="00FE714A">
        <w:lastRenderedPageBreak/>
        <w:t>reduction of toxicity over the alternative therapy. If the committee is so satisfied, it must make a statement to this effect.</w:t>
      </w:r>
      <w:bookmarkEnd w:id="15"/>
      <w:r w:rsidRPr="00FE714A">
        <w:t xml:space="preserve"> </w:t>
      </w:r>
    </w:p>
    <w:p w14:paraId="1C25FD14" w14:textId="64BEC291" w:rsidR="006C3F38" w:rsidRPr="00FE714A" w:rsidRDefault="006C3F38" w:rsidP="006C3F38">
      <w:pPr>
        <w:pStyle w:val="3-BodyText"/>
        <w:rPr>
          <w:snapToGrid/>
        </w:rPr>
      </w:pPr>
      <w:r w:rsidRPr="00FE714A">
        <w:rPr>
          <w:snapToGrid/>
        </w:rPr>
        <w:t>For the requested population, the following PBS-listed medicines may be considered alternative therapies because they could be replaced in practice: DUPI, UPA</w:t>
      </w:r>
      <w:r w:rsidRPr="00FE714A">
        <w:t xml:space="preserve">. </w:t>
      </w:r>
    </w:p>
    <w:p w14:paraId="5F73354A" w14:textId="3FE983E4" w:rsidR="009A786D" w:rsidRPr="00613B05" w:rsidRDefault="009A786D" w:rsidP="00613B05">
      <w:pPr>
        <w:ind w:firstLine="720"/>
        <w:rPr>
          <w:i/>
          <w:iCs/>
        </w:rPr>
      </w:pPr>
      <w:r w:rsidRPr="00FE714A">
        <w:rPr>
          <w:i/>
          <w:iCs/>
        </w:rPr>
        <w:t>For more detail on PBAC’s view, see section 7 PBAC outcome.</w:t>
      </w:r>
    </w:p>
    <w:p w14:paraId="1F705777" w14:textId="77777777" w:rsidR="004779D9" w:rsidRPr="00FE714A" w:rsidRDefault="004779D9" w:rsidP="00223D5A">
      <w:pPr>
        <w:pStyle w:val="2-SectionHeading"/>
        <w:numPr>
          <w:ilvl w:val="0"/>
          <w:numId w:val="1"/>
        </w:numPr>
      </w:pPr>
      <w:bookmarkStart w:id="16" w:name="_Toc155860017"/>
      <w:r w:rsidRPr="00FE714A">
        <w:t>Consideration of the evidence</w:t>
      </w:r>
      <w:bookmarkEnd w:id="16"/>
    </w:p>
    <w:p w14:paraId="6E91866E" w14:textId="77777777" w:rsidR="009A786D" w:rsidRPr="00FE714A" w:rsidRDefault="009A786D" w:rsidP="009A786D">
      <w:pPr>
        <w:pStyle w:val="4-SubsectionHeading"/>
      </w:pPr>
      <w:bookmarkStart w:id="17" w:name="_Hlk76375935"/>
      <w:bookmarkStart w:id="18" w:name="_Toc155860018"/>
      <w:r w:rsidRPr="00FE714A">
        <w:t>Sponsor hearing</w:t>
      </w:r>
    </w:p>
    <w:p w14:paraId="0FAEFB97" w14:textId="701A786D" w:rsidR="009A786D" w:rsidRPr="00FE714A" w:rsidRDefault="009A786D" w:rsidP="009A786D">
      <w:pPr>
        <w:widowControl w:val="0"/>
        <w:numPr>
          <w:ilvl w:val="1"/>
          <w:numId w:val="1"/>
        </w:numPr>
        <w:spacing w:after="120"/>
        <w:rPr>
          <w:rFonts w:cs="Calibri"/>
          <w:bCs/>
          <w:snapToGrid w:val="0"/>
        </w:rPr>
      </w:pPr>
      <w:r w:rsidRPr="00FE714A">
        <w:rPr>
          <w:rFonts w:cs="Calibri"/>
          <w:bCs/>
          <w:snapToGrid w:val="0"/>
        </w:rPr>
        <w:t>There was no hearing for this item.</w:t>
      </w:r>
    </w:p>
    <w:p w14:paraId="7CB127AC" w14:textId="77777777" w:rsidR="009A786D" w:rsidRPr="00FE714A" w:rsidRDefault="009A786D" w:rsidP="009A786D">
      <w:pPr>
        <w:pStyle w:val="4-SubsectionHeading"/>
      </w:pPr>
      <w:r w:rsidRPr="00FE714A">
        <w:t>Consumer comments</w:t>
      </w:r>
    </w:p>
    <w:p w14:paraId="334BF85B" w14:textId="765EEB79" w:rsidR="009A786D" w:rsidRPr="00FE714A" w:rsidRDefault="009A786D" w:rsidP="009A786D">
      <w:pPr>
        <w:widowControl w:val="0"/>
        <w:numPr>
          <w:ilvl w:val="1"/>
          <w:numId w:val="1"/>
        </w:numPr>
        <w:spacing w:after="120"/>
        <w:rPr>
          <w:rFonts w:asciiTheme="minorHAnsi" w:hAnsiTheme="minorHAnsi"/>
          <w:bCs/>
          <w:snapToGrid w:val="0"/>
        </w:rPr>
      </w:pPr>
      <w:bookmarkStart w:id="19" w:name="_Hlk76382618"/>
      <w:r w:rsidRPr="00FE714A">
        <w:rPr>
          <w:rFonts w:asciiTheme="minorHAnsi" w:hAnsiTheme="minorHAnsi"/>
          <w:bCs/>
          <w:snapToGrid w:val="0"/>
        </w:rPr>
        <w:t>The PBAC noted and welcomed the input from individuals (</w:t>
      </w:r>
      <w:r w:rsidR="00A3753B" w:rsidRPr="00FE714A">
        <w:rPr>
          <w:rFonts w:asciiTheme="minorHAnsi" w:hAnsiTheme="minorHAnsi"/>
          <w:bCs/>
          <w:snapToGrid w:val="0"/>
        </w:rPr>
        <w:t>5</w:t>
      </w:r>
      <w:r w:rsidRPr="00FE714A">
        <w:rPr>
          <w:rFonts w:asciiTheme="minorHAnsi" w:hAnsiTheme="minorHAnsi"/>
          <w:bCs/>
          <w:snapToGrid w:val="0"/>
        </w:rPr>
        <w:t>), health care professionals (</w:t>
      </w:r>
      <w:r w:rsidR="00A3753B" w:rsidRPr="00FE714A">
        <w:rPr>
          <w:rFonts w:asciiTheme="minorHAnsi" w:hAnsiTheme="minorHAnsi"/>
          <w:bCs/>
          <w:snapToGrid w:val="0"/>
        </w:rPr>
        <w:t>4</w:t>
      </w:r>
      <w:r w:rsidRPr="00FE714A">
        <w:rPr>
          <w:rFonts w:asciiTheme="minorHAnsi" w:hAnsiTheme="minorHAnsi"/>
          <w:bCs/>
          <w:snapToGrid w:val="0"/>
        </w:rPr>
        <w:t>) and organisations (</w:t>
      </w:r>
      <w:r w:rsidR="00A3753B" w:rsidRPr="00FE714A">
        <w:rPr>
          <w:rFonts w:asciiTheme="minorHAnsi" w:hAnsiTheme="minorHAnsi"/>
          <w:bCs/>
          <w:snapToGrid w:val="0"/>
        </w:rPr>
        <w:t>4</w:t>
      </w:r>
      <w:r w:rsidRPr="00FE714A">
        <w:rPr>
          <w:rFonts w:asciiTheme="minorHAnsi" w:hAnsiTheme="minorHAnsi"/>
          <w:bCs/>
          <w:snapToGrid w:val="0"/>
        </w:rPr>
        <w:t>) via the Consumer Comments facility on the PBS website</w:t>
      </w:r>
      <w:r w:rsidR="00FE714A">
        <w:rPr>
          <w:rFonts w:asciiTheme="minorHAnsi" w:hAnsiTheme="minorHAnsi"/>
          <w:bCs/>
          <w:snapToGrid w:val="0"/>
        </w:rPr>
        <w:t xml:space="preserve">. </w:t>
      </w:r>
      <w:r w:rsidRPr="00FE714A">
        <w:rPr>
          <w:rFonts w:asciiTheme="minorHAnsi" w:hAnsiTheme="minorHAnsi"/>
          <w:bCs/>
          <w:snapToGrid w:val="0"/>
        </w:rPr>
        <w:t xml:space="preserve">The comments described </w:t>
      </w:r>
      <w:r w:rsidR="00A3753B" w:rsidRPr="00FE714A">
        <w:rPr>
          <w:rFonts w:asciiTheme="minorHAnsi" w:hAnsiTheme="minorHAnsi"/>
          <w:bCs/>
          <w:snapToGrid w:val="0"/>
        </w:rPr>
        <w:t>the unmet need for individuals with AD who do not respond to current available treatment options</w:t>
      </w:r>
      <w:r w:rsidR="00BA11A3" w:rsidRPr="00FE714A">
        <w:rPr>
          <w:rFonts w:asciiTheme="minorHAnsi" w:hAnsiTheme="minorHAnsi"/>
          <w:bCs/>
          <w:snapToGrid w:val="0"/>
        </w:rPr>
        <w:t>, are contraindicated to, or experience side effects from available treatments</w:t>
      </w:r>
      <w:r w:rsidR="00A3753B" w:rsidRPr="00FE714A">
        <w:rPr>
          <w:rFonts w:asciiTheme="minorHAnsi" w:hAnsiTheme="minorHAnsi"/>
          <w:bCs/>
          <w:snapToGrid w:val="0"/>
        </w:rPr>
        <w:t xml:space="preserve">. The comments noted that </w:t>
      </w:r>
      <w:r w:rsidR="006B0B29">
        <w:rPr>
          <w:rFonts w:asciiTheme="minorHAnsi" w:hAnsiTheme="minorHAnsi"/>
          <w:bCs/>
          <w:snapToGrid w:val="0"/>
        </w:rPr>
        <w:t>LEB</w:t>
      </w:r>
      <w:r w:rsidR="00A3753B" w:rsidRPr="00FE714A">
        <w:rPr>
          <w:rFonts w:asciiTheme="minorHAnsi" w:hAnsiTheme="minorHAnsi"/>
          <w:bCs/>
          <w:snapToGrid w:val="0"/>
        </w:rPr>
        <w:t xml:space="preserve"> may have fewer ocular side effects than </w:t>
      </w:r>
      <w:r w:rsidR="006B0B29">
        <w:rPr>
          <w:rFonts w:asciiTheme="minorHAnsi" w:hAnsiTheme="minorHAnsi"/>
          <w:bCs/>
          <w:snapToGrid w:val="0"/>
        </w:rPr>
        <w:t>DUPI</w:t>
      </w:r>
      <w:r w:rsidR="00A3753B" w:rsidRPr="00FE714A">
        <w:rPr>
          <w:rFonts w:asciiTheme="minorHAnsi" w:hAnsiTheme="minorHAnsi"/>
          <w:bCs/>
          <w:snapToGrid w:val="0"/>
        </w:rPr>
        <w:t xml:space="preserve"> and the benefits of monthly </w:t>
      </w:r>
      <w:r w:rsidR="006B0B29">
        <w:rPr>
          <w:rFonts w:asciiTheme="minorHAnsi" w:hAnsiTheme="minorHAnsi"/>
          <w:bCs/>
          <w:snapToGrid w:val="0"/>
        </w:rPr>
        <w:t>LEB</w:t>
      </w:r>
      <w:r w:rsidR="00A3753B" w:rsidRPr="00FE714A">
        <w:rPr>
          <w:rFonts w:asciiTheme="minorHAnsi" w:hAnsiTheme="minorHAnsi"/>
          <w:bCs/>
          <w:snapToGrid w:val="0"/>
        </w:rPr>
        <w:t xml:space="preserve"> injections, as opposed to fortnightly injections.</w:t>
      </w:r>
    </w:p>
    <w:p w14:paraId="0483931A" w14:textId="2D39FCD9" w:rsidR="009A786D" w:rsidRPr="00FE714A" w:rsidRDefault="009A786D" w:rsidP="009A786D">
      <w:pPr>
        <w:widowControl w:val="0"/>
        <w:numPr>
          <w:ilvl w:val="1"/>
          <w:numId w:val="1"/>
        </w:numPr>
        <w:spacing w:after="120"/>
        <w:rPr>
          <w:rFonts w:asciiTheme="minorHAnsi" w:hAnsiTheme="minorHAnsi"/>
          <w:bCs/>
          <w:snapToGrid w:val="0"/>
        </w:rPr>
      </w:pPr>
      <w:r w:rsidRPr="00FE714A">
        <w:rPr>
          <w:rFonts w:asciiTheme="minorHAnsi" w:hAnsiTheme="minorHAnsi"/>
          <w:bCs/>
          <w:snapToGrid w:val="0"/>
        </w:rPr>
        <w:t xml:space="preserve">The PBAC noted the advice received from </w:t>
      </w:r>
      <w:r w:rsidR="002C6781" w:rsidRPr="00FE714A">
        <w:rPr>
          <w:rFonts w:asciiTheme="minorHAnsi" w:hAnsiTheme="minorHAnsi"/>
          <w:bCs/>
          <w:snapToGrid w:val="0"/>
        </w:rPr>
        <w:t xml:space="preserve">The Australasian College of Dermatologists in support of the </w:t>
      </w:r>
      <w:r w:rsidR="006B0B29">
        <w:rPr>
          <w:rFonts w:asciiTheme="minorHAnsi" w:hAnsiTheme="minorHAnsi"/>
          <w:bCs/>
          <w:snapToGrid w:val="0"/>
        </w:rPr>
        <w:t>LEB</w:t>
      </w:r>
      <w:r w:rsidR="002C6781" w:rsidRPr="00FE714A">
        <w:rPr>
          <w:rFonts w:asciiTheme="minorHAnsi" w:hAnsiTheme="minorHAnsi"/>
          <w:bCs/>
          <w:snapToGrid w:val="0"/>
        </w:rPr>
        <w:t xml:space="preserve"> submission</w:t>
      </w:r>
      <w:r w:rsidR="00062F9D" w:rsidRPr="00FE714A">
        <w:rPr>
          <w:rFonts w:asciiTheme="minorHAnsi" w:hAnsiTheme="minorHAnsi"/>
          <w:bCs/>
          <w:snapToGrid w:val="0"/>
        </w:rPr>
        <w:t xml:space="preserve">, noting </w:t>
      </w:r>
      <w:r w:rsidR="002C6781" w:rsidRPr="00FE714A">
        <w:rPr>
          <w:rFonts w:asciiTheme="minorHAnsi" w:hAnsiTheme="minorHAnsi"/>
          <w:bCs/>
          <w:snapToGrid w:val="0"/>
        </w:rPr>
        <w:t xml:space="preserve">that having an alternative treatment option is important for patients who have not achieved and maintained meaningful responses with </w:t>
      </w:r>
      <w:r w:rsidR="006B0B29">
        <w:rPr>
          <w:rFonts w:asciiTheme="minorHAnsi" w:hAnsiTheme="minorHAnsi"/>
          <w:bCs/>
          <w:snapToGrid w:val="0"/>
        </w:rPr>
        <w:t>DUPI</w:t>
      </w:r>
      <w:r w:rsidR="002C6781" w:rsidRPr="00FE714A">
        <w:rPr>
          <w:rFonts w:asciiTheme="minorHAnsi" w:hAnsiTheme="minorHAnsi"/>
          <w:bCs/>
          <w:snapToGrid w:val="0"/>
        </w:rPr>
        <w:t xml:space="preserve"> or </w:t>
      </w:r>
      <w:r w:rsidR="006B0B29">
        <w:rPr>
          <w:rFonts w:asciiTheme="minorHAnsi" w:hAnsiTheme="minorHAnsi"/>
          <w:bCs/>
          <w:snapToGrid w:val="0"/>
        </w:rPr>
        <w:t>UPA</w:t>
      </w:r>
      <w:r w:rsidR="002C6781" w:rsidRPr="00FE714A">
        <w:rPr>
          <w:rFonts w:asciiTheme="minorHAnsi" w:hAnsiTheme="minorHAnsi"/>
          <w:bCs/>
          <w:snapToGrid w:val="0"/>
        </w:rPr>
        <w:t xml:space="preserve"> or have experienced adverse events leading to discontinuation.</w:t>
      </w:r>
      <w:r w:rsidR="00A3753B" w:rsidRPr="00FE714A">
        <w:rPr>
          <w:rFonts w:asciiTheme="minorHAnsi" w:hAnsiTheme="minorHAnsi"/>
          <w:bCs/>
          <w:snapToGrid w:val="0"/>
        </w:rPr>
        <w:t xml:space="preserve"> </w:t>
      </w:r>
      <w:r w:rsidR="002C6781" w:rsidRPr="00FE714A">
        <w:rPr>
          <w:rFonts w:asciiTheme="minorHAnsi" w:hAnsiTheme="minorHAnsi"/>
          <w:bCs/>
          <w:snapToGrid w:val="0"/>
        </w:rPr>
        <w:t xml:space="preserve">The PBAC </w:t>
      </w:r>
      <w:r w:rsidR="00062F9D" w:rsidRPr="00FE714A">
        <w:rPr>
          <w:rFonts w:asciiTheme="minorHAnsi" w:hAnsiTheme="minorHAnsi"/>
          <w:bCs/>
          <w:snapToGrid w:val="0"/>
        </w:rPr>
        <w:t xml:space="preserve">also </w:t>
      </w:r>
      <w:r w:rsidR="002C6781" w:rsidRPr="00FE714A">
        <w:rPr>
          <w:rFonts w:asciiTheme="minorHAnsi" w:hAnsiTheme="minorHAnsi"/>
          <w:bCs/>
          <w:snapToGrid w:val="0"/>
        </w:rPr>
        <w:t xml:space="preserve">noted the comments received from patient support groups (Eczema Association of Australasia Inc, Eczema Support Australia) in support of the </w:t>
      </w:r>
      <w:r w:rsidR="006B0B29">
        <w:rPr>
          <w:rFonts w:asciiTheme="minorHAnsi" w:hAnsiTheme="minorHAnsi"/>
          <w:bCs/>
          <w:snapToGrid w:val="0"/>
        </w:rPr>
        <w:t>LEB</w:t>
      </w:r>
      <w:r w:rsidR="002C6781" w:rsidRPr="00FE714A">
        <w:rPr>
          <w:rFonts w:asciiTheme="minorHAnsi" w:hAnsiTheme="minorHAnsi"/>
          <w:bCs/>
          <w:snapToGrid w:val="0"/>
        </w:rPr>
        <w:t xml:space="preserve"> submission. </w:t>
      </w:r>
      <w:r w:rsidR="00A3753B" w:rsidRPr="00FE714A">
        <w:rPr>
          <w:rFonts w:asciiTheme="minorHAnsi" w:hAnsiTheme="minorHAnsi"/>
          <w:bCs/>
          <w:snapToGrid w:val="0"/>
        </w:rPr>
        <w:t xml:space="preserve">Advice from Allergy &amp; Anaphylaxis Australia – National Allergy Council  also noted that there continues to be a high demand for treatments for severe AD and acknowledged the high budget impact of existing treatments for severe AD but </w:t>
      </w:r>
      <w:r w:rsidR="002C6781" w:rsidRPr="00FE714A">
        <w:rPr>
          <w:rFonts w:asciiTheme="minorHAnsi" w:hAnsiTheme="minorHAnsi"/>
          <w:bCs/>
          <w:snapToGrid w:val="0"/>
        </w:rPr>
        <w:t xml:space="preserve">emphasized the importance of having </w:t>
      </w:r>
      <w:r w:rsidR="00A3753B" w:rsidRPr="00FE714A">
        <w:rPr>
          <w:rFonts w:asciiTheme="minorHAnsi" w:hAnsiTheme="minorHAnsi"/>
          <w:bCs/>
          <w:snapToGrid w:val="0"/>
        </w:rPr>
        <w:t xml:space="preserve">effective </w:t>
      </w:r>
      <w:r w:rsidR="002C6781" w:rsidRPr="00FE714A">
        <w:rPr>
          <w:rFonts w:asciiTheme="minorHAnsi" w:hAnsiTheme="minorHAnsi"/>
          <w:bCs/>
          <w:snapToGrid w:val="0"/>
        </w:rPr>
        <w:t>treatments available to patients with severe AD</w:t>
      </w:r>
      <w:r w:rsidR="00062F9D" w:rsidRPr="00FE714A">
        <w:rPr>
          <w:rFonts w:asciiTheme="minorHAnsi" w:hAnsiTheme="minorHAnsi"/>
          <w:bCs/>
          <w:snapToGrid w:val="0"/>
        </w:rPr>
        <w:t>, noting the very severe impact of AD on affected patients and their families</w:t>
      </w:r>
      <w:r w:rsidR="002C6781" w:rsidRPr="00FE714A">
        <w:rPr>
          <w:rFonts w:asciiTheme="minorHAnsi" w:hAnsiTheme="minorHAnsi"/>
          <w:bCs/>
          <w:snapToGrid w:val="0"/>
        </w:rPr>
        <w:t xml:space="preserve">. </w:t>
      </w:r>
    </w:p>
    <w:bookmarkEnd w:id="17"/>
    <w:bookmarkEnd w:id="19"/>
    <w:p w14:paraId="33D83218" w14:textId="77777777" w:rsidR="004779D9" w:rsidRPr="00FE714A" w:rsidRDefault="004779D9" w:rsidP="002E4F02">
      <w:pPr>
        <w:pStyle w:val="4-SubsectionHeading"/>
      </w:pPr>
      <w:r w:rsidRPr="00FE714A">
        <w:t>Clinical trials</w:t>
      </w:r>
      <w:bookmarkEnd w:id="18"/>
    </w:p>
    <w:p w14:paraId="08068F99" w14:textId="77777777" w:rsidR="004779D9" w:rsidRPr="00FE714A" w:rsidRDefault="004779D9" w:rsidP="002E4F02">
      <w:pPr>
        <w:pStyle w:val="3-BodyText"/>
        <w:rPr>
          <w:color w:val="0066FF"/>
        </w:rPr>
      </w:pPr>
      <w:r w:rsidRPr="00FE714A">
        <w:t xml:space="preserve">No head-to-head trials comparing LEB and DUPI were available. Instead, an indirect treatment comparison (using placebo as the common comparator) was used to assess the submission’s claim of non-inferior efficacy. The submission included: </w:t>
      </w:r>
    </w:p>
    <w:p w14:paraId="7EBFA1FE" w14:textId="77777777" w:rsidR="004779D9" w:rsidRPr="00FE714A" w:rsidRDefault="004779D9" w:rsidP="00A2503D">
      <w:pPr>
        <w:pStyle w:val="3-BodyText"/>
        <w:numPr>
          <w:ilvl w:val="0"/>
          <w:numId w:val="9"/>
        </w:numPr>
      </w:pPr>
      <w:r w:rsidRPr="00FE714A">
        <w:t xml:space="preserve">Seven randomised controlled trials (RCTs) of LEB vs placebo: Four LEB monotherapy trials (KGAF; </w:t>
      </w:r>
      <w:proofErr w:type="spellStart"/>
      <w:r w:rsidRPr="00FE714A">
        <w:t>ADvocate</w:t>
      </w:r>
      <w:proofErr w:type="spellEnd"/>
      <w:r w:rsidRPr="00FE714A">
        <w:t xml:space="preserve"> 1; </w:t>
      </w:r>
      <w:proofErr w:type="spellStart"/>
      <w:r w:rsidRPr="00FE714A">
        <w:t>ADvocate</w:t>
      </w:r>
      <w:proofErr w:type="spellEnd"/>
      <w:r w:rsidRPr="00FE714A">
        <w:t xml:space="preserve"> 2; </w:t>
      </w:r>
      <w:proofErr w:type="spellStart"/>
      <w:r w:rsidRPr="00FE714A">
        <w:t>ADopt</w:t>
      </w:r>
      <w:proofErr w:type="spellEnd"/>
      <w:r w:rsidRPr="00FE714A">
        <w:t xml:space="preserve"> VA) and three LEB combination therapy trials (</w:t>
      </w:r>
      <w:proofErr w:type="spellStart"/>
      <w:r w:rsidRPr="00FE714A">
        <w:t>ADhere</w:t>
      </w:r>
      <w:proofErr w:type="spellEnd"/>
      <w:r w:rsidRPr="00FE714A">
        <w:t xml:space="preserve">; </w:t>
      </w:r>
      <w:proofErr w:type="spellStart"/>
      <w:r w:rsidRPr="00FE714A">
        <w:t>ADhere</w:t>
      </w:r>
      <w:proofErr w:type="spellEnd"/>
      <w:r w:rsidRPr="00FE714A">
        <w:t xml:space="preserve"> J; </w:t>
      </w:r>
      <w:proofErr w:type="spellStart"/>
      <w:r w:rsidRPr="00FE714A">
        <w:t>ADvantage</w:t>
      </w:r>
      <w:proofErr w:type="spellEnd"/>
      <w:r w:rsidRPr="00FE714A">
        <w:t xml:space="preserve">); and </w:t>
      </w:r>
    </w:p>
    <w:p w14:paraId="18B67D12" w14:textId="361DAB58" w:rsidR="004779D9" w:rsidRPr="00FE714A" w:rsidRDefault="004779D9" w:rsidP="00A2503D">
      <w:pPr>
        <w:pStyle w:val="3-BodyText"/>
        <w:numPr>
          <w:ilvl w:val="0"/>
          <w:numId w:val="9"/>
        </w:numPr>
      </w:pPr>
      <w:r w:rsidRPr="00FE714A">
        <w:t xml:space="preserve">Nine RCTs of DUPI vs placebo: Six monotherapy trials (Study 1201; SOLO 1; SOLO2; SOLO Continue; Liberty AD ADOL; DUPI Chinese) and three DUPI combination </w:t>
      </w:r>
      <w:r w:rsidRPr="00FE714A">
        <w:lastRenderedPageBreak/>
        <w:t xml:space="preserve">therapy trials (CAFÉ; CHRONOS and JADE Compare). All DUPI trials </w:t>
      </w:r>
      <w:r w:rsidR="005467FD" w:rsidRPr="00FE714A">
        <w:t xml:space="preserve">except for DUPI Chinese </w:t>
      </w:r>
      <w:r w:rsidRPr="00FE714A">
        <w:t>have previously been considered by the PBAC</w:t>
      </w:r>
      <w:r w:rsidR="005467FD" w:rsidRPr="00FE714A">
        <w:t>.</w:t>
      </w:r>
      <w:r w:rsidRPr="00FE714A">
        <w:t xml:space="preserve"> </w:t>
      </w:r>
    </w:p>
    <w:p w14:paraId="2BE8CF51" w14:textId="55991ED5" w:rsidR="004779D9" w:rsidRPr="00FE714A" w:rsidRDefault="004779D9" w:rsidP="002E4F02">
      <w:pPr>
        <w:pStyle w:val="3-BodyText"/>
      </w:pPr>
      <w:bookmarkStart w:id="20" w:name="_Ref156380075"/>
      <w:r w:rsidRPr="00FE714A">
        <w:t xml:space="preserve">The included LEB and DUPI trials enrolled patients with moderate-to-severe AD, which was broader than the proposed PBS population of severe AD patients (defined as an EASI score ≥ 20 and an IGA PGA score of 4). Therefore, the submission was based on </w:t>
      </w:r>
      <w:r w:rsidRPr="00FE714A">
        <w:rPr>
          <w:i/>
          <w:iCs/>
        </w:rPr>
        <w:t>post-hoc</w:t>
      </w:r>
      <w:r w:rsidRPr="00FE714A">
        <w:t xml:space="preserve"> analyses of the severe AD subgroup of patients for the composite outcome only. For LEB, this was informed by </w:t>
      </w:r>
      <w:proofErr w:type="spellStart"/>
      <w:r w:rsidRPr="00FE714A">
        <w:t>ADvocate</w:t>
      </w:r>
      <w:proofErr w:type="spellEnd"/>
      <w:r w:rsidRPr="00FE714A">
        <w:t xml:space="preserve"> 1, </w:t>
      </w:r>
      <w:proofErr w:type="spellStart"/>
      <w:r w:rsidRPr="00FE714A">
        <w:t>ADvocate</w:t>
      </w:r>
      <w:proofErr w:type="spellEnd"/>
      <w:r w:rsidRPr="00FE714A">
        <w:t xml:space="preserve"> 2, and </w:t>
      </w:r>
      <w:proofErr w:type="spellStart"/>
      <w:r w:rsidRPr="00FE714A">
        <w:t>ADhere</w:t>
      </w:r>
      <w:proofErr w:type="spellEnd"/>
      <w:r w:rsidRPr="00FE714A">
        <w:t xml:space="preserve">, while for DUPI, this was informed by Study 1021, SOLO 1, SOLO 2, and </w:t>
      </w:r>
      <w:r w:rsidR="00481021" w:rsidRPr="00FE714A">
        <w:t xml:space="preserve">CHRONOS </w:t>
      </w:r>
      <w:r w:rsidRPr="00FE714A">
        <w:t>(as reported in the DUPI</w:t>
      </w:r>
      <w:r w:rsidRPr="00D200DF">
        <w:t xml:space="preserve"> </w:t>
      </w:r>
      <w:r w:rsidR="00C044EA" w:rsidRPr="00D200DF">
        <w:rPr>
          <w:iCs/>
        </w:rPr>
        <w:t>Public Summary Document</w:t>
      </w:r>
      <w:r w:rsidR="00C044EA" w:rsidRPr="00D200DF">
        <w:rPr>
          <w:i/>
        </w:rPr>
        <w:t xml:space="preserve"> </w:t>
      </w:r>
      <w:r w:rsidR="00C044EA">
        <w:t>(</w:t>
      </w:r>
      <w:r w:rsidRPr="00FE714A">
        <w:t>PSD</w:t>
      </w:r>
      <w:r w:rsidR="00C044EA">
        <w:t>)</w:t>
      </w:r>
      <w:r w:rsidRPr="00FE714A">
        <w:t xml:space="preserve">, March 2020 PBAC meeting). It was unclear why the submission only included </w:t>
      </w:r>
      <w:proofErr w:type="spellStart"/>
      <w:r w:rsidRPr="00FE714A">
        <w:t>ADvocate</w:t>
      </w:r>
      <w:proofErr w:type="spellEnd"/>
      <w:r w:rsidRPr="00FE714A">
        <w:t xml:space="preserve"> 1, </w:t>
      </w:r>
      <w:proofErr w:type="spellStart"/>
      <w:r w:rsidRPr="00FE714A">
        <w:t>ADvocate</w:t>
      </w:r>
      <w:proofErr w:type="spellEnd"/>
      <w:r w:rsidRPr="00FE714A">
        <w:t xml:space="preserve"> 2 and </w:t>
      </w:r>
      <w:proofErr w:type="spellStart"/>
      <w:r w:rsidRPr="00FE714A">
        <w:t>ADhere</w:t>
      </w:r>
      <w:proofErr w:type="spellEnd"/>
      <w:r w:rsidRPr="00FE714A">
        <w:t xml:space="preserve"> in their indirect treatment comparison for the severe AD subgroup even though data from other LEB trials (KGAF, </w:t>
      </w:r>
      <w:proofErr w:type="spellStart"/>
      <w:r w:rsidRPr="00FE714A">
        <w:t>ADhere</w:t>
      </w:r>
      <w:proofErr w:type="spellEnd"/>
      <w:r w:rsidRPr="00FE714A">
        <w:t xml:space="preserve"> J, and </w:t>
      </w:r>
      <w:proofErr w:type="spellStart"/>
      <w:r w:rsidRPr="00FE714A">
        <w:t>ADvantage</w:t>
      </w:r>
      <w:proofErr w:type="spellEnd"/>
      <w:r w:rsidRPr="00FE714A">
        <w:t>) appear to have been available, particularly when there was a lack of sample size in the LEB combination trial in severe AD, with only one combination therapy trial (</w:t>
      </w:r>
      <w:proofErr w:type="spellStart"/>
      <w:r w:rsidRPr="00FE714A">
        <w:t>ADhere</w:t>
      </w:r>
      <w:proofErr w:type="spellEnd"/>
      <w:r w:rsidRPr="00FE714A">
        <w:t xml:space="preserve">) included </w:t>
      </w:r>
      <w:r w:rsidR="000D2429" w:rsidRPr="00FE714A">
        <w:t xml:space="preserve">with small patient numbers in the severe AD subgroup </w:t>
      </w:r>
      <w:r w:rsidRPr="00FE714A">
        <w:t>(LEB=23; placebo=6).</w:t>
      </w:r>
      <w:bookmarkEnd w:id="20"/>
    </w:p>
    <w:p w14:paraId="1D661D9C" w14:textId="2B4D1862" w:rsidR="004779D9" w:rsidRPr="00FE714A" w:rsidRDefault="004779D9" w:rsidP="002E4F02">
      <w:pPr>
        <w:pStyle w:val="3-BodyText"/>
      </w:pPr>
      <w:r w:rsidRPr="00FE714A">
        <w:t xml:space="preserve">While the proposed restrictions were for patients 12 years of age or older, the submission did not present an indirect comparison of LEB vs DUPI specifically for adolescents (aged 12 to &lt;18 years) nor adults (aged ≥ 18 years) with severe AD. Among patients enrolled in </w:t>
      </w:r>
      <w:proofErr w:type="spellStart"/>
      <w:r w:rsidRPr="00FE714A">
        <w:t>ADvocate</w:t>
      </w:r>
      <w:proofErr w:type="spellEnd"/>
      <w:r w:rsidRPr="00FE714A">
        <w:t xml:space="preserve"> 1 and </w:t>
      </w:r>
      <w:proofErr w:type="spellStart"/>
      <w:r w:rsidRPr="00FE714A">
        <w:t>ADvocate</w:t>
      </w:r>
      <w:proofErr w:type="spellEnd"/>
      <w:r w:rsidRPr="00FE714A">
        <w:t xml:space="preserve"> 2, 10.7%-13.1% were adolescents between 12 to &lt;18 years old. </w:t>
      </w:r>
      <w:r w:rsidR="00FE714A" w:rsidRPr="00FE714A">
        <w:t>However,</w:t>
      </w:r>
      <w:r w:rsidRPr="00FE714A">
        <w:t xml:space="preserve"> </w:t>
      </w:r>
      <w:r w:rsidR="007813B4" w:rsidRPr="00FE714A">
        <w:t xml:space="preserve">in </w:t>
      </w:r>
      <w:r w:rsidRPr="00FE714A">
        <w:t xml:space="preserve">the submission, results from patients aged 12 years or older from LEB trials were compared to DUPI trials which only enrolled adults (≥18 years). This represented a potential transitivity issue as it was unclear if patient age could be a treatment effect modifier. This was also inconsistent with </w:t>
      </w:r>
      <w:r w:rsidR="00C661E8" w:rsidRPr="00FE714A">
        <w:t xml:space="preserve">the </w:t>
      </w:r>
      <w:r w:rsidRPr="00FE714A">
        <w:t>economic evaluation which included adolescent and adult population for DUPI.</w:t>
      </w:r>
    </w:p>
    <w:p w14:paraId="718AB293" w14:textId="77777777" w:rsidR="004779D9" w:rsidRPr="00FE714A" w:rsidRDefault="004779D9" w:rsidP="002E4F02">
      <w:pPr>
        <w:pStyle w:val="3-BodyText"/>
      </w:pPr>
      <w:r w:rsidRPr="00FE714A">
        <w:t xml:space="preserve">The comparative effectiveness and safety of LEB and DUPI in the whole trial populations (i.e., </w:t>
      </w:r>
      <w:proofErr w:type="gramStart"/>
      <w:r w:rsidRPr="00FE714A">
        <w:t>moderate</w:t>
      </w:r>
      <w:proofErr w:type="gramEnd"/>
      <w:r w:rsidRPr="00FE714A">
        <w:t xml:space="preserve"> and severe AD patients) for outcomes at Week 16 was used by the submission as supportive evidence.</w:t>
      </w:r>
    </w:p>
    <w:p w14:paraId="70F1A77D" w14:textId="7C27A59A" w:rsidR="004779D9" w:rsidRPr="00FE714A" w:rsidRDefault="004779D9" w:rsidP="002E4F02">
      <w:pPr>
        <w:pStyle w:val="3-BodyText"/>
      </w:pPr>
      <w:r w:rsidRPr="00FE714A">
        <w:rPr>
          <w:snapToGrid/>
        </w:rPr>
        <w:t xml:space="preserve">Details of the trials presented in the submission are provided in </w:t>
      </w:r>
      <w:r w:rsidR="00AC2635" w:rsidRPr="00FE714A">
        <w:rPr>
          <w:snapToGrid/>
        </w:rPr>
        <w:fldChar w:fldCharType="begin" w:fldLock="1"/>
      </w:r>
      <w:r w:rsidR="00AC2635" w:rsidRPr="00FE714A">
        <w:rPr>
          <w:snapToGrid/>
        </w:rPr>
        <w:instrText xml:space="preserve"> REF _Ref155664384 \h </w:instrText>
      </w:r>
      <w:r w:rsidR="00AC2635" w:rsidRPr="00FE714A">
        <w:rPr>
          <w:snapToGrid/>
        </w:rPr>
      </w:r>
      <w:r w:rsidR="00AC2635" w:rsidRPr="00FE714A">
        <w:rPr>
          <w:snapToGrid/>
        </w:rPr>
        <w:fldChar w:fldCharType="separate"/>
      </w:r>
      <w:r w:rsidR="00B3585E" w:rsidRPr="00FE714A">
        <w:t xml:space="preserve">Table </w:t>
      </w:r>
      <w:r w:rsidR="00B3585E">
        <w:rPr>
          <w:noProof/>
        </w:rPr>
        <w:t>2</w:t>
      </w:r>
      <w:r w:rsidR="00AC2635" w:rsidRPr="00FE714A">
        <w:rPr>
          <w:snapToGrid/>
        </w:rPr>
        <w:fldChar w:fldCharType="end"/>
      </w:r>
      <w:r w:rsidRPr="00FE714A">
        <w:rPr>
          <w:snapToGrid/>
        </w:rPr>
        <w:t xml:space="preserve">. </w:t>
      </w:r>
    </w:p>
    <w:p w14:paraId="01B34A72" w14:textId="7FBD3969" w:rsidR="004779D9" w:rsidRPr="00FE714A" w:rsidRDefault="004779D9" w:rsidP="002E4F02">
      <w:pPr>
        <w:pStyle w:val="TableFigureHeading"/>
        <w:rPr>
          <w:rStyle w:val="CommentReference"/>
          <w:b/>
          <w:szCs w:val="24"/>
        </w:rPr>
      </w:pPr>
      <w:bookmarkStart w:id="21" w:name="_Ref155664384"/>
      <w:r w:rsidRPr="00FE714A">
        <w:t xml:space="preserve">Table </w:t>
      </w:r>
      <w:r w:rsidR="008B26E3">
        <w:fldChar w:fldCharType="begin" w:fldLock="1"/>
      </w:r>
      <w:r w:rsidR="008B26E3">
        <w:instrText xml:space="preserve"> SEQ Table \* ARABIC </w:instrText>
      </w:r>
      <w:r w:rsidR="008B26E3">
        <w:fldChar w:fldCharType="separate"/>
      </w:r>
      <w:r w:rsidR="00B3585E">
        <w:rPr>
          <w:noProof/>
        </w:rPr>
        <w:t>2</w:t>
      </w:r>
      <w:r w:rsidR="008B26E3">
        <w:rPr>
          <w:noProof/>
        </w:rPr>
        <w:fldChar w:fldCharType="end"/>
      </w:r>
      <w:bookmarkEnd w:id="21"/>
      <w:r w:rsidRPr="00FE714A">
        <w:t>:</w:t>
      </w:r>
      <w:r w:rsidRPr="00FE714A">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4779D9" w:rsidRPr="00FE714A" w14:paraId="56B6B5A1" w14:textId="77777777" w:rsidTr="00E53739">
        <w:trPr>
          <w:tblHeader/>
        </w:trPr>
        <w:tc>
          <w:tcPr>
            <w:tcW w:w="796" w:type="pct"/>
            <w:vAlign w:val="center"/>
          </w:tcPr>
          <w:p w14:paraId="563B9768" w14:textId="77777777" w:rsidR="004779D9" w:rsidRPr="00FE714A" w:rsidRDefault="004779D9" w:rsidP="00E53739">
            <w:pPr>
              <w:pStyle w:val="In-tableHeading"/>
              <w:keepNext w:val="0"/>
              <w:rPr>
                <w:lang w:val="en-AU"/>
              </w:rPr>
            </w:pPr>
            <w:r w:rsidRPr="00FE714A">
              <w:rPr>
                <w:lang w:val="en-AU"/>
              </w:rPr>
              <w:t>Trial ID</w:t>
            </w:r>
          </w:p>
        </w:tc>
        <w:tc>
          <w:tcPr>
            <w:tcW w:w="3027" w:type="pct"/>
            <w:vAlign w:val="center"/>
          </w:tcPr>
          <w:p w14:paraId="472C6020" w14:textId="77777777" w:rsidR="004779D9" w:rsidRPr="00FE714A" w:rsidRDefault="004779D9" w:rsidP="00E53739">
            <w:pPr>
              <w:pStyle w:val="In-tableHeading"/>
              <w:keepNext w:val="0"/>
              <w:rPr>
                <w:lang w:val="en-AU"/>
              </w:rPr>
            </w:pPr>
            <w:r w:rsidRPr="00FE714A">
              <w:rPr>
                <w:lang w:val="en-AU"/>
              </w:rPr>
              <w:t>Protocol title/ Publication title</w:t>
            </w:r>
          </w:p>
        </w:tc>
        <w:tc>
          <w:tcPr>
            <w:tcW w:w="1177" w:type="pct"/>
            <w:vAlign w:val="center"/>
          </w:tcPr>
          <w:p w14:paraId="0C709953" w14:textId="77777777" w:rsidR="004779D9" w:rsidRPr="00FE714A" w:rsidRDefault="004779D9" w:rsidP="00E53739">
            <w:pPr>
              <w:pStyle w:val="In-tableHeading"/>
              <w:keepNext w:val="0"/>
              <w:rPr>
                <w:lang w:val="en-AU"/>
              </w:rPr>
            </w:pPr>
            <w:r w:rsidRPr="00FE714A">
              <w:rPr>
                <w:lang w:val="en-AU"/>
              </w:rPr>
              <w:t>Publication citation</w:t>
            </w:r>
          </w:p>
        </w:tc>
      </w:tr>
      <w:tr w:rsidR="004779D9" w:rsidRPr="00FE714A" w14:paraId="7BB8D4A7" w14:textId="77777777" w:rsidTr="00E53739">
        <w:tc>
          <w:tcPr>
            <w:tcW w:w="5000" w:type="pct"/>
            <w:gridSpan w:val="3"/>
            <w:tcBorders>
              <w:bottom w:val="nil"/>
            </w:tcBorders>
            <w:vAlign w:val="center"/>
          </w:tcPr>
          <w:p w14:paraId="3A62CF55" w14:textId="77777777" w:rsidR="004779D9" w:rsidRPr="00FE714A" w:rsidRDefault="004779D9" w:rsidP="00E53739">
            <w:pPr>
              <w:pStyle w:val="TableText0"/>
              <w:keepNext w:val="0"/>
              <w:rPr>
                <w:b/>
                <w:bCs w:val="0"/>
              </w:rPr>
            </w:pPr>
            <w:r w:rsidRPr="00FE714A">
              <w:rPr>
                <w:b/>
                <w:bCs w:val="0"/>
              </w:rPr>
              <w:t>Lebrikizumab trials</w:t>
            </w:r>
          </w:p>
        </w:tc>
      </w:tr>
      <w:tr w:rsidR="004779D9" w:rsidRPr="00FE714A" w14:paraId="1617B9AA" w14:textId="77777777" w:rsidTr="00E53739">
        <w:tc>
          <w:tcPr>
            <w:tcW w:w="796" w:type="pct"/>
            <w:vMerge w:val="restart"/>
            <w:vAlign w:val="center"/>
          </w:tcPr>
          <w:p w14:paraId="7CC316A1" w14:textId="77777777" w:rsidR="004779D9" w:rsidRPr="00FE714A" w:rsidRDefault="004779D9" w:rsidP="00E53739">
            <w:pPr>
              <w:pStyle w:val="TableText0"/>
              <w:keepNext w:val="0"/>
            </w:pPr>
            <w:r w:rsidRPr="00FE714A">
              <w:t>KGAF (NCT03443024)</w:t>
            </w:r>
          </w:p>
        </w:tc>
        <w:tc>
          <w:tcPr>
            <w:tcW w:w="3027" w:type="pct"/>
            <w:tcBorders>
              <w:bottom w:val="nil"/>
            </w:tcBorders>
            <w:vAlign w:val="center"/>
          </w:tcPr>
          <w:p w14:paraId="63482A61" w14:textId="77777777" w:rsidR="004779D9" w:rsidRPr="00FE714A" w:rsidRDefault="004779D9" w:rsidP="00E53739">
            <w:pPr>
              <w:pStyle w:val="TableText0"/>
              <w:keepNext w:val="0"/>
              <w:rPr>
                <w:szCs w:val="18"/>
              </w:rPr>
            </w:pPr>
            <w:r w:rsidRPr="00FE714A">
              <w:rPr>
                <w:szCs w:val="18"/>
              </w:rPr>
              <w:t>A randomised, Double Blind, Placebo Controlled, Dose ranging trial to evaluate the efficacy and safety of lebrikizumab in patients with moderate to severe atopic dermatitis.</w:t>
            </w:r>
          </w:p>
        </w:tc>
        <w:tc>
          <w:tcPr>
            <w:tcW w:w="1177" w:type="pct"/>
            <w:tcBorders>
              <w:bottom w:val="nil"/>
            </w:tcBorders>
            <w:vAlign w:val="center"/>
          </w:tcPr>
          <w:p w14:paraId="628EA9DF" w14:textId="77777777" w:rsidR="004779D9" w:rsidRPr="00FE714A" w:rsidRDefault="004779D9" w:rsidP="00E53739">
            <w:pPr>
              <w:pStyle w:val="TableText0"/>
              <w:keepNext w:val="0"/>
            </w:pPr>
            <w:r w:rsidRPr="00FE714A">
              <w:t>Clinical Study Report, 7 March 2018</w:t>
            </w:r>
          </w:p>
        </w:tc>
      </w:tr>
      <w:tr w:rsidR="004779D9" w:rsidRPr="00FE714A" w14:paraId="3DCE3288" w14:textId="77777777" w:rsidTr="00E53739">
        <w:tc>
          <w:tcPr>
            <w:tcW w:w="796" w:type="pct"/>
            <w:vMerge/>
            <w:vAlign w:val="center"/>
          </w:tcPr>
          <w:p w14:paraId="273A6695" w14:textId="77777777" w:rsidR="004779D9" w:rsidRPr="00FE714A" w:rsidRDefault="004779D9" w:rsidP="00E53739">
            <w:pPr>
              <w:pStyle w:val="TableText0"/>
              <w:keepNext w:val="0"/>
            </w:pPr>
          </w:p>
        </w:tc>
        <w:tc>
          <w:tcPr>
            <w:tcW w:w="3027" w:type="pct"/>
            <w:tcBorders>
              <w:top w:val="nil"/>
              <w:bottom w:val="nil"/>
            </w:tcBorders>
            <w:vAlign w:val="center"/>
          </w:tcPr>
          <w:p w14:paraId="067E21F9" w14:textId="77777777" w:rsidR="004779D9" w:rsidRPr="00FE714A" w:rsidRDefault="004779D9" w:rsidP="00E53739">
            <w:pPr>
              <w:pStyle w:val="TableText0"/>
              <w:keepNext w:val="0"/>
              <w:rPr>
                <w:szCs w:val="18"/>
              </w:rPr>
            </w:pPr>
            <w:r w:rsidRPr="00FE714A">
              <w:rPr>
                <w:szCs w:val="18"/>
              </w:rPr>
              <w:t>A randomised, Double Blind, Placebo Controlled, Dose ranging trial to evaluate the efficacy and safety of lebrikizumab in patients with moderate to severe atopic dermatitis.</w:t>
            </w:r>
          </w:p>
        </w:tc>
        <w:tc>
          <w:tcPr>
            <w:tcW w:w="1177" w:type="pct"/>
            <w:tcBorders>
              <w:top w:val="nil"/>
              <w:bottom w:val="nil"/>
            </w:tcBorders>
            <w:vAlign w:val="center"/>
          </w:tcPr>
          <w:p w14:paraId="2FE9F7A5" w14:textId="77777777" w:rsidR="004779D9" w:rsidRPr="00FE714A" w:rsidRDefault="004779D9" w:rsidP="00E53739">
            <w:pPr>
              <w:pStyle w:val="TableText0"/>
              <w:keepNext w:val="0"/>
              <w:rPr>
                <w:szCs w:val="18"/>
              </w:rPr>
            </w:pPr>
            <w:r w:rsidRPr="00FE714A">
              <w:rPr>
                <w:szCs w:val="18"/>
              </w:rPr>
              <w:t>Protocol, 29 January 2018, 7 March 2018 (Amendment B)</w:t>
            </w:r>
          </w:p>
        </w:tc>
      </w:tr>
      <w:tr w:rsidR="004779D9" w:rsidRPr="00FE714A" w14:paraId="5197EDF1" w14:textId="77777777" w:rsidTr="00E53739">
        <w:tc>
          <w:tcPr>
            <w:tcW w:w="796" w:type="pct"/>
            <w:vMerge/>
            <w:tcBorders>
              <w:bottom w:val="nil"/>
            </w:tcBorders>
            <w:vAlign w:val="center"/>
          </w:tcPr>
          <w:p w14:paraId="2A757116" w14:textId="77777777" w:rsidR="004779D9" w:rsidRPr="00FE714A" w:rsidRDefault="004779D9" w:rsidP="00E53739">
            <w:pPr>
              <w:pStyle w:val="TableText0"/>
              <w:keepNext w:val="0"/>
            </w:pPr>
          </w:p>
        </w:tc>
        <w:tc>
          <w:tcPr>
            <w:tcW w:w="3027" w:type="pct"/>
            <w:tcBorders>
              <w:top w:val="nil"/>
              <w:bottom w:val="nil"/>
            </w:tcBorders>
            <w:vAlign w:val="center"/>
          </w:tcPr>
          <w:p w14:paraId="76801F1F" w14:textId="61E8A44E" w:rsidR="004779D9" w:rsidRPr="00FE714A" w:rsidRDefault="004779D9" w:rsidP="00E53739">
            <w:pPr>
              <w:pStyle w:val="TableText0"/>
              <w:keepNext w:val="0"/>
              <w:rPr>
                <w:szCs w:val="18"/>
              </w:rPr>
            </w:pPr>
            <w:r w:rsidRPr="00FE714A">
              <w:rPr>
                <w:szCs w:val="18"/>
              </w:rPr>
              <w:t>Guttman-</w:t>
            </w:r>
            <w:proofErr w:type="spellStart"/>
            <w:r w:rsidRPr="00FE714A">
              <w:rPr>
                <w:szCs w:val="18"/>
              </w:rPr>
              <w:t>Yassky</w:t>
            </w:r>
            <w:proofErr w:type="spellEnd"/>
            <w:r w:rsidRPr="00FE714A">
              <w:rPr>
                <w:szCs w:val="18"/>
              </w:rPr>
              <w:t xml:space="preserve"> et al. Efficacy and Safety of Lebrikizumab, a High Affinity Interleukin 13 Inhibitor, in Adults with Moderate to Severe Atopic Dermatitis A Phase 2b Randomized Clinical Trial. </w:t>
            </w:r>
          </w:p>
        </w:tc>
        <w:tc>
          <w:tcPr>
            <w:tcW w:w="1177" w:type="pct"/>
            <w:tcBorders>
              <w:top w:val="nil"/>
              <w:bottom w:val="nil"/>
            </w:tcBorders>
            <w:vAlign w:val="center"/>
          </w:tcPr>
          <w:p w14:paraId="2C36E911" w14:textId="77777777" w:rsidR="004779D9" w:rsidRPr="00FE714A" w:rsidRDefault="004779D9" w:rsidP="00E53739">
            <w:pPr>
              <w:pStyle w:val="TableText0"/>
              <w:keepNext w:val="0"/>
              <w:rPr>
                <w:i/>
                <w:szCs w:val="18"/>
              </w:rPr>
            </w:pPr>
            <w:r w:rsidRPr="00FE714A">
              <w:rPr>
                <w:i/>
                <w:iCs/>
                <w:szCs w:val="18"/>
              </w:rPr>
              <w:t>JAMA Dermatol</w:t>
            </w:r>
            <w:r w:rsidRPr="00FE714A">
              <w:rPr>
                <w:szCs w:val="18"/>
              </w:rPr>
              <w:t xml:space="preserve"> 2020;156 (4): 411 420.</w:t>
            </w:r>
          </w:p>
        </w:tc>
      </w:tr>
      <w:tr w:rsidR="004779D9" w:rsidRPr="00FE714A" w14:paraId="209D7DCC" w14:textId="77777777" w:rsidTr="00E53739">
        <w:tc>
          <w:tcPr>
            <w:tcW w:w="796" w:type="pct"/>
            <w:vMerge w:val="restart"/>
            <w:vAlign w:val="center"/>
          </w:tcPr>
          <w:p w14:paraId="4C901C4E" w14:textId="77777777" w:rsidR="004779D9" w:rsidRPr="00FE714A" w:rsidRDefault="004779D9" w:rsidP="00E53739">
            <w:pPr>
              <w:pStyle w:val="TableText0"/>
              <w:keepNext w:val="0"/>
            </w:pPr>
            <w:proofErr w:type="spellStart"/>
            <w:r w:rsidRPr="00FE714A">
              <w:t>ADvocate</w:t>
            </w:r>
            <w:proofErr w:type="spellEnd"/>
            <w:r w:rsidRPr="00FE714A">
              <w:t xml:space="preserve"> 1 (NCT04146363)</w:t>
            </w:r>
          </w:p>
        </w:tc>
        <w:tc>
          <w:tcPr>
            <w:tcW w:w="3027" w:type="pct"/>
            <w:tcBorders>
              <w:bottom w:val="nil"/>
            </w:tcBorders>
            <w:vAlign w:val="center"/>
          </w:tcPr>
          <w:p w14:paraId="4F9AA970" w14:textId="77777777" w:rsidR="004779D9" w:rsidRPr="00FE714A" w:rsidRDefault="004779D9" w:rsidP="00E53739">
            <w:pPr>
              <w:pStyle w:val="TableText0"/>
              <w:keepNext w:val="0"/>
            </w:pPr>
            <w:r w:rsidRPr="00FE714A">
              <w:rPr>
                <w:szCs w:val="18"/>
              </w:rPr>
              <w:t>A randomised, double blind, placebo controlled trial to evaluate the efficacy and safety of lebrikizumab in patients with moderate to severe atopic dermatitis.</w:t>
            </w:r>
          </w:p>
        </w:tc>
        <w:tc>
          <w:tcPr>
            <w:tcW w:w="1177" w:type="pct"/>
            <w:tcBorders>
              <w:bottom w:val="nil"/>
            </w:tcBorders>
            <w:vAlign w:val="center"/>
          </w:tcPr>
          <w:p w14:paraId="7B630400" w14:textId="77777777" w:rsidR="004779D9" w:rsidRPr="00FE714A" w:rsidRDefault="004779D9" w:rsidP="00E53739">
            <w:pPr>
              <w:pStyle w:val="TableText0"/>
              <w:keepNext w:val="0"/>
            </w:pPr>
            <w:r w:rsidRPr="00FE714A">
              <w:t>Clinical Study Report, 20 May 2020</w:t>
            </w:r>
          </w:p>
        </w:tc>
      </w:tr>
      <w:tr w:rsidR="004779D9" w:rsidRPr="00FE714A" w14:paraId="6ED91895" w14:textId="77777777" w:rsidTr="00E53739">
        <w:tc>
          <w:tcPr>
            <w:tcW w:w="796" w:type="pct"/>
            <w:vMerge/>
            <w:vAlign w:val="center"/>
          </w:tcPr>
          <w:p w14:paraId="54EFB015" w14:textId="77777777" w:rsidR="004779D9" w:rsidRPr="00FE714A" w:rsidRDefault="004779D9" w:rsidP="00E53739">
            <w:pPr>
              <w:pStyle w:val="TableText0"/>
              <w:keepNext w:val="0"/>
            </w:pPr>
          </w:p>
        </w:tc>
        <w:tc>
          <w:tcPr>
            <w:tcW w:w="3027" w:type="pct"/>
            <w:tcBorders>
              <w:top w:val="nil"/>
              <w:bottom w:val="nil"/>
            </w:tcBorders>
            <w:vAlign w:val="center"/>
          </w:tcPr>
          <w:p w14:paraId="0A42FF95" w14:textId="77777777" w:rsidR="004779D9" w:rsidRPr="00FE714A" w:rsidRDefault="004779D9" w:rsidP="00E53739">
            <w:pPr>
              <w:pStyle w:val="TableText0"/>
              <w:keepNext w:val="0"/>
              <w:rPr>
                <w:szCs w:val="18"/>
              </w:rPr>
            </w:pPr>
            <w:r w:rsidRPr="00FE714A">
              <w:rPr>
                <w:szCs w:val="18"/>
              </w:rPr>
              <w:t>A randomised, double blind, placebo controlled trial to evaluate the efficacy and safety of lebrikizumab in patients with moderate to severe atopic dermatitis.</w:t>
            </w:r>
          </w:p>
        </w:tc>
        <w:tc>
          <w:tcPr>
            <w:tcW w:w="1177" w:type="pct"/>
            <w:tcBorders>
              <w:top w:val="nil"/>
              <w:bottom w:val="nil"/>
            </w:tcBorders>
            <w:vAlign w:val="center"/>
          </w:tcPr>
          <w:p w14:paraId="4753A476" w14:textId="77777777" w:rsidR="004779D9" w:rsidRPr="00FE714A" w:rsidRDefault="004779D9" w:rsidP="00E53739">
            <w:pPr>
              <w:pStyle w:val="TableText0"/>
              <w:keepNext w:val="0"/>
              <w:rPr>
                <w:iCs/>
              </w:rPr>
            </w:pPr>
            <w:r w:rsidRPr="00FE714A">
              <w:rPr>
                <w:iCs/>
                <w:szCs w:val="18"/>
              </w:rPr>
              <w:t>Protocol, 16 October 2019, 20 May 2020 (Amendment B)</w:t>
            </w:r>
          </w:p>
        </w:tc>
      </w:tr>
      <w:tr w:rsidR="004779D9" w:rsidRPr="00FE714A" w14:paraId="64F9B636" w14:textId="77777777" w:rsidTr="00E53739">
        <w:tc>
          <w:tcPr>
            <w:tcW w:w="796" w:type="pct"/>
            <w:vMerge/>
            <w:tcBorders>
              <w:bottom w:val="nil"/>
            </w:tcBorders>
            <w:vAlign w:val="center"/>
          </w:tcPr>
          <w:p w14:paraId="1991048B" w14:textId="77777777" w:rsidR="004779D9" w:rsidRPr="00FE714A" w:rsidRDefault="004779D9" w:rsidP="00E53739">
            <w:pPr>
              <w:pStyle w:val="TableText0"/>
              <w:keepNext w:val="0"/>
            </w:pPr>
          </w:p>
        </w:tc>
        <w:tc>
          <w:tcPr>
            <w:tcW w:w="3027" w:type="pct"/>
            <w:tcBorders>
              <w:top w:val="nil"/>
              <w:bottom w:val="nil"/>
            </w:tcBorders>
            <w:vAlign w:val="center"/>
          </w:tcPr>
          <w:p w14:paraId="6B67F813" w14:textId="34F431CF" w:rsidR="004779D9" w:rsidRPr="00FE714A" w:rsidRDefault="004779D9" w:rsidP="00E53739">
            <w:pPr>
              <w:pStyle w:val="TableText0"/>
              <w:keepNext w:val="0"/>
              <w:rPr>
                <w:szCs w:val="18"/>
              </w:rPr>
            </w:pPr>
            <w:r w:rsidRPr="00FE714A">
              <w:rPr>
                <w:szCs w:val="18"/>
              </w:rPr>
              <w:t xml:space="preserve">Silverberg et al. (2023). Two Phase 3 Trials of Lebrikizumab for Moderate to Severe Atopic Dermatitis. </w:t>
            </w:r>
          </w:p>
        </w:tc>
        <w:tc>
          <w:tcPr>
            <w:tcW w:w="1177" w:type="pct"/>
            <w:tcBorders>
              <w:top w:val="nil"/>
              <w:bottom w:val="nil"/>
            </w:tcBorders>
            <w:vAlign w:val="center"/>
          </w:tcPr>
          <w:p w14:paraId="0EA4D7DB" w14:textId="77777777" w:rsidR="004779D9" w:rsidRPr="00FE714A" w:rsidRDefault="004779D9" w:rsidP="00E53739">
            <w:pPr>
              <w:pStyle w:val="TableText0"/>
              <w:keepNext w:val="0"/>
            </w:pPr>
            <w:r w:rsidRPr="00FE714A">
              <w:rPr>
                <w:i/>
                <w:szCs w:val="18"/>
              </w:rPr>
              <w:t>N Engl Med</w:t>
            </w:r>
            <w:r w:rsidRPr="00FE714A">
              <w:rPr>
                <w:iCs/>
                <w:szCs w:val="18"/>
              </w:rPr>
              <w:t xml:space="preserve"> 2023; 388 (12): 1080 1091.</w:t>
            </w:r>
          </w:p>
        </w:tc>
      </w:tr>
      <w:tr w:rsidR="004779D9" w:rsidRPr="00FE714A" w14:paraId="071C9A46" w14:textId="77777777" w:rsidTr="00E53739">
        <w:tc>
          <w:tcPr>
            <w:tcW w:w="796" w:type="pct"/>
            <w:vMerge w:val="restart"/>
            <w:vAlign w:val="center"/>
          </w:tcPr>
          <w:p w14:paraId="5AD024A9" w14:textId="77777777" w:rsidR="004779D9" w:rsidRPr="00FE714A" w:rsidRDefault="004779D9" w:rsidP="00E53739">
            <w:pPr>
              <w:pStyle w:val="TableText0"/>
              <w:keepNext w:val="0"/>
            </w:pPr>
            <w:proofErr w:type="spellStart"/>
            <w:r w:rsidRPr="00FE714A">
              <w:t>ADvocate</w:t>
            </w:r>
            <w:proofErr w:type="spellEnd"/>
            <w:r w:rsidRPr="00FE714A">
              <w:t xml:space="preserve"> 2 (NCT04178967)</w:t>
            </w:r>
          </w:p>
        </w:tc>
        <w:tc>
          <w:tcPr>
            <w:tcW w:w="3027" w:type="pct"/>
            <w:tcBorders>
              <w:bottom w:val="nil"/>
            </w:tcBorders>
            <w:vAlign w:val="center"/>
          </w:tcPr>
          <w:p w14:paraId="7E1B4893" w14:textId="77777777" w:rsidR="004779D9" w:rsidRPr="00FE714A" w:rsidRDefault="004779D9" w:rsidP="00E53739">
            <w:pPr>
              <w:pStyle w:val="TableText0"/>
              <w:keepNext w:val="0"/>
            </w:pPr>
            <w:r w:rsidRPr="00FE714A">
              <w:rPr>
                <w:szCs w:val="18"/>
              </w:rPr>
              <w:t>A randomised, double blind, placebo controlled trial to evaluate the efficacy and safety of lebrikizumab in patients with moderate to severe atopic dermatitis.</w:t>
            </w:r>
          </w:p>
        </w:tc>
        <w:tc>
          <w:tcPr>
            <w:tcW w:w="1177" w:type="pct"/>
            <w:tcBorders>
              <w:bottom w:val="nil"/>
            </w:tcBorders>
            <w:vAlign w:val="center"/>
          </w:tcPr>
          <w:p w14:paraId="77BC1FCB" w14:textId="77777777" w:rsidR="004779D9" w:rsidRPr="00FE714A" w:rsidRDefault="004779D9" w:rsidP="00E53739">
            <w:pPr>
              <w:pStyle w:val="TableText0"/>
              <w:keepNext w:val="0"/>
            </w:pPr>
            <w:r w:rsidRPr="00FE714A">
              <w:t>Clinical Study Report, 20 May 2020</w:t>
            </w:r>
          </w:p>
        </w:tc>
      </w:tr>
      <w:tr w:rsidR="004779D9" w:rsidRPr="00FE714A" w14:paraId="76ECC642" w14:textId="77777777" w:rsidTr="00E53739">
        <w:tc>
          <w:tcPr>
            <w:tcW w:w="796" w:type="pct"/>
            <w:vMerge/>
            <w:vAlign w:val="center"/>
          </w:tcPr>
          <w:p w14:paraId="6F5715B7" w14:textId="77777777" w:rsidR="004779D9" w:rsidRPr="00FE714A" w:rsidRDefault="004779D9" w:rsidP="00E53739">
            <w:pPr>
              <w:pStyle w:val="TableText0"/>
              <w:keepNext w:val="0"/>
            </w:pPr>
          </w:p>
        </w:tc>
        <w:tc>
          <w:tcPr>
            <w:tcW w:w="3027" w:type="pct"/>
            <w:tcBorders>
              <w:top w:val="nil"/>
              <w:bottom w:val="nil"/>
            </w:tcBorders>
            <w:vAlign w:val="center"/>
          </w:tcPr>
          <w:p w14:paraId="7AE906B6" w14:textId="77777777" w:rsidR="004779D9" w:rsidRPr="00FE714A" w:rsidRDefault="004779D9" w:rsidP="00E53739">
            <w:pPr>
              <w:pStyle w:val="TableText0"/>
              <w:keepNext w:val="0"/>
              <w:rPr>
                <w:szCs w:val="18"/>
              </w:rPr>
            </w:pPr>
            <w:r w:rsidRPr="00FE714A">
              <w:rPr>
                <w:szCs w:val="18"/>
              </w:rPr>
              <w:t>A randomised, double blind, placebo controlled trial to evaluate the efficacy and safety of lebrikizumab in patients with moderate to severe atopic dermatitis.</w:t>
            </w:r>
          </w:p>
        </w:tc>
        <w:tc>
          <w:tcPr>
            <w:tcW w:w="1177" w:type="pct"/>
            <w:tcBorders>
              <w:top w:val="nil"/>
              <w:bottom w:val="nil"/>
            </w:tcBorders>
            <w:vAlign w:val="center"/>
          </w:tcPr>
          <w:p w14:paraId="58B3706C" w14:textId="77777777" w:rsidR="004779D9" w:rsidRPr="00FE714A" w:rsidRDefault="004779D9" w:rsidP="00E53739">
            <w:pPr>
              <w:pStyle w:val="TableText0"/>
              <w:keepNext w:val="0"/>
              <w:rPr>
                <w:iCs/>
              </w:rPr>
            </w:pPr>
            <w:r w:rsidRPr="00FE714A">
              <w:rPr>
                <w:iCs/>
                <w:szCs w:val="18"/>
              </w:rPr>
              <w:t>Protocol, 16 October 2019, 20 May 2020 (Amendment B).</w:t>
            </w:r>
          </w:p>
        </w:tc>
      </w:tr>
      <w:tr w:rsidR="004779D9" w:rsidRPr="00FE714A" w14:paraId="5511D0CE" w14:textId="77777777" w:rsidTr="00E53739">
        <w:tc>
          <w:tcPr>
            <w:tcW w:w="796" w:type="pct"/>
            <w:vMerge/>
            <w:tcBorders>
              <w:bottom w:val="single" w:sz="4" w:space="0" w:color="auto"/>
            </w:tcBorders>
            <w:vAlign w:val="center"/>
          </w:tcPr>
          <w:p w14:paraId="747EC8CF" w14:textId="77777777" w:rsidR="004779D9" w:rsidRPr="00FE714A" w:rsidRDefault="004779D9" w:rsidP="00E53739">
            <w:pPr>
              <w:pStyle w:val="TableText0"/>
              <w:keepNext w:val="0"/>
            </w:pPr>
          </w:p>
        </w:tc>
        <w:tc>
          <w:tcPr>
            <w:tcW w:w="3027" w:type="pct"/>
            <w:tcBorders>
              <w:top w:val="nil"/>
              <w:bottom w:val="single" w:sz="4" w:space="0" w:color="auto"/>
            </w:tcBorders>
            <w:vAlign w:val="center"/>
          </w:tcPr>
          <w:p w14:paraId="3EEAB0B3" w14:textId="17279424" w:rsidR="004779D9" w:rsidRPr="00FE714A" w:rsidRDefault="004779D9" w:rsidP="00E53739">
            <w:pPr>
              <w:pStyle w:val="TableText0"/>
              <w:keepNext w:val="0"/>
              <w:rPr>
                <w:szCs w:val="18"/>
              </w:rPr>
            </w:pPr>
            <w:r w:rsidRPr="00FE714A">
              <w:rPr>
                <w:szCs w:val="18"/>
              </w:rPr>
              <w:t xml:space="preserve">Silverberg et al. (2023). Two Phase 3 Trials of Lebrikizumab for Moderate to Severe Atopic Dermatitis. </w:t>
            </w:r>
          </w:p>
        </w:tc>
        <w:tc>
          <w:tcPr>
            <w:tcW w:w="1177" w:type="pct"/>
            <w:tcBorders>
              <w:top w:val="nil"/>
              <w:bottom w:val="single" w:sz="4" w:space="0" w:color="auto"/>
            </w:tcBorders>
            <w:vAlign w:val="center"/>
          </w:tcPr>
          <w:p w14:paraId="4C899479" w14:textId="77777777" w:rsidR="004779D9" w:rsidRPr="00FE714A" w:rsidRDefault="004779D9" w:rsidP="00E53739">
            <w:pPr>
              <w:pStyle w:val="TableText0"/>
              <w:keepNext w:val="0"/>
              <w:rPr>
                <w:iCs/>
                <w:szCs w:val="18"/>
              </w:rPr>
            </w:pPr>
            <w:r w:rsidRPr="00FE714A">
              <w:rPr>
                <w:i/>
                <w:szCs w:val="18"/>
              </w:rPr>
              <w:t>N Engl Med</w:t>
            </w:r>
            <w:r w:rsidRPr="00FE714A">
              <w:rPr>
                <w:iCs/>
                <w:szCs w:val="18"/>
              </w:rPr>
              <w:t xml:space="preserve"> 2023; 388 (12): 1080 1091.</w:t>
            </w:r>
          </w:p>
        </w:tc>
      </w:tr>
      <w:tr w:rsidR="004779D9" w:rsidRPr="00FE714A" w14:paraId="181BF102" w14:textId="77777777" w:rsidTr="00E53739">
        <w:tc>
          <w:tcPr>
            <w:tcW w:w="796" w:type="pct"/>
            <w:vMerge w:val="restart"/>
            <w:tcBorders>
              <w:top w:val="single" w:sz="4" w:space="0" w:color="auto"/>
            </w:tcBorders>
            <w:vAlign w:val="center"/>
          </w:tcPr>
          <w:p w14:paraId="2784496D" w14:textId="77777777" w:rsidR="004779D9" w:rsidRPr="00FE714A" w:rsidRDefault="004779D9" w:rsidP="00E53739">
            <w:pPr>
              <w:pStyle w:val="TableText0"/>
              <w:keepNext w:val="0"/>
            </w:pPr>
            <w:proofErr w:type="spellStart"/>
            <w:r w:rsidRPr="00FE714A">
              <w:t>ADopt</w:t>
            </w:r>
            <w:proofErr w:type="spellEnd"/>
            <w:r w:rsidRPr="00FE714A">
              <w:t xml:space="preserve"> VA (NCT04626297)</w:t>
            </w:r>
          </w:p>
        </w:tc>
        <w:tc>
          <w:tcPr>
            <w:tcW w:w="3027" w:type="pct"/>
            <w:tcBorders>
              <w:top w:val="single" w:sz="4" w:space="0" w:color="auto"/>
              <w:bottom w:val="nil"/>
            </w:tcBorders>
            <w:vAlign w:val="center"/>
          </w:tcPr>
          <w:p w14:paraId="1901A53B" w14:textId="77777777" w:rsidR="004779D9" w:rsidRPr="00FE714A" w:rsidRDefault="004779D9" w:rsidP="00E53739">
            <w:pPr>
              <w:pStyle w:val="TableText0"/>
              <w:keepNext w:val="0"/>
              <w:rPr>
                <w:szCs w:val="18"/>
              </w:rPr>
            </w:pPr>
            <w:r w:rsidRPr="00FE714A">
              <w:rPr>
                <w:szCs w:val="18"/>
              </w:rPr>
              <w:t>A Phase 3, 16 week, Randomised, Double Blind, Placebo Controlled, Parallel Group Study to assess the impact of lebrikizumab on vaccine responses in adult patients with moderate to severe atopic dermatitis.</w:t>
            </w:r>
          </w:p>
        </w:tc>
        <w:tc>
          <w:tcPr>
            <w:tcW w:w="1177" w:type="pct"/>
            <w:tcBorders>
              <w:top w:val="single" w:sz="4" w:space="0" w:color="auto"/>
              <w:bottom w:val="nil"/>
            </w:tcBorders>
            <w:vAlign w:val="center"/>
          </w:tcPr>
          <w:p w14:paraId="6F2C789C" w14:textId="77777777" w:rsidR="004779D9" w:rsidRPr="00FE714A" w:rsidRDefault="004779D9" w:rsidP="00E53739">
            <w:pPr>
              <w:pStyle w:val="TableText0"/>
              <w:keepNext w:val="0"/>
              <w:rPr>
                <w:iCs/>
                <w:szCs w:val="18"/>
              </w:rPr>
            </w:pPr>
            <w:r w:rsidRPr="00FE714A">
              <w:rPr>
                <w:iCs/>
                <w:szCs w:val="18"/>
              </w:rPr>
              <w:t xml:space="preserve">Clinical Study Report, 5 August 2020 </w:t>
            </w:r>
          </w:p>
        </w:tc>
      </w:tr>
      <w:tr w:rsidR="004779D9" w:rsidRPr="00FE714A" w14:paraId="6AECFF3C" w14:textId="77777777" w:rsidTr="00E53739">
        <w:tc>
          <w:tcPr>
            <w:tcW w:w="796" w:type="pct"/>
            <w:vMerge/>
            <w:tcBorders>
              <w:bottom w:val="single" w:sz="4" w:space="0" w:color="auto"/>
            </w:tcBorders>
            <w:vAlign w:val="center"/>
          </w:tcPr>
          <w:p w14:paraId="02F9A8C8" w14:textId="77777777" w:rsidR="004779D9" w:rsidRPr="00FE714A" w:rsidRDefault="004779D9" w:rsidP="00E53739">
            <w:pPr>
              <w:pStyle w:val="TableText0"/>
              <w:keepNext w:val="0"/>
            </w:pPr>
          </w:p>
        </w:tc>
        <w:tc>
          <w:tcPr>
            <w:tcW w:w="3027" w:type="pct"/>
            <w:tcBorders>
              <w:top w:val="nil"/>
              <w:bottom w:val="single" w:sz="4" w:space="0" w:color="auto"/>
            </w:tcBorders>
            <w:vAlign w:val="center"/>
          </w:tcPr>
          <w:p w14:paraId="3ECCA5F9" w14:textId="77777777" w:rsidR="004779D9" w:rsidRPr="00FE714A" w:rsidRDefault="004779D9" w:rsidP="00E53739">
            <w:pPr>
              <w:pStyle w:val="TableText0"/>
              <w:keepNext w:val="0"/>
              <w:rPr>
                <w:szCs w:val="18"/>
              </w:rPr>
            </w:pPr>
            <w:r w:rsidRPr="00FE714A">
              <w:rPr>
                <w:szCs w:val="18"/>
              </w:rPr>
              <w:t>A Phase 3, 16 week, Randomised, Double Blind, Placebo Controlled, Parallel Group Study to assess the impact of lebrikizumab on vaccine responses in adult patients with moderate to severe atopic dermatitis.</w:t>
            </w:r>
          </w:p>
        </w:tc>
        <w:tc>
          <w:tcPr>
            <w:tcW w:w="1177" w:type="pct"/>
            <w:tcBorders>
              <w:top w:val="nil"/>
              <w:bottom w:val="single" w:sz="4" w:space="0" w:color="auto"/>
            </w:tcBorders>
            <w:vAlign w:val="center"/>
          </w:tcPr>
          <w:p w14:paraId="4C080678" w14:textId="77777777" w:rsidR="004779D9" w:rsidRPr="00FE714A" w:rsidRDefault="004779D9" w:rsidP="00E53739">
            <w:pPr>
              <w:pStyle w:val="TableText0"/>
              <w:keepNext w:val="0"/>
              <w:rPr>
                <w:iCs/>
                <w:szCs w:val="18"/>
              </w:rPr>
            </w:pPr>
            <w:r w:rsidRPr="00FE714A">
              <w:rPr>
                <w:iCs/>
                <w:szCs w:val="18"/>
              </w:rPr>
              <w:t xml:space="preserve">Protocol, 5 August 2020 </w:t>
            </w:r>
          </w:p>
        </w:tc>
      </w:tr>
      <w:tr w:rsidR="004779D9" w:rsidRPr="00FE714A" w14:paraId="3EF37C70" w14:textId="77777777" w:rsidTr="00E53739">
        <w:tc>
          <w:tcPr>
            <w:tcW w:w="796" w:type="pct"/>
            <w:vMerge w:val="restart"/>
            <w:tcBorders>
              <w:top w:val="single" w:sz="4" w:space="0" w:color="auto"/>
            </w:tcBorders>
            <w:vAlign w:val="center"/>
          </w:tcPr>
          <w:p w14:paraId="2108923E" w14:textId="77777777" w:rsidR="004779D9" w:rsidRPr="00FE714A" w:rsidRDefault="004779D9" w:rsidP="00E53739">
            <w:pPr>
              <w:pStyle w:val="TableText0"/>
              <w:keepNext w:val="0"/>
            </w:pPr>
            <w:proofErr w:type="spellStart"/>
            <w:r w:rsidRPr="00FE714A">
              <w:t>ADhere</w:t>
            </w:r>
            <w:proofErr w:type="spellEnd"/>
            <w:r w:rsidRPr="00FE714A">
              <w:t xml:space="preserve"> (NCT04250337)</w:t>
            </w:r>
          </w:p>
        </w:tc>
        <w:tc>
          <w:tcPr>
            <w:tcW w:w="3027" w:type="pct"/>
            <w:tcBorders>
              <w:top w:val="single" w:sz="4" w:space="0" w:color="auto"/>
              <w:bottom w:val="nil"/>
            </w:tcBorders>
            <w:vAlign w:val="center"/>
          </w:tcPr>
          <w:p w14:paraId="60DF084C" w14:textId="77777777" w:rsidR="004779D9" w:rsidRPr="00FE714A" w:rsidRDefault="004779D9" w:rsidP="00E53739">
            <w:pPr>
              <w:pStyle w:val="TableText0"/>
              <w:keepNext w:val="0"/>
              <w:rPr>
                <w:szCs w:val="18"/>
              </w:rPr>
            </w:pPr>
            <w:r w:rsidRPr="00FE714A">
              <w:rPr>
                <w:szCs w:val="18"/>
              </w:rPr>
              <w:t>A Randomised, double blind, placebo controlled trial to evaluate the efficacy and safety of lebrikizumab when used in combination with topical corticosteroid treatment in patients with moderate to severe atopic dermatitis.</w:t>
            </w:r>
          </w:p>
        </w:tc>
        <w:tc>
          <w:tcPr>
            <w:tcW w:w="1177" w:type="pct"/>
            <w:tcBorders>
              <w:top w:val="single" w:sz="4" w:space="0" w:color="auto"/>
              <w:bottom w:val="nil"/>
            </w:tcBorders>
            <w:vAlign w:val="center"/>
          </w:tcPr>
          <w:p w14:paraId="674E3927" w14:textId="77777777" w:rsidR="004779D9" w:rsidRPr="00FE714A" w:rsidRDefault="004779D9" w:rsidP="00E53739">
            <w:pPr>
              <w:pStyle w:val="TableText0"/>
              <w:keepNext w:val="0"/>
              <w:rPr>
                <w:iCs/>
                <w:szCs w:val="18"/>
              </w:rPr>
            </w:pPr>
            <w:r w:rsidRPr="00FE714A">
              <w:rPr>
                <w:iCs/>
                <w:szCs w:val="18"/>
              </w:rPr>
              <w:t>Clinical Study Report,</w:t>
            </w:r>
            <w:r w:rsidRPr="00FE714A">
              <w:rPr>
                <w:iCs/>
              </w:rPr>
              <w:t xml:space="preserve"> </w:t>
            </w:r>
            <w:r w:rsidRPr="00FE714A">
              <w:rPr>
                <w:iCs/>
                <w:szCs w:val="18"/>
              </w:rPr>
              <w:t xml:space="preserve">13 May 2020 </w:t>
            </w:r>
          </w:p>
        </w:tc>
      </w:tr>
      <w:tr w:rsidR="004779D9" w:rsidRPr="00FE714A" w14:paraId="6C6DD0DC" w14:textId="77777777" w:rsidTr="00E53739">
        <w:tc>
          <w:tcPr>
            <w:tcW w:w="796" w:type="pct"/>
            <w:vMerge/>
            <w:vAlign w:val="center"/>
          </w:tcPr>
          <w:p w14:paraId="1DF9A46A" w14:textId="77777777" w:rsidR="004779D9" w:rsidRPr="00FE714A" w:rsidRDefault="004779D9" w:rsidP="00E53739">
            <w:pPr>
              <w:pStyle w:val="TableText0"/>
              <w:keepNext w:val="0"/>
            </w:pPr>
          </w:p>
        </w:tc>
        <w:tc>
          <w:tcPr>
            <w:tcW w:w="3027" w:type="pct"/>
            <w:tcBorders>
              <w:top w:val="nil"/>
              <w:bottom w:val="nil"/>
            </w:tcBorders>
            <w:vAlign w:val="center"/>
          </w:tcPr>
          <w:p w14:paraId="0D25342D" w14:textId="77777777" w:rsidR="004779D9" w:rsidRPr="00FE714A" w:rsidRDefault="004779D9" w:rsidP="00E53739">
            <w:pPr>
              <w:pStyle w:val="TableText0"/>
              <w:keepNext w:val="0"/>
              <w:rPr>
                <w:szCs w:val="18"/>
              </w:rPr>
            </w:pPr>
            <w:r w:rsidRPr="00FE714A">
              <w:rPr>
                <w:szCs w:val="18"/>
              </w:rPr>
              <w:t>A Randomised, double blind, placebo controlled trial to evaluate the efficacy and safety of lebrikizumab when used in combination with topical corticosteroid treatment in patients with moderate to severe atopic dermatitis.</w:t>
            </w:r>
          </w:p>
        </w:tc>
        <w:tc>
          <w:tcPr>
            <w:tcW w:w="1177" w:type="pct"/>
            <w:tcBorders>
              <w:top w:val="nil"/>
              <w:bottom w:val="nil"/>
            </w:tcBorders>
            <w:vAlign w:val="center"/>
          </w:tcPr>
          <w:p w14:paraId="674F68A1" w14:textId="77777777" w:rsidR="004779D9" w:rsidRPr="00FE714A" w:rsidRDefault="004779D9" w:rsidP="00E53739">
            <w:pPr>
              <w:pStyle w:val="TableText0"/>
              <w:keepNext w:val="0"/>
              <w:rPr>
                <w:iCs/>
                <w:szCs w:val="18"/>
              </w:rPr>
            </w:pPr>
            <w:r w:rsidRPr="00FE714A">
              <w:rPr>
                <w:iCs/>
                <w:szCs w:val="18"/>
              </w:rPr>
              <w:t>Protocol, 26 November 2019, 13 May 2020 (Amendment A)</w:t>
            </w:r>
          </w:p>
        </w:tc>
      </w:tr>
      <w:tr w:rsidR="004779D9" w:rsidRPr="00FE714A" w14:paraId="2982F6DD" w14:textId="77777777" w:rsidTr="00E53739">
        <w:tc>
          <w:tcPr>
            <w:tcW w:w="796" w:type="pct"/>
            <w:vMerge/>
            <w:tcBorders>
              <w:bottom w:val="single" w:sz="4" w:space="0" w:color="auto"/>
            </w:tcBorders>
            <w:vAlign w:val="center"/>
          </w:tcPr>
          <w:p w14:paraId="4BF28919" w14:textId="77777777" w:rsidR="004779D9" w:rsidRPr="00FE714A" w:rsidRDefault="004779D9" w:rsidP="00E53739">
            <w:pPr>
              <w:pStyle w:val="TableText0"/>
              <w:keepNext w:val="0"/>
            </w:pPr>
          </w:p>
        </w:tc>
        <w:tc>
          <w:tcPr>
            <w:tcW w:w="3027" w:type="pct"/>
            <w:tcBorders>
              <w:top w:val="nil"/>
              <w:bottom w:val="single" w:sz="4" w:space="0" w:color="auto"/>
            </w:tcBorders>
            <w:vAlign w:val="center"/>
          </w:tcPr>
          <w:p w14:paraId="3282639E" w14:textId="77777777" w:rsidR="004779D9" w:rsidRPr="00FE714A" w:rsidRDefault="004779D9" w:rsidP="00E53739">
            <w:pPr>
              <w:pStyle w:val="TableText0"/>
              <w:keepNext w:val="0"/>
              <w:rPr>
                <w:szCs w:val="18"/>
              </w:rPr>
            </w:pPr>
            <w:r w:rsidRPr="00FE714A">
              <w:rPr>
                <w:szCs w:val="18"/>
              </w:rPr>
              <w:t>Simpson et al. (2023). Efficacy and Safety of Lebrikizumab in Combination with Topical Corticosteroids in Adolescents and Adults with Moderate to Severe Atopic Dermatitis A Randomized Clinical Trial (</w:t>
            </w:r>
            <w:proofErr w:type="spellStart"/>
            <w:r w:rsidRPr="00FE714A">
              <w:rPr>
                <w:szCs w:val="18"/>
              </w:rPr>
              <w:t>ADhere</w:t>
            </w:r>
            <w:proofErr w:type="spellEnd"/>
            <w:r w:rsidRPr="00FE714A">
              <w:rPr>
                <w:szCs w:val="18"/>
              </w:rPr>
              <w:t>)</w:t>
            </w:r>
          </w:p>
        </w:tc>
        <w:tc>
          <w:tcPr>
            <w:tcW w:w="1177" w:type="pct"/>
            <w:tcBorders>
              <w:top w:val="nil"/>
              <w:bottom w:val="single" w:sz="4" w:space="0" w:color="auto"/>
            </w:tcBorders>
            <w:vAlign w:val="center"/>
          </w:tcPr>
          <w:p w14:paraId="4F346E94" w14:textId="77777777" w:rsidR="004779D9" w:rsidRPr="00FE714A" w:rsidRDefault="004779D9" w:rsidP="00E53739">
            <w:pPr>
              <w:pStyle w:val="TableText0"/>
              <w:keepNext w:val="0"/>
              <w:rPr>
                <w:i/>
                <w:szCs w:val="18"/>
              </w:rPr>
            </w:pPr>
            <w:r w:rsidRPr="00FE714A">
              <w:rPr>
                <w:i/>
                <w:szCs w:val="18"/>
              </w:rPr>
              <w:t>JAMA Dermatol</w:t>
            </w:r>
            <w:r w:rsidRPr="00FE714A">
              <w:rPr>
                <w:iCs/>
                <w:szCs w:val="18"/>
              </w:rPr>
              <w:t xml:space="preserve"> 2023;159 (2):182 191.</w:t>
            </w:r>
          </w:p>
        </w:tc>
      </w:tr>
      <w:tr w:rsidR="004779D9" w:rsidRPr="00FE714A" w14:paraId="6CA30007" w14:textId="77777777" w:rsidTr="00E53739">
        <w:tc>
          <w:tcPr>
            <w:tcW w:w="796" w:type="pct"/>
            <w:tcBorders>
              <w:top w:val="single" w:sz="4" w:space="0" w:color="auto"/>
              <w:bottom w:val="nil"/>
            </w:tcBorders>
            <w:vAlign w:val="center"/>
          </w:tcPr>
          <w:p w14:paraId="2045409F" w14:textId="77777777" w:rsidR="004779D9" w:rsidRPr="00FE714A" w:rsidRDefault="004779D9" w:rsidP="00E53739">
            <w:pPr>
              <w:pStyle w:val="TableText0"/>
              <w:keepNext w:val="0"/>
            </w:pPr>
            <w:proofErr w:type="spellStart"/>
            <w:r w:rsidRPr="00FE714A">
              <w:t>ADhere</w:t>
            </w:r>
            <w:proofErr w:type="spellEnd"/>
            <w:r w:rsidRPr="00FE714A">
              <w:t xml:space="preserve"> J (NCT0470314)</w:t>
            </w:r>
          </w:p>
        </w:tc>
        <w:tc>
          <w:tcPr>
            <w:tcW w:w="3027" w:type="pct"/>
            <w:tcBorders>
              <w:top w:val="single" w:sz="4" w:space="0" w:color="auto"/>
              <w:bottom w:val="nil"/>
            </w:tcBorders>
            <w:vAlign w:val="center"/>
          </w:tcPr>
          <w:p w14:paraId="1BCCE06A" w14:textId="77777777" w:rsidR="004779D9" w:rsidRPr="00FE714A" w:rsidRDefault="004779D9" w:rsidP="00E53739">
            <w:pPr>
              <w:pStyle w:val="TableText0"/>
              <w:keepNext w:val="0"/>
              <w:rPr>
                <w:szCs w:val="18"/>
              </w:rPr>
            </w:pPr>
            <w:r w:rsidRPr="00FE714A">
              <w:rPr>
                <w:szCs w:val="18"/>
              </w:rPr>
              <w:t>A randomised, double blind, placebo controlled trial to evaluate the efficacy and safety of Lebrikizumab when used in combination with topical corticosteroid treatment in Japanese patients with moderate to severe atopic dermatitis.</w:t>
            </w:r>
          </w:p>
        </w:tc>
        <w:tc>
          <w:tcPr>
            <w:tcW w:w="1177" w:type="pct"/>
            <w:tcBorders>
              <w:top w:val="single" w:sz="4" w:space="0" w:color="auto"/>
              <w:bottom w:val="nil"/>
            </w:tcBorders>
            <w:vAlign w:val="center"/>
          </w:tcPr>
          <w:p w14:paraId="1DCA1562" w14:textId="77777777" w:rsidR="004779D9" w:rsidRPr="00FE714A" w:rsidRDefault="004779D9" w:rsidP="00E53739">
            <w:pPr>
              <w:pStyle w:val="TableText0"/>
              <w:keepNext w:val="0"/>
              <w:rPr>
                <w:iCs/>
                <w:szCs w:val="18"/>
              </w:rPr>
            </w:pPr>
            <w:r w:rsidRPr="00FE714A">
              <w:rPr>
                <w:iCs/>
                <w:szCs w:val="18"/>
              </w:rPr>
              <w:t>Clinical Study Report, 19 November 2020</w:t>
            </w:r>
          </w:p>
        </w:tc>
      </w:tr>
      <w:tr w:rsidR="004779D9" w:rsidRPr="00FE714A" w14:paraId="6EA14119" w14:textId="77777777" w:rsidTr="00E53739">
        <w:tc>
          <w:tcPr>
            <w:tcW w:w="796" w:type="pct"/>
            <w:tcBorders>
              <w:top w:val="nil"/>
              <w:bottom w:val="single" w:sz="4" w:space="0" w:color="auto"/>
            </w:tcBorders>
            <w:vAlign w:val="center"/>
          </w:tcPr>
          <w:p w14:paraId="44450BEC" w14:textId="77777777" w:rsidR="004779D9" w:rsidRPr="00FE714A" w:rsidRDefault="004779D9" w:rsidP="00E53739">
            <w:pPr>
              <w:pStyle w:val="TableText0"/>
              <w:keepNext w:val="0"/>
            </w:pPr>
          </w:p>
        </w:tc>
        <w:tc>
          <w:tcPr>
            <w:tcW w:w="3027" w:type="pct"/>
            <w:tcBorders>
              <w:top w:val="nil"/>
              <w:bottom w:val="single" w:sz="4" w:space="0" w:color="auto"/>
            </w:tcBorders>
            <w:vAlign w:val="center"/>
          </w:tcPr>
          <w:p w14:paraId="27E72E7C" w14:textId="77777777" w:rsidR="004779D9" w:rsidRPr="00FE714A" w:rsidRDefault="004779D9" w:rsidP="00E53739">
            <w:pPr>
              <w:pStyle w:val="TableText0"/>
              <w:keepNext w:val="0"/>
              <w:rPr>
                <w:szCs w:val="18"/>
              </w:rPr>
            </w:pPr>
            <w:r w:rsidRPr="00FE714A">
              <w:rPr>
                <w:szCs w:val="18"/>
              </w:rPr>
              <w:t>A randomised, double blind, placebo controlled trial to evaluate the efficacy and safety of Lebrikizumab when used in combination with topical corticosteroid treatment in Japanese patients with moderate to severe atopic dermatitis.</w:t>
            </w:r>
          </w:p>
        </w:tc>
        <w:tc>
          <w:tcPr>
            <w:tcW w:w="1177" w:type="pct"/>
            <w:tcBorders>
              <w:top w:val="nil"/>
              <w:bottom w:val="single" w:sz="4" w:space="0" w:color="auto"/>
            </w:tcBorders>
            <w:vAlign w:val="center"/>
          </w:tcPr>
          <w:p w14:paraId="6AEF050A" w14:textId="77777777" w:rsidR="004779D9" w:rsidRPr="00FE714A" w:rsidRDefault="004779D9" w:rsidP="00E53739">
            <w:pPr>
              <w:pStyle w:val="TableText0"/>
              <w:keepNext w:val="0"/>
              <w:rPr>
                <w:iCs/>
                <w:szCs w:val="18"/>
              </w:rPr>
            </w:pPr>
            <w:r w:rsidRPr="00FE714A">
              <w:rPr>
                <w:iCs/>
                <w:szCs w:val="18"/>
              </w:rPr>
              <w:t>Protocol, 19 November 2020, 22 January 2021 (Amendment A)</w:t>
            </w:r>
          </w:p>
        </w:tc>
      </w:tr>
      <w:tr w:rsidR="004779D9" w:rsidRPr="00FE714A" w14:paraId="70EF7603" w14:textId="77777777" w:rsidTr="00E53739">
        <w:tc>
          <w:tcPr>
            <w:tcW w:w="796" w:type="pct"/>
            <w:vMerge w:val="restart"/>
            <w:tcBorders>
              <w:top w:val="single" w:sz="4" w:space="0" w:color="auto"/>
            </w:tcBorders>
            <w:vAlign w:val="center"/>
          </w:tcPr>
          <w:p w14:paraId="3B4B4EA6" w14:textId="77777777" w:rsidR="004779D9" w:rsidRPr="00FE714A" w:rsidRDefault="004779D9" w:rsidP="00E53739">
            <w:pPr>
              <w:pStyle w:val="TableText0"/>
              <w:keepNext w:val="0"/>
            </w:pPr>
            <w:proofErr w:type="spellStart"/>
            <w:r w:rsidRPr="00FE714A">
              <w:t>ADvantage</w:t>
            </w:r>
            <w:proofErr w:type="spellEnd"/>
            <w:r w:rsidRPr="00FE714A">
              <w:t xml:space="preserve"> (NCT05149313)</w:t>
            </w:r>
          </w:p>
        </w:tc>
        <w:tc>
          <w:tcPr>
            <w:tcW w:w="3027" w:type="pct"/>
            <w:tcBorders>
              <w:top w:val="single" w:sz="4" w:space="0" w:color="auto"/>
              <w:bottom w:val="nil"/>
            </w:tcBorders>
            <w:vAlign w:val="center"/>
          </w:tcPr>
          <w:p w14:paraId="531505CE" w14:textId="77777777" w:rsidR="004779D9" w:rsidRPr="00FE714A" w:rsidRDefault="004779D9" w:rsidP="00E53739">
            <w:pPr>
              <w:pStyle w:val="TableText0"/>
              <w:keepNext w:val="0"/>
              <w:rPr>
                <w:szCs w:val="18"/>
              </w:rPr>
            </w:pPr>
            <w:r w:rsidRPr="00FE714A">
              <w:rPr>
                <w:szCs w:val="18"/>
              </w:rPr>
              <w:t>A randomised, double blind, placebo controlled Phase 3 clinical trial to assess the efficacy and safety of lebrikizumab in combination with topical corticosteroids in adult and adolescent patients with moderate to severe atopic dermatitis that are not adequately controlled with cyclosporine or for whom cyclosporine is not medically advisable</w:t>
            </w:r>
          </w:p>
        </w:tc>
        <w:tc>
          <w:tcPr>
            <w:tcW w:w="1177" w:type="pct"/>
            <w:tcBorders>
              <w:top w:val="single" w:sz="4" w:space="0" w:color="auto"/>
              <w:bottom w:val="nil"/>
            </w:tcBorders>
            <w:vAlign w:val="center"/>
          </w:tcPr>
          <w:p w14:paraId="688C7EF5" w14:textId="77777777" w:rsidR="004779D9" w:rsidRPr="00FE714A" w:rsidRDefault="004779D9" w:rsidP="00E53739">
            <w:pPr>
              <w:pStyle w:val="TableText0"/>
              <w:keepNext w:val="0"/>
              <w:rPr>
                <w:iCs/>
                <w:szCs w:val="18"/>
              </w:rPr>
            </w:pPr>
            <w:r w:rsidRPr="00FE714A">
              <w:rPr>
                <w:iCs/>
                <w:szCs w:val="18"/>
              </w:rPr>
              <w:t>Clinical Study Report, September 2023</w:t>
            </w:r>
          </w:p>
        </w:tc>
      </w:tr>
      <w:tr w:rsidR="004779D9" w:rsidRPr="00FE714A" w14:paraId="4895EA53" w14:textId="77777777" w:rsidTr="00E53739">
        <w:tc>
          <w:tcPr>
            <w:tcW w:w="796" w:type="pct"/>
            <w:vMerge/>
            <w:tcBorders>
              <w:bottom w:val="single" w:sz="4" w:space="0" w:color="auto"/>
            </w:tcBorders>
            <w:vAlign w:val="center"/>
          </w:tcPr>
          <w:p w14:paraId="2D8F3858" w14:textId="77777777" w:rsidR="004779D9" w:rsidRPr="00FE714A" w:rsidRDefault="004779D9" w:rsidP="00E53739">
            <w:pPr>
              <w:pStyle w:val="TableText0"/>
              <w:keepNext w:val="0"/>
            </w:pPr>
          </w:p>
        </w:tc>
        <w:tc>
          <w:tcPr>
            <w:tcW w:w="3027" w:type="pct"/>
            <w:tcBorders>
              <w:top w:val="nil"/>
              <w:bottom w:val="single" w:sz="4" w:space="0" w:color="auto"/>
            </w:tcBorders>
            <w:vAlign w:val="center"/>
          </w:tcPr>
          <w:p w14:paraId="6A714722" w14:textId="77777777" w:rsidR="004779D9" w:rsidRPr="00FE714A" w:rsidRDefault="004779D9" w:rsidP="00E53739">
            <w:pPr>
              <w:pStyle w:val="TableText0"/>
              <w:keepNext w:val="0"/>
              <w:rPr>
                <w:szCs w:val="18"/>
              </w:rPr>
            </w:pPr>
            <w:r w:rsidRPr="00FE714A">
              <w:rPr>
                <w:szCs w:val="18"/>
              </w:rPr>
              <w:t>A randomised, double blind, placebo controlled Phase 3 clinical trial to assess the efficacy and safety of lebrikizumab in combination with topical corticosteroids in adult and adolescent patients with moderate to severe atopic dermatitis that are not adequately controlled with cyclosporine or for whom cyclosporine is not medically advisable</w:t>
            </w:r>
          </w:p>
        </w:tc>
        <w:tc>
          <w:tcPr>
            <w:tcW w:w="1177" w:type="pct"/>
            <w:tcBorders>
              <w:top w:val="nil"/>
              <w:bottom w:val="single" w:sz="4" w:space="0" w:color="auto"/>
            </w:tcBorders>
            <w:vAlign w:val="center"/>
          </w:tcPr>
          <w:p w14:paraId="16C2C1EA" w14:textId="77777777" w:rsidR="004779D9" w:rsidRPr="00FE714A" w:rsidRDefault="004779D9" w:rsidP="00E53739">
            <w:pPr>
              <w:pStyle w:val="TableText0"/>
              <w:keepNext w:val="0"/>
              <w:rPr>
                <w:iCs/>
                <w:szCs w:val="18"/>
              </w:rPr>
            </w:pPr>
            <w:r w:rsidRPr="00FE714A">
              <w:rPr>
                <w:iCs/>
                <w:szCs w:val="18"/>
              </w:rPr>
              <w:t>Protocol, 1 June 2021</w:t>
            </w:r>
          </w:p>
        </w:tc>
      </w:tr>
      <w:tr w:rsidR="004779D9" w:rsidRPr="00FE714A" w14:paraId="76F3F254" w14:textId="77777777" w:rsidTr="00E53739">
        <w:tc>
          <w:tcPr>
            <w:tcW w:w="5000" w:type="pct"/>
            <w:gridSpan w:val="3"/>
            <w:tcBorders>
              <w:top w:val="single" w:sz="4" w:space="0" w:color="auto"/>
              <w:bottom w:val="single" w:sz="4" w:space="0" w:color="auto"/>
            </w:tcBorders>
            <w:vAlign w:val="center"/>
          </w:tcPr>
          <w:p w14:paraId="3A4B5475" w14:textId="77777777" w:rsidR="004779D9" w:rsidRPr="00FE714A" w:rsidRDefault="004779D9" w:rsidP="00E53739">
            <w:pPr>
              <w:pStyle w:val="TableText0"/>
              <w:keepNext w:val="0"/>
              <w:rPr>
                <w:iCs/>
                <w:szCs w:val="18"/>
              </w:rPr>
            </w:pPr>
            <w:r w:rsidRPr="00FE714A">
              <w:rPr>
                <w:b/>
                <w:bCs w:val="0"/>
              </w:rPr>
              <w:t>Dupilumab trials</w:t>
            </w:r>
          </w:p>
        </w:tc>
      </w:tr>
      <w:tr w:rsidR="004779D9" w:rsidRPr="00FE714A" w14:paraId="1734335D" w14:textId="77777777" w:rsidTr="00E53739">
        <w:tc>
          <w:tcPr>
            <w:tcW w:w="796" w:type="pct"/>
            <w:vMerge w:val="restart"/>
            <w:tcBorders>
              <w:top w:val="single" w:sz="4" w:space="0" w:color="auto"/>
            </w:tcBorders>
            <w:shd w:val="clear" w:color="auto" w:fill="B8CCE4" w:themeFill="accent1" w:themeFillTint="66"/>
            <w:vAlign w:val="center"/>
          </w:tcPr>
          <w:p w14:paraId="07A47AF4" w14:textId="77777777" w:rsidR="004779D9" w:rsidRPr="00FE714A" w:rsidRDefault="004779D9" w:rsidP="00E53739">
            <w:pPr>
              <w:pStyle w:val="TableText0"/>
              <w:keepNext w:val="0"/>
            </w:pPr>
            <w:r w:rsidRPr="00FE714A">
              <w:t>Study 1021 (NCT01859988)</w:t>
            </w:r>
          </w:p>
        </w:tc>
        <w:tc>
          <w:tcPr>
            <w:tcW w:w="3027" w:type="pct"/>
            <w:tcBorders>
              <w:top w:val="single" w:sz="4" w:space="0" w:color="auto"/>
              <w:bottom w:val="nil"/>
            </w:tcBorders>
            <w:shd w:val="clear" w:color="auto" w:fill="B8CCE4" w:themeFill="accent1" w:themeFillTint="66"/>
            <w:vAlign w:val="center"/>
          </w:tcPr>
          <w:p w14:paraId="4C0D8EA0" w14:textId="77777777" w:rsidR="004779D9" w:rsidRPr="00FE714A" w:rsidRDefault="004779D9" w:rsidP="00E53739">
            <w:pPr>
              <w:pStyle w:val="TableText0"/>
              <w:keepNext w:val="0"/>
              <w:rPr>
                <w:szCs w:val="18"/>
              </w:rPr>
            </w:pPr>
            <w:r w:rsidRPr="00FE714A">
              <w:rPr>
                <w:szCs w:val="18"/>
              </w:rPr>
              <w:t>Thaçi et al. Efficacy and safety of dupilumab in adults with moderate to severe atopic dermatitis inadequately controlled by topical treatments: A randomised, placebo controlled, dose ranging phase 2b trial.</w:t>
            </w:r>
          </w:p>
        </w:tc>
        <w:tc>
          <w:tcPr>
            <w:tcW w:w="1177" w:type="pct"/>
            <w:tcBorders>
              <w:top w:val="single" w:sz="4" w:space="0" w:color="auto"/>
              <w:bottom w:val="nil"/>
            </w:tcBorders>
            <w:shd w:val="clear" w:color="auto" w:fill="B8CCE4" w:themeFill="accent1" w:themeFillTint="66"/>
            <w:vAlign w:val="center"/>
          </w:tcPr>
          <w:p w14:paraId="3F255B81" w14:textId="77777777" w:rsidR="004779D9" w:rsidRPr="00FE714A" w:rsidRDefault="004779D9" w:rsidP="00E53739">
            <w:pPr>
              <w:pStyle w:val="TableText0"/>
              <w:keepNext w:val="0"/>
              <w:rPr>
                <w:iCs/>
                <w:szCs w:val="18"/>
              </w:rPr>
            </w:pPr>
            <w:r w:rsidRPr="00FE714A">
              <w:rPr>
                <w:i/>
                <w:szCs w:val="18"/>
              </w:rPr>
              <w:t xml:space="preserve">Lancet </w:t>
            </w:r>
            <w:r w:rsidRPr="00FE714A">
              <w:rPr>
                <w:iCs/>
                <w:szCs w:val="18"/>
              </w:rPr>
              <w:t>2016; 387 (10013): 40 52.</w:t>
            </w:r>
          </w:p>
        </w:tc>
      </w:tr>
      <w:tr w:rsidR="004779D9" w:rsidRPr="00FE714A" w14:paraId="749A01BA" w14:textId="77777777" w:rsidTr="00E53739">
        <w:tc>
          <w:tcPr>
            <w:tcW w:w="796" w:type="pct"/>
            <w:vMerge/>
            <w:shd w:val="clear" w:color="auto" w:fill="B8CCE4" w:themeFill="accent1" w:themeFillTint="66"/>
            <w:vAlign w:val="center"/>
          </w:tcPr>
          <w:p w14:paraId="48A345E9" w14:textId="77777777" w:rsidR="004779D9" w:rsidRPr="00FE714A" w:rsidRDefault="004779D9" w:rsidP="00E53739">
            <w:pPr>
              <w:pStyle w:val="TableText0"/>
              <w:keepNext w:val="0"/>
            </w:pPr>
          </w:p>
        </w:tc>
        <w:tc>
          <w:tcPr>
            <w:tcW w:w="3027" w:type="pct"/>
            <w:tcBorders>
              <w:top w:val="nil"/>
              <w:bottom w:val="nil"/>
            </w:tcBorders>
            <w:shd w:val="clear" w:color="auto" w:fill="B8CCE4" w:themeFill="accent1" w:themeFillTint="66"/>
            <w:vAlign w:val="center"/>
          </w:tcPr>
          <w:p w14:paraId="3ABDCE4B" w14:textId="77777777" w:rsidR="004779D9" w:rsidRPr="00FE714A" w:rsidRDefault="004779D9" w:rsidP="00E53739">
            <w:pPr>
              <w:pStyle w:val="TableText0"/>
              <w:keepNext w:val="0"/>
              <w:rPr>
                <w:szCs w:val="18"/>
              </w:rPr>
            </w:pPr>
            <w:r w:rsidRPr="00FE714A">
              <w:rPr>
                <w:szCs w:val="18"/>
              </w:rPr>
              <w:t xml:space="preserve">Simpson et al. Dupilumab therapy provides clinically meaningful improvement in patient reported outcomes (PROs): A phase IIb, randomized, placebo controlled, clinical trial in adult patients with moderate to severe atopic dermatitis (AD). </w:t>
            </w:r>
          </w:p>
        </w:tc>
        <w:tc>
          <w:tcPr>
            <w:tcW w:w="1177" w:type="pct"/>
            <w:tcBorders>
              <w:top w:val="nil"/>
              <w:bottom w:val="nil"/>
            </w:tcBorders>
            <w:shd w:val="clear" w:color="auto" w:fill="B8CCE4" w:themeFill="accent1" w:themeFillTint="66"/>
            <w:vAlign w:val="center"/>
          </w:tcPr>
          <w:p w14:paraId="1E9FD423" w14:textId="77777777" w:rsidR="004779D9" w:rsidRPr="00FE714A" w:rsidRDefault="004779D9" w:rsidP="00E53739">
            <w:pPr>
              <w:pStyle w:val="TableText0"/>
              <w:keepNext w:val="0"/>
              <w:rPr>
                <w:iCs/>
                <w:szCs w:val="18"/>
              </w:rPr>
            </w:pPr>
            <w:r w:rsidRPr="00FE714A">
              <w:rPr>
                <w:i/>
                <w:szCs w:val="18"/>
              </w:rPr>
              <w:t xml:space="preserve">J Am </w:t>
            </w:r>
            <w:proofErr w:type="spellStart"/>
            <w:r w:rsidRPr="00FE714A">
              <w:rPr>
                <w:i/>
                <w:szCs w:val="18"/>
              </w:rPr>
              <w:t>Acad</w:t>
            </w:r>
            <w:proofErr w:type="spellEnd"/>
            <w:r w:rsidRPr="00FE714A">
              <w:rPr>
                <w:i/>
                <w:szCs w:val="18"/>
              </w:rPr>
              <w:t xml:space="preserve"> Dermatol</w:t>
            </w:r>
            <w:r w:rsidRPr="00FE714A">
              <w:rPr>
                <w:iCs/>
                <w:szCs w:val="18"/>
              </w:rPr>
              <w:t xml:space="preserve"> 2016; 75 (3): 506 515.</w:t>
            </w:r>
          </w:p>
        </w:tc>
      </w:tr>
      <w:tr w:rsidR="004779D9" w:rsidRPr="00FE714A" w14:paraId="37759287" w14:textId="77777777" w:rsidTr="00E53739">
        <w:tc>
          <w:tcPr>
            <w:tcW w:w="796" w:type="pct"/>
            <w:vMerge/>
            <w:tcBorders>
              <w:bottom w:val="single" w:sz="4" w:space="0" w:color="auto"/>
            </w:tcBorders>
            <w:shd w:val="clear" w:color="auto" w:fill="B8CCE4" w:themeFill="accent1" w:themeFillTint="66"/>
            <w:vAlign w:val="center"/>
          </w:tcPr>
          <w:p w14:paraId="5341338E" w14:textId="77777777" w:rsidR="004779D9" w:rsidRPr="00FE714A" w:rsidRDefault="004779D9" w:rsidP="00E53739">
            <w:pPr>
              <w:pStyle w:val="TableText0"/>
              <w:keepNext w:val="0"/>
            </w:pPr>
          </w:p>
        </w:tc>
        <w:tc>
          <w:tcPr>
            <w:tcW w:w="3027" w:type="pct"/>
            <w:tcBorders>
              <w:top w:val="nil"/>
              <w:bottom w:val="single" w:sz="4" w:space="0" w:color="auto"/>
            </w:tcBorders>
            <w:shd w:val="clear" w:color="auto" w:fill="B8CCE4" w:themeFill="accent1" w:themeFillTint="66"/>
            <w:vAlign w:val="center"/>
          </w:tcPr>
          <w:p w14:paraId="0763B983" w14:textId="77777777" w:rsidR="004779D9" w:rsidRPr="00FE714A" w:rsidRDefault="004779D9" w:rsidP="00E53739">
            <w:pPr>
              <w:pStyle w:val="TableText0"/>
              <w:keepNext w:val="0"/>
              <w:rPr>
                <w:szCs w:val="18"/>
              </w:rPr>
            </w:pPr>
            <w:proofErr w:type="spellStart"/>
            <w:r w:rsidRPr="00FE714A">
              <w:rPr>
                <w:szCs w:val="18"/>
              </w:rPr>
              <w:t>Tofte</w:t>
            </w:r>
            <w:proofErr w:type="spellEnd"/>
            <w:r w:rsidRPr="00FE714A">
              <w:rPr>
                <w:szCs w:val="18"/>
              </w:rPr>
              <w:t xml:space="preserve"> et al. Efficacy and safety of dupilumab for the treatment of moderate to severe atopic dermatitis in adults: A pooled analysis of two phase 2 clinical trials.</w:t>
            </w:r>
          </w:p>
        </w:tc>
        <w:tc>
          <w:tcPr>
            <w:tcW w:w="1177" w:type="pct"/>
            <w:tcBorders>
              <w:top w:val="nil"/>
              <w:bottom w:val="single" w:sz="4" w:space="0" w:color="auto"/>
            </w:tcBorders>
            <w:shd w:val="clear" w:color="auto" w:fill="B8CCE4" w:themeFill="accent1" w:themeFillTint="66"/>
            <w:vAlign w:val="center"/>
          </w:tcPr>
          <w:p w14:paraId="17D091C9" w14:textId="77777777" w:rsidR="004779D9" w:rsidRPr="00FE714A" w:rsidRDefault="004779D9" w:rsidP="00E53739">
            <w:pPr>
              <w:pStyle w:val="TableText0"/>
              <w:keepNext w:val="0"/>
              <w:rPr>
                <w:iCs/>
                <w:szCs w:val="18"/>
              </w:rPr>
            </w:pPr>
            <w:r w:rsidRPr="00FE714A">
              <w:rPr>
                <w:i/>
                <w:szCs w:val="18"/>
              </w:rPr>
              <w:t xml:space="preserve">J Am Assoc Nurse </w:t>
            </w:r>
            <w:proofErr w:type="spellStart"/>
            <w:r w:rsidRPr="00FE714A">
              <w:rPr>
                <w:i/>
                <w:szCs w:val="18"/>
              </w:rPr>
              <w:t>Prac</w:t>
            </w:r>
            <w:proofErr w:type="spellEnd"/>
            <w:r w:rsidRPr="00FE714A">
              <w:rPr>
                <w:iCs/>
                <w:szCs w:val="18"/>
              </w:rPr>
              <w:t xml:space="preserve"> 2018; 30 (9): 529 541.</w:t>
            </w:r>
          </w:p>
        </w:tc>
      </w:tr>
      <w:tr w:rsidR="004779D9" w:rsidRPr="00FE714A" w14:paraId="58832E1B" w14:textId="77777777" w:rsidTr="00E53739">
        <w:tc>
          <w:tcPr>
            <w:tcW w:w="796" w:type="pct"/>
            <w:vMerge w:val="restart"/>
            <w:tcBorders>
              <w:top w:val="single" w:sz="4" w:space="0" w:color="auto"/>
            </w:tcBorders>
            <w:shd w:val="clear" w:color="auto" w:fill="B8CCE4" w:themeFill="accent1" w:themeFillTint="66"/>
            <w:vAlign w:val="center"/>
          </w:tcPr>
          <w:p w14:paraId="34831BF6" w14:textId="77777777" w:rsidR="004779D9" w:rsidRPr="00FE714A" w:rsidRDefault="004779D9" w:rsidP="00E53739">
            <w:pPr>
              <w:pStyle w:val="TableText0"/>
            </w:pPr>
            <w:r w:rsidRPr="00FE714A">
              <w:t>SOLO 1 &amp; SOLO 2 &amp; SOLO Continue (NCT02277743; NCT02277769; NCT02395133)</w:t>
            </w:r>
          </w:p>
        </w:tc>
        <w:tc>
          <w:tcPr>
            <w:tcW w:w="3027" w:type="pct"/>
            <w:tcBorders>
              <w:top w:val="single" w:sz="4" w:space="0" w:color="auto"/>
              <w:bottom w:val="nil"/>
            </w:tcBorders>
            <w:shd w:val="clear" w:color="auto" w:fill="B8CCE4" w:themeFill="accent1" w:themeFillTint="66"/>
            <w:vAlign w:val="center"/>
          </w:tcPr>
          <w:p w14:paraId="24D47AD2" w14:textId="77777777" w:rsidR="004779D9" w:rsidRPr="00FE714A" w:rsidRDefault="004779D9" w:rsidP="00E53739">
            <w:pPr>
              <w:pStyle w:val="TableText0"/>
              <w:keepNext w:val="0"/>
              <w:rPr>
                <w:szCs w:val="18"/>
              </w:rPr>
            </w:pPr>
            <w:r w:rsidRPr="00FE714A">
              <w:rPr>
                <w:szCs w:val="18"/>
              </w:rPr>
              <w:t xml:space="preserve">Simpson et al. Two Phase 3 Trials of dupilumab versus placebo in atopic dermatitis. </w:t>
            </w:r>
          </w:p>
        </w:tc>
        <w:tc>
          <w:tcPr>
            <w:tcW w:w="1177" w:type="pct"/>
            <w:tcBorders>
              <w:top w:val="single" w:sz="4" w:space="0" w:color="auto"/>
              <w:bottom w:val="nil"/>
            </w:tcBorders>
            <w:shd w:val="clear" w:color="auto" w:fill="B8CCE4" w:themeFill="accent1" w:themeFillTint="66"/>
            <w:vAlign w:val="center"/>
          </w:tcPr>
          <w:p w14:paraId="06788496" w14:textId="77777777" w:rsidR="004779D9" w:rsidRPr="00FE714A" w:rsidRDefault="004779D9" w:rsidP="00E53739">
            <w:pPr>
              <w:pStyle w:val="TableText0"/>
              <w:keepNext w:val="0"/>
              <w:rPr>
                <w:iCs/>
                <w:szCs w:val="18"/>
              </w:rPr>
            </w:pPr>
            <w:r w:rsidRPr="00FE714A">
              <w:rPr>
                <w:i/>
                <w:szCs w:val="18"/>
              </w:rPr>
              <w:t>New Engl J Med</w:t>
            </w:r>
            <w:r w:rsidRPr="00FE714A">
              <w:rPr>
                <w:iCs/>
                <w:szCs w:val="18"/>
              </w:rPr>
              <w:t xml:space="preserve"> 2016; 375 (24): 2335 2348.</w:t>
            </w:r>
          </w:p>
        </w:tc>
      </w:tr>
      <w:tr w:rsidR="004779D9" w:rsidRPr="00FE714A" w14:paraId="52D61BF1" w14:textId="77777777" w:rsidTr="00E53739">
        <w:tc>
          <w:tcPr>
            <w:tcW w:w="796" w:type="pct"/>
            <w:vMerge/>
            <w:shd w:val="clear" w:color="auto" w:fill="B8CCE4" w:themeFill="accent1" w:themeFillTint="66"/>
            <w:vAlign w:val="center"/>
          </w:tcPr>
          <w:p w14:paraId="3B8CA3D1" w14:textId="77777777" w:rsidR="004779D9" w:rsidRPr="00FE714A" w:rsidRDefault="004779D9" w:rsidP="00E53739">
            <w:pPr>
              <w:pStyle w:val="TableText0"/>
              <w:keepNext w:val="0"/>
            </w:pPr>
          </w:p>
        </w:tc>
        <w:tc>
          <w:tcPr>
            <w:tcW w:w="3027" w:type="pct"/>
            <w:tcBorders>
              <w:top w:val="nil"/>
              <w:bottom w:val="nil"/>
            </w:tcBorders>
            <w:shd w:val="clear" w:color="auto" w:fill="B8CCE4" w:themeFill="accent1" w:themeFillTint="66"/>
            <w:vAlign w:val="center"/>
          </w:tcPr>
          <w:p w14:paraId="1D7552E2" w14:textId="77777777" w:rsidR="004779D9" w:rsidRPr="00FE714A" w:rsidRDefault="004779D9" w:rsidP="00E53739">
            <w:pPr>
              <w:pStyle w:val="TableText0"/>
              <w:keepNext w:val="0"/>
              <w:rPr>
                <w:szCs w:val="18"/>
              </w:rPr>
            </w:pPr>
            <w:r w:rsidRPr="00FE714A">
              <w:rPr>
                <w:szCs w:val="18"/>
              </w:rPr>
              <w:t>Thaçi et al. Efficacy and safety of dupilumab monotherapy in adults with moderate to severe atopic dermatitis: a pooled analysis of two phase 3 randomized trials (LIBERTY AD SOLO 1 and LIBERTY AD SOLO 2).</w:t>
            </w:r>
          </w:p>
        </w:tc>
        <w:tc>
          <w:tcPr>
            <w:tcW w:w="1177" w:type="pct"/>
            <w:tcBorders>
              <w:top w:val="nil"/>
              <w:bottom w:val="nil"/>
            </w:tcBorders>
            <w:shd w:val="clear" w:color="auto" w:fill="B8CCE4" w:themeFill="accent1" w:themeFillTint="66"/>
            <w:vAlign w:val="center"/>
          </w:tcPr>
          <w:p w14:paraId="38F9664B" w14:textId="77777777" w:rsidR="004779D9" w:rsidRPr="00FE714A" w:rsidRDefault="004779D9" w:rsidP="00E53739">
            <w:pPr>
              <w:pStyle w:val="TableText0"/>
              <w:keepNext w:val="0"/>
              <w:rPr>
                <w:iCs/>
                <w:szCs w:val="18"/>
              </w:rPr>
            </w:pPr>
            <w:r w:rsidRPr="00FE714A">
              <w:rPr>
                <w:i/>
                <w:szCs w:val="18"/>
              </w:rPr>
              <w:t>J Dermatol Science</w:t>
            </w:r>
            <w:r w:rsidRPr="00FE714A">
              <w:rPr>
                <w:iCs/>
                <w:szCs w:val="18"/>
              </w:rPr>
              <w:t xml:space="preserve"> 2019; 94 (2): 266 275.</w:t>
            </w:r>
          </w:p>
        </w:tc>
      </w:tr>
      <w:tr w:rsidR="004779D9" w:rsidRPr="00FE714A" w14:paraId="7F30AC82" w14:textId="77777777" w:rsidTr="00E53739">
        <w:tc>
          <w:tcPr>
            <w:tcW w:w="796" w:type="pct"/>
            <w:vMerge/>
            <w:shd w:val="clear" w:color="auto" w:fill="B8CCE4" w:themeFill="accent1" w:themeFillTint="66"/>
            <w:vAlign w:val="center"/>
          </w:tcPr>
          <w:p w14:paraId="7AFADE70" w14:textId="77777777" w:rsidR="004779D9" w:rsidRPr="00FE714A" w:rsidRDefault="004779D9" w:rsidP="00E53739">
            <w:pPr>
              <w:pStyle w:val="TableText0"/>
              <w:keepNext w:val="0"/>
            </w:pPr>
          </w:p>
        </w:tc>
        <w:tc>
          <w:tcPr>
            <w:tcW w:w="3027" w:type="pct"/>
            <w:tcBorders>
              <w:top w:val="nil"/>
              <w:bottom w:val="nil"/>
            </w:tcBorders>
            <w:shd w:val="clear" w:color="auto" w:fill="B8CCE4" w:themeFill="accent1" w:themeFillTint="66"/>
            <w:vAlign w:val="center"/>
          </w:tcPr>
          <w:p w14:paraId="0534727E" w14:textId="77777777" w:rsidR="004779D9" w:rsidRPr="00FE714A" w:rsidRDefault="004779D9" w:rsidP="00E53739">
            <w:pPr>
              <w:pStyle w:val="TableText0"/>
              <w:keepNext w:val="0"/>
              <w:rPr>
                <w:szCs w:val="18"/>
              </w:rPr>
            </w:pPr>
            <w:r w:rsidRPr="00FE714A">
              <w:rPr>
                <w:szCs w:val="18"/>
              </w:rPr>
              <w:t>Simpson. Dupilumab Improves General Health Related Quality of Life in Patients with Moderate to Severe Atopic Dermatitis: Pooled Results from Two Randomized, Controlled Phase 3 Clinical Trials.</w:t>
            </w:r>
          </w:p>
        </w:tc>
        <w:tc>
          <w:tcPr>
            <w:tcW w:w="1177" w:type="pct"/>
            <w:tcBorders>
              <w:top w:val="nil"/>
              <w:bottom w:val="nil"/>
            </w:tcBorders>
            <w:shd w:val="clear" w:color="auto" w:fill="B8CCE4" w:themeFill="accent1" w:themeFillTint="66"/>
            <w:vAlign w:val="center"/>
          </w:tcPr>
          <w:p w14:paraId="4818EC5E" w14:textId="77777777" w:rsidR="004779D9" w:rsidRPr="00FE714A" w:rsidRDefault="004779D9" w:rsidP="00E53739">
            <w:pPr>
              <w:pStyle w:val="TableText0"/>
              <w:keepNext w:val="0"/>
              <w:rPr>
                <w:iCs/>
                <w:szCs w:val="18"/>
              </w:rPr>
            </w:pPr>
            <w:r w:rsidRPr="00FE714A">
              <w:rPr>
                <w:i/>
                <w:szCs w:val="18"/>
              </w:rPr>
              <w:t xml:space="preserve">Dermatol </w:t>
            </w:r>
            <w:proofErr w:type="spellStart"/>
            <w:r w:rsidRPr="00FE714A">
              <w:rPr>
                <w:i/>
                <w:szCs w:val="18"/>
              </w:rPr>
              <w:t>Ther</w:t>
            </w:r>
            <w:proofErr w:type="spellEnd"/>
            <w:r w:rsidRPr="00FE714A">
              <w:rPr>
                <w:iCs/>
                <w:szCs w:val="18"/>
              </w:rPr>
              <w:t xml:space="preserve"> 2017; 7 (2): 243 248.</w:t>
            </w:r>
          </w:p>
        </w:tc>
      </w:tr>
      <w:tr w:rsidR="004779D9" w:rsidRPr="00FE714A" w14:paraId="5F0FD0B8" w14:textId="77777777" w:rsidTr="00E53739">
        <w:tc>
          <w:tcPr>
            <w:tcW w:w="796" w:type="pct"/>
            <w:vMerge/>
            <w:shd w:val="clear" w:color="auto" w:fill="B8CCE4" w:themeFill="accent1" w:themeFillTint="66"/>
            <w:vAlign w:val="center"/>
          </w:tcPr>
          <w:p w14:paraId="0956F9AE" w14:textId="77777777" w:rsidR="004779D9" w:rsidRPr="00FE714A" w:rsidRDefault="004779D9" w:rsidP="00E53739">
            <w:pPr>
              <w:pStyle w:val="TableText0"/>
              <w:keepNext w:val="0"/>
            </w:pPr>
          </w:p>
        </w:tc>
        <w:tc>
          <w:tcPr>
            <w:tcW w:w="3027" w:type="pct"/>
            <w:tcBorders>
              <w:top w:val="nil"/>
              <w:bottom w:val="nil"/>
            </w:tcBorders>
            <w:shd w:val="clear" w:color="auto" w:fill="B8CCE4" w:themeFill="accent1" w:themeFillTint="66"/>
            <w:vAlign w:val="center"/>
          </w:tcPr>
          <w:p w14:paraId="68B544D3" w14:textId="77777777" w:rsidR="004779D9" w:rsidRPr="00FE714A" w:rsidRDefault="004779D9" w:rsidP="00E53739">
            <w:pPr>
              <w:pStyle w:val="TableText0"/>
              <w:keepNext w:val="0"/>
              <w:rPr>
                <w:szCs w:val="18"/>
              </w:rPr>
            </w:pPr>
            <w:r w:rsidRPr="00FE714A">
              <w:rPr>
                <w:szCs w:val="18"/>
              </w:rPr>
              <w:t>Silverberg et al. Dupilumab provides important clinical benefits to patients with atopic dermatitis who do not achieve clear or almost clear skin according to the Investigator's Global Assessment: a pooled analysis of data from two phase III trials.</w:t>
            </w:r>
          </w:p>
        </w:tc>
        <w:tc>
          <w:tcPr>
            <w:tcW w:w="1177" w:type="pct"/>
            <w:tcBorders>
              <w:top w:val="nil"/>
              <w:bottom w:val="nil"/>
            </w:tcBorders>
            <w:shd w:val="clear" w:color="auto" w:fill="B8CCE4" w:themeFill="accent1" w:themeFillTint="66"/>
            <w:vAlign w:val="center"/>
          </w:tcPr>
          <w:p w14:paraId="0D1E50D6" w14:textId="77777777" w:rsidR="004779D9" w:rsidRPr="00FE714A" w:rsidRDefault="004779D9" w:rsidP="00E53739">
            <w:pPr>
              <w:pStyle w:val="TableText0"/>
              <w:keepNext w:val="0"/>
              <w:rPr>
                <w:iCs/>
                <w:szCs w:val="18"/>
              </w:rPr>
            </w:pPr>
            <w:r w:rsidRPr="00FE714A">
              <w:rPr>
                <w:i/>
                <w:szCs w:val="18"/>
              </w:rPr>
              <w:t>Br J Dermatol</w:t>
            </w:r>
            <w:r w:rsidRPr="00FE714A">
              <w:rPr>
                <w:iCs/>
                <w:szCs w:val="18"/>
              </w:rPr>
              <w:t xml:space="preserve"> 2019; 181 (1): 80 87.</w:t>
            </w:r>
          </w:p>
        </w:tc>
      </w:tr>
      <w:tr w:rsidR="004779D9" w:rsidRPr="00FE714A" w14:paraId="105B4F3A" w14:textId="77777777" w:rsidTr="00E53739">
        <w:tc>
          <w:tcPr>
            <w:tcW w:w="796" w:type="pct"/>
            <w:vMerge/>
            <w:shd w:val="clear" w:color="auto" w:fill="B8CCE4" w:themeFill="accent1" w:themeFillTint="66"/>
            <w:vAlign w:val="center"/>
          </w:tcPr>
          <w:p w14:paraId="7CC71EC6" w14:textId="77777777" w:rsidR="004779D9" w:rsidRPr="00FE714A" w:rsidRDefault="004779D9" w:rsidP="00E53739">
            <w:pPr>
              <w:pStyle w:val="TableText0"/>
              <w:keepNext w:val="0"/>
            </w:pPr>
          </w:p>
        </w:tc>
        <w:tc>
          <w:tcPr>
            <w:tcW w:w="3027" w:type="pct"/>
            <w:tcBorders>
              <w:top w:val="nil"/>
              <w:bottom w:val="nil"/>
            </w:tcBorders>
            <w:shd w:val="clear" w:color="auto" w:fill="B8CCE4" w:themeFill="accent1" w:themeFillTint="66"/>
            <w:vAlign w:val="center"/>
          </w:tcPr>
          <w:p w14:paraId="7DF47C66" w14:textId="77777777" w:rsidR="004779D9" w:rsidRPr="00FE714A" w:rsidRDefault="004779D9" w:rsidP="00E53739">
            <w:pPr>
              <w:pStyle w:val="TableText0"/>
              <w:keepNext w:val="0"/>
              <w:rPr>
                <w:szCs w:val="18"/>
              </w:rPr>
            </w:pPr>
            <w:r w:rsidRPr="00FE714A">
              <w:rPr>
                <w:szCs w:val="18"/>
              </w:rPr>
              <w:t>Cork et al. Dupilumab improves patient reported symptoms of atopic dermatitis, symptoms of anxiety and depression, and health related quality of life in moderate to severe atopic dermatitis: analysis of pooled data from the randomized trials SOLO 1 and SOLO 2.</w:t>
            </w:r>
          </w:p>
        </w:tc>
        <w:tc>
          <w:tcPr>
            <w:tcW w:w="1177" w:type="pct"/>
            <w:tcBorders>
              <w:top w:val="nil"/>
              <w:bottom w:val="nil"/>
            </w:tcBorders>
            <w:shd w:val="clear" w:color="auto" w:fill="B8CCE4" w:themeFill="accent1" w:themeFillTint="66"/>
            <w:vAlign w:val="center"/>
          </w:tcPr>
          <w:p w14:paraId="2755599B" w14:textId="77777777" w:rsidR="004779D9" w:rsidRPr="00FE714A" w:rsidRDefault="004779D9" w:rsidP="00E53739">
            <w:pPr>
              <w:pStyle w:val="TableText0"/>
              <w:keepNext w:val="0"/>
              <w:rPr>
                <w:iCs/>
                <w:szCs w:val="18"/>
              </w:rPr>
            </w:pPr>
            <w:r w:rsidRPr="00FE714A">
              <w:rPr>
                <w:i/>
                <w:szCs w:val="18"/>
              </w:rPr>
              <w:t xml:space="preserve">J </w:t>
            </w:r>
            <w:proofErr w:type="spellStart"/>
            <w:r w:rsidRPr="00FE714A">
              <w:rPr>
                <w:i/>
                <w:szCs w:val="18"/>
              </w:rPr>
              <w:t>Dermatolog</w:t>
            </w:r>
            <w:proofErr w:type="spellEnd"/>
            <w:r w:rsidRPr="00FE714A">
              <w:rPr>
                <w:i/>
                <w:szCs w:val="18"/>
              </w:rPr>
              <w:t xml:space="preserve"> Treat</w:t>
            </w:r>
            <w:r w:rsidRPr="00FE714A">
              <w:rPr>
                <w:iCs/>
                <w:szCs w:val="18"/>
              </w:rPr>
              <w:t xml:space="preserve"> 2020; 31 (6): 606 614.</w:t>
            </w:r>
          </w:p>
        </w:tc>
      </w:tr>
      <w:tr w:rsidR="004779D9" w:rsidRPr="00FE714A" w14:paraId="14A05B0D" w14:textId="77777777" w:rsidTr="00E53739">
        <w:tc>
          <w:tcPr>
            <w:tcW w:w="796" w:type="pct"/>
            <w:vMerge/>
            <w:tcBorders>
              <w:bottom w:val="single" w:sz="4" w:space="0" w:color="auto"/>
            </w:tcBorders>
            <w:shd w:val="clear" w:color="auto" w:fill="B8CCE4" w:themeFill="accent1" w:themeFillTint="66"/>
            <w:vAlign w:val="center"/>
          </w:tcPr>
          <w:p w14:paraId="19FB153A" w14:textId="77777777" w:rsidR="004779D9" w:rsidRPr="00FE714A" w:rsidRDefault="004779D9" w:rsidP="00E53739">
            <w:pPr>
              <w:pStyle w:val="TableText0"/>
              <w:keepNext w:val="0"/>
            </w:pPr>
          </w:p>
        </w:tc>
        <w:tc>
          <w:tcPr>
            <w:tcW w:w="3027" w:type="pct"/>
            <w:tcBorders>
              <w:top w:val="nil"/>
              <w:bottom w:val="single" w:sz="4" w:space="0" w:color="auto"/>
            </w:tcBorders>
            <w:shd w:val="clear" w:color="auto" w:fill="B8CCE4" w:themeFill="accent1" w:themeFillTint="66"/>
            <w:vAlign w:val="center"/>
          </w:tcPr>
          <w:p w14:paraId="506A0B8A" w14:textId="77777777" w:rsidR="004779D9" w:rsidRPr="00FE714A" w:rsidRDefault="004779D9" w:rsidP="00E53739">
            <w:pPr>
              <w:pStyle w:val="TableText0"/>
              <w:keepNext w:val="0"/>
              <w:rPr>
                <w:szCs w:val="18"/>
              </w:rPr>
            </w:pPr>
            <w:r w:rsidRPr="00FE714A">
              <w:rPr>
                <w:szCs w:val="18"/>
              </w:rPr>
              <w:t xml:space="preserve">Worm et al. Efficacy and Safety of Multiple Dupilumab Dose Regimens After Initial Successful Treatment in Patients With Atopic Dermatitis. </w:t>
            </w:r>
          </w:p>
        </w:tc>
        <w:tc>
          <w:tcPr>
            <w:tcW w:w="1177" w:type="pct"/>
            <w:tcBorders>
              <w:top w:val="nil"/>
              <w:bottom w:val="single" w:sz="4" w:space="0" w:color="auto"/>
            </w:tcBorders>
            <w:shd w:val="clear" w:color="auto" w:fill="B8CCE4" w:themeFill="accent1" w:themeFillTint="66"/>
            <w:vAlign w:val="center"/>
          </w:tcPr>
          <w:p w14:paraId="0F499330" w14:textId="77777777" w:rsidR="004779D9" w:rsidRPr="00FE714A" w:rsidRDefault="004779D9" w:rsidP="00E53739">
            <w:pPr>
              <w:pStyle w:val="TableText0"/>
              <w:keepNext w:val="0"/>
              <w:rPr>
                <w:iCs/>
                <w:szCs w:val="18"/>
              </w:rPr>
            </w:pPr>
            <w:r w:rsidRPr="00FE714A">
              <w:rPr>
                <w:i/>
                <w:szCs w:val="18"/>
              </w:rPr>
              <w:t xml:space="preserve">JAMA Dermatol </w:t>
            </w:r>
            <w:r w:rsidRPr="00FE714A">
              <w:rPr>
                <w:iCs/>
                <w:szCs w:val="18"/>
              </w:rPr>
              <w:t>2020; 156(2):131 143</w:t>
            </w:r>
          </w:p>
        </w:tc>
      </w:tr>
      <w:tr w:rsidR="004779D9" w:rsidRPr="00FE714A" w14:paraId="12E75F47" w14:textId="77777777" w:rsidTr="00E53739">
        <w:tc>
          <w:tcPr>
            <w:tcW w:w="796" w:type="pct"/>
            <w:tcBorders>
              <w:top w:val="single" w:sz="4" w:space="0" w:color="auto"/>
              <w:bottom w:val="single" w:sz="4" w:space="0" w:color="auto"/>
            </w:tcBorders>
            <w:shd w:val="clear" w:color="auto" w:fill="B8CCE4" w:themeFill="accent1" w:themeFillTint="66"/>
            <w:vAlign w:val="center"/>
          </w:tcPr>
          <w:p w14:paraId="66D1C78E" w14:textId="77777777" w:rsidR="004779D9" w:rsidRPr="00FE714A" w:rsidRDefault="004779D9" w:rsidP="00E53739">
            <w:pPr>
              <w:pStyle w:val="TableText0"/>
              <w:keepNext w:val="0"/>
            </w:pPr>
            <w:r w:rsidRPr="00FE714A">
              <w:t>Liberty AD ADOL (NCT03054428)</w:t>
            </w:r>
          </w:p>
        </w:tc>
        <w:tc>
          <w:tcPr>
            <w:tcW w:w="3027" w:type="pct"/>
            <w:tcBorders>
              <w:top w:val="single" w:sz="4" w:space="0" w:color="auto"/>
              <w:bottom w:val="single" w:sz="4" w:space="0" w:color="auto"/>
            </w:tcBorders>
            <w:shd w:val="clear" w:color="auto" w:fill="B8CCE4" w:themeFill="accent1" w:themeFillTint="66"/>
            <w:vAlign w:val="center"/>
          </w:tcPr>
          <w:p w14:paraId="18E17784" w14:textId="646AD68F" w:rsidR="004779D9" w:rsidRPr="00FE714A" w:rsidRDefault="004779D9" w:rsidP="00E53739">
            <w:pPr>
              <w:pStyle w:val="TableText0"/>
              <w:keepNext w:val="0"/>
              <w:rPr>
                <w:szCs w:val="18"/>
              </w:rPr>
            </w:pPr>
            <w:r w:rsidRPr="00FE714A">
              <w:rPr>
                <w:szCs w:val="18"/>
              </w:rPr>
              <w:t xml:space="preserve">Simpson et al. Efficacy and Safety of Dupilumab in Adolescents with Uncontrolled Moderate to Severe Atopic Dermatitis A Phase 3 Randomized Clinical Trial. </w:t>
            </w:r>
          </w:p>
        </w:tc>
        <w:tc>
          <w:tcPr>
            <w:tcW w:w="1177" w:type="pct"/>
            <w:tcBorders>
              <w:top w:val="single" w:sz="4" w:space="0" w:color="auto"/>
              <w:bottom w:val="single" w:sz="4" w:space="0" w:color="auto"/>
            </w:tcBorders>
            <w:shd w:val="clear" w:color="auto" w:fill="B8CCE4" w:themeFill="accent1" w:themeFillTint="66"/>
            <w:vAlign w:val="center"/>
          </w:tcPr>
          <w:p w14:paraId="1CB2D022" w14:textId="77777777" w:rsidR="004779D9" w:rsidRPr="00FE714A" w:rsidRDefault="004779D9" w:rsidP="00E53739">
            <w:pPr>
              <w:pStyle w:val="TableText0"/>
              <w:keepNext w:val="0"/>
              <w:rPr>
                <w:iCs/>
                <w:szCs w:val="18"/>
              </w:rPr>
            </w:pPr>
            <w:r w:rsidRPr="00FE714A">
              <w:rPr>
                <w:i/>
                <w:szCs w:val="18"/>
              </w:rPr>
              <w:t>JAMA Dermatol</w:t>
            </w:r>
            <w:r w:rsidRPr="00FE714A">
              <w:rPr>
                <w:iCs/>
                <w:szCs w:val="18"/>
              </w:rPr>
              <w:t xml:space="preserve"> 2020;156 (1):44 56.</w:t>
            </w:r>
          </w:p>
        </w:tc>
      </w:tr>
      <w:tr w:rsidR="004779D9" w:rsidRPr="00FE714A" w14:paraId="1A8F45E7" w14:textId="77777777" w:rsidTr="00E53739">
        <w:tc>
          <w:tcPr>
            <w:tcW w:w="796" w:type="pct"/>
            <w:tcBorders>
              <w:top w:val="single" w:sz="4" w:space="0" w:color="auto"/>
              <w:bottom w:val="single" w:sz="4" w:space="0" w:color="auto"/>
            </w:tcBorders>
            <w:vAlign w:val="center"/>
          </w:tcPr>
          <w:p w14:paraId="513EDFBD" w14:textId="77777777" w:rsidR="004779D9" w:rsidRPr="00FE714A" w:rsidRDefault="004779D9" w:rsidP="00E53739">
            <w:pPr>
              <w:pStyle w:val="TableText0"/>
              <w:keepNext w:val="0"/>
            </w:pPr>
            <w:r w:rsidRPr="00FE714A">
              <w:t>DUPI Chinese (NCT03912259)</w:t>
            </w:r>
          </w:p>
        </w:tc>
        <w:tc>
          <w:tcPr>
            <w:tcW w:w="3027" w:type="pct"/>
            <w:tcBorders>
              <w:top w:val="single" w:sz="4" w:space="0" w:color="auto"/>
              <w:bottom w:val="single" w:sz="4" w:space="0" w:color="auto"/>
            </w:tcBorders>
            <w:vAlign w:val="center"/>
          </w:tcPr>
          <w:p w14:paraId="741A314B" w14:textId="71B60F9A" w:rsidR="004779D9" w:rsidRPr="00FE714A" w:rsidRDefault="004779D9" w:rsidP="00E53739">
            <w:pPr>
              <w:pStyle w:val="TableText0"/>
              <w:keepNext w:val="0"/>
              <w:rPr>
                <w:szCs w:val="18"/>
              </w:rPr>
            </w:pPr>
            <w:r w:rsidRPr="00FE714A">
              <w:rPr>
                <w:szCs w:val="18"/>
              </w:rPr>
              <w:t xml:space="preserve">Zhao et al. The efficacy and safety of dupilumab in Chinese patients with moderate to severe atopic dermatitis: a randomized, double blind, placebo controlled study. </w:t>
            </w:r>
          </w:p>
        </w:tc>
        <w:tc>
          <w:tcPr>
            <w:tcW w:w="1177" w:type="pct"/>
            <w:tcBorders>
              <w:top w:val="single" w:sz="4" w:space="0" w:color="auto"/>
              <w:bottom w:val="single" w:sz="4" w:space="0" w:color="auto"/>
            </w:tcBorders>
            <w:vAlign w:val="center"/>
          </w:tcPr>
          <w:p w14:paraId="2BE21012" w14:textId="77777777" w:rsidR="004779D9" w:rsidRPr="00FE714A" w:rsidRDefault="004779D9" w:rsidP="00E53739">
            <w:pPr>
              <w:pStyle w:val="TableText0"/>
              <w:keepNext w:val="0"/>
              <w:rPr>
                <w:iCs/>
                <w:szCs w:val="18"/>
              </w:rPr>
            </w:pPr>
            <w:r w:rsidRPr="00FE714A">
              <w:rPr>
                <w:i/>
                <w:szCs w:val="18"/>
              </w:rPr>
              <w:t>Br J Dermatol</w:t>
            </w:r>
            <w:r w:rsidRPr="00FE714A">
              <w:rPr>
                <w:iCs/>
                <w:szCs w:val="18"/>
              </w:rPr>
              <w:t xml:space="preserve"> 2022 Apr;186 (4):633 641.</w:t>
            </w:r>
          </w:p>
        </w:tc>
      </w:tr>
      <w:tr w:rsidR="004779D9" w:rsidRPr="00FE714A" w14:paraId="0DAD5E32" w14:textId="77777777" w:rsidTr="00E53739">
        <w:tc>
          <w:tcPr>
            <w:tcW w:w="796" w:type="pct"/>
            <w:vMerge w:val="restart"/>
            <w:tcBorders>
              <w:top w:val="single" w:sz="4" w:space="0" w:color="auto"/>
            </w:tcBorders>
            <w:shd w:val="clear" w:color="auto" w:fill="B8CCE4" w:themeFill="accent1" w:themeFillTint="66"/>
            <w:vAlign w:val="center"/>
          </w:tcPr>
          <w:p w14:paraId="05796DB6" w14:textId="77777777" w:rsidR="004779D9" w:rsidRPr="00FE714A" w:rsidRDefault="004779D9" w:rsidP="00E53739">
            <w:pPr>
              <w:pStyle w:val="TableText0"/>
              <w:keepNext w:val="0"/>
            </w:pPr>
            <w:r w:rsidRPr="00FE714A">
              <w:t>CHRONOS (NCT02260986)</w:t>
            </w:r>
          </w:p>
        </w:tc>
        <w:tc>
          <w:tcPr>
            <w:tcW w:w="3027" w:type="pct"/>
            <w:tcBorders>
              <w:top w:val="single" w:sz="4" w:space="0" w:color="auto"/>
              <w:bottom w:val="nil"/>
            </w:tcBorders>
            <w:shd w:val="clear" w:color="auto" w:fill="B8CCE4" w:themeFill="accent1" w:themeFillTint="66"/>
            <w:vAlign w:val="center"/>
          </w:tcPr>
          <w:p w14:paraId="1E729AD6" w14:textId="77777777" w:rsidR="004779D9" w:rsidRPr="00FE714A" w:rsidRDefault="004779D9" w:rsidP="00E53739">
            <w:pPr>
              <w:pStyle w:val="TableText0"/>
              <w:keepNext w:val="0"/>
              <w:rPr>
                <w:szCs w:val="18"/>
              </w:rPr>
            </w:pPr>
            <w:r w:rsidRPr="00FE714A">
              <w:rPr>
                <w:szCs w:val="18"/>
              </w:rPr>
              <w:t xml:space="preserve">Blauvelt et al. Long term management of moderate to severe atopic dermatitis with dupilumab and concomitant topical corticosteroids (LIBERTY AD CHRONOS): a 1 year, randomised, double blinded, placebo controlled, phase 3 trial. </w:t>
            </w:r>
          </w:p>
        </w:tc>
        <w:tc>
          <w:tcPr>
            <w:tcW w:w="1177" w:type="pct"/>
            <w:tcBorders>
              <w:top w:val="single" w:sz="4" w:space="0" w:color="auto"/>
              <w:bottom w:val="nil"/>
            </w:tcBorders>
            <w:shd w:val="clear" w:color="auto" w:fill="B8CCE4" w:themeFill="accent1" w:themeFillTint="66"/>
            <w:vAlign w:val="center"/>
          </w:tcPr>
          <w:p w14:paraId="2DAAD4AB" w14:textId="77777777" w:rsidR="004779D9" w:rsidRPr="00FE714A" w:rsidRDefault="004779D9" w:rsidP="00E53739">
            <w:pPr>
              <w:pStyle w:val="TableText0"/>
              <w:keepNext w:val="0"/>
              <w:rPr>
                <w:iCs/>
                <w:szCs w:val="18"/>
              </w:rPr>
            </w:pPr>
            <w:r w:rsidRPr="00FE714A">
              <w:rPr>
                <w:i/>
                <w:szCs w:val="18"/>
              </w:rPr>
              <w:t xml:space="preserve">Lancet </w:t>
            </w:r>
            <w:r w:rsidRPr="00FE714A">
              <w:rPr>
                <w:iCs/>
                <w:szCs w:val="18"/>
              </w:rPr>
              <w:t>2017; 389 (10086): 2287 2303.</w:t>
            </w:r>
          </w:p>
        </w:tc>
      </w:tr>
      <w:tr w:rsidR="004779D9" w:rsidRPr="00FE714A" w14:paraId="68016A14" w14:textId="77777777" w:rsidTr="00E53739">
        <w:tc>
          <w:tcPr>
            <w:tcW w:w="796" w:type="pct"/>
            <w:vMerge/>
            <w:tcBorders>
              <w:bottom w:val="single" w:sz="4" w:space="0" w:color="auto"/>
            </w:tcBorders>
            <w:shd w:val="clear" w:color="auto" w:fill="B8CCE4" w:themeFill="accent1" w:themeFillTint="66"/>
            <w:vAlign w:val="center"/>
          </w:tcPr>
          <w:p w14:paraId="4F034EDF" w14:textId="77777777" w:rsidR="004779D9" w:rsidRPr="00FE714A" w:rsidRDefault="004779D9" w:rsidP="00E53739">
            <w:pPr>
              <w:pStyle w:val="TableText0"/>
              <w:keepNext w:val="0"/>
            </w:pPr>
          </w:p>
        </w:tc>
        <w:tc>
          <w:tcPr>
            <w:tcW w:w="3027" w:type="pct"/>
            <w:tcBorders>
              <w:top w:val="nil"/>
              <w:bottom w:val="single" w:sz="4" w:space="0" w:color="auto"/>
            </w:tcBorders>
            <w:shd w:val="clear" w:color="auto" w:fill="B8CCE4" w:themeFill="accent1" w:themeFillTint="66"/>
            <w:vAlign w:val="center"/>
          </w:tcPr>
          <w:p w14:paraId="4CF5AF61" w14:textId="77777777" w:rsidR="004779D9" w:rsidRPr="00FE714A" w:rsidRDefault="004779D9" w:rsidP="00E53739">
            <w:pPr>
              <w:pStyle w:val="TableText0"/>
              <w:keepNext w:val="0"/>
              <w:rPr>
                <w:szCs w:val="18"/>
              </w:rPr>
            </w:pPr>
            <w:r w:rsidRPr="00FE714A">
              <w:rPr>
                <w:szCs w:val="18"/>
              </w:rPr>
              <w:t xml:space="preserve">Thomson et al. Long term management of moderate to severe atopic dermatitis with dupilumab and concomitant topical corticosteroids (LIBERTY AD CHRONOS): a critical appraisal. </w:t>
            </w:r>
          </w:p>
        </w:tc>
        <w:tc>
          <w:tcPr>
            <w:tcW w:w="1177" w:type="pct"/>
            <w:tcBorders>
              <w:top w:val="nil"/>
              <w:bottom w:val="single" w:sz="4" w:space="0" w:color="auto"/>
            </w:tcBorders>
            <w:shd w:val="clear" w:color="auto" w:fill="B8CCE4" w:themeFill="accent1" w:themeFillTint="66"/>
            <w:vAlign w:val="center"/>
          </w:tcPr>
          <w:p w14:paraId="08560B70" w14:textId="77777777" w:rsidR="004779D9" w:rsidRPr="00FE714A" w:rsidRDefault="004779D9" w:rsidP="00E53739">
            <w:pPr>
              <w:pStyle w:val="TableText0"/>
              <w:keepNext w:val="0"/>
              <w:rPr>
                <w:iCs/>
                <w:szCs w:val="18"/>
              </w:rPr>
            </w:pPr>
            <w:r w:rsidRPr="00FE714A">
              <w:rPr>
                <w:i/>
                <w:szCs w:val="18"/>
              </w:rPr>
              <w:t>Br J Dermatol</w:t>
            </w:r>
            <w:r w:rsidRPr="00FE714A">
              <w:rPr>
                <w:iCs/>
                <w:szCs w:val="18"/>
              </w:rPr>
              <w:t xml:space="preserve"> 2018; 178 (4): 897 902.</w:t>
            </w:r>
          </w:p>
        </w:tc>
      </w:tr>
      <w:tr w:rsidR="004779D9" w:rsidRPr="00FE714A" w14:paraId="2517F1DC" w14:textId="77777777" w:rsidTr="00E53739">
        <w:tc>
          <w:tcPr>
            <w:tcW w:w="796" w:type="pct"/>
            <w:tcBorders>
              <w:top w:val="single" w:sz="4" w:space="0" w:color="auto"/>
              <w:bottom w:val="single" w:sz="4" w:space="0" w:color="auto"/>
            </w:tcBorders>
            <w:shd w:val="clear" w:color="auto" w:fill="B8CCE4" w:themeFill="accent1" w:themeFillTint="66"/>
            <w:vAlign w:val="center"/>
          </w:tcPr>
          <w:p w14:paraId="194F696B" w14:textId="77777777" w:rsidR="004779D9" w:rsidRPr="00FE714A" w:rsidRDefault="004779D9" w:rsidP="00E53739">
            <w:pPr>
              <w:pStyle w:val="TableText0"/>
              <w:keepNext w:val="0"/>
            </w:pPr>
            <w:r w:rsidRPr="00FE714A">
              <w:t>CAFÉ (NCT02755649)</w:t>
            </w:r>
          </w:p>
        </w:tc>
        <w:tc>
          <w:tcPr>
            <w:tcW w:w="3027" w:type="pct"/>
            <w:tcBorders>
              <w:top w:val="single" w:sz="4" w:space="0" w:color="auto"/>
              <w:bottom w:val="single" w:sz="4" w:space="0" w:color="auto"/>
            </w:tcBorders>
            <w:shd w:val="clear" w:color="auto" w:fill="B8CCE4" w:themeFill="accent1" w:themeFillTint="66"/>
            <w:vAlign w:val="center"/>
          </w:tcPr>
          <w:p w14:paraId="168BF3C8" w14:textId="77777777" w:rsidR="004779D9" w:rsidRPr="00FE714A" w:rsidRDefault="004779D9" w:rsidP="00E53739">
            <w:pPr>
              <w:pStyle w:val="TableText0"/>
              <w:keepNext w:val="0"/>
              <w:rPr>
                <w:szCs w:val="18"/>
              </w:rPr>
            </w:pPr>
            <w:r w:rsidRPr="00FE714A">
              <w:rPr>
                <w:szCs w:val="18"/>
              </w:rPr>
              <w:t xml:space="preserve">de Bruin-Weller et al. Dupilumab with concomitant topical corticosteroid treatment in adults with atopic dermatitis with an inadequate response or intolerance to ciclosporin A or when this treatment is medically inadvisable: a placebo controlled, randomized phase III clinical trial (LIBERTY AD CAFÉ). </w:t>
            </w:r>
          </w:p>
        </w:tc>
        <w:tc>
          <w:tcPr>
            <w:tcW w:w="1177" w:type="pct"/>
            <w:tcBorders>
              <w:top w:val="single" w:sz="4" w:space="0" w:color="auto"/>
              <w:bottom w:val="single" w:sz="4" w:space="0" w:color="auto"/>
            </w:tcBorders>
            <w:shd w:val="clear" w:color="auto" w:fill="B8CCE4" w:themeFill="accent1" w:themeFillTint="66"/>
            <w:vAlign w:val="center"/>
          </w:tcPr>
          <w:p w14:paraId="12140531" w14:textId="77777777" w:rsidR="004779D9" w:rsidRPr="00FE714A" w:rsidRDefault="004779D9" w:rsidP="00E53739">
            <w:pPr>
              <w:pStyle w:val="TableText0"/>
              <w:keepNext w:val="0"/>
              <w:rPr>
                <w:iCs/>
                <w:szCs w:val="18"/>
              </w:rPr>
            </w:pPr>
            <w:r w:rsidRPr="00FE714A">
              <w:rPr>
                <w:i/>
                <w:szCs w:val="18"/>
              </w:rPr>
              <w:t>Br J Dermatol</w:t>
            </w:r>
            <w:r w:rsidRPr="00FE714A">
              <w:rPr>
                <w:iCs/>
                <w:szCs w:val="18"/>
              </w:rPr>
              <w:t xml:space="preserve"> 2018; 178 (5): 1083 1101.</w:t>
            </w:r>
          </w:p>
        </w:tc>
      </w:tr>
      <w:tr w:rsidR="004779D9" w:rsidRPr="00FE714A" w14:paraId="4BC1FFEF" w14:textId="77777777" w:rsidTr="00E53739">
        <w:tc>
          <w:tcPr>
            <w:tcW w:w="796" w:type="pct"/>
            <w:vMerge w:val="restart"/>
            <w:tcBorders>
              <w:top w:val="single" w:sz="4" w:space="0" w:color="auto"/>
            </w:tcBorders>
            <w:shd w:val="clear" w:color="auto" w:fill="B8CCE4" w:themeFill="accent1" w:themeFillTint="66"/>
            <w:vAlign w:val="center"/>
          </w:tcPr>
          <w:p w14:paraId="22A63C39" w14:textId="77777777" w:rsidR="004779D9" w:rsidRPr="00FE714A" w:rsidRDefault="004779D9" w:rsidP="00E53739">
            <w:pPr>
              <w:pStyle w:val="TableText0"/>
              <w:keepNext w:val="0"/>
            </w:pPr>
            <w:r w:rsidRPr="00FE714A">
              <w:t>JADE Compare (NCT03720470)</w:t>
            </w:r>
          </w:p>
        </w:tc>
        <w:tc>
          <w:tcPr>
            <w:tcW w:w="3027" w:type="pct"/>
            <w:tcBorders>
              <w:top w:val="single" w:sz="4" w:space="0" w:color="auto"/>
              <w:bottom w:val="nil"/>
            </w:tcBorders>
            <w:shd w:val="clear" w:color="auto" w:fill="B8CCE4" w:themeFill="accent1" w:themeFillTint="66"/>
            <w:vAlign w:val="center"/>
          </w:tcPr>
          <w:p w14:paraId="5E610C21" w14:textId="31C36A3A" w:rsidR="004779D9" w:rsidRPr="00FE714A" w:rsidRDefault="004779D9" w:rsidP="00E53739">
            <w:pPr>
              <w:pStyle w:val="TableText0"/>
              <w:keepNext w:val="0"/>
              <w:rPr>
                <w:szCs w:val="18"/>
              </w:rPr>
            </w:pPr>
            <w:r w:rsidRPr="00FE714A">
              <w:rPr>
                <w:szCs w:val="18"/>
              </w:rPr>
              <w:t xml:space="preserve">Bieber et al. </w:t>
            </w:r>
            <w:proofErr w:type="spellStart"/>
            <w:r w:rsidRPr="00FE714A">
              <w:rPr>
                <w:szCs w:val="18"/>
              </w:rPr>
              <w:t>Abrocitinib</w:t>
            </w:r>
            <w:proofErr w:type="spellEnd"/>
            <w:r w:rsidRPr="00FE714A">
              <w:rPr>
                <w:szCs w:val="18"/>
              </w:rPr>
              <w:t xml:space="preserve"> versus placebo or Dupilumab for Atopic Dermatitis. </w:t>
            </w:r>
          </w:p>
        </w:tc>
        <w:tc>
          <w:tcPr>
            <w:tcW w:w="1177" w:type="pct"/>
            <w:tcBorders>
              <w:top w:val="single" w:sz="4" w:space="0" w:color="auto"/>
              <w:bottom w:val="nil"/>
            </w:tcBorders>
            <w:shd w:val="clear" w:color="auto" w:fill="B8CCE4" w:themeFill="accent1" w:themeFillTint="66"/>
            <w:vAlign w:val="center"/>
          </w:tcPr>
          <w:p w14:paraId="4C1B3B62" w14:textId="77777777" w:rsidR="004779D9" w:rsidRPr="00FE714A" w:rsidRDefault="004779D9" w:rsidP="00E53739">
            <w:pPr>
              <w:pStyle w:val="TableText0"/>
              <w:keepNext w:val="0"/>
              <w:rPr>
                <w:iCs/>
                <w:szCs w:val="18"/>
              </w:rPr>
            </w:pPr>
            <w:r w:rsidRPr="00FE714A">
              <w:rPr>
                <w:i/>
                <w:szCs w:val="18"/>
              </w:rPr>
              <w:t>N Engl J Med</w:t>
            </w:r>
            <w:r w:rsidRPr="00FE714A">
              <w:rPr>
                <w:iCs/>
                <w:szCs w:val="18"/>
              </w:rPr>
              <w:t xml:space="preserve"> 2021; 384:1101 1112.</w:t>
            </w:r>
          </w:p>
        </w:tc>
      </w:tr>
      <w:tr w:rsidR="004779D9" w:rsidRPr="00FE714A" w14:paraId="7A1C9AB8" w14:textId="77777777" w:rsidTr="00E53739">
        <w:tc>
          <w:tcPr>
            <w:tcW w:w="796" w:type="pct"/>
            <w:vMerge/>
            <w:tcBorders>
              <w:bottom w:val="single" w:sz="4" w:space="0" w:color="auto"/>
            </w:tcBorders>
            <w:shd w:val="clear" w:color="auto" w:fill="B8CCE4" w:themeFill="accent1" w:themeFillTint="66"/>
            <w:vAlign w:val="center"/>
          </w:tcPr>
          <w:p w14:paraId="6C844BCA" w14:textId="77777777" w:rsidR="004779D9" w:rsidRPr="00FE714A" w:rsidRDefault="004779D9" w:rsidP="00E53739">
            <w:pPr>
              <w:pStyle w:val="TableText0"/>
              <w:keepNext w:val="0"/>
            </w:pPr>
          </w:p>
        </w:tc>
        <w:tc>
          <w:tcPr>
            <w:tcW w:w="3027" w:type="pct"/>
            <w:tcBorders>
              <w:top w:val="nil"/>
              <w:bottom w:val="single" w:sz="4" w:space="0" w:color="auto"/>
            </w:tcBorders>
            <w:shd w:val="clear" w:color="auto" w:fill="B8CCE4" w:themeFill="accent1" w:themeFillTint="66"/>
            <w:vAlign w:val="center"/>
          </w:tcPr>
          <w:p w14:paraId="2A5C67AA" w14:textId="7081771C" w:rsidR="004779D9" w:rsidRPr="00FE714A" w:rsidRDefault="004779D9" w:rsidP="00E53739">
            <w:pPr>
              <w:pStyle w:val="TableText0"/>
              <w:keepNext w:val="0"/>
              <w:rPr>
                <w:szCs w:val="18"/>
              </w:rPr>
            </w:pPr>
            <w:r w:rsidRPr="00FE714A">
              <w:rPr>
                <w:szCs w:val="18"/>
              </w:rPr>
              <w:t xml:space="preserve">Thyssen et al. Patient reported outcomes from the JADE COMPARE randomized phase 3 study of </w:t>
            </w:r>
            <w:proofErr w:type="spellStart"/>
            <w:r w:rsidRPr="00FE714A">
              <w:rPr>
                <w:szCs w:val="18"/>
              </w:rPr>
              <w:t>abrocitinib</w:t>
            </w:r>
            <w:proofErr w:type="spellEnd"/>
            <w:r w:rsidRPr="00FE714A">
              <w:rPr>
                <w:szCs w:val="18"/>
              </w:rPr>
              <w:t xml:space="preserve"> in adults with moderate to severe </w:t>
            </w:r>
          </w:p>
        </w:tc>
        <w:tc>
          <w:tcPr>
            <w:tcW w:w="1177" w:type="pct"/>
            <w:tcBorders>
              <w:top w:val="nil"/>
              <w:bottom w:val="single" w:sz="4" w:space="0" w:color="auto"/>
            </w:tcBorders>
            <w:shd w:val="clear" w:color="auto" w:fill="B8CCE4" w:themeFill="accent1" w:themeFillTint="66"/>
            <w:vAlign w:val="center"/>
          </w:tcPr>
          <w:p w14:paraId="3601B229" w14:textId="77777777" w:rsidR="004779D9" w:rsidRPr="00FE714A" w:rsidRDefault="004779D9" w:rsidP="00E53739">
            <w:pPr>
              <w:pStyle w:val="TableText0"/>
              <w:keepNext w:val="0"/>
              <w:rPr>
                <w:iCs/>
                <w:szCs w:val="18"/>
              </w:rPr>
            </w:pPr>
            <w:r w:rsidRPr="00FE714A">
              <w:rPr>
                <w:i/>
                <w:szCs w:val="18"/>
              </w:rPr>
              <w:t xml:space="preserve">J </w:t>
            </w:r>
            <w:proofErr w:type="spellStart"/>
            <w:r w:rsidRPr="00FE714A">
              <w:rPr>
                <w:i/>
                <w:szCs w:val="18"/>
              </w:rPr>
              <w:t>Eur</w:t>
            </w:r>
            <w:proofErr w:type="spellEnd"/>
            <w:r w:rsidRPr="00FE714A">
              <w:rPr>
                <w:i/>
                <w:szCs w:val="18"/>
              </w:rPr>
              <w:t xml:space="preserve"> </w:t>
            </w:r>
            <w:proofErr w:type="spellStart"/>
            <w:r w:rsidRPr="00FE714A">
              <w:rPr>
                <w:i/>
                <w:szCs w:val="18"/>
              </w:rPr>
              <w:t>Acad</w:t>
            </w:r>
            <w:proofErr w:type="spellEnd"/>
            <w:r w:rsidRPr="00FE714A">
              <w:rPr>
                <w:i/>
                <w:szCs w:val="18"/>
              </w:rPr>
              <w:t xml:space="preserve"> Dermatol </w:t>
            </w:r>
            <w:proofErr w:type="spellStart"/>
            <w:r w:rsidRPr="00FE714A">
              <w:rPr>
                <w:i/>
                <w:szCs w:val="18"/>
              </w:rPr>
              <w:t>Venereol</w:t>
            </w:r>
            <w:proofErr w:type="spellEnd"/>
            <w:r w:rsidRPr="00FE714A">
              <w:rPr>
                <w:iCs/>
                <w:szCs w:val="18"/>
              </w:rPr>
              <w:t xml:space="preserve"> 2022 Mar; 36 (3):434 443.</w:t>
            </w:r>
          </w:p>
        </w:tc>
      </w:tr>
    </w:tbl>
    <w:p w14:paraId="049B1E3B" w14:textId="77777777" w:rsidR="00064515" w:rsidRPr="00FE714A" w:rsidRDefault="004779D9" w:rsidP="00D53704">
      <w:pPr>
        <w:pStyle w:val="FooterTableFigure"/>
      </w:pPr>
      <w:r w:rsidRPr="00FE714A">
        <w:t>Source: Table 2.2-1, pp54-58 of the submission.</w:t>
      </w:r>
    </w:p>
    <w:p w14:paraId="61BC7B01" w14:textId="13F6F82A" w:rsidR="004779D9" w:rsidRPr="00FE714A" w:rsidRDefault="004779D9" w:rsidP="00D53704">
      <w:pPr>
        <w:pStyle w:val="FooterTableFigure"/>
      </w:pPr>
      <w:r w:rsidRPr="00FE714A">
        <w:t>Blue shading indicates trials previously considered by the PBAC.</w:t>
      </w:r>
    </w:p>
    <w:p w14:paraId="16C7B13A" w14:textId="27E6B58F" w:rsidR="004779D9" w:rsidRPr="00FE714A" w:rsidRDefault="004779D9" w:rsidP="00EC5836">
      <w:pPr>
        <w:pStyle w:val="3-BodyText"/>
        <w:rPr>
          <w:color w:val="0066FF"/>
        </w:rPr>
      </w:pPr>
      <w:r w:rsidRPr="00FE714A">
        <w:t xml:space="preserve">The key features of the included randomised </w:t>
      </w:r>
      <w:r w:rsidR="005467FD" w:rsidRPr="00FE714A">
        <w:t xml:space="preserve">LEB and DUPI </w:t>
      </w:r>
      <w:r w:rsidRPr="00FE714A">
        <w:t>trials are summarised in</w:t>
      </w:r>
      <w:r w:rsidR="005467FD" w:rsidRPr="00FE714A">
        <w:t xml:space="preserve"> </w:t>
      </w:r>
      <w:r w:rsidR="005467FD" w:rsidRPr="00FE714A">
        <w:fldChar w:fldCharType="begin" w:fldLock="1"/>
      </w:r>
      <w:r w:rsidR="005467FD" w:rsidRPr="00FE714A">
        <w:instrText xml:space="preserve"> REF _Ref155651847 \h  \* MERGEFORMAT </w:instrText>
      </w:r>
      <w:r w:rsidR="005467FD" w:rsidRPr="00FE714A">
        <w:fldChar w:fldCharType="separate"/>
      </w:r>
      <w:r w:rsidR="00B3585E" w:rsidRPr="00B3585E">
        <w:t>Table 3</w:t>
      </w:r>
      <w:r w:rsidR="005467FD" w:rsidRPr="00FE714A">
        <w:fldChar w:fldCharType="end"/>
      </w:r>
      <w:r w:rsidRPr="00FE714A">
        <w:t xml:space="preserve">. </w:t>
      </w:r>
    </w:p>
    <w:p w14:paraId="05E6CC13" w14:textId="721DD081" w:rsidR="004779D9" w:rsidRPr="00FE714A" w:rsidRDefault="004779D9" w:rsidP="00550B5E">
      <w:pPr>
        <w:pStyle w:val="Caption"/>
        <w:rPr>
          <w:rStyle w:val="CommentReference"/>
          <w:rFonts w:eastAsiaTheme="majorEastAsia" w:cstheme="majorBidi"/>
          <w:b/>
          <w:szCs w:val="24"/>
        </w:rPr>
      </w:pPr>
      <w:bookmarkStart w:id="22" w:name="_Ref155651847"/>
      <w:r w:rsidRPr="00FE714A">
        <w:rPr>
          <w:rStyle w:val="CommentReference"/>
          <w:rFonts w:eastAsiaTheme="majorEastAsia" w:cstheme="majorBidi"/>
          <w:b/>
          <w:szCs w:val="24"/>
        </w:rPr>
        <w:lastRenderedPageBreak/>
        <w:t xml:space="preserve">Table </w:t>
      </w:r>
      <w:r w:rsidRPr="00FE714A">
        <w:rPr>
          <w:rStyle w:val="CommentReference"/>
          <w:rFonts w:eastAsiaTheme="majorEastAsia" w:cstheme="majorBidi"/>
          <w:b/>
          <w:szCs w:val="24"/>
        </w:rPr>
        <w:fldChar w:fldCharType="begin" w:fldLock="1"/>
      </w:r>
      <w:r w:rsidRPr="00FE714A">
        <w:rPr>
          <w:rStyle w:val="CommentReference"/>
          <w:rFonts w:eastAsiaTheme="majorEastAsia" w:cstheme="majorBidi"/>
          <w:b/>
          <w:szCs w:val="24"/>
        </w:rPr>
        <w:instrText xml:space="preserve"> SEQ Table \* ARABIC </w:instrText>
      </w:r>
      <w:r w:rsidRPr="00FE714A">
        <w:rPr>
          <w:rStyle w:val="CommentReference"/>
          <w:rFonts w:eastAsiaTheme="majorEastAsia" w:cstheme="majorBidi"/>
          <w:b/>
          <w:szCs w:val="24"/>
        </w:rPr>
        <w:fldChar w:fldCharType="separate"/>
      </w:r>
      <w:r w:rsidR="00B3585E">
        <w:rPr>
          <w:rStyle w:val="CommentReference"/>
          <w:rFonts w:eastAsiaTheme="majorEastAsia" w:cstheme="majorBidi"/>
          <w:b/>
          <w:noProof/>
          <w:szCs w:val="24"/>
        </w:rPr>
        <w:t>3</w:t>
      </w:r>
      <w:r w:rsidRPr="00FE714A">
        <w:rPr>
          <w:rStyle w:val="CommentReference"/>
          <w:rFonts w:eastAsiaTheme="majorEastAsia" w:cstheme="majorBidi"/>
          <w:b/>
          <w:szCs w:val="24"/>
        </w:rPr>
        <w:fldChar w:fldCharType="end"/>
      </w:r>
      <w:bookmarkEnd w:id="22"/>
      <w:r w:rsidRPr="00FE714A">
        <w:rPr>
          <w:rStyle w:val="CommentReference"/>
          <w:rFonts w:eastAsiaTheme="majorEastAsia" w:cstheme="majorBidi"/>
          <w:b/>
          <w:szCs w:val="24"/>
        </w:rPr>
        <w:t>: Key features of the included evidence</w:t>
      </w:r>
    </w:p>
    <w:tbl>
      <w:tblPr>
        <w:tblStyle w:val="TableGrid"/>
        <w:tblW w:w="0" w:type="auto"/>
        <w:tblLayout w:type="fixed"/>
        <w:tblCellMar>
          <w:left w:w="28" w:type="dxa"/>
          <w:right w:w="28" w:type="dxa"/>
        </w:tblCellMar>
        <w:tblLook w:val="04A0" w:firstRow="1" w:lastRow="0" w:firstColumn="1" w:lastColumn="0" w:noHBand="0" w:noVBand="1"/>
        <w:tblCaption w:val="Table 3: Key features of the included evidence"/>
      </w:tblPr>
      <w:tblGrid>
        <w:gridCol w:w="988"/>
        <w:gridCol w:w="425"/>
        <w:gridCol w:w="2268"/>
        <w:gridCol w:w="567"/>
        <w:gridCol w:w="2126"/>
        <w:gridCol w:w="1276"/>
        <w:gridCol w:w="1367"/>
      </w:tblGrid>
      <w:tr w:rsidR="004779D9" w:rsidRPr="00FE714A" w14:paraId="21936F8E" w14:textId="77777777" w:rsidTr="00FA02B9">
        <w:trPr>
          <w:tblHeader/>
        </w:trPr>
        <w:tc>
          <w:tcPr>
            <w:tcW w:w="988" w:type="dxa"/>
            <w:tcBorders>
              <w:top w:val="single" w:sz="4" w:space="0" w:color="auto"/>
              <w:left w:val="single" w:sz="4" w:space="0" w:color="auto"/>
              <w:bottom w:val="single" w:sz="4" w:space="0" w:color="auto"/>
              <w:right w:val="single" w:sz="4" w:space="0" w:color="auto"/>
            </w:tcBorders>
            <w:hideMark/>
          </w:tcPr>
          <w:p w14:paraId="022FABC1" w14:textId="77777777" w:rsidR="004779D9" w:rsidRPr="00FE714A" w:rsidRDefault="004779D9" w:rsidP="00550B5E">
            <w:pPr>
              <w:pStyle w:val="Tabletext"/>
              <w:keepNext/>
              <w:keepLines/>
              <w:rPr>
                <w:b/>
              </w:rPr>
            </w:pPr>
            <w:r w:rsidRPr="00FE714A">
              <w:rPr>
                <w:b/>
              </w:rPr>
              <w:t>Study</w:t>
            </w:r>
          </w:p>
        </w:tc>
        <w:tc>
          <w:tcPr>
            <w:tcW w:w="425" w:type="dxa"/>
            <w:tcBorders>
              <w:top w:val="single" w:sz="4" w:space="0" w:color="auto"/>
              <w:left w:val="single" w:sz="4" w:space="0" w:color="auto"/>
              <w:bottom w:val="single" w:sz="4" w:space="0" w:color="auto"/>
              <w:right w:val="single" w:sz="4" w:space="0" w:color="auto"/>
            </w:tcBorders>
          </w:tcPr>
          <w:p w14:paraId="79DCBD16" w14:textId="77777777" w:rsidR="004779D9" w:rsidRPr="00FE714A" w:rsidRDefault="004779D9" w:rsidP="00550B5E">
            <w:pPr>
              <w:pStyle w:val="Tabletext"/>
              <w:keepNext/>
              <w:keepLines/>
              <w:jc w:val="center"/>
              <w:rPr>
                <w:b/>
              </w:rPr>
            </w:pPr>
            <w:r w:rsidRPr="00FE714A">
              <w:rPr>
                <w:b/>
              </w:rPr>
              <w:t>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4EFB1E" w14:textId="77777777" w:rsidR="004779D9" w:rsidRPr="00FE714A" w:rsidRDefault="004779D9" w:rsidP="00550B5E">
            <w:pPr>
              <w:pStyle w:val="Tabletext"/>
              <w:keepNext/>
              <w:keepLines/>
              <w:jc w:val="center"/>
              <w:rPr>
                <w:b/>
              </w:rPr>
            </w:pPr>
            <w:r w:rsidRPr="00FE714A">
              <w:rPr>
                <w:b/>
              </w:rPr>
              <w:t>Design/duration</w:t>
            </w:r>
          </w:p>
        </w:tc>
        <w:tc>
          <w:tcPr>
            <w:tcW w:w="567" w:type="dxa"/>
            <w:tcBorders>
              <w:top w:val="single" w:sz="4" w:space="0" w:color="auto"/>
              <w:left w:val="single" w:sz="4" w:space="0" w:color="auto"/>
              <w:bottom w:val="single" w:sz="4" w:space="0" w:color="auto"/>
              <w:right w:val="single" w:sz="4" w:space="0" w:color="auto"/>
            </w:tcBorders>
            <w:vAlign w:val="center"/>
          </w:tcPr>
          <w:p w14:paraId="05047DB3" w14:textId="77777777" w:rsidR="004779D9" w:rsidRPr="00FE714A" w:rsidRDefault="004779D9" w:rsidP="00550B5E">
            <w:pPr>
              <w:pStyle w:val="Tabletext"/>
              <w:keepNext/>
              <w:keepLines/>
              <w:jc w:val="center"/>
              <w:rPr>
                <w:b/>
              </w:rPr>
            </w:pPr>
            <w:r w:rsidRPr="00FE714A">
              <w:rPr>
                <w:b/>
              </w:rPr>
              <w:t>Bias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5700AA" w14:textId="77777777" w:rsidR="004779D9" w:rsidRPr="00FE714A" w:rsidRDefault="004779D9" w:rsidP="00550B5E">
            <w:pPr>
              <w:pStyle w:val="Tabletext"/>
              <w:keepNext/>
              <w:keepLines/>
              <w:jc w:val="center"/>
              <w:rPr>
                <w:b/>
              </w:rPr>
            </w:pPr>
            <w:r w:rsidRPr="00FE714A">
              <w:rPr>
                <w:b/>
              </w:rPr>
              <w:t>Relevant comparison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C13BEB" w14:textId="77777777" w:rsidR="004779D9" w:rsidRPr="00FE714A" w:rsidRDefault="004779D9" w:rsidP="00550B5E">
            <w:pPr>
              <w:pStyle w:val="Tabletext"/>
              <w:keepNext/>
              <w:keepLines/>
              <w:jc w:val="center"/>
              <w:rPr>
                <w:b/>
              </w:rPr>
            </w:pPr>
            <w:r w:rsidRPr="00FE714A">
              <w:rPr>
                <w:b/>
              </w:rPr>
              <w:t>Population</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C248F1E" w14:textId="36B4E30C" w:rsidR="004779D9" w:rsidRPr="00FE714A" w:rsidRDefault="005467FD" w:rsidP="00550B5E">
            <w:pPr>
              <w:pStyle w:val="Tabletext"/>
              <w:keepNext/>
              <w:keepLines/>
              <w:jc w:val="center"/>
              <w:rPr>
                <w:b/>
              </w:rPr>
            </w:pPr>
            <w:r w:rsidRPr="00FE714A">
              <w:rPr>
                <w:b/>
              </w:rPr>
              <w:t xml:space="preserve">Primary </w:t>
            </w:r>
            <w:r w:rsidR="004779D9" w:rsidRPr="00FE714A">
              <w:rPr>
                <w:b/>
              </w:rPr>
              <w:t>outcomes</w:t>
            </w:r>
          </w:p>
        </w:tc>
      </w:tr>
      <w:tr w:rsidR="004779D9" w:rsidRPr="00FE714A" w14:paraId="0BE524E1" w14:textId="77777777" w:rsidTr="00E53739">
        <w:trPr>
          <w:trHeight w:val="94"/>
          <w:tblHeader/>
        </w:trPr>
        <w:tc>
          <w:tcPr>
            <w:tcW w:w="9017" w:type="dxa"/>
            <w:gridSpan w:val="7"/>
            <w:vAlign w:val="center"/>
          </w:tcPr>
          <w:p w14:paraId="302B6597" w14:textId="77777777" w:rsidR="004779D9" w:rsidRPr="00FE714A" w:rsidRDefault="004779D9" w:rsidP="00550B5E">
            <w:pPr>
              <w:pStyle w:val="Tabletext"/>
              <w:keepNext/>
              <w:keepLines/>
              <w:rPr>
                <w:b/>
                <w:bCs/>
              </w:rPr>
            </w:pPr>
            <w:r w:rsidRPr="00FE714A">
              <w:rPr>
                <w:b/>
                <w:bCs/>
              </w:rPr>
              <w:t>Lebrikizumab trials</w:t>
            </w:r>
          </w:p>
        </w:tc>
      </w:tr>
      <w:tr w:rsidR="004779D9" w:rsidRPr="00FE714A" w14:paraId="6CB24594" w14:textId="77777777" w:rsidTr="00FA02B9">
        <w:trPr>
          <w:trHeight w:val="64"/>
          <w:tblHeader/>
        </w:trPr>
        <w:tc>
          <w:tcPr>
            <w:tcW w:w="988" w:type="dxa"/>
            <w:vMerge w:val="restart"/>
            <w:vAlign w:val="center"/>
          </w:tcPr>
          <w:p w14:paraId="70C4891A" w14:textId="77777777" w:rsidR="004779D9" w:rsidRPr="00FE714A" w:rsidRDefault="004779D9" w:rsidP="00550B5E">
            <w:pPr>
              <w:pStyle w:val="Tabletext"/>
              <w:keepNext/>
              <w:keepLines/>
              <w:rPr>
                <w:iCs/>
              </w:rPr>
            </w:pPr>
            <w:r w:rsidRPr="00FE714A">
              <w:rPr>
                <w:iCs/>
              </w:rPr>
              <w:t>KGAF</w:t>
            </w:r>
          </w:p>
        </w:tc>
        <w:tc>
          <w:tcPr>
            <w:tcW w:w="425" w:type="dxa"/>
            <w:vMerge w:val="restart"/>
            <w:vAlign w:val="center"/>
          </w:tcPr>
          <w:p w14:paraId="3ECCA195" w14:textId="77777777" w:rsidR="004779D9" w:rsidRPr="00FE714A" w:rsidRDefault="004779D9" w:rsidP="00550B5E">
            <w:pPr>
              <w:pStyle w:val="Tabletext"/>
              <w:keepNext/>
              <w:keepLines/>
              <w:jc w:val="center"/>
              <w:rPr>
                <w:i/>
              </w:rPr>
            </w:pPr>
            <w:r w:rsidRPr="00FE714A">
              <w:rPr>
                <w:i/>
              </w:rPr>
              <w:t>127</w:t>
            </w:r>
            <w:r w:rsidRPr="00FE714A">
              <w:rPr>
                <w:i/>
                <w:vertAlign w:val="superscript"/>
              </w:rPr>
              <w:t>a</w:t>
            </w:r>
          </w:p>
        </w:tc>
        <w:tc>
          <w:tcPr>
            <w:tcW w:w="2268" w:type="dxa"/>
            <w:vMerge w:val="restart"/>
            <w:vAlign w:val="center"/>
          </w:tcPr>
          <w:p w14:paraId="4B5FA3C6" w14:textId="77777777" w:rsidR="004779D9" w:rsidRPr="00FE714A" w:rsidRDefault="004779D9" w:rsidP="00550B5E">
            <w:pPr>
              <w:pStyle w:val="Tabletext"/>
              <w:keepNext/>
              <w:keepLines/>
              <w:jc w:val="center"/>
              <w:rPr>
                <w:iCs/>
              </w:rPr>
            </w:pPr>
            <w:r w:rsidRPr="00FE714A">
              <w:rPr>
                <w:iCs/>
              </w:rPr>
              <w:t>P2b, R, MC, DB, PC, 16wk, rescue therapy allowed</w:t>
            </w:r>
          </w:p>
        </w:tc>
        <w:tc>
          <w:tcPr>
            <w:tcW w:w="567" w:type="dxa"/>
            <w:vMerge w:val="restart"/>
            <w:vAlign w:val="center"/>
          </w:tcPr>
          <w:p w14:paraId="2F1ACA2F" w14:textId="77777777" w:rsidR="004779D9" w:rsidRPr="00FE714A" w:rsidRDefault="004779D9" w:rsidP="00550B5E">
            <w:pPr>
              <w:pStyle w:val="Tabletext"/>
              <w:keepNext/>
              <w:keepLines/>
              <w:jc w:val="center"/>
              <w:rPr>
                <w:iCs/>
              </w:rPr>
            </w:pPr>
            <w:r w:rsidRPr="00FE714A">
              <w:rPr>
                <w:iCs/>
              </w:rPr>
              <w:t>Low</w:t>
            </w:r>
          </w:p>
        </w:tc>
        <w:tc>
          <w:tcPr>
            <w:tcW w:w="2126" w:type="dxa"/>
            <w:tcBorders>
              <w:top w:val="single" w:sz="4" w:space="0" w:color="auto"/>
              <w:left w:val="single" w:sz="4" w:space="0" w:color="auto"/>
              <w:bottom w:val="single" w:sz="4" w:space="0" w:color="auto"/>
              <w:right w:val="single" w:sz="4" w:space="0" w:color="auto"/>
            </w:tcBorders>
            <w:vAlign w:val="center"/>
          </w:tcPr>
          <w:p w14:paraId="31CB2C17" w14:textId="7FB6B7DA" w:rsidR="004779D9" w:rsidRPr="00FE714A" w:rsidRDefault="004779D9" w:rsidP="00550B5E">
            <w:pPr>
              <w:pStyle w:val="Tabletext"/>
              <w:keepNext/>
              <w:keepLines/>
              <w:jc w:val="center"/>
              <w:rPr>
                <w:iCs/>
              </w:rPr>
            </w:pPr>
            <w:r w:rsidRPr="00FE714A">
              <w:rPr>
                <w:iCs/>
              </w:rPr>
              <w:t>LEB 25</w:t>
            </w:r>
            <w:r w:rsidR="00FE714A">
              <w:rPr>
                <w:iCs/>
              </w:rPr>
              <w:t>0 mg</w:t>
            </w:r>
            <w:r w:rsidRPr="00FE714A">
              <w:rPr>
                <w:iCs/>
              </w:rPr>
              <w:t xml:space="preserve"> Q2W </w:t>
            </w:r>
            <w:r w:rsidRPr="00FE714A">
              <w:rPr>
                <w:iCs/>
                <w:vertAlign w:val="superscript"/>
              </w:rPr>
              <w:t>b</w:t>
            </w:r>
          </w:p>
        </w:tc>
        <w:tc>
          <w:tcPr>
            <w:tcW w:w="1276" w:type="dxa"/>
            <w:vMerge w:val="restart"/>
            <w:shd w:val="clear" w:color="auto" w:fill="auto"/>
            <w:vAlign w:val="center"/>
          </w:tcPr>
          <w:p w14:paraId="5A673EFA" w14:textId="77777777" w:rsidR="004779D9" w:rsidRPr="00FE714A" w:rsidRDefault="004779D9" w:rsidP="00550B5E">
            <w:pPr>
              <w:pStyle w:val="Tabletext"/>
              <w:keepNext/>
              <w:keepLines/>
              <w:jc w:val="center"/>
            </w:pPr>
            <w:r w:rsidRPr="00FE714A">
              <w:t>M-S AD; adults</w:t>
            </w:r>
          </w:p>
        </w:tc>
        <w:tc>
          <w:tcPr>
            <w:tcW w:w="1367" w:type="dxa"/>
            <w:vMerge w:val="restart"/>
            <w:shd w:val="clear" w:color="auto" w:fill="auto"/>
            <w:vAlign w:val="center"/>
          </w:tcPr>
          <w:p w14:paraId="45E7E7BE" w14:textId="77777777" w:rsidR="004779D9" w:rsidRPr="00FE714A" w:rsidRDefault="004779D9" w:rsidP="00550B5E">
            <w:pPr>
              <w:pStyle w:val="Tabletext"/>
              <w:keepNext/>
              <w:keepLines/>
              <w:jc w:val="center"/>
            </w:pPr>
            <w:r w:rsidRPr="00FE714A">
              <w:t>% change in EASI at wk16</w:t>
            </w:r>
          </w:p>
        </w:tc>
      </w:tr>
      <w:tr w:rsidR="004779D9" w:rsidRPr="00FE714A" w14:paraId="3BA059BE" w14:textId="77777777" w:rsidTr="00FA02B9">
        <w:trPr>
          <w:trHeight w:val="62"/>
          <w:tblHeader/>
        </w:trPr>
        <w:tc>
          <w:tcPr>
            <w:tcW w:w="988" w:type="dxa"/>
            <w:vMerge/>
            <w:vAlign w:val="center"/>
          </w:tcPr>
          <w:p w14:paraId="0E242BA4" w14:textId="77777777" w:rsidR="004779D9" w:rsidRPr="00FE714A" w:rsidRDefault="004779D9" w:rsidP="00550B5E">
            <w:pPr>
              <w:pStyle w:val="Tabletext"/>
              <w:keepNext/>
              <w:keepLines/>
              <w:rPr>
                <w:iCs/>
              </w:rPr>
            </w:pPr>
          </w:p>
        </w:tc>
        <w:tc>
          <w:tcPr>
            <w:tcW w:w="425" w:type="dxa"/>
            <w:vMerge/>
            <w:vAlign w:val="center"/>
          </w:tcPr>
          <w:p w14:paraId="1CAAE336" w14:textId="77777777" w:rsidR="004779D9" w:rsidRPr="00FE714A" w:rsidRDefault="004779D9" w:rsidP="00550B5E">
            <w:pPr>
              <w:pStyle w:val="Tabletext"/>
              <w:keepNext/>
              <w:keepLines/>
              <w:jc w:val="center"/>
              <w:rPr>
                <w:i/>
              </w:rPr>
            </w:pPr>
          </w:p>
        </w:tc>
        <w:tc>
          <w:tcPr>
            <w:tcW w:w="2268" w:type="dxa"/>
            <w:vMerge/>
            <w:vAlign w:val="center"/>
          </w:tcPr>
          <w:p w14:paraId="62DB3DAC" w14:textId="77777777" w:rsidR="004779D9" w:rsidRPr="00FE714A" w:rsidRDefault="004779D9" w:rsidP="00550B5E">
            <w:pPr>
              <w:pStyle w:val="Tabletext"/>
              <w:keepNext/>
              <w:keepLines/>
              <w:jc w:val="center"/>
              <w:rPr>
                <w:iCs/>
              </w:rPr>
            </w:pPr>
          </w:p>
        </w:tc>
        <w:tc>
          <w:tcPr>
            <w:tcW w:w="567" w:type="dxa"/>
            <w:vMerge/>
            <w:vAlign w:val="center"/>
          </w:tcPr>
          <w:p w14:paraId="0FD9CC06" w14:textId="77777777" w:rsidR="004779D9" w:rsidRPr="00FE714A" w:rsidRDefault="004779D9" w:rsidP="00550B5E">
            <w:pPr>
              <w:pStyle w:val="Tabletext"/>
              <w:keepNext/>
              <w:keepLines/>
              <w:jc w:val="center"/>
              <w:rPr>
                <w:iCs/>
              </w:rPr>
            </w:pPr>
          </w:p>
        </w:tc>
        <w:tc>
          <w:tcPr>
            <w:tcW w:w="2126" w:type="dxa"/>
            <w:tcBorders>
              <w:top w:val="single" w:sz="4" w:space="0" w:color="auto"/>
              <w:left w:val="single" w:sz="4" w:space="0" w:color="auto"/>
              <w:bottom w:val="single" w:sz="4" w:space="0" w:color="auto"/>
              <w:right w:val="single" w:sz="4" w:space="0" w:color="auto"/>
            </w:tcBorders>
            <w:vAlign w:val="center"/>
          </w:tcPr>
          <w:p w14:paraId="3174C22B" w14:textId="77777777" w:rsidR="004779D9" w:rsidRPr="00FE714A" w:rsidRDefault="004779D9" w:rsidP="00550B5E">
            <w:pPr>
              <w:pStyle w:val="Tabletext"/>
              <w:keepNext/>
              <w:keepLines/>
              <w:jc w:val="center"/>
              <w:rPr>
                <w:iCs/>
              </w:rPr>
            </w:pPr>
            <w:r w:rsidRPr="00FE714A">
              <w:rPr>
                <w:iCs/>
              </w:rPr>
              <w:t>PBO Q2W</w:t>
            </w:r>
          </w:p>
        </w:tc>
        <w:tc>
          <w:tcPr>
            <w:tcW w:w="1276" w:type="dxa"/>
            <w:vMerge/>
            <w:shd w:val="clear" w:color="auto" w:fill="auto"/>
            <w:vAlign w:val="center"/>
          </w:tcPr>
          <w:p w14:paraId="6749CA1B" w14:textId="77777777" w:rsidR="004779D9" w:rsidRPr="00FE714A" w:rsidRDefault="004779D9" w:rsidP="00550B5E">
            <w:pPr>
              <w:pStyle w:val="Tabletext"/>
              <w:keepNext/>
              <w:keepLines/>
              <w:jc w:val="center"/>
            </w:pPr>
          </w:p>
        </w:tc>
        <w:tc>
          <w:tcPr>
            <w:tcW w:w="1367" w:type="dxa"/>
            <w:vMerge/>
            <w:shd w:val="clear" w:color="auto" w:fill="auto"/>
            <w:vAlign w:val="center"/>
          </w:tcPr>
          <w:p w14:paraId="14DB4986" w14:textId="77777777" w:rsidR="004779D9" w:rsidRPr="00FE714A" w:rsidRDefault="004779D9" w:rsidP="00550B5E">
            <w:pPr>
              <w:pStyle w:val="Tabletext"/>
              <w:keepNext/>
              <w:keepLines/>
              <w:jc w:val="center"/>
            </w:pPr>
          </w:p>
        </w:tc>
      </w:tr>
      <w:tr w:rsidR="004779D9" w:rsidRPr="00FE714A" w14:paraId="56D3D89D" w14:textId="77777777" w:rsidTr="00FA02B9">
        <w:trPr>
          <w:trHeight w:val="94"/>
          <w:tblHeader/>
        </w:trPr>
        <w:tc>
          <w:tcPr>
            <w:tcW w:w="988" w:type="dxa"/>
            <w:vAlign w:val="center"/>
          </w:tcPr>
          <w:p w14:paraId="119FB37B" w14:textId="77777777" w:rsidR="004779D9" w:rsidRPr="00FE714A" w:rsidRDefault="004779D9" w:rsidP="00550B5E">
            <w:pPr>
              <w:pStyle w:val="Tabletext"/>
              <w:keepNext/>
              <w:keepLines/>
              <w:rPr>
                <w:iCs/>
              </w:rPr>
            </w:pPr>
            <w:proofErr w:type="spellStart"/>
            <w:r w:rsidRPr="00FE714A">
              <w:rPr>
                <w:iCs/>
              </w:rPr>
              <w:t>ADvocate</w:t>
            </w:r>
            <w:proofErr w:type="spellEnd"/>
            <w:r w:rsidRPr="00FE714A">
              <w:rPr>
                <w:iCs/>
              </w:rPr>
              <w:t xml:space="preserve"> 1</w:t>
            </w:r>
          </w:p>
        </w:tc>
        <w:tc>
          <w:tcPr>
            <w:tcW w:w="425" w:type="dxa"/>
            <w:vAlign w:val="center"/>
          </w:tcPr>
          <w:p w14:paraId="36B526EA" w14:textId="77777777" w:rsidR="004779D9" w:rsidRPr="00FE714A" w:rsidRDefault="004779D9" w:rsidP="00550B5E">
            <w:pPr>
              <w:pStyle w:val="Tabletext"/>
              <w:keepNext/>
              <w:keepLines/>
              <w:jc w:val="center"/>
              <w:rPr>
                <w:i/>
              </w:rPr>
            </w:pPr>
            <w:r w:rsidRPr="00FE714A">
              <w:rPr>
                <w:i/>
              </w:rPr>
              <w:t>424</w:t>
            </w:r>
          </w:p>
        </w:tc>
        <w:tc>
          <w:tcPr>
            <w:tcW w:w="2268" w:type="dxa"/>
            <w:vMerge w:val="restart"/>
            <w:vAlign w:val="center"/>
          </w:tcPr>
          <w:p w14:paraId="5EA29F72" w14:textId="77777777" w:rsidR="004779D9" w:rsidRPr="00FE714A" w:rsidRDefault="004779D9" w:rsidP="00550B5E">
            <w:pPr>
              <w:pStyle w:val="Tabletext"/>
              <w:keepNext/>
              <w:keepLines/>
              <w:jc w:val="center"/>
              <w:rPr>
                <w:iCs/>
              </w:rPr>
            </w:pPr>
            <w:r w:rsidRPr="00FE714A">
              <w:rPr>
                <w:iCs/>
              </w:rPr>
              <w:t>P3, R, MC, DB, PC, 16wk</w:t>
            </w:r>
            <w:r w:rsidRPr="00FE714A">
              <w:rPr>
                <w:iCs/>
                <w:vertAlign w:val="superscript"/>
              </w:rPr>
              <w:t xml:space="preserve"> c</w:t>
            </w:r>
            <w:r w:rsidRPr="00FE714A">
              <w:rPr>
                <w:iCs/>
              </w:rPr>
              <w:t>, rescue therapy allowed</w:t>
            </w:r>
          </w:p>
        </w:tc>
        <w:tc>
          <w:tcPr>
            <w:tcW w:w="567" w:type="dxa"/>
            <w:vMerge w:val="restart"/>
            <w:vAlign w:val="center"/>
          </w:tcPr>
          <w:p w14:paraId="1FCBBA59" w14:textId="77777777" w:rsidR="004779D9" w:rsidRPr="00FE714A" w:rsidRDefault="004779D9" w:rsidP="00550B5E">
            <w:pPr>
              <w:pStyle w:val="Tabletext"/>
              <w:keepNext/>
              <w:keepLines/>
              <w:jc w:val="center"/>
              <w:rPr>
                <w:iCs/>
              </w:rPr>
            </w:pPr>
            <w:r w:rsidRPr="00FE714A">
              <w:rPr>
                <w:iCs/>
              </w:rPr>
              <w:t>Low</w:t>
            </w:r>
          </w:p>
        </w:tc>
        <w:tc>
          <w:tcPr>
            <w:tcW w:w="2126" w:type="dxa"/>
            <w:tcBorders>
              <w:top w:val="single" w:sz="4" w:space="0" w:color="auto"/>
              <w:left w:val="single" w:sz="4" w:space="0" w:color="auto"/>
              <w:bottom w:val="single" w:sz="4" w:space="0" w:color="auto"/>
              <w:right w:val="single" w:sz="4" w:space="0" w:color="auto"/>
            </w:tcBorders>
            <w:vAlign w:val="center"/>
          </w:tcPr>
          <w:p w14:paraId="65B8AB51" w14:textId="055D39FF" w:rsidR="004779D9" w:rsidRPr="00FE714A" w:rsidRDefault="004779D9" w:rsidP="00550B5E">
            <w:pPr>
              <w:pStyle w:val="Tabletext"/>
              <w:keepNext/>
              <w:keepLines/>
              <w:jc w:val="center"/>
              <w:rPr>
                <w:iCs/>
              </w:rPr>
            </w:pPr>
            <w:r w:rsidRPr="00FE714A">
              <w:rPr>
                <w:iCs/>
              </w:rPr>
              <w:t>LEB 25</w:t>
            </w:r>
            <w:r w:rsidR="00FE714A">
              <w:rPr>
                <w:iCs/>
              </w:rPr>
              <w:t>0 mg</w:t>
            </w:r>
            <w:r w:rsidRPr="00FE714A">
              <w:rPr>
                <w:iCs/>
              </w:rPr>
              <w:t xml:space="preserve"> Q2W </w:t>
            </w:r>
            <w:r w:rsidRPr="00FE714A">
              <w:rPr>
                <w:iCs/>
                <w:vertAlign w:val="superscript"/>
              </w:rPr>
              <w:t>b</w:t>
            </w:r>
          </w:p>
        </w:tc>
        <w:tc>
          <w:tcPr>
            <w:tcW w:w="1276" w:type="dxa"/>
            <w:vMerge w:val="restart"/>
            <w:shd w:val="clear" w:color="auto" w:fill="auto"/>
            <w:vAlign w:val="center"/>
          </w:tcPr>
          <w:p w14:paraId="78912B19" w14:textId="77777777" w:rsidR="004779D9" w:rsidRPr="00FE714A" w:rsidRDefault="004779D9" w:rsidP="00550B5E">
            <w:pPr>
              <w:pStyle w:val="Tabletext"/>
              <w:keepNext/>
              <w:keepLines/>
              <w:jc w:val="center"/>
            </w:pPr>
            <w:r w:rsidRPr="00FE714A">
              <w:t>M-S AD; adults &amp; adolescents</w:t>
            </w:r>
          </w:p>
        </w:tc>
        <w:tc>
          <w:tcPr>
            <w:tcW w:w="1367" w:type="dxa"/>
            <w:vMerge w:val="restart"/>
            <w:shd w:val="clear" w:color="auto" w:fill="auto"/>
            <w:vAlign w:val="center"/>
          </w:tcPr>
          <w:p w14:paraId="742F54C4" w14:textId="77777777" w:rsidR="004779D9" w:rsidRPr="00FE714A" w:rsidRDefault="004779D9" w:rsidP="00550B5E">
            <w:pPr>
              <w:pStyle w:val="Tabletext"/>
              <w:keepNext/>
              <w:keepLines/>
              <w:jc w:val="center"/>
            </w:pPr>
            <w:r w:rsidRPr="00FE714A">
              <w:t>IGA 0/1</w:t>
            </w:r>
            <w:r w:rsidRPr="00FE714A">
              <w:rPr>
                <w:vertAlign w:val="superscript"/>
              </w:rPr>
              <w:t xml:space="preserve">d </w:t>
            </w:r>
            <w:r w:rsidRPr="00FE714A">
              <w:t>&amp; EASI 75 at wk16</w:t>
            </w:r>
          </w:p>
        </w:tc>
      </w:tr>
      <w:tr w:rsidR="004779D9" w:rsidRPr="00FE714A" w14:paraId="7D695CC1" w14:textId="77777777" w:rsidTr="00FA02B9">
        <w:trPr>
          <w:trHeight w:val="94"/>
          <w:tblHeader/>
        </w:trPr>
        <w:tc>
          <w:tcPr>
            <w:tcW w:w="988" w:type="dxa"/>
            <w:vAlign w:val="center"/>
          </w:tcPr>
          <w:p w14:paraId="1829F127" w14:textId="77777777" w:rsidR="004779D9" w:rsidRPr="00FE714A" w:rsidRDefault="004779D9" w:rsidP="00550B5E">
            <w:pPr>
              <w:pStyle w:val="Tabletext"/>
              <w:keepNext/>
              <w:keepLines/>
              <w:rPr>
                <w:iCs/>
              </w:rPr>
            </w:pPr>
            <w:proofErr w:type="spellStart"/>
            <w:r w:rsidRPr="00FE714A">
              <w:rPr>
                <w:iCs/>
              </w:rPr>
              <w:t>ADvocate</w:t>
            </w:r>
            <w:proofErr w:type="spellEnd"/>
            <w:r w:rsidRPr="00FE714A">
              <w:rPr>
                <w:iCs/>
              </w:rPr>
              <w:t xml:space="preserve"> 2</w:t>
            </w:r>
          </w:p>
        </w:tc>
        <w:tc>
          <w:tcPr>
            <w:tcW w:w="425" w:type="dxa"/>
            <w:vAlign w:val="center"/>
          </w:tcPr>
          <w:p w14:paraId="1C153126" w14:textId="77777777" w:rsidR="004779D9" w:rsidRPr="00FE714A" w:rsidRDefault="004779D9" w:rsidP="00550B5E">
            <w:pPr>
              <w:pStyle w:val="Tabletext"/>
              <w:keepNext/>
              <w:keepLines/>
              <w:jc w:val="center"/>
              <w:rPr>
                <w:i/>
              </w:rPr>
            </w:pPr>
            <w:r w:rsidRPr="00FE714A">
              <w:rPr>
                <w:i/>
              </w:rPr>
              <w:t>427</w:t>
            </w:r>
          </w:p>
        </w:tc>
        <w:tc>
          <w:tcPr>
            <w:tcW w:w="2268" w:type="dxa"/>
            <w:vMerge/>
            <w:vAlign w:val="center"/>
          </w:tcPr>
          <w:p w14:paraId="740B3952" w14:textId="77777777" w:rsidR="004779D9" w:rsidRPr="00FE714A" w:rsidRDefault="004779D9" w:rsidP="00550B5E">
            <w:pPr>
              <w:pStyle w:val="Tabletext"/>
              <w:keepNext/>
              <w:keepLines/>
              <w:jc w:val="center"/>
              <w:rPr>
                <w:iCs/>
              </w:rPr>
            </w:pPr>
          </w:p>
        </w:tc>
        <w:tc>
          <w:tcPr>
            <w:tcW w:w="567" w:type="dxa"/>
            <w:vMerge/>
            <w:vAlign w:val="center"/>
          </w:tcPr>
          <w:p w14:paraId="6DA2F9AB" w14:textId="77777777" w:rsidR="004779D9" w:rsidRPr="00FE714A" w:rsidRDefault="004779D9" w:rsidP="00550B5E">
            <w:pPr>
              <w:pStyle w:val="Tabletext"/>
              <w:keepNext/>
              <w:keepLines/>
              <w:jc w:val="center"/>
              <w:rPr>
                <w:iCs/>
              </w:rPr>
            </w:pPr>
          </w:p>
        </w:tc>
        <w:tc>
          <w:tcPr>
            <w:tcW w:w="2126" w:type="dxa"/>
            <w:tcBorders>
              <w:top w:val="single" w:sz="4" w:space="0" w:color="auto"/>
              <w:left w:val="single" w:sz="4" w:space="0" w:color="auto"/>
              <w:bottom w:val="single" w:sz="4" w:space="0" w:color="auto"/>
              <w:right w:val="single" w:sz="4" w:space="0" w:color="auto"/>
            </w:tcBorders>
            <w:vAlign w:val="center"/>
          </w:tcPr>
          <w:p w14:paraId="20511121" w14:textId="77777777" w:rsidR="004779D9" w:rsidRPr="00FE714A" w:rsidRDefault="004779D9" w:rsidP="00550B5E">
            <w:pPr>
              <w:pStyle w:val="Tabletext"/>
              <w:keepNext/>
              <w:keepLines/>
              <w:jc w:val="center"/>
              <w:rPr>
                <w:iCs/>
              </w:rPr>
            </w:pPr>
            <w:r w:rsidRPr="00FE714A">
              <w:rPr>
                <w:iCs/>
              </w:rPr>
              <w:t>PBO Q2W</w:t>
            </w:r>
          </w:p>
        </w:tc>
        <w:tc>
          <w:tcPr>
            <w:tcW w:w="1276" w:type="dxa"/>
            <w:vMerge/>
            <w:shd w:val="clear" w:color="auto" w:fill="auto"/>
            <w:vAlign w:val="center"/>
          </w:tcPr>
          <w:p w14:paraId="610AEA24" w14:textId="77777777" w:rsidR="004779D9" w:rsidRPr="00FE714A" w:rsidRDefault="004779D9" w:rsidP="00550B5E">
            <w:pPr>
              <w:pStyle w:val="Tabletext"/>
              <w:keepNext/>
              <w:keepLines/>
              <w:jc w:val="center"/>
            </w:pPr>
          </w:p>
        </w:tc>
        <w:tc>
          <w:tcPr>
            <w:tcW w:w="1367" w:type="dxa"/>
            <w:vMerge/>
            <w:shd w:val="clear" w:color="auto" w:fill="auto"/>
            <w:vAlign w:val="center"/>
          </w:tcPr>
          <w:p w14:paraId="7AC54808" w14:textId="77777777" w:rsidR="004779D9" w:rsidRPr="00FE714A" w:rsidRDefault="004779D9" w:rsidP="00550B5E">
            <w:pPr>
              <w:pStyle w:val="Tabletext"/>
              <w:keepNext/>
              <w:keepLines/>
              <w:jc w:val="center"/>
            </w:pPr>
          </w:p>
        </w:tc>
      </w:tr>
      <w:tr w:rsidR="004779D9" w:rsidRPr="00FE714A" w14:paraId="7D95B171" w14:textId="77777777" w:rsidTr="00FA02B9">
        <w:trPr>
          <w:trHeight w:val="94"/>
          <w:tblHeader/>
        </w:trPr>
        <w:tc>
          <w:tcPr>
            <w:tcW w:w="988" w:type="dxa"/>
            <w:vMerge w:val="restart"/>
            <w:vAlign w:val="center"/>
          </w:tcPr>
          <w:p w14:paraId="4E185013" w14:textId="77777777" w:rsidR="004779D9" w:rsidRPr="00FE714A" w:rsidRDefault="004779D9" w:rsidP="00550B5E">
            <w:pPr>
              <w:pStyle w:val="Tabletext"/>
              <w:keepNext/>
              <w:keepLines/>
              <w:rPr>
                <w:iCs/>
              </w:rPr>
            </w:pPr>
            <w:proofErr w:type="spellStart"/>
            <w:r w:rsidRPr="00FE714A">
              <w:rPr>
                <w:iCs/>
              </w:rPr>
              <w:t>ADopt</w:t>
            </w:r>
            <w:proofErr w:type="spellEnd"/>
            <w:r w:rsidRPr="00FE714A">
              <w:rPr>
                <w:iCs/>
              </w:rPr>
              <w:t xml:space="preserve"> VA</w:t>
            </w:r>
          </w:p>
        </w:tc>
        <w:tc>
          <w:tcPr>
            <w:tcW w:w="425" w:type="dxa"/>
            <w:vMerge w:val="restart"/>
            <w:vAlign w:val="center"/>
          </w:tcPr>
          <w:p w14:paraId="15C4BB67" w14:textId="77777777" w:rsidR="004779D9" w:rsidRPr="00FE714A" w:rsidRDefault="004779D9" w:rsidP="00550B5E">
            <w:pPr>
              <w:pStyle w:val="Tabletext"/>
              <w:keepNext/>
              <w:keepLines/>
              <w:jc w:val="center"/>
              <w:rPr>
                <w:i/>
              </w:rPr>
            </w:pPr>
            <w:r w:rsidRPr="00FE714A">
              <w:rPr>
                <w:i/>
              </w:rPr>
              <w:t>247</w:t>
            </w:r>
          </w:p>
        </w:tc>
        <w:tc>
          <w:tcPr>
            <w:tcW w:w="2268" w:type="dxa"/>
            <w:vMerge w:val="restart"/>
            <w:vAlign w:val="center"/>
          </w:tcPr>
          <w:p w14:paraId="3756115F" w14:textId="77777777" w:rsidR="004779D9" w:rsidRPr="00FE714A" w:rsidRDefault="004779D9" w:rsidP="00550B5E">
            <w:pPr>
              <w:pStyle w:val="Tabletext"/>
              <w:keepNext/>
              <w:keepLines/>
              <w:jc w:val="center"/>
              <w:rPr>
                <w:iCs/>
                <w:vertAlign w:val="superscript"/>
              </w:rPr>
            </w:pPr>
            <w:r w:rsidRPr="00FE714A">
              <w:rPr>
                <w:iCs/>
              </w:rPr>
              <w:t>P3, R, MC, DB, PC, 16wk, rescue therapy allowed</w:t>
            </w:r>
          </w:p>
        </w:tc>
        <w:tc>
          <w:tcPr>
            <w:tcW w:w="567" w:type="dxa"/>
            <w:vMerge w:val="restart"/>
            <w:vAlign w:val="center"/>
          </w:tcPr>
          <w:p w14:paraId="7BE530C4" w14:textId="77777777" w:rsidR="004779D9" w:rsidRPr="00FE714A" w:rsidRDefault="004779D9" w:rsidP="00550B5E">
            <w:pPr>
              <w:pStyle w:val="Tabletext"/>
              <w:keepNext/>
              <w:keepLines/>
              <w:jc w:val="center"/>
              <w:rPr>
                <w:iCs/>
                <w:vertAlign w:val="superscript"/>
              </w:rPr>
            </w:pPr>
            <w:r w:rsidRPr="00FE714A">
              <w:rPr>
                <w:iCs/>
              </w:rPr>
              <w:t>Low</w:t>
            </w:r>
          </w:p>
        </w:tc>
        <w:tc>
          <w:tcPr>
            <w:tcW w:w="2126" w:type="dxa"/>
            <w:tcBorders>
              <w:top w:val="single" w:sz="4" w:space="0" w:color="auto"/>
              <w:left w:val="single" w:sz="4" w:space="0" w:color="auto"/>
              <w:bottom w:val="single" w:sz="4" w:space="0" w:color="auto"/>
              <w:right w:val="single" w:sz="4" w:space="0" w:color="auto"/>
            </w:tcBorders>
            <w:vAlign w:val="center"/>
          </w:tcPr>
          <w:p w14:paraId="228CC571" w14:textId="727B8B86" w:rsidR="004779D9" w:rsidRPr="00FE714A" w:rsidRDefault="004779D9" w:rsidP="00550B5E">
            <w:pPr>
              <w:pStyle w:val="Tabletext"/>
              <w:keepNext/>
              <w:keepLines/>
              <w:jc w:val="center"/>
              <w:rPr>
                <w:iCs/>
              </w:rPr>
            </w:pPr>
            <w:r w:rsidRPr="00FE714A">
              <w:rPr>
                <w:iCs/>
              </w:rPr>
              <w:t>LEB 25</w:t>
            </w:r>
            <w:r w:rsidR="00FE714A">
              <w:rPr>
                <w:iCs/>
              </w:rPr>
              <w:t>0 mg</w:t>
            </w:r>
            <w:r w:rsidRPr="00FE714A">
              <w:rPr>
                <w:iCs/>
              </w:rPr>
              <w:t xml:space="preserve"> Q2W </w:t>
            </w:r>
            <w:r w:rsidRPr="00FE714A">
              <w:rPr>
                <w:iCs/>
                <w:vertAlign w:val="superscript"/>
              </w:rPr>
              <w:t>b</w:t>
            </w:r>
          </w:p>
        </w:tc>
        <w:tc>
          <w:tcPr>
            <w:tcW w:w="1276" w:type="dxa"/>
            <w:vMerge w:val="restart"/>
            <w:shd w:val="clear" w:color="auto" w:fill="auto"/>
            <w:vAlign w:val="center"/>
          </w:tcPr>
          <w:p w14:paraId="0D7F4BCF" w14:textId="77777777" w:rsidR="004779D9" w:rsidRPr="00FE714A" w:rsidRDefault="004779D9" w:rsidP="00550B5E">
            <w:pPr>
              <w:pStyle w:val="Tabletext"/>
              <w:keepNext/>
              <w:keepLines/>
              <w:jc w:val="center"/>
            </w:pPr>
            <w:r w:rsidRPr="00FE714A">
              <w:t>M-S AD; aged 18 to 55 years</w:t>
            </w:r>
          </w:p>
        </w:tc>
        <w:tc>
          <w:tcPr>
            <w:tcW w:w="1367" w:type="dxa"/>
            <w:vMerge w:val="restart"/>
            <w:shd w:val="clear" w:color="auto" w:fill="auto"/>
            <w:vAlign w:val="center"/>
          </w:tcPr>
          <w:p w14:paraId="678BE9D0" w14:textId="77777777" w:rsidR="004779D9" w:rsidRPr="00FE714A" w:rsidRDefault="004779D9" w:rsidP="00550B5E">
            <w:pPr>
              <w:pStyle w:val="Tabletext"/>
              <w:keepNext/>
              <w:keepLines/>
              <w:jc w:val="center"/>
            </w:pPr>
            <w:r w:rsidRPr="00FE714A">
              <w:t>Booster response to TT &amp; +antibody response to MCV</w:t>
            </w:r>
          </w:p>
        </w:tc>
      </w:tr>
      <w:tr w:rsidR="004779D9" w:rsidRPr="00FE714A" w14:paraId="1089E4FF" w14:textId="77777777" w:rsidTr="00FA02B9">
        <w:trPr>
          <w:trHeight w:val="94"/>
          <w:tblHeader/>
        </w:trPr>
        <w:tc>
          <w:tcPr>
            <w:tcW w:w="988" w:type="dxa"/>
            <w:vMerge/>
            <w:vAlign w:val="center"/>
          </w:tcPr>
          <w:p w14:paraId="72C536EE" w14:textId="77777777" w:rsidR="004779D9" w:rsidRPr="00FE714A" w:rsidRDefault="004779D9" w:rsidP="00550B5E">
            <w:pPr>
              <w:pStyle w:val="Tabletext"/>
              <w:keepNext/>
              <w:keepLines/>
              <w:rPr>
                <w:iCs/>
              </w:rPr>
            </w:pPr>
          </w:p>
        </w:tc>
        <w:tc>
          <w:tcPr>
            <w:tcW w:w="425" w:type="dxa"/>
            <w:vMerge/>
            <w:vAlign w:val="center"/>
          </w:tcPr>
          <w:p w14:paraId="12D94478" w14:textId="77777777" w:rsidR="004779D9" w:rsidRPr="00FE714A" w:rsidRDefault="004779D9" w:rsidP="00550B5E">
            <w:pPr>
              <w:pStyle w:val="Tabletext"/>
              <w:keepNext/>
              <w:keepLines/>
              <w:jc w:val="center"/>
              <w:rPr>
                <w:iCs/>
              </w:rPr>
            </w:pPr>
          </w:p>
        </w:tc>
        <w:tc>
          <w:tcPr>
            <w:tcW w:w="2268" w:type="dxa"/>
            <w:vMerge/>
            <w:vAlign w:val="center"/>
          </w:tcPr>
          <w:p w14:paraId="34247ABF" w14:textId="77777777" w:rsidR="004779D9" w:rsidRPr="00FE714A" w:rsidRDefault="004779D9" w:rsidP="00550B5E">
            <w:pPr>
              <w:pStyle w:val="Tabletext"/>
              <w:keepNext/>
              <w:keepLines/>
              <w:jc w:val="center"/>
              <w:rPr>
                <w:iCs/>
              </w:rPr>
            </w:pPr>
          </w:p>
        </w:tc>
        <w:tc>
          <w:tcPr>
            <w:tcW w:w="567" w:type="dxa"/>
            <w:vMerge/>
            <w:vAlign w:val="center"/>
          </w:tcPr>
          <w:p w14:paraId="7685D257" w14:textId="77777777" w:rsidR="004779D9" w:rsidRPr="00FE714A" w:rsidRDefault="004779D9" w:rsidP="00550B5E">
            <w:pPr>
              <w:pStyle w:val="Tabletext"/>
              <w:keepNext/>
              <w:keepLines/>
              <w:jc w:val="center"/>
              <w:rPr>
                <w:iCs/>
              </w:rPr>
            </w:pPr>
          </w:p>
        </w:tc>
        <w:tc>
          <w:tcPr>
            <w:tcW w:w="2126" w:type="dxa"/>
            <w:tcBorders>
              <w:top w:val="single" w:sz="4" w:space="0" w:color="auto"/>
              <w:left w:val="single" w:sz="4" w:space="0" w:color="auto"/>
              <w:bottom w:val="single" w:sz="4" w:space="0" w:color="auto"/>
              <w:right w:val="single" w:sz="4" w:space="0" w:color="auto"/>
            </w:tcBorders>
            <w:vAlign w:val="center"/>
          </w:tcPr>
          <w:p w14:paraId="06E35576" w14:textId="77777777" w:rsidR="004779D9" w:rsidRPr="00FE714A" w:rsidRDefault="004779D9" w:rsidP="00550B5E">
            <w:pPr>
              <w:pStyle w:val="Tabletext"/>
              <w:keepNext/>
              <w:keepLines/>
              <w:jc w:val="center"/>
              <w:rPr>
                <w:iCs/>
              </w:rPr>
            </w:pPr>
            <w:r w:rsidRPr="00FE714A">
              <w:rPr>
                <w:iCs/>
              </w:rPr>
              <w:t>PBO Q2W</w:t>
            </w:r>
          </w:p>
        </w:tc>
        <w:tc>
          <w:tcPr>
            <w:tcW w:w="1276" w:type="dxa"/>
            <w:vMerge/>
            <w:shd w:val="clear" w:color="auto" w:fill="auto"/>
            <w:vAlign w:val="center"/>
          </w:tcPr>
          <w:p w14:paraId="5A523B19" w14:textId="77777777" w:rsidR="004779D9" w:rsidRPr="00FE714A" w:rsidRDefault="004779D9" w:rsidP="00550B5E">
            <w:pPr>
              <w:pStyle w:val="Tabletext"/>
              <w:keepNext/>
              <w:keepLines/>
              <w:jc w:val="center"/>
            </w:pPr>
          </w:p>
        </w:tc>
        <w:tc>
          <w:tcPr>
            <w:tcW w:w="1367" w:type="dxa"/>
            <w:vMerge/>
            <w:shd w:val="clear" w:color="auto" w:fill="auto"/>
            <w:vAlign w:val="center"/>
          </w:tcPr>
          <w:p w14:paraId="1FB226DE" w14:textId="77777777" w:rsidR="004779D9" w:rsidRPr="00FE714A" w:rsidRDefault="004779D9" w:rsidP="00550B5E">
            <w:pPr>
              <w:pStyle w:val="Tabletext"/>
              <w:keepNext/>
              <w:keepLines/>
              <w:jc w:val="center"/>
            </w:pPr>
          </w:p>
        </w:tc>
      </w:tr>
      <w:tr w:rsidR="004779D9" w:rsidRPr="00FE714A" w14:paraId="0A7D3342" w14:textId="77777777" w:rsidTr="00FA02B9">
        <w:trPr>
          <w:trHeight w:val="94"/>
          <w:tblHeader/>
        </w:trPr>
        <w:tc>
          <w:tcPr>
            <w:tcW w:w="988" w:type="dxa"/>
            <w:vMerge w:val="restart"/>
            <w:vAlign w:val="center"/>
          </w:tcPr>
          <w:p w14:paraId="1522D604" w14:textId="77777777" w:rsidR="004779D9" w:rsidRPr="00FE714A" w:rsidRDefault="004779D9" w:rsidP="00550B5E">
            <w:pPr>
              <w:pStyle w:val="Tabletext"/>
              <w:keepNext/>
              <w:keepLines/>
              <w:rPr>
                <w:iCs/>
              </w:rPr>
            </w:pPr>
            <w:proofErr w:type="spellStart"/>
            <w:r w:rsidRPr="00FE714A">
              <w:rPr>
                <w:iCs/>
              </w:rPr>
              <w:t>ADhere</w:t>
            </w:r>
            <w:proofErr w:type="spellEnd"/>
          </w:p>
        </w:tc>
        <w:tc>
          <w:tcPr>
            <w:tcW w:w="425" w:type="dxa"/>
            <w:vMerge w:val="restart"/>
            <w:vAlign w:val="center"/>
          </w:tcPr>
          <w:p w14:paraId="747926F3" w14:textId="77777777" w:rsidR="004779D9" w:rsidRPr="00FE714A" w:rsidRDefault="004779D9" w:rsidP="00550B5E">
            <w:pPr>
              <w:pStyle w:val="Tabletext"/>
              <w:keepNext/>
              <w:keepLines/>
              <w:jc w:val="center"/>
              <w:rPr>
                <w:i/>
              </w:rPr>
            </w:pPr>
            <w:r w:rsidRPr="00FE714A">
              <w:rPr>
                <w:i/>
              </w:rPr>
              <w:t>211</w:t>
            </w:r>
          </w:p>
        </w:tc>
        <w:tc>
          <w:tcPr>
            <w:tcW w:w="2268" w:type="dxa"/>
            <w:vMerge w:val="restart"/>
            <w:vAlign w:val="center"/>
          </w:tcPr>
          <w:p w14:paraId="66D82DC3" w14:textId="77777777" w:rsidR="004779D9" w:rsidRPr="00FE714A" w:rsidRDefault="004779D9" w:rsidP="00550B5E">
            <w:pPr>
              <w:pStyle w:val="Tabletext"/>
              <w:keepNext/>
              <w:keepLines/>
              <w:jc w:val="center"/>
              <w:rPr>
                <w:iCs/>
              </w:rPr>
            </w:pPr>
            <w:r w:rsidRPr="00FE714A">
              <w:rPr>
                <w:iCs/>
              </w:rPr>
              <w:t>P3, R, MC, DB, PC, 16wk, rescue therapy allowed</w:t>
            </w:r>
          </w:p>
        </w:tc>
        <w:tc>
          <w:tcPr>
            <w:tcW w:w="567" w:type="dxa"/>
            <w:vMerge w:val="restart"/>
            <w:vAlign w:val="center"/>
          </w:tcPr>
          <w:p w14:paraId="0E608ADA" w14:textId="77777777" w:rsidR="004779D9" w:rsidRPr="00FE714A" w:rsidRDefault="004779D9" w:rsidP="00550B5E">
            <w:pPr>
              <w:pStyle w:val="Tabletext"/>
              <w:keepNext/>
              <w:keepLines/>
              <w:jc w:val="center"/>
              <w:rPr>
                <w:iCs/>
              </w:rPr>
            </w:pPr>
            <w:r w:rsidRPr="00FE714A">
              <w:rPr>
                <w:iCs/>
              </w:rPr>
              <w:t>Low</w:t>
            </w:r>
          </w:p>
        </w:tc>
        <w:tc>
          <w:tcPr>
            <w:tcW w:w="2126" w:type="dxa"/>
            <w:tcBorders>
              <w:top w:val="single" w:sz="4" w:space="0" w:color="auto"/>
              <w:left w:val="single" w:sz="4" w:space="0" w:color="auto"/>
              <w:bottom w:val="single" w:sz="4" w:space="0" w:color="auto"/>
              <w:right w:val="single" w:sz="4" w:space="0" w:color="auto"/>
            </w:tcBorders>
            <w:vAlign w:val="center"/>
          </w:tcPr>
          <w:p w14:paraId="28BB8E16" w14:textId="08A48F05" w:rsidR="004779D9" w:rsidRPr="00FE714A" w:rsidRDefault="004779D9" w:rsidP="00550B5E">
            <w:pPr>
              <w:pStyle w:val="Tabletext"/>
              <w:keepNext/>
              <w:keepLines/>
              <w:jc w:val="center"/>
              <w:rPr>
                <w:iCs/>
              </w:rPr>
            </w:pPr>
            <w:r w:rsidRPr="00FE714A">
              <w:rPr>
                <w:iCs/>
              </w:rPr>
              <w:t>LEB 25</w:t>
            </w:r>
            <w:r w:rsidR="00FE714A">
              <w:rPr>
                <w:iCs/>
              </w:rPr>
              <w:t>0 mg</w:t>
            </w:r>
            <w:r w:rsidRPr="00FE714A">
              <w:rPr>
                <w:iCs/>
              </w:rPr>
              <w:t xml:space="preserve"> Q2W </w:t>
            </w:r>
            <w:r w:rsidRPr="00FE714A">
              <w:rPr>
                <w:iCs/>
                <w:vertAlign w:val="superscript"/>
              </w:rPr>
              <w:t>b</w:t>
            </w:r>
            <w:r w:rsidRPr="00FE714A">
              <w:rPr>
                <w:iCs/>
              </w:rPr>
              <w:t xml:space="preserve"> + TCS</w:t>
            </w:r>
          </w:p>
        </w:tc>
        <w:tc>
          <w:tcPr>
            <w:tcW w:w="1276" w:type="dxa"/>
            <w:vMerge w:val="restart"/>
            <w:shd w:val="clear" w:color="auto" w:fill="auto"/>
            <w:vAlign w:val="center"/>
          </w:tcPr>
          <w:p w14:paraId="3E46A102" w14:textId="77777777" w:rsidR="004779D9" w:rsidRPr="00FE714A" w:rsidRDefault="004779D9" w:rsidP="00550B5E">
            <w:pPr>
              <w:pStyle w:val="Tabletext"/>
              <w:keepNext/>
              <w:keepLines/>
              <w:jc w:val="center"/>
            </w:pPr>
            <w:r w:rsidRPr="00FE714A">
              <w:t>M-S AD; adults &amp; adolescents</w:t>
            </w:r>
          </w:p>
        </w:tc>
        <w:tc>
          <w:tcPr>
            <w:tcW w:w="1367" w:type="dxa"/>
            <w:vMerge w:val="restart"/>
            <w:shd w:val="clear" w:color="auto" w:fill="auto"/>
            <w:vAlign w:val="center"/>
          </w:tcPr>
          <w:p w14:paraId="369B9A5A" w14:textId="77777777" w:rsidR="004779D9" w:rsidRPr="00FE714A" w:rsidRDefault="004779D9" w:rsidP="00550B5E">
            <w:pPr>
              <w:pStyle w:val="Tabletext"/>
              <w:keepNext/>
              <w:keepLines/>
              <w:jc w:val="center"/>
            </w:pPr>
            <w:r w:rsidRPr="00FE714A">
              <w:t>IGA 0/1</w:t>
            </w:r>
            <w:r w:rsidRPr="00FE714A">
              <w:rPr>
                <w:vertAlign w:val="superscript"/>
              </w:rPr>
              <w:t>d</w:t>
            </w:r>
            <w:r w:rsidRPr="00FE714A">
              <w:t xml:space="preserve"> &amp; EASI 75 at wk16</w:t>
            </w:r>
          </w:p>
        </w:tc>
      </w:tr>
      <w:tr w:rsidR="004779D9" w:rsidRPr="00FE714A" w14:paraId="32B63772" w14:textId="77777777" w:rsidTr="00FA02B9">
        <w:trPr>
          <w:trHeight w:val="94"/>
          <w:tblHeader/>
        </w:trPr>
        <w:tc>
          <w:tcPr>
            <w:tcW w:w="988" w:type="dxa"/>
            <w:vMerge/>
            <w:vAlign w:val="center"/>
          </w:tcPr>
          <w:p w14:paraId="0024262D" w14:textId="77777777" w:rsidR="004779D9" w:rsidRPr="00FE714A" w:rsidRDefault="004779D9" w:rsidP="00550B5E">
            <w:pPr>
              <w:pStyle w:val="Tabletext"/>
              <w:keepNext/>
              <w:keepLines/>
              <w:rPr>
                <w:iCs/>
              </w:rPr>
            </w:pPr>
          </w:p>
        </w:tc>
        <w:tc>
          <w:tcPr>
            <w:tcW w:w="425" w:type="dxa"/>
            <w:vMerge/>
            <w:vAlign w:val="center"/>
          </w:tcPr>
          <w:p w14:paraId="05D92C7F" w14:textId="77777777" w:rsidR="004779D9" w:rsidRPr="00FE714A" w:rsidRDefault="004779D9" w:rsidP="00550B5E">
            <w:pPr>
              <w:pStyle w:val="Tabletext"/>
              <w:keepNext/>
              <w:keepLines/>
              <w:jc w:val="center"/>
              <w:rPr>
                <w:iCs/>
              </w:rPr>
            </w:pPr>
          </w:p>
        </w:tc>
        <w:tc>
          <w:tcPr>
            <w:tcW w:w="2268" w:type="dxa"/>
            <w:vMerge/>
            <w:vAlign w:val="center"/>
          </w:tcPr>
          <w:p w14:paraId="778CB4B0" w14:textId="77777777" w:rsidR="004779D9" w:rsidRPr="00FE714A" w:rsidRDefault="004779D9" w:rsidP="00550B5E">
            <w:pPr>
              <w:pStyle w:val="Tabletext"/>
              <w:keepNext/>
              <w:keepLines/>
              <w:jc w:val="center"/>
              <w:rPr>
                <w:iCs/>
              </w:rPr>
            </w:pPr>
          </w:p>
        </w:tc>
        <w:tc>
          <w:tcPr>
            <w:tcW w:w="567" w:type="dxa"/>
            <w:vMerge/>
            <w:vAlign w:val="center"/>
          </w:tcPr>
          <w:p w14:paraId="6BFCC71F" w14:textId="77777777" w:rsidR="004779D9" w:rsidRPr="00FE714A" w:rsidRDefault="004779D9" w:rsidP="00550B5E">
            <w:pPr>
              <w:pStyle w:val="Tabletext"/>
              <w:keepNext/>
              <w:keepLines/>
              <w:jc w:val="center"/>
              <w:rPr>
                <w:iCs/>
              </w:rPr>
            </w:pPr>
          </w:p>
        </w:tc>
        <w:tc>
          <w:tcPr>
            <w:tcW w:w="2126" w:type="dxa"/>
            <w:tcBorders>
              <w:top w:val="single" w:sz="4" w:space="0" w:color="auto"/>
              <w:left w:val="single" w:sz="4" w:space="0" w:color="auto"/>
              <w:bottom w:val="single" w:sz="4" w:space="0" w:color="auto"/>
              <w:right w:val="single" w:sz="4" w:space="0" w:color="auto"/>
            </w:tcBorders>
            <w:vAlign w:val="center"/>
          </w:tcPr>
          <w:p w14:paraId="5B6FDBA2" w14:textId="77777777" w:rsidR="004779D9" w:rsidRPr="00FE714A" w:rsidRDefault="004779D9" w:rsidP="00550B5E">
            <w:pPr>
              <w:pStyle w:val="Tabletext"/>
              <w:keepNext/>
              <w:keepLines/>
              <w:jc w:val="center"/>
              <w:rPr>
                <w:iCs/>
              </w:rPr>
            </w:pPr>
            <w:r w:rsidRPr="00FE714A">
              <w:rPr>
                <w:iCs/>
              </w:rPr>
              <w:t>PBO Q2W + TCS</w:t>
            </w:r>
          </w:p>
        </w:tc>
        <w:tc>
          <w:tcPr>
            <w:tcW w:w="1276" w:type="dxa"/>
            <w:vMerge/>
            <w:shd w:val="clear" w:color="auto" w:fill="auto"/>
            <w:vAlign w:val="center"/>
          </w:tcPr>
          <w:p w14:paraId="6D49BAED" w14:textId="77777777" w:rsidR="004779D9" w:rsidRPr="00FE714A" w:rsidRDefault="004779D9" w:rsidP="00550B5E">
            <w:pPr>
              <w:pStyle w:val="Tabletext"/>
              <w:keepNext/>
              <w:keepLines/>
              <w:jc w:val="center"/>
            </w:pPr>
          </w:p>
        </w:tc>
        <w:tc>
          <w:tcPr>
            <w:tcW w:w="1367" w:type="dxa"/>
            <w:vMerge/>
            <w:shd w:val="clear" w:color="auto" w:fill="auto"/>
            <w:vAlign w:val="center"/>
          </w:tcPr>
          <w:p w14:paraId="40951793" w14:textId="77777777" w:rsidR="004779D9" w:rsidRPr="00FE714A" w:rsidRDefault="004779D9" w:rsidP="00550B5E">
            <w:pPr>
              <w:pStyle w:val="Tabletext"/>
              <w:keepNext/>
              <w:keepLines/>
              <w:jc w:val="center"/>
            </w:pPr>
          </w:p>
        </w:tc>
      </w:tr>
      <w:tr w:rsidR="004779D9" w:rsidRPr="00FE714A" w14:paraId="751BD48E" w14:textId="77777777" w:rsidTr="00FA02B9">
        <w:trPr>
          <w:trHeight w:val="94"/>
          <w:tblHeader/>
        </w:trPr>
        <w:tc>
          <w:tcPr>
            <w:tcW w:w="988" w:type="dxa"/>
            <w:vMerge w:val="restart"/>
            <w:vAlign w:val="center"/>
          </w:tcPr>
          <w:p w14:paraId="1379F07A" w14:textId="77777777" w:rsidR="004779D9" w:rsidRPr="00FE714A" w:rsidRDefault="004779D9" w:rsidP="00550B5E">
            <w:pPr>
              <w:pStyle w:val="Tabletext"/>
              <w:keepNext/>
              <w:keepLines/>
              <w:rPr>
                <w:iCs/>
              </w:rPr>
            </w:pPr>
            <w:proofErr w:type="spellStart"/>
            <w:r w:rsidRPr="00FE714A">
              <w:rPr>
                <w:iCs/>
              </w:rPr>
              <w:t>ADhere</w:t>
            </w:r>
            <w:proofErr w:type="spellEnd"/>
            <w:r w:rsidRPr="00FE714A">
              <w:rPr>
                <w:iCs/>
              </w:rPr>
              <w:t xml:space="preserve"> J</w:t>
            </w:r>
          </w:p>
        </w:tc>
        <w:tc>
          <w:tcPr>
            <w:tcW w:w="425" w:type="dxa"/>
            <w:vMerge w:val="restart"/>
            <w:vAlign w:val="center"/>
          </w:tcPr>
          <w:p w14:paraId="480B268D" w14:textId="77777777" w:rsidR="004779D9" w:rsidRPr="00FE714A" w:rsidRDefault="004779D9" w:rsidP="00550B5E">
            <w:pPr>
              <w:pStyle w:val="Tabletext"/>
              <w:keepNext/>
              <w:keepLines/>
              <w:jc w:val="center"/>
              <w:rPr>
                <w:i/>
              </w:rPr>
            </w:pPr>
            <w:r w:rsidRPr="00FE714A">
              <w:rPr>
                <w:i/>
              </w:rPr>
              <w:t>205</w:t>
            </w:r>
            <w:r w:rsidRPr="00FE714A">
              <w:rPr>
                <w:i/>
                <w:vertAlign w:val="superscript"/>
              </w:rPr>
              <w:t>a</w:t>
            </w:r>
          </w:p>
        </w:tc>
        <w:tc>
          <w:tcPr>
            <w:tcW w:w="2268" w:type="dxa"/>
            <w:vMerge w:val="restart"/>
            <w:vAlign w:val="center"/>
          </w:tcPr>
          <w:p w14:paraId="6ED2CBD5" w14:textId="77777777" w:rsidR="004779D9" w:rsidRPr="00FE714A" w:rsidRDefault="004779D9" w:rsidP="00550B5E">
            <w:pPr>
              <w:pStyle w:val="Tabletext"/>
              <w:keepNext/>
              <w:keepLines/>
              <w:jc w:val="center"/>
              <w:rPr>
                <w:iCs/>
              </w:rPr>
            </w:pPr>
            <w:r w:rsidRPr="00FE714A">
              <w:rPr>
                <w:iCs/>
              </w:rPr>
              <w:t xml:space="preserve">P3, R, MC, DB, PC, 16wk </w:t>
            </w:r>
            <w:r w:rsidRPr="00FE714A">
              <w:rPr>
                <w:iCs/>
                <w:vertAlign w:val="superscript"/>
              </w:rPr>
              <w:t>c</w:t>
            </w:r>
            <w:r w:rsidRPr="00FE714A">
              <w:rPr>
                <w:iCs/>
              </w:rPr>
              <w:t>, rescue therapy allowed</w:t>
            </w:r>
          </w:p>
        </w:tc>
        <w:tc>
          <w:tcPr>
            <w:tcW w:w="567" w:type="dxa"/>
            <w:vMerge w:val="restart"/>
            <w:vAlign w:val="center"/>
          </w:tcPr>
          <w:p w14:paraId="27E297B3" w14:textId="77777777" w:rsidR="004779D9" w:rsidRPr="00FE714A" w:rsidRDefault="004779D9" w:rsidP="00550B5E">
            <w:pPr>
              <w:pStyle w:val="Tabletext"/>
              <w:keepNext/>
              <w:keepLines/>
              <w:jc w:val="center"/>
              <w:rPr>
                <w:iCs/>
              </w:rPr>
            </w:pPr>
            <w:r w:rsidRPr="00FE714A">
              <w:rPr>
                <w:iCs/>
              </w:rPr>
              <w:t>Low</w:t>
            </w:r>
          </w:p>
        </w:tc>
        <w:tc>
          <w:tcPr>
            <w:tcW w:w="2126" w:type="dxa"/>
            <w:tcBorders>
              <w:top w:val="single" w:sz="4" w:space="0" w:color="auto"/>
              <w:left w:val="single" w:sz="4" w:space="0" w:color="auto"/>
              <w:bottom w:val="single" w:sz="4" w:space="0" w:color="auto"/>
              <w:right w:val="single" w:sz="4" w:space="0" w:color="auto"/>
            </w:tcBorders>
            <w:vAlign w:val="center"/>
          </w:tcPr>
          <w:p w14:paraId="3AE28877" w14:textId="2C0F5642" w:rsidR="004779D9" w:rsidRPr="00FE714A" w:rsidRDefault="004779D9" w:rsidP="00550B5E">
            <w:pPr>
              <w:pStyle w:val="Tabletext"/>
              <w:keepNext/>
              <w:keepLines/>
              <w:jc w:val="center"/>
              <w:rPr>
                <w:iCs/>
              </w:rPr>
            </w:pPr>
            <w:r w:rsidRPr="00FE714A">
              <w:rPr>
                <w:iCs/>
              </w:rPr>
              <w:t>LEB 25</w:t>
            </w:r>
            <w:r w:rsidR="00FE714A">
              <w:rPr>
                <w:iCs/>
              </w:rPr>
              <w:t>0 mg</w:t>
            </w:r>
            <w:r w:rsidRPr="00FE714A">
              <w:rPr>
                <w:iCs/>
              </w:rPr>
              <w:t xml:space="preserve"> Q2W </w:t>
            </w:r>
            <w:r w:rsidRPr="00FE714A">
              <w:rPr>
                <w:iCs/>
                <w:vertAlign w:val="superscript"/>
              </w:rPr>
              <w:t>b</w:t>
            </w:r>
            <w:r w:rsidRPr="00FE714A">
              <w:rPr>
                <w:iCs/>
              </w:rPr>
              <w:t xml:space="preserve"> + TCS</w:t>
            </w:r>
          </w:p>
        </w:tc>
        <w:tc>
          <w:tcPr>
            <w:tcW w:w="1276" w:type="dxa"/>
            <w:vMerge w:val="restart"/>
            <w:shd w:val="clear" w:color="auto" w:fill="auto"/>
            <w:vAlign w:val="center"/>
          </w:tcPr>
          <w:p w14:paraId="1F9A204A" w14:textId="77777777" w:rsidR="004779D9" w:rsidRPr="00FE714A" w:rsidRDefault="004779D9" w:rsidP="00550B5E">
            <w:pPr>
              <w:pStyle w:val="Tabletext"/>
              <w:keepNext/>
              <w:keepLines/>
              <w:jc w:val="center"/>
            </w:pPr>
            <w:r w:rsidRPr="00FE714A">
              <w:t>M-S AD; adults &amp; adolescents</w:t>
            </w:r>
          </w:p>
        </w:tc>
        <w:tc>
          <w:tcPr>
            <w:tcW w:w="1367" w:type="dxa"/>
            <w:vMerge w:val="restart"/>
            <w:shd w:val="clear" w:color="auto" w:fill="auto"/>
            <w:vAlign w:val="center"/>
          </w:tcPr>
          <w:p w14:paraId="76D56F4D" w14:textId="77777777" w:rsidR="004779D9" w:rsidRPr="00FE714A" w:rsidRDefault="004779D9" w:rsidP="00550B5E">
            <w:pPr>
              <w:pStyle w:val="Tabletext"/>
              <w:keepNext/>
              <w:keepLines/>
              <w:jc w:val="center"/>
            </w:pPr>
            <w:r w:rsidRPr="00FE714A">
              <w:t>IGA 0/1</w:t>
            </w:r>
            <w:r w:rsidRPr="00FE714A">
              <w:rPr>
                <w:vertAlign w:val="superscript"/>
              </w:rPr>
              <w:t>d</w:t>
            </w:r>
            <w:r w:rsidRPr="00FE714A">
              <w:t xml:space="preserve"> &amp; EASI 75 at wk16</w:t>
            </w:r>
          </w:p>
        </w:tc>
      </w:tr>
      <w:tr w:rsidR="004779D9" w:rsidRPr="00FE714A" w14:paraId="78303AFF" w14:textId="77777777" w:rsidTr="00FA02B9">
        <w:trPr>
          <w:trHeight w:val="94"/>
          <w:tblHeader/>
        </w:trPr>
        <w:tc>
          <w:tcPr>
            <w:tcW w:w="988" w:type="dxa"/>
            <w:vMerge/>
            <w:vAlign w:val="center"/>
          </w:tcPr>
          <w:p w14:paraId="47B647E4" w14:textId="77777777" w:rsidR="004779D9" w:rsidRPr="00FE714A" w:rsidRDefault="004779D9" w:rsidP="00550B5E">
            <w:pPr>
              <w:pStyle w:val="Tabletext"/>
              <w:keepNext/>
              <w:keepLines/>
              <w:rPr>
                <w:iCs/>
              </w:rPr>
            </w:pPr>
          </w:p>
        </w:tc>
        <w:tc>
          <w:tcPr>
            <w:tcW w:w="425" w:type="dxa"/>
            <w:vMerge/>
            <w:vAlign w:val="center"/>
          </w:tcPr>
          <w:p w14:paraId="36F0DCDB" w14:textId="77777777" w:rsidR="004779D9" w:rsidRPr="00FE714A" w:rsidRDefault="004779D9" w:rsidP="00550B5E">
            <w:pPr>
              <w:pStyle w:val="Tabletext"/>
              <w:keepNext/>
              <w:keepLines/>
              <w:jc w:val="center"/>
              <w:rPr>
                <w:iCs/>
              </w:rPr>
            </w:pPr>
          </w:p>
        </w:tc>
        <w:tc>
          <w:tcPr>
            <w:tcW w:w="2268" w:type="dxa"/>
            <w:vMerge/>
            <w:vAlign w:val="center"/>
          </w:tcPr>
          <w:p w14:paraId="51558E08" w14:textId="77777777" w:rsidR="004779D9" w:rsidRPr="00FE714A" w:rsidRDefault="004779D9" w:rsidP="00550B5E">
            <w:pPr>
              <w:pStyle w:val="Tabletext"/>
              <w:keepNext/>
              <w:keepLines/>
              <w:jc w:val="center"/>
              <w:rPr>
                <w:iCs/>
              </w:rPr>
            </w:pPr>
          </w:p>
        </w:tc>
        <w:tc>
          <w:tcPr>
            <w:tcW w:w="567" w:type="dxa"/>
            <w:vMerge/>
            <w:vAlign w:val="center"/>
          </w:tcPr>
          <w:p w14:paraId="5A36A5E4" w14:textId="77777777" w:rsidR="004779D9" w:rsidRPr="00FE714A" w:rsidRDefault="004779D9" w:rsidP="00550B5E">
            <w:pPr>
              <w:pStyle w:val="Tabletext"/>
              <w:keepNext/>
              <w:keepLines/>
              <w:jc w:val="center"/>
              <w:rPr>
                <w:iCs/>
              </w:rPr>
            </w:pPr>
          </w:p>
        </w:tc>
        <w:tc>
          <w:tcPr>
            <w:tcW w:w="2126" w:type="dxa"/>
            <w:tcBorders>
              <w:top w:val="single" w:sz="4" w:space="0" w:color="auto"/>
              <w:left w:val="single" w:sz="4" w:space="0" w:color="auto"/>
              <w:bottom w:val="single" w:sz="4" w:space="0" w:color="auto"/>
              <w:right w:val="single" w:sz="4" w:space="0" w:color="auto"/>
            </w:tcBorders>
            <w:vAlign w:val="center"/>
          </w:tcPr>
          <w:p w14:paraId="7D8705A0" w14:textId="77777777" w:rsidR="004779D9" w:rsidRPr="00FE714A" w:rsidRDefault="004779D9" w:rsidP="00550B5E">
            <w:pPr>
              <w:pStyle w:val="Tabletext"/>
              <w:keepNext/>
              <w:keepLines/>
              <w:jc w:val="center"/>
              <w:rPr>
                <w:iCs/>
              </w:rPr>
            </w:pPr>
            <w:r w:rsidRPr="00FE714A">
              <w:rPr>
                <w:iCs/>
              </w:rPr>
              <w:t>PBO Q2W + TCS</w:t>
            </w:r>
          </w:p>
        </w:tc>
        <w:tc>
          <w:tcPr>
            <w:tcW w:w="1276" w:type="dxa"/>
            <w:vMerge/>
            <w:shd w:val="clear" w:color="auto" w:fill="auto"/>
            <w:vAlign w:val="center"/>
          </w:tcPr>
          <w:p w14:paraId="3FEFB73F" w14:textId="77777777" w:rsidR="004779D9" w:rsidRPr="00FE714A" w:rsidRDefault="004779D9" w:rsidP="00550B5E">
            <w:pPr>
              <w:pStyle w:val="Tabletext"/>
              <w:keepNext/>
              <w:keepLines/>
              <w:jc w:val="center"/>
            </w:pPr>
          </w:p>
        </w:tc>
        <w:tc>
          <w:tcPr>
            <w:tcW w:w="1367" w:type="dxa"/>
            <w:vMerge/>
            <w:shd w:val="clear" w:color="auto" w:fill="auto"/>
            <w:vAlign w:val="center"/>
          </w:tcPr>
          <w:p w14:paraId="6A55C9EB" w14:textId="77777777" w:rsidR="004779D9" w:rsidRPr="00FE714A" w:rsidRDefault="004779D9" w:rsidP="00550B5E">
            <w:pPr>
              <w:pStyle w:val="Tabletext"/>
              <w:keepNext/>
              <w:keepLines/>
              <w:jc w:val="center"/>
            </w:pPr>
          </w:p>
        </w:tc>
      </w:tr>
      <w:tr w:rsidR="004779D9" w:rsidRPr="00FE714A" w14:paraId="57740E2E" w14:textId="77777777" w:rsidTr="00FA02B9">
        <w:trPr>
          <w:trHeight w:val="94"/>
          <w:tblHeader/>
        </w:trPr>
        <w:tc>
          <w:tcPr>
            <w:tcW w:w="988" w:type="dxa"/>
            <w:vMerge w:val="restart"/>
            <w:vAlign w:val="center"/>
          </w:tcPr>
          <w:p w14:paraId="6D5447CA" w14:textId="77777777" w:rsidR="004779D9" w:rsidRPr="00FE714A" w:rsidRDefault="004779D9" w:rsidP="00550B5E">
            <w:pPr>
              <w:pStyle w:val="Tabletext"/>
              <w:keepNext/>
              <w:keepLines/>
              <w:rPr>
                <w:iCs/>
              </w:rPr>
            </w:pPr>
            <w:proofErr w:type="spellStart"/>
            <w:r w:rsidRPr="00FE714A">
              <w:rPr>
                <w:iCs/>
              </w:rPr>
              <w:t>ADvantage</w:t>
            </w:r>
            <w:proofErr w:type="spellEnd"/>
          </w:p>
        </w:tc>
        <w:tc>
          <w:tcPr>
            <w:tcW w:w="425" w:type="dxa"/>
            <w:vMerge w:val="restart"/>
            <w:vAlign w:val="center"/>
          </w:tcPr>
          <w:p w14:paraId="5552F3A9" w14:textId="77777777" w:rsidR="004779D9" w:rsidRPr="00FE714A" w:rsidRDefault="004779D9" w:rsidP="00550B5E">
            <w:pPr>
              <w:pStyle w:val="Tabletext"/>
              <w:keepNext/>
              <w:keepLines/>
              <w:jc w:val="center"/>
              <w:rPr>
                <w:i/>
              </w:rPr>
            </w:pPr>
            <w:r w:rsidRPr="00FE714A">
              <w:rPr>
                <w:i/>
              </w:rPr>
              <w:t>331</w:t>
            </w:r>
          </w:p>
        </w:tc>
        <w:tc>
          <w:tcPr>
            <w:tcW w:w="2268" w:type="dxa"/>
            <w:vMerge w:val="restart"/>
            <w:vAlign w:val="center"/>
          </w:tcPr>
          <w:p w14:paraId="6A5A8E28" w14:textId="77777777" w:rsidR="004779D9" w:rsidRPr="00FE714A" w:rsidRDefault="004779D9" w:rsidP="00550B5E">
            <w:pPr>
              <w:pStyle w:val="Tabletext"/>
              <w:keepNext/>
              <w:keepLines/>
              <w:jc w:val="center"/>
              <w:rPr>
                <w:iCs/>
              </w:rPr>
            </w:pPr>
            <w:r w:rsidRPr="00FE714A">
              <w:rPr>
                <w:iCs/>
              </w:rPr>
              <w:t xml:space="preserve">P3, MC, R, DB, PC, 16 </w:t>
            </w:r>
            <w:proofErr w:type="spellStart"/>
            <w:r w:rsidRPr="00FE714A">
              <w:rPr>
                <w:iCs/>
              </w:rPr>
              <w:t>wk</w:t>
            </w:r>
            <w:proofErr w:type="spellEnd"/>
            <w:r w:rsidRPr="00FE714A">
              <w:rPr>
                <w:iCs/>
              </w:rPr>
              <w:t xml:space="preserve"> </w:t>
            </w:r>
            <w:r w:rsidRPr="00FE714A">
              <w:rPr>
                <w:iCs/>
                <w:vertAlign w:val="superscript"/>
              </w:rPr>
              <w:t>c</w:t>
            </w:r>
            <w:r w:rsidRPr="00FE714A">
              <w:rPr>
                <w:iCs/>
              </w:rPr>
              <w:t>, rescue therapy allowed</w:t>
            </w:r>
          </w:p>
        </w:tc>
        <w:tc>
          <w:tcPr>
            <w:tcW w:w="567" w:type="dxa"/>
            <w:vMerge w:val="restart"/>
            <w:vAlign w:val="center"/>
          </w:tcPr>
          <w:p w14:paraId="2F0C86B9" w14:textId="77777777" w:rsidR="004779D9" w:rsidRPr="00FE714A" w:rsidRDefault="004779D9" w:rsidP="00550B5E">
            <w:pPr>
              <w:pStyle w:val="Tabletext"/>
              <w:keepNext/>
              <w:keepLines/>
              <w:jc w:val="center"/>
              <w:rPr>
                <w:iCs/>
              </w:rPr>
            </w:pPr>
            <w:r w:rsidRPr="00FE714A">
              <w:rPr>
                <w:iCs/>
              </w:rPr>
              <w:t>Low</w:t>
            </w:r>
          </w:p>
        </w:tc>
        <w:tc>
          <w:tcPr>
            <w:tcW w:w="2126" w:type="dxa"/>
            <w:tcBorders>
              <w:top w:val="single" w:sz="4" w:space="0" w:color="auto"/>
              <w:left w:val="single" w:sz="4" w:space="0" w:color="auto"/>
              <w:bottom w:val="single" w:sz="4" w:space="0" w:color="auto"/>
              <w:right w:val="single" w:sz="4" w:space="0" w:color="auto"/>
            </w:tcBorders>
            <w:vAlign w:val="center"/>
          </w:tcPr>
          <w:p w14:paraId="0E993A28" w14:textId="636CF898" w:rsidR="004779D9" w:rsidRPr="00FE714A" w:rsidRDefault="004779D9" w:rsidP="00550B5E">
            <w:pPr>
              <w:pStyle w:val="Tabletext"/>
              <w:keepNext/>
              <w:keepLines/>
              <w:jc w:val="center"/>
              <w:rPr>
                <w:iCs/>
              </w:rPr>
            </w:pPr>
            <w:r w:rsidRPr="00FE714A">
              <w:rPr>
                <w:iCs/>
              </w:rPr>
              <w:t>LEB 25</w:t>
            </w:r>
            <w:r w:rsidR="00FE714A">
              <w:rPr>
                <w:iCs/>
              </w:rPr>
              <w:t>0 mg</w:t>
            </w:r>
            <w:r w:rsidRPr="00FE714A">
              <w:rPr>
                <w:iCs/>
              </w:rPr>
              <w:t xml:space="preserve"> Q2W </w:t>
            </w:r>
            <w:r w:rsidRPr="00FE714A">
              <w:rPr>
                <w:iCs/>
                <w:vertAlign w:val="superscript"/>
              </w:rPr>
              <w:t>b</w:t>
            </w:r>
            <w:r w:rsidRPr="00FE714A">
              <w:rPr>
                <w:iCs/>
              </w:rPr>
              <w:t xml:space="preserve"> + TCS</w:t>
            </w:r>
          </w:p>
        </w:tc>
        <w:tc>
          <w:tcPr>
            <w:tcW w:w="1276" w:type="dxa"/>
            <w:vMerge w:val="restart"/>
            <w:shd w:val="clear" w:color="auto" w:fill="auto"/>
            <w:vAlign w:val="center"/>
          </w:tcPr>
          <w:p w14:paraId="2758C6EE" w14:textId="77777777" w:rsidR="004779D9" w:rsidRPr="00FE714A" w:rsidRDefault="004779D9" w:rsidP="00550B5E">
            <w:pPr>
              <w:pStyle w:val="Tabletext"/>
              <w:keepNext/>
              <w:keepLines/>
              <w:jc w:val="center"/>
            </w:pPr>
            <w:r w:rsidRPr="00FE714A">
              <w:t>M-S AD; adults &amp; adolescents</w:t>
            </w:r>
          </w:p>
        </w:tc>
        <w:tc>
          <w:tcPr>
            <w:tcW w:w="1367" w:type="dxa"/>
            <w:vMerge w:val="restart"/>
            <w:shd w:val="clear" w:color="auto" w:fill="auto"/>
            <w:vAlign w:val="center"/>
          </w:tcPr>
          <w:p w14:paraId="13D46D5C" w14:textId="77777777" w:rsidR="004779D9" w:rsidRPr="00FE714A" w:rsidRDefault="004779D9" w:rsidP="00550B5E">
            <w:pPr>
              <w:pStyle w:val="Tabletext"/>
              <w:keepNext/>
              <w:keepLines/>
              <w:jc w:val="center"/>
            </w:pPr>
            <w:r w:rsidRPr="00FE714A">
              <w:t>EASI 75 at wk16</w:t>
            </w:r>
          </w:p>
        </w:tc>
      </w:tr>
      <w:tr w:rsidR="004779D9" w:rsidRPr="00FE714A" w14:paraId="0A1C24E6" w14:textId="77777777" w:rsidTr="00FA02B9">
        <w:trPr>
          <w:trHeight w:val="94"/>
          <w:tblHeader/>
        </w:trPr>
        <w:tc>
          <w:tcPr>
            <w:tcW w:w="988" w:type="dxa"/>
            <w:vMerge/>
            <w:vAlign w:val="center"/>
          </w:tcPr>
          <w:p w14:paraId="1A50D78D" w14:textId="77777777" w:rsidR="004779D9" w:rsidRPr="00FE714A" w:rsidRDefault="004779D9" w:rsidP="00550B5E">
            <w:pPr>
              <w:pStyle w:val="Tabletext"/>
              <w:keepNext/>
              <w:keepLines/>
              <w:rPr>
                <w:iCs/>
              </w:rPr>
            </w:pPr>
          </w:p>
        </w:tc>
        <w:tc>
          <w:tcPr>
            <w:tcW w:w="425" w:type="dxa"/>
            <w:vMerge/>
            <w:vAlign w:val="center"/>
          </w:tcPr>
          <w:p w14:paraId="2A69F1B9" w14:textId="77777777" w:rsidR="004779D9" w:rsidRPr="00FE714A" w:rsidRDefault="004779D9" w:rsidP="00550B5E">
            <w:pPr>
              <w:pStyle w:val="Tabletext"/>
              <w:keepNext/>
              <w:keepLines/>
              <w:rPr>
                <w:iCs/>
              </w:rPr>
            </w:pPr>
          </w:p>
        </w:tc>
        <w:tc>
          <w:tcPr>
            <w:tcW w:w="2268" w:type="dxa"/>
            <w:vMerge/>
            <w:vAlign w:val="center"/>
          </w:tcPr>
          <w:p w14:paraId="3D6B1435" w14:textId="77777777" w:rsidR="004779D9" w:rsidRPr="00FE714A" w:rsidRDefault="004779D9" w:rsidP="00550B5E">
            <w:pPr>
              <w:pStyle w:val="Tabletext"/>
              <w:keepNext/>
              <w:keepLines/>
              <w:jc w:val="center"/>
              <w:rPr>
                <w:iCs/>
              </w:rPr>
            </w:pPr>
          </w:p>
        </w:tc>
        <w:tc>
          <w:tcPr>
            <w:tcW w:w="567" w:type="dxa"/>
            <w:vMerge/>
            <w:vAlign w:val="center"/>
          </w:tcPr>
          <w:p w14:paraId="4FF31277" w14:textId="77777777" w:rsidR="004779D9" w:rsidRPr="00FE714A" w:rsidRDefault="004779D9" w:rsidP="00550B5E">
            <w:pPr>
              <w:pStyle w:val="Tabletext"/>
              <w:keepNext/>
              <w:keepLines/>
              <w:jc w:val="center"/>
              <w:rPr>
                <w:iCs/>
              </w:rPr>
            </w:pPr>
          </w:p>
        </w:tc>
        <w:tc>
          <w:tcPr>
            <w:tcW w:w="2126" w:type="dxa"/>
            <w:tcBorders>
              <w:top w:val="single" w:sz="4" w:space="0" w:color="auto"/>
              <w:left w:val="single" w:sz="4" w:space="0" w:color="auto"/>
              <w:bottom w:val="single" w:sz="4" w:space="0" w:color="auto"/>
              <w:right w:val="single" w:sz="4" w:space="0" w:color="auto"/>
            </w:tcBorders>
            <w:vAlign w:val="center"/>
          </w:tcPr>
          <w:p w14:paraId="3B183792" w14:textId="77777777" w:rsidR="004779D9" w:rsidRPr="00FE714A" w:rsidRDefault="004779D9" w:rsidP="00550B5E">
            <w:pPr>
              <w:pStyle w:val="Tabletext"/>
              <w:keepNext/>
              <w:keepLines/>
              <w:jc w:val="center"/>
              <w:rPr>
                <w:iCs/>
              </w:rPr>
            </w:pPr>
            <w:r w:rsidRPr="00FE714A">
              <w:rPr>
                <w:iCs/>
              </w:rPr>
              <w:t>PBO Q2W + TCS</w:t>
            </w:r>
          </w:p>
        </w:tc>
        <w:tc>
          <w:tcPr>
            <w:tcW w:w="1276" w:type="dxa"/>
            <w:vMerge/>
            <w:shd w:val="clear" w:color="auto" w:fill="auto"/>
            <w:vAlign w:val="center"/>
          </w:tcPr>
          <w:p w14:paraId="2B18BBCD" w14:textId="77777777" w:rsidR="004779D9" w:rsidRPr="00FE714A" w:rsidRDefault="004779D9" w:rsidP="00550B5E">
            <w:pPr>
              <w:pStyle w:val="Tabletext"/>
              <w:keepNext/>
              <w:keepLines/>
              <w:jc w:val="center"/>
            </w:pPr>
          </w:p>
        </w:tc>
        <w:tc>
          <w:tcPr>
            <w:tcW w:w="1367" w:type="dxa"/>
            <w:vMerge/>
            <w:shd w:val="clear" w:color="auto" w:fill="auto"/>
            <w:vAlign w:val="center"/>
          </w:tcPr>
          <w:p w14:paraId="6EE96031" w14:textId="77777777" w:rsidR="004779D9" w:rsidRPr="00FE714A" w:rsidRDefault="004779D9" w:rsidP="00550B5E">
            <w:pPr>
              <w:pStyle w:val="Tabletext"/>
              <w:keepNext/>
              <w:keepLines/>
              <w:jc w:val="center"/>
            </w:pPr>
          </w:p>
        </w:tc>
      </w:tr>
      <w:tr w:rsidR="004779D9" w:rsidRPr="00FE714A" w14:paraId="10F0C88B" w14:textId="77777777" w:rsidTr="00E53739">
        <w:trPr>
          <w:trHeight w:val="94"/>
          <w:tblHeader/>
        </w:trPr>
        <w:tc>
          <w:tcPr>
            <w:tcW w:w="9017" w:type="dxa"/>
            <w:gridSpan w:val="7"/>
            <w:vAlign w:val="center"/>
          </w:tcPr>
          <w:p w14:paraId="74C05103" w14:textId="77777777" w:rsidR="004779D9" w:rsidRPr="00FE714A" w:rsidRDefault="004779D9" w:rsidP="00550B5E">
            <w:pPr>
              <w:pStyle w:val="Tabletext"/>
              <w:keepNext/>
              <w:keepLines/>
              <w:rPr>
                <w:b/>
                <w:bCs/>
              </w:rPr>
            </w:pPr>
            <w:r w:rsidRPr="00FE714A">
              <w:rPr>
                <w:b/>
                <w:bCs/>
              </w:rPr>
              <w:t>Dupilumab trials</w:t>
            </w:r>
          </w:p>
        </w:tc>
      </w:tr>
      <w:tr w:rsidR="004779D9" w:rsidRPr="00FE714A" w14:paraId="04036AD0" w14:textId="77777777" w:rsidTr="00FA02B9">
        <w:trPr>
          <w:trHeight w:val="94"/>
          <w:tblHeader/>
        </w:trPr>
        <w:tc>
          <w:tcPr>
            <w:tcW w:w="988" w:type="dxa"/>
            <w:vMerge w:val="restart"/>
            <w:shd w:val="clear" w:color="auto" w:fill="B8CCE4" w:themeFill="accent1" w:themeFillTint="66"/>
            <w:vAlign w:val="center"/>
          </w:tcPr>
          <w:p w14:paraId="004A3811" w14:textId="77777777" w:rsidR="004779D9" w:rsidRPr="00FE714A" w:rsidRDefault="004779D9" w:rsidP="00550B5E">
            <w:pPr>
              <w:pStyle w:val="Tabletext"/>
              <w:keepNext/>
              <w:keepLines/>
              <w:rPr>
                <w:iCs/>
              </w:rPr>
            </w:pPr>
            <w:r w:rsidRPr="00FE714A">
              <w:rPr>
                <w:iCs/>
              </w:rPr>
              <w:t>Study 1021</w:t>
            </w:r>
          </w:p>
        </w:tc>
        <w:tc>
          <w:tcPr>
            <w:tcW w:w="425" w:type="dxa"/>
            <w:vMerge w:val="restart"/>
            <w:shd w:val="clear" w:color="auto" w:fill="B8CCE4" w:themeFill="accent1" w:themeFillTint="66"/>
            <w:vAlign w:val="center"/>
          </w:tcPr>
          <w:p w14:paraId="3A55A72A" w14:textId="77777777" w:rsidR="004779D9" w:rsidRPr="00FE714A" w:rsidRDefault="004779D9" w:rsidP="00550B5E">
            <w:pPr>
              <w:pStyle w:val="Tabletext"/>
              <w:keepNext/>
              <w:keepLines/>
              <w:jc w:val="center"/>
              <w:rPr>
                <w:iCs/>
              </w:rPr>
            </w:pPr>
            <w:r w:rsidRPr="00FE714A">
              <w:rPr>
                <w:iCs/>
              </w:rPr>
              <w:t>125</w:t>
            </w:r>
            <w:r w:rsidRPr="00FE714A">
              <w:rPr>
                <w:i/>
                <w:vertAlign w:val="superscript"/>
              </w:rPr>
              <w:t>a</w:t>
            </w:r>
          </w:p>
        </w:tc>
        <w:tc>
          <w:tcPr>
            <w:tcW w:w="2268" w:type="dxa"/>
            <w:vMerge w:val="restart"/>
            <w:shd w:val="clear" w:color="auto" w:fill="B8CCE4" w:themeFill="accent1" w:themeFillTint="66"/>
            <w:vAlign w:val="center"/>
          </w:tcPr>
          <w:p w14:paraId="02FAB893" w14:textId="77777777" w:rsidR="004779D9" w:rsidRPr="00FE714A" w:rsidRDefault="004779D9" w:rsidP="00550B5E">
            <w:pPr>
              <w:pStyle w:val="Tabletext"/>
              <w:keepNext/>
              <w:keepLines/>
              <w:jc w:val="center"/>
              <w:rPr>
                <w:iCs/>
              </w:rPr>
            </w:pPr>
            <w:r w:rsidRPr="00FE714A">
              <w:rPr>
                <w:iCs/>
              </w:rPr>
              <w:t>P2b, R, MC, DB, PC 16wk, rescue therapy allowed</w:t>
            </w:r>
          </w:p>
        </w:tc>
        <w:tc>
          <w:tcPr>
            <w:tcW w:w="567" w:type="dxa"/>
            <w:vMerge w:val="restart"/>
            <w:shd w:val="clear" w:color="auto" w:fill="B8CCE4" w:themeFill="accent1" w:themeFillTint="66"/>
            <w:vAlign w:val="center"/>
          </w:tcPr>
          <w:p w14:paraId="678797BF" w14:textId="77777777" w:rsidR="004779D9" w:rsidRPr="00FE714A" w:rsidRDefault="004779D9" w:rsidP="00550B5E">
            <w:pPr>
              <w:pStyle w:val="Tabletext"/>
              <w:keepNext/>
              <w:keepLines/>
              <w:jc w:val="center"/>
              <w:rPr>
                <w:iCs/>
              </w:rPr>
            </w:pPr>
            <w:r w:rsidRPr="00FE714A">
              <w:rPr>
                <w:iCs/>
              </w:rPr>
              <w:t>Low</w:t>
            </w:r>
          </w:p>
        </w:tc>
        <w:tc>
          <w:tcPr>
            <w:tcW w:w="2126" w:type="dxa"/>
            <w:tcBorders>
              <w:bottom w:val="dashSmallGap" w:sz="4" w:space="0" w:color="auto"/>
            </w:tcBorders>
            <w:shd w:val="clear" w:color="auto" w:fill="B8CCE4" w:themeFill="accent1" w:themeFillTint="66"/>
            <w:vAlign w:val="center"/>
          </w:tcPr>
          <w:p w14:paraId="57D56B01" w14:textId="77777777" w:rsidR="004779D9" w:rsidRPr="00FE714A" w:rsidRDefault="004779D9" w:rsidP="00550B5E">
            <w:pPr>
              <w:pStyle w:val="Tabletext"/>
              <w:keepNext/>
              <w:keepLines/>
              <w:jc w:val="center"/>
              <w:rPr>
                <w:iCs/>
              </w:rPr>
            </w:pPr>
            <w:r w:rsidRPr="00FE714A">
              <w:t>DUPI 300 mg Q2W</w:t>
            </w:r>
            <w:r w:rsidRPr="00FE714A">
              <w:rPr>
                <w:vertAlign w:val="superscript"/>
              </w:rPr>
              <w:t xml:space="preserve"> </w:t>
            </w:r>
            <w:r w:rsidRPr="00FE714A">
              <w:rPr>
                <w:iCs/>
                <w:vertAlign w:val="superscript"/>
              </w:rPr>
              <w:t>e</w:t>
            </w:r>
          </w:p>
        </w:tc>
        <w:tc>
          <w:tcPr>
            <w:tcW w:w="1276" w:type="dxa"/>
            <w:vMerge w:val="restart"/>
            <w:shd w:val="clear" w:color="auto" w:fill="B8CCE4" w:themeFill="accent1" w:themeFillTint="66"/>
            <w:vAlign w:val="center"/>
          </w:tcPr>
          <w:p w14:paraId="3176F66E" w14:textId="77777777" w:rsidR="004779D9" w:rsidRPr="00FE714A" w:rsidRDefault="004779D9" w:rsidP="00550B5E">
            <w:pPr>
              <w:pStyle w:val="Tabletext"/>
              <w:keepNext/>
              <w:keepLines/>
              <w:jc w:val="center"/>
              <w:rPr>
                <w:iCs/>
              </w:rPr>
            </w:pPr>
            <w:r w:rsidRPr="00FE714A">
              <w:t>M-S AD; adults</w:t>
            </w:r>
          </w:p>
        </w:tc>
        <w:tc>
          <w:tcPr>
            <w:tcW w:w="1367" w:type="dxa"/>
            <w:vMerge w:val="restart"/>
            <w:shd w:val="clear" w:color="auto" w:fill="B8CCE4" w:themeFill="accent1" w:themeFillTint="66"/>
            <w:vAlign w:val="center"/>
          </w:tcPr>
          <w:p w14:paraId="3BD8B779" w14:textId="77777777" w:rsidR="004779D9" w:rsidRPr="00FE714A" w:rsidRDefault="004779D9" w:rsidP="00550B5E">
            <w:pPr>
              <w:pStyle w:val="Tabletext"/>
              <w:keepNext/>
              <w:keepLines/>
              <w:jc w:val="center"/>
              <w:rPr>
                <w:iCs/>
              </w:rPr>
            </w:pPr>
            <w:r w:rsidRPr="00FE714A">
              <w:t>% change in EASI at wk16</w:t>
            </w:r>
          </w:p>
        </w:tc>
      </w:tr>
      <w:tr w:rsidR="004779D9" w:rsidRPr="00FE714A" w14:paraId="2750FB12" w14:textId="77777777" w:rsidTr="00FA02B9">
        <w:trPr>
          <w:trHeight w:val="94"/>
          <w:tblHeader/>
        </w:trPr>
        <w:tc>
          <w:tcPr>
            <w:tcW w:w="988" w:type="dxa"/>
            <w:vMerge/>
            <w:shd w:val="clear" w:color="auto" w:fill="B8CCE4" w:themeFill="accent1" w:themeFillTint="66"/>
            <w:vAlign w:val="center"/>
          </w:tcPr>
          <w:p w14:paraId="1225567A" w14:textId="77777777" w:rsidR="004779D9" w:rsidRPr="00FE714A" w:rsidRDefault="004779D9" w:rsidP="00550B5E">
            <w:pPr>
              <w:pStyle w:val="Tabletext"/>
              <w:keepNext/>
              <w:keepLines/>
              <w:rPr>
                <w:iCs/>
              </w:rPr>
            </w:pPr>
          </w:p>
        </w:tc>
        <w:tc>
          <w:tcPr>
            <w:tcW w:w="425" w:type="dxa"/>
            <w:vMerge/>
            <w:shd w:val="clear" w:color="auto" w:fill="B8CCE4" w:themeFill="accent1" w:themeFillTint="66"/>
            <w:vAlign w:val="center"/>
          </w:tcPr>
          <w:p w14:paraId="3D73408A" w14:textId="77777777" w:rsidR="004779D9" w:rsidRPr="00FE714A" w:rsidRDefault="004779D9" w:rsidP="00550B5E">
            <w:pPr>
              <w:pStyle w:val="Tabletext"/>
              <w:keepNext/>
              <w:keepLines/>
              <w:jc w:val="center"/>
              <w:rPr>
                <w:iCs/>
              </w:rPr>
            </w:pPr>
          </w:p>
        </w:tc>
        <w:tc>
          <w:tcPr>
            <w:tcW w:w="2268" w:type="dxa"/>
            <w:vMerge/>
            <w:shd w:val="clear" w:color="auto" w:fill="B8CCE4" w:themeFill="accent1" w:themeFillTint="66"/>
            <w:vAlign w:val="center"/>
          </w:tcPr>
          <w:p w14:paraId="097FCD25" w14:textId="77777777" w:rsidR="004779D9" w:rsidRPr="00FE714A" w:rsidRDefault="004779D9" w:rsidP="00550B5E">
            <w:pPr>
              <w:pStyle w:val="Tabletext"/>
              <w:keepNext/>
              <w:keepLines/>
              <w:jc w:val="center"/>
              <w:rPr>
                <w:iCs/>
              </w:rPr>
            </w:pPr>
          </w:p>
        </w:tc>
        <w:tc>
          <w:tcPr>
            <w:tcW w:w="567" w:type="dxa"/>
            <w:vMerge/>
            <w:shd w:val="clear" w:color="auto" w:fill="B8CCE4" w:themeFill="accent1" w:themeFillTint="66"/>
            <w:vAlign w:val="center"/>
          </w:tcPr>
          <w:p w14:paraId="06EDC436" w14:textId="77777777" w:rsidR="004779D9" w:rsidRPr="00FE714A" w:rsidRDefault="004779D9" w:rsidP="00550B5E">
            <w:pPr>
              <w:pStyle w:val="Tabletext"/>
              <w:keepNext/>
              <w:keepLines/>
              <w:jc w:val="center"/>
              <w:rPr>
                <w:iCs/>
              </w:rPr>
            </w:pPr>
          </w:p>
        </w:tc>
        <w:tc>
          <w:tcPr>
            <w:tcW w:w="2126" w:type="dxa"/>
            <w:tcBorders>
              <w:top w:val="dashSmallGap" w:sz="4" w:space="0" w:color="auto"/>
            </w:tcBorders>
            <w:shd w:val="clear" w:color="auto" w:fill="B8CCE4" w:themeFill="accent1" w:themeFillTint="66"/>
            <w:vAlign w:val="center"/>
          </w:tcPr>
          <w:p w14:paraId="6A8CEED5" w14:textId="77777777" w:rsidR="004779D9" w:rsidRPr="00FE714A" w:rsidRDefault="004779D9" w:rsidP="00550B5E">
            <w:pPr>
              <w:pStyle w:val="Tabletext"/>
              <w:keepNext/>
              <w:keepLines/>
              <w:jc w:val="center"/>
              <w:rPr>
                <w:iCs/>
              </w:rPr>
            </w:pPr>
            <w:r w:rsidRPr="00FE714A">
              <w:t>PBO</w:t>
            </w:r>
          </w:p>
        </w:tc>
        <w:tc>
          <w:tcPr>
            <w:tcW w:w="1276" w:type="dxa"/>
            <w:vMerge/>
            <w:shd w:val="clear" w:color="auto" w:fill="B8CCE4" w:themeFill="accent1" w:themeFillTint="66"/>
            <w:vAlign w:val="center"/>
          </w:tcPr>
          <w:p w14:paraId="3BB34974" w14:textId="77777777" w:rsidR="004779D9" w:rsidRPr="00FE714A" w:rsidRDefault="004779D9" w:rsidP="00550B5E">
            <w:pPr>
              <w:pStyle w:val="Tabletext"/>
              <w:keepNext/>
              <w:keepLines/>
              <w:jc w:val="center"/>
              <w:rPr>
                <w:iCs/>
              </w:rPr>
            </w:pPr>
          </w:p>
        </w:tc>
        <w:tc>
          <w:tcPr>
            <w:tcW w:w="1367" w:type="dxa"/>
            <w:vMerge/>
            <w:shd w:val="clear" w:color="auto" w:fill="B8CCE4" w:themeFill="accent1" w:themeFillTint="66"/>
            <w:vAlign w:val="center"/>
          </w:tcPr>
          <w:p w14:paraId="6815CC71" w14:textId="77777777" w:rsidR="004779D9" w:rsidRPr="00FE714A" w:rsidRDefault="004779D9" w:rsidP="00550B5E">
            <w:pPr>
              <w:pStyle w:val="Tabletext"/>
              <w:keepNext/>
              <w:keepLines/>
              <w:jc w:val="center"/>
              <w:rPr>
                <w:iCs/>
              </w:rPr>
            </w:pPr>
          </w:p>
        </w:tc>
      </w:tr>
      <w:tr w:rsidR="004779D9" w:rsidRPr="00FE714A" w14:paraId="47051C2D" w14:textId="77777777" w:rsidTr="00FA02B9">
        <w:trPr>
          <w:tblHeader/>
        </w:trPr>
        <w:tc>
          <w:tcPr>
            <w:tcW w:w="988" w:type="dxa"/>
            <w:shd w:val="clear" w:color="auto" w:fill="B8CCE4" w:themeFill="accent1" w:themeFillTint="66"/>
            <w:vAlign w:val="center"/>
          </w:tcPr>
          <w:p w14:paraId="68BCAA38" w14:textId="77777777" w:rsidR="004779D9" w:rsidRPr="00FE714A" w:rsidRDefault="004779D9" w:rsidP="00550B5E">
            <w:pPr>
              <w:pStyle w:val="Tabletext"/>
              <w:keepNext/>
              <w:keepLines/>
              <w:rPr>
                <w:iCs/>
              </w:rPr>
            </w:pPr>
            <w:r w:rsidRPr="00FE714A">
              <w:rPr>
                <w:iCs/>
              </w:rPr>
              <w:t>SOLO 1</w:t>
            </w:r>
          </w:p>
        </w:tc>
        <w:tc>
          <w:tcPr>
            <w:tcW w:w="425" w:type="dxa"/>
            <w:shd w:val="clear" w:color="auto" w:fill="B8CCE4" w:themeFill="accent1" w:themeFillTint="66"/>
            <w:vAlign w:val="center"/>
          </w:tcPr>
          <w:p w14:paraId="28DB0787" w14:textId="77777777" w:rsidR="004779D9" w:rsidRPr="00FE714A" w:rsidRDefault="004779D9" w:rsidP="00550B5E">
            <w:pPr>
              <w:pStyle w:val="Tabletext"/>
              <w:keepNext/>
              <w:keepLines/>
              <w:jc w:val="center"/>
              <w:rPr>
                <w:iCs/>
              </w:rPr>
            </w:pPr>
            <w:r w:rsidRPr="00FE714A">
              <w:rPr>
                <w:iCs/>
              </w:rPr>
              <w:t>448</w:t>
            </w:r>
            <w:r w:rsidRPr="00FE714A">
              <w:rPr>
                <w:i/>
                <w:vertAlign w:val="superscript"/>
              </w:rPr>
              <w:t>a</w:t>
            </w:r>
          </w:p>
        </w:tc>
        <w:tc>
          <w:tcPr>
            <w:tcW w:w="2268" w:type="dxa"/>
            <w:vMerge w:val="restart"/>
            <w:shd w:val="clear" w:color="auto" w:fill="B8CCE4" w:themeFill="accent1" w:themeFillTint="66"/>
            <w:vAlign w:val="center"/>
          </w:tcPr>
          <w:p w14:paraId="75BC9012" w14:textId="77777777" w:rsidR="004779D9" w:rsidRPr="00FE714A" w:rsidRDefault="004779D9" w:rsidP="00550B5E">
            <w:pPr>
              <w:pStyle w:val="Tabletext"/>
              <w:keepNext/>
              <w:keepLines/>
              <w:jc w:val="center"/>
              <w:rPr>
                <w:iCs/>
              </w:rPr>
            </w:pPr>
            <w:r w:rsidRPr="00FE714A">
              <w:rPr>
                <w:iCs/>
              </w:rPr>
              <w:t>P3, R, MC, DB, PC 16wk, rescue therapy allowed</w:t>
            </w:r>
          </w:p>
        </w:tc>
        <w:tc>
          <w:tcPr>
            <w:tcW w:w="567" w:type="dxa"/>
            <w:vMerge w:val="restart"/>
            <w:shd w:val="clear" w:color="auto" w:fill="B8CCE4" w:themeFill="accent1" w:themeFillTint="66"/>
            <w:vAlign w:val="center"/>
          </w:tcPr>
          <w:p w14:paraId="5DEFEE0F" w14:textId="77777777" w:rsidR="004779D9" w:rsidRPr="00FE714A" w:rsidRDefault="004779D9" w:rsidP="00550B5E">
            <w:pPr>
              <w:pStyle w:val="Tabletext"/>
              <w:keepNext/>
              <w:keepLines/>
              <w:jc w:val="center"/>
              <w:rPr>
                <w:iCs/>
              </w:rPr>
            </w:pPr>
            <w:r w:rsidRPr="00FE714A">
              <w:rPr>
                <w:iCs/>
              </w:rPr>
              <w:t>Low</w:t>
            </w:r>
          </w:p>
        </w:tc>
        <w:tc>
          <w:tcPr>
            <w:tcW w:w="2126" w:type="dxa"/>
            <w:tcBorders>
              <w:bottom w:val="dashSmallGap" w:sz="4" w:space="0" w:color="auto"/>
            </w:tcBorders>
            <w:shd w:val="clear" w:color="auto" w:fill="B8CCE4" w:themeFill="accent1" w:themeFillTint="66"/>
            <w:vAlign w:val="center"/>
          </w:tcPr>
          <w:p w14:paraId="588CA877" w14:textId="77777777" w:rsidR="004779D9" w:rsidRPr="00FE714A" w:rsidRDefault="004779D9" w:rsidP="00550B5E">
            <w:pPr>
              <w:pStyle w:val="Tabletext"/>
              <w:keepNext/>
              <w:keepLines/>
              <w:jc w:val="center"/>
              <w:rPr>
                <w:iCs/>
              </w:rPr>
            </w:pPr>
            <w:r w:rsidRPr="00FE714A">
              <w:t xml:space="preserve">DUPI 300 mg Q2W </w:t>
            </w:r>
            <w:r w:rsidRPr="00FE714A">
              <w:rPr>
                <w:vertAlign w:val="superscript"/>
              </w:rPr>
              <w:t>e</w:t>
            </w:r>
          </w:p>
        </w:tc>
        <w:tc>
          <w:tcPr>
            <w:tcW w:w="1276" w:type="dxa"/>
            <w:vMerge w:val="restart"/>
            <w:shd w:val="clear" w:color="auto" w:fill="B8CCE4" w:themeFill="accent1" w:themeFillTint="66"/>
            <w:vAlign w:val="center"/>
          </w:tcPr>
          <w:p w14:paraId="2727B01A" w14:textId="77777777" w:rsidR="004779D9" w:rsidRPr="00FE714A" w:rsidRDefault="004779D9" w:rsidP="00550B5E">
            <w:pPr>
              <w:pStyle w:val="Tabletext"/>
              <w:keepNext/>
              <w:keepLines/>
              <w:jc w:val="center"/>
              <w:rPr>
                <w:iCs/>
              </w:rPr>
            </w:pPr>
            <w:r w:rsidRPr="00FE714A">
              <w:t>M-S AD; adults</w:t>
            </w:r>
          </w:p>
        </w:tc>
        <w:tc>
          <w:tcPr>
            <w:tcW w:w="1367" w:type="dxa"/>
            <w:vMerge w:val="restart"/>
            <w:shd w:val="clear" w:color="auto" w:fill="B8CCE4" w:themeFill="accent1" w:themeFillTint="66"/>
            <w:vAlign w:val="center"/>
          </w:tcPr>
          <w:p w14:paraId="389BAB3D" w14:textId="77777777" w:rsidR="004779D9" w:rsidRPr="00FE714A" w:rsidRDefault="004779D9" w:rsidP="00550B5E">
            <w:pPr>
              <w:pStyle w:val="Tabletext"/>
              <w:keepNext/>
              <w:keepLines/>
              <w:jc w:val="center"/>
              <w:rPr>
                <w:iCs/>
              </w:rPr>
            </w:pPr>
            <w:r w:rsidRPr="00FE714A">
              <w:t>IGA 0/1</w:t>
            </w:r>
            <w:r w:rsidRPr="00FE714A">
              <w:rPr>
                <w:vertAlign w:val="superscript"/>
              </w:rPr>
              <w:t>d</w:t>
            </w:r>
            <w:r w:rsidRPr="00FE714A">
              <w:t xml:space="preserve"> &amp; EASI 75</w:t>
            </w:r>
            <w:r w:rsidRPr="00FE714A">
              <w:rPr>
                <w:vertAlign w:val="superscript"/>
              </w:rPr>
              <w:t>f</w:t>
            </w:r>
            <w:r w:rsidRPr="00FE714A">
              <w:t xml:space="preserve"> at wk16</w:t>
            </w:r>
            <w:r w:rsidRPr="00FE714A">
              <w:rPr>
                <w:vertAlign w:val="superscript"/>
              </w:rPr>
              <w:t xml:space="preserve"> </w:t>
            </w:r>
          </w:p>
        </w:tc>
      </w:tr>
      <w:tr w:rsidR="004779D9" w:rsidRPr="00FE714A" w14:paraId="7376CDBB" w14:textId="77777777" w:rsidTr="00FA02B9">
        <w:trPr>
          <w:tblHeader/>
        </w:trPr>
        <w:tc>
          <w:tcPr>
            <w:tcW w:w="988" w:type="dxa"/>
            <w:shd w:val="clear" w:color="auto" w:fill="B8CCE4" w:themeFill="accent1" w:themeFillTint="66"/>
            <w:vAlign w:val="center"/>
          </w:tcPr>
          <w:p w14:paraId="2A16BC19" w14:textId="77777777" w:rsidR="004779D9" w:rsidRPr="00FE714A" w:rsidRDefault="004779D9" w:rsidP="00550B5E">
            <w:pPr>
              <w:pStyle w:val="Tabletext"/>
              <w:keepNext/>
              <w:keepLines/>
              <w:rPr>
                <w:iCs/>
              </w:rPr>
            </w:pPr>
            <w:r w:rsidRPr="00FE714A">
              <w:rPr>
                <w:iCs/>
              </w:rPr>
              <w:t>SOLO 2</w:t>
            </w:r>
          </w:p>
        </w:tc>
        <w:tc>
          <w:tcPr>
            <w:tcW w:w="425" w:type="dxa"/>
            <w:shd w:val="clear" w:color="auto" w:fill="B8CCE4" w:themeFill="accent1" w:themeFillTint="66"/>
            <w:vAlign w:val="center"/>
          </w:tcPr>
          <w:p w14:paraId="453AC514" w14:textId="77777777" w:rsidR="004779D9" w:rsidRPr="00FE714A" w:rsidRDefault="004779D9" w:rsidP="00550B5E">
            <w:pPr>
              <w:pStyle w:val="Tabletext"/>
              <w:keepNext/>
              <w:keepLines/>
              <w:jc w:val="center"/>
              <w:rPr>
                <w:iCs/>
              </w:rPr>
            </w:pPr>
            <w:r w:rsidRPr="00FE714A">
              <w:rPr>
                <w:iCs/>
              </w:rPr>
              <w:t>469</w:t>
            </w:r>
            <w:r w:rsidRPr="00FE714A">
              <w:rPr>
                <w:i/>
                <w:vertAlign w:val="superscript"/>
              </w:rPr>
              <w:t>a</w:t>
            </w:r>
          </w:p>
        </w:tc>
        <w:tc>
          <w:tcPr>
            <w:tcW w:w="2268" w:type="dxa"/>
            <w:vMerge/>
            <w:shd w:val="clear" w:color="auto" w:fill="B8CCE4" w:themeFill="accent1" w:themeFillTint="66"/>
            <w:vAlign w:val="center"/>
          </w:tcPr>
          <w:p w14:paraId="7AA75A5E" w14:textId="77777777" w:rsidR="004779D9" w:rsidRPr="00FE714A" w:rsidRDefault="004779D9" w:rsidP="00550B5E">
            <w:pPr>
              <w:pStyle w:val="Tabletext"/>
              <w:keepNext/>
              <w:keepLines/>
              <w:jc w:val="center"/>
              <w:rPr>
                <w:iCs/>
              </w:rPr>
            </w:pPr>
          </w:p>
        </w:tc>
        <w:tc>
          <w:tcPr>
            <w:tcW w:w="567" w:type="dxa"/>
            <w:vMerge/>
            <w:shd w:val="clear" w:color="auto" w:fill="B8CCE4" w:themeFill="accent1" w:themeFillTint="66"/>
            <w:vAlign w:val="center"/>
          </w:tcPr>
          <w:p w14:paraId="0142BAA5" w14:textId="77777777" w:rsidR="004779D9" w:rsidRPr="00FE714A" w:rsidRDefault="004779D9" w:rsidP="00550B5E">
            <w:pPr>
              <w:pStyle w:val="Tabletext"/>
              <w:keepNext/>
              <w:keepLines/>
              <w:jc w:val="center"/>
              <w:rPr>
                <w:iCs/>
              </w:rPr>
            </w:pPr>
          </w:p>
        </w:tc>
        <w:tc>
          <w:tcPr>
            <w:tcW w:w="2126" w:type="dxa"/>
            <w:tcBorders>
              <w:top w:val="dashSmallGap" w:sz="4" w:space="0" w:color="auto"/>
              <w:bottom w:val="single" w:sz="4" w:space="0" w:color="auto"/>
            </w:tcBorders>
            <w:shd w:val="clear" w:color="auto" w:fill="B8CCE4" w:themeFill="accent1" w:themeFillTint="66"/>
            <w:vAlign w:val="center"/>
          </w:tcPr>
          <w:p w14:paraId="77FEEE08" w14:textId="77777777" w:rsidR="004779D9" w:rsidRPr="00FE714A" w:rsidRDefault="004779D9" w:rsidP="00550B5E">
            <w:pPr>
              <w:pStyle w:val="Tabletext"/>
              <w:keepNext/>
              <w:keepLines/>
              <w:jc w:val="center"/>
              <w:rPr>
                <w:iCs/>
              </w:rPr>
            </w:pPr>
            <w:r w:rsidRPr="00FE714A">
              <w:t>PBO</w:t>
            </w:r>
          </w:p>
        </w:tc>
        <w:tc>
          <w:tcPr>
            <w:tcW w:w="1276" w:type="dxa"/>
            <w:vMerge/>
            <w:shd w:val="clear" w:color="auto" w:fill="B8CCE4" w:themeFill="accent1" w:themeFillTint="66"/>
            <w:vAlign w:val="center"/>
          </w:tcPr>
          <w:p w14:paraId="09FE9B8D" w14:textId="77777777" w:rsidR="004779D9" w:rsidRPr="00FE714A" w:rsidRDefault="004779D9" w:rsidP="00550B5E">
            <w:pPr>
              <w:pStyle w:val="Tabletext"/>
              <w:keepNext/>
              <w:keepLines/>
              <w:jc w:val="center"/>
              <w:rPr>
                <w:iCs/>
              </w:rPr>
            </w:pPr>
          </w:p>
        </w:tc>
        <w:tc>
          <w:tcPr>
            <w:tcW w:w="1367" w:type="dxa"/>
            <w:vMerge/>
            <w:shd w:val="clear" w:color="auto" w:fill="B8CCE4" w:themeFill="accent1" w:themeFillTint="66"/>
            <w:vAlign w:val="center"/>
          </w:tcPr>
          <w:p w14:paraId="07A22BCB" w14:textId="77777777" w:rsidR="004779D9" w:rsidRPr="00FE714A" w:rsidRDefault="004779D9" w:rsidP="00550B5E">
            <w:pPr>
              <w:pStyle w:val="Tabletext"/>
              <w:keepNext/>
              <w:keepLines/>
              <w:jc w:val="center"/>
              <w:rPr>
                <w:iCs/>
              </w:rPr>
            </w:pPr>
          </w:p>
        </w:tc>
      </w:tr>
      <w:tr w:rsidR="004779D9" w:rsidRPr="00FE714A" w14:paraId="76885EC7" w14:textId="77777777" w:rsidTr="00FA02B9">
        <w:trPr>
          <w:trHeight w:val="194"/>
          <w:tblHeader/>
        </w:trPr>
        <w:tc>
          <w:tcPr>
            <w:tcW w:w="988" w:type="dxa"/>
            <w:vMerge w:val="restart"/>
            <w:shd w:val="clear" w:color="auto" w:fill="B8CCE4" w:themeFill="accent1" w:themeFillTint="66"/>
            <w:vAlign w:val="center"/>
          </w:tcPr>
          <w:p w14:paraId="2FBF679C" w14:textId="77777777" w:rsidR="004779D9" w:rsidRPr="00FE714A" w:rsidRDefault="004779D9" w:rsidP="00550B5E">
            <w:pPr>
              <w:pStyle w:val="Tabletext"/>
              <w:keepNext/>
              <w:keepLines/>
              <w:rPr>
                <w:iCs/>
              </w:rPr>
            </w:pPr>
            <w:r w:rsidRPr="00FE714A">
              <w:rPr>
                <w:iCs/>
              </w:rPr>
              <w:t>LIBERTY AD ADOL</w:t>
            </w:r>
          </w:p>
        </w:tc>
        <w:tc>
          <w:tcPr>
            <w:tcW w:w="425" w:type="dxa"/>
            <w:vMerge w:val="restart"/>
            <w:shd w:val="clear" w:color="auto" w:fill="B8CCE4" w:themeFill="accent1" w:themeFillTint="66"/>
            <w:vAlign w:val="center"/>
          </w:tcPr>
          <w:p w14:paraId="5CF69C12" w14:textId="77777777" w:rsidR="004779D9" w:rsidRPr="00FE714A" w:rsidRDefault="004779D9" w:rsidP="00550B5E">
            <w:pPr>
              <w:pStyle w:val="Tabletext"/>
              <w:keepNext/>
              <w:keepLines/>
              <w:jc w:val="center"/>
              <w:rPr>
                <w:iCs/>
              </w:rPr>
            </w:pPr>
            <w:r w:rsidRPr="00FE714A">
              <w:rPr>
                <w:iCs/>
              </w:rPr>
              <w:t>167</w:t>
            </w:r>
            <w:r w:rsidRPr="00FE714A">
              <w:rPr>
                <w:i/>
                <w:vertAlign w:val="superscript"/>
              </w:rPr>
              <w:t>a</w:t>
            </w:r>
          </w:p>
        </w:tc>
        <w:tc>
          <w:tcPr>
            <w:tcW w:w="2268" w:type="dxa"/>
            <w:vMerge w:val="restart"/>
            <w:shd w:val="clear" w:color="auto" w:fill="B8CCE4" w:themeFill="accent1" w:themeFillTint="66"/>
            <w:vAlign w:val="center"/>
          </w:tcPr>
          <w:p w14:paraId="7BCE348E" w14:textId="77777777" w:rsidR="004779D9" w:rsidRPr="00FE714A" w:rsidRDefault="004779D9" w:rsidP="00550B5E">
            <w:pPr>
              <w:pStyle w:val="Tabletext"/>
              <w:keepNext/>
              <w:keepLines/>
              <w:jc w:val="center"/>
              <w:rPr>
                <w:iCs/>
              </w:rPr>
            </w:pPr>
            <w:r w:rsidRPr="00FE714A">
              <w:rPr>
                <w:iCs/>
              </w:rPr>
              <w:t>P3, R, MC, DB, PC, AC 16wk, rescue therapy allowed</w:t>
            </w:r>
          </w:p>
        </w:tc>
        <w:tc>
          <w:tcPr>
            <w:tcW w:w="567" w:type="dxa"/>
            <w:vMerge w:val="restart"/>
            <w:shd w:val="clear" w:color="auto" w:fill="B8CCE4" w:themeFill="accent1" w:themeFillTint="66"/>
            <w:vAlign w:val="center"/>
          </w:tcPr>
          <w:p w14:paraId="30C31982" w14:textId="77777777" w:rsidR="004779D9" w:rsidRPr="00FE714A" w:rsidRDefault="004779D9" w:rsidP="00550B5E">
            <w:pPr>
              <w:pStyle w:val="Tabletext"/>
              <w:keepNext/>
              <w:keepLines/>
              <w:jc w:val="center"/>
              <w:rPr>
                <w:iCs/>
              </w:rPr>
            </w:pPr>
            <w:r w:rsidRPr="00FE714A">
              <w:rPr>
                <w:iCs/>
              </w:rPr>
              <w:t>Low</w:t>
            </w:r>
          </w:p>
        </w:tc>
        <w:tc>
          <w:tcPr>
            <w:tcW w:w="2126" w:type="dxa"/>
            <w:tcBorders>
              <w:bottom w:val="dashSmallGap" w:sz="4" w:space="0" w:color="auto"/>
            </w:tcBorders>
            <w:shd w:val="clear" w:color="auto" w:fill="B8CCE4" w:themeFill="accent1" w:themeFillTint="66"/>
            <w:vAlign w:val="center"/>
          </w:tcPr>
          <w:p w14:paraId="47B655AF" w14:textId="77777777" w:rsidR="004779D9" w:rsidRPr="00FE714A" w:rsidRDefault="004779D9" w:rsidP="00550B5E">
            <w:pPr>
              <w:pStyle w:val="Tabletext"/>
              <w:keepNext/>
              <w:keepLines/>
              <w:jc w:val="center"/>
              <w:rPr>
                <w:iCs/>
              </w:rPr>
            </w:pPr>
            <w:r w:rsidRPr="00FE714A">
              <w:t xml:space="preserve">DUPI 200/300 mg Q2W </w:t>
            </w:r>
            <w:r w:rsidRPr="00FE714A">
              <w:rPr>
                <w:vertAlign w:val="superscript"/>
              </w:rPr>
              <w:t>e</w:t>
            </w:r>
          </w:p>
        </w:tc>
        <w:tc>
          <w:tcPr>
            <w:tcW w:w="1276" w:type="dxa"/>
            <w:vMerge w:val="restart"/>
            <w:shd w:val="clear" w:color="auto" w:fill="B8CCE4" w:themeFill="accent1" w:themeFillTint="66"/>
            <w:vAlign w:val="center"/>
          </w:tcPr>
          <w:p w14:paraId="39020306" w14:textId="77777777" w:rsidR="004779D9" w:rsidRPr="00FE714A" w:rsidRDefault="004779D9" w:rsidP="00550B5E">
            <w:pPr>
              <w:pStyle w:val="Tabletext"/>
              <w:keepNext/>
              <w:keepLines/>
              <w:jc w:val="center"/>
              <w:rPr>
                <w:iCs/>
              </w:rPr>
            </w:pPr>
            <w:r w:rsidRPr="00FE714A">
              <w:t>M-S AD; adolescents</w:t>
            </w:r>
          </w:p>
        </w:tc>
        <w:tc>
          <w:tcPr>
            <w:tcW w:w="1367" w:type="dxa"/>
            <w:vMerge w:val="restart"/>
            <w:shd w:val="clear" w:color="auto" w:fill="B8CCE4" w:themeFill="accent1" w:themeFillTint="66"/>
            <w:vAlign w:val="center"/>
          </w:tcPr>
          <w:p w14:paraId="1D3ADEF7" w14:textId="77777777" w:rsidR="004779D9" w:rsidRPr="00FE714A" w:rsidRDefault="004779D9" w:rsidP="00550B5E">
            <w:pPr>
              <w:pStyle w:val="Tabletext"/>
              <w:keepNext/>
              <w:keepLines/>
              <w:jc w:val="center"/>
              <w:rPr>
                <w:iCs/>
              </w:rPr>
            </w:pPr>
            <w:r w:rsidRPr="00FE714A">
              <w:t>IGA 0/1</w:t>
            </w:r>
            <w:r w:rsidRPr="00FE714A">
              <w:rPr>
                <w:vertAlign w:val="superscript"/>
              </w:rPr>
              <w:t>d</w:t>
            </w:r>
            <w:r w:rsidRPr="00FE714A">
              <w:t xml:space="preserve"> &amp; EASI 75 at wk16</w:t>
            </w:r>
            <w:r w:rsidRPr="00FE714A">
              <w:rPr>
                <w:vertAlign w:val="superscript"/>
              </w:rPr>
              <w:t xml:space="preserve"> </w:t>
            </w:r>
          </w:p>
        </w:tc>
      </w:tr>
      <w:tr w:rsidR="004779D9" w:rsidRPr="00FE714A" w14:paraId="5592C021" w14:textId="77777777" w:rsidTr="00FA02B9">
        <w:trPr>
          <w:trHeight w:val="194"/>
          <w:tblHeader/>
        </w:trPr>
        <w:tc>
          <w:tcPr>
            <w:tcW w:w="988" w:type="dxa"/>
            <w:vMerge/>
            <w:shd w:val="clear" w:color="auto" w:fill="B8CCE4" w:themeFill="accent1" w:themeFillTint="66"/>
            <w:vAlign w:val="center"/>
          </w:tcPr>
          <w:p w14:paraId="68A8E935" w14:textId="77777777" w:rsidR="004779D9" w:rsidRPr="00FE714A" w:rsidRDefault="004779D9" w:rsidP="00550B5E">
            <w:pPr>
              <w:pStyle w:val="Tabletext"/>
              <w:keepNext/>
              <w:keepLines/>
              <w:rPr>
                <w:iCs/>
              </w:rPr>
            </w:pPr>
          </w:p>
        </w:tc>
        <w:tc>
          <w:tcPr>
            <w:tcW w:w="425" w:type="dxa"/>
            <w:vMerge/>
            <w:shd w:val="clear" w:color="auto" w:fill="B8CCE4" w:themeFill="accent1" w:themeFillTint="66"/>
            <w:vAlign w:val="center"/>
          </w:tcPr>
          <w:p w14:paraId="33078C44" w14:textId="77777777" w:rsidR="004779D9" w:rsidRPr="00FE714A" w:rsidRDefault="004779D9" w:rsidP="00550B5E">
            <w:pPr>
              <w:pStyle w:val="Tabletext"/>
              <w:keepNext/>
              <w:keepLines/>
              <w:jc w:val="center"/>
              <w:rPr>
                <w:iCs/>
              </w:rPr>
            </w:pPr>
          </w:p>
        </w:tc>
        <w:tc>
          <w:tcPr>
            <w:tcW w:w="2268" w:type="dxa"/>
            <w:vMerge/>
            <w:shd w:val="clear" w:color="auto" w:fill="B8CCE4" w:themeFill="accent1" w:themeFillTint="66"/>
            <w:vAlign w:val="center"/>
          </w:tcPr>
          <w:p w14:paraId="439CE9C4" w14:textId="77777777" w:rsidR="004779D9" w:rsidRPr="00FE714A" w:rsidRDefault="004779D9" w:rsidP="00550B5E">
            <w:pPr>
              <w:pStyle w:val="Tabletext"/>
              <w:keepNext/>
              <w:keepLines/>
              <w:jc w:val="center"/>
              <w:rPr>
                <w:iCs/>
              </w:rPr>
            </w:pPr>
          </w:p>
        </w:tc>
        <w:tc>
          <w:tcPr>
            <w:tcW w:w="567" w:type="dxa"/>
            <w:vMerge/>
            <w:shd w:val="clear" w:color="auto" w:fill="B8CCE4" w:themeFill="accent1" w:themeFillTint="66"/>
            <w:vAlign w:val="center"/>
          </w:tcPr>
          <w:p w14:paraId="75C0CE9B" w14:textId="77777777" w:rsidR="004779D9" w:rsidRPr="00FE714A" w:rsidRDefault="004779D9" w:rsidP="00550B5E">
            <w:pPr>
              <w:pStyle w:val="Tabletext"/>
              <w:keepNext/>
              <w:keepLines/>
              <w:jc w:val="center"/>
              <w:rPr>
                <w:iCs/>
              </w:rPr>
            </w:pPr>
          </w:p>
        </w:tc>
        <w:tc>
          <w:tcPr>
            <w:tcW w:w="2126" w:type="dxa"/>
            <w:tcBorders>
              <w:top w:val="dashSmallGap" w:sz="4" w:space="0" w:color="auto"/>
            </w:tcBorders>
            <w:shd w:val="clear" w:color="auto" w:fill="B8CCE4" w:themeFill="accent1" w:themeFillTint="66"/>
            <w:vAlign w:val="center"/>
          </w:tcPr>
          <w:p w14:paraId="00C2F850" w14:textId="77777777" w:rsidR="004779D9" w:rsidRPr="00FE714A" w:rsidRDefault="004779D9" w:rsidP="00550B5E">
            <w:pPr>
              <w:pStyle w:val="Tabletext"/>
              <w:keepNext/>
              <w:keepLines/>
              <w:jc w:val="center"/>
              <w:rPr>
                <w:iCs/>
              </w:rPr>
            </w:pPr>
            <w:r w:rsidRPr="00FE714A">
              <w:t>PBO</w:t>
            </w:r>
          </w:p>
        </w:tc>
        <w:tc>
          <w:tcPr>
            <w:tcW w:w="1276" w:type="dxa"/>
            <w:vMerge/>
            <w:shd w:val="clear" w:color="auto" w:fill="B8CCE4" w:themeFill="accent1" w:themeFillTint="66"/>
            <w:vAlign w:val="center"/>
          </w:tcPr>
          <w:p w14:paraId="52BCCD08" w14:textId="77777777" w:rsidR="004779D9" w:rsidRPr="00FE714A" w:rsidRDefault="004779D9" w:rsidP="00550B5E">
            <w:pPr>
              <w:pStyle w:val="Tabletext"/>
              <w:keepNext/>
              <w:keepLines/>
              <w:jc w:val="center"/>
              <w:rPr>
                <w:iCs/>
              </w:rPr>
            </w:pPr>
          </w:p>
        </w:tc>
        <w:tc>
          <w:tcPr>
            <w:tcW w:w="1367" w:type="dxa"/>
            <w:vMerge/>
            <w:shd w:val="clear" w:color="auto" w:fill="B8CCE4" w:themeFill="accent1" w:themeFillTint="66"/>
            <w:vAlign w:val="center"/>
          </w:tcPr>
          <w:p w14:paraId="3012A00C" w14:textId="77777777" w:rsidR="004779D9" w:rsidRPr="00FE714A" w:rsidRDefault="004779D9" w:rsidP="00550B5E">
            <w:pPr>
              <w:pStyle w:val="Tabletext"/>
              <w:keepNext/>
              <w:keepLines/>
              <w:jc w:val="center"/>
              <w:rPr>
                <w:iCs/>
              </w:rPr>
            </w:pPr>
          </w:p>
        </w:tc>
      </w:tr>
      <w:tr w:rsidR="004779D9" w:rsidRPr="00FE714A" w14:paraId="75EABCF2" w14:textId="77777777" w:rsidTr="00FA02B9">
        <w:trPr>
          <w:trHeight w:val="194"/>
          <w:tblHeader/>
        </w:trPr>
        <w:tc>
          <w:tcPr>
            <w:tcW w:w="988" w:type="dxa"/>
            <w:vMerge w:val="restart"/>
            <w:vAlign w:val="center"/>
          </w:tcPr>
          <w:p w14:paraId="79E18EAC" w14:textId="77777777" w:rsidR="004779D9" w:rsidRPr="00FE714A" w:rsidRDefault="004779D9" w:rsidP="00550B5E">
            <w:pPr>
              <w:pStyle w:val="Tabletext"/>
              <w:keepNext/>
              <w:keepLines/>
              <w:rPr>
                <w:iCs/>
              </w:rPr>
            </w:pPr>
            <w:r w:rsidRPr="00FE714A">
              <w:rPr>
                <w:iCs/>
              </w:rPr>
              <w:t>DUPI Chinese</w:t>
            </w:r>
          </w:p>
        </w:tc>
        <w:tc>
          <w:tcPr>
            <w:tcW w:w="425" w:type="dxa"/>
            <w:vMerge w:val="restart"/>
            <w:vAlign w:val="center"/>
          </w:tcPr>
          <w:p w14:paraId="5D2B50C6" w14:textId="77777777" w:rsidR="004779D9" w:rsidRPr="00FE714A" w:rsidRDefault="004779D9" w:rsidP="00550B5E">
            <w:pPr>
              <w:pStyle w:val="Tabletext"/>
              <w:keepNext/>
              <w:keepLines/>
              <w:jc w:val="center"/>
              <w:rPr>
                <w:iCs/>
              </w:rPr>
            </w:pPr>
            <w:r w:rsidRPr="00FE714A">
              <w:rPr>
                <w:iCs/>
              </w:rPr>
              <w:t>165</w:t>
            </w:r>
          </w:p>
        </w:tc>
        <w:tc>
          <w:tcPr>
            <w:tcW w:w="2268" w:type="dxa"/>
            <w:vMerge w:val="restart"/>
            <w:vAlign w:val="center"/>
          </w:tcPr>
          <w:p w14:paraId="61C6922C" w14:textId="77777777" w:rsidR="004779D9" w:rsidRPr="00FE714A" w:rsidRDefault="004779D9" w:rsidP="00550B5E">
            <w:pPr>
              <w:pStyle w:val="Tabletext"/>
              <w:keepNext/>
              <w:keepLines/>
              <w:jc w:val="center"/>
              <w:rPr>
                <w:iCs/>
              </w:rPr>
            </w:pPr>
            <w:r w:rsidRPr="00FE714A">
              <w:rPr>
                <w:iCs/>
              </w:rPr>
              <w:t>P3, R, MC, DB, PC 16wk, rescue therapy allowed</w:t>
            </w:r>
          </w:p>
        </w:tc>
        <w:tc>
          <w:tcPr>
            <w:tcW w:w="567" w:type="dxa"/>
            <w:vMerge w:val="restart"/>
            <w:vAlign w:val="center"/>
          </w:tcPr>
          <w:p w14:paraId="19E27E73" w14:textId="77777777" w:rsidR="004779D9" w:rsidRPr="00FE714A" w:rsidRDefault="004779D9" w:rsidP="00550B5E">
            <w:pPr>
              <w:pStyle w:val="Tabletext"/>
              <w:keepNext/>
              <w:keepLines/>
              <w:jc w:val="center"/>
              <w:rPr>
                <w:iCs/>
              </w:rPr>
            </w:pPr>
            <w:r w:rsidRPr="00FE714A">
              <w:rPr>
                <w:iCs/>
              </w:rPr>
              <w:t>Low</w:t>
            </w:r>
          </w:p>
        </w:tc>
        <w:tc>
          <w:tcPr>
            <w:tcW w:w="2126" w:type="dxa"/>
            <w:tcBorders>
              <w:bottom w:val="dashSmallGap" w:sz="4" w:space="0" w:color="auto"/>
            </w:tcBorders>
            <w:shd w:val="clear" w:color="auto" w:fill="auto"/>
            <w:vAlign w:val="center"/>
          </w:tcPr>
          <w:p w14:paraId="2119BACD" w14:textId="77777777" w:rsidR="004779D9" w:rsidRPr="00FE714A" w:rsidRDefault="004779D9" w:rsidP="00550B5E">
            <w:pPr>
              <w:pStyle w:val="Tabletext"/>
              <w:keepNext/>
              <w:keepLines/>
              <w:jc w:val="center"/>
            </w:pPr>
            <w:r w:rsidRPr="00FE714A">
              <w:t xml:space="preserve">DUPI 300 mg Q2W </w:t>
            </w:r>
            <w:r w:rsidRPr="00FE714A">
              <w:rPr>
                <w:vertAlign w:val="superscript"/>
              </w:rPr>
              <w:t xml:space="preserve">e </w:t>
            </w:r>
          </w:p>
        </w:tc>
        <w:tc>
          <w:tcPr>
            <w:tcW w:w="1276" w:type="dxa"/>
            <w:vMerge w:val="restart"/>
            <w:shd w:val="clear" w:color="auto" w:fill="auto"/>
            <w:vAlign w:val="center"/>
          </w:tcPr>
          <w:p w14:paraId="732006B6" w14:textId="77777777" w:rsidR="004779D9" w:rsidRPr="00FE714A" w:rsidRDefault="004779D9" w:rsidP="00550B5E">
            <w:pPr>
              <w:pStyle w:val="Tabletext"/>
              <w:keepNext/>
              <w:keepLines/>
              <w:jc w:val="center"/>
            </w:pPr>
            <w:r w:rsidRPr="00FE714A">
              <w:t>M-S AD; adults</w:t>
            </w:r>
          </w:p>
        </w:tc>
        <w:tc>
          <w:tcPr>
            <w:tcW w:w="1367" w:type="dxa"/>
            <w:vMerge w:val="restart"/>
            <w:shd w:val="clear" w:color="auto" w:fill="auto"/>
            <w:vAlign w:val="center"/>
          </w:tcPr>
          <w:p w14:paraId="2EAE75D2" w14:textId="77777777" w:rsidR="004779D9" w:rsidRPr="00FE714A" w:rsidRDefault="004779D9" w:rsidP="00550B5E">
            <w:pPr>
              <w:pStyle w:val="Tabletext"/>
              <w:keepNext/>
              <w:keepLines/>
              <w:jc w:val="center"/>
            </w:pPr>
            <w:r w:rsidRPr="00FE714A">
              <w:t>IGA 0/1</w:t>
            </w:r>
            <w:r w:rsidRPr="00FE714A">
              <w:rPr>
                <w:vertAlign w:val="superscript"/>
              </w:rPr>
              <w:t>c</w:t>
            </w:r>
          </w:p>
        </w:tc>
      </w:tr>
      <w:tr w:rsidR="004779D9" w:rsidRPr="00FE714A" w14:paraId="7657DF11" w14:textId="77777777" w:rsidTr="00FA02B9">
        <w:trPr>
          <w:trHeight w:val="194"/>
          <w:tblHeader/>
        </w:trPr>
        <w:tc>
          <w:tcPr>
            <w:tcW w:w="988" w:type="dxa"/>
            <w:vMerge/>
            <w:vAlign w:val="center"/>
          </w:tcPr>
          <w:p w14:paraId="495F90F1" w14:textId="77777777" w:rsidR="004779D9" w:rsidRPr="00FE714A" w:rsidRDefault="004779D9" w:rsidP="00550B5E">
            <w:pPr>
              <w:pStyle w:val="Tabletext"/>
              <w:keepNext/>
              <w:keepLines/>
              <w:rPr>
                <w:iCs/>
              </w:rPr>
            </w:pPr>
          </w:p>
        </w:tc>
        <w:tc>
          <w:tcPr>
            <w:tcW w:w="425" w:type="dxa"/>
            <w:vMerge/>
            <w:vAlign w:val="center"/>
          </w:tcPr>
          <w:p w14:paraId="72483F4B" w14:textId="77777777" w:rsidR="004779D9" w:rsidRPr="00FE714A" w:rsidRDefault="004779D9" w:rsidP="00550B5E">
            <w:pPr>
              <w:pStyle w:val="Tabletext"/>
              <w:keepNext/>
              <w:keepLines/>
              <w:jc w:val="center"/>
              <w:rPr>
                <w:iCs/>
              </w:rPr>
            </w:pPr>
          </w:p>
        </w:tc>
        <w:tc>
          <w:tcPr>
            <w:tcW w:w="2268" w:type="dxa"/>
            <w:vMerge/>
            <w:vAlign w:val="center"/>
          </w:tcPr>
          <w:p w14:paraId="58B126F7" w14:textId="77777777" w:rsidR="004779D9" w:rsidRPr="00FE714A" w:rsidRDefault="004779D9" w:rsidP="00550B5E">
            <w:pPr>
              <w:pStyle w:val="Tabletext"/>
              <w:keepNext/>
              <w:keepLines/>
              <w:jc w:val="center"/>
              <w:rPr>
                <w:iCs/>
              </w:rPr>
            </w:pPr>
          </w:p>
        </w:tc>
        <w:tc>
          <w:tcPr>
            <w:tcW w:w="567" w:type="dxa"/>
            <w:vMerge/>
            <w:vAlign w:val="center"/>
          </w:tcPr>
          <w:p w14:paraId="1F30C25A" w14:textId="77777777" w:rsidR="004779D9" w:rsidRPr="00FE714A" w:rsidRDefault="004779D9" w:rsidP="00550B5E">
            <w:pPr>
              <w:pStyle w:val="Tabletext"/>
              <w:keepNext/>
              <w:keepLines/>
              <w:jc w:val="center"/>
              <w:rPr>
                <w:iCs/>
              </w:rPr>
            </w:pPr>
          </w:p>
        </w:tc>
        <w:tc>
          <w:tcPr>
            <w:tcW w:w="2126" w:type="dxa"/>
            <w:tcBorders>
              <w:top w:val="dashSmallGap" w:sz="4" w:space="0" w:color="auto"/>
            </w:tcBorders>
            <w:shd w:val="clear" w:color="auto" w:fill="auto"/>
            <w:vAlign w:val="center"/>
          </w:tcPr>
          <w:p w14:paraId="2C9CAA66" w14:textId="77777777" w:rsidR="004779D9" w:rsidRPr="00FE714A" w:rsidRDefault="004779D9" w:rsidP="00550B5E">
            <w:pPr>
              <w:pStyle w:val="Tabletext"/>
              <w:keepNext/>
              <w:keepLines/>
              <w:jc w:val="center"/>
            </w:pPr>
            <w:r w:rsidRPr="00FE714A">
              <w:t>PBO</w:t>
            </w:r>
          </w:p>
        </w:tc>
        <w:tc>
          <w:tcPr>
            <w:tcW w:w="1276" w:type="dxa"/>
            <w:vMerge/>
            <w:shd w:val="clear" w:color="auto" w:fill="auto"/>
            <w:vAlign w:val="center"/>
          </w:tcPr>
          <w:p w14:paraId="1141CB45" w14:textId="77777777" w:rsidR="004779D9" w:rsidRPr="00FE714A" w:rsidRDefault="004779D9" w:rsidP="00550B5E">
            <w:pPr>
              <w:pStyle w:val="Tabletext"/>
              <w:keepNext/>
              <w:keepLines/>
              <w:jc w:val="center"/>
            </w:pPr>
          </w:p>
        </w:tc>
        <w:tc>
          <w:tcPr>
            <w:tcW w:w="1367" w:type="dxa"/>
            <w:vMerge/>
            <w:shd w:val="clear" w:color="auto" w:fill="auto"/>
            <w:vAlign w:val="center"/>
          </w:tcPr>
          <w:p w14:paraId="241FE318" w14:textId="77777777" w:rsidR="004779D9" w:rsidRPr="00FE714A" w:rsidRDefault="004779D9" w:rsidP="00550B5E">
            <w:pPr>
              <w:pStyle w:val="Tabletext"/>
              <w:keepNext/>
              <w:keepLines/>
              <w:jc w:val="center"/>
            </w:pPr>
          </w:p>
        </w:tc>
      </w:tr>
      <w:tr w:rsidR="004779D9" w:rsidRPr="00FE714A" w14:paraId="2F7B03D8" w14:textId="77777777" w:rsidTr="00FA02B9">
        <w:trPr>
          <w:trHeight w:val="194"/>
          <w:tblHeader/>
        </w:trPr>
        <w:tc>
          <w:tcPr>
            <w:tcW w:w="988" w:type="dxa"/>
            <w:vMerge w:val="restart"/>
            <w:shd w:val="clear" w:color="auto" w:fill="B8CCE4" w:themeFill="accent1" w:themeFillTint="66"/>
            <w:vAlign w:val="center"/>
          </w:tcPr>
          <w:p w14:paraId="241576BB" w14:textId="77777777" w:rsidR="004779D9" w:rsidRPr="00FE714A" w:rsidRDefault="004779D9" w:rsidP="00550B5E">
            <w:pPr>
              <w:pStyle w:val="Tabletext"/>
              <w:keepNext/>
              <w:keepLines/>
              <w:rPr>
                <w:iCs/>
              </w:rPr>
            </w:pPr>
            <w:r w:rsidRPr="00FE714A">
              <w:rPr>
                <w:iCs/>
              </w:rPr>
              <w:t>CAFÉ</w:t>
            </w:r>
          </w:p>
        </w:tc>
        <w:tc>
          <w:tcPr>
            <w:tcW w:w="425" w:type="dxa"/>
            <w:vMerge w:val="restart"/>
            <w:shd w:val="clear" w:color="auto" w:fill="B8CCE4" w:themeFill="accent1" w:themeFillTint="66"/>
            <w:vAlign w:val="center"/>
          </w:tcPr>
          <w:p w14:paraId="6678989B" w14:textId="77777777" w:rsidR="004779D9" w:rsidRPr="00FE714A" w:rsidRDefault="004779D9" w:rsidP="00550B5E">
            <w:pPr>
              <w:pStyle w:val="Tabletext"/>
              <w:keepNext/>
              <w:keepLines/>
              <w:jc w:val="center"/>
              <w:rPr>
                <w:iCs/>
              </w:rPr>
            </w:pPr>
            <w:r w:rsidRPr="00FE714A">
              <w:rPr>
                <w:iCs/>
              </w:rPr>
              <w:t>215</w:t>
            </w:r>
            <w:r w:rsidRPr="00FE714A">
              <w:rPr>
                <w:i/>
                <w:vertAlign w:val="superscript"/>
              </w:rPr>
              <w:t>a</w:t>
            </w:r>
          </w:p>
        </w:tc>
        <w:tc>
          <w:tcPr>
            <w:tcW w:w="2268" w:type="dxa"/>
            <w:vMerge w:val="restart"/>
            <w:shd w:val="clear" w:color="auto" w:fill="B8CCE4" w:themeFill="accent1" w:themeFillTint="66"/>
            <w:vAlign w:val="center"/>
          </w:tcPr>
          <w:p w14:paraId="3B8366BF" w14:textId="77777777" w:rsidR="004779D9" w:rsidRPr="00FE714A" w:rsidRDefault="004779D9" w:rsidP="00550B5E">
            <w:pPr>
              <w:pStyle w:val="Tabletext"/>
              <w:keepNext/>
              <w:keepLines/>
              <w:jc w:val="center"/>
              <w:rPr>
                <w:iCs/>
              </w:rPr>
            </w:pPr>
            <w:r w:rsidRPr="00FE714A">
              <w:rPr>
                <w:iCs/>
              </w:rPr>
              <w:t>P3, R, MC, DB, PC 16wk, rescue therapy allowed</w:t>
            </w:r>
          </w:p>
        </w:tc>
        <w:tc>
          <w:tcPr>
            <w:tcW w:w="567" w:type="dxa"/>
            <w:vMerge w:val="restart"/>
            <w:shd w:val="clear" w:color="auto" w:fill="B8CCE4" w:themeFill="accent1" w:themeFillTint="66"/>
            <w:vAlign w:val="center"/>
          </w:tcPr>
          <w:p w14:paraId="3B099191" w14:textId="77777777" w:rsidR="004779D9" w:rsidRPr="00FE714A" w:rsidRDefault="004779D9" w:rsidP="00550B5E">
            <w:pPr>
              <w:pStyle w:val="Tabletext"/>
              <w:keepNext/>
              <w:keepLines/>
              <w:jc w:val="center"/>
              <w:rPr>
                <w:iCs/>
              </w:rPr>
            </w:pPr>
            <w:r w:rsidRPr="00FE714A">
              <w:rPr>
                <w:iCs/>
              </w:rPr>
              <w:t>Low</w:t>
            </w:r>
          </w:p>
        </w:tc>
        <w:tc>
          <w:tcPr>
            <w:tcW w:w="2126" w:type="dxa"/>
            <w:tcBorders>
              <w:top w:val="single" w:sz="4" w:space="0" w:color="auto"/>
              <w:bottom w:val="dashSmallGap" w:sz="4" w:space="0" w:color="auto"/>
            </w:tcBorders>
            <w:shd w:val="clear" w:color="auto" w:fill="B8CCE4" w:themeFill="accent1" w:themeFillTint="66"/>
            <w:vAlign w:val="center"/>
          </w:tcPr>
          <w:p w14:paraId="79223BE4" w14:textId="77777777" w:rsidR="004779D9" w:rsidRPr="00FE714A" w:rsidRDefault="004779D9" w:rsidP="00550B5E">
            <w:pPr>
              <w:pStyle w:val="Tabletext"/>
              <w:keepNext/>
              <w:keepLines/>
              <w:jc w:val="center"/>
              <w:rPr>
                <w:iCs/>
              </w:rPr>
            </w:pPr>
            <w:r w:rsidRPr="00FE714A">
              <w:t xml:space="preserve">DUPI 300 mg Q2W </w:t>
            </w:r>
            <w:r w:rsidRPr="00FE714A">
              <w:rPr>
                <w:vertAlign w:val="superscript"/>
              </w:rPr>
              <w:t>e</w:t>
            </w:r>
            <w:r w:rsidRPr="00FE714A">
              <w:t xml:space="preserve"> </w:t>
            </w:r>
            <w:r w:rsidRPr="00FE714A">
              <w:rPr>
                <w:rFonts w:cs="Arial"/>
                <w:iCs/>
                <w:szCs w:val="18"/>
              </w:rPr>
              <w:t>+TCS</w:t>
            </w:r>
          </w:p>
        </w:tc>
        <w:tc>
          <w:tcPr>
            <w:tcW w:w="1276" w:type="dxa"/>
            <w:vMerge w:val="restart"/>
            <w:shd w:val="clear" w:color="auto" w:fill="B8CCE4" w:themeFill="accent1" w:themeFillTint="66"/>
            <w:vAlign w:val="center"/>
          </w:tcPr>
          <w:p w14:paraId="3160A053" w14:textId="77777777" w:rsidR="004779D9" w:rsidRPr="00FE714A" w:rsidRDefault="004779D9" w:rsidP="00550B5E">
            <w:pPr>
              <w:pStyle w:val="Tabletext"/>
              <w:keepNext/>
              <w:keepLines/>
              <w:jc w:val="center"/>
              <w:rPr>
                <w:iCs/>
              </w:rPr>
            </w:pPr>
            <w:r w:rsidRPr="00FE714A">
              <w:t>M-S AD; adults</w:t>
            </w:r>
          </w:p>
        </w:tc>
        <w:tc>
          <w:tcPr>
            <w:tcW w:w="1367" w:type="dxa"/>
            <w:vMerge w:val="restart"/>
            <w:shd w:val="clear" w:color="auto" w:fill="B8CCE4" w:themeFill="accent1" w:themeFillTint="66"/>
            <w:vAlign w:val="center"/>
          </w:tcPr>
          <w:p w14:paraId="62F36BCA" w14:textId="77777777" w:rsidR="004779D9" w:rsidRPr="00FE714A" w:rsidRDefault="004779D9" w:rsidP="00550B5E">
            <w:pPr>
              <w:pStyle w:val="Tabletext"/>
              <w:keepNext/>
              <w:keepLines/>
              <w:jc w:val="center"/>
              <w:rPr>
                <w:iCs/>
              </w:rPr>
            </w:pPr>
            <w:r w:rsidRPr="00FE714A">
              <w:t>EASI 75 at wk16</w:t>
            </w:r>
          </w:p>
        </w:tc>
      </w:tr>
      <w:tr w:rsidR="004779D9" w:rsidRPr="00FE714A" w14:paraId="21081152" w14:textId="77777777" w:rsidTr="00FA02B9">
        <w:trPr>
          <w:trHeight w:val="194"/>
          <w:tblHeader/>
        </w:trPr>
        <w:tc>
          <w:tcPr>
            <w:tcW w:w="988" w:type="dxa"/>
            <w:vMerge/>
            <w:shd w:val="clear" w:color="auto" w:fill="B8CCE4" w:themeFill="accent1" w:themeFillTint="66"/>
            <w:vAlign w:val="center"/>
          </w:tcPr>
          <w:p w14:paraId="1D4F38AF" w14:textId="77777777" w:rsidR="004779D9" w:rsidRPr="00FE714A" w:rsidRDefault="004779D9" w:rsidP="00550B5E">
            <w:pPr>
              <w:pStyle w:val="Tabletext"/>
              <w:keepNext/>
              <w:keepLines/>
              <w:rPr>
                <w:iCs/>
              </w:rPr>
            </w:pPr>
          </w:p>
        </w:tc>
        <w:tc>
          <w:tcPr>
            <w:tcW w:w="425" w:type="dxa"/>
            <w:vMerge/>
            <w:shd w:val="clear" w:color="auto" w:fill="B8CCE4" w:themeFill="accent1" w:themeFillTint="66"/>
            <w:vAlign w:val="center"/>
          </w:tcPr>
          <w:p w14:paraId="033E426E" w14:textId="77777777" w:rsidR="004779D9" w:rsidRPr="00FE714A" w:rsidRDefault="004779D9" w:rsidP="00550B5E">
            <w:pPr>
              <w:pStyle w:val="Tabletext"/>
              <w:keepNext/>
              <w:keepLines/>
              <w:jc w:val="center"/>
              <w:rPr>
                <w:iCs/>
              </w:rPr>
            </w:pPr>
          </w:p>
        </w:tc>
        <w:tc>
          <w:tcPr>
            <w:tcW w:w="2268" w:type="dxa"/>
            <w:vMerge/>
            <w:shd w:val="clear" w:color="auto" w:fill="B8CCE4" w:themeFill="accent1" w:themeFillTint="66"/>
            <w:vAlign w:val="center"/>
          </w:tcPr>
          <w:p w14:paraId="068739ED" w14:textId="77777777" w:rsidR="004779D9" w:rsidRPr="00FE714A" w:rsidRDefault="004779D9" w:rsidP="00550B5E">
            <w:pPr>
              <w:pStyle w:val="Tabletext"/>
              <w:keepNext/>
              <w:keepLines/>
              <w:jc w:val="center"/>
              <w:rPr>
                <w:iCs/>
              </w:rPr>
            </w:pPr>
          </w:p>
        </w:tc>
        <w:tc>
          <w:tcPr>
            <w:tcW w:w="567" w:type="dxa"/>
            <w:vMerge/>
            <w:shd w:val="clear" w:color="auto" w:fill="B8CCE4" w:themeFill="accent1" w:themeFillTint="66"/>
            <w:vAlign w:val="center"/>
          </w:tcPr>
          <w:p w14:paraId="0CC5E2EA" w14:textId="77777777" w:rsidR="004779D9" w:rsidRPr="00FE714A" w:rsidRDefault="004779D9" w:rsidP="00550B5E">
            <w:pPr>
              <w:pStyle w:val="Tabletext"/>
              <w:keepNext/>
              <w:keepLines/>
              <w:jc w:val="center"/>
              <w:rPr>
                <w:iCs/>
              </w:rPr>
            </w:pPr>
          </w:p>
        </w:tc>
        <w:tc>
          <w:tcPr>
            <w:tcW w:w="2126" w:type="dxa"/>
            <w:tcBorders>
              <w:top w:val="dashSmallGap" w:sz="4" w:space="0" w:color="auto"/>
              <w:bottom w:val="single" w:sz="4" w:space="0" w:color="auto"/>
            </w:tcBorders>
            <w:shd w:val="clear" w:color="auto" w:fill="B8CCE4" w:themeFill="accent1" w:themeFillTint="66"/>
            <w:vAlign w:val="center"/>
          </w:tcPr>
          <w:p w14:paraId="1E9EDCC1" w14:textId="77777777" w:rsidR="004779D9" w:rsidRPr="00FE714A" w:rsidRDefault="004779D9" w:rsidP="00550B5E">
            <w:pPr>
              <w:pStyle w:val="Tabletext"/>
              <w:keepNext/>
              <w:keepLines/>
              <w:jc w:val="center"/>
              <w:rPr>
                <w:iCs/>
              </w:rPr>
            </w:pPr>
            <w:r w:rsidRPr="00FE714A">
              <w:t xml:space="preserve">PBO </w:t>
            </w:r>
            <w:r w:rsidRPr="00FE714A">
              <w:rPr>
                <w:rFonts w:cs="Arial"/>
                <w:iCs/>
                <w:szCs w:val="18"/>
              </w:rPr>
              <w:t>+TCS</w:t>
            </w:r>
          </w:p>
        </w:tc>
        <w:tc>
          <w:tcPr>
            <w:tcW w:w="1276" w:type="dxa"/>
            <w:vMerge/>
            <w:shd w:val="clear" w:color="auto" w:fill="B8CCE4" w:themeFill="accent1" w:themeFillTint="66"/>
            <w:vAlign w:val="center"/>
          </w:tcPr>
          <w:p w14:paraId="4F8793B5" w14:textId="77777777" w:rsidR="004779D9" w:rsidRPr="00FE714A" w:rsidRDefault="004779D9" w:rsidP="00550B5E">
            <w:pPr>
              <w:pStyle w:val="Tabletext"/>
              <w:keepNext/>
              <w:keepLines/>
              <w:jc w:val="center"/>
              <w:rPr>
                <w:iCs/>
              </w:rPr>
            </w:pPr>
          </w:p>
        </w:tc>
        <w:tc>
          <w:tcPr>
            <w:tcW w:w="1367" w:type="dxa"/>
            <w:vMerge/>
            <w:shd w:val="clear" w:color="auto" w:fill="B8CCE4" w:themeFill="accent1" w:themeFillTint="66"/>
            <w:vAlign w:val="center"/>
          </w:tcPr>
          <w:p w14:paraId="1F3A7786" w14:textId="77777777" w:rsidR="004779D9" w:rsidRPr="00FE714A" w:rsidRDefault="004779D9" w:rsidP="00550B5E">
            <w:pPr>
              <w:pStyle w:val="Tabletext"/>
              <w:keepNext/>
              <w:keepLines/>
              <w:jc w:val="center"/>
              <w:rPr>
                <w:iCs/>
              </w:rPr>
            </w:pPr>
          </w:p>
        </w:tc>
      </w:tr>
      <w:tr w:rsidR="004779D9" w:rsidRPr="00FE714A" w14:paraId="7631E556" w14:textId="77777777" w:rsidTr="00FA02B9">
        <w:trPr>
          <w:trHeight w:val="194"/>
          <w:tblHeader/>
        </w:trPr>
        <w:tc>
          <w:tcPr>
            <w:tcW w:w="988" w:type="dxa"/>
            <w:vMerge w:val="restart"/>
            <w:shd w:val="clear" w:color="auto" w:fill="B8CCE4" w:themeFill="accent1" w:themeFillTint="66"/>
            <w:vAlign w:val="center"/>
          </w:tcPr>
          <w:p w14:paraId="4D8D2EC3" w14:textId="77777777" w:rsidR="004779D9" w:rsidRPr="00FE714A" w:rsidRDefault="004779D9" w:rsidP="00550B5E">
            <w:pPr>
              <w:pStyle w:val="Tabletext"/>
              <w:keepNext/>
              <w:keepLines/>
              <w:rPr>
                <w:iCs/>
              </w:rPr>
            </w:pPr>
            <w:r w:rsidRPr="00FE714A">
              <w:rPr>
                <w:iCs/>
              </w:rPr>
              <w:t xml:space="preserve">CHRONOS </w:t>
            </w:r>
          </w:p>
        </w:tc>
        <w:tc>
          <w:tcPr>
            <w:tcW w:w="425" w:type="dxa"/>
            <w:vMerge w:val="restart"/>
            <w:shd w:val="clear" w:color="auto" w:fill="B8CCE4" w:themeFill="accent1" w:themeFillTint="66"/>
            <w:vAlign w:val="center"/>
          </w:tcPr>
          <w:p w14:paraId="3C47BC9E" w14:textId="77777777" w:rsidR="004779D9" w:rsidRPr="00FE714A" w:rsidRDefault="004779D9" w:rsidP="00550B5E">
            <w:pPr>
              <w:pStyle w:val="Tabletext"/>
              <w:keepNext/>
              <w:keepLines/>
              <w:jc w:val="center"/>
              <w:rPr>
                <w:iCs/>
              </w:rPr>
            </w:pPr>
            <w:r w:rsidRPr="00FE714A">
              <w:rPr>
                <w:iCs/>
              </w:rPr>
              <w:t>421</w:t>
            </w:r>
            <w:r w:rsidRPr="00FE714A">
              <w:rPr>
                <w:i/>
                <w:vertAlign w:val="superscript"/>
              </w:rPr>
              <w:t>a</w:t>
            </w:r>
          </w:p>
        </w:tc>
        <w:tc>
          <w:tcPr>
            <w:tcW w:w="2268" w:type="dxa"/>
            <w:vMerge w:val="restart"/>
            <w:shd w:val="clear" w:color="auto" w:fill="B8CCE4" w:themeFill="accent1" w:themeFillTint="66"/>
            <w:vAlign w:val="center"/>
          </w:tcPr>
          <w:p w14:paraId="271BC1B5" w14:textId="77777777" w:rsidR="004779D9" w:rsidRPr="00FE714A" w:rsidRDefault="004779D9" w:rsidP="00550B5E">
            <w:pPr>
              <w:pStyle w:val="Tabletext"/>
              <w:keepNext/>
              <w:keepLines/>
              <w:jc w:val="center"/>
              <w:rPr>
                <w:iCs/>
              </w:rPr>
            </w:pPr>
            <w:r w:rsidRPr="00FE714A">
              <w:rPr>
                <w:iCs/>
              </w:rPr>
              <w:t>P3, R, MC, DB, PC 52wk, rescue therapy &gt; wk2</w:t>
            </w:r>
          </w:p>
        </w:tc>
        <w:tc>
          <w:tcPr>
            <w:tcW w:w="567" w:type="dxa"/>
            <w:vMerge w:val="restart"/>
            <w:shd w:val="clear" w:color="auto" w:fill="B8CCE4" w:themeFill="accent1" w:themeFillTint="66"/>
            <w:vAlign w:val="center"/>
          </w:tcPr>
          <w:p w14:paraId="6EE2FB17" w14:textId="77777777" w:rsidR="004779D9" w:rsidRPr="00FE714A" w:rsidRDefault="004779D9" w:rsidP="00550B5E">
            <w:pPr>
              <w:pStyle w:val="Tabletext"/>
              <w:keepNext/>
              <w:keepLines/>
              <w:jc w:val="center"/>
              <w:rPr>
                <w:iCs/>
              </w:rPr>
            </w:pPr>
            <w:r w:rsidRPr="00FE714A">
              <w:rPr>
                <w:iCs/>
              </w:rPr>
              <w:t>Low</w:t>
            </w:r>
          </w:p>
        </w:tc>
        <w:tc>
          <w:tcPr>
            <w:tcW w:w="2126" w:type="dxa"/>
            <w:tcBorders>
              <w:top w:val="single" w:sz="4" w:space="0" w:color="auto"/>
              <w:bottom w:val="dashSmallGap" w:sz="4" w:space="0" w:color="auto"/>
            </w:tcBorders>
            <w:shd w:val="clear" w:color="auto" w:fill="B8CCE4" w:themeFill="accent1" w:themeFillTint="66"/>
            <w:vAlign w:val="center"/>
          </w:tcPr>
          <w:p w14:paraId="14C7A65B" w14:textId="77777777" w:rsidR="004779D9" w:rsidRPr="00FE714A" w:rsidRDefault="004779D9" w:rsidP="00550B5E">
            <w:pPr>
              <w:pStyle w:val="Tabletext"/>
              <w:keepNext/>
              <w:keepLines/>
              <w:jc w:val="center"/>
              <w:rPr>
                <w:iCs/>
              </w:rPr>
            </w:pPr>
            <w:r w:rsidRPr="00FE714A">
              <w:t xml:space="preserve">DUPI 300 mg Q2W </w:t>
            </w:r>
            <w:r w:rsidRPr="00FE714A">
              <w:rPr>
                <w:vertAlign w:val="superscript"/>
              </w:rPr>
              <w:t>e</w:t>
            </w:r>
            <w:r w:rsidRPr="00FE714A">
              <w:t xml:space="preserve"> </w:t>
            </w:r>
            <w:r w:rsidRPr="00FE714A">
              <w:rPr>
                <w:rFonts w:cs="Arial"/>
                <w:iCs/>
                <w:szCs w:val="18"/>
              </w:rPr>
              <w:t>+TCS</w:t>
            </w:r>
          </w:p>
        </w:tc>
        <w:tc>
          <w:tcPr>
            <w:tcW w:w="1276" w:type="dxa"/>
            <w:vMerge w:val="restart"/>
            <w:shd w:val="clear" w:color="auto" w:fill="B8CCE4" w:themeFill="accent1" w:themeFillTint="66"/>
            <w:vAlign w:val="center"/>
          </w:tcPr>
          <w:p w14:paraId="4A45B46B" w14:textId="77777777" w:rsidR="004779D9" w:rsidRPr="00FE714A" w:rsidRDefault="004779D9" w:rsidP="00550B5E">
            <w:pPr>
              <w:pStyle w:val="Tabletext"/>
              <w:keepNext/>
              <w:keepLines/>
              <w:jc w:val="center"/>
              <w:rPr>
                <w:iCs/>
              </w:rPr>
            </w:pPr>
            <w:r w:rsidRPr="00FE714A">
              <w:t>M-S AD; adults</w:t>
            </w:r>
          </w:p>
        </w:tc>
        <w:tc>
          <w:tcPr>
            <w:tcW w:w="1367" w:type="dxa"/>
            <w:vMerge w:val="restart"/>
            <w:shd w:val="clear" w:color="auto" w:fill="B8CCE4" w:themeFill="accent1" w:themeFillTint="66"/>
            <w:vAlign w:val="center"/>
          </w:tcPr>
          <w:p w14:paraId="6F275206" w14:textId="77777777" w:rsidR="004779D9" w:rsidRPr="00FE714A" w:rsidRDefault="004779D9" w:rsidP="00550B5E">
            <w:pPr>
              <w:pStyle w:val="TableText0"/>
              <w:keepLines/>
              <w:widowControl w:val="0"/>
              <w:jc w:val="center"/>
            </w:pPr>
            <w:r w:rsidRPr="00FE714A">
              <w:t>IGA 0/1</w:t>
            </w:r>
            <w:r w:rsidRPr="00FE714A">
              <w:rPr>
                <w:vertAlign w:val="superscript"/>
              </w:rPr>
              <w:t>d</w:t>
            </w:r>
            <w:r w:rsidRPr="00FE714A">
              <w:t xml:space="preserve"> and </w:t>
            </w:r>
          </w:p>
          <w:p w14:paraId="52829243" w14:textId="77777777" w:rsidR="004779D9" w:rsidRPr="00FE714A" w:rsidRDefault="004779D9" w:rsidP="00550B5E">
            <w:pPr>
              <w:pStyle w:val="Tabletext"/>
              <w:keepNext/>
              <w:keepLines/>
              <w:jc w:val="center"/>
              <w:rPr>
                <w:iCs/>
              </w:rPr>
            </w:pPr>
            <w:r w:rsidRPr="00FE714A">
              <w:t>EASI 75 at wk16</w:t>
            </w:r>
          </w:p>
        </w:tc>
      </w:tr>
      <w:tr w:rsidR="004779D9" w:rsidRPr="00FE714A" w14:paraId="51FAB631" w14:textId="77777777" w:rsidTr="00FA02B9">
        <w:trPr>
          <w:trHeight w:val="194"/>
          <w:tblHeader/>
        </w:trPr>
        <w:tc>
          <w:tcPr>
            <w:tcW w:w="988" w:type="dxa"/>
            <w:vMerge/>
            <w:shd w:val="clear" w:color="auto" w:fill="B8CCE4" w:themeFill="accent1" w:themeFillTint="66"/>
            <w:vAlign w:val="center"/>
          </w:tcPr>
          <w:p w14:paraId="7337FBA4" w14:textId="77777777" w:rsidR="004779D9" w:rsidRPr="00FE714A" w:rsidRDefault="004779D9" w:rsidP="00550B5E">
            <w:pPr>
              <w:pStyle w:val="Tabletext"/>
              <w:keepNext/>
              <w:keepLines/>
              <w:rPr>
                <w:iCs/>
              </w:rPr>
            </w:pPr>
          </w:p>
        </w:tc>
        <w:tc>
          <w:tcPr>
            <w:tcW w:w="425" w:type="dxa"/>
            <w:vMerge/>
            <w:shd w:val="clear" w:color="auto" w:fill="B8CCE4" w:themeFill="accent1" w:themeFillTint="66"/>
            <w:vAlign w:val="center"/>
          </w:tcPr>
          <w:p w14:paraId="45BDB5E5" w14:textId="77777777" w:rsidR="004779D9" w:rsidRPr="00FE714A" w:rsidRDefault="004779D9" w:rsidP="00550B5E">
            <w:pPr>
              <w:pStyle w:val="Tabletext"/>
              <w:keepNext/>
              <w:keepLines/>
              <w:jc w:val="center"/>
              <w:rPr>
                <w:iCs/>
              </w:rPr>
            </w:pPr>
          </w:p>
        </w:tc>
        <w:tc>
          <w:tcPr>
            <w:tcW w:w="2268" w:type="dxa"/>
            <w:vMerge/>
            <w:shd w:val="clear" w:color="auto" w:fill="B8CCE4" w:themeFill="accent1" w:themeFillTint="66"/>
            <w:vAlign w:val="center"/>
          </w:tcPr>
          <w:p w14:paraId="19F7DAA6" w14:textId="77777777" w:rsidR="004779D9" w:rsidRPr="00FE714A" w:rsidRDefault="004779D9" w:rsidP="00550B5E">
            <w:pPr>
              <w:pStyle w:val="Tabletext"/>
              <w:keepNext/>
              <w:keepLines/>
              <w:jc w:val="center"/>
              <w:rPr>
                <w:iCs/>
              </w:rPr>
            </w:pPr>
          </w:p>
        </w:tc>
        <w:tc>
          <w:tcPr>
            <w:tcW w:w="567" w:type="dxa"/>
            <w:vMerge/>
            <w:shd w:val="clear" w:color="auto" w:fill="B8CCE4" w:themeFill="accent1" w:themeFillTint="66"/>
            <w:vAlign w:val="center"/>
          </w:tcPr>
          <w:p w14:paraId="548BDE95" w14:textId="77777777" w:rsidR="004779D9" w:rsidRPr="00FE714A" w:rsidRDefault="004779D9" w:rsidP="00550B5E">
            <w:pPr>
              <w:pStyle w:val="Tabletext"/>
              <w:keepNext/>
              <w:keepLines/>
              <w:jc w:val="center"/>
              <w:rPr>
                <w:iCs/>
              </w:rPr>
            </w:pPr>
          </w:p>
        </w:tc>
        <w:tc>
          <w:tcPr>
            <w:tcW w:w="2126" w:type="dxa"/>
            <w:tcBorders>
              <w:top w:val="dashSmallGap" w:sz="4" w:space="0" w:color="auto"/>
              <w:bottom w:val="single" w:sz="4" w:space="0" w:color="auto"/>
            </w:tcBorders>
            <w:shd w:val="clear" w:color="auto" w:fill="B8CCE4" w:themeFill="accent1" w:themeFillTint="66"/>
            <w:vAlign w:val="center"/>
          </w:tcPr>
          <w:p w14:paraId="14E6D086" w14:textId="77777777" w:rsidR="004779D9" w:rsidRPr="00FE714A" w:rsidRDefault="004779D9" w:rsidP="00550B5E">
            <w:pPr>
              <w:pStyle w:val="Tabletext"/>
              <w:keepNext/>
              <w:keepLines/>
              <w:jc w:val="center"/>
              <w:rPr>
                <w:iCs/>
              </w:rPr>
            </w:pPr>
            <w:r w:rsidRPr="00FE714A">
              <w:t xml:space="preserve">PBO </w:t>
            </w:r>
            <w:r w:rsidRPr="00FE714A">
              <w:rPr>
                <w:rFonts w:cs="Arial"/>
                <w:iCs/>
                <w:szCs w:val="18"/>
              </w:rPr>
              <w:t>+TCS</w:t>
            </w:r>
          </w:p>
        </w:tc>
        <w:tc>
          <w:tcPr>
            <w:tcW w:w="1276" w:type="dxa"/>
            <w:vMerge/>
            <w:shd w:val="clear" w:color="auto" w:fill="B8CCE4" w:themeFill="accent1" w:themeFillTint="66"/>
            <w:vAlign w:val="center"/>
          </w:tcPr>
          <w:p w14:paraId="75DA68B6" w14:textId="77777777" w:rsidR="004779D9" w:rsidRPr="00FE714A" w:rsidRDefault="004779D9" w:rsidP="00550B5E">
            <w:pPr>
              <w:pStyle w:val="Tabletext"/>
              <w:keepNext/>
              <w:keepLines/>
              <w:jc w:val="center"/>
              <w:rPr>
                <w:iCs/>
              </w:rPr>
            </w:pPr>
          </w:p>
        </w:tc>
        <w:tc>
          <w:tcPr>
            <w:tcW w:w="1367" w:type="dxa"/>
            <w:vMerge/>
            <w:shd w:val="clear" w:color="auto" w:fill="B8CCE4" w:themeFill="accent1" w:themeFillTint="66"/>
            <w:vAlign w:val="center"/>
          </w:tcPr>
          <w:p w14:paraId="56F00B9F" w14:textId="77777777" w:rsidR="004779D9" w:rsidRPr="00FE714A" w:rsidRDefault="004779D9" w:rsidP="00550B5E">
            <w:pPr>
              <w:pStyle w:val="Tabletext"/>
              <w:keepNext/>
              <w:keepLines/>
              <w:jc w:val="center"/>
              <w:rPr>
                <w:iCs/>
              </w:rPr>
            </w:pPr>
          </w:p>
        </w:tc>
      </w:tr>
      <w:tr w:rsidR="004779D9" w:rsidRPr="00FE714A" w14:paraId="104AB29E" w14:textId="77777777" w:rsidTr="00FA02B9">
        <w:trPr>
          <w:trHeight w:val="194"/>
          <w:tblHeader/>
        </w:trPr>
        <w:tc>
          <w:tcPr>
            <w:tcW w:w="988" w:type="dxa"/>
            <w:vMerge w:val="restart"/>
            <w:shd w:val="clear" w:color="auto" w:fill="B8CCE4" w:themeFill="accent1" w:themeFillTint="66"/>
            <w:vAlign w:val="center"/>
          </w:tcPr>
          <w:p w14:paraId="1A2C5111" w14:textId="77777777" w:rsidR="004779D9" w:rsidRPr="00FE714A" w:rsidRDefault="004779D9" w:rsidP="00550B5E">
            <w:pPr>
              <w:pStyle w:val="Tabletext"/>
              <w:keepNext/>
              <w:keepLines/>
              <w:rPr>
                <w:iCs/>
              </w:rPr>
            </w:pPr>
            <w:r w:rsidRPr="00FE714A">
              <w:rPr>
                <w:iCs/>
              </w:rPr>
              <w:t xml:space="preserve">JADE COMPARE </w:t>
            </w:r>
          </w:p>
        </w:tc>
        <w:tc>
          <w:tcPr>
            <w:tcW w:w="425" w:type="dxa"/>
            <w:vMerge w:val="restart"/>
            <w:shd w:val="clear" w:color="auto" w:fill="B8CCE4" w:themeFill="accent1" w:themeFillTint="66"/>
            <w:vAlign w:val="center"/>
          </w:tcPr>
          <w:p w14:paraId="312EB5CB" w14:textId="77777777" w:rsidR="004779D9" w:rsidRPr="00FE714A" w:rsidRDefault="004779D9" w:rsidP="00550B5E">
            <w:pPr>
              <w:pStyle w:val="Tabletext"/>
              <w:keepNext/>
              <w:keepLines/>
              <w:jc w:val="center"/>
              <w:rPr>
                <w:iCs/>
              </w:rPr>
            </w:pPr>
            <w:r w:rsidRPr="00FE714A">
              <w:rPr>
                <w:iCs/>
              </w:rPr>
              <w:t>373</w:t>
            </w:r>
            <w:r w:rsidRPr="00FE714A">
              <w:rPr>
                <w:i/>
                <w:vertAlign w:val="superscript"/>
              </w:rPr>
              <w:t>a</w:t>
            </w:r>
          </w:p>
        </w:tc>
        <w:tc>
          <w:tcPr>
            <w:tcW w:w="2268" w:type="dxa"/>
            <w:vMerge w:val="restart"/>
            <w:shd w:val="clear" w:color="auto" w:fill="B8CCE4" w:themeFill="accent1" w:themeFillTint="66"/>
            <w:vAlign w:val="center"/>
          </w:tcPr>
          <w:p w14:paraId="6801048F" w14:textId="77777777" w:rsidR="004779D9" w:rsidRPr="00FE714A" w:rsidRDefault="004779D9" w:rsidP="00550B5E">
            <w:pPr>
              <w:pStyle w:val="Tabletext"/>
              <w:keepNext/>
              <w:keepLines/>
              <w:jc w:val="center"/>
              <w:rPr>
                <w:iCs/>
              </w:rPr>
            </w:pPr>
            <w:r w:rsidRPr="00FE714A">
              <w:rPr>
                <w:iCs/>
              </w:rPr>
              <w:t>P3, R, MC, DB, DD, PC, AC 16wk, rescue therapy NP</w:t>
            </w:r>
          </w:p>
        </w:tc>
        <w:tc>
          <w:tcPr>
            <w:tcW w:w="567" w:type="dxa"/>
            <w:vMerge w:val="restart"/>
            <w:shd w:val="clear" w:color="auto" w:fill="B8CCE4" w:themeFill="accent1" w:themeFillTint="66"/>
            <w:vAlign w:val="center"/>
          </w:tcPr>
          <w:p w14:paraId="0A18DDA9" w14:textId="77777777" w:rsidR="004779D9" w:rsidRPr="00FE714A" w:rsidRDefault="004779D9" w:rsidP="00550B5E">
            <w:pPr>
              <w:pStyle w:val="Tabletext"/>
              <w:keepNext/>
              <w:keepLines/>
              <w:jc w:val="center"/>
              <w:rPr>
                <w:iCs/>
              </w:rPr>
            </w:pPr>
            <w:r w:rsidRPr="00FE714A">
              <w:rPr>
                <w:iCs/>
              </w:rPr>
              <w:t>Low</w:t>
            </w:r>
          </w:p>
        </w:tc>
        <w:tc>
          <w:tcPr>
            <w:tcW w:w="2126" w:type="dxa"/>
            <w:tcBorders>
              <w:top w:val="single" w:sz="4" w:space="0" w:color="auto"/>
              <w:bottom w:val="dashSmallGap" w:sz="4" w:space="0" w:color="auto"/>
            </w:tcBorders>
            <w:shd w:val="clear" w:color="auto" w:fill="B8CCE4" w:themeFill="accent1" w:themeFillTint="66"/>
            <w:vAlign w:val="center"/>
          </w:tcPr>
          <w:p w14:paraId="76FC4B99" w14:textId="77777777" w:rsidR="004779D9" w:rsidRPr="00FE714A" w:rsidRDefault="004779D9" w:rsidP="00550B5E">
            <w:pPr>
              <w:pStyle w:val="Tabletext"/>
              <w:keepNext/>
              <w:keepLines/>
              <w:jc w:val="center"/>
            </w:pPr>
            <w:r w:rsidRPr="00FE714A">
              <w:t xml:space="preserve">DUPI 300 mg Q2W </w:t>
            </w:r>
            <w:r w:rsidRPr="00FE714A">
              <w:rPr>
                <w:vertAlign w:val="superscript"/>
              </w:rPr>
              <w:t>e</w:t>
            </w:r>
            <w:r w:rsidRPr="00FE714A">
              <w:t xml:space="preserve"> </w:t>
            </w:r>
            <w:r w:rsidRPr="00FE714A">
              <w:rPr>
                <w:rFonts w:cs="Arial"/>
                <w:iCs/>
                <w:szCs w:val="18"/>
              </w:rPr>
              <w:t>+TCS</w:t>
            </w:r>
          </w:p>
        </w:tc>
        <w:tc>
          <w:tcPr>
            <w:tcW w:w="1276" w:type="dxa"/>
            <w:vMerge w:val="restart"/>
            <w:shd w:val="clear" w:color="auto" w:fill="B8CCE4" w:themeFill="accent1" w:themeFillTint="66"/>
            <w:vAlign w:val="center"/>
          </w:tcPr>
          <w:p w14:paraId="47ED170E" w14:textId="77777777" w:rsidR="004779D9" w:rsidRPr="00FE714A" w:rsidRDefault="004779D9" w:rsidP="00550B5E">
            <w:pPr>
              <w:pStyle w:val="Tabletext"/>
              <w:keepNext/>
              <w:keepLines/>
              <w:jc w:val="center"/>
              <w:rPr>
                <w:iCs/>
              </w:rPr>
            </w:pPr>
            <w:r w:rsidRPr="00FE714A">
              <w:t>M-S AD; adults</w:t>
            </w:r>
          </w:p>
        </w:tc>
        <w:tc>
          <w:tcPr>
            <w:tcW w:w="1367" w:type="dxa"/>
            <w:vMerge w:val="restart"/>
            <w:shd w:val="clear" w:color="auto" w:fill="B8CCE4" w:themeFill="accent1" w:themeFillTint="66"/>
            <w:vAlign w:val="center"/>
          </w:tcPr>
          <w:p w14:paraId="6D9A5245" w14:textId="77777777" w:rsidR="004779D9" w:rsidRPr="00FE714A" w:rsidRDefault="004779D9" w:rsidP="00550B5E">
            <w:pPr>
              <w:pStyle w:val="TableText0"/>
              <w:keepLines/>
              <w:widowControl w:val="0"/>
              <w:jc w:val="center"/>
            </w:pPr>
            <w:r w:rsidRPr="00FE714A">
              <w:t>IGA 0/1</w:t>
            </w:r>
            <w:r w:rsidRPr="00FE714A">
              <w:rPr>
                <w:vertAlign w:val="superscript"/>
              </w:rPr>
              <w:t>d</w:t>
            </w:r>
            <w:r w:rsidRPr="00FE714A">
              <w:t xml:space="preserve"> and </w:t>
            </w:r>
          </w:p>
          <w:p w14:paraId="54530745" w14:textId="77777777" w:rsidR="004779D9" w:rsidRPr="00FE714A" w:rsidRDefault="004779D9" w:rsidP="00550B5E">
            <w:pPr>
              <w:pStyle w:val="Tabletext"/>
              <w:keepNext/>
              <w:keepLines/>
              <w:jc w:val="center"/>
              <w:rPr>
                <w:iCs/>
              </w:rPr>
            </w:pPr>
            <w:r w:rsidRPr="00FE714A">
              <w:t>EASI 75 at wk12</w:t>
            </w:r>
          </w:p>
        </w:tc>
      </w:tr>
      <w:tr w:rsidR="004779D9" w:rsidRPr="00FE714A" w14:paraId="36CC362F" w14:textId="77777777" w:rsidTr="00FA02B9">
        <w:trPr>
          <w:trHeight w:val="194"/>
          <w:tblHeader/>
        </w:trPr>
        <w:tc>
          <w:tcPr>
            <w:tcW w:w="988" w:type="dxa"/>
            <w:vMerge/>
            <w:vAlign w:val="center"/>
          </w:tcPr>
          <w:p w14:paraId="1CB314FE" w14:textId="77777777" w:rsidR="004779D9" w:rsidRPr="00FE714A" w:rsidRDefault="004779D9" w:rsidP="00550B5E">
            <w:pPr>
              <w:pStyle w:val="Tabletext"/>
              <w:keepNext/>
              <w:keepLines/>
              <w:rPr>
                <w:iCs/>
              </w:rPr>
            </w:pPr>
          </w:p>
        </w:tc>
        <w:tc>
          <w:tcPr>
            <w:tcW w:w="425" w:type="dxa"/>
            <w:vMerge/>
            <w:vAlign w:val="center"/>
          </w:tcPr>
          <w:p w14:paraId="1D391397" w14:textId="77777777" w:rsidR="004779D9" w:rsidRPr="00FE714A" w:rsidRDefault="004779D9" w:rsidP="00550B5E">
            <w:pPr>
              <w:pStyle w:val="Tabletext"/>
              <w:keepNext/>
              <w:keepLines/>
              <w:rPr>
                <w:iCs/>
              </w:rPr>
            </w:pPr>
          </w:p>
        </w:tc>
        <w:tc>
          <w:tcPr>
            <w:tcW w:w="2268" w:type="dxa"/>
            <w:vMerge/>
            <w:vAlign w:val="center"/>
          </w:tcPr>
          <w:p w14:paraId="31B14DFD" w14:textId="77777777" w:rsidR="004779D9" w:rsidRPr="00FE714A" w:rsidRDefault="004779D9" w:rsidP="00550B5E">
            <w:pPr>
              <w:pStyle w:val="Tabletext"/>
              <w:keepNext/>
              <w:keepLines/>
              <w:jc w:val="center"/>
              <w:rPr>
                <w:iCs/>
              </w:rPr>
            </w:pPr>
          </w:p>
        </w:tc>
        <w:tc>
          <w:tcPr>
            <w:tcW w:w="567" w:type="dxa"/>
            <w:vMerge/>
            <w:vAlign w:val="center"/>
          </w:tcPr>
          <w:p w14:paraId="7A09BD58" w14:textId="77777777" w:rsidR="004779D9" w:rsidRPr="00FE714A" w:rsidRDefault="004779D9" w:rsidP="00550B5E">
            <w:pPr>
              <w:pStyle w:val="Tabletext"/>
              <w:keepNext/>
              <w:keepLines/>
              <w:jc w:val="center"/>
              <w:rPr>
                <w:iCs/>
              </w:rPr>
            </w:pPr>
          </w:p>
        </w:tc>
        <w:tc>
          <w:tcPr>
            <w:tcW w:w="2126" w:type="dxa"/>
            <w:tcBorders>
              <w:top w:val="dashSmallGap" w:sz="4" w:space="0" w:color="auto"/>
              <w:bottom w:val="single" w:sz="4" w:space="0" w:color="auto"/>
            </w:tcBorders>
            <w:shd w:val="clear" w:color="auto" w:fill="B8CCE4" w:themeFill="accent1" w:themeFillTint="66"/>
            <w:vAlign w:val="center"/>
          </w:tcPr>
          <w:p w14:paraId="62B1E263" w14:textId="77777777" w:rsidR="004779D9" w:rsidRPr="00FE714A" w:rsidRDefault="004779D9" w:rsidP="00550B5E">
            <w:pPr>
              <w:pStyle w:val="Tabletext"/>
              <w:keepNext/>
              <w:keepLines/>
              <w:jc w:val="center"/>
            </w:pPr>
            <w:r w:rsidRPr="00FE714A">
              <w:t>PBO +TCS</w:t>
            </w:r>
          </w:p>
        </w:tc>
        <w:tc>
          <w:tcPr>
            <w:tcW w:w="1276" w:type="dxa"/>
            <w:vMerge/>
            <w:shd w:val="clear" w:color="auto" w:fill="auto"/>
            <w:vAlign w:val="center"/>
          </w:tcPr>
          <w:p w14:paraId="5D46CEE6" w14:textId="77777777" w:rsidR="004779D9" w:rsidRPr="00FE714A" w:rsidRDefault="004779D9" w:rsidP="00550B5E">
            <w:pPr>
              <w:pStyle w:val="Tabletext"/>
              <w:keepNext/>
              <w:keepLines/>
              <w:jc w:val="center"/>
              <w:rPr>
                <w:iCs/>
              </w:rPr>
            </w:pPr>
          </w:p>
        </w:tc>
        <w:tc>
          <w:tcPr>
            <w:tcW w:w="1367" w:type="dxa"/>
            <w:vMerge/>
            <w:shd w:val="clear" w:color="auto" w:fill="auto"/>
            <w:vAlign w:val="center"/>
          </w:tcPr>
          <w:p w14:paraId="007C2CB8" w14:textId="77777777" w:rsidR="004779D9" w:rsidRPr="00FE714A" w:rsidRDefault="004779D9" w:rsidP="00550B5E">
            <w:pPr>
              <w:pStyle w:val="Tabletext"/>
              <w:keepNext/>
              <w:keepLines/>
              <w:jc w:val="center"/>
              <w:rPr>
                <w:iCs/>
              </w:rPr>
            </w:pPr>
          </w:p>
        </w:tc>
      </w:tr>
    </w:tbl>
    <w:p w14:paraId="53476A69" w14:textId="77777777" w:rsidR="004779D9" w:rsidRPr="00FE714A" w:rsidRDefault="004779D9" w:rsidP="00550B5E">
      <w:pPr>
        <w:pStyle w:val="FooterTableFigure"/>
        <w:keepNext/>
        <w:keepLines/>
      </w:pPr>
      <w:r w:rsidRPr="00FE714A">
        <w:t>Source: Tables 2.2-3, 2.2-4, 2.2-5, 2.2-6, pp 61-63, 65, 66, 68-71, 73, 74 of the submission and Table 2, p 12 of the upadacitinib PSD, July 2021 PBAC meeting.</w:t>
      </w:r>
    </w:p>
    <w:p w14:paraId="75CA326E" w14:textId="77777777" w:rsidR="004779D9" w:rsidRPr="00FE714A" w:rsidRDefault="004779D9" w:rsidP="00550B5E">
      <w:pPr>
        <w:pStyle w:val="FooterTableFigure"/>
        <w:keepNext/>
        <w:keepLines/>
      </w:pPr>
      <w:r w:rsidRPr="00FE714A">
        <w:t xml:space="preserve">P2/3 = phase 2 or 3; DB = double blind; DD = double dummy; MC = multi-centre; R = randomised;; PC = placebo-controlled; AC = active control; LEB = lebrikizumab; TCS = topical corticosteroids; </w:t>
      </w:r>
      <w:proofErr w:type="spellStart"/>
      <w:r w:rsidRPr="00FE714A">
        <w:t>wk</w:t>
      </w:r>
      <w:proofErr w:type="spellEnd"/>
      <w:r w:rsidRPr="00FE714A">
        <w:t xml:space="preserve"> = week; TT = tetanus toxoid; DUPI = dupilumab; PBO = placebo; Q2W = once every 2 weeks; Q4W = once every 4 weeks; IGA = investigator’s global assessment; EASI = Eczema Area and Severity Index; EASI 75 = improvement of at least 75% from baseline in Eczema Area and Severity Index; M-S = moderate-to-severe; NP = not permitted</w:t>
      </w:r>
    </w:p>
    <w:p w14:paraId="68FDA291" w14:textId="107E7986" w:rsidR="004779D9" w:rsidRPr="00FE714A" w:rsidRDefault="004779D9" w:rsidP="00550B5E">
      <w:pPr>
        <w:pStyle w:val="FooterTableFigure"/>
        <w:keepNext/>
        <w:keepLines/>
      </w:pPr>
      <w:r w:rsidRPr="00FE714A">
        <w:t>a Excluding patients randomised to the treatment arms which are not relevant to the submission</w:t>
      </w:r>
    </w:p>
    <w:p w14:paraId="0C624671" w14:textId="6689B828" w:rsidR="004779D9" w:rsidRPr="00FE714A" w:rsidRDefault="004779D9" w:rsidP="00550B5E">
      <w:pPr>
        <w:pStyle w:val="FooterTableFigure"/>
        <w:keepNext/>
        <w:keepLines/>
      </w:pPr>
      <w:r w:rsidRPr="00FE714A">
        <w:t>b ‘LEB 250 mg Q2W’ comprised of 500 mg loading at baseline and Week 2, then 250 mg Q2W from Week 4 to Week 16</w:t>
      </w:r>
      <w:r w:rsidR="00FE714A">
        <w:t xml:space="preserve">. </w:t>
      </w:r>
    </w:p>
    <w:p w14:paraId="3135238F" w14:textId="77777777" w:rsidR="004779D9" w:rsidRPr="00FE714A" w:rsidRDefault="004779D9" w:rsidP="00550B5E">
      <w:pPr>
        <w:pStyle w:val="FooterTableFigure"/>
        <w:keepNext/>
        <w:keepLines/>
      </w:pPr>
      <w:r w:rsidRPr="00FE714A">
        <w:t>c The following trials had a longer duration overall:</w:t>
      </w:r>
    </w:p>
    <w:p w14:paraId="5EA1FBDD" w14:textId="77777777" w:rsidR="004779D9" w:rsidRPr="00FE714A" w:rsidRDefault="004779D9" w:rsidP="00550B5E">
      <w:pPr>
        <w:pStyle w:val="FooterTableFigure"/>
        <w:keepNext/>
        <w:keepLines/>
      </w:pPr>
      <w:proofErr w:type="spellStart"/>
      <w:r w:rsidRPr="00FE714A">
        <w:t>ADvocate</w:t>
      </w:r>
      <w:proofErr w:type="spellEnd"/>
      <w:r w:rsidRPr="00FE714A">
        <w:t xml:space="preserve"> 1 &amp; 2: Patients were re randomised at week 16 and then continued for treatment for a further 36 weeks maintenance period (52 weeks in total)</w:t>
      </w:r>
    </w:p>
    <w:p w14:paraId="0748421A" w14:textId="77777777" w:rsidR="004779D9" w:rsidRPr="00FE714A" w:rsidRDefault="004779D9" w:rsidP="00550B5E">
      <w:pPr>
        <w:pStyle w:val="FooterTableFigure"/>
        <w:keepNext/>
        <w:keepLines/>
      </w:pPr>
      <w:proofErr w:type="spellStart"/>
      <w:r w:rsidRPr="00FE714A">
        <w:t>ADHere</w:t>
      </w:r>
      <w:proofErr w:type="spellEnd"/>
      <w:r w:rsidRPr="00FE714A">
        <w:t xml:space="preserve"> J: 16-week induction period followed by a 52-week maintenance period (68 weeks in treatment duration)</w:t>
      </w:r>
    </w:p>
    <w:p w14:paraId="7A1C99BC" w14:textId="77777777" w:rsidR="004779D9" w:rsidRPr="00FE714A" w:rsidRDefault="004779D9" w:rsidP="00550B5E">
      <w:pPr>
        <w:pStyle w:val="FooterTableFigure"/>
        <w:keepNext/>
        <w:keepLines/>
      </w:pPr>
      <w:proofErr w:type="spellStart"/>
      <w:r w:rsidRPr="00FE714A">
        <w:t>ADvantage</w:t>
      </w:r>
      <w:proofErr w:type="spellEnd"/>
      <w:r w:rsidRPr="00FE714A">
        <w:t>: two treatment periods – a 16-week double-blind induction period, followed by a 36-week open-label maintenance period</w:t>
      </w:r>
    </w:p>
    <w:p w14:paraId="3642CDA3" w14:textId="77777777" w:rsidR="004779D9" w:rsidRPr="00FE714A" w:rsidRDefault="004779D9" w:rsidP="00550B5E">
      <w:pPr>
        <w:pStyle w:val="FooterTableFigure"/>
        <w:keepNext/>
        <w:keepLines/>
      </w:pPr>
      <w:r w:rsidRPr="00FE714A">
        <w:t>d Proportion of patients achieving IGA of 0 or 1 with a ≥2-point improvement (i.e.: from a baseline of 3 or 4 on the 5-point IGA scale)</w:t>
      </w:r>
    </w:p>
    <w:p w14:paraId="3BD7C84C" w14:textId="77777777" w:rsidR="004779D9" w:rsidRPr="00FE714A" w:rsidRDefault="004779D9" w:rsidP="00550B5E">
      <w:pPr>
        <w:pStyle w:val="FooterTableFigure"/>
        <w:keepNext/>
        <w:keepLines/>
      </w:pPr>
      <w:r w:rsidRPr="00FE714A">
        <w:t>e ‘DUPI 300 mg Q2W’ comprised of 600 mg loading, then 300 mg every 2 weeks thereafter; ‘DUPI 200 mg Q2W’ comprised 400 mg loading, then 200 mg every two weeks thereafter.</w:t>
      </w:r>
    </w:p>
    <w:p w14:paraId="602BDC88" w14:textId="77777777" w:rsidR="004779D9" w:rsidRPr="00FE714A" w:rsidRDefault="004779D9" w:rsidP="00550B5E">
      <w:pPr>
        <w:pStyle w:val="FooterTableFigure"/>
        <w:keepNext/>
        <w:keepLines/>
      </w:pPr>
      <w:r w:rsidRPr="00FE714A">
        <w:t>f EASI 75 was a coprimary outcome in EU and Japan and a key secondary outcome elsewhere.</w:t>
      </w:r>
    </w:p>
    <w:p w14:paraId="6DC3622D" w14:textId="33D3AB78" w:rsidR="004779D9" w:rsidRPr="00FE714A" w:rsidRDefault="004779D9" w:rsidP="00EC5836">
      <w:pPr>
        <w:pStyle w:val="FooterTableFigure"/>
      </w:pPr>
      <w:r w:rsidRPr="00FE714A">
        <w:t>Blue shading indicates trials previously considered by PBAC</w:t>
      </w:r>
    </w:p>
    <w:p w14:paraId="7B9A46B7" w14:textId="77777777" w:rsidR="004779D9" w:rsidRPr="00FE714A" w:rsidRDefault="004779D9" w:rsidP="00EC5836">
      <w:pPr>
        <w:pStyle w:val="3-BodyText"/>
      </w:pPr>
      <w:r w:rsidRPr="00FE714A">
        <w:t xml:space="preserve">The submission included both monotherapy and combined therapy trials (which included the use of concomitant TCS). The PBAC has previously considered standard of care included concomitant TCS and considered that the trials that allowed ongoing use of TCS were the most relevant to Australian clinical practice, where TCS would be </w:t>
      </w:r>
      <w:r w:rsidRPr="00FE714A">
        <w:lastRenderedPageBreak/>
        <w:t xml:space="preserve">expected to be continued in combination with other treatment (paragraph 6.10, UPA PSD, July 2021 PBAC meeting). All the LEB and DUPI trials included were double-blind, randomised, placebo-controlled trials which assessed primary/key secondary outcomes at Week 16. </w:t>
      </w:r>
    </w:p>
    <w:p w14:paraId="32FC2FCD" w14:textId="00F301F3" w:rsidR="0030505A" w:rsidRPr="00FE714A" w:rsidRDefault="0030505A" w:rsidP="00EC5836">
      <w:pPr>
        <w:pStyle w:val="3-BodyText"/>
      </w:pPr>
      <w:r w:rsidRPr="00FE714A">
        <w:t>The submission did not present the characteristics of the patients for the severe AD subgroup (nor the complement) even though the submission was seeking listing for this subgroup and relied on subgroup analyses for the proposed clinical claim. Therefore, it was unclear what these differences are and whether these differences may bias or confound the observed treatment effect.</w:t>
      </w:r>
      <w:r w:rsidR="00CE7D03" w:rsidRPr="00FE714A">
        <w:t xml:space="preserve"> </w:t>
      </w:r>
      <w:r w:rsidR="0002428E" w:rsidRPr="00FE714A">
        <w:t xml:space="preserve">The characteristics of </w:t>
      </w:r>
      <w:r w:rsidR="00E17CDC" w:rsidRPr="00FE714A">
        <w:t xml:space="preserve">the </w:t>
      </w:r>
      <w:r w:rsidR="002F4D64" w:rsidRPr="00FE714A">
        <w:t xml:space="preserve">requested </w:t>
      </w:r>
      <w:r w:rsidR="00E17CDC" w:rsidRPr="00FE714A">
        <w:t>PBS population (i.e., severe AD, defined as EASI score ≥ 20 and PGA score = 4)</w:t>
      </w:r>
      <w:r w:rsidR="0002428E" w:rsidRPr="00FE714A">
        <w:t xml:space="preserve"> </w:t>
      </w:r>
      <w:r w:rsidR="006347CA" w:rsidRPr="00FE714A">
        <w:t xml:space="preserve">did </w:t>
      </w:r>
      <w:r w:rsidR="00CE7D03" w:rsidRPr="00FE714A">
        <w:t xml:space="preserve">not appear to be available </w:t>
      </w:r>
      <w:r w:rsidR="00703294" w:rsidRPr="00FE714A">
        <w:t xml:space="preserve">within the Clinical Study Reports </w:t>
      </w:r>
      <w:r w:rsidR="00CA15AB" w:rsidRPr="00FE714A">
        <w:t xml:space="preserve">as it </w:t>
      </w:r>
      <w:r w:rsidR="006347CA" w:rsidRPr="00FE714A">
        <w:t xml:space="preserve">was not </w:t>
      </w:r>
      <w:r w:rsidR="00C024B2" w:rsidRPr="00FE714A">
        <w:t xml:space="preserve">a </w:t>
      </w:r>
      <w:r w:rsidR="006347CA" w:rsidRPr="00FE714A">
        <w:t xml:space="preserve">pre-specified </w:t>
      </w:r>
      <w:r w:rsidR="00C024B2" w:rsidRPr="00FE714A">
        <w:t xml:space="preserve">subgroup </w:t>
      </w:r>
      <w:r w:rsidR="006347CA" w:rsidRPr="00FE714A">
        <w:t xml:space="preserve">in any of the </w:t>
      </w:r>
      <w:r w:rsidR="00C024B2" w:rsidRPr="00FE714A">
        <w:t xml:space="preserve">included </w:t>
      </w:r>
      <w:r w:rsidR="006347CA" w:rsidRPr="00FE714A">
        <w:t xml:space="preserve">trials. </w:t>
      </w:r>
    </w:p>
    <w:p w14:paraId="22239A8D" w14:textId="2DAD466D" w:rsidR="004779D9" w:rsidRPr="00FE714A" w:rsidRDefault="004779D9" w:rsidP="00EC5836">
      <w:pPr>
        <w:pStyle w:val="3-BodyText"/>
      </w:pPr>
      <w:r w:rsidRPr="00FE714A">
        <w:t xml:space="preserve">The submission’s claim of non-inferiority in the PBS population of severe AD was based on the proportion of patients who achieved the composite outcome of EASI 50 and DLQI improvement of ≥ 4 points from baseline at 16 weeks. This was not a prespecified outcome in any of the included trials and instead was constructed as a post-hoc outcome to align with the proposed (and the existing for DUPI and UPA) continuing criteria for treatment of severe AD affecting the whole body. The PBAC has previously considered EASI and DLQI outcomes as being key patient relevant outcomes for the treatment of AD; and accepted that for patients with AD affecting the whole body, an EASI 50 response combined with a DLQI improvement of ≥ 4 points were likely to be clinically reasonable and able to capture patients with a meaningful response to treatment (paragraph 7.4, DUPI PSD March 2020 PBAC meeting). </w:t>
      </w:r>
    </w:p>
    <w:p w14:paraId="51D9A1DD" w14:textId="77777777" w:rsidR="00502213" w:rsidRPr="00FE714A" w:rsidRDefault="004779D9" w:rsidP="00EC5836">
      <w:pPr>
        <w:pStyle w:val="3-BodyText"/>
      </w:pPr>
      <w:r w:rsidRPr="00FE714A">
        <w:t xml:space="preserve">The submission’s </w:t>
      </w:r>
      <w:r w:rsidR="007A3BDC" w:rsidRPr="00FE714A">
        <w:t xml:space="preserve">criteria for </w:t>
      </w:r>
      <w:r w:rsidRPr="00FE714A">
        <w:t xml:space="preserve">non-inferiority </w:t>
      </w:r>
      <w:proofErr w:type="gramStart"/>
      <w:r w:rsidR="00680DB6" w:rsidRPr="00FE714A">
        <w:t>was</w:t>
      </w:r>
      <w:proofErr w:type="gramEnd"/>
      <w:r w:rsidR="00680DB6" w:rsidRPr="00FE714A">
        <w:t xml:space="preserve"> </w:t>
      </w:r>
      <w:r w:rsidRPr="00FE714A">
        <w:t>an absence of a statistically significant difference in the indirect treatment comparisons for efficacy and safety. This was not stringent and may be insufficient to establish non-inferiority with a degree of certainty. As noted by the indirect comparison working group</w:t>
      </w:r>
      <w:r w:rsidRPr="00FE714A">
        <w:rPr>
          <w:rStyle w:val="FootnoteReference"/>
        </w:rPr>
        <w:footnoteReference w:id="2"/>
      </w:r>
      <w:r w:rsidRPr="00FE714A">
        <w:t>, “the formula for the confidence interval of an appropriately calculated indirect comparison involves two separate variances, leading to a wider confidence interval for the indirect comparison than that seen in either of the constituent direct comparisons” and “(t)he confidence intervals often encompass both clinically significant and non-significant differences, leading to indeterminate results”. As such, it would be much more likely for an indirect comparison to report a lack of statistical significance and any conclusion of non</w:t>
      </w:r>
      <w:r w:rsidR="001146B3" w:rsidRPr="00FE714A">
        <w:noBreakHyphen/>
      </w:r>
      <w:r w:rsidRPr="00FE714A">
        <w:t>inferiority based on the lack of statistical difference alone should therefore be considered highly uncertain.</w:t>
      </w:r>
      <w:r w:rsidR="001146B3" w:rsidRPr="00FE714A">
        <w:t xml:space="preserve"> No non</w:t>
      </w:r>
      <w:r w:rsidR="001146B3" w:rsidRPr="00FE714A">
        <w:noBreakHyphen/>
        <w:t>inferiority margins (for efficacy or safety) were proposed by the submission.</w:t>
      </w:r>
      <w:r w:rsidR="001F24F8" w:rsidRPr="00FE714A">
        <w:t xml:space="preserve"> </w:t>
      </w:r>
    </w:p>
    <w:p w14:paraId="4AECD7DB" w14:textId="4996365D" w:rsidR="004779D9" w:rsidRPr="00FE714A" w:rsidRDefault="0049512D" w:rsidP="00EC5836">
      <w:pPr>
        <w:pStyle w:val="3-BodyText"/>
      </w:pPr>
      <w:r w:rsidRPr="00FE714A">
        <w:lastRenderedPageBreak/>
        <w:t>A non-inferiority margin</w:t>
      </w:r>
      <w:r w:rsidR="00502213" w:rsidRPr="00FE714A">
        <w:t xml:space="preserve"> </w:t>
      </w:r>
      <w:r w:rsidR="00DA3DE1" w:rsidRPr="00FE714A">
        <w:t>was not nominated in the submission</w:t>
      </w:r>
      <w:r w:rsidR="00E47CCD" w:rsidRPr="00FE714A">
        <w:t xml:space="preserve"> for UPA</w:t>
      </w:r>
      <w:r w:rsidR="00BD5905" w:rsidRPr="00FE714A">
        <w:t xml:space="preserve"> 15 mg </w:t>
      </w:r>
      <w:r w:rsidR="003347D1" w:rsidRPr="00FE714A">
        <w:t>(against DUPI</w:t>
      </w:r>
      <w:r w:rsidR="00942659" w:rsidRPr="00FE714A">
        <w:t>)</w:t>
      </w:r>
      <w:r w:rsidR="003347D1" w:rsidRPr="00FE714A">
        <w:t xml:space="preserve">, </w:t>
      </w:r>
      <w:r w:rsidR="00E47CCD" w:rsidRPr="00FE714A">
        <w:t>considered at the July 2021 PBAC meeting</w:t>
      </w:r>
      <w:r w:rsidR="00502213" w:rsidRPr="00FE714A">
        <w:t xml:space="preserve">. </w:t>
      </w:r>
      <w:r w:rsidR="003347D1" w:rsidRPr="00FE714A">
        <w:t>While the</w:t>
      </w:r>
      <w:r w:rsidR="00502213" w:rsidRPr="00FE714A">
        <w:t xml:space="preserve"> </w:t>
      </w:r>
      <w:r w:rsidR="003347D1" w:rsidRPr="00FE714A">
        <w:t>PBAC</w:t>
      </w:r>
      <w:r w:rsidR="000D53EF" w:rsidRPr="00FE714A">
        <w:t xml:space="preserve"> note</w:t>
      </w:r>
      <w:r w:rsidR="00F107E1" w:rsidRPr="00FE714A">
        <w:t>d</w:t>
      </w:r>
      <w:r w:rsidR="00942659" w:rsidRPr="00FE714A">
        <w:t xml:space="preserve"> that </w:t>
      </w:r>
      <w:r w:rsidR="00A84FB8" w:rsidRPr="00FE714A">
        <w:t xml:space="preserve">the indirect comparison found no statistically significant difference between UPA </w:t>
      </w:r>
      <w:r w:rsidR="008512DA" w:rsidRPr="00FE714A">
        <w:t xml:space="preserve">15 mg versus DUPI (paragraph 7.6, UPA PSD, July 2021 PBAC meeting), the </w:t>
      </w:r>
      <w:r w:rsidR="00D85D91" w:rsidRPr="00FE714A">
        <w:t xml:space="preserve">PBAC’s </w:t>
      </w:r>
      <w:r w:rsidR="00AD17FB" w:rsidRPr="00FE714A">
        <w:t>view</w:t>
      </w:r>
      <w:r w:rsidR="00D85D91" w:rsidRPr="00FE714A">
        <w:t xml:space="preserve"> </w:t>
      </w:r>
      <w:r w:rsidR="006F2B0D" w:rsidRPr="00FE714A">
        <w:t>that</w:t>
      </w:r>
      <w:r w:rsidR="00D85D91" w:rsidRPr="00FE714A">
        <w:t xml:space="preserve"> </w:t>
      </w:r>
      <w:r w:rsidR="008177DF" w:rsidRPr="00FE714A">
        <w:t xml:space="preserve">the clinical claim of </w:t>
      </w:r>
      <w:r w:rsidR="003B7D19" w:rsidRPr="00FE714A">
        <w:t>non-inferior</w:t>
      </w:r>
      <w:r w:rsidR="00A569E9" w:rsidRPr="00FE714A">
        <w:t>ity was reasonably supported</w:t>
      </w:r>
      <w:r w:rsidR="006F2B0D" w:rsidRPr="00FE714A">
        <w:t xml:space="preserve"> was</w:t>
      </w:r>
      <w:r w:rsidR="00A569E9" w:rsidRPr="00FE714A">
        <w:t xml:space="preserve"> based on the totality of evidence presented</w:t>
      </w:r>
      <w:r w:rsidR="00AA29DA" w:rsidRPr="00FE714A">
        <w:t xml:space="preserve"> in the submission</w:t>
      </w:r>
      <w:r w:rsidR="00A569E9" w:rsidRPr="00FE714A">
        <w:t xml:space="preserve">, </w:t>
      </w:r>
      <w:r w:rsidR="005E42AC" w:rsidRPr="00FE714A">
        <w:t>and as such</w:t>
      </w:r>
      <w:r w:rsidR="000D53EF" w:rsidRPr="00FE714A">
        <w:t xml:space="preserve"> </w:t>
      </w:r>
      <w:r w:rsidR="00513FC3" w:rsidRPr="00FE714A">
        <w:t xml:space="preserve">the lack of </w:t>
      </w:r>
      <w:r w:rsidR="00D55DD4" w:rsidRPr="00FE714A">
        <w:t xml:space="preserve">statistically significant difference alone may </w:t>
      </w:r>
      <w:r w:rsidR="007809F3" w:rsidRPr="00FE714A">
        <w:t>not be</w:t>
      </w:r>
      <w:r w:rsidR="000D53EF" w:rsidRPr="00FE714A">
        <w:t xml:space="preserve"> </w:t>
      </w:r>
      <w:r w:rsidR="00D55DD4" w:rsidRPr="00FE714A">
        <w:t xml:space="preserve">sufficient to demonstrate </w:t>
      </w:r>
      <w:r w:rsidR="000D53EF" w:rsidRPr="00FE714A">
        <w:t>non-</w:t>
      </w:r>
      <w:r w:rsidR="00750919" w:rsidRPr="00FE714A">
        <w:t>inferiority</w:t>
      </w:r>
      <w:r w:rsidR="000D53EF" w:rsidRPr="00FE714A">
        <w:t xml:space="preserve">. </w:t>
      </w:r>
      <w:r w:rsidR="003347D1" w:rsidRPr="00FE714A">
        <w:t>A non-</w:t>
      </w:r>
      <w:r w:rsidR="00D85D91" w:rsidRPr="00FE714A">
        <w:t>inferiority</w:t>
      </w:r>
      <w:r w:rsidR="003347D1" w:rsidRPr="00FE714A">
        <w:t xml:space="preserve"> margin was not nominated for </w:t>
      </w:r>
      <w:r w:rsidR="00C76026" w:rsidRPr="00FE714A">
        <w:t xml:space="preserve">UPA 30 mg </w:t>
      </w:r>
      <w:r w:rsidR="00E249F1" w:rsidRPr="00FE714A">
        <w:t>(</w:t>
      </w:r>
      <w:r w:rsidR="00C76026" w:rsidRPr="00FE714A">
        <w:t>against DUPI</w:t>
      </w:r>
      <w:r w:rsidR="00E249F1" w:rsidRPr="00FE714A">
        <w:t>)</w:t>
      </w:r>
      <w:r w:rsidR="00C76026" w:rsidRPr="00FE714A">
        <w:t xml:space="preserve"> given the </w:t>
      </w:r>
      <w:r w:rsidR="00963442" w:rsidRPr="00FE714A">
        <w:t xml:space="preserve">submission’s </w:t>
      </w:r>
      <w:r w:rsidR="00C76026" w:rsidRPr="00FE714A">
        <w:t>claim of superior efficacy.</w:t>
      </w:r>
    </w:p>
    <w:p w14:paraId="3E8E1906" w14:textId="5E14A400" w:rsidR="00E97897" w:rsidRPr="00FE714A" w:rsidRDefault="004779D9" w:rsidP="003338D1">
      <w:pPr>
        <w:pStyle w:val="3-BodyText"/>
      </w:pPr>
      <w:r w:rsidRPr="00FE714A">
        <w:t xml:space="preserve">AD affecting the face and/or hands was defined as at least 2 of the EASI </w:t>
      </w:r>
      <w:proofErr w:type="spellStart"/>
      <w:r w:rsidRPr="00FE714A">
        <w:t>subscores</w:t>
      </w:r>
      <w:proofErr w:type="spellEnd"/>
      <w:r w:rsidRPr="00FE714A">
        <w:t xml:space="preserve"> rated as severe or the condition must have affected at least 30% of the face/hands surface area. As there were no clinical trials of LEB (or the comparators) that enrolled patients specifically with severe AD affecting the face and/or hands, </w:t>
      </w:r>
      <w:r w:rsidRPr="00FE714A">
        <w:rPr>
          <w:i/>
          <w:iCs/>
        </w:rPr>
        <w:t>post hoc</w:t>
      </w:r>
      <w:r w:rsidRPr="00FE714A">
        <w:t xml:space="preserve"> analyses of </w:t>
      </w:r>
      <w:proofErr w:type="spellStart"/>
      <w:r w:rsidRPr="00FE714A">
        <w:t>ADvocate</w:t>
      </w:r>
      <w:proofErr w:type="spellEnd"/>
      <w:r w:rsidRPr="00FE714A">
        <w:t xml:space="preserve"> 1, </w:t>
      </w:r>
      <w:proofErr w:type="spellStart"/>
      <w:r w:rsidRPr="00FE714A">
        <w:t>ADvocate</w:t>
      </w:r>
      <w:proofErr w:type="spellEnd"/>
      <w:r w:rsidRPr="00FE714A">
        <w:t xml:space="preserve"> 2 and </w:t>
      </w:r>
      <w:proofErr w:type="spellStart"/>
      <w:r w:rsidRPr="00FE714A">
        <w:t>ADhere</w:t>
      </w:r>
      <w:proofErr w:type="spellEnd"/>
      <w:r w:rsidRPr="00FE714A">
        <w:t xml:space="preserve"> w</w:t>
      </w:r>
      <w:r w:rsidR="00680DB6" w:rsidRPr="00FE714A">
        <w:t>ere</w:t>
      </w:r>
      <w:r w:rsidRPr="00FE714A">
        <w:t xml:space="preserve"> used by the submission as evidence that LEB is associated with improvements in AD affecting the face and hands. Efficacy was assessed based on a 4-point scale by the submission (from baseline to Week 16): cleared, improved, no change, or worsened. </w:t>
      </w:r>
    </w:p>
    <w:p w14:paraId="7B21D515" w14:textId="674AA1D7" w:rsidR="004779D9" w:rsidRPr="00FE714A" w:rsidRDefault="004779D9" w:rsidP="003338D1">
      <w:pPr>
        <w:pStyle w:val="3-BodyText"/>
      </w:pPr>
      <w:r w:rsidRPr="00FE714A">
        <w:t xml:space="preserve">It was unclear if this was a formal or validated scale and may carry a degree of uncertainty as an outcome measure. Comparatively, the basis for the extension of listing of DUPI to patients with disease affecting the face and/or hands was based on improvements in EASI score of DUPI in different body regions (head and neck, upper extremities, trunk, lower extremities) in patients </w:t>
      </w:r>
      <w:r w:rsidR="00E97897" w:rsidRPr="00FE714A">
        <w:t xml:space="preserve">enrolled </w:t>
      </w:r>
      <w:r w:rsidRPr="00FE714A">
        <w:t>in the DUPI clinical trials (paragraph 3.4, DUPI PSD, March 2020 PBAC meeting). Similarly, the evidence provided to support listing of UPA in patients with severe AD affecting the face and/or hands was based on post-hoc analysis from the HEADS UP trial (direct comparison of UPA 30 mg vs DUPI) of response rates across body regions captured in the EASI score (head and neck, upper extremities, lower extremities, trunk) (paragraph 6.19, UPA PSD, July 2021 PBAC meeting).</w:t>
      </w:r>
    </w:p>
    <w:p w14:paraId="5BF86F61" w14:textId="77777777" w:rsidR="004779D9" w:rsidRPr="00FE714A" w:rsidRDefault="004779D9" w:rsidP="00EC5836">
      <w:pPr>
        <w:pStyle w:val="3-BodyText"/>
      </w:pPr>
      <w:r w:rsidRPr="00FE714A">
        <w:t xml:space="preserve">As not all outcomes were reported consistently across the LEB and DUPI trials, the submission relied on only select outcomes (EASI 50; DLQI ≥4-point improvement; IGA 0/1 with at least 2-point improvement (abbreviated to IGA 0/1); and EASI 75) to inform the meta-analyses and indirect comparison for the whole trial population, which were used as supportive evidence for the submission’s claim of non-inferior efficacy. </w:t>
      </w:r>
    </w:p>
    <w:p w14:paraId="6A37C107" w14:textId="308E2BDA" w:rsidR="00927A89" w:rsidRPr="00FE714A" w:rsidRDefault="00927A89" w:rsidP="007B5FE9">
      <w:pPr>
        <w:pStyle w:val="3-BodyText"/>
      </w:pPr>
      <w:r w:rsidRPr="00FE714A">
        <w:t xml:space="preserve">In </w:t>
      </w:r>
      <w:proofErr w:type="spellStart"/>
      <w:r w:rsidRPr="00FE714A">
        <w:t>ADvocate</w:t>
      </w:r>
      <w:proofErr w:type="spellEnd"/>
      <w:r w:rsidRPr="00FE714A">
        <w:t xml:space="preserve"> 1, </w:t>
      </w:r>
      <w:proofErr w:type="spellStart"/>
      <w:r w:rsidRPr="00FE714A">
        <w:t>ADvoc</w:t>
      </w:r>
      <w:r w:rsidR="006A1549" w:rsidRPr="00FE714A">
        <w:t>ate</w:t>
      </w:r>
      <w:proofErr w:type="spellEnd"/>
      <w:r w:rsidR="006A1549" w:rsidRPr="00FE714A">
        <w:t xml:space="preserve"> 2 and </w:t>
      </w:r>
      <w:proofErr w:type="spellStart"/>
      <w:r w:rsidR="006A1549" w:rsidRPr="00FE714A">
        <w:t>ADhere</w:t>
      </w:r>
      <w:proofErr w:type="spellEnd"/>
      <w:r w:rsidR="006A1549" w:rsidRPr="00FE714A">
        <w:t xml:space="preserve"> J, both LEB 250 mg Q2W</w:t>
      </w:r>
      <w:r w:rsidR="00680DB6" w:rsidRPr="00FE714A">
        <w:t xml:space="preserve"> and</w:t>
      </w:r>
      <w:r w:rsidR="006A1549" w:rsidRPr="00FE714A">
        <w:t xml:space="preserve"> LEB 250 mg Q4W were used as maintenance therapy after </w:t>
      </w:r>
      <w:r w:rsidR="00FA1CAA" w:rsidRPr="00FE714A">
        <w:t>W</w:t>
      </w:r>
      <w:r w:rsidR="006A1549" w:rsidRPr="00FE714A">
        <w:t xml:space="preserve">eek 16. </w:t>
      </w:r>
      <w:r w:rsidR="00FB3119">
        <w:t xml:space="preserve">However, </w:t>
      </w:r>
      <w:r w:rsidR="00E9797F" w:rsidRPr="00FE714A">
        <w:t>only the Q4W dosing frequency was proposed in the draft product information. The submission claimed that patients treated with Q2W had similar response rate to Q4W during the maintenance period and a Q4W dosing was used in both the economic and financial estimates.</w:t>
      </w:r>
    </w:p>
    <w:p w14:paraId="761FEC25" w14:textId="23710D2F" w:rsidR="00E9797F" w:rsidRPr="00FE714A" w:rsidRDefault="00E9797F" w:rsidP="007B5FE9">
      <w:pPr>
        <w:pStyle w:val="3-BodyText"/>
      </w:pPr>
      <w:r w:rsidRPr="00FE714A">
        <w:t xml:space="preserve">In </w:t>
      </w:r>
      <w:proofErr w:type="spellStart"/>
      <w:r w:rsidRPr="00FE714A">
        <w:t>ADvocate</w:t>
      </w:r>
      <w:proofErr w:type="spellEnd"/>
      <w:r w:rsidRPr="00FE714A">
        <w:t xml:space="preserve"> 1 and </w:t>
      </w:r>
      <w:proofErr w:type="spellStart"/>
      <w:r w:rsidRPr="00FE714A">
        <w:t>ADvocate</w:t>
      </w:r>
      <w:proofErr w:type="spellEnd"/>
      <w:r w:rsidRPr="00FE714A">
        <w:t xml:space="preserve"> 2</w:t>
      </w:r>
      <w:r w:rsidR="00DF1D6C" w:rsidRPr="00FE714A">
        <w:t xml:space="preserve"> and </w:t>
      </w:r>
      <w:proofErr w:type="spellStart"/>
      <w:r w:rsidR="00DF1D6C" w:rsidRPr="00FE714A">
        <w:t>ADhere</w:t>
      </w:r>
      <w:proofErr w:type="spellEnd"/>
      <w:r w:rsidR="00DF1D6C" w:rsidRPr="00FE714A">
        <w:t xml:space="preserve"> J, non-responders at Week 16 could enrol in an escape arm in which all patients received LEB 250 mg Q2W. </w:t>
      </w:r>
      <w:r w:rsidR="00B0098D" w:rsidRPr="00FE714A">
        <w:t xml:space="preserve">Data from the escape </w:t>
      </w:r>
      <w:r w:rsidR="00B0098D" w:rsidRPr="00FE714A">
        <w:lastRenderedPageBreak/>
        <w:t xml:space="preserve">arm was relied upon by the submission to inform the proposed ‘slow responders’ (see Paragraph </w:t>
      </w:r>
      <w:r w:rsidR="00B0098D" w:rsidRPr="00FE714A">
        <w:fldChar w:fldCharType="begin" w:fldLock="1"/>
      </w:r>
      <w:r w:rsidR="00B0098D" w:rsidRPr="00FE714A">
        <w:instrText xml:space="preserve"> REF _Ref155656094 \r \h </w:instrText>
      </w:r>
      <w:r w:rsidR="00F0189B" w:rsidRPr="00FE714A">
        <w:instrText xml:space="preserve"> \* MERGEFORMAT </w:instrText>
      </w:r>
      <w:r w:rsidR="00B0098D" w:rsidRPr="00FE714A">
        <w:fldChar w:fldCharType="separate"/>
      </w:r>
      <w:r w:rsidR="00B3585E">
        <w:t>3.3</w:t>
      </w:r>
      <w:r w:rsidR="00B0098D" w:rsidRPr="00FE714A">
        <w:fldChar w:fldCharType="end"/>
      </w:r>
      <w:r w:rsidR="00B0098D" w:rsidRPr="00FE714A">
        <w:t>)</w:t>
      </w:r>
      <w:r w:rsidR="00FE714A">
        <w:t xml:space="preserve">. </w:t>
      </w:r>
    </w:p>
    <w:p w14:paraId="6C8925EE" w14:textId="781405BF" w:rsidR="00B0098D" w:rsidRPr="00FE714A" w:rsidRDefault="00B0098D" w:rsidP="007B5FE9">
      <w:pPr>
        <w:pStyle w:val="3-BodyText"/>
      </w:pPr>
      <w:r w:rsidRPr="00FE714A">
        <w:t>For the comparison with the secondary comparator UPA,</w:t>
      </w:r>
      <w:r w:rsidR="00E01A77" w:rsidRPr="00FE714A">
        <w:t xml:space="preserve"> indirect comparison</w:t>
      </w:r>
      <w:r w:rsidR="007F1C95" w:rsidRPr="00FE714A">
        <w:t>s</w:t>
      </w:r>
      <w:r w:rsidR="00E01A77" w:rsidRPr="00FE714A">
        <w:t xml:space="preserve"> (with placebo </w:t>
      </w:r>
      <w:r w:rsidR="000939AF" w:rsidRPr="00FE714A">
        <w:t xml:space="preserve">as the common comparator) using results from </w:t>
      </w:r>
      <w:proofErr w:type="spellStart"/>
      <w:r w:rsidR="000939AF" w:rsidRPr="00FE714A">
        <w:t>ADvocate</w:t>
      </w:r>
      <w:proofErr w:type="spellEnd"/>
      <w:r w:rsidR="000939AF" w:rsidRPr="00FE714A">
        <w:t xml:space="preserve"> 1, </w:t>
      </w:r>
      <w:proofErr w:type="spellStart"/>
      <w:r w:rsidR="000939AF" w:rsidRPr="00FE714A">
        <w:t>ADvocate</w:t>
      </w:r>
      <w:proofErr w:type="spellEnd"/>
      <w:r w:rsidR="000939AF" w:rsidRPr="00FE714A">
        <w:t xml:space="preserve"> 2 and </w:t>
      </w:r>
      <w:proofErr w:type="spellStart"/>
      <w:r w:rsidR="00FE714A" w:rsidRPr="00FE714A">
        <w:t>A</w:t>
      </w:r>
      <w:r w:rsidR="00FE714A">
        <w:t>D</w:t>
      </w:r>
      <w:r w:rsidR="00FE714A" w:rsidRPr="00FE714A">
        <w:t>here</w:t>
      </w:r>
      <w:proofErr w:type="spellEnd"/>
      <w:r w:rsidR="00FE714A" w:rsidRPr="00FE714A">
        <w:t xml:space="preserve"> </w:t>
      </w:r>
      <w:r w:rsidR="007F1C95" w:rsidRPr="00FE714A">
        <w:t xml:space="preserve">and five UPA trials (M16-048, MEASURE UP 1, MEASURE UP 2, AD UP and RISING UP) were presented. The PBAC has previously considered all of the included UPA trials. </w:t>
      </w:r>
    </w:p>
    <w:p w14:paraId="60024267" w14:textId="77777777" w:rsidR="004779D9" w:rsidRPr="00FE714A" w:rsidRDefault="004779D9" w:rsidP="00EC5836">
      <w:pPr>
        <w:pStyle w:val="4-SubsectionHeading"/>
      </w:pPr>
      <w:bookmarkStart w:id="23" w:name="_Toc155860019"/>
      <w:r w:rsidRPr="00FE714A">
        <w:t>Comparative effectiveness</w:t>
      </w:r>
      <w:bookmarkEnd w:id="23"/>
    </w:p>
    <w:p w14:paraId="51BA5B75" w14:textId="77777777" w:rsidR="004779D9" w:rsidRPr="00FE714A" w:rsidRDefault="004779D9" w:rsidP="00C519E7">
      <w:pPr>
        <w:pStyle w:val="3-BodyText"/>
        <w:numPr>
          <w:ilvl w:val="0"/>
          <w:numId w:val="0"/>
        </w:numPr>
        <w:ind w:left="720" w:hanging="720"/>
        <w:rPr>
          <w:b/>
          <w:bCs/>
        </w:rPr>
      </w:pPr>
      <w:r w:rsidRPr="00FE714A">
        <w:rPr>
          <w:b/>
          <w:bCs/>
        </w:rPr>
        <w:t>Indirect treatment comparison (severe AD subgroup)</w:t>
      </w:r>
    </w:p>
    <w:p w14:paraId="755382E0" w14:textId="7513431F" w:rsidR="004779D9" w:rsidRPr="00FE714A" w:rsidRDefault="004779D9" w:rsidP="00EC5836">
      <w:pPr>
        <w:pStyle w:val="3-BodyText"/>
      </w:pPr>
      <w:r w:rsidRPr="00FE714A">
        <w:fldChar w:fldCharType="begin" w:fldLock="1"/>
      </w:r>
      <w:r w:rsidRPr="00FE714A">
        <w:instrText xml:space="preserve"> REF _Ref155542170 \h </w:instrText>
      </w:r>
      <w:r w:rsidRPr="00FE714A">
        <w:fldChar w:fldCharType="separate"/>
      </w:r>
      <w:r w:rsidR="00B3585E" w:rsidRPr="00FE714A">
        <w:t xml:space="preserve">Table </w:t>
      </w:r>
      <w:r w:rsidR="00B3585E">
        <w:rPr>
          <w:noProof/>
        </w:rPr>
        <w:t>4</w:t>
      </w:r>
      <w:r w:rsidRPr="00FE714A">
        <w:fldChar w:fldCharType="end"/>
      </w:r>
      <w:r w:rsidRPr="00FE714A">
        <w:t xml:space="preserve">, </w:t>
      </w:r>
      <w:r w:rsidRPr="00FE714A">
        <w:fldChar w:fldCharType="begin" w:fldLock="1"/>
      </w:r>
      <w:r w:rsidRPr="00FE714A">
        <w:instrText xml:space="preserve"> REF _Ref155542178 \h </w:instrText>
      </w:r>
      <w:r w:rsidRPr="00FE714A">
        <w:fldChar w:fldCharType="separate"/>
      </w:r>
      <w:r w:rsidR="00B3585E" w:rsidRPr="00FE714A">
        <w:t xml:space="preserve">Table </w:t>
      </w:r>
      <w:r w:rsidR="00B3585E">
        <w:rPr>
          <w:noProof/>
        </w:rPr>
        <w:t>5</w:t>
      </w:r>
      <w:r w:rsidRPr="00FE714A">
        <w:fldChar w:fldCharType="end"/>
      </w:r>
      <w:r w:rsidRPr="00FE714A">
        <w:t xml:space="preserve"> and </w:t>
      </w:r>
      <w:r w:rsidRPr="00FE714A">
        <w:fldChar w:fldCharType="begin" w:fldLock="1"/>
      </w:r>
      <w:r w:rsidRPr="00FE714A">
        <w:instrText xml:space="preserve"> REF _Ref155542179 \h </w:instrText>
      </w:r>
      <w:r w:rsidRPr="00FE714A">
        <w:fldChar w:fldCharType="separate"/>
      </w:r>
      <w:r w:rsidR="00B3585E" w:rsidRPr="00FE714A">
        <w:t xml:space="preserve">Table </w:t>
      </w:r>
      <w:r w:rsidR="00B3585E">
        <w:rPr>
          <w:noProof/>
        </w:rPr>
        <w:t>6</w:t>
      </w:r>
      <w:r w:rsidRPr="00FE714A">
        <w:fldChar w:fldCharType="end"/>
      </w:r>
      <w:r w:rsidRPr="00FE714A">
        <w:t xml:space="preserve"> summarises the indirect treatment comparison between LEB and DUPI for the severe AD subgroup using placebo as the common comparator for the composite outcome (EASI 50 + DLQI ≥ 4-point improvement) and its individual components respectively</w:t>
      </w:r>
      <w:r w:rsidR="00FE714A">
        <w:t xml:space="preserve">. </w:t>
      </w:r>
    </w:p>
    <w:p w14:paraId="1FD0B061" w14:textId="570115C7" w:rsidR="004779D9" w:rsidRPr="00FE714A" w:rsidRDefault="004779D9" w:rsidP="00F26C19">
      <w:pPr>
        <w:pStyle w:val="TableFigureHeading"/>
        <w:keepLines/>
        <w:rPr>
          <w:rStyle w:val="CommentReference"/>
          <w:b/>
          <w:szCs w:val="24"/>
        </w:rPr>
      </w:pPr>
      <w:bookmarkStart w:id="24" w:name="_Ref155542170"/>
      <w:r w:rsidRPr="00FE714A">
        <w:t xml:space="preserve">Table </w:t>
      </w:r>
      <w:r w:rsidR="008B26E3">
        <w:fldChar w:fldCharType="begin" w:fldLock="1"/>
      </w:r>
      <w:r w:rsidR="008B26E3">
        <w:instrText xml:space="preserve"> SEQ Table \* ARABIC </w:instrText>
      </w:r>
      <w:r w:rsidR="008B26E3">
        <w:fldChar w:fldCharType="separate"/>
      </w:r>
      <w:r w:rsidR="00B3585E">
        <w:rPr>
          <w:noProof/>
        </w:rPr>
        <w:t>4</w:t>
      </w:r>
      <w:r w:rsidR="008B26E3">
        <w:rPr>
          <w:noProof/>
        </w:rPr>
        <w:fldChar w:fldCharType="end"/>
      </w:r>
      <w:bookmarkEnd w:id="24"/>
      <w:r w:rsidRPr="00FE714A">
        <w:t>:</w:t>
      </w:r>
      <w:r w:rsidRPr="00FE714A">
        <w:rPr>
          <w:rStyle w:val="CommentReference"/>
          <w:b/>
          <w:szCs w:val="24"/>
        </w:rPr>
        <w:t xml:space="preserve"> ITC in the severe AD subgroup for the composite outcome (Week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Caption w:val="Table 4: ITC in the severe AD subgroup for the composite outcome (Week 16)"/>
      </w:tblPr>
      <w:tblGrid>
        <w:gridCol w:w="1837"/>
        <w:gridCol w:w="1278"/>
        <w:gridCol w:w="1279"/>
        <w:gridCol w:w="1279"/>
        <w:gridCol w:w="1674"/>
        <w:gridCol w:w="1670"/>
      </w:tblGrid>
      <w:tr w:rsidR="004779D9" w:rsidRPr="00FE714A" w14:paraId="73A9599B" w14:textId="77777777" w:rsidTr="005E06AD">
        <w:trPr>
          <w:cantSplit/>
          <w:trHeight w:val="227"/>
          <w:tblHeader/>
        </w:trPr>
        <w:tc>
          <w:tcPr>
            <w:tcW w:w="1019" w:type="pct"/>
            <w:vMerge w:val="restart"/>
            <w:tcBorders>
              <w:right w:val="single" w:sz="4" w:space="0" w:color="auto"/>
            </w:tcBorders>
            <w:shd w:val="clear" w:color="auto" w:fill="auto"/>
            <w:tcMar>
              <w:left w:w="57" w:type="dxa"/>
              <w:right w:w="57" w:type="dxa"/>
            </w:tcMar>
            <w:vAlign w:val="center"/>
          </w:tcPr>
          <w:p w14:paraId="240B4D63" w14:textId="77777777" w:rsidR="004779D9" w:rsidRPr="00FE714A" w:rsidRDefault="004779D9" w:rsidP="00F26C19">
            <w:pPr>
              <w:keepNext/>
              <w:keepLines/>
              <w:jc w:val="center"/>
              <w:rPr>
                <w:rFonts w:ascii="Arial Narrow" w:hAnsi="Arial Narrow"/>
                <w:sz w:val="20"/>
                <w:szCs w:val="20"/>
              </w:rPr>
            </w:pP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60A481C4"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LEB 250 mg Q2W ± TCS</w:t>
            </w: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22131BE4"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PBO ± TCS</w:t>
            </w:r>
          </w:p>
        </w:tc>
        <w:tc>
          <w:tcPr>
            <w:tcW w:w="709" w:type="pct"/>
            <w:vMerge w:val="restart"/>
            <w:tcBorders>
              <w:left w:val="single" w:sz="4" w:space="0" w:color="auto"/>
              <w:right w:val="single" w:sz="4" w:space="0" w:color="auto"/>
            </w:tcBorders>
            <w:shd w:val="clear" w:color="auto" w:fill="auto"/>
            <w:vAlign w:val="center"/>
          </w:tcPr>
          <w:p w14:paraId="5221AB94" w14:textId="3431D03C" w:rsidR="004779D9" w:rsidRPr="00FE714A" w:rsidRDefault="004779D9" w:rsidP="00F26C19">
            <w:pPr>
              <w:keepNext/>
              <w:keepLines/>
              <w:jc w:val="center"/>
              <w:rPr>
                <w:rFonts w:ascii="Arial Narrow" w:hAnsi="Arial Narrow"/>
                <w:b/>
                <w:bCs/>
                <w:sz w:val="20"/>
                <w:szCs w:val="20"/>
              </w:rPr>
            </w:pPr>
            <w:r w:rsidRPr="00FE714A">
              <w:rPr>
                <w:rFonts w:ascii="Arial Narrow" w:hAnsi="Arial Narrow"/>
                <w:b/>
                <w:bCs/>
                <w:sz w:val="20"/>
                <w:szCs w:val="20"/>
              </w:rPr>
              <w:t>DUPI 30</w:t>
            </w:r>
            <w:r w:rsidR="00FE714A">
              <w:rPr>
                <w:rFonts w:ascii="Arial Narrow" w:hAnsi="Arial Narrow"/>
                <w:b/>
                <w:bCs/>
                <w:sz w:val="20"/>
                <w:szCs w:val="20"/>
              </w:rPr>
              <w:t>0 mg</w:t>
            </w:r>
            <w:r w:rsidRPr="00FE714A">
              <w:rPr>
                <w:rFonts w:ascii="Arial Narrow" w:hAnsi="Arial Narrow"/>
                <w:b/>
                <w:bCs/>
                <w:sz w:val="20"/>
                <w:szCs w:val="20"/>
              </w:rPr>
              <w:t xml:space="preserve"> Q2W ± TCS</w:t>
            </w:r>
          </w:p>
        </w:tc>
        <w:tc>
          <w:tcPr>
            <w:tcW w:w="928" w:type="pct"/>
            <w:tcBorders>
              <w:left w:val="single" w:sz="4" w:space="0" w:color="auto"/>
              <w:right w:val="single" w:sz="4" w:space="0" w:color="auto"/>
            </w:tcBorders>
            <w:shd w:val="clear" w:color="auto" w:fill="auto"/>
            <w:tcMar>
              <w:left w:w="57" w:type="dxa"/>
              <w:right w:w="57" w:type="dxa"/>
            </w:tcMar>
            <w:vAlign w:val="center"/>
          </w:tcPr>
          <w:p w14:paraId="70C03DFB" w14:textId="77777777" w:rsidR="004779D9" w:rsidRPr="00FE714A" w:rsidRDefault="004779D9" w:rsidP="00F26C19">
            <w:pPr>
              <w:keepNext/>
              <w:keepLines/>
              <w:jc w:val="center"/>
              <w:rPr>
                <w:rFonts w:ascii="Arial Narrow" w:hAnsi="Arial Narrow"/>
                <w:b/>
                <w:bCs/>
                <w:sz w:val="20"/>
                <w:szCs w:val="20"/>
              </w:rPr>
            </w:pPr>
            <w:r w:rsidRPr="00FE714A">
              <w:rPr>
                <w:rFonts w:ascii="Arial Narrow" w:hAnsi="Arial Narrow"/>
                <w:b/>
                <w:bCs/>
                <w:sz w:val="20"/>
                <w:szCs w:val="20"/>
              </w:rPr>
              <w:t>RR (95% CI)</w:t>
            </w:r>
          </w:p>
        </w:tc>
        <w:tc>
          <w:tcPr>
            <w:tcW w:w="926" w:type="pct"/>
            <w:tcBorders>
              <w:left w:val="single" w:sz="4" w:space="0" w:color="auto"/>
            </w:tcBorders>
            <w:shd w:val="clear" w:color="auto" w:fill="auto"/>
            <w:tcMar>
              <w:left w:w="57" w:type="dxa"/>
              <w:right w:w="57" w:type="dxa"/>
            </w:tcMar>
            <w:vAlign w:val="center"/>
          </w:tcPr>
          <w:p w14:paraId="1A16B1A2" w14:textId="77777777" w:rsidR="004779D9" w:rsidRPr="00FE714A" w:rsidRDefault="004779D9" w:rsidP="00F26C19">
            <w:pPr>
              <w:keepNext/>
              <w:keepLines/>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5CFC13DF" w14:textId="77777777" w:rsidTr="005E06AD">
        <w:trPr>
          <w:cantSplit/>
          <w:trHeight w:val="227"/>
        </w:trPr>
        <w:tc>
          <w:tcPr>
            <w:tcW w:w="1019" w:type="pct"/>
            <w:vMerge/>
            <w:tcBorders>
              <w:right w:val="single" w:sz="4" w:space="0" w:color="auto"/>
            </w:tcBorders>
            <w:shd w:val="clear" w:color="auto" w:fill="auto"/>
            <w:tcMar>
              <w:left w:w="57" w:type="dxa"/>
              <w:right w:w="57" w:type="dxa"/>
            </w:tcMar>
            <w:vAlign w:val="center"/>
          </w:tcPr>
          <w:p w14:paraId="42DF93A2" w14:textId="77777777" w:rsidR="004779D9" w:rsidRPr="00FE714A" w:rsidRDefault="004779D9" w:rsidP="00F26C19">
            <w:pPr>
              <w:keepNext/>
              <w:keepLines/>
              <w:jc w:val="left"/>
              <w:rPr>
                <w:rFonts w:ascii="Arial Narrow" w:hAnsi="Arial Narrow"/>
                <w:b/>
                <w:bCs/>
                <w:sz w:val="20"/>
                <w:szCs w:val="20"/>
              </w:rPr>
            </w:pPr>
          </w:p>
        </w:tc>
        <w:tc>
          <w:tcPr>
            <w:tcW w:w="709" w:type="pct"/>
            <w:vMerge/>
            <w:tcBorders>
              <w:left w:val="single" w:sz="4" w:space="0" w:color="auto"/>
            </w:tcBorders>
            <w:shd w:val="clear" w:color="auto" w:fill="auto"/>
            <w:tcMar>
              <w:left w:w="57" w:type="dxa"/>
              <w:right w:w="57" w:type="dxa"/>
            </w:tcMar>
            <w:vAlign w:val="center"/>
          </w:tcPr>
          <w:p w14:paraId="162F7F4D" w14:textId="77777777" w:rsidR="004779D9" w:rsidRPr="00FE714A" w:rsidRDefault="004779D9" w:rsidP="00F26C19">
            <w:pPr>
              <w:keepNext/>
              <w:keepLines/>
              <w:jc w:val="center"/>
              <w:rPr>
                <w:rFonts w:ascii="Arial Narrow" w:hAnsi="Arial Narrow"/>
                <w:b/>
                <w:bCs/>
                <w:sz w:val="20"/>
                <w:szCs w:val="20"/>
              </w:rPr>
            </w:pPr>
          </w:p>
        </w:tc>
        <w:tc>
          <w:tcPr>
            <w:tcW w:w="709" w:type="pct"/>
            <w:vMerge/>
            <w:shd w:val="clear" w:color="auto" w:fill="auto"/>
            <w:tcMar>
              <w:left w:w="57" w:type="dxa"/>
              <w:right w:w="57" w:type="dxa"/>
            </w:tcMar>
            <w:vAlign w:val="center"/>
          </w:tcPr>
          <w:p w14:paraId="37337175" w14:textId="77777777" w:rsidR="004779D9" w:rsidRPr="00FE714A" w:rsidRDefault="004779D9" w:rsidP="00F26C19">
            <w:pPr>
              <w:keepNext/>
              <w:keepLines/>
              <w:jc w:val="center"/>
              <w:rPr>
                <w:rFonts w:ascii="Arial Narrow" w:hAnsi="Arial Narrow"/>
                <w:b/>
                <w:bCs/>
                <w:sz w:val="20"/>
                <w:szCs w:val="20"/>
              </w:rPr>
            </w:pPr>
          </w:p>
        </w:tc>
        <w:tc>
          <w:tcPr>
            <w:tcW w:w="709" w:type="pct"/>
            <w:vMerge/>
            <w:shd w:val="clear" w:color="auto" w:fill="auto"/>
            <w:vAlign w:val="center"/>
          </w:tcPr>
          <w:p w14:paraId="4B947018" w14:textId="77777777" w:rsidR="004779D9" w:rsidRPr="00FE714A" w:rsidRDefault="004779D9" w:rsidP="00F26C19">
            <w:pPr>
              <w:keepNext/>
              <w:keepLines/>
              <w:jc w:val="center"/>
              <w:rPr>
                <w:rFonts w:ascii="Arial Narrow" w:hAnsi="Arial Narrow"/>
                <w:b/>
                <w:bCs/>
                <w:sz w:val="20"/>
                <w:szCs w:val="20"/>
              </w:rPr>
            </w:pPr>
          </w:p>
        </w:tc>
        <w:tc>
          <w:tcPr>
            <w:tcW w:w="1854" w:type="pct"/>
            <w:gridSpan w:val="2"/>
            <w:shd w:val="clear" w:color="auto" w:fill="auto"/>
            <w:vAlign w:val="center"/>
          </w:tcPr>
          <w:p w14:paraId="189D135A" w14:textId="77777777" w:rsidR="004779D9" w:rsidRPr="00FE714A" w:rsidRDefault="004779D9" w:rsidP="00F26C19">
            <w:pPr>
              <w:keepNext/>
              <w:keepLines/>
              <w:jc w:val="center"/>
              <w:rPr>
                <w:rFonts w:ascii="Arial Narrow" w:hAnsi="Arial Narrow"/>
                <w:b/>
                <w:bCs/>
                <w:sz w:val="20"/>
                <w:szCs w:val="20"/>
              </w:rPr>
            </w:pPr>
            <w:r w:rsidRPr="00FE714A">
              <w:rPr>
                <w:rFonts w:ascii="Arial Narrow" w:hAnsi="Arial Narrow"/>
                <w:b/>
                <w:bCs/>
                <w:sz w:val="20"/>
                <w:szCs w:val="20"/>
              </w:rPr>
              <w:t>Active treatment ± TCS vs PBO ± TCS</w:t>
            </w:r>
          </w:p>
        </w:tc>
      </w:tr>
      <w:tr w:rsidR="004779D9" w:rsidRPr="00FE714A" w14:paraId="0118AF25" w14:textId="77777777" w:rsidTr="005E06AD">
        <w:trPr>
          <w:cantSplit/>
          <w:trHeight w:val="227"/>
        </w:trPr>
        <w:tc>
          <w:tcPr>
            <w:tcW w:w="1019" w:type="pct"/>
            <w:shd w:val="clear" w:color="auto" w:fill="auto"/>
            <w:tcMar>
              <w:left w:w="57" w:type="dxa"/>
              <w:right w:w="57" w:type="dxa"/>
            </w:tcMar>
            <w:vAlign w:val="center"/>
          </w:tcPr>
          <w:p w14:paraId="4D934A59" w14:textId="77777777" w:rsidR="004779D9" w:rsidRPr="00FE714A" w:rsidRDefault="004779D9" w:rsidP="00F26C19">
            <w:pPr>
              <w:keepNext/>
              <w:keepLines/>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1</w:t>
            </w:r>
          </w:p>
        </w:tc>
        <w:tc>
          <w:tcPr>
            <w:tcW w:w="709" w:type="pct"/>
            <w:shd w:val="clear" w:color="auto" w:fill="auto"/>
            <w:tcMar>
              <w:left w:w="57" w:type="dxa"/>
              <w:right w:w="57" w:type="dxa"/>
            </w:tcMar>
          </w:tcPr>
          <w:p w14:paraId="2698073C"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46/82 (56.1)</w:t>
            </w:r>
          </w:p>
        </w:tc>
        <w:tc>
          <w:tcPr>
            <w:tcW w:w="709" w:type="pct"/>
            <w:shd w:val="clear" w:color="auto" w:fill="auto"/>
            <w:tcMar>
              <w:left w:w="57" w:type="dxa"/>
              <w:right w:w="57" w:type="dxa"/>
            </w:tcMar>
          </w:tcPr>
          <w:p w14:paraId="315A468A"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4/41 (9.8)</w:t>
            </w:r>
          </w:p>
        </w:tc>
        <w:tc>
          <w:tcPr>
            <w:tcW w:w="709" w:type="pct"/>
            <w:shd w:val="clear" w:color="auto" w:fill="auto"/>
            <w:vAlign w:val="center"/>
          </w:tcPr>
          <w:p w14:paraId="6F50E962"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tcPr>
          <w:p w14:paraId="0E1638DC"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5.8 (2.2, 14.9)</w:t>
            </w:r>
          </w:p>
        </w:tc>
        <w:tc>
          <w:tcPr>
            <w:tcW w:w="926" w:type="pct"/>
            <w:shd w:val="clear" w:color="auto" w:fill="auto"/>
            <w:tcMar>
              <w:left w:w="57" w:type="dxa"/>
              <w:right w:w="57" w:type="dxa"/>
            </w:tcMar>
          </w:tcPr>
          <w:p w14:paraId="059004E6"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0.46 (0.32, 0.60)</w:t>
            </w:r>
          </w:p>
        </w:tc>
      </w:tr>
      <w:tr w:rsidR="004779D9" w:rsidRPr="00FE714A" w14:paraId="1B4A36C7" w14:textId="77777777" w:rsidTr="005E06AD">
        <w:trPr>
          <w:cantSplit/>
          <w:trHeight w:val="227"/>
        </w:trPr>
        <w:tc>
          <w:tcPr>
            <w:tcW w:w="1019" w:type="pct"/>
            <w:shd w:val="clear" w:color="auto" w:fill="auto"/>
            <w:tcMar>
              <w:left w:w="57" w:type="dxa"/>
              <w:right w:w="57" w:type="dxa"/>
            </w:tcMar>
            <w:vAlign w:val="center"/>
          </w:tcPr>
          <w:p w14:paraId="2B03CBC6" w14:textId="77777777" w:rsidR="004779D9" w:rsidRPr="00FE714A" w:rsidRDefault="004779D9" w:rsidP="00F26C19">
            <w:pPr>
              <w:keepNext/>
              <w:keepLines/>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2</w:t>
            </w:r>
          </w:p>
        </w:tc>
        <w:tc>
          <w:tcPr>
            <w:tcW w:w="709" w:type="pct"/>
            <w:shd w:val="clear" w:color="auto" w:fill="auto"/>
            <w:tcMar>
              <w:left w:w="57" w:type="dxa"/>
              <w:right w:w="57" w:type="dxa"/>
            </w:tcMar>
          </w:tcPr>
          <w:p w14:paraId="4BAD40A6"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35/75 (46.7)</w:t>
            </w:r>
          </w:p>
        </w:tc>
        <w:tc>
          <w:tcPr>
            <w:tcW w:w="709" w:type="pct"/>
            <w:shd w:val="clear" w:color="auto" w:fill="auto"/>
            <w:tcMar>
              <w:left w:w="57" w:type="dxa"/>
              <w:right w:w="57" w:type="dxa"/>
            </w:tcMar>
          </w:tcPr>
          <w:p w14:paraId="5095FDDA"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6/42 (14.3)</w:t>
            </w:r>
          </w:p>
        </w:tc>
        <w:tc>
          <w:tcPr>
            <w:tcW w:w="709" w:type="pct"/>
            <w:shd w:val="clear" w:color="auto" w:fill="auto"/>
            <w:vAlign w:val="center"/>
          </w:tcPr>
          <w:p w14:paraId="253878C0"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tcPr>
          <w:p w14:paraId="027D2E74"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3.3 (1.5, 7.1)</w:t>
            </w:r>
          </w:p>
        </w:tc>
        <w:tc>
          <w:tcPr>
            <w:tcW w:w="926" w:type="pct"/>
            <w:shd w:val="clear" w:color="auto" w:fill="auto"/>
            <w:tcMar>
              <w:left w:w="57" w:type="dxa"/>
              <w:right w:w="57" w:type="dxa"/>
            </w:tcMar>
          </w:tcPr>
          <w:p w14:paraId="176BBD4F"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0.32 (0.17, 0.48)</w:t>
            </w:r>
          </w:p>
        </w:tc>
      </w:tr>
      <w:tr w:rsidR="004779D9" w:rsidRPr="00FE714A" w14:paraId="51B0F29B" w14:textId="77777777" w:rsidTr="005E06AD">
        <w:trPr>
          <w:cantSplit/>
          <w:trHeight w:val="227"/>
        </w:trPr>
        <w:tc>
          <w:tcPr>
            <w:tcW w:w="1019" w:type="pct"/>
            <w:shd w:val="clear" w:color="auto" w:fill="auto"/>
            <w:tcMar>
              <w:left w:w="57" w:type="dxa"/>
              <w:right w:w="57" w:type="dxa"/>
            </w:tcMar>
            <w:vAlign w:val="center"/>
          </w:tcPr>
          <w:p w14:paraId="092427D2" w14:textId="77777777" w:rsidR="004779D9" w:rsidRPr="00FE714A" w:rsidRDefault="004779D9" w:rsidP="00F26C19">
            <w:pPr>
              <w:keepNext/>
              <w:keepLines/>
              <w:jc w:val="left"/>
              <w:rPr>
                <w:rFonts w:ascii="Arial Narrow" w:hAnsi="Arial Narrow"/>
                <w:sz w:val="20"/>
                <w:szCs w:val="20"/>
              </w:rPr>
            </w:pPr>
            <w:proofErr w:type="spellStart"/>
            <w:r w:rsidRPr="00FE714A">
              <w:rPr>
                <w:rFonts w:ascii="Arial Narrow" w:hAnsi="Arial Narrow"/>
                <w:sz w:val="20"/>
                <w:szCs w:val="20"/>
              </w:rPr>
              <w:t>ADhere</w:t>
            </w:r>
            <w:proofErr w:type="spellEnd"/>
            <w:r w:rsidRPr="00FE714A">
              <w:rPr>
                <w:rFonts w:ascii="Arial Narrow" w:hAnsi="Arial Narrow"/>
                <w:sz w:val="20"/>
                <w:szCs w:val="20"/>
              </w:rPr>
              <w:t xml:space="preserve"> </w:t>
            </w:r>
          </w:p>
        </w:tc>
        <w:tc>
          <w:tcPr>
            <w:tcW w:w="709" w:type="pct"/>
            <w:shd w:val="clear" w:color="auto" w:fill="auto"/>
            <w:tcMar>
              <w:left w:w="57" w:type="dxa"/>
              <w:right w:w="57" w:type="dxa"/>
            </w:tcMar>
          </w:tcPr>
          <w:p w14:paraId="4B184741"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14/23 (60.9)</w:t>
            </w:r>
          </w:p>
        </w:tc>
        <w:tc>
          <w:tcPr>
            <w:tcW w:w="709" w:type="pct"/>
            <w:shd w:val="clear" w:color="auto" w:fill="auto"/>
            <w:tcMar>
              <w:left w:w="57" w:type="dxa"/>
              <w:right w:w="57" w:type="dxa"/>
            </w:tcMar>
          </w:tcPr>
          <w:p w14:paraId="7D7269A4"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2/6 (33.3)</w:t>
            </w:r>
          </w:p>
        </w:tc>
        <w:tc>
          <w:tcPr>
            <w:tcW w:w="709" w:type="pct"/>
            <w:shd w:val="clear" w:color="auto" w:fill="auto"/>
            <w:vAlign w:val="center"/>
          </w:tcPr>
          <w:p w14:paraId="294BC166"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tcPr>
          <w:p w14:paraId="5A47339B"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t>1.8 (0.6, 5.9)</w:t>
            </w:r>
          </w:p>
        </w:tc>
        <w:tc>
          <w:tcPr>
            <w:tcW w:w="926" w:type="pct"/>
            <w:shd w:val="clear" w:color="auto" w:fill="auto"/>
            <w:tcMar>
              <w:left w:w="57" w:type="dxa"/>
              <w:right w:w="57" w:type="dxa"/>
            </w:tcMar>
          </w:tcPr>
          <w:p w14:paraId="78939B12"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t>0.28 (</w:t>
            </w:r>
            <w:r w:rsidRPr="00FE714A">
              <w:rPr>
                <w:rFonts w:ascii="Arial Narrow" w:hAnsi="Arial Narrow"/>
                <w:sz w:val="20"/>
                <w:szCs w:val="20"/>
              </w:rPr>
              <w:noBreakHyphen/>
              <w:t>0.15, 0.70)</w:t>
            </w:r>
          </w:p>
        </w:tc>
      </w:tr>
      <w:tr w:rsidR="004779D9" w:rsidRPr="00FE714A" w14:paraId="3AB541AE" w14:textId="77777777" w:rsidTr="005E06AD">
        <w:trPr>
          <w:cantSplit/>
          <w:trHeight w:val="227"/>
        </w:trPr>
        <w:tc>
          <w:tcPr>
            <w:tcW w:w="1019" w:type="pct"/>
            <w:shd w:val="clear" w:color="auto" w:fill="auto"/>
            <w:tcMar>
              <w:left w:w="57" w:type="dxa"/>
              <w:right w:w="57" w:type="dxa"/>
            </w:tcMar>
            <w:vAlign w:val="center"/>
          </w:tcPr>
          <w:p w14:paraId="0C5801E6" w14:textId="77777777" w:rsidR="004779D9" w:rsidRPr="00FE714A" w:rsidRDefault="004779D9" w:rsidP="00F26C19">
            <w:pPr>
              <w:keepNext/>
              <w:keepLines/>
              <w:jc w:val="left"/>
              <w:rPr>
                <w:rFonts w:ascii="Arial Narrow" w:hAnsi="Arial Narrow"/>
                <w:sz w:val="20"/>
                <w:szCs w:val="20"/>
              </w:rPr>
            </w:pPr>
            <w:r w:rsidRPr="00FE714A">
              <w:rPr>
                <w:rFonts w:ascii="Arial Narrow" w:hAnsi="Arial Narrow"/>
                <w:sz w:val="20"/>
                <w:szCs w:val="20"/>
              </w:rPr>
              <w:t>LEB trials pooled</w:t>
            </w:r>
          </w:p>
        </w:tc>
        <w:tc>
          <w:tcPr>
            <w:tcW w:w="709" w:type="pct"/>
            <w:shd w:val="clear" w:color="auto" w:fill="auto"/>
            <w:tcMar>
              <w:left w:w="57" w:type="dxa"/>
              <w:right w:w="57" w:type="dxa"/>
            </w:tcMar>
          </w:tcPr>
          <w:p w14:paraId="274D8303"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95/180 (52.8)</w:t>
            </w:r>
          </w:p>
        </w:tc>
        <w:tc>
          <w:tcPr>
            <w:tcW w:w="709" w:type="pct"/>
            <w:shd w:val="clear" w:color="auto" w:fill="auto"/>
            <w:tcMar>
              <w:left w:w="57" w:type="dxa"/>
              <w:right w:w="57" w:type="dxa"/>
            </w:tcMar>
          </w:tcPr>
          <w:p w14:paraId="63A7D53E"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12/89 (13.5)</w:t>
            </w:r>
          </w:p>
        </w:tc>
        <w:tc>
          <w:tcPr>
            <w:tcW w:w="709" w:type="pct"/>
            <w:shd w:val="clear" w:color="auto" w:fill="auto"/>
            <w:vAlign w:val="center"/>
          </w:tcPr>
          <w:p w14:paraId="38AC8C7B"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tcPr>
          <w:p w14:paraId="4E96262C" w14:textId="46971EBE"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3.</w:t>
            </w:r>
            <w:r w:rsidR="001C3782" w:rsidRPr="00FE714A">
              <w:rPr>
                <w:rFonts w:ascii="Arial Narrow" w:hAnsi="Arial Narrow"/>
                <w:b/>
                <w:bCs/>
                <w:sz w:val="20"/>
                <w:szCs w:val="20"/>
              </w:rPr>
              <w:t>5</w:t>
            </w:r>
            <w:r w:rsidRPr="00FE714A">
              <w:rPr>
                <w:rFonts w:ascii="Arial Narrow" w:hAnsi="Arial Narrow"/>
                <w:b/>
                <w:bCs/>
                <w:sz w:val="20"/>
                <w:szCs w:val="20"/>
              </w:rPr>
              <w:t xml:space="preserve"> (1.9, 6.2)</w:t>
            </w:r>
          </w:p>
        </w:tc>
        <w:tc>
          <w:tcPr>
            <w:tcW w:w="926" w:type="pct"/>
            <w:shd w:val="clear" w:color="auto" w:fill="auto"/>
            <w:tcMar>
              <w:left w:w="57" w:type="dxa"/>
              <w:right w:w="57" w:type="dxa"/>
            </w:tcMar>
          </w:tcPr>
          <w:p w14:paraId="71433781"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0.39 (0.29, 0.50)</w:t>
            </w:r>
          </w:p>
        </w:tc>
      </w:tr>
      <w:tr w:rsidR="004779D9" w:rsidRPr="00FE714A" w14:paraId="0F580CB9" w14:textId="77777777" w:rsidTr="005E06AD">
        <w:trPr>
          <w:cantSplit/>
          <w:trHeight w:val="227"/>
        </w:trPr>
        <w:tc>
          <w:tcPr>
            <w:tcW w:w="1019" w:type="pct"/>
            <w:shd w:val="clear" w:color="auto" w:fill="B8CCE4" w:themeFill="accent1" w:themeFillTint="66"/>
            <w:tcMar>
              <w:left w:w="57" w:type="dxa"/>
              <w:right w:w="57" w:type="dxa"/>
            </w:tcMar>
          </w:tcPr>
          <w:p w14:paraId="56A586C1" w14:textId="77777777" w:rsidR="004779D9" w:rsidRPr="00FE714A" w:rsidRDefault="004779D9" w:rsidP="00F26C19">
            <w:pPr>
              <w:keepNext/>
              <w:keepLines/>
              <w:jc w:val="left"/>
              <w:rPr>
                <w:rFonts w:ascii="Arial Narrow" w:hAnsi="Arial Narrow"/>
                <w:sz w:val="20"/>
                <w:szCs w:val="20"/>
              </w:rPr>
            </w:pPr>
            <w:r w:rsidRPr="00FE714A">
              <w:rPr>
                <w:rFonts w:ascii="Arial Narrow" w:hAnsi="Arial Narrow"/>
                <w:sz w:val="20"/>
                <w:szCs w:val="20"/>
              </w:rPr>
              <w:t xml:space="preserve">DUPI </w:t>
            </w:r>
            <w:proofErr w:type="spellStart"/>
            <w:r w:rsidRPr="00FE714A">
              <w:rPr>
                <w:rFonts w:ascii="Arial Narrow" w:hAnsi="Arial Narrow"/>
                <w:sz w:val="20"/>
                <w:szCs w:val="20"/>
              </w:rPr>
              <w:t>CsA</w:t>
            </w:r>
            <w:proofErr w:type="spellEnd"/>
            <w:r w:rsidRPr="00FE714A">
              <w:rPr>
                <w:rFonts w:ascii="Arial Narrow" w:hAnsi="Arial Narrow"/>
                <w:sz w:val="20"/>
                <w:szCs w:val="20"/>
              </w:rPr>
              <w:t xml:space="preserve"> experienced</w:t>
            </w:r>
          </w:p>
        </w:tc>
        <w:tc>
          <w:tcPr>
            <w:tcW w:w="709" w:type="pct"/>
            <w:shd w:val="clear" w:color="auto" w:fill="auto"/>
            <w:tcMar>
              <w:left w:w="57" w:type="dxa"/>
              <w:right w:w="57" w:type="dxa"/>
            </w:tcMar>
            <w:vAlign w:val="center"/>
          </w:tcPr>
          <w:p w14:paraId="272F6C16"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615256E4"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25/178 (14.0)</w:t>
            </w:r>
          </w:p>
        </w:tc>
        <w:tc>
          <w:tcPr>
            <w:tcW w:w="709" w:type="pct"/>
            <w:shd w:val="clear" w:color="auto" w:fill="B8CCE4" w:themeFill="accent1" w:themeFillTint="66"/>
          </w:tcPr>
          <w:p w14:paraId="2EDC4CEF"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t>91/152 (59.9)</w:t>
            </w:r>
          </w:p>
        </w:tc>
        <w:tc>
          <w:tcPr>
            <w:tcW w:w="928" w:type="pct"/>
            <w:shd w:val="clear" w:color="auto" w:fill="auto"/>
            <w:tcMar>
              <w:left w:w="57" w:type="dxa"/>
              <w:right w:w="57" w:type="dxa"/>
            </w:tcMar>
          </w:tcPr>
          <w:p w14:paraId="54803A13"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4.3 (2.9, 6.3)</w:t>
            </w:r>
          </w:p>
        </w:tc>
        <w:tc>
          <w:tcPr>
            <w:tcW w:w="926" w:type="pct"/>
            <w:shd w:val="clear" w:color="auto" w:fill="auto"/>
            <w:tcMar>
              <w:left w:w="57" w:type="dxa"/>
              <w:right w:w="57" w:type="dxa"/>
            </w:tcMar>
          </w:tcPr>
          <w:p w14:paraId="5640CF28"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0.46 (0.37, 0.55)</w:t>
            </w:r>
          </w:p>
        </w:tc>
      </w:tr>
      <w:tr w:rsidR="004779D9" w:rsidRPr="00FE714A" w14:paraId="6A24A01C" w14:textId="77777777" w:rsidTr="005E06AD">
        <w:trPr>
          <w:cantSplit/>
          <w:trHeight w:val="227"/>
        </w:trPr>
        <w:tc>
          <w:tcPr>
            <w:tcW w:w="1019" w:type="pct"/>
            <w:shd w:val="clear" w:color="auto" w:fill="B8CCE4" w:themeFill="accent1" w:themeFillTint="66"/>
            <w:tcMar>
              <w:left w:w="57" w:type="dxa"/>
              <w:right w:w="57" w:type="dxa"/>
            </w:tcMar>
          </w:tcPr>
          <w:p w14:paraId="3FECCADB" w14:textId="77777777" w:rsidR="004779D9" w:rsidRPr="00FE714A" w:rsidRDefault="004779D9" w:rsidP="00F26C19">
            <w:pPr>
              <w:keepNext/>
              <w:keepLines/>
              <w:jc w:val="left"/>
              <w:rPr>
                <w:rFonts w:ascii="Arial Narrow" w:hAnsi="Arial Narrow"/>
                <w:sz w:val="20"/>
                <w:szCs w:val="20"/>
              </w:rPr>
            </w:pPr>
            <w:r w:rsidRPr="00FE714A">
              <w:rPr>
                <w:rFonts w:ascii="Arial Narrow" w:hAnsi="Arial Narrow"/>
                <w:sz w:val="20"/>
                <w:szCs w:val="20"/>
              </w:rPr>
              <w:t xml:space="preserve">DUPI </w:t>
            </w:r>
            <w:proofErr w:type="spellStart"/>
            <w:r w:rsidRPr="00FE714A">
              <w:rPr>
                <w:rFonts w:ascii="Arial Narrow" w:hAnsi="Arial Narrow"/>
                <w:sz w:val="20"/>
                <w:szCs w:val="20"/>
              </w:rPr>
              <w:t>CsA</w:t>
            </w:r>
            <w:proofErr w:type="spellEnd"/>
            <w:r w:rsidRPr="00FE714A">
              <w:rPr>
                <w:rFonts w:ascii="Arial Narrow" w:hAnsi="Arial Narrow"/>
                <w:sz w:val="20"/>
                <w:szCs w:val="20"/>
              </w:rPr>
              <w:t xml:space="preserve"> naive</w:t>
            </w:r>
          </w:p>
        </w:tc>
        <w:tc>
          <w:tcPr>
            <w:tcW w:w="709" w:type="pct"/>
            <w:shd w:val="clear" w:color="auto" w:fill="auto"/>
            <w:tcMar>
              <w:left w:w="57" w:type="dxa"/>
              <w:right w:w="57" w:type="dxa"/>
            </w:tcMar>
            <w:vAlign w:val="center"/>
          </w:tcPr>
          <w:p w14:paraId="7A2F0F7E"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7A72501A"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49/246 (19.9)</w:t>
            </w:r>
          </w:p>
        </w:tc>
        <w:tc>
          <w:tcPr>
            <w:tcW w:w="709" w:type="pct"/>
            <w:shd w:val="clear" w:color="auto" w:fill="B8CCE4" w:themeFill="accent1" w:themeFillTint="66"/>
          </w:tcPr>
          <w:p w14:paraId="0E77F50D"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t>99/166 (59.6)</w:t>
            </w:r>
          </w:p>
        </w:tc>
        <w:tc>
          <w:tcPr>
            <w:tcW w:w="928" w:type="pct"/>
            <w:shd w:val="clear" w:color="auto" w:fill="auto"/>
            <w:tcMar>
              <w:left w:w="57" w:type="dxa"/>
              <w:right w:w="57" w:type="dxa"/>
            </w:tcMar>
          </w:tcPr>
          <w:p w14:paraId="2B00B416"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3.0 (2.3, 4.0)</w:t>
            </w:r>
          </w:p>
        </w:tc>
        <w:tc>
          <w:tcPr>
            <w:tcW w:w="926" w:type="pct"/>
            <w:shd w:val="clear" w:color="auto" w:fill="auto"/>
            <w:tcMar>
              <w:left w:w="57" w:type="dxa"/>
              <w:right w:w="57" w:type="dxa"/>
            </w:tcMar>
          </w:tcPr>
          <w:p w14:paraId="55098AF4"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0.40 (0.31, 0.49)</w:t>
            </w:r>
          </w:p>
        </w:tc>
      </w:tr>
      <w:tr w:rsidR="004779D9" w:rsidRPr="00FE714A" w14:paraId="18D4A25A" w14:textId="77777777" w:rsidTr="005E06AD">
        <w:trPr>
          <w:cantSplit/>
          <w:trHeight w:val="227"/>
        </w:trPr>
        <w:tc>
          <w:tcPr>
            <w:tcW w:w="1019" w:type="pct"/>
            <w:shd w:val="clear" w:color="auto" w:fill="B8CCE4" w:themeFill="accent1" w:themeFillTint="66"/>
            <w:tcMar>
              <w:left w:w="57" w:type="dxa"/>
              <w:right w:w="57" w:type="dxa"/>
            </w:tcMar>
          </w:tcPr>
          <w:p w14:paraId="1A1F3A7A" w14:textId="77777777" w:rsidR="004779D9" w:rsidRPr="00FE714A" w:rsidRDefault="004779D9" w:rsidP="00F26C19">
            <w:pPr>
              <w:keepNext/>
              <w:keepLines/>
              <w:jc w:val="left"/>
              <w:rPr>
                <w:rFonts w:ascii="Arial Narrow" w:hAnsi="Arial Narrow"/>
                <w:sz w:val="20"/>
                <w:szCs w:val="20"/>
              </w:rPr>
            </w:pPr>
            <w:r w:rsidRPr="00FE714A">
              <w:rPr>
                <w:rFonts w:ascii="Arial Narrow" w:hAnsi="Arial Narrow"/>
                <w:sz w:val="20"/>
                <w:szCs w:val="20"/>
              </w:rPr>
              <w:t>DUPI trials pooled</w:t>
            </w:r>
          </w:p>
        </w:tc>
        <w:tc>
          <w:tcPr>
            <w:tcW w:w="709" w:type="pct"/>
            <w:shd w:val="clear" w:color="auto" w:fill="auto"/>
            <w:tcMar>
              <w:left w:w="57" w:type="dxa"/>
              <w:right w:w="57" w:type="dxa"/>
            </w:tcMar>
            <w:vAlign w:val="center"/>
          </w:tcPr>
          <w:p w14:paraId="3B1307CD"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641F2720" w14:textId="77777777" w:rsidR="004779D9" w:rsidRPr="00FE714A" w:rsidRDefault="004779D9" w:rsidP="00F26C19">
            <w:pPr>
              <w:keepNext/>
              <w:keepLines/>
              <w:jc w:val="center"/>
              <w:rPr>
                <w:rFonts w:ascii="Arial Narrow" w:eastAsia="Calibri" w:hAnsi="Arial Narrow"/>
                <w:sz w:val="20"/>
                <w:szCs w:val="20"/>
              </w:rPr>
            </w:pPr>
            <w:r w:rsidRPr="00FE714A">
              <w:rPr>
                <w:rFonts w:ascii="Arial Narrow" w:hAnsi="Arial Narrow"/>
                <w:sz w:val="20"/>
                <w:szCs w:val="20"/>
              </w:rPr>
              <w:t>74/424 (17.5)</w:t>
            </w:r>
          </w:p>
        </w:tc>
        <w:tc>
          <w:tcPr>
            <w:tcW w:w="709" w:type="pct"/>
            <w:shd w:val="clear" w:color="auto" w:fill="B8CCE4" w:themeFill="accent1" w:themeFillTint="66"/>
          </w:tcPr>
          <w:p w14:paraId="1A2CE6CC"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t>190/318 (59.7)</w:t>
            </w:r>
          </w:p>
        </w:tc>
        <w:tc>
          <w:tcPr>
            <w:tcW w:w="928" w:type="pct"/>
            <w:shd w:val="clear" w:color="auto" w:fill="auto"/>
            <w:tcMar>
              <w:left w:w="57" w:type="dxa"/>
              <w:right w:w="57" w:type="dxa"/>
            </w:tcMar>
          </w:tcPr>
          <w:p w14:paraId="479ED05D" w14:textId="1BD2DD16"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3.</w:t>
            </w:r>
            <w:r w:rsidR="001C3782" w:rsidRPr="00FE714A">
              <w:rPr>
                <w:rFonts w:ascii="Arial Narrow" w:hAnsi="Arial Narrow"/>
                <w:b/>
                <w:bCs/>
                <w:sz w:val="20"/>
                <w:szCs w:val="20"/>
              </w:rPr>
              <w:t>5</w:t>
            </w:r>
            <w:r w:rsidRPr="00FE714A">
              <w:rPr>
                <w:rFonts w:ascii="Arial Narrow" w:hAnsi="Arial Narrow"/>
                <w:b/>
                <w:bCs/>
                <w:sz w:val="20"/>
                <w:szCs w:val="20"/>
              </w:rPr>
              <w:t xml:space="preserve"> (2.</w:t>
            </w:r>
            <w:r w:rsidR="001C3782" w:rsidRPr="00FE714A">
              <w:rPr>
                <w:rFonts w:ascii="Arial Narrow" w:hAnsi="Arial Narrow"/>
                <w:b/>
                <w:bCs/>
                <w:sz w:val="20"/>
                <w:szCs w:val="20"/>
              </w:rPr>
              <w:t>5</w:t>
            </w:r>
            <w:r w:rsidRPr="00FE714A">
              <w:rPr>
                <w:rFonts w:ascii="Arial Narrow" w:hAnsi="Arial Narrow"/>
                <w:b/>
                <w:bCs/>
                <w:sz w:val="20"/>
                <w:szCs w:val="20"/>
              </w:rPr>
              <w:t>, 4.9)</w:t>
            </w:r>
          </w:p>
        </w:tc>
        <w:tc>
          <w:tcPr>
            <w:tcW w:w="926" w:type="pct"/>
            <w:shd w:val="clear" w:color="auto" w:fill="auto"/>
            <w:tcMar>
              <w:left w:w="57" w:type="dxa"/>
              <w:right w:w="57" w:type="dxa"/>
            </w:tcMar>
          </w:tcPr>
          <w:p w14:paraId="32AC58BA"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b/>
                <w:bCs/>
                <w:sz w:val="20"/>
                <w:szCs w:val="20"/>
              </w:rPr>
              <w:t>0.43 (0.36, 0.49)</w:t>
            </w:r>
          </w:p>
        </w:tc>
      </w:tr>
      <w:tr w:rsidR="004779D9" w:rsidRPr="00FE714A" w14:paraId="7EB14B40" w14:textId="77777777" w:rsidTr="005E06AD">
        <w:trPr>
          <w:cantSplit/>
          <w:trHeight w:val="227"/>
        </w:trPr>
        <w:tc>
          <w:tcPr>
            <w:tcW w:w="3146" w:type="pct"/>
            <w:gridSpan w:val="4"/>
            <w:shd w:val="clear" w:color="auto" w:fill="auto"/>
            <w:tcMar>
              <w:left w:w="57" w:type="dxa"/>
              <w:right w:w="57" w:type="dxa"/>
            </w:tcMar>
            <w:vAlign w:val="center"/>
          </w:tcPr>
          <w:p w14:paraId="306514D0" w14:textId="77777777" w:rsidR="004779D9" w:rsidRPr="00FE714A" w:rsidRDefault="004779D9" w:rsidP="00F26C19">
            <w:pPr>
              <w:keepNext/>
              <w:keepLines/>
              <w:jc w:val="left"/>
              <w:rPr>
                <w:rFonts w:ascii="Arial Narrow" w:hAnsi="Arial Narrow"/>
                <w:sz w:val="20"/>
                <w:szCs w:val="20"/>
              </w:rPr>
            </w:pPr>
            <w:r w:rsidRPr="00FE714A">
              <w:rPr>
                <w:rFonts w:ascii="Arial Narrow" w:hAnsi="Arial Narrow"/>
                <w:sz w:val="20"/>
                <w:szCs w:val="20"/>
              </w:rPr>
              <w:t>Indirect treatment comparison: all trials pooled</w:t>
            </w:r>
          </w:p>
        </w:tc>
        <w:tc>
          <w:tcPr>
            <w:tcW w:w="928" w:type="pct"/>
            <w:shd w:val="clear" w:color="auto" w:fill="auto"/>
            <w:tcMar>
              <w:left w:w="57" w:type="dxa"/>
              <w:right w:w="57" w:type="dxa"/>
            </w:tcMar>
          </w:tcPr>
          <w:p w14:paraId="30DC394B"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t>0.99 (0.50, 1.96)</w:t>
            </w:r>
          </w:p>
        </w:tc>
        <w:tc>
          <w:tcPr>
            <w:tcW w:w="926" w:type="pct"/>
            <w:shd w:val="clear" w:color="auto" w:fill="auto"/>
            <w:tcMar>
              <w:left w:w="57" w:type="dxa"/>
              <w:right w:w="57" w:type="dxa"/>
            </w:tcMar>
          </w:tcPr>
          <w:p w14:paraId="0B8EC1E6" w14:textId="77777777" w:rsidR="004779D9" w:rsidRPr="00FE714A" w:rsidRDefault="004779D9" w:rsidP="00F26C19">
            <w:pPr>
              <w:keepNext/>
              <w:keepLines/>
              <w:jc w:val="center"/>
              <w:rPr>
                <w:rFonts w:ascii="Arial Narrow" w:hAnsi="Arial Narrow"/>
                <w:sz w:val="20"/>
                <w:szCs w:val="20"/>
              </w:rPr>
            </w:pPr>
            <w:r w:rsidRPr="00FE714A">
              <w:rPr>
                <w:rFonts w:ascii="Arial Narrow" w:hAnsi="Arial Narrow"/>
                <w:sz w:val="20"/>
                <w:szCs w:val="20"/>
              </w:rPr>
              <w:noBreakHyphen/>
              <w:t>0.03 (</w:t>
            </w:r>
            <w:r w:rsidRPr="00FE714A">
              <w:rPr>
                <w:rFonts w:ascii="Arial Narrow" w:hAnsi="Arial Narrow"/>
                <w:sz w:val="20"/>
                <w:szCs w:val="20"/>
              </w:rPr>
              <w:noBreakHyphen/>
              <w:t>0.16, 0.09)</w:t>
            </w:r>
          </w:p>
        </w:tc>
      </w:tr>
    </w:tbl>
    <w:p w14:paraId="72A0C704" w14:textId="77777777" w:rsidR="004779D9" w:rsidRPr="00FE714A" w:rsidRDefault="004779D9" w:rsidP="00F26C19">
      <w:pPr>
        <w:pStyle w:val="FooterTableFigure"/>
        <w:keepNext/>
        <w:keepLines/>
      </w:pPr>
      <w:r w:rsidRPr="00FE714A">
        <w:t>Source: Table 2.6-4, p215 of the submission.</w:t>
      </w:r>
    </w:p>
    <w:p w14:paraId="1CFFCC88" w14:textId="77777777" w:rsidR="004779D9" w:rsidRPr="00FE714A" w:rsidRDefault="004779D9" w:rsidP="00F26C19">
      <w:pPr>
        <w:pStyle w:val="FooterTableFigure"/>
        <w:keepNext/>
        <w:keepLines/>
      </w:pPr>
      <w:r w:rsidRPr="00FE714A">
        <w:t xml:space="preserve">AD = atopic dermatitis; CI = confidence interval; </w:t>
      </w:r>
      <w:proofErr w:type="spellStart"/>
      <w:r w:rsidRPr="00FE714A">
        <w:t>CsA</w:t>
      </w:r>
      <w:proofErr w:type="spellEnd"/>
      <w:r w:rsidRPr="00FE714A">
        <w:t xml:space="preserve"> = ciclosporin; DLQI = dermatology life quality index; DUPI = dupilumab; EASI = eczema area and severity index; ITC = indirect comparison; LEB = lebrikizumab; PBO = placebo; Q2W = every 2 weeks; RD = risk difference; RR = relative risk; TCS = topical corticosteroids</w:t>
      </w:r>
    </w:p>
    <w:p w14:paraId="1C563C6C" w14:textId="77777777" w:rsidR="004779D9" w:rsidRPr="00FE714A" w:rsidRDefault="004779D9" w:rsidP="00F26C19">
      <w:pPr>
        <w:pStyle w:val="FooterTableFigure"/>
        <w:keepNext/>
        <w:keepLines/>
      </w:pPr>
      <w:r w:rsidRPr="00FE714A">
        <w:t>Values in bold indicate significance (CI did not include 1 or 0 for RR and RD respectively).</w:t>
      </w:r>
    </w:p>
    <w:p w14:paraId="7EE6D280" w14:textId="5A65EB24" w:rsidR="00550B5E" w:rsidRPr="00550B5E" w:rsidRDefault="004779D9" w:rsidP="00D200DF">
      <w:pPr>
        <w:pStyle w:val="FooterTableFigure"/>
        <w:rPr>
          <w:rStyle w:val="CommentReference"/>
          <w:b w:val="0"/>
          <w:sz w:val="18"/>
          <w:szCs w:val="22"/>
        </w:rPr>
      </w:pPr>
      <w:r w:rsidRPr="00FE714A">
        <w:t>Blue shading indicates results previously considered by PBAC.</w:t>
      </w:r>
    </w:p>
    <w:p w14:paraId="183AFF3E" w14:textId="6D22115A" w:rsidR="004779D9" w:rsidRPr="00FE714A" w:rsidRDefault="004779D9" w:rsidP="00DF4BD7">
      <w:pPr>
        <w:pStyle w:val="Caption"/>
        <w:rPr>
          <w:rStyle w:val="CommentReference"/>
          <w:b/>
          <w:szCs w:val="24"/>
        </w:rPr>
      </w:pPr>
      <w:bookmarkStart w:id="25" w:name="_Ref155542178"/>
      <w:r w:rsidRPr="00FE714A">
        <w:t xml:space="preserve">Table </w:t>
      </w:r>
      <w:r w:rsidR="008B26E3">
        <w:fldChar w:fldCharType="begin" w:fldLock="1"/>
      </w:r>
      <w:r w:rsidR="008B26E3">
        <w:instrText xml:space="preserve"> SEQ Table \* ARABIC </w:instrText>
      </w:r>
      <w:r w:rsidR="008B26E3">
        <w:fldChar w:fldCharType="separate"/>
      </w:r>
      <w:r w:rsidR="00B3585E">
        <w:rPr>
          <w:noProof/>
        </w:rPr>
        <w:t>5</w:t>
      </w:r>
      <w:r w:rsidR="008B26E3">
        <w:rPr>
          <w:noProof/>
        </w:rPr>
        <w:fldChar w:fldCharType="end"/>
      </w:r>
      <w:bookmarkEnd w:id="25"/>
      <w:r w:rsidRPr="00FE714A">
        <w:t xml:space="preserve">: </w:t>
      </w:r>
      <w:r w:rsidRPr="00FE714A">
        <w:rPr>
          <w:rStyle w:val="CommentReference"/>
          <w:b/>
          <w:szCs w:val="24"/>
        </w:rPr>
        <w:t>ITC in the severe AD subgroup for EASI 50 (Week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Caption w:val="Table 5: ITC in the severe AD subgroup for EASI 50 (Week 16)"/>
      </w:tblPr>
      <w:tblGrid>
        <w:gridCol w:w="1837"/>
        <w:gridCol w:w="1278"/>
        <w:gridCol w:w="1279"/>
        <w:gridCol w:w="1279"/>
        <w:gridCol w:w="1674"/>
        <w:gridCol w:w="1670"/>
      </w:tblGrid>
      <w:tr w:rsidR="004779D9" w:rsidRPr="00FE714A" w14:paraId="6BA0E8C9" w14:textId="77777777" w:rsidTr="005E06AD">
        <w:trPr>
          <w:cantSplit/>
          <w:trHeight w:val="227"/>
          <w:tblHeader/>
        </w:trPr>
        <w:tc>
          <w:tcPr>
            <w:tcW w:w="1019" w:type="pct"/>
            <w:vMerge w:val="restart"/>
            <w:tcBorders>
              <w:right w:val="single" w:sz="4" w:space="0" w:color="auto"/>
            </w:tcBorders>
            <w:shd w:val="clear" w:color="auto" w:fill="auto"/>
            <w:tcMar>
              <w:left w:w="57" w:type="dxa"/>
              <w:right w:w="57" w:type="dxa"/>
            </w:tcMar>
            <w:vAlign w:val="center"/>
          </w:tcPr>
          <w:p w14:paraId="2A5EB42F" w14:textId="77777777" w:rsidR="004779D9" w:rsidRPr="00FE714A" w:rsidRDefault="004779D9" w:rsidP="007A6EA2">
            <w:pPr>
              <w:keepNext/>
              <w:keepLines/>
              <w:jc w:val="center"/>
              <w:rPr>
                <w:rFonts w:ascii="Arial Narrow" w:hAnsi="Arial Narrow"/>
                <w:sz w:val="20"/>
                <w:szCs w:val="20"/>
              </w:rPr>
            </w:pP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0E332D91"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LEB 250 mg Q2W ± TCS</w:t>
            </w: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5C67D9E2"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PBO ± TCS</w:t>
            </w:r>
          </w:p>
        </w:tc>
        <w:tc>
          <w:tcPr>
            <w:tcW w:w="709" w:type="pct"/>
            <w:vMerge w:val="restart"/>
            <w:tcBorders>
              <w:left w:val="single" w:sz="4" w:space="0" w:color="auto"/>
              <w:right w:val="single" w:sz="4" w:space="0" w:color="auto"/>
            </w:tcBorders>
            <w:vAlign w:val="center"/>
          </w:tcPr>
          <w:p w14:paraId="171E9483" w14:textId="2815E924"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DUPI 30</w:t>
            </w:r>
            <w:r w:rsidR="00FE714A">
              <w:rPr>
                <w:rFonts w:ascii="Arial Narrow" w:hAnsi="Arial Narrow"/>
                <w:b/>
                <w:bCs/>
                <w:sz w:val="20"/>
                <w:szCs w:val="20"/>
              </w:rPr>
              <w:t>0 mg</w:t>
            </w:r>
            <w:r w:rsidRPr="00FE714A">
              <w:rPr>
                <w:rFonts w:ascii="Arial Narrow" w:hAnsi="Arial Narrow"/>
                <w:b/>
                <w:bCs/>
                <w:sz w:val="20"/>
                <w:szCs w:val="20"/>
              </w:rPr>
              <w:t xml:space="preserve"> Q2W ± TCS</w:t>
            </w:r>
          </w:p>
        </w:tc>
        <w:tc>
          <w:tcPr>
            <w:tcW w:w="928" w:type="pct"/>
            <w:tcBorders>
              <w:left w:val="single" w:sz="4" w:space="0" w:color="auto"/>
              <w:right w:val="single" w:sz="4" w:space="0" w:color="auto"/>
            </w:tcBorders>
            <w:shd w:val="clear" w:color="auto" w:fill="auto"/>
            <w:tcMar>
              <w:left w:w="57" w:type="dxa"/>
              <w:right w:w="57" w:type="dxa"/>
            </w:tcMar>
            <w:vAlign w:val="center"/>
          </w:tcPr>
          <w:p w14:paraId="0B341E2A"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RR (95% CI)</w:t>
            </w:r>
          </w:p>
        </w:tc>
        <w:tc>
          <w:tcPr>
            <w:tcW w:w="926" w:type="pct"/>
            <w:tcBorders>
              <w:left w:val="single" w:sz="4" w:space="0" w:color="auto"/>
            </w:tcBorders>
            <w:shd w:val="clear" w:color="auto" w:fill="auto"/>
            <w:tcMar>
              <w:left w:w="57" w:type="dxa"/>
              <w:right w:w="57" w:type="dxa"/>
            </w:tcMar>
            <w:vAlign w:val="center"/>
          </w:tcPr>
          <w:p w14:paraId="6975EA0D"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2D8AEA5F" w14:textId="77777777" w:rsidTr="005E06AD">
        <w:trPr>
          <w:cantSplit/>
          <w:trHeight w:val="227"/>
        </w:trPr>
        <w:tc>
          <w:tcPr>
            <w:tcW w:w="1019" w:type="pct"/>
            <w:vMerge/>
            <w:tcBorders>
              <w:right w:val="single" w:sz="4" w:space="0" w:color="auto"/>
            </w:tcBorders>
            <w:shd w:val="clear" w:color="auto" w:fill="auto"/>
            <w:tcMar>
              <w:left w:w="57" w:type="dxa"/>
              <w:right w:w="57" w:type="dxa"/>
            </w:tcMar>
            <w:vAlign w:val="center"/>
          </w:tcPr>
          <w:p w14:paraId="170F4EB9" w14:textId="77777777" w:rsidR="004779D9" w:rsidRPr="00FE714A" w:rsidRDefault="004779D9" w:rsidP="007A6EA2">
            <w:pPr>
              <w:keepNext/>
              <w:keepLines/>
              <w:jc w:val="left"/>
              <w:rPr>
                <w:rFonts w:ascii="Arial Narrow" w:hAnsi="Arial Narrow"/>
                <w:b/>
                <w:bCs/>
                <w:sz w:val="20"/>
                <w:szCs w:val="20"/>
              </w:rPr>
            </w:pPr>
          </w:p>
        </w:tc>
        <w:tc>
          <w:tcPr>
            <w:tcW w:w="709" w:type="pct"/>
            <w:vMerge/>
            <w:tcBorders>
              <w:left w:val="single" w:sz="4" w:space="0" w:color="auto"/>
            </w:tcBorders>
            <w:shd w:val="clear" w:color="auto" w:fill="auto"/>
            <w:tcMar>
              <w:left w:w="57" w:type="dxa"/>
              <w:right w:w="57" w:type="dxa"/>
            </w:tcMar>
            <w:vAlign w:val="center"/>
          </w:tcPr>
          <w:p w14:paraId="414BD1AB" w14:textId="77777777" w:rsidR="004779D9" w:rsidRPr="00FE714A" w:rsidRDefault="004779D9" w:rsidP="007A6EA2">
            <w:pPr>
              <w:keepNext/>
              <w:keepLines/>
              <w:jc w:val="center"/>
              <w:rPr>
                <w:rFonts w:ascii="Arial Narrow" w:hAnsi="Arial Narrow"/>
                <w:b/>
                <w:bCs/>
                <w:sz w:val="20"/>
                <w:szCs w:val="20"/>
              </w:rPr>
            </w:pPr>
          </w:p>
        </w:tc>
        <w:tc>
          <w:tcPr>
            <w:tcW w:w="709" w:type="pct"/>
            <w:vMerge/>
            <w:shd w:val="clear" w:color="auto" w:fill="auto"/>
            <w:tcMar>
              <w:left w:w="57" w:type="dxa"/>
              <w:right w:w="57" w:type="dxa"/>
            </w:tcMar>
            <w:vAlign w:val="center"/>
          </w:tcPr>
          <w:p w14:paraId="14B76B62" w14:textId="77777777" w:rsidR="004779D9" w:rsidRPr="00FE714A" w:rsidRDefault="004779D9" w:rsidP="007A6EA2">
            <w:pPr>
              <w:keepNext/>
              <w:keepLines/>
              <w:jc w:val="center"/>
              <w:rPr>
                <w:rFonts w:ascii="Arial Narrow" w:hAnsi="Arial Narrow"/>
                <w:b/>
                <w:bCs/>
                <w:sz w:val="20"/>
                <w:szCs w:val="20"/>
              </w:rPr>
            </w:pPr>
          </w:p>
        </w:tc>
        <w:tc>
          <w:tcPr>
            <w:tcW w:w="709" w:type="pct"/>
            <w:vMerge/>
            <w:vAlign w:val="center"/>
          </w:tcPr>
          <w:p w14:paraId="5B9F5568" w14:textId="77777777" w:rsidR="004779D9" w:rsidRPr="00FE714A" w:rsidRDefault="004779D9" w:rsidP="007A6EA2">
            <w:pPr>
              <w:keepNext/>
              <w:keepLines/>
              <w:jc w:val="center"/>
              <w:rPr>
                <w:rFonts w:ascii="Arial Narrow" w:hAnsi="Arial Narrow"/>
                <w:b/>
                <w:bCs/>
                <w:sz w:val="20"/>
                <w:szCs w:val="20"/>
              </w:rPr>
            </w:pPr>
          </w:p>
        </w:tc>
        <w:tc>
          <w:tcPr>
            <w:tcW w:w="1854" w:type="pct"/>
            <w:gridSpan w:val="2"/>
            <w:shd w:val="clear" w:color="auto" w:fill="auto"/>
            <w:vAlign w:val="center"/>
          </w:tcPr>
          <w:p w14:paraId="0A9C6993"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Active treatment ± TCS vs PBO ± TCS</w:t>
            </w:r>
          </w:p>
        </w:tc>
      </w:tr>
      <w:tr w:rsidR="004779D9" w:rsidRPr="00FE714A" w14:paraId="777D8B18" w14:textId="77777777" w:rsidTr="005E06AD">
        <w:trPr>
          <w:cantSplit/>
          <w:trHeight w:val="227"/>
        </w:trPr>
        <w:tc>
          <w:tcPr>
            <w:tcW w:w="1019" w:type="pct"/>
            <w:shd w:val="clear" w:color="auto" w:fill="auto"/>
            <w:tcMar>
              <w:left w:w="57" w:type="dxa"/>
              <w:right w:w="57" w:type="dxa"/>
            </w:tcMar>
            <w:vAlign w:val="center"/>
          </w:tcPr>
          <w:p w14:paraId="454DFA4E" w14:textId="77777777" w:rsidR="004779D9" w:rsidRPr="00FE714A" w:rsidRDefault="004779D9" w:rsidP="007A6EA2">
            <w:pPr>
              <w:keepNext/>
              <w:keepLines/>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1</w:t>
            </w:r>
          </w:p>
        </w:tc>
        <w:tc>
          <w:tcPr>
            <w:tcW w:w="709" w:type="pct"/>
            <w:tcMar>
              <w:left w:w="57" w:type="dxa"/>
              <w:right w:w="57" w:type="dxa"/>
            </w:tcMar>
          </w:tcPr>
          <w:p w14:paraId="5B885A3A"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68/105 (64.8)</w:t>
            </w:r>
          </w:p>
        </w:tc>
        <w:tc>
          <w:tcPr>
            <w:tcW w:w="709" w:type="pct"/>
            <w:tcMar>
              <w:left w:w="57" w:type="dxa"/>
              <w:right w:w="57" w:type="dxa"/>
            </w:tcMar>
          </w:tcPr>
          <w:p w14:paraId="18FA3F62"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12/53 (22.6)</w:t>
            </w:r>
          </w:p>
        </w:tc>
        <w:tc>
          <w:tcPr>
            <w:tcW w:w="709" w:type="pct"/>
            <w:shd w:val="clear" w:color="auto" w:fill="auto"/>
            <w:vAlign w:val="center"/>
          </w:tcPr>
          <w:p w14:paraId="535E640C"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tcMar>
              <w:left w:w="57" w:type="dxa"/>
              <w:right w:w="57" w:type="dxa"/>
            </w:tcMar>
            <w:vAlign w:val="center"/>
          </w:tcPr>
          <w:p w14:paraId="67310B34"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2.9 (1.7, 4.8);</w:t>
            </w:r>
          </w:p>
        </w:tc>
        <w:tc>
          <w:tcPr>
            <w:tcW w:w="926" w:type="pct"/>
            <w:tcMar>
              <w:left w:w="57" w:type="dxa"/>
              <w:right w:w="57" w:type="dxa"/>
            </w:tcMar>
            <w:vAlign w:val="center"/>
          </w:tcPr>
          <w:p w14:paraId="5F87CAD7"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0.42 (0.28, 0.57)</w:t>
            </w:r>
          </w:p>
        </w:tc>
      </w:tr>
      <w:tr w:rsidR="004779D9" w:rsidRPr="00FE714A" w14:paraId="7B545A66" w14:textId="77777777" w:rsidTr="005E06AD">
        <w:trPr>
          <w:cantSplit/>
          <w:trHeight w:val="227"/>
        </w:trPr>
        <w:tc>
          <w:tcPr>
            <w:tcW w:w="1019" w:type="pct"/>
            <w:shd w:val="clear" w:color="auto" w:fill="auto"/>
            <w:tcMar>
              <w:left w:w="57" w:type="dxa"/>
              <w:right w:w="57" w:type="dxa"/>
            </w:tcMar>
            <w:vAlign w:val="center"/>
          </w:tcPr>
          <w:p w14:paraId="264E14A0" w14:textId="77777777" w:rsidR="004779D9" w:rsidRPr="00FE714A" w:rsidRDefault="004779D9" w:rsidP="007A6EA2">
            <w:pPr>
              <w:keepNext/>
              <w:keepLines/>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2</w:t>
            </w:r>
          </w:p>
        </w:tc>
        <w:tc>
          <w:tcPr>
            <w:tcW w:w="709" w:type="pct"/>
            <w:tcMar>
              <w:left w:w="57" w:type="dxa"/>
              <w:right w:w="57" w:type="dxa"/>
            </w:tcMar>
          </w:tcPr>
          <w:p w14:paraId="1C7A102D"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59/99 (59.6)</w:t>
            </w:r>
          </w:p>
        </w:tc>
        <w:tc>
          <w:tcPr>
            <w:tcW w:w="709" w:type="pct"/>
            <w:tcMar>
              <w:left w:w="57" w:type="dxa"/>
              <w:right w:w="57" w:type="dxa"/>
            </w:tcMar>
          </w:tcPr>
          <w:p w14:paraId="11CB3DDB"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8/50 (16.0)</w:t>
            </w:r>
          </w:p>
        </w:tc>
        <w:tc>
          <w:tcPr>
            <w:tcW w:w="709" w:type="pct"/>
            <w:shd w:val="clear" w:color="auto" w:fill="auto"/>
            <w:vAlign w:val="center"/>
          </w:tcPr>
          <w:p w14:paraId="3D10B42E"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tcMar>
              <w:left w:w="57" w:type="dxa"/>
              <w:right w:w="57" w:type="dxa"/>
            </w:tcMar>
            <w:vAlign w:val="center"/>
          </w:tcPr>
          <w:p w14:paraId="44DD1656"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3.7 (1.9, 7.2)</w:t>
            </w:r>
          </w:p>
        </w:tc>
        <w:tc>
          <w:tcPr>
            <w:tcW w:w="926" w:type="pct"/>
            <w:tcMar>
              <w:left w:w="57" w:type="dxa"/>
              <w:right w:w="57" w:type="dxa"/>
            </w:tcMar>
            <w:vAlign w:val="center"/>
          </w:tcPr>
          <w:p w14:paraId="70AEC1F9"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0.44 (0.30, 0.58)</w:t>
            </w:r>
          </w:p>
        </w:tc>
      </w:tr>
      <w:tr w:rsidR="004779D9" w:rsidRPr="00FE714A" w14:paraId="55AB347C" w14:textId="77777777" w:rsidTr="005E06AD">
        <w:trPr>
          <w:cantSplit/>
          <w:trHeight w:val="227"/>
        </w:trPr>
        <w:tc>
          <w:tcPr>
            <w:tcW w:w="1019" w:type="pct"/>
            <w:shd w:val="clear" w:color="auto" w:fill="auto"/>
            <w:tcMar>
              <w:left w:w="57" w:type="dxa"/>
              <w:right w:w="57" w:type="dxa"/>
            </w:tcMar>
            <w:vAlign w:val="center"/>
          </w:tcPr>
          <w:p w14:paraId="6E1CFF73" w14:textId="77777777" w:rsidR="004779D9" w:rsidRPr="00FE714A" w:rsidRDefault="004779D9" w:rsidP="007A6EA2">
            <w:pPr>
              <w:keepNext/>
              <w:keepLines/>
              <w:jc w:val="left"/>
              <w:rPr>
                <w:rFonts w:ascii="Arial Narrow" w:hAnsi="Arial Narrow"/>
                <w:sz w:val="20"/>
                <w:szCs w:val="20"/>
              </w:rPr>
            </w:pPr>
            <w:proofErr w:type="spellStart"/>
            <w:r w:rsidRPr="00FE714A">
              <w:rPr>
                <w:rFonts w:ascii="Arial Narrow" w:hAnsi="Arial Narrow"/>
                <w:sz w:val="20"/>
                <w:szCs w:val="20"/>
              </w:rPr>
              <w:t>ADhere</w:t>
            </w:r>
            <w:proofErr w:type="spellEnd"/>
            <w:r w:rsidRPr="00FE714A">
              <w:rPr>
                <w:rFonts w:ascii="Arial Narrow" w:hAnsi="Arial Narrow"/>
                <w:sz w:val="20"/>
                <w:szCs w:val="20"/>
              </w:rPr>
              <w:t xml:space="preserve"> </w:t>
            </w:r>
          </w:p>
        </w:tc>
        <w:tc>
          <w:tcPr>
            <w:tcW w:w="709" w:type="pct"/>
            <w:tcMar>
              <w:left w:w="57" w:type="dxa"/>
              <w:right w:w="57" w:type="dxa"/>
            </w:tcMar>
          </w:tcPr>
          <w:p w14:paraId="6980DD7B"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20/29 (69.0)</w:t>
            </w:r>
          </w:p>
        </w:tc>
        <w:tc>
          <w:tcPr>
            <w:tcW w:w="709" w:type="pct"/>
            <w:tcMar>
              <w:left w:w="57" w:type="dxa"/>
              <w:right w:w="57" w:type="dxa"/>
            </w:tcMar>
          </w:tcPr>
          <w:p w14:paraId="0FBD9785"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4/9 (44.4)</w:t>
            </w:r>
          </w:p>
        </w:tc>
        <w:tc>
          <w:tcPr>
            <w:tcW w:w="709" w:type="pct"/>
            <w:shd w:val="clear" w:color="auto" w:fill="auto"/>
            <w:vAlign w:val="center"/>
          </w:tcPr>
          <w:p w14:paraId="776A8901"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tcMar>
              <w:left w:w="57" w:type="dxa"/>
              <w:right w:w="57" w:type="dxa"/>
            </w:tcMar>
            <w:vAlign w:val="center"/>
          </w:tcPr>
          <w:p w14:paraId="4D16D456"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1.6 (0.7, 3.4)</w:t>
            </w:r>
          </w:p>
        </w:tc>
        <w:tc>
          <w:tcPr>
            <w:tcW w:w="926" w:type="pct"/>
            <w:tcMar>
              <w:left w:w="57" w:type="dxa"/>
              <w:right w:w="57" w:type="dxa"/>
            </w:tcMar>
            <w:vAlign w:val="center"/>
          </w:tcPr>
          <w:p w14:paraId="7FDCD383"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0.25 (</w:t>
            </w:r>
            <w:r w:rsidRPr="00FE714A">
              <w:rPr>
                <w:rFonts w:ascii="Arial Narrow" w:hAnsi="Arial Narrow"/>
                <w:sz w:val="20"/>
                <w:szCs w:val="20"/>
              </w:rPr>
              <w:noBreakHyphen/>
              <w:t>0.12, 0.61)</w:t>
            </w:r>
          </w:p>
        </w:tc>
      </w:tr>
      <w:tr w:rsidR="004779D9" w:rsidRPr="00FE714A" w14:paraId="2F5E9CC5" w14:textId="77777777" w:rsidTr="005E06AD">
        <w:trPr>
          <w:cantSplit/>
          <w:trHeight w:val="227"/>
        </w:trPr>
        <w:tc>
          <w:tcPr>
            <w:tcW w:w="1019" w:type="pct"/>
            <w:shd w:val="clear" w:color="auto" w:fill="auto"/>
            <w:tcMar>
              <w:left w:w="57" w:type="dxa"/>
              <w:right w:w="57" w:type="dxa"/>
            </w:tcMar>
            <w:vAlign w:val="center"/>
          </w:tcPr>
          <w:p w14:paraId="24096878"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LEB trials pooled</w:t>
            </w:r>
          </w:p>
        </w:tc>
        <w:tc>
          <w:tcPr>
            <w:tcW w:w="709" w:type="pct"/>
            <w:tcMar>
              <w:left w:w="57" w:type="dxa"/>
              <w:right w:w="57" w:type="dxa"/>
            </w:tcMar>
          </w:tcPr>
          <w:p w14:paraId="17F97AE5"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147/233 (63.1)</w:t>
            </w:r>
          </w:p>
        </w:tc>
        <w:tc>
          <w:tcPr>
            <w:tcW w:w="709" w:type="pct"/>
            <w:tcMar>
              <w:left w:w="57" w:type="dxa"/>
              <w:right w:w="57" w:type="dxa"/>
            </w:tcMar>
          </w:tcPr>
          <w:p w14:paraId="58EC589D"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24/112 (21.4)</w:t>
            </w:r>
          </w:p>
        </w:tc>
        <w:tc>
          <w:tcPr>
            <w:tcW w:w="709" w:type="pct"/>
            <w:shd w:val="clear" w:color="auto" w:fill="auto"/>
            <w:vAlign w:val="center"/>
          </w:tcPr>
          <w:p w14:paraId="7E106C6D"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tcMar>
              <w:left w:w="57" w:type="dxa"/>
              <w:right w:w="57" w:type="dxa"/>
            </w:tcMar>
            <w:vAlign w:val="center"/>
          </w:tcPr>
          <w:p w14:paraId="571C994B" w14:textId="7F857449"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2.</w:t>
            </w:r>
            <w:r w:rsidR="001C3782" w:rsidRPr="00FE714A">
              <w:rPr>
                <w:rFonts w:ascii="Arial Narrow" w:hAnsi="Arial Narrow"/>
                <w:b/>
                <w:bCs/>
                <w:sz w:val="20"/>
                <w:szCs w:val="20"/>
              </w:rPr>
              <w:t>7</w:t>
            </w:r>
            <w:r w:rsidRPr="00FE714A">
              <w:rPr>
                <w:rFonts w:ascii="Arial Narrow" w:hAnsi="Arial Narrow"/>
                <w:b/>
                <w:bCs/>
                <w:sz w:val="20"/>
                <w:szCs w:val="20"/>
              </w:rPr>
              <w:t xml:space="preserve"> (1.</w:t>
            </w:r>
            <w:r w:rsidR="001C3782" w:rsidRPr="00FE714A">
              <w:rPr>
                <w:rFonts w:ascii="Arial Narrow" w:hAnsi="Arial Narrow"/>
                <w:b/>
                <w:bCs/>
                <w:sz w:val="20"/>
                <w:szCs w:val="20"/>
              </w:rPr>
              <w:t>7</w:t>
            </w:r>
            <w:r w:rsidRPr="00FE714A">
              <w:rPr>
                <w:rFonts w:ascii="Arial Narrow" w:hAnsi="Arial Narrow"/>
                <w:b/>
                <w:bCs/>
                <w:sz w:val="20"/>
                <w:szCs w:val="20"/>
              </w:rPr>
              <w:t>, 4.2)</w:t>
            </w:r>
          </w:p>
        </w:tc>
        <w:tc>
          <w:tcPr>
            <w:tcW w:w="926" w:type="pct"/>
            <w:tcMar>
              <w:left w:w="57" w:type="dxa"/>
              <w:right w:w="57" w:type="dxa"/>
            </w:tcMar>
            <w:vAlign w:val="center"/>
          </w:tcPr>
          <w:p w14:paraId="7F31AA49"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0.42 (0.32, 0.51)</w:t>
            </w:r>
          </w:p>
        </w:tc>
      </w:tr>
      <w:tr w:rsidR="004779D9" w:rsidRPr="00FE714A" w14:paraId="0094836D" w14:textId="77777777" w:rsidTr="005E06AD">
        <w:trPr>
          <w:cantSplit/>
          <w:trHeight w:val="227"/>
        </w:trPr>
        <w:tc>
          <w:tcPr>
            <w:tcW w:w="1019" w:type="pct"/>
            <w:shd w:val="clear" w:color="auto" w:fill="B8CCE4" w:themeFill="accent1" w:themeFillTint="66"/>
            <w:tcMar>
              <w:left w:w="57" w:type="dxa"/>
              <w:right w:w="57" w:type="dxa"/>
            </w:tcMar>
          </w:tcPr>
          <w:p w14:paraId="5BB0FAEB"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DUPI </w:t>
            </w:r>
            <w:proofErr w:type="spellStart"/>
            <w:r w:rsidRPr="00FE714A">
              <w:rPr>
                <w:rFonts w:ascii="Arial Narrow" w:hAnsi="Arial Narrow"/>
                <w:sz w:val="20"/>
                <w:szCs w:val="20"/>
              </w:rPr>
              <w:t>CsA</w:t>
            </w:r>
            <w:proofErr w:type="spellEnd"/>
            <w:r w:rsidRPr="00FE714A">
              <w:rPr>
                <w:rFonts w:ascii="Arial Narrow" w:hAnsi="Arial Narrow"/>
                <w:sz w:val="20"/>
                <w:szCs w:val="20"/>
              </w:rPr>
              <w:t xml:space="preserve"> experienced</w:t>
            </w:r>
          </w:p>
        </w:tc>
        <w:tc>
          <w:tcPr>
            <w:tcW w:w="709" w:type="pct"/>
            <w:shd w:val="clear" w:color="auto" w:fill="auto"/>
            <w:tcMar>
              <w:left w:w="57" w:type="dxa"/>
              <w:right w:w="57" w:type="dxa"/>
            </w:tcMar>
            <w:vAlign w:val="center"/>
          </w:tcPr>
          <w:p w14:paraId="2F9702E8"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vAlign w:val="center"/>
          </w:tcPr>
          <w:p w14:paraId="4F574995"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36/178 (20.2)</w:t>
            </w:r>
          </w:p>
        </w:tc>
        <w:tc>
          <w:tcPr>
            <w:tcW w:w="709" w:type="pct"/>
            <w:shd w:val="clear" w:color="auto" w:fill="B8CCE4" w:themeFill="accent1" w:themeFillTint="66"/>
            <w:vAlign w:val="center"/>
          </w:tcPr>
          <w:p w14:paraId="62AEC805"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102/152 (67.1)</w:t>
            </w:r>
          </w:p>
        </w:tc>
        <w:tc>
          <w:tcPr>
            <w:tcW w:w="928" w:type="pct"/>
            <w:tcMar>
              <w:left w:w="57" w:type="dxa"/>
              <w:right w:w="57" w:type="dxa"/>
            </w:tcMar>
            <w:vAlign w:val="center"/>
          </w:tcPr>
          <w:p w14:paraId="663C616C"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3.3 (2.4, 4.5)</w:t>
            </w:r>
          </w:p>
        </w:tc>
        <w:tc>
          <w:tcPr>
            <w:tcW w:w="926" w:type="pct"/>
            <w:tcMar>
              <w:left w:w="57" w:type="dxa"/>
              <w:right w:w="57" w:type="dxa"/>
            </w:tcMar>
            <w:vAlign w:val="center"/>
          </w:tcPr>
          <w:p w14:paraId="357264DF"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0.47 (0.37, 0.56)</w:t>
            </w:r>
          </w:p>
        </w:tc>
      </w:tr>
      <w:tr w:rsidR="004779D9" w:rsidRPr="00FE714A" w14:paraId="0F793865" w14:textId="77777777" w:rsidTr="005E06AD">
        <w:trPr>
          <w:cantSplit/>
          <w:trHeight w:val="227"/>
        </w:trPr>
        <w:tc>
          <w:tcPr>
            <w:tcW w:w="1019" w:type="pct"/>
            <w:shd w:val="clear" w:color="auto" w:fill="B8CCE4" w:themeFill="accent1" w:themeFillTint="66"/>
            <w:tcMar>
              <w:left w:w="57" w:type="dxa"/>
              <w:right w:w="57" w:type="dxa"/>
            </w:tcMar>
          </w:tcPr>
          <w:p w14:paraId="5C8299DA"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DUPI </w:t>
            </w:r>
            <w:proofErr w:type="spellStart"/>
            <w:r w:rsidRPr="00FE714A">
              <w:rPr>
                <w:rFonts w:ascii="Arial Narrow" w:hAnsi="Arial Narrow"/>
                <w:sz w:val="20"/>
                <w:szCs w:val="20"/>
              </w:rPr>
              <w:t>CsA</w:t>
            </w:r>
            <w:proofErr w:type="spellEnd"/>
            <w:r w:rsidRPr="00FE714A">
              <w:rPr>
                <w:rFonts w:ascii="Arial Narrow" w:hAnsi="Arial Narrow"/>
                <w:sz w:val="20"/>
                <w:szCs w:val="20"/>
              </w:rPr>
              <w:t xml:space="preserve"> naive</w:t>
            </w:r>
          </w:p>
        </w:tc>
        <w:tc>
          <w:tcPr>
            <w:tcW w:w="709" w:type="pct"/>
            <w:shd w:val="clear" w:color="auto" w:fill="auto"/>
            <w:tcMar>
              <w:left w:w="57" w:type="dxa"/>
              <w:right w:w="57" w:type="dxa"/>
            </w:tcMar>
            <w:vAlign w:val="center"/>
          </w:tcPr>
          <w:p w14:paraId="19553550"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vAlign w:val="center"/>
          </w:tcPr>
          <w:p w14:paraId="74EAF954"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59/246 (24.0)</w:t>
            </w:r>
          </w:p>
        </w:tc>
        <w:tc>
          <w:tcPr>
            <w:tcW w:w="709" w:type="pct"/>
            <w:shd w:val="clear" w:color="auto" w:fill="B8CCE4" w:themeFill="accent1" w:themeFillTint="66"/>
            <w:vAlign w:val="center"/>
          </w:tcPr>
          <w:p w14:paraId="756BFF5A"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111/166 (66.9)</w:t>
            </w:r>
          </w:p>
        </w:tc>
        <w:tc>
          <w:tcPr>
            <w:tcW w:w="928" w:type="pct"/>
            <w:tcMar>
              <w:left w:w="57" w:type="dxa"/>
              <w:right w:w="57" w:type="dxa"/>
            </w:tcMar>
            <w:vAlign w:val="center"/>
          </w:tcPr>
          <w:p w14:paraId="4B301901"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2.8 (2.2, 3.6)</w:t>
            </w:r>
          </w:p>
        </w:tc>
        <w:tc>
          <w:tcPr>
            <w:tcW w:w="926" w:type="pct"/>
            <w:tcMar>
              <w:left w:w="57" w:type="dxa"/>
              <w:right w:w="57" w:type="dxa"/>
            </w:tcMar>
            <w:vAlign w:val="center"/>
          </w:tcPr>
          <w:p w14:paraId="0F3C1834"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0.43 (0.34, 0.52)</w:t>
            </w:r>
          </w:p>
        </w:tc>
      </w:tr>
      <w:tr w:rsidR="004779D9" w:rsidRPr="00FE714A" w14:paraId="16652B51" w14:textId="77777777" w:rsidTr="005E06AD">
        <w:trPr>
          <w:cantSplit/>
          <w:trHeight w:val="227"/>
        </w:trPr>
        <w:tc>
          <w:tcPr>
            <w:tcW w:w="1019" w:type="pct"/>
            <w:shd w:val="clear" w:color="auto" w:fill="B8CCE4" w:themeFill="accent1" w:themeFillTint="66"/>
            <w:tcMar>
              <w:left w:w="57" w:type="dxa"/>
              <w:right w:w="57" w:type="dxa"/>
            </w:tcMar>
          </w:tcPr>
          <w:p w14:paraId="38752254"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DUPI trials pooled</w:t>
            </w:r>
          </w:p>
        </w:tc>
        <w:tc>
          <w:tcPr>
            <w:tcW w:w="709" w:type="pct"/>
            <w:shd w:val="clear" w:color="auto" w:fill="auto"/>
            <w:tcMar>
              <w:left w:w="57" w:type="dxa"/>
              <w:right w:w="57" w:type="dxa"/>
            </w:tcMar>
            <w:vAlign w:val="center"/>
          </w:tcPr>
          <w:p w14:paraId="00B2CDBB"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vAlign w:val="center"/>
          </w:tcPr>
          <w:p w14:paraId="668B30E9"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95/424 (22.4)</w:t>
            </w:r>
          </w:p>
        </w:tc>
        <w:tc>
          <w:tcPr>
            <w:tcW w:w="709" w:type="pct"/>
            <w:shd w:val="clear" w:color="auto" w:fill="B8CCE4" w:themeFill="accent1" w:themeFillTint="66"/>
            <w:vAlign w:val="center"/>
          </w:tcPr>
          <w:p w14:paraId="04E03A68"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213/318 (67.0)</w:t>
            </w:r>
          </w:p>
        </w:tc>
        <w:tc>
          <w:tcPr>
            <w:tcW w:w="928" w:type="pct"/>
            <w:tcMar>
              <w:left w:w="57" w:type="dxa"/>
              <w:right w:w="57" w:type="dxa"/>
            </w:tcMar>
            <w:vAlign w:val="center"/>
          </w:tcPr>
          <w:p w14:paraId="292D6BF8" w14:textId="6A66B3C8" w:rsidR="004779D9" w:rsidRPr="00FE714A" w:rsidRDefault="001C3782" w:rsidP="007A6EA2">
            <w:pPr>
              <w:keepNext/>
              <w:keepLines/>
              <w:jc w:val="center"/>
              <w:rPr>
                <w:rFonts w:ascii="Arial Narrow" w:hAnsi="Arial Narrow"/>
                <w:sz w:val="20"/>
                <w:szCs w:val="20"/>
              </w:rPr>
            </w:pPr>
            <w:r w:rsidRPr="00FE714A">
              <w:rPr>
                <w:rFonts w:ascii="Arial Narrow" w:hAnsi="Arial Narrow"/>
                <w:b/>
                <w:bCs/>
                <w:sz w:val="20"/>
                <w:szCs w:val="20"/>
              </w:rPr>
              <w:t>3.0</w:t>
            </w:r>
            <w:r w:rsidR="004779D9" w:rsidRPr="00FE714A">
              <w:rPr>
                <w:rFonts w:ascii="Arial Narrow" w:hAnsi="Arial Narrow"/>
                <w:b/>
                <w:bCs/>
                <w:sz w:val="20"/>
                <w:szCs w:val="20"/>
              </w:rPr>
              <w:t xml:space="preserve"> (2.</w:t>
            </w:r>
            <w:r w:rsidRPr="00FE714A">
              <w:rPr>
                <w:rFonts w:ascii="Arial Narrow" w:hAnsi="Arial Narrow"/>
                <w:b/>
                <w:bCs/>
                <w:sz w:val="20"/>
                <w:szCs w:val="20"/>
              </w:rPr>
              <w:t>5</w:t>
            </w:r>
            <w:r w:rsidR="004779D9" w:rsidRPr="00FE714A">
              <w:rPr>
                <w:rFonts w:ascii="Arial Narrow" w:hAnsi="Arial Narrow"/>
                <w:b/>
                <w:bCs/>
                <w:sz w:val="20"/>
                <w:szCs w:val="20"/>
              </w:rPr>
              <w:t>, 3.6)</w:t>
            </w:r>
          </w:p>
        </w:tc>
        <w:tc>
          <w:tcPr>
            <w:tcW w:w="926" w:type="pct"/>
            <w:tcMar>
              <w:left w:w="57" w:type="dxa"/>
              <w:right w:w="57" w:type="dxa"/>
            </w:tcMar>
            <w:vAlign w:val="center"/>
          </w:tcPr>
          <w:p w14:paraId="4E93C7CF"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0.45 (0.38, 0.51)</w:t>
            </w:r>
          </w:p>
        </w:tc>
      </w:tr>
      <w:tr w:rsidR="004779D9" w:rsidRPr="00FE714A" w14:paraId="43C3F436" w14:textId="77777777" w:rsidTr="005E06AD">
        <w:trPr>
          <w:cantSplit/>
          <w:trHeight w:val="227"/>
        </w:trPr>
        <w:tc>
          <w:tcPr>
            <w:tcW w:w="3146" w:type="pct"/>
            <w:gridSpan w:val="4"/>
            <w:shd w:val="clear" w:color="auto" w:fill="auto"/>
            <w:tcMar>
              <w:left w:w="57" w:type="dxa"/>
              <w:right w:w="57" w:type="dxa"/>
            </w:tcMar>
            <w:vAlign w:val="center"/>
          </w:tcPr>
          <w:p w14:paraId="423B711B"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Indirect treatment comparison: all trials pooled</w:t>
            </w:r>
          </w:p>
        </w:tc>
        <w:tc>
          <w:tcPr>
            <w:tcW w:w="928" w:type="pct"/>
            <w:tcMar>
              <w:left w:w="57" w:type="dxa"/>
              <w:right w:w="57" w:type="dxa"/>
            </w:tcMar>
            <w:vAlign w:val="center"/>
          </w:tcPr>
          <w:p w14:paraId="7D6EF8DD"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0.89 (0.54, 1.47)</w:t>
            </w:r>
          </w:p>
        </w:tc>
        <w:tc>
          <w:tcPr>
            <w:tcW w:w="926" w:type="pct"/>
            <w:tcMar>
              <w:left w:w="57" w:type="dxa"/>
              <w:right w:w="57" w:type="dxa"/>
            </w:tcMar>
            <w:vAlign w:val="center"/>
          </w:tcPr>
          <w:p w14:paraId="254E313F"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noBreakHyphen/>
              <w:t>0.03 (</w:t>
            </w:r>
            <w:r w:rsidRPr="00FE714A">
              <w:rPr>
                <w:rFonts w:ascii="Arial Narrow" w:hAnsi="Arial Narrow"/>
                <w:sz w:val="20"/>
                <w:szCs w:val="20"/>
              </w:rPr>
              <w:noBreakHyphen/>
              <w:t>0.15, 0.09)</w:t>
            </w:r>
          </w:p>
        </w:tc>
      </w:tr>
    </w:tbl>
    <w:p w14:paraId="4F7C898B" w14:textId="77777777" w:rsidR="004779D9" w:rsidRPr="00FE714A" w:rsidRDefault="004779D9" w:rsidP="00EF3E93">
      <w:pPr>
        <w:pStyle w:val="FooterTableFigure"/>
      </w:pPr>
      <w:r w:rsidRPr="00FE714A">
        <w:t>Source: Table 2.6-5, p217 of the submission.</w:t>
      </w:r>
    </w:p>
    <w:p w14:paraId="77B56FBC" w14:textId="77777777" w:rsidR="004779D9" w:rsidRPr="00FE714A" w:rsidRDefault="004779D9" w:rsidP="00EF3E93">
      <w:pPr>
        <w:pStyle w:val="FooterTableFigure"/>
      </w:pPr>
      <w:r w:rsidRPr="00FE714A">
        <w:t xml:space="preserve">AD = atopic dermatitis; CI = confidence interval; </w:t>
      </w:r>
      <w:proofErr w:type="spellStart"/>
      <w:r w:rsidRPr="00FE714A">
        <w:t>CsA</w:t>
      </w:r>
      <w:proofErr w:type="spellEnd"/>
      <w:r w:rsidRPr="00FE714A">
        <w:t xml:space="preserve"> = ciclosporin; DUPI = dupilumab; EASI = eczema area and severity index; ITC = indirect comparison; LEB = lebrikizumab; PBO = placebo; Q2W = every 2 weeks; RD = risk difference; RR = relative risk; TCS = topical corticosteroids</w:t>
      </w:r>
    </w:p>
    <w:p w14:paraId="068C8220" w14:textId="77777777" w:rsidR="004779D9" w:rsidRPr="00FE714A" w:rsidRDefault="004779D9" w:rsidP="00EF3E93">
      <w:pPr>
        <w:pStyle w:val="FooterTableFigure"/>
      </w:pPr>
      <w:r w:rsidRPr="00FE714A">
        <w:t>Values in bold indicate significance (CI did not include 1 or 0 for RR and RD respectively).</w:t>
      </w:r>
    </w:p>
    <w:p w14:paraId="76282C30" w14:textId="12FAA809" w:rsidR="00550B5E" w:rsidRPr="00550B5E" w:rsidRDefault="004779D9" w:rsidP="00550B5E">
      <w:pPr>
        <w:pStyle w:val="FooterTableFigure"/>
        <w:rPr>
          <w:rStyle w:val="CommentReference"/>
          <w:b w:val="0"/>
          <w:sz w:val="18"/>
          <w:szCs w:val="22"/>
        </w:rPr>
      </w:pPr>
      <w:r w:rsidRPr="00FE714A">
        <w:t>Blue shading indicates results previously considered by PBAC</w:t>
      </w:r>
      <w:r w:rsidR="00A46F55">
        <w:t>.</w:t>
      </w:r>
    </w:p>
    <w:p w14:paraId="210383FB" w14:textId="57BCCEA7" w:rsidR="004779D9" w:rsidRPr="00FE714A" w:rsidRDefault="004779D9" w:rsidP="00550B5E">
      <w:pPr>
        <w:pStyle w:val="Caption"/>
        <w:rPr>
          <w:rStyle w:val="CommentReference"/>
          <w:b/>
          <w:szCs w:val="24"/>
        </w:rPr>
      </w:pPr>
      <w:bookmarkStart w:id="26" w:name="_Ref155542179"/>
      <w:r w:rsidRPr="00FE714A">
        <w:lastRenderedPageBreak/>
        <w:t xml:space="preserve">Table </w:t>
      </w:r>
      <w:r w:rsidR="008B26E3">
        <w:fldChar w:fldCharType="begin" w:fldLock="1"/>
      </w:r>
      <w:r w:rsidR="008B26E3">
        <w:instrText xml:space="preserve"> SEQ Table \* ARABIC </w:instrText>
      </w:r>
      <w:r w:rsidR="008B26E3">
        <w:fldChar w:fldCharType="separate"/>
      </w:r>
      <w:r w:rsidR="00B3585E">
        <w:rPr>
          <w:noProof/>
        </w:rPr>
        <w:t>6</w:t>
      </w:r>
      <w:r w:rsidR="008B26E3">
        <w:rPr>
          <w:noProof/>
        </w:rPr>
        <w:fldChar w:fldCharType="end"/>
      </w:r>
      <w:bookmarkEnd w:id="26"/>
      <w:r w:rsidRPr="00FE714A">
        <w:t xml:space="preserve">: </w:t>
      </w:r>
      <w:r w:rsidRPr="00FE714A">
        <w:rPr>
          <w:rStyle w:val="CommentReference"/>
          <w:b/>
          <w:szCs w:val="24"/>
        </w:rPr>
        <w:t>ITC in the severe AD subgroup for DLQI ≥ 4-point improvement (Week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Caption w:val="Table 6: ITC in the severe AD subgroup for DLQI ≥ 4-point improvement (Week 16)"/>
      </w:tblPr>
      <w:tblGrid>
        <w:gridCol w:w="1837"/>
        <w:gridCol w:w="1278"/>
        <w:gridCol w:w="1279"/>
        <w:gridCol w:w="1279"/>
        <w:gridCol w:w="1674"/>
        <w:gridCol w:w="1670"/>
      </w:tblGrid>
      <w:tr w:rsidR="004779D9" w:rsidRPr="00FE714A" w14:paraId="4106DA81" w14:textId="77777777" w:rsidTr="005E06AD">
        <w:trPr>
          <w:cantSplit/>
          <w:trHeight w:val="227"/>
          <w:tblHeader/>
        </w:trPr>
        <w:tc>
          <w:tcPr>
            <w:tcW w:w="1019" w:type="pct"/>
            <w:vMerge w:val="restart"/>
            <w:tcBorders>
              <w:right w:val="single" w:sz="4" w:space="0" w:color="auto"/>
            </w:tcBorders>
            <w:shd w:val="clear" w:color="auto" w:fill="auto"/>
            <w:tcMar>
              <w:left w:w="57" w:type="dxa"/>
              <w:right w:w="57" w:type="dxa"/>
            </w:tcMar>
            <w:vAlign w:val="center"/>
          </w:tcPr>
          <w:p w14:paraId="1EEAF885" w14:textId="77777777" w:rsidR="004779D9" w:rsidRPr="00FE714A" w:rsidRDefault="004779D9" w:rsidP="00550B5E">
            <w:pPr>
              <w:keepNext/>
              <w:keepLines/>
              <w:jc w:val="center"/>
              <w:rPr>
                <w:rFonts w:ascii="Arial Narrow" w:hAnsi="Arial Narrow"/>
                <w:sz w:val="20"/>
                <w:szCs w:val="20"/>
              </w:rPr>
            </w:pP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374CD2F8"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LEB 250 mg Q2W ± TCS</w:t>
            </w: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194646F8"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PBO ± TCS</w:t>
            </w:r>
          </w:p>
        </w:tc>
        <w:tc>
          <w:tcPr>
            <w:tcW w:w="709" w:type="pct"/>
            <w:vMerge w:val="restart"/>
            <w:tcBorders>
              <w:left w:val="single" w:sz="4" w:space="0" w:color="auto"/>
              <w:right w:val="single" w:sz="4" w:space="0" w:color="auto"/>
            </w:tcBorders>
            <w:vAlign w:val="center"/>
          </w:tcPr>
          <w:p w14:paraId="381D4786" w14:textId="67A977C7" w:rsidR="004779D9" w:rsidRPr="00FE714A" w:rsidRDefault="004779D9" w:rsidP="00550B5E">
            <w:pPr>
              <w:keepNext/>
              <w:keepLines/>
              <w:jc w:val="center"/>
              <w:rPr>
                <w:rFonts w:ascii="Arial Narrow" w:hAnsi="Arial Narrow"/>
                <w:b/>
                <w:bCs/>
                <w:sz w:val="20"/>
                <w:szCs w:val="20"/>
              </w:rPr>
            </w:pPr>
            <w:r w:rsidRPr="00FE714A">
              <w:rPr>
                <w:rFonts w:ascii="Arial Narrow" w:hAnsi="Arial Narrow"/>
                <w:b/>
                <w:bCs/>
                <w:sz w:val="20"/>
                <w:szCs w:val="20"/>
              </w:rPr>
              <w:t>DUPI 30</w:t>
            </w:r>
            <w:r w:rsidR="00FE714A">
              <w:rPr>
                <w:rFonts w:ascii="Arial Narrow" w:hAnsi="Arial Narrow"/>
                <w:b/>
                <w:bCs/>
                <w:sz w:val="20"/>
                <w:szCs w:val="20"/>
              </w:rPr>
              <w:t>0 mg</w:t>
            </w:r>
            <w:r w:rsidRPr="00FE714A">
              <w:rPr>
                <w:rFonts w:ascii="Arial Narrow" w:hAnsi="Arial Narrow"/>
                <w:b/>
                <w:bCs/>
                <w:sz w:val="20"/>
                <w:szCs w:val="20"/>
              </w:rPr>
              <w:t xml:space="preserve"> Q2W ± TCS</w:t>
            </w:r>
          </w:p>
        </w:tc>
        <w:tc>
          <w:tcPr>
            <w:tcW w:w="928" w:type="pct"/>
            <w:tcBorders>
              <w:left w:val="single" w:sz="4" w:space="0" w:color="auto"/>
              <w:right w:val="single" w:sz="4" w:space="0" w:color="auto"/>
            </w:tcBorders>
            <w:shd w:val="clear" w:color="auto" w:fill="auto"/>
            <w:tcMar>
              <w:left w:w="57" w:type="dxa"/>
              <w:right w:w="57" w:type="dxa"/>
            </w:tcMar>
            <w:vAlign w:val="center"/>
          </w:tcPr>
          <w:p w14:paraId="564DB8B2" w14:textId="77777777" w:rsidR="004779D9" w:rsidRPr="00FE714A" w:rsidRDefault="004779D9" w:rsidP="00550B5E">
            <w:pPr>
              <w:keepNext/>
              <w:keepLines/>
              <w:jc w:val="center"/>
              <w:rPr>
                <w:rFonts w:ascii="Arial Narrow" w:hAnsi="Arial Narrow"/>
                <w:b/>
                <w:bCs/>
                <w:sz w:val="20"/>
                <w:szCs w:val="20"/>
              </w:rPr>
            </w:pPr>
            <w:r w:rsidRPr="00FE714A">
              <w:rPr>
                <w:rFonts w:ascii="Arial Narrow" w:hAnsi="Arial Narrow"/>
                <w:b/>
                <w:bCs/>
                <w:sz w:val="20"/>
                <w:szCs w:val="20"/>
              </w:rPr>
              <w:t>RR (95% CI)</w:t>
            </w:r>
          </w:p>
        </w:tc>
        <w:tc>
          <w:tcPr>
            <w:tcW w:w="926" w:type="pct"/>
            <w:tcBorders>
              <w:left w:val="single" w:sz="4" w:space="0" w:color="auto"/>
            </w:tcBorders>
            <w:shd w:val="clear" w:color="auto" w:fill="auto"/>
            <w:tcMar>
              <w:left w:w="57" w:type="dxa"/>
              <w:right w:w="57" w:type="dxa"/>
            </w:tcMar>
            <w:vAlign w:val="center"/>
          </w:tcPr>
          <w:p w14:paraId="7EB35668" w14:textId="77777777" w:rsidR="004779D9" w:rsidRPr="00FE714A" w:rsidRDefault="004779D9" w:rsidP="00550B5E">
            <w:pPr>
              <w:keepNext/>
              <w:keepLines/>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56C998DE" w14:textId="77777777" w:rsidTr="005E06AD">
        <w:trPr>
          <w:cantSplit/>
          <w:trHeight w:val="227"/>
        </w:trPr>
        <w:tc>
          <w:tcPr>
            <w:tcW w:w="1019" w:type="pct"/>
            <w:vMerge/>
            <w:tcBorders>
              <w:right w:val="single" w:sz="4" w:space="0" w:color="auto"/>
            </w:tcBorders>
            <w:shd w:val="clear" w:color="auto" w:fill="auto"/>
            <w:tcMar>
              <w:left w:w="57" w:type="dxa"/>
              <w:right w:w="57" w:type="dxa"/>
            </w:tcMar>
            <w:vAlign w:val="center"/>
          </w:tcPr>
          <w:p w14:paraId="3EF9511E" w14:textId="77777777" w:rsidR="004779D9" w:rsidRPr="00FE714A" w:rsidRDefault="004779D9" w:rsidP="00550B5E">
            <w:pPr>
              <w:keepNext/>
              <w:keepLines/>
              <w:jc w:val="left"/>
              <w:rPr>
                <w:rFonts w:ascii="Arial Narrow" w:hAnsi="Arial Narrow"/>
                <w:b/>
                <w:bCs/>
                <w:sz w:val="20"/>
                <w:szCs w:val="20"/>
              </w:rPr>
            </w:pPr>
          </w:p>
        </w:tc>
        <w:tc>
          <w:tcPr>
            <w:tcW w:w="709" w:type="pct"/>
            <w:vMerge/>
            <w:tcBorders>
              <w:left w:val="single" w:sz="4" w:space="0" w:color="auto"/>
            </w:tcBorders>
            <w:shd w:val="clear" w:color="auto" w:fill="auto"/>
            <w:tcMar>
              <w:left w:w="57" w:type="dxa"/>
              <w:right w:w="57" w:type="dxa"/>
            </w:tcMar>
            <w:vAlign w:val="center"/>
          </w:tcPr>
          <w:p w14:paraId="7DA9C5F5" w14:textId="77777777" w:rsidR="004779D9" w:rsidRPr="00FE714A" w:rsidRDefault="004779D9" w:rsidP="00550B5E">
            <w:pPr>
              <w:keepNext/>
              <w:keepLines/>
              <w:jc w:val="center"/>
              <w:rPr>
                <w:rFonts w:ascii="Arial Narrow" w:hAnsi="Arial Narrow"/>
                <w:b/>
                <w:bCs/>
                <w:sz w:val="20"/>
                <w:szCs w:val="20"/>
              </w:rPr>
            </w:pPr>
          </w:p>
        </w:tc>
        <w:tc>
          <w:tcPr>
            <w:tcW w:w="709" w:type="pct"/>
            <w:vMerge/>
            <w:shd w:val="clear" w:color="auto" w:fill="auto"/>
            <w:tcMar>
              <w:left w:w="57" w:type="dxa"/>
              <w:right w:w="57" w:type="dxa"/>
            </w:tcMar>
            <w:vAlign w:val="center"/>
          </w:tcPr>
          <w:p w14:paraId="751C54F1" w14:textId="77777777" w:rsidR="004779D9" w:rsidRPr="00FE714A" w:rsidRDefault="004779D9" w:rsidP="00550B5E">
            <w:pPr>
              <w:keepNext/>
              <w:keepLines/>
              <w:jc w:val="center"/>
              <w:rPr>
                <w:rFonts w:ascii="Arial Narrow" w:hAnsi="Arial Narrow"/>
                <w:b/>
                <w:bCs/>
                <w:sz w:val="20"/>
                <w:szCs w:val="20"/>
              </w:rPr>
            </w:pPr>
          </w:p>
        </w:tc>
        <w:tc>
          <w:tcPr>
            <w:tcW w:w="709" w:type="pct"/>
            <w:vMerge/>
            <w:vAlign w:val="center"/>
          </w:tcPr>
          <w:p w14:paraId="5AF39504" w14:textId="77777777" w:rsidR="004779D9" w:rsidRPr="00FE714A" w:rsidRDefault="004779D9" w:rsidP="00550B5E">
            <w:pPr>
              <w:keepNext/>
              <w:keepLines/>
              <w:jc w:val="center"/>
              <w:rPr>
                <w:rFonts w:ascii="Arial Narrow" w:hAnsi="Arial Narrow"/>
                <w:b/>
                <w:bCs/>
                <w:sz w:val="20"/>
                <w:szCs w:val="20"/>
              </w:rPr>
            </w:pPr>
          </w:p>
        </w:tc>
        <w:tc>
          <w:tcPr>
            <w:tcW w:w="1854" w:type="pct"/>
            <w:gridSpan w:val="2"/>
            <w:shd w:val="clear" w:color="auto" w:fill="auto"/>
            <w:vAlign w:val="center"/>
          </w:tcPr>
          <w:p w14:paraId="4DA890D8" w14:textId="77777777" w:rsidR="004779D9" w:rsidRPr="00FE714A" w:rsidRDefault="004779D9" w:rsidP="00550B5E">
            <w:pPr>
              <w:keepNext/>
              <w:keepLines/>
              <w:jc w:val="center"/>
              <w:rPr>
                <w:rFonts w:ascii="Arial Narrow" w:hAnsi="Arial Narrow"/>
                <w:b/>
                <w:bCs/>
                <w:sz w:val="20"/>
                <w:szCs w:val="20"/>
              </w:rPr>
            </w:pPr>
            <w:r w:rsidRPr="00FE714A">
              <w:rPr>
                <w:rFonts w:ascii="Arial Narrow" w:hAnsi="Arial Narrow"/>
                <w:b/>
                <w:bCs/>
                <w:sz w:val="20"/>
                <w:szCs w:val="20"/>
              </w:rPr>
              <w:t>Active treatment ± TCS vs PBO ± TCS</w:t>
            </w:r>
          </w:p>
        </w:tc>
      </w:tr>
      <w:tr w:rsidR="004779D9" w:rsidRPr="00FE714A" w14:paraId="4491050B" w14:textId="77777777" w:rsidTr="005E06AD">
        <w:trPr>
          <w:cantSplit/>
          <w:trHeight w:val="227"/>
        </w:trPr>
        <w:tc>
          <w:tcPr>
            <w:tcW w:w="1019" w:type="pct"/>
            <w:shd w:val="clear" w:color="auto" w:fill="auto"/>
            <w:tcMar>
              <w:left w:w="57" w:type="dxa"/>
              <w:right w:w="57" w:type="dxa"/>
            </w:tcMar>
            <w:vAlign w:val="center"/>
          </w:tcPr>
          <w:p w14:paraId="0EFA53CB" w14:textId="77777777" w:rsidR="004779D9" w:rsidRPr="00FE714A" w:rsidRDefault="004779D9" w:rsidP="00550B5E">
            <w:pPr>
              <w:keepNext/>
              <w:keepLines/>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1</w:t>
            </w:r>
          </w:p>
        </w:tc>
        <w:tc>
          <w:tcPr>
            <w:tcW w:w="709" w:type="pct"/>
            <w:tcMar>
              <w:left w:w="57" w:type="dxa"/>
              <w:right w:w="57" w:type="dxa"/>
            </w:tcMar>
            <w:vAlign w:val="center"/>
          </w:tcPr>
          <w:p w14:paraId="346D4FBD"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55/82 (67.1)</w:t>
            </w:r>
          </w:p>
        </w:tc>
        <w:tc>
          <w:tcPr>
            <w:tcW w:w="709" w:type="pct"/>
            <w:tcMar>
              <w:left w:w="57" w:type="dxa"/>
              <w:right w:w="57" w:type="dxa"/>
            </w:tcMar>
            <w:vAlign w:val="center"/>
          </w:tcPr>
          <w:p w14:paraId="6098D9F4"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7/41 (17.1)</w:t>
            </w:r>
          </w:p>
        </w:tc>
        <w:tc>
          <w:tcPr>
            <w:tcW w:w="709" w:type="pct"/>
            <w:shd w:val="clear" w:color="auto" w:fill="auto"/>
            <w:vAlign w:val="center"/>
          </w:tcPr>
          <w:p w14:paraId="62EE4CBD"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t>-</w:t>
            </w:r>
          </w:p>
        </w:tc>
        <w:tc>
          <w:tcPr>
            <w:tcW w:w="928" w:type="pct"/>
            <w:tcMar>
              <w:left w:w="57" w:type="dxa"/>
              <w:right w:w="57" w:type="dxa"/>
            </w:tcMar>
            <w:vAlign w:val="center"/>
          </w:tcPr>
          <w:p w14:paraId="6B02EC76"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3.9 (2.0, 7.8)</w:t>
            </w:r>
          </w:p>
        </w:tc>
        <w:tc>
          <w:tcPr>
            <w:tcW w:w="926" w:type="pct"/>
            <w:tcMar>
              <w:left w:w="57" w:type="dxa"/>
              <w:right w:w="57" w:type="dxa"/>
            </w:tcMar>
            <w:vAlign w:val="center"/>
          </w:tcPr>
          <w:p w14:paraId="6A366A18"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0.50 (0.35, 0.65)</w:t>
            </w:r>
          </w:p>
        </w:tc>
      </w:tr>
      <w:tr w:rsidR="004779D9" w:rsidRPr="00FE714A" w14:paraId="6544F938" w14:textId="77777777" w:rsidTr="005E06AD">
        <w:trPr>
          <w:cantSplit/>
          <w:trHeight w:val="227"/>
        </w:trPr>
        <w:tc>
          <w:tcPr>
            <w:tcW w:w="1019" w:type="pct"/>
            <w:shd w:val="clear" w:color="auto" w:fill="auto"/>
            <w:tcMar>
              <w:left w:w="57" w:type="dxa"/>
              <w:right w:w="57" w:type="dxa"/>
            </w:tcMar>
            <w:vAlign w:val="center"/>
          </w:tcPr>
          <w:p w14:paraId="0A7B472C" w14:textId="77777777" w:rsidR="004779D9" w:rsidRPr="00FE714A" w:rsidRDefault="004779D9" w:rsidP="00550B5E">
            <w:pPr>
              <w:keepNext/>
              <w:keepLines/>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2</w:t>
            </w:r>
          </w:p>
        </w:tc>
        <w:tc>
          <w:tcPr>
            <w:tcW w:w="709" w:type="pct"/>
            <w:tcMar>
              <w:left w:w="57" w:type="dxa"/>
              <w:right w:w="57" w:type="dxa"/>
            </w:tcMar>
            <w:vAlign w:val="center"/>
          </w:tcPr>
          <w:p w14:paraId="36662419"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42/75 (56.0)</w:t>
            </w:r>
          </w:p>
        </w:tc>
        <w:tc>
          <w:tcPr>
            <w:tcW w:w="709" w:type="pct"/>
            <w:tcMar>
              <w:left w:w="57" w:type="dxa"/>
              <w:right w:w="57" w:type="dxa"/>
            </w:tcMar>
            <w:vAlign w:val="center"/>
          </w:tcPr>
          <w:p w14:paraId="0783A701"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13/42 (31.0)</w:t>
            </w:r>
          </w:p>
        </w:tc>
        <w:tc>
          <w:tcPr>
            <w:tcW w:w="709" w:type="pct"/>
            <w:shd w:val="clear" w:color="auto" w:fill="auto"/>
            <w:vAlign w:val="center"/>
          </w:tcPr>
          <w:p w14:paraId="60AA959F"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t>-</w:t>
            </w:r>
          </w:p>
        </w:tc>
        <w:tc>
          <w:tcPr>
            <w:tcW w:w="928" w:type="pct"/>
            <w:tcMar>
              <w:left w:w="57" w:type="dxa"/>
              <w:right w:w="57" w:type="dxa"/>
            </w:tcMar>
            <w:vAlign w:val="center"/>
          </w:tcPr>
          <w:p w14:paraId="0B3AE0D0"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1.8 (1.1, 3.0)</w:t>
            </w:r>
          </w:p>
        </w:tc>
        <w:tc>
          <w:tcPr>
            <w:tcW w:w="926" w:type="pct"/>
            <w:tcMar>
              <w:left w:w="57" w:type="dxa"/>
              <w:right w:w="57" w:type="dxa"/>
            </w:tcMar>
            <w:vAlign w:val="center"/>
          </w:tcPr>
          <w:p w14:paraId="6CCF3C30"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0.25 (0.07, 0.43)</w:t>
            </w:r>
          </w:p>
        </w:tc>
      </w:tr>
      <w:tr w:rsidR="004779D9" w:rsidRPr="00FE714A" w14:paraId="3C449D44" w14:textId="77777777" w:rsidTr="005E06AD">
        <w:trPr>
          <w:cantSplit/>
          <w:trHeight w:val="227"/>
        </w:trPr>
        <w:tc>
          <w:tcPr>
            <w:tcW w:w="1019" w:type="pct"/>
            <w:shd w:val="clear" w:color="auto" w:fill="auto"/>
            <w:tcMar>
              <w:left w:w="57" w:type="dxa"/>
              <w:right w:w="57" w:type="dxa"/>
            </w:tcMar>
            <w:vAlign w:val="center"/>
          </w:tcPr>
          <w:p w14:paraId="2219B5E2" w14:textId="77777777" w:rsidR="004779D9" w:rsidRPr="00FE714A" w:rsidRDefault="004779D9" w:rsidP="00550B5E">
            <w:pPr>
              <w:keepNext/>
              <w:keepLines/>
              <w:jc w:val="left"/>
              <w:rPr>
                <w:rFonts w:ascii="Arial Narrow" w:hAnsi="Arial Narrow"/>
                <w:sz w:val="20"/>
                <w:szCs w:val="20"/>
              </w:rPr>
            </w:pPr>
            <w:proofErr w:type="spellStart"/>
            <w:r w:rsidRPr="00FE714A">
              <w:rPr>
                <w:rFonts w:ascii="Arial Narrow" w:hAnsi="Arial Narrow"/>
                <w:sz w:val="20"/>
                <w:szCs w:val="20"/>
              </w:rPr>
              <w:t>ADhere</w:t>
            </w:r>
            <w:proofErr w:type="spellEnd"/>
            <w:r w:rsidRPr="00FE714A">
              <w:rPr>
                <w:rFonts w:ascii="Arial Narrow" w:hAnsi="Arial Narrow"/>
                <w:sz w:val="20"/>
                <w:szCs w:val="20"/>
              </w:rPr>
              <w:t xml:space="preserve"> </w:t>
            </w:r>
          </w:p>
        </w:tc>
        <w:tc>
          <w:tcPr>
            <w:tcW w:w="709" w:type="pct"/>
            <w:tcMar>
              <w:left w:w="57" w:type="dxa"/>
              <w:right w:w="57" w:type="dxa"/>
            </w:tcMar>
            <w:vAlign w:val="center"/>
          </w:tcPr>
          <w:p w14:paraId="4F635F17"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18/23 (78.3)</w:t>
            </w:r>
          </w:p>
        </w:tc>
        <w:tc>
          <w:tcPr>
            <w:tcW w:w="709" w:type="pct"/>
            <w:tcMar>
              <w:left w:w="57" w:type="dxa"/>
              <w:right w:w="57" w:type="dxa"/>
            </w:tcMar>
            <w:vAlign w:val="center"/>
          </w:tcPr>
          <w:p w14:paraId="3243D3D7"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4/6 (66.7)</w:t>
            </w:r>
          </w:p>
        </w:tc>
        <w:tc>
          <w:tcPr>
            <w:tcW w:w="709" w:type="pct"/>
            <w:shd w:val="clear" w:color="auto" w:fill="auto"/>
            <w:vAlign w:val="center"/>
          </w:tcPr>
          <w:p w14:paraId="6F22BAD1"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t>-</w:t>
            </w:r>
          </w:p>
        </w:tc>
        <w:tc>
          <w:tcPr>
            <w:tcW w:w="928" w:type="pct"/>
            <w:tcMar>
              <w:left w:w="57" w:type="dxa"/>
              <w:right w:w="57" w:type="dxa"/>
            </w:tcMar>
            <w:vAlign w:val="center"/>
          </w:tcPr>
          <w:p w14:paraId="2265CA5B"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t>1.2 (0.6, 2.1)</w:t>
            </w:r>
          </w:p>
        </w:tc>
        <w:tc>
          <w:tcPr>
            <w:tcW w:w="926" w:type="pct"/>
            <w:tcMar>
              <w:left w:w="57" w:type="dxa"/>
              <w:right w:w="57" w:type="dxa"/>
            </w:tcMar>
            <w:vAlign w:val="center"/>
          </w:tcPr>
          <w:p w14:paraId="3610C439"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t>0.12 (</w:t>
            </w:r>
            <w:r w:rsidRPr="00FE714A">
              <w:rPr>
                <w:rFonts w:ascii="Arial Narrow" w:hAnsi="Arial Narrow"/>
                <w:sz w:val="20"/>
                <w:szCs w:val="20"/>
              </w:rPr>
              <w:noBreakHyphen/>
              <w:t>0.30, 0.53)</w:t>
            </w:r>
          </w:p>
        </w:tc>
      </w:tr>
      <w:tr w:rsidR="004779D9" w:rsidRPr="00FE714A" w14:paraId="24CBC340" w14:textId="77777777" w:rsidTr="005E06AD">
        <w:trPr>
          <w:cantSplit/>
          <w:trHeight w:val="227"/>
        </w:trPr>
        <w:tc>
          <w:tcPr>
            <w:tcW w:w="1019" w:type="pct"/>
            <w:shd w:val="clear" w:color="auto" w:fill="auto"/>
            <w:tcMar>
              <w:left w:w="57" w:type="dxa"/>
              <w:right w:w="57" w:type="dxa"/>
            </w:tcMar>
            <w:vAlign w:val="center"/>
          </w:tcPr>
          <w:p w14:paraId="2F521C63" w14:textId="77777777" w:rsidR="004779D9" w:rsidRPr="00FE714A" w:rsidRDefault="004779D9" w:rsidP="00550B5E">
            <w:pPr>
              <w:keepNext/>
              <w:keepLines/>
              <w:jc w:val="left"/>
              <w:rPr>
                <w:rFonts w:ascii="Arial Narrow" w:hAnsi="Arial Narrow"/>
                <w:sz w:val="20"/>
                <w:szCs w:val="20"/>
              </w:rPr>
            </w:pPr>
            <w:r w:rsidRPr="00FE714A">
              <w:rPr>
                <w:rFonts w:ascii="Arial Narrow" w:hAnsi="Arial Narrow"/>
                <w:sz w:val="20"/>
                <w:szCs w:val="20"/>
              </w:rPr>
              <w:t>LEB trials pooled</w:t>
            </w:r>
          </w:p>
        </w:tc>
        <w:tc>
          <w:tcPr>
            <w:tcW w:w="709" w:type="pct"/>
            <w:tcMar>
              <w:left w:w="57" w:type="dxa"/>
              <w:right w:w="57" w:type="dxa"/>
            </w:tcMar>
            <w:vAlign w:val="center"/>
          </w:tcPr>
          <w:p w14:paraId="7C17BDE7"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115/180 (63.9)</w:t>
            </w:r>
          </w:p>
        </w:tc>
        <w:tc>
          <w:tcPr>
            <w:tcW w:w="709" w:type="pct"/>
            <w:tcMar>
              <w:left w:w="57" w:type="dxa"/>
              <w:right w:w="57" w:type="dxa"/>
            </w:tcMar>
            <w:vAlign w:val="center"/>
          </w:tcPr>
          <w:p w14:paraId="35DD531C"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24/89 (27.0)</w:t>
            </w:r>
          </w:p>
        </w:tc>
        <w:tc>
          <w:tcPr>
            <w:tcW w:w="709" w:type="pct"/>
            <w:shd w:val="clear" w:color="auto" w:fill="auto"/>
            <w:vAlign w:val="center"/>
          </w:tcPr>
          <w:p w14:paraId="06CA2D52"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t>-</w:t>
            </w:r>
          </w:p>
        </w:tc>
        <w:tc>
          <w:tcPr>
            <w:tcW w:w="928" w:type="pct"/>
            <w:tcMar>
              <w:left w:w="57" w:type="dxa"/>
              <w:right w:w="57" w:type="dxa"/>
            </w:tcMar>
            <w:vAlign w:val="center"/>
          </w:tcPr>
          <w:p w14:paraId="15395598" w14:textId="51625C8E" w:rsidR="004779D9" w:rsidRPr="00FE714A" w:rsidRDefault="00015392" w:rsidP="00550B5E">
            <w:pPr>
              <w:keepNext/>
              <w:keepLines/>
              <w:jc w:val="center"/>
              <w:rPr>
                <w:rFonts w:ascii="Arial Narrow" w:hAnsi="Arial Narrow"/>
                <w:sz w:val="20"/>
                <w:szCs w:val="20"/>
              </w:rPr>
            </w:pPr>
            <w:r w:rsidRPr="00FE714A">
              <w:rPr>
                <w:rFonts w:ascii="Arial Narrow" w:hAnsi="Arial Narrow"/>
                <w:b/>
                <w:bCs/>
                <w:sz w:val="20"/>
                <w:szCs w:val="20"/>
              </w:rPr>
              <w:t>2.0</w:t>
            </w:r>
            <w:r w:rsidR="004779D9" w:rsidRPr="00FE714A">
              <w:rPr>
                <w:rFonts w:ascii="Arial Narrow" w:hAnsi="Arial Narrow"/>
                <w:b/>
                <w:bCs/>
                <w:sz w:val="20"/>
                <w:szCs w:val="20"/>
              </w:rPr>
              <w:t xml:space="preserve"> (1.0, 3.9)</w:t>
            </w:r>
          </w:p>
        </w:tc>
        <w:tc>
          <w:tcPr>
            <w:tcW w:w="926" w:type="pct"/>
            <w:tcMar>
              <w:left w:w="57" w:type="dxa"/>
              <w:right w:w="57" w:type="dxa"/>
            </w:tcMar>
            <w:vAlign w:val="center"/>
          </w:tcPr>
          <w:p w14:paraId="5395618A"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0.33 (0.11, 0.55)</w:t>
            </w:r>
          </w:p>
        </w:tc>
      </w:tr>
      <w:tr w:rsidR="004779D9" w:rsidRPr="00FE714A" w14:paraId="5F87BA9A" w14:textId="77777777" w:rsidTr="005E06AD">
        <w:trPr>
          <w:cantSplit/>
          <w:trHeight w:val="227"/>
        </w:trPr>
        <w:tc>
          <w:tcPr>
            <w:tcW w:w="1019" w:type="pct"/>
            <w:shd w:val="clear" w:color="auto" w:fill="B8CCE4" w:themeFill="accent1" w:themeFillTint="66"/>
            <w:tcMar>
              <w:left w:w="57" w:type="dxa"/>
              <w:right w:w="57" w:type="dxa"/>
            </w:tcMar>
          </w:tcPr>
          <w:p w14:paraId="380E391B" w14:textId="77777777" w:rsidR="004779D9" w:rsidRPr="00FE714A" w:rsidRDefault="004779D9" w:rsidP="00550B5E">
            <w:pPr>
              <w:keepNext/>
              <w:keepLines/>
              <w:jc w:val="left"/>
              <w:rPr>
                <w:rFonts w:ascii="Arial Narrow" w:hAnsi="Arial Narrow"/>
                <w:sz w:val="20"/>
                <w:szCs w:val="20"/>
              </w:rPr>
            </w:pPr>
            <w:r w:rsidRPr="00FE714A">
              <w:rPr>
                <w:rFonts w:ascii="Arial Narrow" w:hAnsi="Arial Narrow"/>
                <w:sz w:val="20"/>
                <w:szCs w:val="20"/>
              </w:rPr>
              <w:t xml:space="preserve">DUPI </w:t>
            </w:r>
            <w:proofErr w:type="spellStart"/>
            <w:r w:rsidRPr="00FE714A">
              <w:rPr>
                <w:rFonts w:ascii="Arial Narrow" w:hAnsi="Arial Narrow"/>
                <w:sz w:val="20"/>
                <w:szCs w:val="20"/>
              </w:rPr>
              <w:t>CsA</w:t>
            </w:r>
            <w:proofErr w:type="spellEnd"/>
            <w:r w:rsidRPr="00FE714A">
              <w:rPr>
                <w:rFonts w:ascii="Arial Narrow" w:hAnsi="Arial Narrow"/>
                <w:sz w:val="20"/>
                <w:szCs w:val="20"/>
              </w:rPr>
              <w:t xml:space="preserve"> experienced</w:t>
            </w:r>
          </w:p>
        </w:tc>
        <w:tc>
          <w:tcPr>
            <w:tcW w:w="709" w:type="pct"/>
            <w:shd w:val="clear" w:color="auto" w:fill="auto"/>
            <w:tcMar>
              <w:left w:w="57" w:type="dxa"/>
              <w:right w:w="57" w:type="dxa"/>
            </w:tcMar>
            <w:vAlign w:val="center"/>
          </w:tcPr>
          <w:p w14:paraId="14B185E5"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vAlign w:val="center"/>
          </w:tcPr>
          <w:p w14:paraId="796A67CC"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49/178 (27.5)</w:t>
            </w:r>
          </w:p>
        </w:tc>
        <w:tc>
          <w:tcPr>
            <w:tcW w:w="709" w:type="pct"/>
            <w:shd w:val="clear" w:color="auto" w:fill="B8CCE4" w:themeFill="accent1" w:themeFillTint="66"/>
            <w:vAlign w:val="center"/>
          </w:tcPr>
          <w:p w14:paraId="021CF380"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t>105/152 (69.1)</w:t>
            </w:r>
          </w:p>
        </w:tc>
        <w:tc>
          <w:tcPr>
            <w:tcW w:w="928" w:type="pct"/>
            <w:tcMar>
              <w:left w:w="57" w:type="dxa"/>
              <w:right w:w="57" w:type="dxa"/>
            </w:tcMar>
            <w:vAlign w:val="center"/>
          </w:tcPr>
          <w:p w14:paraId="2BB628AD"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2.5 (1.9, 3.3)</w:t>
            </w:r>
          </w:p>
        </w:tc>
        <w:tc>
          <w:tcPr>
            <w:tcW w:w="926" w:type="pct"/>
            <w:tcMar>
              <w:left w:w="57" w:type="dxa"/>
              <w:right w:w="57" w:type="dxa"/>
            </w:tcMar>
            <w:vAlign w:val="center"/>
          </w:tcPr>
          <w:p w14:paraId="06435104"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0.42 (0.32, 0.51)</w:t>
            </w:r>
          </w:p>
        </w:tc>
      </w:tr>
      <w:tr w:rsidR="004779D9" w:rsidRPr="00FE714A" w14:paraId="584482D8" w14:textId="77777777" w:rsidTr="005E06AD">
        <w:trPr>
          <w:cantSplit/>
          <w:trHeight w:val="227"/>
        </w:trPr>
        <w:tc>
          <w:tcPr>
            <w:tcW w:w="1019" w:type="pct"/>
            <w:shd w:val="clear" w:color="auto" w:fill="B8CCE4" w:themeFill="accent1" w:themeFillTint="66"/>
            <w:tcMar>
              <w:left w:w="57" w:type="dxa"/>
              <w:right w:w="57" w:type="dxa"/>
            </w:tcMar>
          </w:tcPr>
          <w:p w14:paraId="750E8FF7" w14:textId="77777777" w:rsidR="004779D9" w:rsidRPr="00FE714A" w:rsidRDefault="004779D9" w:rsidP="00550B5E">
            <w:pPr>
              <w:keepNext/>
              <w:keepLines/>
              <w:jc w:val="left"/>
              <w:rPr>
                <w:rFonts w:ascii="Arial Narrow" w:hAnsi="Arial Narrow"/>
                <w:sz w:val="20"/>
                <w:szCs w:val="20"/>
              </w:rPr>
            </w:pPr>
            <w:r w:rsidRPr="00FE714A">
              <w:rPr>
                <w:rFonts w:ascii="Arial Narrow" w:hAnsi="Arial Narrow"/>
                <w:sz w:val="20"/>
                <w:szCs w:val="20"/>
              </w:rPr>
              <w:t xml:space="preserve">DUPI </w:t>
            </w:r>
            <w:proofErr w:type="spellStart"/>
            <w:r w:rsidRPr="00FE714A">
              <w:rPr>
                <w:rFonts w:ascii="Arial Narrow" w:hAnsi="Arial Narrow"/>
                <w:sz w:val="20"/>
                <w:szCs w:val="20"/>
              </w:rPr>
              <w:t>CsA</w:t>
            </w:r>
            <w:proofErr w:type="spellEnd"/>
            <w:r w:rsidRPr="00FE714A">
              <w:rPr>
                <w:rFonts w:ascii="Arial Narrow" w:hAnsi="Arial Narrow"/>
                <w:sz w:val="20"/>
                <w:szCs w:val="20"/>
              </w:rPr>
              <w:t xml:space="preserve"> naive</w:t>
            </w:r>
          </w:p>
        </w:tc>
        <w:tc>
          <w:tcPr>
            <w:tcW w:w="709" w:type="pct"/>
            <w:shd w:val="clear" w:color="auto" w:fill="auto"/>
            <w:tcMar>
              <w:left w:w="57" w:type="dxa"/>
              <w:right w:w="57" w:type="dxa"/>
            </w:tcMar>
            <w:vAlign w:val="center"/>
          </w:tcPr>
          <w:p w14:paraId="4AB5F7C2"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vAlign w:val="center"/>
          </w:tcPr>
          <w:p w14:paraId="41EE9F39"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78/246 (31.7)</w:t>
            </w:r>
          </w:p>
        </w:tc>
        <w:tc>
          <w:tcPr>
            <w:tcW w:w="709" w:type="pct"/>
            <w:shd w:val="clear" w:color="auto" w:fill="B8CCE4" w:themeFill="accent1" w:themeFillTint="66"/>
            <w:vAlign w:val="center"/>
          </w:tcPr>
          <w:p w14:paraId="7A5F2E10"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t xml:space="preserve">114/166 (68.7) </w:t>
            </w:r>
            <w:r w:rsidRPr="00FE714A">
              <w:rPr>
                <w:rFonts w:ascii="Arial Narrow" w:hAnsi="Arial Narrow"/>
                <w:sz w:val="20"/>
                <w:szCs w:val="20"/>
                <w:vertAlign w:val="superscript"/>
              </w:rPr>
              <w:t>a</w:t>
            </w:r>
          </w:p>
        </w:tc>
        <w:tc>
          <w:tcPr>
            <w:tcW w:w="928" w:type="pct"/>
            <w:tcMar>
              <w:left w:w="57" w:type="dxa"/>
              <w:right w:w="57" w:type="dxa"/>
            </w:tcMar>
            <w:vAlign w:val="center"/>
          </w:tcPr>
          <w:p w14:paraId="30770C48"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2.2 (1.8, 2.7)</w:t>
            </w:r>
          </w:p>
        </w:tc>
        <w:tc>
          <w:tcPr>
            <w:tcW w:w="926" w:type="pct"/>
            <w:tcMar>
              <w:left w:w="57" w:type="dxa"/>
              <w:right w:w="57" w:type="dxa"/>
            </w:tcMar>
            <w:vAlign w:val="center"/>
          </w:tcPr>
          <w:p w14:paraId="621EF25B"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0.37 (0.28, 0.46)</w:t>
            </w:r>
          </w:p>
        </w:tc>
      </w:tr>
      <w:tr w:rsidR="004779D9" w:rsidRPr="00FE714A" w14:paraId="5A248C97" w14:textId="77777777" w:rsidTr="005E06AD">
        <w:trPr>
          <w:cantSplit/>
          <w:trHeight w:val="227"/>
        </w:trPr>
        <w:tc>
          <w:tcPr>
            <w:tcW w:w="1019" w:type="pct"/>
            <w:shd w:val="clear" w:color="auto" w:fill="B8CCE4" w:themeFill="accent1" w:themeFillTint="66"/>
            <w:tcMar>
              <w:left w:w="57" w:type="dxa"/>
              <w:right w:w="57" w:type="dxa"/>
            </w:tcMar>
          </w:tcPr>
          <w:p w14:paraId="575C86FD" w14:textId="77777777" w:rsidR="004779D9" w:rsidRPr="00FE714A" w:rsidRDefault="004779D9" w:rsidP="00550B5E">
            <w:pPr>
              <w:keepNext/>
              <w:keepLines/>
              <w:jc w:val="left"/>
              <w:rPr>
                <w:rFonts w:ascii="Arial Narrow" w:hAnsi="Arial Narrow"/>
                <w:sz w:val="20"/>
                <w:szCs w:val="20"/>
              </w:rPr>
            </w:pPr>
            <w:r w:rsidRPr="00FE714A">
              <w:rPr>
                <w:rFonts w:ascii="Arial Narrow" w:hAnsi="Arial Narrow"/>
                <w:sz w:val="20"/>
                <w:szCs w:val="20"/>
              </w:rPr>
              <w:t>DUPI trials pooled</w:t>
            </w:r>
          </w:p>
        </w:tc>
        <w:tc>
          <w:tcPr>
            <w:tcW w:w="709" w:type="pct"/>
            <w:shd w:val="clear" w:color="auto" w:fill="auto"/>
            <w:tcMar>
              <w:left w:w="57" w:type="dxa"/>
              <w:right w:w="57" w:type="dxa"/>
            </w:tcMar>
            <w:vAlign w:val="center"/>
          </w:tcPr>
          <w:p w14:paraId="13B36EAE"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vAlign w:val="center"/>
          </w:tcPr>
          <w:p w14:paraId="65A9C9B9" w14:textId="77777777" w:rsidR="004779D9" w:rsidRPr="00FE714A" w:rsidRDefault="004779D9" w:rsidP="00550B5E">
            <w:pPr>
              <w:keepNext/>
              <w:keepLines/>
              <w:jc w:val="center"/>
              <w:rPr>
                <w:rFonts w:ascii="Arial Narrow" w:eastAsia="Calibri" w:hAnsi="Arial Narrow"/>
                <w:sz w:val="20"/>
                <w:szCs w:val="20"/>
              </w:rPr>
            </w:pPr>
            <w:r w:rsidRPr="00FE714A">
              <w:rPr>
                <w:rFonts w:ascii="Arial Narrow" w:hAnsi="Arial Narrow"/>
                <w:sz w:val="20"/>
                <w:szCs w:val="20"/>
              </w:rPr>
              <w:t>127/424 (30.0)</w:t>
            </w:r>
          </w:p>
        </w:tc>
        <w:tc>
          <w:tcPr>
            <w:tcW w:w="709" w:type="pct"/>
            <w:shd w:val="clear" w:color="auto" w:fill="B8CCE4" w:themeFill="accent1" w:themeFillTint="66"/>
            <w:vAlign w:val="center"/>
          </w:tcPr>
          <w:p w14:paraId="3DACA71B"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t>249/318 (68.9)</w:t>
            </w:r>
          </w:p>
        </w:tc>
        <w:tc>
          <w:tcPr>
            <w:tcW w:w="928" w:type="pct"/>
            <w:tcMar>
              <w:left w:w="57" w:type="dxa"/>
              <w:right w:w="57" w:type="dxa"/>
            </w:tcMar>
            <w:vAlign w:val="center"/>
          </w:tcPr>
          <w:p w14:paraId="23939C0A" w14:textId="7ED4D144"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2.3 (</w:t>
            </w:r>
            <w:r w:rsidR="00015392" w:rsidRPr="00FE714A">
              <w:rPr>
                <w:rFonts w:ascii="Arial Narrow" w:hAnsi="Arial Narrow"/>
                <w:b/>
                <w:bCs/>
                <w:sz w:val="20"/>
                <w:szCs w:val="20"/>
              </w:rPr>
              <w:t>2.0</w:t>
            </w:r>
            <w:r w:rsidRPr="00FE714A">
              <w:rPr>
                <w:rFonts w:ascii="Arial Narrow" w:hAnsi="Arial Narrow"/>
                <w:b/>
                <w:bCs/>
                <w:sz w:val="20"/>
                <w:szCs w:val="20"/>
              </w:rPr>
              <w:t>, 2.7)</w:t>
            </w:r>
          </w:p>
        </w:tc>
        <w:tc>
          <w:tcPr>
            <w:tcW w:w="926" w:type="pct"/>
            <w:tcMar>
              <w:left w:w="57" w:type="dxa"/>
              <w:right w:w="57" w:type="dxa"/>
            </w:tcMar>
            <w:vAlign w:val="center"/>
          </w:tcPr>
          <w:p w14:paraId="70D5EE51"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b/>
                <w:bCs/>
                <w:sz w:val="20"/>
                <w:szCs w:val="20"/>
              </w:rPr>
              <w:t>0.39 (0.32, 0.46)</w:t>
            </w:r>
          </w:p>
        </w:tc>
      </w:tr>
      <w:tr w:rsidR="004779D9" w:rsidRPr="00FE714A" w14:paraId="109F7037" w14:textId="77777777" w:rsidTr="005E06AD">
        <w:trPr>
          <w:cantSplit/>
          <w:trHeight w:val="227"/>
        </w:trPr>
        <w:tc>
          <w:tcPr>
            <w:tcW w:w="3146" w:type="pct"/>
            <w:gridSpan w:val="4"/>
            <w:shd w:val="clear" w:color="auto" w:fill="auto"/>
            <w:tcMar>
              <w:left w:w="57" w:type="dxa"/>
              <w:right w:w="57" w:type="dxa"/>
            </w:tcMar>
            <w:vAlign w:val="center"/>
          </w:tcPr>
          <w:p w14:paraId="47325DBD" w14:textId="77777777" w:rsidR="004779D9" w:rsidRPr="00FE714A" w:rsidRDefault="004779D9" w:rsidP="00550B5E">
            <w:pPr>
              <w:keepNext/>
              <w:keepLines/>
              <w:jc w:val="left"/>
              <w:rPr>
                <w:rFonts w:ascii="Arial Narrow" w:hAnsi="Arial Narrow"/>
                <w:sz w:val="20"/>
                <w:szCs w:val="20"/>
              </w:rPr>
            </w:pPr>
            <w:r w:rsidRPr="00FE714A">
              <w:rPr>
                <w:rFonts w:ascii="Arial Narrow" w:hAnsi="Arial Narrow"/>
                <w:sz w:val="20"/>
                <w:szCs w:val="20"/>
              </w:rPr>
              <w:t>Indirect treatment comparison: all trials pooled</w:t>
            </w:r>
          </w:p>
        </w:tc>
        <w:tc>
          <w:tcPr>
            <w:tcW w:w="928" w:type="pct"/>
            <w:tcMar>
              <w:left w:w="57" w:type="dxa"/>
              <w:right w:w="57" w:type="dxa"/>
            </w:tcMar>
            <w:vAlign w:val="center"/>
          </w:tcPr>
          <w:p w14:paraId="7242F02D"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t>0.87 (0.43, 1.75)</w:t>
            </w:r>
          </w:p>
        </w:tc>
        <w:tc>
          <w:tcPr>
            <w:tcW w:w="926" w:type="pct"/>
            <w:tcMar>
              <w:left w:w="57" w:type="dxa"/>
              <w:right w:w="57" w:type="dxa"/>
            </w:tcMar>
            <w:vAlign w:val="center"/>
          </w:tcPr>
          <w:p w14:paraId="0D04EA5B" w14:textId="77777777" w:rsidR="004779D9" w:rsidRPr="00FE714A" w:rsidRDefault="004779D9" w:rsidP="00550B5E">
            <w:pPr>
              <w:keepNext/>
              <w:keepLines/>
              <w:jc w:val="center"/>
              <w:rPr>
                <w:rFonts w:ascii="Arial Narrow" w:hAnsi="Arial Narrow"/>
                <w:sz w:val="20"/>
                <w:szCs w:val="20"/>
              </w:rPr>
            </w:pPr>
            <w:r w:rsidRPr="00FE714A">
              <w:rPr>
                <w:rFonts w:ascii="Arial Narrow" w:hAnsi="Arial Narrow"/>
                <w:sz w:val="20"/>
                <w:szCs w:val="20"/>
              </w:rPr>
              <w:noBreakHyphen/>
              <w:t>0.06 (</w:t>
            </w:r>
            <w:r w:rsidRPr="00FE714A">
              <w:rPr>
                <w:rFonts w:ascii="Arial Narrow" w:hAnsi="Arial Narrow"/>
                <w:sz w:val="20"/>
                <w:szCs w:val="20"/>
              </w:rPr>
              <w:noBreakHyphen/>
              <w:t>0.29, 0.17)</w:t>
            </w:r>
          </w:p>
        </w:tc>
      </w:tr>
    </w:tbl>
    <w:p w14:paraId="4FA0A893" w14:textId="77777777" w:rsidR="004779D9" w:rsidRPr="00FE714A" w:rsidRDefault="004779D9" w:rsidP="00550B5E">
      <w:pPr>
        <w:pStyle w:val="FooterTableFigure"/>
        <w:keepNext/>
        <w:keepLines/>
      </w:pPr>
      <w:r w:rsidRPr="00FE714A">
        <w:t>Source: Table 2.6-6, p219 of the submission.</w:t>
      </w:r>
    </w:p>
    <w:p w14:paraId="616FEAE3" w14:textId="77777777" w:rsidR="004779D9" w:rsidRPr="00FE714A" w:rsidRDefault="004779D9" w:rsidP="00550B5E">
      <w:pPr>
        <w:pStyle w:val="FooterTableFigure"/>
        <w:keepNext/>
        <w:keepLines/>
      </w:pPr>
      <w:r w:rsidRPr="00FE714A">
        <w:t xml:space="preserve">AD = atopic dermatitis; CI = confidence interval; </w:t>
      </w:r>
      <w:proofErr w:type="spellStart"/>
      <w:r w:rsidRPr="00FE714A">
        <w:t>CsA</w:t>
      </w:r>
      <w:proofErr w:type="spellEnd"/>
      <w:r w:rsidRPr="00FE714A">
        <w:t xml:space="preserve"> = ciclosporin; DLQI = dermatology life quality index; DUPI = dupilumab; ITC = indirect comparison; LEB = lebrikizumab; PBO = placebo; Q2W = every 2 weeks; RD = risk difference; RR = relative risk; TCS = topical corticosteroids</w:t>
      </w:r>
    </w:p>
    <w:p w14:paraId="1D92FE5A" w14:textId="77777777" w:rsidR="004779D9" w:rsidRPr="00FE714A" w:rsidRDefault="004779D9" w:rsidP="00550B5E">
      <w:pPr>
        <w:pStyle w:val="FooterTableFigure"/>
        <w:keepNext/>
        <w:keepLines/>
      </w:pPr>
      <w:r w:rsidRPr="00FE714A">
        <w:t xml:space="preserve">a Erroneously reported by the submission (as 144). This was corrected during the evaluation from Table 9, DUPI PSD, March 2020 PBAC meeting. </w:t>
      </w:r>
    </w:p>
    <w:p w14:paraId="2B348E26" w14:textId="77777777" w:rsidR="004779D9" w:rsidRPr="00FE714A" w:rsidRDefault="004779D9" w:rsidP="00550B5E">
      <w:pPr>
        <w:pStyle w:val="FooterTableFigure"/>
        <w:keepNext/>
        <w:keepLines/>
      </w:pPr>
      <w:r w:rsidRPr="00FE714A">
        <w:t>Values in bold indicate significance (CI did not include 1 or 0 for RR and RD respectively).</w:t>
      </w:r>
    </w:p>
    <w:p w14:paraId="5C1C2E6E" w14:textId="350D2096" w:rsidR="004779D9" w:rsidRPr="00FE714A" w:rsidRDefault="004779D9" w:rsidP="00D200DF">
      <w:pPr>
        <w:pStyle w:val="FooterTableFigure"/>
      </w:pPr>
      <w:r w:rsidRPr="00FE714A">
        <w:t xml:space="preserve">Blue shading indicates results previously considered by PBAC. </w:t>
      </w:r>
    </w:p>
    <w:p w14:paraId="402E2B58" w14:textId="1FF08201" w:rsidR="004779D9" w:rsidRPr="00FE714A" w:rsidRDefault="00A1144E" w:rsidP="00F90831">
      <w:pPr>
        <w:pStyle w:val="3-BodyText"/>
      </w:pPr>
      <w:r w:rsidRPr="00FE714A">
        <w:t>In the post hoc subgroup analysis of severe AD patients, there was n</w:t>
      </w:r>
      <w:r w:rsidR="004779D9" w:rsidRPr="00FE714A">
        <w:t>o statistically significant difference (</w:t>
      </w:r>
      <w:r w:rsidR="00DF2A03" w:rsidRPr="00FE714A">
        <w:t xml:space="preserve">defined as </w:t>
      </w:r>
      <w:r w:rsidR="00CC16F6" w:rsidRPr="00FE714A">
        <w:t>95% confidence interval (</w:t>
      </w:r>
      <w:r w:rsidR="004779D9" w:rsidRPr="00FE714A">
        <w:t>CI</w:t>
      </w:r>
      <w:r w:rsidR="00CC16F6" w:rsidRPr="00FE714A">
        <w:t>)</w:t>
      </w:r>
      <w:r w:rsidR="004779D9" w:rsidRPr="00FE714A">
        <w:t xml:space="preserve"> </w:t>
      </w:r>
      <w:r w:rsidR="00DF2A03" w:rsidRPr="00FE714A">
        <w:t>including 1 for relative risk (RR) or 0 for risk difference (RD)</w:t>
      </w:r>
      <w:r w:rsidR="004779D9" w:rsidRPr="00FE714A">
        <w:t xml:space="preserve">) between LEB 250 mg Q2W and placebo in </w:t>
      </w:r>
      <w:proofErr w:type="spellStart"/>
      <w:r w:rsidR="004779D9" w:rsidRPr="00FE714A">
        <w:t>ADhere</w:t>
      </w:r>
      <w:proofErr w:type="spellEnd"/>
      <w:r w:rsidR="004779D9" w:rsidRPr="00FE714A">
        <w:t xml:space="preserve">. </w:t>
      </w:r>
      <w:r w:rsidR="003B7505" w:rsidRPr="00FE714A">
        <w:t xml:space="preserve">As </w:t>
      </w:r>
      <w:r w:rsidR="00354D09" w:rsidRPr="00FE714A">
        <w:t>mentioned</w:t>
      </w:r>
      <w:r w:rsidR="003B7505" w:rsidRPr="00FE714A">
        <w:t xml:space="preserve"> in paragraph </w:t>
      </w:r>
      <w:r w:rsidR="003B7505" w:rsidRPr="00FE714A">
        <w:fldChar w:fldCharType="begin" w:fldLock="1"/>
      </w:r>
      <w:r w:rsidR="003B7505" w:rsidRPr="00FE714A">
        <w:instrText xml:space="preserve"> REF _Ref156380075 \r \h </w:instrText>
      </w:r>
      <w:r w:rsidR="00F0189B" w:rsidRPr="00FE714A">
        <w:instrText xml:space="preserve"> \* MERGEFORMAT </w:instrText>
      </w:r>
      <w:r w:rsidR="003B7505" w:rsidRPr="00FE714A">
        <w:fldChar w:fldCharType="separate"/>
      </w:r>
      <w:r w:rsidR="00B3585E">
        <w:t>6.5</w:t>
      </w:r>
      <w:r w:rsidR="003B7505" w:rsidRPr="00FE714A">
        <w:fldChar w:fldCharType="end"/>
      </w:r>
      <w:r w:rsidR="003B7505" w:rsidRPr="00FE714A">
        <w:t xml:space="preserve">, </w:t>
      </w:r>
      <w:r w:rsidR="00B80593" w:rsidRPr="00FE714A">
        <w:t xml:space="preserve">the number of </w:t>
      </w:r>
      <w:r w:rsidR="003B7505" w:rsidRPr="00FE714A">
        <w:t>patient</w:t>
      </w:r>
      <w:r w:rsidR="00B80593" w:rsidRPr="00FE714A">
        <w:t>s</w:t>
      </w:r>
      <w:r w:rsidR="003B7505" w:rsidRPr="00FE714A">
        <w:t xml:space="preserve"> in the severe AD subgroup in </w:t>
      </w:r>
      <w:proofErr w:type="spellStart"/>
      <w:r w:rsidR="003B7505" w:rsidRPr="00FE714A">
        <w:t>ADhere</w:t>
      </w:r>
      <w:proofErr w:type="spellEnd"/>
      <w:r w:rsidR="003B7505" w:rsidRPr="00FE714A">
        <w:t xml:space="preserve"> </w:t>
      </w:r>
      <w:r w:rsidR="00B80593" w:rsidRPr="00FE714A">
        <w:t xml:space="preserve">was small </w:t>
      </w:r>
      <w:r w:rsidR="003B7505" w:rsidRPr="00FE714A">
        <w:t xml:space="preserve">(LEB=23; placebo=6). </w:t>
      </w:r>
      <w:r w:rsidR="004779D9" w:rsidRPr="00FE714A">
        <w:t xml:space="preserve">Comparatively, all other trials </w:t>
      </w:r>
      <w:r w:rsidR="006F00FE" w:rsidRPr="00FE714A">
        <w:t xml:space="preserve">reported statistically </w:t>
      </w:r>
      <w:r w:rsidR="004779D9" w:rsidRPr="00FE714A">
        <w:t>significant</w:t>
      </w:r>
      <w:r w:rsidR="006F00FE" w:rsidRPr="00FE714A">
        <w:t xml:space="preserve"> </w:t>
      </w:r>
      <w:r w:rsidR="004779D9" w:rsidRPr="00FE714A">
        <w:t xml:space="preserve">results </w:t>
      </w:r>
      <w:r w:rsidR="006F00FE" w:rsidRPr="00FE714A">
        <w:t xml:space="preserve">favouring LEB or DUPI compared to </w:t>
      </w:r>
      <w:r w:rsidR="004779D9" w:rsidRPr="00FE714A">
        <w:t xml:space="preserve">placebo. </w:t>
      </w:r>
    </w:p>
    <w:p w14:paraId="4641B2B3" w14:textId="26611738" w:rsidR="004779D9" w:rsidRPr="00FE714A" w:rsidRDefault="004779D9" w:rsidP="00F90831">
      <w:pPr>
        <w:pStyle w:val="3-BodyText"/>
      </w:pPr>
      <w:bookmarkStart w:id="27" w:name="_Ref156305733"/>
      <w:r w:rsidRPr="00FE714A">
        <w:t xml:space="preserve">In the indirect comparison, there was no statistically significant difference between LEB and DUPI for the proportions of severe AD patients who achieved the composite outcome nor its individual components (EASI 50 or DLQI ≥ 4-point improvement). While results were not </w:t>
      </w:r>
      <w:r w:rsidR="00DF2A03" w:rsidRPr="00FE714A">
        <w:t xml:space="preserve">statistically </w:t>
      </w:r>
      <w:r w:rsidRPr="00FE714A">
        <w:t>significant, the reported point estimates were in favour of DUPI and the 95% CI was large, indicating large range of uncertainty associated with the indirect comparison.</w:t>
      </w:r>
      <w:r w:rsidR="00FA7FD5" w:rsidRPr="00FE714A">
        <w:t xml:space="preserve"> The upper and lower 95% CI for RR was 0.50 and 1.96 in the </w:t>
      </w:r>
      <w:r w:rsidR="00974BAF" w:rsidRPr="00FE714A">
        <w:t xml:space="preserve">indirect comparison, suggesting that </w:t>
      </w:r>
      <w:r w:rsidR="00CC478F" w:rsidRPr="00FE714A">
        <w:t xml:space="preserve">the proportion of patients treated with </w:t>
      </w:r>
      <w:r w:rsidR="00974BAF" w:rsidRPr="00FE714A">
        <w:t xml:space="preserve">LEB </w:t>
      </w:r>
      <w:r w:rsidR="00CC478F" w:rsidRPr="00FE714A">
        <w:t xml:space="preserve">who achieve the composite outcome </w:t>
      </w:r>
      <w:r w:rsidR="00974BAF" w:rsidRPr="00FE714A">
        <w:t xml:space="preserve">could </w:t>
      </w:r>
      <w:r w:rsidR="00AE6276" w:rsidRPr="00FE714A">
        <w:t xml:space="preserve">range from </w:t>
      </w:r>
      <w:r w:rsidR="00CC478F" w:rsidRPr="00FE714A">
        <w:t>be</w:t>
      </w:r>
      <w:r w:rsidR="00AE6276" w:rsidRPr="00FE714A">
        <w:t>ing</w:t>
      </w:r>
      <w:r w:rsidR="00CC478F" w:rsidRPr="00FE714A">
        <w:t xml:space="preserve"> half that of DUPI or nearly </w:t>
      </w:r>
      <w:r w:rsidR="00974BAF" w:rsidRPr="00FE714A">
        <w:t xml:space="preserve">twice as </w:t>
      </w:r>
      <w:r w:rsidR="00AE6276" w:rsidRPr="00FE714A">
        <w:t xml:space="preserve">high </w:t>
      </w:r>
      <w:r w:rsidR="00974BAF" w:rsidRPr="00FE714A">
        <w:t>as DUPI</w:t>
      </w:r>
      <w:r w:rsidR="00CC478F" w:rsidRPr="00FE714A">
        <w:t>.</w:t>
      </w:r>
      <w:bookmarkEnd w:id="27"/>
      <w:r w:rsidR="00CC478F" w:rsidRPr="00FE714A">
        <w:t xml:space="preserve"> </w:t>
      </w:r>
    </w:p>
    <w:p w14:paraId="61714DCC" w14:textId="1B762032" w:rsidR="004779D9" w:rsidRPr="00FE714A" w:rsidRDefault="004779D9" w:rsidP="00F90831">
      <w:pPr>
        <w:pStyle w:val="3-BodyText"/>
      </w:pPr>
      <w:r w:rsidRPr="00FE714A">
        <w:t>The submission noted that the proportion of patients achieving the composite outcome and its components w</w:t>
      </w:r>
      <w:r w:rsidR="00EB7ACA" w:rsidRPr="00FE714A">
        <w:t>as</w:t>
      </w:r>
      <w:r w:rsidRPr="00FE714A">
        <w:t xml:space="preserve"> generally lower in </w:t>
      </w:r>
      <w:r w:rsidR="006B7609" w:rsidRPr="00FE714A">
        <w:t xml:space="preserve">LEB </w:t>
      </w:r>
      <w:r w:rsidRPr="00FE714A">
        <w:t xml:space="preserve">monotherapy trials and higher in </w:t>
      </w:r>
      <w:r w:rsidR="006B7609" w:rsidRPr="00FE714A">
        <w:t xml:space="preserve">the LEB </w:t>
      </w:r>
      <w:r w:rsidRPr="00FE714A">
        <w:t xml:space="preserve">combination therapy trial </w:t>
      </w:r>
      <w:proofErr w:type="spellStart"/>
      <w:r w:rsidRPr="00FE714A">
        <w:t>ADhere</w:t>
      </w:r>
      <w:proofErr w:type="spellEnd"/>
      <w:r w:rsidRPr="00FE714A">
        <w:t xml:space="preserve">, regardless of treatment (LEB or placebo) received. The submission described that the use of concomitant TCS was likely to be the reason for increased response rates in </w:t>
      </w:r>
      <w:proofErr w:type="spellStart"/>
      <w:r w:rsidRPr="00FE714A">
        <w:t>ADhere</w:t>
      </w:r>
      <w:proofErr w:type="spellEnd"/>
      <w:r w:rsidRPr="00FE714A">
        <w:t xml:space="preserve"> compared with the monotherapy trials</w:t>
      </w:r>
      <w:r w:rsidRPr="00FE714A">
        <w:rPr>
          <w:i/>
          <w:iCs/>
        </w:rPr>
        <w:t xml:space="preserve">. </w:t>
      </w:r>
      <w:r w:rsidR="006B7609" w:rsidRPr="00FE714A">
        <w:t>T</w:t>
      </w:r>
      <w:r w:rsidRPr="00FE714A">
        <w:t>he magnitude of difference between the two arms was also smaller</w:t>
      </w:r>
      <w:r w:rsidR="00EB7ACA" w:rsidRPr="00FE714A">
        <w:t xml:space="preserve"> in the combination therapy trial</w:t>
      </w:r>
      <w:r w:rsidRPr="00FE714A">
        <w:t xml:space="preserve"> i.e., the observed RR and RD for </w:t>
      </w:r>
      <w:proofErr w:type="spellStart"/>
      <w:r w:rsidRPr="00FE714A">
        <w:t>ADhere</w:t>
      </w:r>
      <w:proofErr w:type="spellEnd"/>
      <w:r w:rsidRPr="00FE714A">
        <w:t xml:space="preserve"> tended to be lower than those in reported in the monotherapy trials. This was consistent with PBAC observation for baricitinib where the benefit appeared to be somewhat attenuated in the trials that allowed concomitant TCS (paragraph 6.23, baricitinib PSD, July 2021 PBAC meeting). Given the PBAC has previously considered </w:t>
      </w:r>
      <w:r w:rsidRPr="00FE714A">
        <w:lastRenderedPageBreak/>
        <w:t xml:space="preserve">that TCS would be expected to be continued in combination with other treatment in Australian clinical practice (paragraph 6.10, UPA PSD, July 2021 PBAC meeting), the observed pooled treatment effect for the composite outcome (RR=3.45, 95%CI: 1.91, 6.22) </w:t>
      </w:r>
      <w:r w:rsidR="00906F7F" w:rsidRPr="00FE714A">
        <w:t xml:space="preserve">which included a majority of LEB monotherapy patients (157 out of 180 LEB </w:t>
      </w:r>
      <w:r w:rsidR="0007696B" w:rsidRPr="00FE714A">
        <w:t xml:space="preserve">patients with severe AD) </w:t>
      </w:r>
      <w:r w:rsidRPr="00FE714A">
        <w:t xml:space="preserve">may </w:t>
      </w:r>
      <w:r w:rsidR="002400F1" w:rsidRPr="00FE714A">
        <w:t xml:space="preserve">be overestimated </w:t>
      </w:r>
      <w:r w:rsidR="00683562" w:rsidRPr="00FE714A">
        <w:t xml:space="preserve">compared to use in </w:t>
      </w:r>
      <w:r w:rsidRPr="00FE714A">
        <w:t xml:space="preserve">the </w:t>
      </w:r>
      <w:r w:rsidR="00683562" w:rsidRPr="00FE714A">
        <w:t>proposed population</w:t>
      </w:r>
      <w:r w:rsidRPr="00FE714A">
        <w:t>.</w:t>
      </w:r>
      <w:r w:rsidR="00415E1B" w:rsidRPr="00FE714A">
        <w:t xml:space="preserve"> </w:t>
      </w:r>
      <w:r w:rsidR="00F8139E" w:rsidRPr="00FE714A">
        <w:t xml:space="preserve">Further, </w:t>
      </w:r>
      <w:r w:rsidR="00BD222C" w:rsidRPr="00FE714A">
        <w:t>th</w:t>
      </w:r>
      <w:r w:rsidR="00DD5804" w:rsidRPr="00FE714A">
        <w:t>e results of the indirect comparison</w:t>
      </w:r>
      <w:r w:rsidR="00BD222C" w:rsidRPr="00FE714A">
        <w:t xml:space="preserve"> may p</w:t>
      </w:r>
      <w:r w:rsidR="00415E1B" w:rsidRPr="00FE714A">
        <w:t>ossibly</w:t>
      </w:r>
      <w:r w:rsidR="006C33C6" w:rsidRPr="00FE714A">
        <w:t xml:space="preserve"> be</w:t>
      </w:r>
      <w:r w:rsidR="00415E1B" w:rsidRPr="00FE714A">
        <w:t xml:space="preserve"> biased in favour of LEB if </w:t>
      </w:r>
      <w:r w:rsidR="00E25A56" w:rsidRPr="00FE714A">
        <w:t>the ratio of patients tr</w:t>
      </w:r>
      <w:r w:rsidR="00BD222C" w:rsidRPr="00FE714A">
        <w:t>ea</w:t>
      </w:r>
      <w:r w:rsidR="00E25A56" w:rsidRPr="00FE714A">
        <w:t xml:space="preserve">ted with </w:t>
      </w:r>
      <w:r w:rsidR="006C33C6" w:rsidRPr="00FE714A">
        <w:t xml:space="preserve">combination therapy </w:t>
      </w:r>
      <w:r w:rsidR="00663277" w:rsidRPr="00FE714A">
        <w:t>(</w:t>
      </w:r>
      <w:r w:rsidR="00E25A56" w:rsidRPr="00FE714A">
        <w:t xml:space="preserve">DUPI </w:t>
      </w:r>
      <w:r w:rsidR="00767F7E" w:rsidRPr="00FE714A">
        <w:rPr>
          <w:rFonts w:cstheme="minorHAnsi"/>
        </w:rPr>
        <w:t>+</w:t>
      </w:r>
      <w:r w:rsidR="00BD222C" w:rsidRPr="00FE714A">
        <w:t xml:space="preserve"> </w:t>
      </w:r>
      <w:r w:rsidR="00E25A56" w:rsidRPr="00FE714A">
        <w:t>TCS</w:t>
      </w:r>
      <w:r w:rsidR="00663277" w:rsidRPr="00FE714A">
        <w:t>)</w:t>
      </w:r>
      <w:r w:rsidR="00E25A56" w:rsidRPr="00FE714A">
        <w:t xml:space="preserve"> in </w:t>
      </w:r>
      <w:r w:rsidR="00663277" w:rsidRPr="00FE714A">
        <w:t xml:space="preserve">the </w:t>
      </w:r>
      <w:r w:rsidR="00E25A56" w:rsidRPr="00FE714A">
        <w:t xml:space="preserve">pooled </w:t>
      </w:r>
      <w:r w:rsidR="00D74F1F" w:rsidRPr="00FE714A">
        <w:t>estimates for DUPI</w:t>
      </w:r>
      <w:r w:rsidR="00086AF1" w:rsidRPr="00FE714A">
        <w:t xml:space="preserve"> </w:t>
      </w:r>
      <w:r w:rsidR="00427C81" w:rsidRPr="00FE714A">
        <w:t>was</w:t>
      </w:r>
      <w:r w:rsidR="00E25A56" w:rsidRPr="00FE714A">
        <w:t xml:space="preserve"> higher </w:t>
      </w:r>
      <w:r w:rsidR="00C20BF3" w:rsidRPr="00FE714A">
        <w:t>th</w:t>
      </w:r>
      <w:r w:rsidR="00BD222C" w:rsidRPr="00FE714A">
        <w:t>a</w:t>
      </w:r>
      <w:r w:rsidR="00C20BF3" w:rsidRPr="00FE714A">
        <w:t xml:space="preserve">n </w:t>
      </w:r>
      <w:r w:rsidR="00427C81" w:rsidRPr="00FE714A">
        <w:t xml:space="preserve">those observed for </w:t>
      </w:r>
      <w:r w:rsidR="00C20BF3" w:rsidRPr="00FE714A">
        <w:t>LEB</w:t>
      </w:r>
      <w:r w:rsidR="00BD222C" w:rsidRPr="00FE714A">
        <w:t>, though</w:t>
      </w:r>
      <w:r w:rsidR="00A7758E" w:rsidRPr="00FE714A">
        <w:t xml:space="preserve"> </w:t>
      </w:r>
      <w:r w:rsidR="00427C81" w:rsidRPr="00FE714A">
        <w:t>this was unclear and could not be verified during the evaluation</w:t>
      </w:r>
      <w:r w:rsidR="00C20BF3" w:rsidRPr="00FE714A">
        <w:t>.</w:t>
      </w:r>
    </w:p>
    <w:p w14:paraId="52C283F8" w14:textId="53A7E0A0" w:rsidR="004779D9" w:rsidRPr="00FE714A" w:rsidRDefault="004779D9" w:rsidP="00F90831">
      <w:pPr>
        <w:pStyle w:val="3-BodyText"/>
      </w:pPr>
      <w:r w:rsidRPr="00FE714A">
        <w:t>On balance, the clinical evidence presented by the submission indicate</w:t>
      </w:r>
      <w:r w:rsidR="003E69E9" w:rsidRPr="00FE714A">
        <w:t>s</w:t>
      </w:r>
      <w:r w:rsidRPr="00FE714A">
        <w:t xml:space="preserve"> that LEB 250</w:t>
      </w:r>
      <w:r w:rsidR="007D452D">
        <w:t> </w:t>
      </w:r>
      <w:r w:rsidRPr="00FE714A">
        <w:t xml:space="preserve">mg Q2W ± TCS was likely better than placebo ± TCS. However, </w:t>
      </w:r>
      <w:r w:rsidR="00295271" w:rsidRPr="00FE714A">
        <w:t xml:space="preserve">the evaluation considered </w:t>
      </w:r>
      <w:r w:rsidRPr="00FE714A">
        <w:t xml:space="preserve">the clinical evidence may not adequately support the submission’s claim that LEB 250 mg Q2W ± TCS was non-inferior to DUPI 300 mg Q2W ± TCS. </w:t>
      </w:r>
      <w:r w:rsidR="00295271" w:rsidRPr="00FE714A">
        <w:t>G</w:t>
      </w:r>
      <w:r w:rsidR="00C71209" w:rsidRPr="00FE714A">
        <w:t>iven</w:t>
      </w:r>
      <w:r w:rsidR="00336EC9" w:rsidRPr="00FE714A">
        <w:t xml:space="preserve"> the</w:t>
      </w:r>
      <w:r w:rsidR="00C71209" w:rsidRPr="00FE714A">
        <w:t xml:space="preserve"> lower bound 95% CI for RR was 0.50 in the indirect comparison</w:t>
      </w:r>
      <w:r w:rsidR="009103D9" w:rsidRPr="00FE714A">
        <w:t xml:space="preserve"> for the composite outcome</w:t>
      </w:r>
      <w:r w:rsidR="00C71209" w:rsidRPr="00FE714A">
        <w:t xml:space="preserve">, </w:t>
      </w:r>
      <w:r w:rsidR="00BE32FD" w:rsidRPr="00FE714A">
        <w:t>in order to accept</w:t>
      </w:r>
      <w:r w:rsidR="0037195D" w:rsidRPr="00FE714A">
        <w:t xml:space="preserve"> that</w:t>
      </w:r>
      <w:r w:rsidR="00BE32FD" w:rsidRPr="00FE714A">
        <w:t xml:space="preserve"> LEB is non-inferior to DUPI, </w:t>
      </w:r>
      <w:r w:rsidR="0037195D" w:rsidRPr="00FE714A">
        <w:t>the non-inferiority margin must b</w:t>
      </w:r>
      <w:r w:rsidR="004C5449" w:rsidRPr="00FE714A">
        <w:t>e</w:t>
      </w:r>
      <w:r w:rsidR="0037195D" w:rsidRPr="00FE714A">
        <w:t xml:space="preserve"> </w:t>
      </w:r>
      <w:r w:rsidR="00CF4922" w:rsidRPr="00FE714A">
        <w:t xml:space="preserve">set as </w:t>
      </w:r>
      <w:r w:rsidR="00573F7C" w:rsidRPr="00FE714A">
        <w:t xml:space="preserve">0.50 or less i.e. </w:t>
      </w:r>
      <w:r w:rsidR="006E79C2" w:rsidRPr="00FE714A">
        <w:t>willing</w:t>
      </w:r>
      <w:r w:rsidR="004C5449" w:rsidRPr="00FE714A">
        <w:t>ness</w:t>
      </w:r>
      <w:r w:rsidR="006E79C2" w:rsidRPr="00FE714A">
        <w:t xml:space="preserve"> to accept that LEB </w:t>
      </w:r>
      <w:r w:rsidR="00E4485F" w:rsidRPr="00FE714A">
        <w:t>may be</w:t>
      </w:r>
      <w:r w:rsidR="006E79C2" w:rsidRPr="00FE714A">
        <w:t xml:space="preserve"> half as good </w:t>
      </w:r>
      <w:r w:rsidR="0037195D" w:rsidRPr="00FE714A">
        <w:t>as DUPI</w:t>
      </w:r>
      <w:r w:rsidR="00573F7C" w:rsidRPr="00FE714A">
        <w:t xml:space="preserve"> </w:t>
      </w:r>
      <w:r w:rsidR="00B56B9A" w:rsidRPr="00FE714A">
        <w:t xml:space="preserve">but be considered </w:t>
      </w:r>
      <w:r w:rsidR="00573F7C" w:rsidRPr="00FE714A">
        <w:t>non-inferior</w:t>
      </w:r>
      <w:r w:rsidR="0037195D" w:rsidRPr="00FE714A">
        <w:t xml:space="preserve">. </w:t>
      </w:r>
    </w:p>
    <w:p w14:paraId="0B4D9A69" w14:textId="77777777" w:rsidR="004779D9" w:rsidRPr="00FE714A" w:rsidRDefault="004779D9" w:rsidP="00001A5D">
      <w:pPr>
        <w:pStyle w:val="3-BodyText"/>
        <w:numPr>
          <w:ilvl w:val="0"/>
          <w:numId w:val="0"/>
        </w:numPr>
        <w:rPr>
          <w:b/>
          <w:bCs/>
        </w:rPr>
      </w:pPr>
      <w:r w:rsidRPr="00FE714A">
        <w:rPr>
          <w:b/>
          <w:bCs/>
        </w:rPr>
        <w:t>Indirect treatment comparison (whole trial population)</w:t>
      </w:r>
    </w:p>
    <w:p w14:paraId="3B297567" w14:textId="47B0F205" w:rsidR="004779D9" w:rsidRPr="00FE714A" w:rsidRDefault="004779D9" w:rsidP="000B2442">
      <w:pPr>
        <w:pStyle w:val="3-BodyText"/>
      </w:pPr>
      <w:r w:rsidRPr="00FE714A">
        <w:t xml:space="preserve">The </w:t>
      </w:r>
      <w:r w:rsidR="00AE6276" w:rsidRPr="00FE714A">
        <w:t xml:space="preserve">pooled </w:t>
      </w:r>
      <w:r w:rsidRPr="00FE714A">
        <w:t xml:space="preserve">results of the meta-analyses </w:t>
      </w:r>
      <w:r w:rsidR="00AE6276" w:rsidRPr="00FE714A">
        <w:t xml:space="preserve">for LEB and DUPI </w:t>
      </w:r>
      <w:r w:rsidRPr="00FE714A">
        <w:t xml:space="preserve">and indirect comparisons in the whole trial populations (i.e., moderate and severe AD patients) for the efficacy outcomes of EASI 75, EASI 50, DLQI ≥ 4-point improvement and IGA 0/1 </w:t>
      </w:r>
      <w:r w:rsidR="005E489C" w:rsidRPr="00FE714A">
        <w:t xml:space="preserve">at week 16 </w:t>
      </w:r>
      <w:r w:rsidRPr="00FE714A">
        <w:t xml:space="preserve">are presented in </w:t>
      </w:r>
      <w:r w:rsidRPr="00FE714A">
        <w:fldChar w:fldCharType="begin" w:fldLock="1"/>
      </w:r>
      <w:r w:rsidRPr="00FE714A">
        <w:instrText xml:space="preserve"> REF _Ref155544525 \h </w:instrText>
      </w:r>
      <w:r w:rsidRPr="00FE714A">
        <w:fldChar w:fldCharType="separate"/>
      </w:r>
      <w:r w:rsidR="00B3585E" w:rsidRPr="00FE714A">
        <w:t xml:space="preserve">Table </w:t>
      </w:r>
      <w:r w:rsidR="00B3585E">
        <w:rPr>
          <w:noProof/>
        </w:rPr>
        <w:t>7</w:t>
      </w:r>
      <w:r w:rsidRPr="00FE714A">
        <w:fldChar w:fldCharType="end"/>
      </w:r>
      <w:r w:rsidRPr="00FE714A">
        <w:t xml:space="preserve">, </w:t>
      </w:r>
      <w:r w:rsidRPr="00FE714A">
        <w:fldChar w:fldCharType="begin" w:fldLock="1"/>
      </w:r>
      <w:r w:rsidRPr="00FE714A">
        <w:instrText xml:space="preserve"> REF _Ref155544526 \h </w:instrText>
      </w:r>
      <w:r w:rsidRPr="00FE714A">
        <w:fldChar w:fldCharType="separate"/>
      </w:r>
      <w:r w:rsidR="00B3585E" w:rsidRPr="00FE714A">
        <w:t xml:space="preserve">Table </w:t>
      </w:r>
      <w:r w:rsidR="00B3585E">
        <w:rPr>
          <w:noProof/>
        </w:rPr>
        <w:t>8</w:t>
      </w:r>
      <w:r w:rsidRPr="00FE714A">
        <w:fldChar w:fldCharType="end"/>
      </w:r>
      <w:r w:rsidRPr="00FE714A">
        <w:t>,</w:t>
      </w:r>
      <w:r w:rsidR="00FE714A">
        <w:t xml:space="preserve"> </w:t>
      </w:r>
      <w:r w:rsidRPr="00FE714A">
        <w:fldChar w:fldCharType="begin" w:fldLock="1"/>
      </w:r>
      <w:r w:rsidRPr="00FE714A">
        <w:instrText xml:space="preserve"> REF _Ref155544528 \h </w:instrText>
      </w:r>
      <w:r w:rsidRPr="00FE714A">
        <w:fldChar w:fldCharType="separate"/>
      </w:r>
      <w:r w:rsidR="00B3585E" w:rsidRPr="00FE714A">
        <w:t xml:space="preserve">Table </w:t>
      </w:r>
      <w:r w:rsidR="00B3585E">
        <w:rPr>
          <w:noProof/>
        </w:rPr>
        <w:t>9</w:t>
      </w:r>
      <w:r w:rsidRPr="00FE714A">
        <w:fldChar w:fldCharType="end"/>
      </w:r>
      <w:r w:rsidRPr="00FE714A">
        <w:t xml:space="preserve"> and </w:t>
      </w:r>
      <w:r w:rsidRPr="00FE714A">
        <w:fldChar w:fldCharType="begin" w:fldLock="1"/>
      </w:r>
      <w:r w:rsidRPr="00FE714A">
        <w:instrText xml:space="preserve"> REF _Ref155544529 \h </w:instrText>
      </w:r>
      <w:r w:rsidRPr="00FE714A">
        <w:fldChar w:fldCharType="separate"/>
      </w:r>
      <w:r w:rsidR="00B3585E" w:rsidRPr="00FE714A">
        <w:t xml:space="preserve">Table </w:t>
      </w:r>
      <w:r w:rsidR="00B3585E">
        <w:rPr>
          <w:noProof/>
        </w:rPr>
        <w:t>10</w:t>
      </w:r>
      <w:r w:rsidRPr="00FE714A">
        <w:fldChar w:fldCharType="end"/>
      </w:r>
      <w:r w:rsidRPr="00FE714A">
        <w:t>, respectively.</w:t>
      </w:r>
    </w:p>
    <w:p w14:paraId="4089C04B" w14:textId="750F837B" w:rsidR="004779D9" w:rsidRPr="00FE714A" w:rsidRDefault="004779D9" w:rsidP="00202140">
      <w:pPr>
        <w:pStyle w:val="Caption"/>
        <w:rPr>
          <w:rStyle w:val="CommentReference"/>
          <w:b/>
          <w:szCs w:val="24"/>
        </w:rPr>
      </w:pPr>
      <w:bookmarkStart w:id="28" w:name="_Ref155544525"/>
      <w:bookmarkStart w:id="29" w:name="_Ref155544515"/>
      <w:r w:rsidRPr="00FE714A">
        <w:lastRenderedPageBreak/>
        <w:t xml:space="preserve">Table </w:t>
      </w:r>
      <w:r w:rsidR="008B26E3">
        <w:fldChar w:fldCharType="begin" w:fldLock="1"/>
      </w:r>
      <w:r w:rsidR="008B26E3">
        <w:instrText xml:space="preserve"> SEQ Table \* ARABIC </w:instrText>
      </w:r>
      <w:r w:rsidR="008B26E3">
        <w:fldChar w:fldCharType="separate"/>
      </w:r>
      <w:r w:rsidR="00B3585E">
        <w:rPr>
          <w:noProof/>
        </w:rPr>
        <w:t>7</w:t>
      </w:r>
      <w:r w:rsidR="008B26E3">
        <w:rPr>
          <w:noProof/>
        </w:rPr>
        <w:fldChar w:fldCharType="end"/>
      </w:r>
      <w:bookmarkEnd w:id="28"/>
      <w:r w:rsidRPr="00FE714A">
        <w:rPr>
          <w:rStyle w:val="CommentReference"/>
          <w:b/>
          <w:szCs w:val="24"/>
        </w:rPr>
        <w:t xml:space="preserve">: </w:t>
      </w:r>
      <w:bookmarkStart w:id="30" w:name="_Ref155544501"/>
      <w:r w:rsidRPr="00FE714A">
        <w:rPr>
          <w:rStyle w:val="CommentReference"/>
          <w:b/>
          <w:szCs w:val="24"/>
        </w:rPr>
        <w:t>Meta-analysis and indirect comparison (whole trial population) for EASI 75 (Week 16)</w:t>
      </w:r>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Caption w:val="Table 7: Meta-analysis and indirect comparison (whole trial population) for EASI 75 (Week 16)"/>
      </w:tblPr>
      <w:tblGrid>
        <w:gridCol w:w="1837"/>
        <w:gridCol w:w="1278"/>
        <w:gridCol w:w="1279"/>
        <w:gridCol w:w="1279"/>
        <w:gridCol w:w="1674"/>
        <w:gridCol w:w="1670"/>
      </w:tblGrid>
      <w:tr w:rsidR="004779D9" w:rsidRPr="00FE714A" w14:paraId="5E834C0C" w14:textId="77777777" w:rsidTr="005E06AD">
        <w:trPr>
          <w:cantSplit/>
          <w:trHeight w:val="227"/>
          <w:tblHeader/>
        </w:trPr>
        <w:tc>
          <w:tcPr>
            <w:tcW w:w="1019" w:type="pct"/>
            <w:vMerge w:val="restart"/>
            <w:tcBorders>
              <w:right w:val="single" w:sz="4" w:space="0" w:color="auto"/>
            </w:tcBorders>
            <w:shd w:val="clear" w:color="auto" w:fill="auto"/>
            <w:tcMar>
              <w:left w:w="57" w:type="dxa"/>
              <w:right w:w="57" w:type="dxa"/>
            </w:tcMar>
            <w:vAlign w:val="center"/>
          </w:tcPr>
          <w:p w14:paraId="7FA2C8D8" w14:textId="77777777" w:rsidR="004779D9" w:rsidRPr="00FE714A" w:rsidRDefault="004779D9" w:rsidP="007A6EA2">
            <w:pPr>
              <w:keepNext/>
              <w:keepLines/>
              <w:jc w:val="center"/>
              <w:rPr>
                <w:rFonts w:ascii="Arial Narrow" w:hAnsi="Arial Narrow"/>
                <w:sz w:val="20"/>
                <w:szCs w:val="20"/>
              </w:rPr>
            </w:pP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2300113D"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LEB 250 mg Q2W ± TCS</w:t>
            </w: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54A213EC"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PBO ± TCS</w:t>
            </w:r>
          </w:p>
        </w:tc>
        <w:tc>
          <w:tcPr>
            <w:tcW w:w="709" w:type="pct"/>
            <w:vMerge w:val="restart"/>
            <w:tcBorders>
              <w:left w:val="single" w:sz="4" w:space="0" w:color="auto"/>
              <w:right w:val="single" w:sz="4" w:space="0" w:color="auto"/>
            </w:tcBorders>
            <w:shd w:val="clear" w:color="auto" w:fill="auto"/>
            <w:vAlign w:val="center"/>
          </w:tcPr>
          <w:p w14:paraId="68E31881" w14:textId="23CBFB39"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DUPI 30</w:t>
            </w:r>
            <w:r w:rsidR="00FE714A">
              <w:rPr>
                <w:rFonts w:ascii="Arial Narrow" w:hAnsi="Arial Narrow"/>
                <w:b/>
                <w:bCs/>
                <w:sz w:val="20"/>
                <w:szCs w:val="20"/>
              </w:rPr>
              <w:t>0 mg</w:t>
            </w:r>
            <w:r w:rsidRPr="00FE714A">
              <w:rPr>
                <w:rFonts w:ascii="Arial Narrow" w:hAnsi="Arial Narrow"/>
                <w:b/>
                <w:bCs/>
                <w:sz w:val="20"/>
                <w:szCs w:val="20"/>
              </w:rPr>
              <w:t xml:space="preserve"> ± TCS</w:t>
            </w:r>
          </w:p>
        </w:tc>
        <w:tc>
          <w:tcPr>
            <w:tcW w:w="928" w:type="pct"/>
            <w:tcBorders>
              <w:left w:val="single" w:sz="4" w:space="0" w:color="auto"/>
              <w:right w:val="single" w:sz="4" w:space="0" w:color="auto"/>
            </w:tcBorders>
            <w:shd w:val="clear" w:color="auto" w:fill="auto"/>
            <w:tcMar>
              <w:left w:w="57" w:type="dxa"/>
              <w:right w:w="57" w:type="dxa"/>
            </w:tcMar>
            <w:vAlign w:val="center"/>
          </w:tcPr>
          <w:p w14:paraId="6B2FE98C"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RR (95% CI)</w:t>
            </w:r>
          </w:p>
        </w:tc>
        <w:tc>
          <w:tcPr>
            <w:tcW w:w="926" w:type="pct"/>
            <w:tcBorders>
              <w:left w:val="single" w:sz="4" w:space="0" w:color="auto"/>
            </w:tcBorders>
            <w:shd w:val="clear" w:color="auto" w:fill="auto"/>
            <w:tcMar>
              <w:left w:w="57" w:type="dxa"/>
              <w:right w:w="57" w:type="dxa"/>
            </w:tcMar>
            <w:vAlign w:val="center"/>
          </w:tcPr>
          <w:p w14:paraId="281F9426"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51C3920A" w14:textId="77777777" w:rsidTr="005E06AD">
        <w:trPr>
          <w:cantSplit/>
          <w:trHeight w:val="227"/>
        </w:trPr>
        <w:tc>
          <w:tcPr>
            <w:tcW w:w="1019" w:type="pct"/>
            <w:vMerge/>
            <w:tcBorders>
              <w:right w:val="single" w:sz="4" w:space="0" w:color="auto"/>
            </w:tcBorders>
            <w:shd w:val="clear" w:color="auto" w:fill="auto"/>
            <w:tcMar>
              <w:left w:w="57" w:type="dxa"/>
              <w:right w:w="57" w:type="dxa"/>
            </w:tcMar>
            <w:vAlign w:val="center"/>
          </w:tcPr>
          <w:p w14:paraId="6E0944D2" w14:textId="77777777" w:rsidR="004779D9" w:rsidRPr="00FE714A" w:rsidRDefault="004779D9" w:rsidP="007A6EA2">
            <w:pPr>
              <w:keepNext/>
              <w:keepLines/>
              <w:jc w:val="left"/>
              <w:rPr>
                <w:rFonts w:ascii="Arial Narrow" w:hAnsi="Arial Narrow"/>
                <w:b/>
                <w:bCs/>
                <w:sz w:val="20"/>
                <w:szCs w:val="20"/>
              </w:rPr>
            </w:pPr>
          </w:p>
        </w:tc>
        <w:tc>
          <w:tcPr>
            <w:tcW w:w="709" w:type="pct"/>
            <w:vMerge/>
            <w:tcBorders>
              <w:left w:val="single" w:sz="4" w:space="0" w:color="auto"/>
            </w:tcBorders>
            <w:shd w:val="clear" w:color="auto" w:fill="auto"/>
            <w:tcMar>
              <w:left w:w="57" w:type="dxa"/>
              <w:right w:w="57" w:type="dxa"/>
            </w:tcMar>
            <w:vAlign w:val="center"/>
          </w:tcPr>
          <w:p w14:paraId="74A20BAB" w14:textId="77777777" w:rsidR="004779D9" w:rsidRPr="00FE714A" w:rsidRDefault="004779D9" w:rsidP="007A6EA2">
            <w:pPr>
              <w:keepNext/>
              <w:keepLines/>
              <w:jc w:val="center"/>
              <w:rPr>
                <w:rFonts w:ascii="Arial Narrow" w:hAnsi="Arial Narrow"/>
                <w:b/>
                <w:bCs/>
                <w:sz w:val="20"/>
                <w:szCs w:val="20"/>
              </w:rPr>
            </w:pPr>
          </w:p>
        </w:tc>
        <w:tc>
          <w:tcPr>
            <w:tcW w:w="709" w:type="pct"/>
            <w:vMerge/>
            <w:shd w:val="clear" w:color="auto" w:fill="auto"/>
            <w:tcMar>
              <w:left w:w="57" w:type="dxa"/>
              <w:right w:w="57" w:type="dxa"/>
            </w:tcMar>
            <w:vAlign w:val="center"/>
          </w:tcPr>
          <w:p w14:paraId="07A6A82B" w14:textId="77777777" w:rsidR="004779D9" w:rsidRPr="00FE714A" w:rsidRDefault="004779D9" w:rsidP="007A6EA2">
            <w:pPr>
              <w:keepNext/>
              <w:keepLines/>
              <w:jc w:val="center"/>
              <w:rPr>
                <w:rFonts w:ascii="Arial Narrow" w:hAnsi="Arial Narrow"/>
                <w:b/>
                <w:bCs/>
                <w:sz w:val="20"/>
                <w:szCs w:val="20"/>
              </w:rPr>
            </w:pPr>
          </w:p>
        </w:tc>
        <w:tc>
          <w:tcPr>
            <w:tcW w:w="709" w:type="pct"/>
            <w:vMerge/>
            <w:shd w:val="clear" w:color="auto" w:fill="auto"/>
            <w:vAlign w:val="center"/>
          </w:tcPr>
          <w:p w14:paraId="1F8E35A4" w14:textId="77777777" w:rsidR="004779D9" w:rsidRPr="00FE714A" w:rsidRDefault="004779D9" w:rsidP="007A6EA2">
            <w:pPr>
              <w:keepNext/>
              <w:keepLines/>
              <w:jc w:val="center"/>
              <w:rPr>
                <w:rFonts w:ascii="Arial Narrow" w:hAnsi="Arial Narrow"/>
                <w:b/>
                <w:bCs/>
                <w:sz w:val="20"/>
                <w:szCs w:val="20"/>
              </w:rPr>
            </w:pPr>
          </w:p>
        </w:tc>
        <w:tc>
          <w:tcPr>
            <w:tcW w:w="1854" w:type="pct"/>
            <w:gridSpan w:val="2"/>
            <w:shd w:val="clear" w:color="auto" w:fill="auto"/>
            <w:vAlign w:val="center"/>
          </w:tcPr>
          <w:p w14:paraId="2DAC9B03"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Active treatment ± TCS vs PBO ± TCS</w:t>
            </w:r>
          </w:p>
        </w:tc>
      </w:tr>
      <w:tr w:rsidR="004779D9" w:rsidRPr="00FE714A" w14:paraId="12CC172D" w14:textId="77777777" w:rsidTr="005E06AD">
        <w:trPr>
          <w:cantSplit/>
          <w:trHeight w:val="227"/>
        </w:trPr>
        <w:tc>
          <w:tcPr>
            <w:tcW w:w="5000" w:type="pct"/>
            <w:gridSpan w:val="6"/>
            <w:shd w:val="clear" w:color="auto" w:fill="auto"/>
            <w:tcMar>
              <w:left w:w="57" w:type="dxa"/>
              <w:right w:w="57" w:type="dxa"/>
            </w:tcMar>
            <w:vAlign w:val="center"/>
          </w:tcPr>
          <w:p w14:paraId="56C65C34"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Monotherapy trials</w:t>
            </w:r>
          </w:p>
        </w:tc>
      </w:tr>
      <w:tr w:rsidR="004779D9" w:rsidRPr="00FE714A" w14:paraId="1CE70018" w14:textId="77777777" w:rsidTr="005E06AD">
        <w:trPr>
          <w:cantSplit/>
          <w:trHeight w:val="227"/>
        </w:trPr>
        <w:tc>
          <w:tcPr>
            <w:tcW w:w="1019" w:type="pct"/>
            <w:shd w:val="clear" w:color="auto" w:fill="auto"/>
            <w:tcMar>
              <w:left w:w="57" w:type="dxa"/>
              <w:right w:w="57" w:type="dxa"/>
            </w:tcMar>
            <w:vAlign w:val="center"/>
          </w:tcPr>
          <w:p w14:paraId="29B246EF"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LEB trials pooled</w:t>
            </w:r>
          </w:p>
        </w:tc>
        <w:tc>
          <w:tcPr>
            <w:tcW w:w="709" w:type="pct"/>
            <w:shd w:val="clear" w:color="auto" w:fill="auto"/>
            <w:tcMar>
              <w:left w:w="57" w:type="dxa"/>
              <w:right w:w="57" w:type="dxa"/>
            </w:tcMar>
            <w:vAlign w:val="center"/>
          </w:tcPr>
          <w:p w14:paraId="37580748"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408/764 (53.4)</w:t>
            </w:r>
          </w:p>
        </w:tc>
        <w:tc>
          <w:tcPr>
            <w:tcW w:w="709" w:type="pct"/>
            <w:shd w:val="clear" w:color="auto" w:fill="auto"/>
            <w:tcMar>
              <w:left w:w="57" w:type="dxa"/>
              <w:right w:w="57" w:type="dxa"/>
            </w:tcMar>
            <w:vAlign w:val="center"/>
          </w:tcPr>
          <w:p w14:paraId="471C216F"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83/461 (18.0)</w:t>
            </w:r>
          </w:p>
        </w:tc>
        <w:tc>
          <w:tcPr>
            <w:tcW w:w="709" w:type="pct"/>
            <w:shd w:val="clear" w:color="auto" w:fill="auto"/>
            <w:vAlign w:val="center"/>
          </w:tcPr>
          <w:p w14:paraId="1D3B75B8"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0D1FD7E2"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2.96 (2.27, 3.85)</w:t>
            </w:r>
          </w:p>
        </w:tc>
        <w:tc>
          <w:tcPr>
            <w:tcW w:w="926" w:type="pct"/>
            <w:shd w:val="clear" w:color="auto" w:fill="auto"/>
            <w:tcMar>
              <w:left w:w="57" w:type="dxa"/>
              <w:right w:w="57" w:type="dxa"/>
            </w:tcMar>
            <w:vAlign w:val="center"/>
          </w:tcPr>
          <w:p w14:paraId="19A9A9E2"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0.36 (0.31, 0.42)</w:t>
            </w:r>
          </w:p>
        </w:tc>
      </w:tr>
      <w:tr w:rsidR="004779D9" w:rsidRPr="00FE714A" w14:paraId="047858A7" w14:textId="77777777" w:rsidTr="005E06AD">
        <w:trPr>
          <w:cantSplit/>
          <w:trHeight w:val="227"/>
        </w:trPr>
        <w:tc>
          <w:tcPr>
            <w:tcW w:w="1019" w:type="pct"/>
            <w:shd w:val="clear" w:color="auto" w:fill="auto"/>
            <w:tcMar>
              <w:left w:w="57" w:type="dxa"/>
              <w:right w:w="57" w:type="dxa"/>
            </w:tcMar>
            <w:vAlign w:val="center"/>
          </w:tcPr>
          <w:p w14:paraId="304410C9" w14:textId="24F2119C"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DUPI trials pooled </w:t>
            </w:r>
            <w:r w:rsidR="00290FB0"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3E44C9AF"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6FFA102B"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87/689 (12.6)</w:t>
            </w:r>
          </w:p>
        </w:tc>
        <w:tc>
          <w:tcPr>
            <w:tcW w:w="709" w:type="pct"/>
            <w:shd w:val="clear" w:color="auto" w:fill="auto"/>
            <w:vAlign w:val="center"/>
          </w:tcPr>
          <w:p w14:paraId="674B3A67"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333/685 (48.6)</w:t>
            </w:r>
          </w:p>
        </w:tc>
        <w:tc>
          <w:tcPr>
            <w:tcW w:w="928" w:type="pct"/>
            <w:shd w:val="clear" w:color="auto" w:fill="auto"/>
            <w:tcMar>
              <w:left w:w="57" w:type="dxa"/>
              <w:right w:w="57" w:type="dxa"/>
            </w:tcMar>
            <w:vAlign w:val="center"/>
          </w:tcPr>
          <w:p w14:paraId="4C0C7A21"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3.82 (3.09, 4.71)</w:t>
            </w:r>
          </w:p>
        </w:tc>
        <w:tc>
          <w:tcPr>
            <w:tcW w:w="926" w:type="pct"/>
            <w:shd w:val="clear" w:color="auto" w:fill="auto"/>
            <w:tcMar>
              <w:left w:w="57" w:type="dxa"/>
              <w:right w:w="57" w:type="dxa"/>
            </w:tcMar>
            <w:vAlign w:val="center"/>
          </w:tcPr>
          <w:p w14:paraId="15B60F5E"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0.36 (0.31, 0.40)</w:t>
            </w:r>
          </w:p>
        </w:tc>
      </w:tr>
      <w:tr w:rsidR="004779D9" w:rsidRPr="00FE714A" w14:paraId="39DCD154" w14:textId="77777777" w:rsidTr="005E06AD">
        <w:trPr>
          <w:cantSplit/>
          <w:trHeight w:val="227"/>
        </w:trPr>
        <w:tc>
          <w:tcPr>
            <w:tcW w:w="3146" w:type="pct"/>
            <w:gridSpan w:val="4"/>
            <w:shd w:val="clear" w:color="auto" w:fill="auto"/>
            <w:tcMar>
              <w:left w:w="57" w:type="dxa"/>
              <w:right w:w="57" w:type="dxa"/>
            </w:tcMar>
            <w:vAlign w:val="center"/>
          </w:tcPr>
          <w:p w14:paraId="17EDA76F" w14:textId="4D71F745"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ITC: monotherapy trials pooled </w:t>
            </w:r>
            <w:r w:rsidR="00EF710C" w:rsidRPr="00FE714A">
              <w:rPr>
                <w:rFonts w:ascii="Arial Narrow" w:hAnsi="Arial Narrow"/>
                <w:sz w:val="20"/>
                <w:szCs w:val="20"/>
                <w:vertAlign w:val="superscript"/>
              </w:rPr>
              <w:t>a</w:t>
            </w:r>
            <w:r w:rsidRPr="00FE714A">
              <w:rPr>
                <w:rFonts w:ascii="Arial Narrow" w:hAnsi="Arial Narrow"/>
                <w:sz w:val="20"/>
                <w:szCs w:val="20"/>
              </w:rPr>
              <w:t xml:space="preserve"> (corrected during the evaluation)</w:t>
            </w:r>
          </w:p>
        </w:tc>
        <w:tc>
          <w:tcPr>
            <w:tcW w:w="928" w:type="pct"/>
            <w:shd w:val="clear" w:color="auto" w:fill="auto"/>
            <w:tcMar>
              <w:left w:w="57" w:type="dxa"/>
              <w:right w:w="57" w:type="dxa"/>
            </w:tcMar>
          </w:tcPr>
          <w:p w14:paraId="133CF99C"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0.77 (0.55, 1.09)</w:t>
            </w:r>
          </w:p>
        </w:tc>
        <w:tc>
          <w:tcPr>
            <w:tcW w:w="926" w:type="pct"/>
            <w:shd w:val="clear" w:color="auto" w:fill="auto"/>
            <w:tcMar>
              <w:left w:w="57" w:type="dxa"/>
              <w:right w:w="57" w:type="dxa"/>
            </w:tcMar>
          </w:tcPr>
          <w:p w14:paraId="25409690"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0.00 (-0.07, 0.07)</w:t>
            </w:r>
          </w:p>
        </w:tc>
      </w:tr>
      <w:tr w:rsidR="004779D9" w:rsidRPr="00FE714A" w14:paraId="3C279D70" w14:textId="77777777" w:rsidTr="005E06AD">
        <w:trPr>
          <w:cantSplit/>
          <w:trHeight w:val="227"/>
        </w:trPr>
        <w:tc>
          <w:tcPr>
            <w:tcW w:w="3146" w:type="pct"/>
            <w:gridSpan w:val="4"/>
            <w:shd w:val="clear" w:color="auto" w:fill="auto"/>
            <w:tcMar>
              <w:left w:w="57" w:type="dxa"/>
              <w:right w:w="57" w:type="dxa"/>
            </w:tcMar>
            <w:vAlign w:val="center"/>
          </w:tcPr>
          <w:p w14:paraId="67575423"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ITC: monotherapy trials pooled (as presented in the submission)</w:t>
            </w:r>
          </w:p>
        </w:tc>
        <w:tc>
          <w:tcPr>
            <w:tcW w:w="928" w:type="pct"/>
            <w:shd w:val="clear" w:color="auto" w:fill="auto"/>
            <w:tcMar>
              <w:left w:w="57" w:type="dxa"/>
              <w:right w:w="57" w:type="dxa"/>
            </w:tcMar>
          </w:tcPr>
          <w:p w14:paraId="1C43ADA4"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0.87 (0.59, 1.27)</w:t>
            </w:r>
          </w:p>
        </w:tc>
        <w:tc>
          <w:tcPr>
            <w:tcW w:w="926" w:type="pct"/>
            <w:shd w:val="clear" w:color="auto" w:fill="auto"/>
            <w:tcMar>
              <w:left w:w="57" w:type="dxa"/>
              <w:right w:w="57" w:type="dxa"/>
            </w:tcMar>
          </w:tcPr>
          <w:p w14:paraId="6B6927C5"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0.01 (</w:t>
            </w:r>
            <w:r w:rsidRPr="00FE714A">
              <w:rPr>
                <w:rFonts w:ascii="Arial Narrow" w:hAnsi="Arial Narrow"/>
                <w:sz w:val="20"/>
                <w:szCs w:val="20"/>
              </w:rPr>
              <w:noBreakHyphen/>
              <w:t>0.06, 0.08)</w:t>
            </w:r>
          </w:p>
        </w:tc>
      </w:tr>
      <w:tr w:rsidR="004779D9" w:rsidRPr="00FE714A" w14:paraId="7786F0A0" w14:textId="77777777" w:rsidTr="005E06AD">
        <w:trPr>
          <w:cantSplit/>
          <w:trHeight w:val="227"/>
        </w:trPr>
        <w:tc>
          <w:tcPr>
            <w:tcW w:w="5000" w:type="pct"/>
            <w:gridSpan w:val="6"/>
            <w:shd w:val="clear" w:color="auto" w:fill="auto"/>
          </w:tcPr>
          <w:p w14:paraId="56CFA8AE"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Combination therapy trials</w:t>
            </w:r>
          </w:p>
        </w:tc>
      </w:tr>
      <w:tr w:rsidR="004779D9" w:rsidRPr="00FE714A" w14:paraId="0BD9A84C" w14:textId="77777777" w:rsidTr="005E06AD">
        <w:trPr>
          <w:cantSplit/>
          <w:trHeight w:val="227"/>
        </w:trPr>
        <w:tc>
          <w:tcPr>
            <w:tcW w:w="1019" w:type="pct"/>
            <w:shd w:val="clear" w:color="auto" w:fill="auto"/>
            <w:tcMar>
              <w:left w:w="57" w:type="dxa"/>
              <w:right w:w="57" w:type="dxa"/>
            </w:tcMar>
            <w:vAlign w:val="center"/>
          </w:tcPr>
          <w:p w14:paraId="34CA059F"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LEB trials pooled </w:t>
            </w:r>
          </w:p>
        </w:tc>
        <w:tc>
          <w:tcPr>
            <w:tcW w:w="709" w:type="pct"/>
            <w:shd w:val="clear" w:color="auto" w:fill="auto"/>
            <w:tcMar>
              <w:left w:w="57" w:type="dxa"/>
              <w:right w:w="57" w:type="dxa"/>
            </w:tcMar>
            <w:vAlign w:val="center"/>
          </w:tcPr>
          <w:p w14:paraId="45466533"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310/488 (63.5)</w:t>
            </w:r>
          </w:p>
        </w:tc>
        <w:tc>
          <w:tcPr>
            <w:tcW w:w="709" w:type="pct"/>
            <w:shd w:val="clear" w:color="auto" w:fill="auto"/>
            <w:tcMar>
              <w:left w:w="57" w:type="dxa"/>
              <w:right w:w="57" w:type="dxa"/>
            </w:tcMar>
            <w:vAlign w:val="center"/>
          </w:tcPr>
          <w:p w14:paraId="38A53776"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82/259 (31.7)</w:t>
            </w:r>
          </w:p>
        </w:tc>
        <w:tc>
          <w:tcPr>
            <w:tcW w:w="709" w:type="pct"/>
            <w:shd w:val="clear" w:color="auto" w:fill="auto"/>
            <w:vAlign w:val="center"/>
          </w:tcPr>
          <w:p w14:paraId="354D6CDB"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7655CFDE"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2.04 (1.39, 2.98)</w:t>
            </w:r>
          </w:p>
        </w:tc>
        <w:tc>
          <w:tcPr>
            <w:tcW w:w="926" w:type="pct"/>
            <w:shd w:val="clear" w:color="auto" w:fill="auto"/>
            <w:tcMar>
              <w:left w:w="57" w:type="dxa"/>
              <w:right w:w="57" w:type="dxa"/>
            </w:tcMar>
            <w:vAlign w:val="center"/>
          </w:tcPr>
          <w:p w14:paraId="55146E55"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0.31 (0.24, 0.38)</w:t>
            </w:r>
          </w:p>
        </w:tc>
      </w:tr>
      <w:tr w:rsidR="004779D9" w:rsidRPr="00FE714A" w14:paraId="5D175626" w14:textId="77777777" w:rsidTr="005E06AD">
        <w:trPr>
          <w:cantSplit/>
          <w:trHeight w:val="227"/>
        </w:trPr>
        <w:tc>
          <w:tcPr>
            <w:tcW w:w="1019" w:type="pct"/>
            <w:shd w:val="clear" w:color="auto" w:fill="auto"/>
            <w:tcMar>
              <w:left w:w="57" w:type="dxa"/>
              <w:right w:w="57" w:type="dxa"/>
            </w:tcMar>
            <w:vAlign w:val="center"/>
          </w:tcPr>
          <w:p w14:paraId="5E716CAE" w14:textId="3DB5F2F4"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DUPI trials pooled </w:t>
            </w:r>
            <w:r w:rsidR="00290FB0"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4063302B"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383BBD1C"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143/554 (25.8)</w:t>
            </w:r>
          </w:p>
        </w:tc>
        <w:tc>
          <w:tcPr>
            <w:tcW w:w="709" w:type="pct"/>
            <w:shd w:val="clear" w:color="auto" w:fill="auto"/>
            <w:vAlign w:val="center"/>
          </w:tcPr>
          <w:p w14:paraId="66D2ACB1"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292/455 (64.2)</w:t>
            </w:r>
          </w:p>
        </w:tc>
        <w:tc>
          <w:tcPr>
            <w:tcW w:w="928" w:type="pct"/>
            <w:shd w:val="clear" w:color="auto" w:fill="auto"/>
            <w:tcMar>
              <w:left w:w="57" w:type="dxa"/>
              <w:right w:w="57" w:type="dxa"/>
            </w:tcMar>
            <w:vAlign w:val="center"/>
          </w:tcPr>
          <w:p w14:paraId="3B37F41E"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2.43 (1.92, 3.07)</w:t>
            </w:r>
          </w:p>
        </w:tc>
        <w:tc>
          <w:tcPr>
            <w:tcW w:w="926" w:type="pct"/>
            <w:shd w:val="clear" w:color="auto" w:fill="auto"/>
            <w:tcMar>
              <w:left w:w="57" w:type="dxa"/>
              <w:right w:w="57" w:type="dxa"/>
            </w:tcMar>
            <w:vAlign w:val="center"/>
          </w:tcPr>
          <w:p w14:paraId="6C9CF95D"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0.38 (0.30, 0.46)</w:t>
            </w:r>
          </w:p>
        </w:tc>
      </w:tr>
      <w:tr w:rsidR="004779D9" w:rsidRPr="00FE714A" w14:paraId="43154964" w14:textId="77777777" w:rsidTr="005E06AD">
        <w:trPr>
          <w:cantSplit/>
          <w:trHeight w:val="227"/>
        </w:trPr>
        <w:tc>
          <w:tcPr>
            <w:tcW w:w="3146" w:type="pct"/>
            <w:gridSpan w:val="4"/>
            <w:shd w:val="clear" w:color="auto" w:fill="auto"/>
            <w:tcMar>
              <w:left w:w="57" w:type="dxa"/>
              <w:right w:w="57" w:type="dxa"/>
            </w:tcMar>
            <w:vAlign w:val="center"/>
          </w:tcPr>
          <w:p w14:paraId="6350E943" w14:textId="20C27BBD"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ITC: combination therapy trials pooled </w:t>
            </w:r>
            <w:r w:rsidR="00EF710C" w:rsidRPr="00FE714A">
              <w:rPr>
                <w:rFonts w:ascii="Arial Narrow" w:hAnsi="Arial Narrow"/>
                <w:sz w:val="20"/>
                <w:szCs w:val="20"/>
                <w:vertAlign w:val="superscript"/>
              </w:rPr>
              <w:t>a</w:t>
            </w:r>
            <w:r w:rsidRPr="00FE714A">
              <w:rPr>
                <w:rFonts w:ascii="Arial Narrow" w:hAnsi="Arial Narrow"/>
                <w:sz w:val="20"/>
                <w:szCs w:val="20"/>
              </w:rPr>
              <w:t xml:space="preserve"> (corrected during the evaluation)</w:t>
            </w:r>
          </w:p>
        </w:tc>
        <w:tc>
          <w:tcPr>
            <w:tcW w:w="928" w:type="pct"/>
            <w:shd w:val="clear" w:color="auto" w:fill="auto"/>
            <w:tcMar>
              <w:left w:w="57" w:type="dxa"/>
              <w:right w:w="57" w:type="dxa"/>
            </w:tcMar>
          </w:tcPr>
          <w:p w14:paraId="32119A0A"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0.84 (0.54, 1.31)</w:t>
            </w:r>
          </w:p>
        </w:tc>
        <w:tc>
          <w:tcPr>
            <w:tcW w:w="926" w:type="pct"/>
            <w:shd w:val="clear" w:color="auto" w:fill="auto"/>
            <w:tcMar>
              <w:left w:w="57" w:type="dxa"/>
              <w:right w:w="57" w:type="dxa"/>
            </w:tcMar>
          </w:tcPr>
          <w:p w14:paraId="684F3E48"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-0.07 (-0.18, 0.04)</w:t>
            </w:r>
          </w:p>
        </w:tc>
      </w:tr>
      <w:tr w:rsidR="004779D9" w:rsidRPr="00FE714A" w14:paraId="6921B090" w14:textId="77777777" w:rsidTr="005E06AD">
        <w:trPr>
          <w:cantSplit/>
          <w:trHeight w:val="227"/>
        </w:trPr>
        <w:tc>
          <w:tcPr>
            <w:tcW w:w="3146" w:type="pct"/>
            <w:gridSpan w:val="4"/>
            <w:shd w:val="clear" w:color="auto" w:fill="auto"/>
            <w:tcMar>
              <w:left w:w="57" w:type="dxa"/>
              <w:right w:w="57" w:type="dxa"/>
            </w:tcMar>
            <w:vAlign w:val="center"/>
          </w:tcPr>
          <w:p w14:paraId="22AD5720"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ITC: combination therapy trials pooled (as presented in the submission)</w:t>
            </w:r>
          </w:p>
        </w:tc>
        <w:tc>
          <w:tcPr>
            <w:tcW w:w="928" w:type="pct"/>
            <w:shd w:val="clear" w:color="auto" w:fill="auto"/>
            <w:tcMar>
              <w:left w:w="57" w:type="dxa"/>
              <w:right w:w="57" w:type="dxa"/>
            </w:tcMar>
          </w:tcPr>
          <w:p w14:paraId="6EF41946"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0.80 (0.48, 1.33)</w:t>
            </w:r>
          </w:p>
        </w:tc>
        <w:tc>
          <w:tcPr>
            <w:tcW w:w="926" w:type="pct"/>
            <w:shd w:val="clear" w:color="auto" w:fill="auto"/>
            <w:tcMar>
              <w:left w:w="57" w:type="dxa"/>
              <w:right w:w="57" w:type="dxa"/>
            </w:tcMar>
          </w:tcPr>
          <w:p w14:paraId="257A8A8B"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noBreakHyphen/>
              <w:t>0.09 (</w:t>
            </w:r>
            <w:r w:rsidRPr="00FE714A">
              <w:rPr>
                <w:rFonts w:ascii="Arial Narrow" w:hAnsi="Arial Narrow"/>
                <w:sz w:val="20"/>
                <w:szCs w:val="20"/>
              </w:rPr>
              <w:noBreakHyphen/>
              <w:t>0.23, 0.05)</w:t>
            </w:r>
          </w:p>
        </w:tc>
      </w:tr>
      <w:tr w:rsidR="004779D9" w:rsidRPr="00FE714A" w14:paraId="51BB3CC1" w14:textId="77777777" w:rsidTr="005E06AD">
        <w:trPr>
          <w:cantSplit/>
          <w:trHeight w:val="227"/>
        </w:trPr>
        <w:tc>
          <w:tcPr>
            <w:tcW w:w="5000" w:type="pct"/>
            <w:gridSpan w:val="6"/>
            <w:shd w:val="clear" w:color="auto" w:fill="auto"/>
            <w:tcMar>
              <w:left w:w="57" w:type="dxa"/>
              <w:right w:w="57" w:type="dxa"/>
            </w:tcMar>
            <w:vAlign w:val="center"/>
          </w:tcPr>
          <w:p w14:paraId="4C7F7BBF"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All trials</w:t>
            </w:r>
          </w:p>
        </w:tc>
      </w:tr>
      <w:tr w:rsidR="004779D9" w:rsidRPr="00FE714A" w14:paraId="0D7B7519" w14:textId="77777777" w:rsidTr="005E06AD">
        <w:trPr>
          <w:cantSplit/>
          <w:trHeight w:val="227"/>
        </w:trPr>
        <w:tc>
          <w:tcPr>
            <w:tcW w:w="1019" w:type="pct"/>
            <w:shd w:val="clear" w:color="auto" w:fill="auto"/>
            <w:tcMar>
              <w:left w:w="57" w:type="dxa"/>
              <w:right w:w="57" w:type="dxa"/>
            </w:tcMar>
            <w:vAlign w:val="center"/>
          </w:tcPr>
          <w:p w14:paraId="1716A74F"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LEB all trials pooled</w:t>
            </w:r>
          </w:p>
        </w:tc>
        <w:tc>
          <w:tcPr>
            <w:tcW w:w="709" w:type="pct"/>
            <w:shd w:val="clear" w:color="auto" w:fill="auto"/>
            <w:tcMar>
              <w:left w:w="57" w:type="dxa"/>
              <w:right w:w="57" w:type="dxa"/>
            </w:tcMar>
            <w:vAlign w:val="center"/>
          </w:tcPr>
          <w:p w14:paraId="5B1D4A74"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718/1252 (57.3)</w:t>
            </w:r>
          </w:p>
        </w:tc>
        <w:tc>
          <w:tcPr>
            <w:tcW w:w="709" w:type="pct"/>
            <w:shd w:val="clear" w:color="auto" w:fill="auto"/>
            <w:tcMar>
              <w:left w:w="57" w:type="dxa"/>
              <w:right w:w="57" w:type="dxa"/>
            </w:tcMar>
            <w:vAlign w:val="center"/>
          </w:tcPr>
          <w:p w14:paraId="0DBE2C4B"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165/720 (22.9)</w:t>
            </w:r>
          </w:p>
        </w:tc>
        <w:tc>
          <w:tcPr>
            <w:tcW w:w="709" w:type="pct"/>
            <w:shd w:val="clear" w:color="auto" w:fill="auto"/>
          </w:tcPr>
          <w:p w14:paraId="53B5FF27"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080A6712"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2.53 (1.90, 3.38)</w:t>
            </w:r>
          </w:p>
        </w:tc>
        <w:tc>
          <w:tcPr>
            <w:tcW w:w="926" w:type="pct"/>
            <w:shd w:val="clear" w:color="auto" w:fill="auto"/>
            <w:tcMar>
              <w:left w:w="57" w:type="dxa"/>
              <w:right w:w="57" w:type="dxa"/>
            </w:tcMar>
            <w:vAlign w:val="center"/>
          </w:tcPr>
          <w:p w14:paraId="1220C03C"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0.34 (0.30, 0.39)</w:t>
            </w:r>
          </w:p>
        </w:tc>
      </w:tr>
      <w:tr w:rsidR="004779D9" w:rsidRPr="00FE714A" w14:paraId="5A276518" w14:textId="77777777" w:rsidTr="005E06AD">
        <w:trPr>
          <w:cantSplit/>
          <w:trHeight w:val="227"/>
        </w:trPr>
        <w:tc>
          <w:tcPr>
            <w:tcW w:w="1019" w:type="pct"/>
            <w:shd w:val="clear" w:color="auto" w:fill="auto"/>
            <w:tcMar>
              <w:left w:w="57" w:type="dxa"/>
              <w:right w:w="57" w:type="dxa"/>
            </w:tcMar>
            <w:vAlign w:val="center"/>
          </w:tcPr>
          <w:p w14:paraId="5447F581"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DUPI all trials pooled</w:t>
            </w:r>
          </w:p>
        </w:tc>
        <w:tc>
          <w:tcPr>
            <w:tcW w:w="709" w:type="pct"/>
            <w:shd w:val="clear" w:color="auto" w:fill="auto"/>
            <w:tcMar>
              <w:left w:w="57" w:type="dxa"/>
              <w:right w:w="57" w:type="dxa"/>
            </w:tcMar>
            <w:vAlign w:val="center"/>
          </w:tcPr>
          <w:p w14:paraId="67A24342"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56FB1C4F"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230/1243 (18.4)</w:t>
            </w:r>
          </w:p>
        </w:tc>
        <w:tc>
          <w:tcPr>
            <w:tcW w:w="709" w:type="pct"/>
            <w:shd w:val="clear" w:color="auto" w:fill="auto"/>
          </w:tcPr>
          <w:p w14:paraId="7A79DAA9"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625/1140 (54.8)</w:t>
            </w:r>
          </w:p>
        </w:tc>
        <w:tc>
          <w:tcPr>
            <w:tcW w:w="928" w:type="pct"/>
            <w:shd w:val="clear" w:color="auto" w:fill="auto"/>
            <w:tcMar>
              <w:left w:w="57" w:type="dxa"/>
              <w:right w:w="57" w:type="dxa"/>
            </w:tcMar>
            <w:vAlign w:val="center"/>
          </w:tcPr>
          <w:p w14:paraId="2FC68F0A"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 xml:space="preserve">3.07 (2.49, 3.77) </w:t>
            </w:r>
          </w:p>
        </w:tc>
        <w:tc>
          <w:tcPr>
            <w:tcW w:w="926" w:type="pct"/>
            <w:shd w:val="clear" w:color="auto" w:fill="auto"/>
            <w:tcMar>
              <w:left w:w="57" w:type="dxa"/>
              <w:right w:w="57" w:type="dxa"/>
            </w:tcMar>
            <w:vAlign w:val="center"/>
          </w:tcPr>
          <w:p w14:paraId="6F6A4008"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0.37 (0.33, 0.40)</w:t>
            </w:r>
          </w:p>
        </w:tc>
      </w:tr>
      <w:tr w:rsidR="004779D9" w:rsidRPr="00FE714A" w14:paraId="53DC3A8E" w14:textId="77777777" w:rsidTr="005E06AD">
        <w:trPr>
          <w:cantSplit/>
          <w:trHeight w:val="227"/>
        </w:trPr>
        <w:tc>
          <w:tcPr>
            <w:tcW w:w="3146" w:type="pct"/>
            <w:gridSpan w:val="4"/>
            <w:shd w:val="clear" w:color="auto" w:fill="auto"/>
            <w:tcMar>
              <w:left w:w="57" w:type="dxa"/>
              <w:right w:w="57" w:type="dxa"/>
            </w:tcMar>
            <w:vAlign w:val="center"/>
          </w:tcPr>
          <w:p w14:paraId="345E4307" w14:textId="7569DBEE"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ITC: all trials pooled (</w:t>
            </w:r>
            <w:r w:rsidR="00EA4B51" w:rsidRPr="00FE714A">
              <w:rPr>
                <w:rFonts w:ascii="Arial Narrow" w:hAnsi="Arial Narrow"/>
                <w:sz w:val="20"/>
                <w:szCs w:val="20"/>
              </w:rPr>
              <w:t xml:space="preserve">estimated </w:t>
            </w:r>
            <w:r w:rsidRPr="00FE714A">
              <w:rPr>
                <w:rFonts w:ascii="Arial Narrow" w:hAnsi="Arial Narrow"/>
                <w:sz w:val="20"/>
                <w:szCs w:val="20"/>
              </w:rPr>
              <w:t>during the evaluation)</w:t>
            </w:r>
          </w:p>
        </w:tc>
        <w:tc>
          <w:tcPr>
            <w:tcW w:w="928" w:type="pct"/>
            <w:shd w:val="clear" w:color="auto" w:fill="auto"/>
            <w:tcMar>
              <w:left w:w="57" w:type="dxa"/>
              <w:right w:w="57" w:type="dxa"/>
            </w:tcMar>
          </w:tcPr>
          <w:p w14:paraId="1F3E404E"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0.82 (0.58, 1.18)</w:t>
            </w:r>
          </w:p>
        </w:tc>
        <w:tc>
          <w:tcPr>
            <w:tcW w:w="926" w:type="pct"/>
            <w:shd w:val="clear" w:color="auto" w:fill="auto"/>
            <w:tcMar>
              <w:left w:w="57" w:type="dxa"/>
              <w:right w:w="57" w:type="dxa"/>
            </w:tcMar>
          </w:tcPr>
          <w:p w14:paraId="3235C53B"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-0.03 (-0.09, 0.03)</w:t>
            </w:r>
          </w:p>
        </w:tc>
      </w:tr>
      <w:tr w:rsidR="004779D9" w:rsidRPr="00FE714A" w14:paraId="06D9ECD8" w14:textId="77777777" w:rsidTr="005E06AD">
        <w:trPr>
          <w:cantSplit/>
          <w:trHeight w:val="227"/>
        </w:trPr>
        <w:tc>
          <w:tcPr>
            <w:tcW w:w="3146" w:type="pct"/>
            <w:gridSpan w:val="4"/>
            <w:shd w:val="clear" w:color="auto" w:fill="auto"/>
            <w:tcMar>
              <w:left w:w="57" w:type="dxa"/>
              <w:right w:w="57" w:type="dxa"/>
            </w:tcMar>
            <w:vAlign w:val="center"/>
          </w:tcPr>
          <w:p w14:paraId="42BF366C"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ITC: all trials pooled (as presented in the submission)</w:t>
            </w:r>
          </w:p>
        </w:tc>
        <w:tc>
          <w:tcPr>
            <w:tcW w:w="928" w:type="pct"/>
            <w:shd w:val="clear" w:color="auto" w:fill="auto"/>
            <w:tcMar>
              <w:left w:w="57" w:type="dxa"/>
              <w:right w:w="57" w:type="dxa"/>
            </w:tcMar>
          </w:tcPr>
          <w:p w14:paraId="3C97A919"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0.82 (0.58, 1.18)</w:t>
            </w:r>
          </w:p>
        </w:tc>
        <w:tc>
          <w:tcPr>
            <w:tcW w:w="926" w:type="pct"/>
            <w:shd w:val="clear" w:color="auto" w:fill="auto"/>
            <w:tcMar>
              <w:left w:w="57" w:type="dxa"/>
              <w:right w:w="57" w:type="dxa"/>
            </w:tcMar>
          </w:tcPr>
          <w:p w14:paraId="213EF216"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noBreakHyphen/>
              <w:t>0.02 (</w:t>
            </w:r>
            <w:r w:rsidRPr="00FE714A">
              <w:rPr>
                <w:rFonts w:ascii="Arial Narrow" w:hAnsi="Arial Narrow"/>
                <w:sz w:val="20"/>
                <w:szCs w:val="20"/>
              </w:rPr>
              <w:noBreakHyphen/>
              <w:t>0.08, 0.04)</w:t>
            </w:r>
          </w:p>
        </w:tc>
      </w:tr>
    </w:tbl>
    <w:p w14:paraId="715FCC71" w14:textId="77777777" w:rsidR="004779D9" w:rsidRPr="00FE714A" w:rsidRDefault="004779D9" w:rsidP="000B2442">
      <w:pPr>
        <w:pStyle w:val="FooterTableFigure"/>
        <w:keepNext/>
        <w:keepLines/>
      </w:pPr>
      <w:r w:rsidRPr="00FE714A">
        <w:t>Source: Table 2.6-11, pp230-232 of the submission.</w:t>
      </w:r>
    </w:p>
    <w:p w14:paraId="7AA3E6AB" w14:textId="5D3730C7" w:rsidR="004779D9" w:rsidRPr="00FE714A" w:rsidRDefault="004779D9" w:rsidP="000B2442">
      <w:pPr>
        <w:pStyle w:val="FooterTableFigure"/>
        <w:keepNext/>
        <w:keepLines/>
      </w:pPr>
      <w:r w:rsidRPr="00FE714A">
        <w:t xml:space="preserve">CI = confidence interval; DUPI = dupilumab; EASI = eczema area and severity index; LEB = lebrikizumab; OR = odds ratio; PBO = placebo; Q2W = every 2 weeks; RD = risk difference; RR = relative risk; TCS = topical corticosteroids </w:t>
      </w:r>
    </w:p>
    <w:p w14:paraId="7CD5349D" w14:textId="6FEE1425" w:rsidR="004779D9" w:rsidRPr="00FE714A" w:rsidRDefault="00BD1953" w:rsidP="000B2442">
      <w:pPr>
        <w:pStyle w:val="FooterTableFigure"/>
        <w:keepNext/>
        <w:keepLines/>
      </w:pPr>
      <w:r w:rsidRPr="00FE714A">
        <w:t>a</w:t>
      </w:r>
      <w:r w:rsidR="004779D9" w:rsidRPr="00FE714A">
        <w:t xml:space="preserve"> Indicates values corrected during the evaluation u</w:t>
      </w:r>
      <w:r w:rsidR="004779D9" w:rsidRPr="00FE714A">
        <w:rPr>
          <w:rFonts w:eastAsia="Calibri"/>
        </w:rPr>
        <w:t xml:space="preserve">sing random effects on </w:t>
      </w:r>
      <w:proofErr w:type="spellStart"/>
      <w:r w:rsidR="004779D9" w:rsidRPr="00FE714A">
        <w:rPr>
          <w:rFonts w:eastAsia="Calibri"/>
        </w:rPr>
        <w:t>StatsDirect</w:t>
      </w:r>
      <w:proofErr w:type="spellEnd"/>
      <w:r w:rsidR="00EA4B51" w:rsidRPr="00FE714A">
        <w:rPr>
          <w:rFonts w:eastAsia="Calibri"/>
        </w:rPr>
        <w:t xml:space="preserve"> v</w:t>
      </w:r>
      <w:r w:rsidR="004779D9" w:rsidRPr="00FE714A">
        <w:rPr>
          <w:rFonts w:eastAsia="Calibri"/>
        </w:rPr>
        <w:t xml:space="preserve">3, </w:t>
      </w:r>
      <w:r w:rsidR="004779D9" w:rsidRPr="00FE714A">
        <w:t xml:space="preserve">due to the re-classification of JADE Compare (as a combination therapy trial). </w:t>
      </w:r>
    </w:p>
    <w:p w14:paraId="6CD12F0F" w14:textId="49B5EFE2" w:rsidR="00EA4B51" w:rsidRPr="00FE714A" w:rsidRDefault="00EA4B51" w:rsidP="000B2442">
      <w:pPr>
        <w:pStyle w:val="FooterTableFigure"/>
        <w:keepNext/>
        <w:keepLines/>
      </w:pPr>
      <w:r w:rsidRPr="00FE714A">
        <w:t xml:space="preserve">RR and RD were estimated using </w:t>
      </w:r>
      <w:proofErr w:type="spellStart"/>
      <w:r w:rsidRPr="00FE714A">
        <w:t>StatsDirect</w:t>
      </w:r>
      <w:proofErr w:type="spellEnd"/>
      <w:r w:rsidRPr="00FE714A">
        <w:t xml:space="preserve"> v3</w:t>
      </w:r>
    </w:p>
    <w:p w14:paraId="68449603" w14:textId="6A613490" w:rsidR="004779D9" w:rsidRPr="00FE714A" w:rsidRDefault="004779D9" w:rsidP="0056239E">
      <w:pPr>
        <w:pStyle w:val="FooterTableFigure"/>
        <w:rPr>
          <w:rStyle w:val="CommentReference"/>
          <w:b w:val="0"/>
          <w:szCs w:val="24"/>
        </w:rPr>
      </w:pPr>
      <w:r w:rsidRPr="00FE714A">
        <w:t>Values in bold indicate significance (CI did not include 1 or 0 for RR and RD respectively).</w:t>
      </w:r>
    </w:p>
    <w:p w14:paraId="2A3BEA8D" w14:textId="1F5D920E" w:rsidR="004779D9" w:rsidRPr="00FE714A" w:rsidRDefault="004779D9" w:rsidP="00202140">
      <w:pPr>
        <w:pStyle w:val="Caption"/>
        <w:rPr>
          <w:rStyle w:val="CommentReference"/>
          <w:b/>
          <w:szCs w:val="24"/>
        </w:rPr>
      </w:pPr>
      <w:bookmarkStart w:id="31" w:name="_Ref155544526"/>
      <w:bookmarkStart w:id="32" w:name="_Ref155544517"/>
      <w:r w:rsidRPr="00FE714A">
        <w:t xml:space="preserve">Table </w:t>
      </w:r>
      <w:r w:rsidR="008B26E3">
        <w:fldChar w:fldCharType="begin" w:fldLock="1"/>
      </w:r>
      <w:r w:rsidR="008B26E3">
        <w:instrText xml:space="preserve"> SEQ Table \* ARABIC </w:instrText>
      </w:r>
      <w:r w:rsidR="008B26E3">
        <w:fldChar w:fldCharType="separate"/>
      </w:r>
      <w:r w:rsidR="00B3585E">
        <w:rPr>
          <w:noProof/>
        </w:rPr>
        <w:t>8</w:t>
      </w:r>
      <w:r w:rsidR="008B26E3">
        <w:rPr>
          <w:noProof/>
        </w:rPr>
        <w:fldChar w:fldCharType="end"/>
      </w:r>
      <w:bookmarkEnd w:id="31"/>
      <w:r w:rsidRPr="00FE714A">
        <w:rPr>
          <w:rStyle w:val="CommentReference"/>
          <w:b/>
          <w:szCs w:val="24"/>
        </w:rPr>
        <w:t>: Meta-analysis and indirect comparison (whole trial population) for EASI 50 (Week 16)</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Caption w:val="Table 8: Meta-analysis and indirect comparison (whole trial population) for EASI 50 (Week 16)"/>
      </w:tblPr>
      <w:tblGrid>
        <w:gridCol w:w="1837"/>
        <w:gridCol w:w="1278"/>
        <w:gridCol w:w="1279"/>
        <w:gridCol w:w="1279"/>
        <w:gridCol w:w="1674"/>
        <w:gridCol w:w="1670"/>
      </w:tblGrid>
      <w:tr w:rsidR="004779D9" w:rsidRPr="00FE714A" w14:paraId="1BE6F2E3" w14:textId="77777777" w:rsidTr="005E06AD">
        <w:trPr>
          <w:cantSplit/>
          <w:trHeight w:val="227"/>
          <w:tblHeader/>
        </w:trPr>
        <w:tc>
          <w:tcPr>
            <w:tcW w:w="1019" w:type="pct"/>
            <w:vMerge w:val="restart"/>
            <w:tcBorders>
              <w:right w:val="single" w:sz="4" w:space="0" w:color="auto"/>
            </w:tcBorders>
            <w:shd w:val="clear" w:color="auto" w:fill="auto"/>
            <w:tcMar>
              <w:left w:w="57" w:type="dxa"/>
              <w:right w:w="57" w:type="dxa"/>
            </w:tcMar>
            <w:vAlign w:val="center"/>
          </w:tcPr>
          <w:p w14:paraId="57A1E78E" w14:textId="77777777" w:rsidR="004779D9" w:rsidRPr="00FE714A" w:rsidRDefault="004779D9" w:rsidP="007A6EA2">
            <w:pPr>
              <w:keepNext/>
              <w:keepLines/>
              <w:jc w:val="center"/>
              <w:rPr>
                <w:rFonts w:ascii="Arial Narrow" w:hAnsi="Arial Narrow"/>
                <w:sz w:val="20"/>
                <w:szCs w:val="20"/>
              </w:rPr>
            </w:pP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793D2599"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LEB 250 mg Q2W ± TCS</w:t>
            </w: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39D857D1"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PBO ± TCS</w:t>
            </w:r>
          </w:p>
        </w:tc>
        <w:tc>
          <w:tcPr>
            <w:tcW w:w="709" w:type="pct"/>
            <w:vMerge w:val="restart"/>
            <w:tcBorders>
              <w:left w:val="single" w:sz="4" w:space="0" w:color="auto"/>
              <w:right w:val="single" w:sz="4" w:space="0" w:color="auto"/>
            </w:tcBorders>
            <w:shd w:val="clear" w:color="auto" w:fill="auto"/>
            <w:vAlign w:val="center"/>
          </w:tcPr>
          <w:p w14:paraId="3BADC2DE" w14:textId="56BA0D15"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DUPI 30</w:t>
            </w:r>
            <w:r w:rsidR="00FE714A">
              <w:rPr>
                <w:rFonts w:ascii="Arial Narrow" w:hAnsi="Arial Narrow"/>
                <w:b/>
                <w:bCs/>
                <w:sz w:val="20"/>
                <w:szCs w:val="20"/>
              </w:rPr>
              <w:t>0 mg</w:t>
            </w:r>
            <w:r w:rsidRPr="00FE714A">
              <w:rPr>
                <w:rFonts w:ascii="Arial Narrow" w:hAnsi="Arial Narrow"/>
                <w:b/>
                <w:bCs/>
                <w:sz w:val="20"/>
                <w:szCs w:val="20"/>
              </w:rPr>
              <w:t xml:space="preserve"> ± TCS</w:t>
            </w:r>
          </w:p>
        </w:tc>
        <w:tc>
          <w:tcPr>
            <w:tcW w:w="928" w:type="pct"/>
            <w:tcBorders>
              <w:left w:val="single" w:sz="4" w:space="0" w:color="auto"/>
              <w:right w:val="single" w:sz="4" w:space="0" w:color="auto"/>
            </w:tcBorders>
            <w:shd w:val="clear" w:color="auto" w:fill="auto"/>
            <w:tcMar>
              <w:left w:w="57" w:type="dxa"/>
              <w:right w:w="57" w:type="dxa"/>
            </w:tcMar>
            <w:vAlign w:val="center"/>
          </w:tcPr>
          <w:p w14:paraId="1419A59A"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RR (95% CI)</w:t>
            </w:r>
          </w:p>
        </w:tc>
        <w:tc>
          <w:tcPr>
            <w:tcW w:w="926" w:type="pct"/>
            <w:tcBorders>
              <w:left w:val="single" w:sz="4" w:space="0" w:color="auto"/>
            </w:tcBorders>
            <w:shd w:val="clear" w:color="auto" w:fill="auto"/>
            <w:tcMar>
              <w:left w:w="57" w:type="dxa"/>
              <w:right w:w="57" w:type="dxa"/>
            </w:tcMar>
            <w:vAlign w:val="center"/>
          </w:tcPr>
          <w:p w14:paraId="36F2CE73"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78C339A8" w14:textId="77777777" w:rsidTr="005E06AD">
        <w:trPr>
          <w:cantSplit/>
          <w:trHeight w:val="227"/>
        </w:trPr>
        <w:tc>
          <w:tcPr>
            <w:tcW w:w="1019" w:type="pct"/>
            <w:vMerge/>
            <w:tcBorders>
              <w:right w:val="single" w:sz="4" w:space="0" w:color="auto"/>
            </w:tcBorders>
            <w:shd w:val="clear" w:color="auto" w:fill="auto"/>
            <w:tcMar>
              <w:left w:w="57" w:type="dxa"/>
              <w:right w:w="57" w:type="dxa"/>
            </w:tcMar>
            <w:vAlign w:val="center"/>
          </w:tcPr>
          <w:p w14:paraId="0600B188" w14:textId="77777777" w:rsidR="004779D9" w:rsidRPr="00FE714A" w:rsidRDefault="004779D9" w:rsidP="007A6EA2">
            <w:pPr>
              <w:keepNext/>
              <w:keepLines/>
              <w:jc w:val="left"/>
              <w:rPr>
                <w:rFonts w:ascii="Arial Narrow" w:hAnsi="Arial Narrow"/>
                <w:b/>
                <w:bCs/>
                <w:sz w:val="20"/>
                <w:szCs w:val="20"/>
              </w:rPr>
            </w:pPr>
          </w:p>
        </w:tc>
        <w:tc>
          <w:tcPr>
            <w:tcW w:w="709" w:type="pct"/>
            <w:vMerge/>
            <w:tcBorders>
              <w:left w:val="single" w:sz="4" w:space="0" w:color="auto"/>
            </w:tcBorders>
            <w:shd w:val="clear" w:color="auto" w:fill="auto"/>
            <w:tcMar>
              <w:left w:w="57" w:type="dxa"/>
              <w:right w:w="57" w:type="dxa"/>
            </w:tcMar>
            <w:vAlign w:val="center"/>
          </w:tcPr>
          <w:p w14:paraId="63A75152" w14:textId="77777777" w:rsidR="004779D9" w:rsidRPr="00FE714A" w:rsidRDefault="004779D9" w:rsidP="007A6EA2">
            <w:pPr>
              <w:keepNext/>
              <w:keepLines/>
              <w:jc w:val="center"/>
              <w:rPr>
                <w:rFonts w:ascii="Arial Narrow" w:hAnsi="Arial Narrow"/>
                <w:b/>
                <w:bCs/>
                <w:sz w:val="20"/>
                <w:szCs w:val="20"/>
              </w:rPr>
            </w:pPr>
          </w:p>
        </w:tc>
        <w:tc>
          <w:tcPr>
            <w:tcW w:w="709" w:type="pct"/>
            <w:vMerge/>
            <w:shd w:val="clear" w:color="auto" w:fill="auto"/>
            <w:tcMar>
              <w:left w:w="57" w:type="dxa"/>
              <w:right w:w="57" w:type="dxa"/>
            </w:tcMar>
            <w:vAlign w:val="center"/>
          </w:tcPr>
          <w:p w14:paraId="24E7A95B" w14:textId="77777777" w:rsidR="004779D9" w:rsidRPr="00FE714A" w:rsidRDefault="004779D9" w:rsidP="007A6EA2">
            <w:pPr>
              <w:keepNext/>
              <w:keepLines/>
              <w:jc w:val="center"/>
              <w:rPr>
                <w:rFonts w:ascii="Arial Narrow" w:hAnsi="Arial Narrow"/>
                <w:b/>
                <w:bCs/>
                <w:sz w:val="20"/>
                <w:szCs w:val="20"/>
              </w:rPr>
            </w:pPr>
          </w:p>
        </w:tc>
        <w:tc>
          <w:tcPr>
            <w:tcW w:w="709" w:type="pct"/>
            <w:vMerge/>
            <w:shd w:val="clear" w:color="auto" w:fill="auto"/>
            <w:vAlign w:val="center"/>
          </w:tcPr>
          <w:p w14:paraId="6658D77B" w14:textId="77777777" w:rsidR="004779D9" w:rsidRPr="00FE714A" w:rsidRDefault="004779D9" w:rsidP="007A6EA2">
            <w:pPr>
              <w:keepNext/>
              <w:keepLines/>
              <w:jc w:val="center"/>
              <w:rPr>
                <w:rFonts w:ascii="Arial Narrow" w:hAnsi="Arial Narrow"/>
                <w:b/>
                <w:bCs/>
                <w:sz w:val="20"/>
                <w:szCs w:val="20"/>
              </w:rPr>
            </w:pPr>
          </w:p>
        </w:tc>
        <w:tc>
          <w:tcPr>
            <w:tcW w:w="1854" w:type="pct"/>
            <w:gridSpan w:val="2"/>
            <w:shd w:val="clear" w:color="auto" w:fill="auto"/>
            <w:vAlign w:val="center"/>
          </w:tcPr>
          <w:p w14:paraId="794F7833"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Active treatment ± TCS vs PBO ± TCS</w:t>
            </w:r>
          </w:p>
        </w:tc>
      </w:tr>
      <w:tr w:rsidR="004779D9" w:rsidRPr="00FE714A" w14:paraId="18391500" w14:textId="77777777" w:rsidTr="005E06AD">
        <w:trPr>
          <w:cantSplit/>
          <w:trHeight w:val="227"/>
        </w:trPr>
        <w:tc>
          <w:tcPr>
            <w:tcW w:w="5000" w:type="pct"/>
            <w:gridSpan w:val="6"/>
            <w:shd w:val="clear" w:color="auto" w:fill="auto"/>
            <w:tcMar>
              <w:left w:w="57" w:type="dxa"/>
              <w:right w:w="57" w:type="dxa"/>
            </w:tcMar>
            <w:vAlign w:val="center"/>
          </w:tcPr>
          <w:p w14:paraId="7487C90E"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Monotherapy trials</w:t>
            </w:r>
          </w:p>
        </w:tc>
      </w:tr>
      <w:tr w:rsidR="004779D9" w:rsidRPr="00FE714A" w14:paraId="60762F0A" w14:textId="77777777" w:rsidTr="005E06AD">
        <w:trPr>
          <w:cantSplit/>
          <w:trHeight w:val="227"/>
        </w:trPr>
        <w:tc>
          <w:tcPr>
            <w:tcW w:w="1019" w:type="pct"/>
            <w:shd w:val="clear" w:color="auto" w:fill="auto"/>
            <w:tcMar>
              <w:left w:w="57" w:type="dxa"/>
              <w:right w:w="57" w:type="dxa"/>
            </w:tcMar>
            <w:vAlign w:val="center"/>
          </w:tcPr>
          <w:p w14:paraId="4C67DF3A"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LEB trials pooled</w:t>
            </w:r>
          </w:p>
        </w:tc>
        <w:tc>
          <w:tcPr>
            <w:tcW w:w="709" w:type="pct"/>
            <w:shd w:val="clear" w:color="auto" w:fill="auto"/>
            <w:tcMar>
              <w:left w:w="57" w:type="dxa"/>
              <w:right w:w="57" w:type="dxa"/>
            </w:tcMar>
            <w:vAlign w:val="center"/>
          </w:tcPr>
          <w:p w14:paraId="47EB873E"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533/764 (69.8)</w:t>
            </w:r>
          </w:p>
        </w:tc>
        <w:tc>
          <w:tcPr>
            <w:tcW w:w="709" w:type="pct"/>
            <w:shd w:val="clear" w:color="auto" w:fill="auto"/>
            <w:tcMar>
              <w:left w:w="57" w:type="dxa"/>
              <w:right w:w="57" w:type="dxa"/>
            </w:tcMar>
            <w:vAlign w:val="center"/>
          </w:tcPr>
          <w:p w14:paraId="31B020D4"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155/461 (33.6)</w:t>
            </w:r>
          </w:p>
        </w:tc>
        <w:tc>
          <w:tcPr>
            <w:tcW w:w="709" w:type="pct"/>
            <w:shd w:val="clear" w:color="auto" w:fill="auto"/>
            <w:vAlign w:val="center"/>
          </w:tcPr>
          <w:p w14:paraId="4CE82D8C"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0228271C" w14:textId="02C48E85"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2.</w:t>
            </w:r>
            <w:r w:rsidR="00E078B4" w:rsidRPr="00FE714A">
              <w:rPr>
                <w:rFonts w:ascii="Arial Narrow" w:hAnsi="Arial Narrow"/>
                <w:b/>
                <w:bCs/>
                <w:sz w:val="20"/>
                <w:szCs w:val="20"/>
              </w:rPr>
              <w:t>1</w:t>
            </w:r>
            <w:r w:rsidRPr="00FE714A">
              <w:rPr>
                <w:rFonts w:ascii="Arial Narrow" w:hAnsi="Arial Narrow"/>
                <w:b/>
                <w:bCs/>
                <w:sz w:val="20"/>
                <w:szCs w:val="20"/>
              </w:rPr>
              <w:t xml:space="preserve"> (1.8, 2.</w:t>
            </w:r>
            <w:r w:rsidR="00E078B4" w:rsidRPr="00FE714A">
              <w:rPr>
                <w:rFonts w:ascii="Arial Narrow" w:hAnsi="Arial Narrow"/>
                <w:b/>
                <w:bCs/>
                <w:sz w:val="20"/>
                <w:szCs w:val="20"/>
              </w:rPr>
              <w:t>4</w:t>
            </w:r>
            <w:r w:rsidRPr="00FE714A">
              <w:rPr>
                <w:rFonts w:ascii="Arial Narrow" w:hAnsi="Arial Narrow"/>
                <w:b/>
                <w:bCs/>
                <w:sz w:val="20"/>
                <w:szCs w:val="20"/>
              </w:rPr>
              <w:t>)</w:t>
            </w:r>
          </w:p>
        </w:tc>
        <w:tc>
          <w:tcPr>
            <w:tcW w:w="926" w:type="pct"/>
            <w:shd w:val="clear" w:color="auto" w:fill="auto"/>
            <w:tcMar>
              <w:left w:w="57" w:type="dxa"/>
              <w:right w:w="57" w:type="dxa"/>
            </w:tcMar>
            <w:vAlign w:val="center"/>
          </w:tcPr>
          <w:p w14:paraId="59710914"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0.37 (0.32, 0.42)</w:t>
            </w:r>
          </w:p>
        </w:tc>
      </w:tr>
      <w:tr w:rsidR="004779D9" w:rsidRPr="00FE714A" w14:paraId="5093CEFB" w14:textId="77777777" w:rsidTr="005E06AD">
        <w:trPr>
          <w:cantSplit/>
          <w:trHeight w:val="227"/>
        </w:trPr>
        <w:tc>
          <w:tcPr>
            <w:tcW w:w="1019" w:type="pct"/>
            <w:shd w:val="clear" w:color="auto" w:fill="auto"/>
            <w:tcMar>
              <w:left w:w="57" w:type="dxa"/>
              <w:right w:w="57" w:type="dxa"/>
            </w:tcMar>
            <w:vAlign w:val="center"/>
          </w:tcPr>
          <w:p w14:paraId="762EDDE6" w14:textId="10E7331C" w:rsidR="004779D9" w:rsidRPr="00FE714A" w:rsidRDefault="004779D9" w:rsidP="007A6EA2">
            <w:pPr>
              <w:keepNext/>
              <w:keepLines/>
              <w:jc w:val="left"/>
              <w:rPr>
                <w:rFonts w:ascii="Arial Narrow" w:hAnsi="Arial Narrow"/>
                <w:sz w:val="20"/>
                <w:szCs w:val="20"/>
                <w:vertAlign w:val="superscript"/>
              </w:rPr>
            </w:pPr>
            <w:r w:rsidRPr="00FE714A">
              <w:rPr>
                <w:rFonts w:ascii="Arial Narrow" w:hAnsi="Arial Narrow"/>
                <w:sz w:val="20"/>
                <w:szCs w:val="20"/>
              </w:rPr>
              <w:t xml:space="preserve">DUPI trials pooled </w:t>
            </w:r>
            <w:r w:rsidR="00BD1953"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7F03A4E1"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49D95455"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160/689 (23.2)</w:t>
            </w:r>
          </w:p>
        </w:tc>
        <w:tc>
          <w:tcPr>
            <w:tcW w:w="709" w:type="pct"/>
            <w:shd w:val="clear" w:color="auto" w:fill="auto"/>
            <w:vAlign w:val="center"/>
          </w:tcPr>
          <w:p w14:paraId="31851FD0"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464/685 (67.7)</w:t>
            </w:r>
          </w:p>
        </w:tc>
        <w:tc>
          <w:tcPr>
            <w:tcW w:w="928" w:type="pct"/>
            <w:shd w:val="clear" w:color="auto" w:fill="auto"/>
            <w:tcMar>
              <w:left w:w="57" w:type="dxa"/>
              <w:right w:w="57" w:type="dxa"/>
            </w:tcMar>
            <w:vAlign w:val="center"/>
          </w:tcPr>
          <w:p w14:paraId="5B224DB8" w14:textId="76FB5160"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2.</w:t>
            </w:r>
            <w:r w:rsidR="00E078B4" w:rsidRPr="00FE714A">
              <w:rPr>
                <w:rFonts w:ascii="Arial Narrow" w:hAnsi="Arial Narrow"/>
                <w:b/>
                <w:bCs/>
                <w:sz w:val="20"/>
                <w:szCs w:val="20"/>
              </w:rPr>
              <w:t>9</w:t>
            </w:r>
            <w:r w:rsidRPr="00FE714A">
              <w:rPr>
                <w:rFonts w:ascii="Arial Narrow" w:hAnsi="Arial Narrow"/>
                <w:b/>
                <w:bCs/>
                <w:sz w:val="20"/>
                <w:szCs w:val="20"/>
              </w:rPr>
              <w:t xml:space="preserve"> (2.</w:t>
            </w:r>
            <w:r w:rsidR="00E078B4" w:rsidRPr="00FE714A">
              <w:rPr>
                <w:rFonts w:ascii="Arial Narrow" w:hAnsi="Arial Narrow"/>
                <w:b/>
                <w:bCs/>
                <w:sz w:val="20"/>
                <w:szCs w:val="20"/>
              </w:rPr>
              <w:t>5</w:t>
            </w:r>
            <w:r w:rsidRPr="00FE714A">
              <w:rPr>
                <w:rFonts w:ascii="Arial Narrow" w:hAnsi="Arial Narrow"/>
                <w:b/>
                <w:bCs/>
                <w:sz w:val="20"/>
                <w:szCs w:val="20"/>
              </w:rPr>
              <w:t>, 3.3)</w:t>
            </w:r>
          </w:p>
        </w:tc>
        <w:tc>
          <w:tcPr>
            <w:tcW w:w="926" w:type="pct"/>
            <w:shd w:val="clear" w:color="auto" w:fill="auto"/>
            <w:tcMar>
              <w:left w:w="57" w:type="dxa"/>
              <w:right w:w="57" w:type="dxa"/>
            </w:tcMar>
            <w:vAlign w:val="center"/>
          </w:tcPr>
          <w:p w14:paraId="4E0C7FE8"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0.45 (0.40, 0.49)</w:t>
            </w:r>
          </w:p>
        </w:tc>
      </w:tr>
      <w:tr w:rsidR="004779D9" w:rsidRPr="00FE714A" w14:paraId="41441545" w14:textId="77777777" w:rsidTr="005E06AD">
        <w:trPr>
          <w:cantSplit/>
          <w:trHeight w:val="227"/>
        </w:trPr>
        <w:tc>
          <w:tcPr>
            <w:tcW w:w="3146" w:type="pct"/>
            <w:gridSpan w:val="4"/>
            <w:shd w:val="clear" w:color="auto" w:fill="auto"/>
            <w:tcMar>
              <w:left w:w="57" w:type="dxa"/>
              <w:right w:w="57" w:type="dxa"/>
            </w:tcMar>
            <w:vAlign w:val="center"/>
          </w:tcPr>
          <w:p w14:paraId="51785C02" w14:textId="229B2EAC"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ITC: monotherapy trials pooled </w:t>
            </w:r>
            <w:r w:rsidR="00EF710C" w:rsidRPr="00FE714A">
              <w:rPr>
                <w:rFonts w:ascii="Arial Narrow" w:hAnsi="Arial Narrow"/>
                <w:sz w:val="20"/>
                <w:szCs w:val="20"/>
                <w:vertAlign w:val="superscript"/>
              </w:rPr>
              <w:t>a</w:t>
            </w:r>
            <w:r w:rsidRPr="00FE714A">
              <w:rPr>
                <w:rFonts w:ascii="Arial Narrow" w:hAnsi="Arial Narrow"/>
                <w:sz w:val="20"/>
                <w:szCs w:val="20"/>
              </w:rPr>
              <w:t xml:space="preserve"> (corrected during the evaluation)</w:t>
            </w:r>
          </w:p>
        </w:tc>
        <w:tc>
          <w:tcPr>
            <w:tcW w:w="928" w:type="pct"/>
            <w:shd w:val="clear" w:color="auto" w:fill="auto"/>
            <w:tcMar>
              <w:left w:w="57" w:type="dxa"/>
              <w:right w:w="57" w:type="dxa"/>
            </w:tcMar>
            <w:vAlign w:val="center"/>
          </w:tcPr>
          <w:p w14:paraId="116E96FD"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0.73 (0.60, 0.89)</w:t>
            </w:r>
          </w:p>
        </w:tc>
        <w:tc>
          <w:tcPr>
            <w:tcW w:w="926" w:type="pct"/>
            <w:shd w:val="clear" w:color="auto" w:fill="auto"/>
            <w:tcMar>
              <w:left w:w="57" w:type="dxa"/>
              <w:right w:w="57" w:type="dxa"/>
            </w:tcMar>
            <w:vAlign w:val="center"/>
          </w:tcPr>
          <w:p w14:paraId="5AA32EB7"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-0.08 (-0.15, -0.01)</w:t>
            </w:r>
          </w:p>
        </w:tc>
      </w:tr>
      <w:tr w:rsidR="004779D9" w:rsidRPr="00FE714A" w14:paraId="45D83143" w14:textId="77777777" w:rsidTr="005E06AD">
        <w:trPr>
          <w:cantSplit/>
          <w:trHeight w:val="227"/>
        </w:trPr>
        <w:tc>
          <w:tcPr>
            <w:tcW w:w="3146" w:type="pct"/>
            <w:gridSpan w:val="4"/>
            <w:shd w:val="clear" w:color="auto" w:fill="auto"/>
            <w:tcMar>
              <w:left w:w="57" w:type="dxa"/>
              <w:right w:w="57" w:type="dxa"/>
            </w:tcMar>
            <w:vAlign w:val="center"/>
          </w:tcPr>
          <w:p w14:paraId="6BF0DC65"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ITC: monotherapy trials pooled (as presented in the submission) </w:t>
            </w:r>
          </w:p>
        </w:tc>
        <w:tc>
          <w:tcPr>
            <w:tcW w:w="928" w:type="pct"/>
            <w:shd w:val="clear" w:color="auto" w:fill="auto"/>
            <w:tcMar>
              <w:left w:w="57" w:type="dxa"/>
              <w:right w:w="57" w:type="dxa"/>
            </w:tcMar>
            <w:vAlign w:val="center"/>
          </w:tcPr>
          <w:p w14:paraId="1243F0DA"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0.80 (0.55, 1.17)</w:t>
            </w:r>
          </w:p>
        </w:tc>
        <w:tc>
          <w:tcPr>
            <w:tcW w:w="926" w:type="pct"/>
            <w:shd w:val="clear" w:color="auto" w:fill="auto"/>
            <w:tcMar>
              <w:left w:w="57" w:type="dxa"/>
              <w:right w:w="57" w:type="dxa"/>
            </w:tcMar>
            <w:vAlign w:val="center"/>
          </w:tcPr>
          <w:p w14:paraId="537B8CDF"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noBreakHyphen/>
              <w:t>0.04 (</w:t>
            </w:r>
            <w:r w:rsidRPr="00FE714A">
              <w:rPr>
                <w:rFonts w:ascii="Arial Narrow" w:hAnsi="Arial Narrow"/>
                <w:sz w:val="20"/>
                <w:szCs w:val="20"/>
              </w:rPr>
              <w:noBreakHyphen/>
              <w:t>0.13, 0.04)</w:t>
            </w:r>
          </w:p>
        </w:tc>
      </w:tr>
      <w:tr w:rsidR="004779D9" w:rsidRPr="00FE714A" w14:paraId="57A9E018" w14:textId="77777777" w:rsidTr="005E06AD">
        <w:trPr>
          <w:cantSplit/>
          <w:trHeight w:val="227"/>
        </w:trPr>
        <w:tc>
          <w:tcPr>
            <w:tcW w:w="5000" w:type="pct"/>
            <w:gridSpan w:val="6"/>
            <w:shd w:val="clear" w:color="auto" w:fill="auto"/>
          </w:tcPr>
          <w:p w14:paraId="11E6A08C"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Combination therapy trials</w:t>
            </w:r>
          </w:p>
        </w:tc>
      </w:tr>
      <w:tr w:rsidR="004779D9" w:rsidRPr="00FE714A" w14:paraId="04C3341F" w14:textId="77777777" w:rsidTr="005E06AD">
        <w:trPr>
          <w:cantSplit/>
          <w:trHeight w:val="227"/>
        </w:trPr>
        <w:tc>
          <w:tcPr>
            <w:tcW w:w="1019" w:type="pct"/>
            <w:shd w:val="clear" w:color="auto" w:fill="auto"/>
            <w:tcMar>
              <w:left w:w="57" w:type="dxa"/>
              <w:right w:w="57" w:type="dxa"/>
            </w:tcMar>
            <w:vAlign w:val="center"/>
          </w:tcPr>
          <w:p w14:paraId="5FCDAA80"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LEB trials pooled </w:t>
            </w:r>
          </w:p>
        </w:tc>
        <w:tc>
          <w:tcPr>
            <w:tcW w:w="709" w:type="pct"/>
            <w:shd w:val="clear" w:color="auto" w:fill="auto"/>
            <w:tcMar>
              <w:left w:w="57" w:type="dxa"/>
              <w:right w:w="57" w:type="dxa"/>
            </w:tcMar>
            <w:vAlign w:val="center"/>
          </w:tcPr>
          <w:p w14:paraId="7012DA39"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397/488 (81.4)</w:t>
            </w:r>
          </w:p>
        </w:tc>
        <w:tc>
          <w:tcPr>
            <w:tcW w:w="709" w:type="pct"/>
            <w:shd w:val="clear" w:color="auto" w:fill="auto"/>
            <w:tcMar>
              <w:left w:w="57" w:type="dxa"/>
              <w:right w:w="57" w:type="dxa"/>
            </w:tcMar>
            <w:vAlign w:val="center"/>
          </w:tcPr>
          <w:p w14:paraId="1E4AA1DD"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135/259 (52.1)</w:t>
            </w:r>
          </w:p>
        </w:tc>
        <w:tc>
          <w:tcPr>
            <w:tcW w:w="709" w:type="pct"/>
            <w:shd w:val="clear" w:color="auto" w:fill="auto"/>
            <w:vAlign w:val="center"/>
          </w:tcPr>
          <w:p w14:paraId="30305727"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498C5207" w14:textId="569123C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1.6 (1.1, 2.3)</w:t>
            </w:r>
          </w:p>
        </w:tc>
        <w:tc>
          <w:tcPr>
            <w:tcW w:w="926" w:type="pct"/>
            <w:shd w:val="clear" w:color="auto" w:fill="auto"/>
            <w:tcMar>
              <w:left w:w="57" w:type="dxa"/>
              <w:right w:w="57" w:type="dxa"/>
            </w:tcMar>
            <w:vAlign w:val="center"/>
          </w:tcPr>
          <w:p w14:paraId="2733AEBC"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0.30 (0.11, 0.49)</w:t>
            </w:r>
          </w:p>
        </w:tc>
      </w:tr>
      <w:tr w:rsidR="004779D9" w:rsidRPr="00FE714A" w14:paraId="455C12EA" w14:textId="77777777" w:rsidTr="005E06AD">
        <w:trPr>
          <w:cantSplit/>
          <w:trHeight w:val="227"/>
        </w:trPr>
        <w:tc>
          <w:tcPr>
            <w:tcW w:w="1019" w:type="pct"/>
            <w:shd w:val="clear" w:color="auto" w:fill="auto"/>
            <w:tcMar>
              <w:left w:w="57" w:type="dxa"/>
              <w:right w:w="57" w:type="dxa"/>
            </w:tcMar>
            <w:vAlign w:val="center"/>
          </w:tcPr>
          <w:p w14:paraId="5B0B74C5" w14:textId="755DEF02" w:rsidR="004779D9" w:rsidRPr="00FE714A" w:rsidRDefault="004779D9" w:rsidP="007A6EA2">
            <w:pPr>
              <w:keepNext/>
              <w:keepLines/>
              <w:jc w:val="left"/>
              <w:rPr>
                <w:rFonts w:ascii="Arial Narrow" w:hAnsi="Arial Narrow"/>
                <w:sz w:val="20"/>
                <w:szCs w:val="20"/>
                <w:vertAlign w:val="superscript"/>
              </w:rPr>
            </w:pPr>
            <w:r w:rsidRPr="00FE714A">
              <w:rPr>
                <w:rFonts w:ascii="Arial Narrow" w:hAnsi="Arial Narrow"/>
                <w:sz w:val="20"/>
                <w:szCs w:val="20"/>
              </w:rPr>
              <w:t xml:space="preserve">DUPI trials pooled </w:t>
            </w:r>
            <w:r w:rsidR="00BD1953"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618B97C9"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434ADB47"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236/547 (43.1)</w:t>
            </w:r>
          </w:p>
        </w:tc>
        <w:tc>
          <w:tcPr>
            <w:tcW w:w="709" w:type="pct"/>
            <w:shd w:val="clear" w:color="auto" w:fill="auto"/>
            <w:vAlign w:val="center"/>
          </w:tcPr>
          <w:p w14:paraId="29CB03CB"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371/445 (83.4)</w:t>
            </w:r>
          </w:p>
        </w:tc>
        <w:tc>
          <w:tcPr>
            <w:tcW w:w="928" w:type="pct"/>
            <w:shd w:val="clear" w:color="auto" w:fill="auto"/>
            <w:tcMar>
              <w:left w:w="57" w:type="dxa"/>
              <w:right w:w="57" w:type="dxa"/>
            </w:tcMar>
            <w:vAlign w:val="center"/>
          </w:tcPr>
          <w:p w14:paraId="6C5D43C8"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1.82 (1.43, 2.33)</w:t>
            </w:r>
          </w:p>
        </w:tc>
        <w:tc>
          <w:tcPr>
            <w:tcW w:w="926" w:type="pct"/>
            <w:shd w:val="clear" w:color="auto" w:fill="auto"/>
            <w:tcMar>
              <w:left w:w="57" w:type="dxa"/>
              <w:right w:w="57" w:type="dxa"/>
            </w:tcMar>
            <w:vAlign w:val="center"/>
          </w:tcPr>
          <w:p w14:paraId="50FE42F8"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0.37 (0.27, 0.47)</w:t>
            </w:r>
          </w:p>
        </w:tc>
      </w:tr>
      <w:tr w:rsidR="004779D9" w:rsidRPr="00FE714A" w14:paraId="20E83716" w14:textId="77777777" w:rsidTr="005E06AD">
        <w:trPr>
          <w:cantSplit/>
          <w:trHeight w:val="227"/>
        </w:trPr>
        <w:tc>
          <w:tcPr>
            <w:tcW w:w="3146" w:type="pct"/>
            <w:gridSpan w:val="4"/>
            <w:shd w:val="clear" w:color="auto" w:fill="auto"/>
            <w:tcMar>
              <w:left w:w="57" w:type="dxa"/>
              <w:right w:w="57" w:type="dxa"/>
            </w:tcMar>
            <w:vAlign w:val="center"/>
          </w:tcPr>
          <w:p w14:paraId="784E6748" w14:textId="3FF3D771"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ITC: combination therapy trials pooled </w:t>
            </w:r>
            <w:r w:rsidR="00EF710C" w:rsidRPr="00FE714A">
              <w:rPr>
                <w:rFonts w:ascii="Arial Narrow" w:hAnsi="Arial Narrow"/>
                <w:sz w:val="20"/>
                <w:szCs w:val="20"/>
                <w:vertAlign w:val="superscript"/>
              </w:rPr>
              <w:t>a</w:t>
            </w:r>
            <w:r w:rsidRPr="00FE714A">
              <w:rPr>
                <w:rFonts w:ascii="Arial Narrow" w:hAnsi="Arial Narrow"/>
                <w:sz w:val="20"/>
                <w:szCs w:val="20"/>
              </w:rPr>
              <w:t xml:space="preserve"> (corrected during the evaluation)</w:t>
            </w:r>
          </w:p>
        </w:tc>
        <w:tc>
          <w:tcPr>
            <w:tcW w:w="928" w:type="pct"/>
            <w:shd w:val="clear" w:color="auto" w:fill="auto"/>
            <w:tcMar>
              <w:left w:w="57" w:type="dxa"/>
              <w:right w:w="57" w:type="dxa"/>
            </w:tcMar>
            <w:vAlign w:val="center"/>
          </w:tcPr>
          <w:p w14:paraId="72DD31E9"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0.89 (0.57, 1.38)</w:t>
            </w:r>
          </w:p>
        </w:tc>
        <w:tc>
          <w:tcPr>
            <w:tcW w:w="926" w:type="pct"/>
            <w:shd w:val="clear" w:color="auto" w:fill="auto"/>
            <w:tcMar>
              <w:left w:w="57" w:type="dxa"/>
              <w:right w:w="57" w:type="dxa"/>
            </w:tcMar>
            <w:vAlign w:val="center"/>
          </w:tcPr>
          <w:p w14:paraId="2AD0A21F"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-0.07 (-0.29, 0.15)</w:t>
            </w:r>
          </w:p>
        </w:tc>
      </w:tr>
      <w:tr w:rsidR="004779D9" w:rsidRPr="00FE714A" w14:paraId="58E09166" w14:textId="77777777" w:rsidTr="005E06AD">
        <w:trPr>
          <w:cantSplit/>
          <w:trHeight w:val="227"/>
        </w:trPr>
        <w:tc>
          <w:tcPr>
            <w:tcW w:w="3146" w:type="pct"/>
            <w:gridSpan w:val="4"/>
            <w:shd w:val="clear" w:color="auto" w:fill="auto"/>
            <w:tcMar>
              <w:left w:w="57" w:type="dxa"/>
              <w:right w:w="57" w:type="dxa"/>
            </w:tcMar>
            <w:vAlign w:val="center"/>
          </w:tcPr>
          <w:p w14:paraId="079606D6"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ITC: combination therapy trials pooled (as presented in the submission) </w:t>
            </w:r>
          </w:p>
        </w:tc>
        <w:tc>
          <w:tcPr>
            <w:tcW w:w="928" w:type="pct"/>
            <w:shd w:val="clear" w:color="auto" w:fill="auto"/>
            <w:tcMar>
              <w:left w:w="57" w:type="dxa"/>
              <w:right w:w="57" w:type="dxa"/>
            </w:tcMar>
            <w:vAlign w:val="center"/>
          </w:tcPr>
          <w:p w14:paraId="2190E9EE"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0.78 (0.53, 1.16)</w:t>
            </w:r>
          </w:p>
        </w:tc>
        <w:tc>
          <w:tcPr>
            <w:tcW w:w="926" w:type="pct"/>
            <w:shd w:val="clear" w:color="auto" w:fill="auto"/>
            <w:tcMar>
              <w:left w:w="57" w:type="dxa"/>
              <w:right w:w="57" w:type="dxa"/>
            </w:tcMar>
            <w:vAlign w:val="center"/>
          </w:tcPr>
          <w:p w14:paraId="4F6B0D0D"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noBreakHyphen/>
              <w:t>0.12 (</w:t>
            </w:r>
            <w:r w:rsidRPr="00FE714A">
              <w:rPr>
                <w:rFonts w:ascii="Arial Narrow" w:hAnsi="Arial Narrow"/>
                <w:sz w:val="20"/>
                <w:szCs w:val="20"/>
              </w:rPr>
              <w:noBreakHyphen/>
              <w:t>0.33, 0.08)</w:t>
            </w:r>
          </w:p>
        </w:tc>
      </w:tr>
      <w:tr w:rsidR="004779D9" w:rsidRPr="00FE714A" w14:paraId="669E15A9" w14:textId="77777777" w:rsidTr="005E06AD">
        <w:trPr>
          <w:cantSplit/>
          <w:trHeight w:val="227"/>
        </w:trPr>
        <w:tc>
          <w:tcPr>
            <w:tcW w:w="5000" w:type="pct"/>
            <w:gridSpan w:val="6"/>
            <w:shd w:val="clear" w:color="auto" w:fill="auto"/>
            <w:tcMar>
              <w:left w:w="57" w:type="dxa"/>
              <w:right w:w="57" w:type="dxa"/>
            </w:tcMar>
            <w:vAlign w:val="center"/>
          </w:tcPr>
          <w:p w14:paraId="3A36E28D"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All trials</w:t>
            </w:r>
          </w:p>
        </w:tc>
      </w:tr>
      <w:tr w:rsidR="004779D9" w:rsidRPr="00FE714A" w14:paraId="7DE53F1A" w14:textId="77777777" w:rsidTr="005E06AD">
        <w:trPr>
          <w:cantSplit/>
          <w:trHeight w:val="227"/>
        </w:trPr>
        <w:tc>
          <w:tcPr>
            <w:tcW w:w="1019" w:type="pct"/>
            <w:shd w:val="clear" w:color="auto" w:fill="auto"/>
            <w:tcMar>
              <w:left w:w="57" w:type="dxa"/>
              <w:right w:w="57" w:type="dxa"/>
            </w:tcMar>
            <w:vAlign w:val="center"/>
          </w:tcPr>
          <w:p w14:paraId="59B1D773"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LEB all trials pooled</w:t>
            </w:r>
          </w:p>
        </w:tc>
        <w:tc>
          <w:tcPr>
            <w:tcW w:w="709" w:type="pct"/>
            <w:shd w:val="clear" w:color="auto" w:fill="auto"/>
            <w:tcMar>
              <w:left w:w="57" w:type="dxa"/>
              <w:right w:w="57" w:type="dxa"/>
            </w:tcMar>
            <w:vAlign w:val="center"/>
          </w:tcPr>
          <w:p w14:paraId="16A33591"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hAnsi="Arial Narrow"/>
                <w:sz w:val="20"/>
                <w:szCs w:val="20"/>
              </w:rPr>
              <w:t>930/1252 (74.3)</w:t>
            </w:r>
          </w:p>
        </w:tc>
        <w:tc>
          <w:tcPr>
            <w:tcW w:w="709" w:type="pct"/>
            <w:shd w:val="clear" w:color="auto" w:fill="auto"/>
            <w:tcMar>
              <w:left w:w="57" w:type="dxa"/>
              <w:right w:w="57" w:type="dxa"/>
            </w:tcMar>
            <w:vAlign w:val="center"/>
          </w:tcPr>
          <w:p w14:paraId="0E4AA68A"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290/720 (40.3)</w:t>
            </w:r>
          </w:p>
        </w:tc>
        <w:tc>
          <w:tcPr>
            <w:tcW w:w="709" w:type="pct"/>
            <w:shd w:val="clear" w:color="auto" w:fill="auto"/>
          </w:tcPr>
          <w:p w14:paraId="60E3ABB6"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193F4C12"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1.85 (1.48, 2.33)</w:t>
            </w:r>
          </w:p>
        </w:tc>
        <w:tc>
          <w:tcPr>
            <w:tcW w:w="926" w:type="pct"/>
            <w:shd w:val="clear" w:color="auto" w:fill="auto"/>
            <w:tcMar>
              <w:left w:w="57" w:type="dxa"/>
              <w:right w:w="57" w:type="dxa"/>
            </w:tcMar>
            <w:vAlign w:val="center"/>
          </w:tcPr>
          <w:p w14:paraId="2C56180C"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0.34 (0.26, 0.42)</w:t>
            </w:r>
          </w:p>
        </w:tc>
      </w:tr>
      <w:tr w:rsidR="004779D9" w:rsidRPr="00FE714A" w14:paraId="544F947B" w14:textId="77777777" w:rsidTr="005E06AD">
        <w:trPr>
          <w:cantSplit/>
          <w:trHeight w:val="227"/>
        </w:trPr>
        <w:tc>
          <w:tcPr>
            <w:tcW w:w="1019" w:type="pct"/>
            <w:shd w:val="clear" w:color="auto" w:fill="auto"/>
            <w:tcMar>
              <w:left w:w="57" w:type="dxa"/>
              <w:right w:w="57" w:type="dxa"/>
            </w:tcMar>
            <w:vAlign w:val="center"/>
          </w:tcPr>
          <w:p w14:paraId="5EB2B1DE"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DUPI all trials pooled</w:t>
            </w:r>
          </w:p>
        </w:tc>
        <w:tc>
          <w:tcPr>
            <w:tcW w:w="709" w:type="pct"/>
            <w:shd w:val="clear" w:color="auto" w:fill="auto"/>
            <w:tcMar>
              <w:left w:w="57" w:type="dxa"/>
              <w:right w:w="57" w:type="dxa"/>
            </w:tcMar>
            <w:vAlign w:val="center"/>
          </w:tcPr>
          <w:p w14:paraId="085E815F"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2C95C652"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396/1236 (32.0)</w:t>
            </w:r>
          </w:p>
        </w:tc>
        <w:tc>
          <w:tcPr>
            <w:tcW w:w="709" w:type="pct"/>
            <w:shd w:val="clear" w:color="auto" w:fill="auto"/>
          </w:tcPr>
          <w:p w14:paraId="08E60318"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835/1130 (73.9)</w:t>
            </w:r>
          </w:p>
        </w:tc>
        <w:tc>
          <w:tcPr>
            <w:tcW w:w="928" w:type="pct"/>
            <w:shd w:val="clear" w:color="auto" w:fill="auto"/>
            <w:tcMar>
              <w:left w:w="57" w:type="dxa"/>
              <w:right w:w="57" w:type="dxa"/>
            </w:tcMar>
            <w:vAlign w:val="center"/>
          </w:tcPr>
          <w:p w14:paraId="7B11783F"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2.39 (1.90, 3.01)</w:t>
            </w:r>
          </w:p>
        </w:tc>
        <w:tc>
          <w:tcPr>
            <w:tcW w:w="926" w:type="pct"/>
            <w:shd w:val="clear" w:color="auto" w:fill="auto"/>
            <w:tcMar>
              <w:left w:w="57" w:type="dxa"/>
              <w:right w:w="57" w:type="dxa"/>
            </w:tcMar>
            <w:vAlign w:val="center"/>
          </w:tcPr>
          <w:p w14:paraId="683F027E"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0.42 (0.37, 0.46)</w:t>
            </w:r>
          </w:p>
        </w:tc>
      </w:tr>
      <w:tr w:rsidR="004779D9" w:rsidRPr="00FE714A" w14:paraId="52801AE6" w14:textId="77777777" w:rsidTr="005E06AD">
        <w:trPr>
          <w:cantSplit/>
          <w:trHeight w:val="227"/>
        </w:trPr>
        <w:tc>
          <w:tcPr>
            <w:tcW w:w="3146" w:type="pct"/>
            <w:gridSpan w:val="4"/>
            <w:shd w:val="clear" w:color="auto" w:fill="auto"/>
            <w:tcMar>
              <w:left w:w="57" w:type="dxa"/>
              <w:right w:w="57" w:type="dxa"/>
            </w:tcMar>
            <w:vAlign w:val="center"/>
          </w:tcPr>
          <w:p w14:paraId="0C00246E"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ITC: all trials pooled</w:t>
            </w:r>
          </w:p>
        </w:tc>
        <w:tc>
          <w:tcPr>
            <w:tcW w:w="928" w:type="pct"/>
            <w:shd w:val="clear" w:color="auto" w:fill="auto"/>
            <w:tcMar>
              <w:left w:w="57" w:type="dxa"/>
              <w:right w:w="57" w:type="dxa"/>
            </w:tcMar>
            <w:vAlign w:val="center"/>
          </w:tcPr>
          <w:p w14:paraId="7C823918"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0.77 (0.56, 1.07)</w:t>
            </w:r>
          </w:p>
        </w:tc>
        <w:tc>
          <w:tcPr>
            <w:tcW w:w="926" w:type="pct"/>
            <w:shd w:val="clear" w:color="auto" w:fill="auto"/>
            <w:tcMar>
              <w:left w:w="57" w:type="dxa"/>
              <w:right w:w="57" w:type="dxa"/>
            </w:tcMar>
            <w:vAlign w:val="center"/>
          </w:tcPr>
          <w:p w14:paraId="2AD54335"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noBreakHyphen/>
              <w:t>0.08 (</w:t>
            </w:r>
            <w:r w:rsidRPr="00FE714A">
              <w:rPr>
                <w:rFonts w:ascii="Arial Narrow" w:hAnsi="Arial Narrow"/>
                <w:sz w:val="20"/>
                <w:szCs w:val="20"/>
              </w:rPr>
              <w:noBreakHyphen/>
              <w:t>0.17, 0.01)</w:t>
            </w:r>
          </w:p>
        </w:tc>
      </w:tr>
    </w:tbl>
    <w:p w14:paraId="1794D0CF" w14:textId="77777777" w:rsidR="004779D9" w:rsidRPr="00FE714A" w:rsidRDefault="004779D9" w:rsidP="000B2442">
      <w:pPr>
        <w:pStyle w:val="FooterTableFigure"/>
        <w:keepNext/>
        <w:keepLines/>
      </w:pPr>
      <w:r w:rsidRPr="00FE714A">
        <w:t>Source: Table 2.6-8, pp222-223 of the submission.</w:t>
      </w:r>
    </w:p>
    <w:p w14:paraId="431B5437" w14:textId="77777777" w:rsidR="004779D9" w:rsidRPr="00FE714A" w:rsidRDefault="004779D9" w:rsidP="000B2442">
      <w:pPr>
        <w:pStyle w:val="FooterTableFigure"/>
        <w:keepNext/>
        <w:keepLines/>
        <w:rPr>
          <w:rFonts w:eastAsia="Calibri"/>
        </w:rPr>
      </w:pPr>
      <w:r w:rsidRPr="00FE714A">
        <w:rPr>
          <w:rFonts w:eastAsia="Calibri"/>
        </w:rPr>
        <w:t>CI = confidence interval; DUPI = dupilumab; EASI = eczema area and severity index; LEB = lebrikizumab; NA = not applicable; PBO = placebo; Q2W = every 2 weeks; RD = risk difference; RR = relative risk; TCS = topical corticosteroids</w:t>
      </w:r>
    </w:p>
    <w:p w14:paraId="04B9CDC4" w14:textId="0B50B535" w:rsidR="004779D9" w:rsidRPr="00FE714A" w:rsidRDefault="00BD1953" w:rsidP="000B2442">
      <w:pPr>
        <w:pStyle w:val="FooterTableFigure"/>
        <w:keepNext/>
        <w:keepLines/>
      </w:pPr>
      <w:r w:rsidRPr="00FE714A">
        <w:t>a</w:t>
      </w:r>
      <w:r w:rsidR="004779D9" w:rsidRPr="00FE714A">
        <w:t xml:space="preserve"> Indicates values corrected during the evaluation u</w:t>
      </w:r>
      <w:r w:rsidR="004779D9" w:rsidRPr="00FE714A">
        <w:rPr>
          <w:rFonts w:eastAsia="Calibri"/>
        </w:rPr>
        <w:t xml:space="preserve">sing random effects on </w:t>
      </w:r>
      <w:proofErr w:type="spellStart"/>
      <w:r w:rsidR="004779D9" w:rsidRPr="00FE714A">
        <w:rPr>
          <w:rFonts w:eastAsia="Calibri"/>
        </w:rPr>
        <w:t>StatsDirect</w:t>
      </w:r>
      <w:proofErr w:type="spellEnd"/>
      <w:r w:rsidR="004779D9" w:rsidRPr="00FE714A">
        <w:rPr>
          <w:rFonts w:eastAsia="Calibri"/>
        </w:rPr>
        <w:t xml:space="preserve"> </w:t>
      </w:r>
      <w:r w:rsidR="00EA4B51" w:rsidRPr="00FE714A">
        <w:rPr>
          <w:rFonts w:eastAsia="Calibri"/>
        </w:rPr>
        <w:t>v</w:t>
      </w:r>
      <w:r w:rsidR="004779D9" w:rsidRPr="00FE714A">
        <w:rPr>
          <w:rFonts w:eastAsia="Calibri"/>
        </w:rPr>
        <w:t xml:space="preserve">3, </w:t>
      </w:r>
      <w:r w:rsidR="004779D9" w:rsidRPr="00FE714A">
        <w:t xml:space="preserve">due to the re-classification of JADE Compare (as a combination therapy trial). </w:t>
      </w:r>
    </w:p>
    <w:p w14:paraId="46B98C0A" w14:textId="1B4DA3AB" w:rsidR="00EA4B51" w:rsidRPr="00FE714A" w:rsidRDefault="00EA4B51" w:rsidP="00EA4B51">
      <w:pPr>
        <w:pStyle w:val="FooterTableFigure"/>
        <w:keepNext/>
        <w:keepLines/>
      </w:pPr>
      <w:r w:rsidRPr="00FE714A">
        <w:t xml:space="preserve">RR and RD were estimated using </w:t>
      </w:r>
      <w:proofErr w:type="spellStart"/>
      <w:r w:rsidRPr="00FE714A">
        <w:t>StatsDirect</w:t>
      </w:r>
      <w:proofErr w:type="spellEnd"/>
      <w:r w:rsidRPr="00FE714A">
        <w:t xml:space="preserve"> v3</w:t>
      </w:r>
    </w:p>
    <w:p w14:paraId="09D8FE4C" w14:textId="2E2A5B5E" w:rsidR="004779D9" w:rsidRPr="00FE714A" w:rsidRDefault="004779D9" w:rsidP="0056239E">
      <w:pPr>
        <w:pStyle w:val="FooterTableFigure"/>
        <w:rPr>
          <w:rFonts w:eastAsia="Calibri"/>
        </w:rPr>
      </w:pPr>
      <w:r w:rsidRPr="00FE714A">
        <w:t>Values in bold indicate significance (CI did not include 1 or 0 for RR and RD respectively).</w:t>
      </w:r>
    </w:p>
    <w:p w14:paraId="64A061BB" w14:textId="1C94DABC" w:rsidR="004779D9" w:rsidRPr="00FE714A" w:rsidRDefault="004779D9" w:rsidP="00202140">
      <w:pPr>
        <w:pStyle w:val="Caption"/>
        <w:rPr>
          <w:rStyle w:val="CommentReference"/>
          <w:b/>
          <w:szCs w:val="24"/>
        </w:rPr>
      </w:pPr>
      <w:bookmarkStart w:id="33" w:name="_Ref155544528"/>
      <w:bookmarkStart w:id="34" w:name="_Ref155544518"/>
      <w:r w:rsidRPr="00FE714A">
        <w:lastRenderedPageBreak/>
        <w:t xml:space="preserve">Table </w:t>
      </w:r>
      <w:r w:rsidR="008B26E3">
        <w:fldChar w:fldCharType="begin" w:fldLock="1"/>
      </w:r>
      <w:r w:rsidR="008B26E3">
        <w:instrText xml:space="preserve"> SEQ Table \* ARABIC </w:instrText>
      </w:r>
      <w:r w:rsidR="008B26E3">
        <w:fldChar w:fldCharType="separate"/>
      </w:r>
      <w:r w:rsidR="00B3585E">
        <w:rPr>
          <w:noProof/>
        </w:rPr>
        <w:t>9</w:t>
      </w:r>
      <w:r w:rsidR="008B26E3">
        <w:rPr>
          <w:noProof/>
        </w:rPr>
        <w:fldChar w:fldCharType="end"/>
      </w:r>
      <w:bookmarkEnd w:id="33"/>
      <w:r w:rsidRPr="00FE714A">
        <w:rPr>
          <w:rStyle w:val="CommentReference"/>
          <w:b/>
          <w:szCs w:val="24"/>
        </w:rPr>
        <w:t>: Meta-analysis and indirect comparison (whole trial population) for DLQI ≥ 4-point improvement (Week 16)</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Caption w:val="Table 9: Meta-analysis and indirect comparison (whole trial population) for DLQI ≥ 4-point improvement (Week 16)"/>
      </w:tblPr>
      <w:tblGrid>
        <w:gridCol w:w="1837"/>
        <w:gridCol w:w="1278"/>
        <w:gridCol w:w="1279"/>
        <w:gridCol w:w="1279"/>
        <w:gridCol w:w="1674"/>
        <w:gridCol w:w="1670"/>
      </w:tblGrid>
      <w:tr w:rsidR="004779D9" w:rsidRPr="00FE714A" w14:paraId="5D3E52CF" w14:textId="77777777" w:rsidTr="005E06AD">
        <w:trPr>
          <w:cantSplit/>
          <w:trHeight w:val="227"/>
          <w:tblHeader/>
        </w:trPr>
        <w:tc>
          <w:tcPr>
            <w:tcW w:w="1019" w:type="pct"/>
            <w:vMerge w:val="restart"/>
            <w:tcBorders>
              <w:right w:val="single" w:sz="4" w:space="0" w:color="auto"/>
            </w:tcBorders>
            <w:shd w:val="clear" w:color="auto" w:fill="auto"/>
            <w:tcMar>
              <w:left w:w="57" w:type="dxa"/>
              <w:right w:w="57" w:type="dxa"/>
            </w:tcMar>
            <w:vAlign w:val="center"/>
          </w:tcPr>
          <w:p w14:paraId="77D21EA5" w14:textId="77777777" w:rsidR="004779D9" w:rsidRPr="00FE714A" w:rsidRDefault="004779D9" w:rsidP="007A6EA2">
            <w:pPr>
              <w:keepNext/>
              <w:keepLines/>
              <w:jc w:val="center"/>
              <w:rPr>
                <w:rFonts w:ascii="Arial Narrow" w:hAnsi="Arial Narrow"/>
                <w:sz w:val="20"/>
                <w:szCs w:val="20"/>
              </w:rPr>
            </w:pP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52EE865E"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LEB 250 mg Q2W ± TCS</w:t>
            </w: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23A5A9AE"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PBO ± TCS</w:t>
            </w:r>
          </w:p>
        </w:tc>
        <w:tc>
          <w:tcPr>
            <w:tcW w:w="709" w:type="pct"/>
            <w:vMerge w:val="restart"/>
            <w:tcBorders>
              <w:left w:val="single" w:sz="4" w:space="0" w:color="auto"/>
              <w:right w:val="single" w:sz="4" w:space="0" w:color="auto"/>
            </w:tcBorders>
            <w:shd w:val="clear" w:color="auto" w:fill="auto"/>
            <w:vAlign w:val="center"/>
          </w:tcPr>
          <w:p w14:paraId="256B3069" w14:textId="508407B5"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DUPI 30</w:t>
            </w:r>
            <w:r w:rsidR="00FE714A">
              <w:rPr>
                <w:rFonts w:ascii="Arial Narrow" w:hAnsi="Arial Narrow"/>
                <w:b/>
                <w:bCs/>
                <w:sz w:val="20"/>
                <w:szCs w:val="20"/>
              </w:rPr>
              <w:t>0 mg</w:t>
            </w:r>
            <w:r w:rsidRPr="00FE714A">
              <w:rPr>
                <w:rFonts w:ascii="Arial Narrow" w:hAnsi="Arial Narrow"/>
                <w:b/>
                <w:bCs/>
                <w:sz w:val="20"/>
                <w:szCs w:val="20"/>
              </w:rPr>
              <w:t xml:space="preserve"> ± TCS</w:t>
            </w:r>
          </w:p>
        </w:tc>
        <w:tc>
          <w:tcPr>
            <w:tcW w:w="928" w:type="pct"/>
            <w:tcBorders>
              <w:left w:val="single" w:sz="4" w:space="0" w:color="auto"/>
              <w:right w:val="single" w:sz="4" w:space="0" w:color="auto"/>
            </w:tcBorders>
            <w:shd w:val="clear" w:color="auto" w:fill="auto"/>
            <w:tcMar>
              <w:left w:w="57" w:type="dxa"/>
              <w:right w:w="57" w:type="dxa"/>
            </w:tcMar>
            <w:vAlign w:val="center"/>
          </w:tcPr>
          <w:p w14:paraId="1C2CE877"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RR (95% CI)</w:t>
            </w:r>
          </w:p>
        </w:tc>
        <w:tc>
          <w:tcPr>
            <w:tcW w:w="926" w:type="pct"/>
            <w:tcBorders>
              <w:left w:val="single" w:sz="4" w:space="0" w:color="auto"/>
            </w:tcBorders>
            <w:shd w:val="clear" w:color="auto" w:fill="auto"/>
            <w:tcMar>
              <w:left w:w="57" w:type="dxa"/>
              <w:right w:w="57" w:type="dxa"/>
            </w:tcMar>
            <w:vAlign w:val="center"/>
          </w:tcPr>
          <w:p w14:paraId="01DED92D"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2FECC1D9" w14:textId="77777777" w:rsidTr="005E06AD">
        <w:trPr>
          <w:cantSplit/>
          <w:trHeight w:val="227"/>
        </w:trPr>
        <w:tc>
          <w:tcPr>
            <w:tcW w:w="1019" w:type="pct"/>
            <w:vMerge/>
            <w:tcBorders>
              <w:right w:val="single" w:sz="4" w:space="0" w:color="auto"/>
            </w:tcBorders>
            <w:shd w:val="clear" w:color="auto" w:fill="auto"/>
            <w:tcMar>
              <w:left w:w="57" w:type="dxa"/>
              <w:right w:w="57" w:type="dxa"/>
            </w:tcMar>
            <w:vAlign w:val="center"/>
          </w:tcPr>
          <w:p w14:paraId="3AFBC9A3" w14:textId="77777777" w:rsidR="004779D9" w:rsidRPr="00FE714A" w:rsidRDefault="004779D9" w:rsidP="007A6EA2">
            <w:pPr>
              <w:keepNext/>
              <w:keepLines/>
              <w:jc w:val="left"/>
              <w:rPr>
                <w:rFonts w:ascii="Arial Narrow" w:hAnsi="Arial Narrow"/>
                <w:b/>
                <w:bCs/>
                <w:sz w:val="20"/>
                <w:szCs w:val="20"/>
              </w:rPr>
            </w:pPr>
          </w:p>
        </w:tc>
        <w:tc>
          <w:tcPr>
            <w:tcW w:w="709" w:type="pct"/>
            <w:vMerge/>
            <w:tcBorders>
              <w:left w:val="single" w:sz="4" w:space="0" w:color="auto"/>
            </w:tcBorders>
            <w:shd w:val="clear" w:color="auto" w:fill="auto"/>
            <w:tcMar>
              <w:left w:w="57" w:type="dxa"/>
              <w:right w:w="57" w:type="dxa"/>
            </w:tcMar>
            <w:vAlign w:val="center"/>
          </w:tcPr>
          <w:p w14:paraId="6873350C" w14:textId="77777777" w:rsidR="004779D9" w:rsidRPr="00FE714A" w:rsidRDefault="004779D9" w:rsidP="007A6EA2">
            <w:pPr>
              <w:keepNext/>
              <w:keepLines/>
              <w:jc w:val="center"/>
              <w:rPr>
                <w:rFonts w:ascii="Arial Narrow" w:hAnsi="Arial Narrow"/>
                <w:b/>
                <w:bCs/>
                <w:sz w:val="20"/>
                <w:szCs w:val="20"/>
              </w:rPr>
            </w:pPr>
          </w:p>
        </w:tc>
        <w:tc>
          <w:tcPr>
            <w:tcW w:w="709" w:type="pct"/>
            <w:vMerge/>
            <w:shd w:val="clear" w:color="auto" w:fill="auto"/>
            <w:tcMar>
              <w:left w:w="57" w:type="dxa"/>
              <w:right w:w="57" w:type="dxa"/>
            </w:tcMar>
            <w:vAlign w:val="center"/>
          </w:tcPr>
          <w:p w14:paraId="26C70E76" w14:textId="77777777" w:rsidR="004779D9" w:rsidRPr="00FE714A" w:rsidRDefault="004779D9" w:rsidP="007A6EA2">
            <w:pPr>
              <w:keepNext/>
              <w:keepLines/>
              <w:jc w:val="center"/>
              <w:rPr>
                <w:rFonts w:ascii="Arial Narrow" w:hAnsi="Arial Narrow"/>
                <w:b/>
                <w:bCs/>
                <w:sz w:val="20"/>
                <w:szCs w:val="20"/>
              </w:rPr>
            </w:pPr>
          </w:p>
        </w:tc>
        <w:tc>
          <w:tcPr>
            <w:tcW w:w="709" w:type="pct"/>
            <w:vMerge/>
            <w:shd w:val="clear" w:color="auto" w:fill="auto"/>
            <w:vAlign w:val="center"/>
          </w:tcPr>
          <w:p w14:paraId="3D829D6F" w14:textId="77777777" w:rsidR="004779D9" w:rsidRPr="00FE714A" w:rsidRDefault="004779D9" w:rsidP="007A6EA2">
            <w:pPr>
              <w:keepNext/>
              <w:keepLines/>
              <w:jc w:val="center"/>
              <w:rPr>
                <w:rFonts w:ascii="Arial Narrow" w:hAnsi="Arial Narrow"/>
                <w:b/>
                <w:bCs/>
                <w:sz w:val="20"/>
                <w:szCs w:val="20"/>
              </w:rPr>
            </w:pPr>
          </w:p>
        </w:tc>
        <w:tc>
          <w:tcPr>
            <w:tcW w:w="1854" w:type="pct"/>
            <w:gridSpan w:val="2"/>
            <w:shd w:val="clear" w:color="auto" w:fill="auto"/>
            <w:vAlign w:val="center"/>
          </w:tcPr>
          <w:p w14:paraId="56DE79A0"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Active treatment ± TCS vs PBO ± TCS</w:t>
            </w:r>
          </w:p>
        </w:tc>
      </w:tr>
      <w:tr w:rsidR="004779D9" w:rsidRPr="00FE714A" w14:paraId="1E446632" w14:textId="77777777" w:rsidTr="005E06AD">
        <w:trPr>
          <w:cantSplit/>
          <w:trHeight w:val="227"/>
        </w:trPr>
        <w:tc>
          <w:tcPr>
            <w:tcW w:w="5000" w:type="pct"/>
            <w:gridSpan w:val="6"/>
            <w:shd w:val="clear" w:color="auto" w:fill="auto"/>
            <w:tcMar>
              <w:left w:w="57" w:type="dxa"/>
              <w:right w:w="57" w:type="dxa"/>
            </w:tcMar>
            <w:vAlign w:val="center"/>
          </w:tcPr>
          <w:p w14:paraId="28D569B1"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Monotherapy trials</w:t>
            </w:r>
          </w:p>
        </w:tc>
      </w:tr>
      <w:tr w:rsidR="004779D9" w:rsidRPr="00FE714A" w14:paraId="0494173E" w14:textId="77777777" w:rsidTr="005E06AD">
        <w:trPr>
          <w:cantSplit/>
          <w:trHeight w:val="227"/>
        </w:trPr>
        <w:tc>
          <w:tcPr>
            <w:tcW w:w="1019" w:type="pct"/>
            <w:shd w:val="clear" w:color="auto" w:fill="auto"/>
            <w:tcMar>
              <w:left w:w="57" w:type="dxa"/>
              <w:right w:w="57" w:type="dxa"/>
            </w:tcMar>
            <w:vAlign w:val="center"/>
          </w:tcPr>
          <w:p w14:paraId="31562534"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LEB trials pooled</w:t>
            </w:r>
          </w:p>
        </w:tc>
        <w:tc>
          <w:tcPr>
            <w:tcW w:w="709" w:type="pct"/>
            <w:shd w:val="clear" w:color="auto" w:fill="auto"/>
            <w:tcMar>
              <w:left w:w="57" w:type="dxa"/>
              <w:right w:w="57" w:type="dxa"/>
            </w:tcMar>
            <w:vAlign w:val="center"/>
          </w:tcPr>
          <w:p w14:paraId="50DE0A57"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342/516 (66.3)</w:t>
            </w:r>
          </w:p>
        </w:tc>
        <w:tc>
          <w:tcPr>
            <w:tcW w:w="709" w:type="pct"/>
            <w:shd w:val="clear" w:color="auto" w:fill="auto"/>
            <w:tcMar>
              <w:left w:w="57" w:type="dxa"/>
              <w:right w:w="57" w:type="dxa"/>
            </w:tcMar>
            <w:vAlign w:val="center"/>
          </w:tcPr>
          <w:p w14:paraId="713F8C43"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87/283 (30.7)</w:t>
            </w:r>
          </w:p>
        </w:tc>
        <w:tc>
          <w:tcPr>
            <w:tcW w:w="709" w:type="pct"/>
            <w:shd w:val="clear" w:color="auto" w:fill="auto"/>
            <w:vAlign w:val="center"/>
          </w:tcPr>
          <w:p w14:paraId="2DF4CC52"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234F2182"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2.14 (1.78, 2.58)</w:t>
            </w:r>
          </w:p>
        </w:tc>
        <w:tc>
          <w:tcPr>
            <w:tcW w:w="926" w:type="pct"/>
            <w:shd w:val="clear" w:color="auto" w:fill="auto"/>
            <w:tcMar>
              <w:left w:w="57" w:type="dxa"/>
              <w:right w:w="57" w:type="dxa"/>
            </w:tcMar>
            <w:vAlign w:val="center"/>
          </w:tcPr>
          <w:p w14:paraId="2DC54927"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0.35 (0.27, 0.43)</w:t>
            </w:r>
          </w:p>
        </w:tc>
      </w:tr>
      <w:tr w:rsidR="004779D9" w:rsidRPr="00FE714A" w14:paraId="4AAED5CD" w14:textId="77777777" w:rsidTr="005E06AD">
        <w:trPr>
          <w:cantSplit/>
          <w:trHeight w:val="227"/>
        </w:trPr>
        <w:tc>
          <w:tcPr>
            <w:tcW w:w="5000" w:type="pct"/>
            <w:gridSpan w:val="6"/>
            <w:shd w:val="clear" w:color="auto" w:fill="auto"/>
          </w:tcPr>
          <w:p w14:paraId="404C503C"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Combination therapy trials</w:t>
            </w:r>
          </w:p>
        </w:tc>
      </w:tr>
      <w:tr w:rsidR="004779D9" w:rsidRPr="00FE714A" w14:paraId="20ED700C" w14:textId="77777777" w:rsidTr="005E06AD">
        <w:trPr>
          <w:cantSplit/>
          <w:trHeight w:val="227"/>
        </w:trPr>
        <w:tc>
          <w:tcPr>
            <w:tcW w:w="1019" w:type="pct"/>
            <w:shd w:val="clear" w:color="auto" w:fill="auto"/>
            <w:tcMar>
              <w:left w:w="57" w:type="dxa"/>
              <w:right w:w="57" w:type="dxa"/>
            </w:tcMar>
            <w:vAlign w:val="center"/>
          </w:tcPr>
          <w:p w14:paraId="00A688C8"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LEB trials pooled </w:t>
            </w:r>
          </w:p>
        </w:tc>
        <w:tc>
          <w:tcPr>
            <w:tcW w:w="709" w:type="pct"/>
            <w:shd w:val="clear" w:color="auto" w:fill="auto"/>
            <w:tcMar>
              <w:left w:w="57" w:type="dxa"/>
              <w:right w:w="57" w:type="dxa"/>
            </w:tcMar>
            <w:vAlign w:val="center"/>
          </w:tcPr>
          <w:p w14:paraId="0FDA0BD1"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286/380 (75.3)</w:t>
            </w:r>
          </w:p>
        </w:tc>
        <w:tc>
          <w:tcPr>
            <w:tcW w:w="709" w:type="pct"/>
            <w:shd w:val="clear" w:color="auto" w:fill="auto"/>
            <w:tcMar>
              <w:left w:w="57" w:type="dxa"/>
              <w:right w:w="57" w:type="dxa"/>
            </w:tcMar>
            <w:vAlign w:val="center"/>
          </w:tcPr>
          <w:p w14:paraId="3B041C61"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100/202 (49.5)</w:t>
            </w:r>
          </w:p>
        </w:tc>
        <w:tc>
          <w:tcPr>
            <w:tcW w:w="709" w:type="pct"/>
            <w:shd w:val="clear" w:color="auto" w:fill="auto"/>
            <w:vAlign w:val="center"/>
          </w:tcPr>
          <w:p w14:paraId="27C19735"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48D2A5DE"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1.71 (0.97, 3.02)</w:t>
            </w:r>
          </w:p>
        </w:tc>
        <w:tc>
          <w:tcPr>
            <w:tcW w:w="926" w:type="pct"/>
            <w:shd w:val="clear" w:color="auto" w:fill="auto"/>
            <w:tcMar>
              <w:left w:w="57" w:type="dxa"/>
              <w:right w:w="57" w:type="dxa"/>
            </w:tcMar>
            <w:vAlign w:val="center"/>
          </w:tcPr>
          <w:p w14:paraId="543218C7"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0.28 (0.03, 0.52)</w:t>
            </w:r>
          </w:p>
        </w:tc>
      </w:tr>
      <w:tr w:rsidR="004779D9" w:rsidRPr="00FE714A" w14:paraId="2CD9A3CB" w14:textId="77777777" w:rsidTr="005E06AD">
        <w:trPr>
          <w:cantSplit/>
          <w:trHeight w:val="227"/>
        </w:trPr>
        <w:tc>
          <w:tcPr>
            <w:tcW w:w="1019" w:type="pct"/>
            <w:shd w:val="clear" w:color="auto" w:fill="auto"/>
            <w:tcMar>
              <w:left w:w="57" w:type="dxa"/>
              <w:right w:w="57" w:type="dxa"/>
            </w:tcMar>
            <w:vAlign w:val="center"/>
          </w:tcPr>
          <w:p w14:paraId="13D2EF28" w14:textId="0B5C6371"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DUPI trials pooled </w:t>
            </w:r>
            <w:r w:rsidR="00980CF3"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1E2D9113"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55233A93"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242/514 (47.1)</w:t>
            </w:r>
          </w:p>
        </w:tc>
        <w:tc>
          <w:tcPr>
            <w:tcW w:w="709" w:type="pct"/>
            <w:shd w:val="clear" w:color="auto" w:fill="auto"/>
            <w:vAlign w:val="center"/>
          </w:tcPr>
          <w:p w14:paraId="438B0DD7"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357/433 (82.4)</w:t>
            </w:r>
          </w:p>
        </w:tc>
        <w:tc>
          <w:tcPr>
            <w:tcW w:w="928" w:type="pct"/>
            <w:shd w:val="clear" w:color="auto" w:fill="auto"/>
            <w:tcMar>
              <w:left w:w="57" w:type="dxa"/>
              <w:right w:w="57" w:type="dxa"/>
            </w:tcMar>
            <w:vAlign w:val="center"/>
          </w:tcPr>
          <w:p w14:paraId="489ED549"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1.70 (1.34, 2.17)</w:t>
            </w:r>
          </w:p>
        </w:tc>
        <w:tc>
          <w:tcPr>
            <w:tcW w:w="926" w:type="pct"/>
            <w:shd w:val="clear" w:color="auto" w:fill="auto"/>
            <w:tcMar>
              <w:left w:w="57" w:type="dxa"/>
              <w:right w:w="57" w:type="dxa"/>
            </w:tcMar>
            <w:vAlign w:val="center"/>
          </w:tcPr>
          <w:p w14:paraId="106925BE"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0.34 (0.21, 0.47)</w:t>
            </w:r>
          </w:p>
        </w:tc>
      </w:tr>
      <w:tr w:rsidR="004779D9" w:rsidRPr="00FE714A" w14:paraId="69230F31" w14:textId="77777777" w:rsidTr="005E06AD">
        <w:trPr>
          <w:cantSplit/>
          <w:trHeight w:val="227"/>
        </w:trPr>
        <w:tc>
          <w:tcPr>
            <w:tcW w:w="3146" w:type="pct"/>
            <w:gridSpan w:val="4"/>
            <w:shd w:val="clear" w:color="auto" w:fill="auto"/>
            <w:tcMar>
              <w:left w:w="57" w:type="dxa"/>
              <w:right w:w="57" w:type="dxa"/>
            </w:tcMar>
            <w:vAlign w:val="center"/>
          </w:tcPr>
          <w:p w14:paraId="346D7E4F" w14:textId="071305AA"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ITC: combination therapy trials pooled </w:t>
            </w:r>
            <w:r w:rsidR="00EF710C" w:rsidRPr="00FE714A">
              <w:rPr>
                <w:rFonts w:ascii="Arial Narrow" w:hAnsi="Arial Narrow"/>
                <w:sz w:val="20"/>
                <w:szCs w:val="20"/>
                <w:vertAlign w:val="superscript"/>
              </w:rPr>
              <w:t>a</w:t>
            </w:r>
            <w:r w:rsidRPr="00FE714A">
              <w:rPr>
                <w:rFonts w:ascii="Arial Narrow" w:hAnsi="Arial Narrow"/>
                <w:sz w:val="20"/>
                <w:szCs w:val="20"/>
              </w:rPr>
              <w:t xml:space="preserve"> (corrected during the evaluation)</w:t>
            </w:r>
          </w:p>
        </w:tc>
        <w:tc>
          <w:tcPr>
            <w:tcW w:w="928" w:type="pct"/>
            <w:shd w:val="clear" w:color="auto" w:fill="auto"/>
            <w:tcMar>
              <w:left w:w="57" w:type="dxa"/>
              <w:right w:w="57" w:type="dxa"/>
            </w:tcMar>
            <w:vAlign w:val="center"/>
          </w:tcPr>
          <w:p w14:paraId="67937530"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1.01 (0.54, 1.86)</w:t>
            </w:r>
          </w:p>
        </w:tc>
        <w:tc>
          <w:tcPr>
            <w:tcW w:w="926" w:type="pct"/>
            <w:shd w:val="clear" w:color="auto" w:fill="auto"/>
            <w:tcMar>
              <w:left w:w="57" w:type="dxa"/>
              <w:right w:w="57" w:type="dxa"/>
            </w:tcMar>
            <w:vAlign w:val="center"/>
          </w:tcPr>
          <w:p w14:paraId="1F03A023"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-0.06 (-0.34, 0.22)</w:t>
            </w:r>
          </w:p>
        </w:tc>
      </w:tr>
      <w:tr w:rsidR="004779D9" w:rsidRPr="00FE714A" w14:paraId="7FC64471" w14:textId="77777777" w:rsidTr="005E06AD">
        <w:trPr>
          <w:cantSplit/>
          <w:trHeight w:val="227"/>
        </w:trPr>
        <w:tc>
          <w:tcPr>
            <w:tcW w:w="3146" w:type="pct"/>
            <w:gridSpan w:val="4"/>
            <w:shd w:val="clear" w:color="auto" w:fill="auto"/>
            <w:tcMar>
              <w:left w:w="57" w:type="dxa"/>
              <w:right w:w="57" w:type="dxa"/>
            </w:tcMar>
            <w:vAlign w:val="center"/>
          </w:tcPr>
          <w:p w14:paraId="010AB8A6"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ITC: combination therapy trials pooled (as presented in the submission)</w:t>
            </w:r>
          </w:p>
        </w:tc>
        <w:tc>
          <w:tcPr>
            <w:tcW w:w="928" w:type="pct"/>
            <w:shd w:val="clear" w:color="auto" w:fill="auto"/>
            <w:tcMar>
              <w:left w:w="57" w:type="dxa"/>
              <w:right w:w="57" w:type="dxa"/>
            </w:tcMar>
            <w:vAlign w:val="center"/>
          </w:tcPr>
          <w:p w14:paraId="135A76B9"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0.89 (0.51, 1.56)</w:t>
            </w:r>
          </w:p>
        </w:tc>
        <w:tc>
          <w:tcPr>
            <w:tcW w:w="926" w:type="pct"/>
            <w:shd w:val="clear" w:color="auto" w:fill="auto"/>
            <w:tcMar>
              <w:left w:w="57" w:type="dxa"/>
              <w:right w:w="57" w:type="dxa"/>
            </w:tcMar>
            <w:vAlign w:val="center"/>
          </w:tcPr>
          <w:p w14:paraId="10895673"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-0.13 (-0.40, 0.13)</w:t>
            </w:r>
          </w:p>
        </w:tc>
      </w:tr>
      <w:tr w:rsidR="004779D9" w:rsidRPr="00FE714A" w14:paraId="5277171B" w14:textId="77777777" w:rsidTr="005E06AD">
        <w:trPr>
          <w:cantSplit/>
          <w:trHeight w:val="227"/>
        </w:trPr>
        <w:tc>
          <w:tcPr>
            <w:tcW w:w="5000" w:type="pct"/>
            <w:gridSpan w:val="6"/>
            <w:shd w:val="clear" w:color="auto" w:fill="auto"/>
            <w:tcMar>
              <w:left w:w="57" w:type="dxa"/>
              <w:right w:w="57" w:type="dxa"/>
            </w:tcMar>
            <w:vAlign w:val="center"/>
          </w:tcPr>
          <w:p w14:paraId="743C9042"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All trials</w:t>
            </w:r>
          </w:p>
        </w:tc>
      </w:tr>
      <w:tr w:rsidR="004779D9" w:rsidRPr="00FE714A" w14:paraId="1324512C" w14:textId="77777777" w:rsidTr="005E06AD">
        <w:trPr>
          <w:cantSplit/>
          <w:trHeight w:val="227"/>
        </w:trPr>
        <w:tc>
          <w:tcPr>
            <w:tcW w:w="1019" w:type="pct"/>
            <w:shd w:val="clear" w:color="auto" w:fill="auto"/>
            <w:tcMar>
              <w:left w:w="57" w:type="dxa"/>
              <w:right w:w="57" w:type="dxa"/>
            </w:tcMar>
            <w:vAlign w:val="center"/>
          </w:tcPr>
          <w:p w14:paraId="3DBE4CA3"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LEB all trials pooled</w:t>
            </w:r>
          </w:p>
        </w:tc>
        <w:tc>
          <w:tcPr>
            <w:tcW w:w="709" w:type="pct"/>
            <w:shd w:val="clear" w:color="auto" w:fill="auto"/>
            <w:tcMar>
              <w:left w:w="57" w:type="dxa"/>
              <w:right w:w="57" w:type="dxa"/>
            </w:tcMar>
            <w:vAlign w:val="center"/>
          </w:tcPr>
          <w:p w14:paraId="488EDD49"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628/896 (70.1)</w:t>
            </w:r>
          </w:p>
        </w:tc>
        <w:tc>
          <w:tcPr>
            <w:tcW w:w="709" w:type="pct"/>
            <w:shd w:val="clear" w:color="auto" w:fill="auto"/>
            <w:tcMar>
              <w:left w:w="57" w:type="dxa"/>
              <w:right w:w="57" w:type="dxa"/>
            </w:tcMar>
            <w:vAlign w:val="center"/>
          </w:tcPr>
          <w:p w14:paraId="2BCC0BB8"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187/485 (38.6)</w:t>
            </w:r>
          </w:p>
        </w:tc>
        <w:tc>
          <w:tcPr>
            <w:tcW w:w="709" w:type="pct"/>
            <w:shd w:val="clear" w:color="auto" w:fill="auto"/>
          </w:tcPr>
          <w:p w14:paraId="4DEA4F49"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30F07B43"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1.89 (1.32, 2.71)</w:t>
            </w:r>
          </w:p>
        </w:tc>
        <w:tc>
          <w:tcPr>
            <w:tcW w:w="926" w:type="pct"/>
            <w:shd w:val="clear" w:color="auto" w:fill="auto"/>
            <w:tcMar>
              <w:left w:w="57" w:type="dxa"/>
              <w:right w:w="57" w:type="dxa"/>
            </w:tcMar>
            <w:vAlign w:val="center"/>
          </w:tcPr>
          <w:p w14:paraId="14B587B8"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0.31 (0.19, 0.43)</w:t>
            </w:r>
          </w:p>
        </w:tc>
      </w:tr>
      <w:tr w:rsidR="004779D9" w:rsidRPr="00FE714A" w14:paraId="39117870" w14:textId="77777777" w:rsidTr="005E06AD">
        <w:trPr>
          <w:cantSplit/>
          <w:trHeight w:val="227"/>
        </w:trPr>
        <w:tc>
          <w:tcPr>
            <w:tcW w:w="1019" w:type="pct"/>
            <w:shd w:val="clear" w:color="auto" w:fill="auto"/>
            <w:tcMar>
              <w:left w:w="57" w:type="dxa"/>
              <w:right w:w="57" w:type="dxa"/>
            </w:tcMar>
            <w:vAlign w:val="center"/>
          </w:tcPr>
          <w:p w14:paraId="734AC8B7"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DUPI all trials pooled</w:t>
            </w:r>
          </w:p>
        </w:tc>
        <w:tc>
          <w:tcPr>
            <w:tcW w:w="709" w:type="pct"/>
            <w:shd w:val="clear" w:color="auto" w:fill="auto"/>
            <w:tcMar>
              <w:left w:w="57" w:type="dxa"/>
              <w:right w:w="57" w:type="dxa"/>
            </w:tcMar>
            <w:vAlign w:val="center"/>
          </w:tcPr>
          <w:p w14:paraId="17031C7A"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6D6841DE"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242/514 (47.1)</w:t>
            </w:r>
          </w:p>
        </w:tc>
        <w:tc>
          <w:tcPr>
            <w:tcW w:w="709" w:type="pct"/>
            <w:shd w:val="clear" w:color="auto" w:fill="auto"/>
            <w:vAlign w:val="center"/>
          </w:tcPr>
          <w:p w14:paraId="53B3E1C6"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357/433 (82.4)</w:t>
            </w:r>
          </w:p>
        </w:tc>
        <w:tc>
          <w:tcPr>
            <w:tcW w:w="928" w:type="pct"/>
            <w:shd w:val="clear" w:color="auto" w:fill="auto"/>
            <w:tcMar>
              <w:left w:w="57" w:type="dxa"/>
              <w:right w:w="57" w:type="dxa"/>
            </w:tcMar>
            <w:vAlign w:val="center"/>
          </w:tcPr>
          <w:p w14:paraId="36E95A26"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1.70 (1.34, 2.17)</w:t>
            </w:r>
          </w:p>
        </w:tc>
        <w:tc>
          <w:tcPr>
            <w:tcW w:w="926" w:type="pct"/>
            <w:shd w:val="clear" w:color="auto" w:fill="auto"/>
            <w:tcMar>
              <w:left w:w="57" w:type="dxa"/>
              <w:right w:w="57" w:type="dxa"/>
            </w:tcMar>
            <w:vAlign w:val="center"/>
          </w:tcPr>
          <w:p w14:paraId="313428E4"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0.34 (0.21, 0.47)</w:t>
            </w:r>
          </w:p>
        </w:tc>
      </w:tr>
      <w:tr w:rsidR="004779D9" w:rsidRPr="00FE714A" w14:paraId="53A36976" w14:textId="77777777" w:rsidTr="005E06AD">
        <w:trPr>
          <w:cantSplit/>
          <w:trHeight w:val="227"/>
        </w:trPr>
        <w:tc>
          <w:tcPr>
            <w:tcW w:w="3146" w:type="pct"/>
            <w:gridSpan w:val="4"/>
            <w:shd w:val="clear" w:color="auto" w:fill="auto"/>
            <w:tcMar>
              <w:left w:w="57" w:type="dxa"/>
              <w:right w:w="57" w:type="dxa"/>
            </w:tcMar>
            <w:vAlign w:val="center"/>
          </w:tcPr>
          <w:p w14:paraId="2F8E9C77"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ITC: all trials pooled (as presented in the submission)</w:t>
            </w:r>
          </w:p>
        </w:tc>
        <w:tc>
          <w:tcPr>
            <w:tcW w:w="928" w:type="pct"/>
            <w:shd w:val="clear" w:color="auto" w:fill="auto"/>
            <w:tcMar>
              <w:left w:w="57" w:type="dxa"/>
              <w:right w:w="57" w:type="dxa"/>
            </w:tcMar>
            <w:vAlign w:val="center"/>
          </w:tcPr>
          <w:p w14:paraId="0D155B73"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1.11 (0.73, 1.67)</w:t>
            </w:r>
          </w:p>
        </w:tc>
        <w:tc>
          <w:tcPr>
            <w:tcW w:w="926" w:type="pct"/>
            <w:shd w:val="clear" w:color="auto" w:fill="auto"/>
            <w:tcMar>
              <w:left w:w="57" w:type="dxa"/>
              <w:right w:w="57" w:type="dxa"/>
            </w:tcMar>
            <w:vAlign w:val="center"/>
          </w:tcPr>
          <w:p w14:paraId="0761F291"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noBreakHyphen/>
              <w:t>0.03 (</w:t>
            </w:r>
            <w:r w:rsidRPr="00FE714A">
              <w:rPr>
                <w:rFonts w:ascii="Arial Narrow" w:eastAsia="Calibri" w:hAnsi="Arial Narrow"/>
                <w:sz w:val="20"/>
                <w:szCs w:val="20"/>
              </w:rPr>
              <w:noBreakHyphen/>
              <w:t>0.21, 0.15)</w:t>
            </w:r>
          </w:p>
        </w:tc>
      </w:tr>
    </w:tbl>
    <w:p w14:paraId="3F11A3F7" w14:textId="77777777" w:rsidR="004779D9" w:rsidRPr="00FE714A" w:rsidRDefault="004779D9" w:rsidP="000B2442">
      <w:pPr>
        <w:pStyle w:val="FooterTableFigure"/>
        <w:keepNext/>
        <w:keepLines/>
      </w:pPr>
      <w:r w:rsidRPr="00FE714A">
        <w:t>Source: Table 2.6-9, pp225-226 of the submission.</w:t>
      </w:r>
    </w:p>
    <w:p w14:paraId="22CC1B3D" w14:textId="77777777" w:rsidR="004779D9" w:rsidRPr="00FE714A" w:rsidRDefault="004779D9" w:rsidP="000B2442">
      <w:pPr>
        <w:pStyle w:val="FooterTableFigure"/>
        <w:keepNext/>
        <w:keepLines/>
        <w:rPr>
          <w:rFonts w:eastAsia="Calibri"/>
        </w:rPr>
      </w:pPr>
      <w:r w:rsidRPr="00FE714A">
        <w:rPr>
          <w:rFonts w:eastAsia="Calibri"/>
        </w:rPr>
        <w:t>CI = confidence interval; DLQI = dermatology life quality index; DUPI = dupilumab; LEB = lebrikizumab; NA = not applicable; PBO = placebo; Q2W = every 2 weeks; RD = risk difference; RR = relative risk; TCS = topical corticosteroids</w:t>
      </w:r>
    </w:p>
    <w:p w14:paraId="0B3DCB34" w14:textId="77777777" w:rsidR="004779D9" w:rsidRPr="00FE714A" w:rsidRDefault="004779D9" w:rsidP="000B2442">
      <w:pPr>
        <w:pStyle w:val="FooterTableFigure"/>
        <w:keepNext/>
        <w:keepLines/>
        <w:rPr>
          <w:rFonts w:eastAsia="Calibri"/>
        </w:rPr>
      </w:pPr>
      <w:r w:rsidRPr="00FE714A">
        <w:rPr>
          <w:rFonts w:eastAsia="Calibri"/>
        </w:rPr>
        <w:t xml:space="preserve">Note: Given the outcome of DLQI ≥ 4-point improvement, the N (denominator) should be the number of patients in the trial population with Baseline DLQI score of at least 4. </w:t>
      </w:r>
    </w:p>
    <w:p w14:paraId="34887853" w14:textId="4832B7E0" w:rsidR="004779D9" w:rsidRPr="00FE714A" w:rsidRDefault="005E489C" w:rsidP="000B2442">
      <w:pPr>
        <w:pStyle w:val="FooterTableFigure"/>
        <w:keepNext/>
        <w:keepLines/>
      </w:pPr>
      <w:r w:rsidRPr="00FE714A">
        <w:t>a</w:t>
      </w:r>
      <w:r w:rsidR="004779D9" w:rsidRPr="00FE714A">
        <w:t xml:space="preserve"> Indicates values corrected during the evaluation u</w:t>
      </w:r>
      <w:r w:rsidR="004779D9" w:rsidRPr="00FE714A">
        <w:rPr>
          <w:rFonts w:eastAsia="Calibri"/>
        </w:rPr>
        <w:t xml:space="preserve">sing random effects on </w:t>
      </w:r>
      <w:proofErr w:type="spellStart"/>
      <w:r w:rsidR="004779D9" w:rsidRPr="00FE714A">
        <w:rPr>
          <w:rFonts w:eastAsia="Calibri"/>
        </w:rPr>
        <w:t>StatsDirect</w:t>
      </w:r>
      <w:proofErr w:type="spellEnd"/>
      <w:r w:rsidR="004779D9" w:rsidRPr="00FE714A">
        <w:rPr>
          <w:rFonts w:eastAsia="Calibri"/>
        </w:rPr>
        <w:t xml:space="preserve"> </w:t>
      </w:r>
      <w:r w:rsidR="00257AFB" w:rsidRPr="00FE714A">
        <w:rPr>
          <w:rFonts w:eastAsia="Calibri"/>
        </w:rPr>
        <w:t>v</w:t>
      </w:r>
      <w:r w:rsidR="004779D9" w:rsidRPr="00FE714A">
        <w:rPr>
          <w:rFonts w:eastAsia="Calibri"/>
        </w:rPr>
        <w:t xml:space="preserve">3, </w:t>
      </w:r>
      <w:r w:rsidR="004779D9" w:rsidRPr="00FE714A">
        <w:t xml:space="preserve">due to the re-classification of JADE Compare (as a combination therapy trial). For this outcome, values for </w:t>
      </w:r>
      <w:proofErr w:type="spellStart"/>
      <w:r w:rsidR="004779D9" w:rsidRPr="00FE714A">
        <w:t>ADvantage</w:t>
      </w:r>
      <w:proofErr w:type="spellEnd"/>
      <w:r w:rsidR="004779D9" w:rsidRPr="00FE714A">
        <w:t xml:space="preserve"> were corrected during the evaluation, which impacted the results. </w:t>
      </w:r>
    </w:p>
    <w:p w14:paraId="3293E795" w14:textId="7B1991AF" w:rsidR="00EA4B51" w:rsidRPr="00FE714A" w:rsidRDefault="00EA4B51" w:rsidP="00EA4B51">
      <w:pPr>
        <w:pStyle w:val="FooterTableFigure"/>
        <w:keepNext/>
        <w:keepLines/>
      </w:pPr>
      <w:r w:rsidRPr="00FE714A">
        <w:t xml:space="preserve">RR and RD were estimated using </w:t>
      </w:r>
      <w:proofErr w:type="spellStart"/>
      <w:r w:rsidRPr="00FE714A">
        <w:t>StatsDirect</w:t>
      </w:r>
      <w:proofErr w:type="spellEnd"/>
      <w:r w:rsidRPr="00FE714A">
        <w:t xml:space="preserve"> v3</w:t>
      </w:r>
    </w:p>
    <w:p w14:paraId="4240A0B6" w14:textId="2A0003EF" w:rsidR="004779D9" w:rsidRPr="00FE714A" w:rsidRDefault="004779D9" w:rsidP="0056239E">
      <w:pPr>
        <w:pStyle w:val="FooterTableFigure"/>
      </w:pPr>
      <w:r w:rsidRPr="00FE714A">
        <w:t>Values in bold indicate significance (CI did not include 1 or 0 for RR and RD respectively).</w:t>
      </w:r>
    </w:p>
    <w:p w14:paraId="44623B89" w14:textId="25CDDE07" w:rsidR="004779D9" w:rsidRPr="00FE714A" w:rsidRDefault="004779D9" w:rsidP="00202140">
      <w:pPr>
        <w:pStyle w:val="Caption"/>
        <w:rPr>
          <w:rStyle w:val="CommentReference"/>
          <w:b/>
          <w:szCs w:val="24"/>
        </w:rPr>
      </w:pPr>
      <w:bookmarkStart w:id="35" w:name="_Ref155544529"/>
      <w:bookmarkStart w:id="36" w:name="_Ref155544519"/>
      <w:r w:rsidRPr="00FE714A">
        <w:t xml:space="preserve">Table </w:t>
      </w:r>
      <w:r w:rsidR="008B26E3">
        <w:fldChar w:fldCharType="begin" w:fldLock="1"/>
      </w:r>
      <w:r w:rsidR="008B26E3">
        <w:instrText xml:space="preserve"> SEQ Table \* ARABIC </w:instrText>
      </w:r>
      <w:r w:rsidR="008B26E3">
        <w:fldChar w:fldCharType="separate"/>
      </w:r>
      <w:r w:rsidR="00B3585E">
        <w:rPr>
          <w:noProof/>
        </w:rPr>
        <w:t>10</w:t>
      </w:r>
      <w:r w:rsidR="008B26E3">
        <w:rPr>
          <w:noProof/>
        </w:rPr>
        <w:fldChar w:fldCharType="end"/>
      </w:r>
      <w:bookmarkEnd w:id="35"/>
      <w:r w:rsidRPr="00FE714A">
        <w:rPr>
          <w:rStyle w:val="CommentReference"/>
          <w:b/>
          <w:szCs w:val="24"/>
        </w:rPr>
        <w:t>: Meta-analysis and indirect comparison (whole trial population) for IGA 0/1 (Week 16)</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Caption w:val="Table 10: Meta-analysis and indirect comparison (whole trial population) for IGA 0/1 (Week 16)"/>
      </w:tblPr>
      <w:tblGrid>
        <w:gridCol w:w="1837"/>
        <w:gridCol w:w="1278"/>
        <w:gridCol w:w="1279"/>
        <w:gridCol w:w="1279"/>
        <w:gridCol w:w="1674"/>
        <w:gridCol w:w="1670"/>
      </w:tblGrid>
      <w:tr w:rsidR="004779D9" w:rsidRPr="00FE714A" w14:paraId="329F2D0B" w14:textId="77777777" w:rsidTr="007A6EA2">
        <w:trPr>
          <w:cantSplit/>
          <w:trHeight w:val="244"/>
          <w:tblHeader/>
        </w:trPr>
        <w:tc>
          <w:tcPr>
            <w:tcW w:w="1019" w:type="pct"/>
            <w:vMerge w:val="restart"/>
            <w:tcBorders>
              <w:right w:val="single" w:sz="4" w:space="0" w:color="auto"/>
            </w:tcBorders>
            <w:shd w:val="clear" w:color="auto" w:fill="auto"/>
            <w:tcMar>
              <w:left w:w="57" w:type="dxa"/>
              <w:right w:w="57" w:type="dxa"/>
            </w:tcMar>
            <w:vAlign w:val="center"/>
          </w:tcPr>
          <w:p w14:paraId="0792D34F" w14:textId="77777777" w:rsidR="004779D9" w:rsidRPr="00FE714A" w:rsidRDefault="004779D9" w:rsidP="007A6EA2">
            <w:pPr>
              <w:keepNext/>
              <w:keepLines/>
              <w:jc w:val="center"/>
              <w:rPr>
                <w:rFonts w:ascii="Arial Narrow" w:hAnsi="Arial Narrow"/>
                <w:sz w:val="20"/>
                <w:szCs w:val="20"/>
              </w:rPr>
            </w:pP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26C13DB1"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LEB 250 mg Q2W ± TCS</w:t>
            </w: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5E68676C"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b/>
                <w:bCs/>
                <w:sz w:val="20"/>
                <w:szCs w:val="20"/>
              </w:rPr>
              <w:t>PBO ± TCS</w:t>
            </w:r>
          </w:p>
        </w:tc>
        <w:tc>
          <w:tcPr>
            <w:tcW w:w="709" w:type="pct"/>
            <w:vMerge w:val="restart"/>
            <w:tcBorders>
              <w:left w:val="single" w:sz="4" w:space="0" w:color="auto"/>
              <w:right w:val="single" w:sz="4" w:space="0" w:color="auto"/>
            </w:tcBorders>
            <w:shd w:val="clear" w:color="auto" w:fill="auto"/>
            <w:vAlign w:val="center"/>
          </w:tcPr>
          <w:p w14:paraId="665475F2" w14:textId="31E54C6D"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DUPI 30</w:t>
            </w:r>
            <w:r w:rsidR="00FE714A">
              <w:rPr>
                <w:rFonts w:ascii="Arial Narrow" w:hAnsi="Arial Narrow"/>
                <w:b/>
                <w:bCs/>
                <w:sz w:val="20"/>
                <w:szCs w:val="20"/>
              </w:rPr>
              <w:t>0 mg</w:t>
            </w:r>
            <w:r w:rsidRPr="00FE714A">
              <w:rPr>
                <w:rFonts w:ascii="Arial Narrow" w:hAnsi="Arial Narrow"/>
                <w:b/>
                <w:bCs/>
                <w:sz w:val="20"/>
                <w:szCs w:val="20"/>
              </w:rPr>
              <w:t xml:space="preserve"> ± TCS</w:t>
            </w:r>
          </w:p>
        </w:tc>
        <w:tc>
          <w:tcPr>
            <w:tcW w:w="928" w:type="pct"/>
            <w:tcBorders>
              <w:left w:val="single" w:sz="4" w:space="0" w:color="auto"/>
              <w:right w:val="single" w:sz="4" w:space="0" w:color="auto"/>
            </w:tcBorders>
            <w:shd w:val="clear" w:color="auto" w:fill="auto"/>
            <w:tcMar>
              <w:left w:w="57" w:type="dxa"/>
              <w:right w:w="57" w:type="dxa"/>
            </w:tcMar>
            <w:vAlign w:val="center"/>
          </w:tcPr>
          <w:p w14:paraId="513DAB57"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RR (95% CI)</w:t>
            </w:r>
          </w:p>
        </w:tc>
        <w:tc>
          <w:tcPr>
            <w:tcW w:w="926" w:type="pct"/>
            <w:tcBorders>
              <w:left w:val="single" w:sz="4" w:space="0" w:color="auto"/>
            </w:tcBorders>
            <w:shd w:val="clear" w:color="auto" w:fill="auto"/>
            <w:tcMar>
              <w:left w:w="57" w:type="dxa"/>
              <w:right w:w="57" w:type="dxa"/>
            </w:tcMar>
            <w:vAlign w:val="center"/>
          </w:tcPr>
          <w:p w14:paraId="45E30E0F"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10CE41D7" w14:textId="77777777" w:rsidTr="007A6EA2">
        <w:trPr>
          <w:cantSplit/>
          <w:trHeight w:val="244"/>
        </w:trPr>
        <w:tc>
          <w:tcPr>
            <w:tcW w:w="1019" w:type="pct"/>
            <w:vMerge/>
            <w:tcBorders>
              <w:right w:val="single" w:sz="4" w:space="0" w:color="auto"/>
            </w:tcBorders>
            <w:shd w:val="clear" w:color="auto" w:fill="auto"/>
            <w:tcMar>
              <w:left w:w="57" w:type="dxa"/>
              <w:right w:w="57" w:type="dxa"/>
            </w:tcMar>
            <w:vAlign w:val="center"/>
          </w:tcPr>
          <w:p w14:paraId="1F8FBF70" w14:textId="77777777" w:rsidR="004779D9" w:rsidRPr="00FE714A" w:rsidRDefault="004779D9" w:rsidP="007A6EA2">
            <w:pPr>
              <w:keepNext/>
              <w:keepLines/>
              <w:jc w:val="left"/>
              <w:rPr>
                <w:rFonts w:ascii="Arial Narrow" w:hAnsi="Arial Narrow"/>
                <w:b/>
                <w:bCs/>
                <w:sz w:val="20"/>
                <w:szCs w:val="20"/>
              </w:rPr>
            </w:pPr>
          </w:p>
        </w:tc>
        <w:tc>
          <w:tcPr>
            <w:tcW w:w="709" w:type="pct"/>
            <w:vMerge/>
            <w:tcBorders>
              <w:left w:val="single" w:sz="4" w:space="0" w:color="auto"/>
            </w:tcBorders>
            <w:shd w:val="clear" w:color="auto" w:fill="auto"/>
            <w:tcMar>
              <w:left w:w="57" w:type="dxa"/>
              <w:right w:w="57" w:type="dxa"/>
            </w:tcMar>
            <w:vAlign w:val="center"/>
          </w:tcPr>
          <w:p w14:paraId="68AFE741" w14:textId="77777777" w:rsidR="004779D9" w:rsidRPr="00FE714A" w:rsidRDefault="004779D9" w:rsidP="007A6EA2">
            <w:pPr>
              <w:keepNext/>
              <w:keepLines/>
              <w:jc w:val="center"/>
              <w:rPr>
                <w:rFonts w:ascii="Arial Narrow" w:hAnsi="Arial Narrow"/>
                <w:b/>
                <w:bCs/>
                <w:sz w:val="20"/>
                <w:szCs w:val="20"/>
              </w:rPr>
            </w:pPr>
          </w:p>
        </w:tc>
        <w:tc>
          <w:tcPr>
            <w:tcW w:w="709" w:type="pct"/>
            <w:vMerge/>
            <w:shd w:val="clear" w:color="auto" w:fill="auto"/>
            <w:tcMar>
              <w:left w:w="57" w:type="dxa"/>
              <w:right w:w="57" w:type="dxa"/>
            </w:tcMar>
            <w:vAlign w:val="center"/>
          </w:tcPr>
          <w:p w14:paraId="3F4791F6" w14:textId="77777777" w:rsidR="004779D9" w:rsidRPr="00FE714A" w:rsidRDefault="004779D9" w:rsidP="007A6EA2">
            <w:pPr>
              <w:keepNext/>
              <w:keepLines/>
              <w:jc w:val="center"/>
              <w:rPr>
                <w:rFonts w:ascii="Arial Narrow" w:hAnsi="Arial Narrow"/>
                <w:b/>
                <w:bCs/>
                <w:sz w:val="20"/>
                <w:szCs w:val="20"/>
              </w:rPr>
            </w:pPr>
          </w:p>
        </w:tc>
        <w:tc>
          <w:tcPr>
            <w:tcW w:w="709" w:type="pct"/>
            <w:vMerge/>
            <w:shd w:val="clear" w:color="auto" w:fill="auto"/>
            <w:vAlign w:val="center"/>
          </w:tcPr>
          <w:p w14:paraId="37B7730B" w14:textId="77777777" w:rsidR="004779D9" w:rsidRPr="00FE714A" w:rsidRDefault="004779D9" w:rsidP="007A6EA2">
            <w:pPr>
              <w:keepNext/>
              <w:keepLines/>
              <w:jc w:val="center"/>
              <w:rPr>
                <w:rFonts w:ascii="Arial Narrow" w:hAnsi="Arial Narrow"/>
                <w:b/>
                <w:bCs/>
                <w:sz w:val="20"/>
                <w:szCs w:val="20"/>
              </w:rPr>
            </w:pPr>
          </w:p>
        </w:tc>
        <w:tc>
          <w:tcPr>
            <w:tcW w:w="1854" w:type="pct"/>
            <w:gridSpan w:val="2"/>
            <w:shd w:val="clear" w:color="auto" w:fill="auto"/>
            <w:vAlign w:val="center"/>
          </w:tcPr>
          <w:p w14:paraId="13C53D52" w14:textId="77777777" w:rsidR="004779D9" w:rsidRPr="00FE714A" w:rsidRDefault="004779D9" w:rsidP="007A6EA2">
            <w:pPr>
              <w:keepNext/>
              <w:keepLines/>
              <w:jc w:val="center"/>
              <w:rPr>
                <w:rFonts w:ascii="Arial Narrow" w:hAnsi="Arial Narrow"/>
                <w:b/>
                <w:bCs/>
                <w:sz w:val="20"/>
                <w:szCs w:val="20"/>
              </w:rPr>
            </w:pPr>
            <w:r w:rsidRPr="00FE714A">
              <w:rPr>
                <w:rFonts w:ascii="Arial Narrow" w:hAnsi="Arial Narrow"/>
                <w:b/>
                <w:bCs/>
                <w:sz w:val="20"/>
                <w:szCs w:val="20"/>
              </w:rPr>
              <w:t>Active treatment ± TCS vs PBO ± TCS</w:t>
            </w:r>
          </w:p>
        </w:tc>
      </w:tr>
      <w:tr w:rsidR="004779D9" w:rsidRPr="00FE714A" w14:paraId="1FE50408" w14:textId="77777777" w:rsidTr="007A6EA2">
        <w:trPr>
          <w:cantSplit/>
          <w:trHeight w:val="244"/>
        </w:trPr>
        <w:tc>
          <w:tcPr>
            <w:tcW w:w="5000" w:type="pct"/>
            <w:gridSpan w:val="6"/>
            <w:shd w:val="clear" w:color="auto" w:fill="auto"/>
            <w:tcMar>
              <w:left w:w="57" w:type="dxa"/>
              <w:right w:w="57" w:type="dxa"/>
            </w:tcMar>
            <w:vAlign w:val="center"/>
          </w:tcPr>
          <w:p w14:paraId="53C0A0C8"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Monotherapy trials</w:t>
            </w:r>
          </w:p>
        </w:tc>
      </w:tr>
      <w:tr w:rsidR="004779D9" w:rsidRPr="00FE714A" w14:paraId="598098D7" w14:textId="77777777" w:rsidTr="007A6EA2">
        <w:trPr>
          <w:cantSplit/>
          <w:trHeight w:val="244"/>
        </w:trPr>
        <w:tc>
          <w:tcPr>
            <w:tcW w:w="1019" w:type="pct"/>
            <w:shd w:val="clear" w:color="auto" w:fill="auto"/>
            <w:tcMar>
              <w:left w:w="57" w:type="dxa"/>
              <w:right w:w="57" w:type="dxa"/>
            </w:tcMar>
            <w:vAlign w:val="center"/>
          </w:tcPr>
          <w:p w14:paraId="0BAE9CA8"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LEB trials pooled</w:t>
            </w:r>
          </w:p>
        </w:tc>
        <w:tc>
          <w:tcPr>
            <w:tcW w:w="709" w:type="pct"/>
            <w:shd w:val="clear" w:color="auto" w:fill="auto"/>
            <w:tcMar>
              <w:left w:w="57" w:type="dxa"/>
              <w:right w:w="57" w:type="dxa"/>
            </w:tcMar>
            <w:vAlign w:val="center"/>
          </w:tcPr>
          <w:p w14:paraId="44BC8683"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280/764 (36.6)</w:t>
            </w:r>
          </w:p>
        </w:tc>
        <w:tc>
          <w:tcPr>
            <w:tcW w:w="709" w:type="pct"/>
            <w:shd w:val="clear" w:color="auto" w:fill="auto"/>
            <w:tcMar>
              <w:left w:w="57" w:type="dxa"/>
              <w:right w:w="57" w:type="dxa"/>
            </w:tcMar>
            <w:vAlign w:val="center"/>
          </w:tcPr>
          <w:p w14:paraId="0F81333F"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51/461 (11.1)</w:t>
            </w:r>
          </w:p>
        </w:tc>
        <w:tc>
          <w:tcPr>
            <w:tcW w:w="709" w:type="pct"/>
            <w:shd w:val="clear" w:color="auto" w:fill="auto"/>
            <w:vAlign w:val="center"/>
          </w:tcPr>
          <w:p w14:paraId="6A97C1B0"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5AEE79EB"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3.32 (2.52, 4.38)</w:t>
            </w:r>
          </w:p>
        </w:tc>
        <w:tc>
          <w:tcPr>
            <w:tcW w:w="926" w:type="pct"/>
            <w:shd w:val="clear" w:color="auto" w:fill="auto"/>
            <w:tcMar>
              <w:left w:w="57" w:type="dxa"/>
              <w:right w:w="57" w:type="dxa"/>
            </w:tcMar>
            <w:vAlign w:val="center"/>
          </w:tcPr>
          <w:p w14:paraId="09C80551"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0.26 (0.21, 0.30)</w:t>
            </w:r>
          </w:p>
        </w:tc>
      </w:tr>
      <w:tr w:rsidR="004779D9" w:rsidRPr="00FE714A" w14:paraId="41EA94B2" w14:textId="77777777" w:rsidTr="007A6EA2">
        <w:trPr>
          <w:cantSplit/>
          <w:trHeight w:val="244"/>
        </w:trPr>
        <w:tc>
          <w:tcPr>
            <w:tcW w:w="1019" w:type="pct"/>
            <w:shd w:val="clear" w:color="auto" w:fill="auto"/>
            <w:tcMar>
              <w:left w:w="57" w:type="dxa"/>
              <w:right w:w="57" w:type="dxa"/>
            </w:tcMar>
            <w:vAlign w:val="center"/>
          </w:tcPr>
          <w:p w14:paraId="0CEA8E5D" w14:textId="7CCAAE09" w:rsidR="004779D9" w:rsidRPr="00FE714A" w:rsidRDefault="004779D9" w:rsidP="007A6EA2">
            <w:pPr>
              <w:keepNext/>
              <w:keepLines/>
              <w:jc w:val="left"/>
              <w:rPr>
                <w:rFonts w:ascii="Arial Narrow" w:hAnsi="Arial Narrow"/>
                <w:sz w:val="20"/>
                <w:szCs w:val="20"/>
                <w:vertAlign w:val="superscript"/>
              </w:rPr>
            </w:pPr>
            <w:r w:rsidRPr="00FE714A">
              <w:rPr>
                <w:rFonts w:ascii="Arial Narrow" w:hAnsi="Arial Narrow"/>
                <w:sz w:val="20"/>
                <w:szCs w:val="20"/>
              </w:rPr>
              <w:t xml:space="preserve">DUPI trials pooled </w:t>
            </w:r>
            <w:r w:rsidR="005E489C"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1D6441A8"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2A378E08"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50/689 (7.3)</w:t>
            </w:r>
          </w:p>
        </w:tc>
        <w:tc>
          <w:tcPr>
            <w:tcW w:w="709" w:type="pct"/>
            <w:shd w:val="clear" w:color="auto" w:fill="auto"/>
            <w:vAlign w:val="center"/>
          </w:tcPr>
          <w:p w14:paraId="30508962"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230/685 (33.6)</w:t>
            </w:r>
          </w:p>
        </w:tc>
        <w:tc>
          <w:tcPr>
            <w:tcW w:w="928" w:type="pct"/>
            <w:shd w:val="clear" w:color="auto" w:fill="auto"/>
            <w:tcMar>
              <w:left w:w="57" w:type="dxa"/>
              <w:right w:w="57" w:type="dxa"/>
            </w:tcMar>
            <w:vAlign w:val="center"/>
          </w:tcPr>
          <w:p w14:paraId="1CB346D6"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4.45 (3.23, 6.12)</w:t>
            </w:r>
          </w:p>
        </w:tc>
        <w:tc>
          <w:tcPr>
            <w:tcW w:w="926" w:type="pct"/>
            <w:shd w:val="clear" w:color="auto" w:fill="auto"/>
            <w:tcMar>
              <w:left w:w="57" w:type="dxa"/>
              <w:right w:w="57" w:type="dxa"/>
            </w:tcMar>
            <w:vAlign w:val="center"/>
          </w:tcPr>
          <w:p w14:paraId="24B153DA"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0.26 (0.22, 0.30)</w:t>
            </w:r>
          </w:p>
        </w:tc>
      </w:tr>
      <w:tr w:rsidR="004779D9" w:rsidRPr="00FE714A" w14:paraId="602F868C" w14:textId="77777777" w:rsidTr="007A6EA2">
        <w:trPr>
          <w:cantSplit/>
          <w:trHeight w:val="244"/>
        </w:trPr>
        <w:tc>
          <w:tcPr>
            <w:tcW w:w="3146" w:type="pct"/>
            <w:gridSpan w:val="4"/>
            <w:shd w:val="clear" w:color="auto" w:fill="auto"/>
            <w:tcMar>
              <w:left w:w="57" w:type="dxa"/>
              <w:right w:w="57" w:type="dxa"/>
            </w:tcMar>
            <w:vAlign w:val="center"/>
          </w:tcPr>
          <w:p w14:paraId="5F573F3A" w14:textId="152F51F0"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ITC: monotherapy trials pooled </w:t>
            </w:r>
            <w:r w:rsidR="009E0982" w:rsidRPr="00FE714A">
              <w:rPr>
                <w:rFonts w:ascii="Arial Narrow" w:hAnsi="Arial Narrow"/>
                <w:sz w:val="20"/>
                <w:szCs w:val="20"/>
                <w:vertAlign w:val="superscript"/>
              </w:rPr>
              <w:t>a</w:t>
            </w:r>
            <w:r w:rsidRPr="00FE714A">
              <w:rPr>
                <w:rFonts w:ascii="Arial Narrow" w:hAnsi="Arial Narrow"/>
                <w:sz w:val="20"/>
                <w:szCs w:val="20"/>
              </w:rPr>
              <w:t xml:space="preserve"> (corrected during the evaluation)</w:t>
            </w:r>
          </w:p>
        </w:tc>
        <w:tc>
          <w:tcPr>
            <w:tcW w:w="928" w:type="pct"/>
            <w:shd w:val="clear" w:color="auto" w:fill="auto"/>
            <w:tcMar>
              <w:left w:w="57" w:type="dxa"/>
              <w:right w:w="57" w:type="dxa"/>
            </w:tcMar>
            <w:vAlign w:val="center"/>
          </w:tcPr>
          <w:p w14:paraId="31216C0A"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0.75 (0.49, 1.14)</w:t>
            </w:r>
          </w:p>
        </w:tc>
        <w:tc>
          <w:tcPr>
            <w:tcW w:w="926" w:type="pct"/>
            <w:shd w:val="clear" w:color="auto" w:fill="auto"/>
            <w:tcMar>
              <w:left w:w="57" w:type="dxa"/>
              <w:right w:w="57" w:type="dxa"/>
            </w:tcMar>
            <w:vAlign w:val="center"/>
          </w:tcPr>
          <w:p w14:paraId="6A3A788C"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0.00 (-0.06, 0.06)</w:t>
            </w:r>
          </w:p>
        </w:tc>
      </w:tr>
      <w:tr w:rsidR="004779D9" w:rsidRPr="00FE714A" w14:paraId="626A5023" w14:textId="77777777" w:rsidTr="007A6EA2">
        <w:trPr>
          <w:cantSplit/>
          <w:trHeight w:val="244"/>
        </w:trPr>
        <w:tc>
          <w:tcPr>
            <w:tcW w:w="3146" w:type="pct"/>
            <w:gridSpan w:val="4"/>
            <w:shd w:val="clear" w:color="auto" w:fill="auto"/>
            <w:tcMar>
              <w:left w:w="57" w:type="dxa"/>
              <w:right w:w="57" w:type="dxa"/>
            </w:tcMar>
            <w:vAlign w:val="center"/>
          </w:tcPr>
          <w:p w14:paraId="1A499416"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ITC: monotherapy trials pooled (as presented in the submission)</w:t>
            </w:r>
          </w:p>
        </w:tc>
        <w:tc>
          <w:tcPr>
            <w:tcW w:w="928" w:type="pct"/>
            <w:shd w:val="clear" w:color="auto" w:fill="auto"/>
            <w:tcMar>
              <w:left w:w="57" w:type="dxa"/>
              <w:right w:w="57" w:type="dxa"/>
            </w:tcMar>
            <w:vAlign w:val="center"/>
          </w:tcPr>
          <w:p w14:paraId="13C2C0B3"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0.83 (0.53, 1.29)</w:t>
            </w:r>
          </w:p>
        </w:tc>
        <w:tc>
          <w:tcPr>
            <w:tcW w:w="926" w:type="pct"/>
            <w:shd w:val="clear" w:color="auto" w:fill="auto"/>
            <w:tcMar>
              <w:left w:w="57" w:type="dxa"/>
              <w:right w:w="57" w:type="dxa"/>
            </w:tcMar>
            <w:vAlign w:val="center"/>
          </w:tcPr>
          <w:p w14:paraId="3167490D"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0.00 (</w:t>
            </w:r>
            <w:r w:rsidRPr="00FE714A">
              <w:rPr>
                <w:rFonts w:ascii="Arial Narrow" w:eastAsia="Calibri" w:hAnsi="Arial Narrow"/>
                <w:sz w:val="20"/>
                <w:szCs w:val="20"/>
              </w:rPr>
              <w:noBreakHyphen/>
              <w:t>0.05, 0.06)</w:t>
            </w:r>
          </w:p>
        </w:tc>
      </w:tr>
      <w:tr w:rsidR="004779D9" w:rsidRPr="00FE714A" w14:paraId="14BC0B04" w14:textId="77777777" w:rsidTr="007A6EA2">
        <w:trPr>
          <w:cantSplit/>
          <w:trHeight w:val="244"/>
        </w:trPr>
        <w:tc>
          <w:tcPr>
            <w:tcW w:w="5000" w:type="pct"/>
            <w:gridSpan w:val="6"/>
            <w:shd w:val="clear" w:color="auto" w:fill="auto"/>
          </w:tcPr>
          <w:p w14:paraId="23913572"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Combination therapy trials</w:t>
            </w:r>
          </w:p>
        </w:tc>
      </w:tr>
      <w:tr w:rsidR="004779D9" w:rsidRPr="00FE714A" w14:paraId="6DABC237" w14:textId="77777777" w:rsidTr="007A6EA2">
        <w:trPr>
          <w:cantSplit/>
          <w:trHeight w:val="244"/>
        </w:trPr>
        <w:tc>
          <w:tcPr>
            <w:tcW w:w="1019" w:type="pct"/>
            <w:shd w:val="clear" w:color="auto" w:fill="auto"/>
            <w:tcMar>
              <w:left w:w="57" w:type="dxa"/>
              <w:right w:w="57" w:type="dxa"/>
            </w:tcMar>
            <w:vAlign w:val="center"/>
          </w:tcPr>
          <w:p w14:paraId="7F68441C"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LEB trials pooled </w:t>
            </w:r>
          </w:p>
        </w:tc>
        <w:tc>
          <w:tcPr>
            <w:tcW w:w="709" w:type="pct"/>
            <w:shd w:val="clear" w:color="auto" w:fill="auto"/>
            <w:tcMar>
              <w:left w:w="57" w:type="dxa"/>
              <w:right w:w="57" w:type="dxa"/>
            </w:tcMar>
            <w:vAlign w:val="center"/>
          </w:tcPr>
          <w:p w14:paraId="5E09DA62"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189/488 (38.7)</w:t>
            </w:r>
          </w:p>
        </w:tc>
        <w:tc>
          <w:tcPr>
            <w:tcW w:w="709" w:type="pct"/>
            <w:shd w:val="clear" w:color="auto" w:fill="auto"/>
            <w:tcMar>
              <w:left w:w="57" w:type="dxa"/>
              <w:right w:w="57" w:type="dxa"/>
            </w:tcMar>
            <w:vAlign w:val="center"/>
          </w:tcPr>
          <w:p w14:paraId="3B0BD751"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45/259 (17.4)</w:t>
            </w:r>
          </w:p>
        </w:tc>
        <w:tc>
          <w:tcPr>
            <w:tcW w:w="709" w:type="pct"/>
            <w:shd w:val="clear" w:color="auto" w:fill="auto"/>
            <w:vAlign w:val="center"/>
          </w:tcPr>
          <w:p w14:paraId="504FFF9D"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280E04ED"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2.32 (1.35, 3.97)</w:t>
            </w:r>
          </w:p>
        </w:tc>
        <w:tc>
          <w:tcPr>
            <w:tcW w:w="926" w:type="pct"/>
            <w:shd w:val="clear" w:color="auto" w:fill="auto"/>
            <w:tcMar>
              <w:left w:w="57" w:type="dxa"/>
              <w:right w:w="57" w:type="dxa"/>
            </w:tcMar>
            <w:vAlign w:val="center"/>
          </w:tcPr>
          <w:p w14:paraId="3CDFB83D"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0.22 (0.15, 0.28)</w:t>
            </w:r>
          </w:p>
        </w:tc>
      </w:tr>
      <w:tr w:rsidR="004779D9" w:rsidRPr="00FE714A" w14:paraId="7209CF6A" w14:textId="77777777" w:rsidTr="007A6EA2">
        <w:trPr>
          <w:cantSplit/>
          <w:trHeight w:val="244"/>
        </w:trPr>
        <w:tc>
          <w:tcPr>
            <w:tcW w:w="1019" w:type="pct"/>
            <w:shd w:val="clear" w:color="auto" w:fill="auto"/>
            <w:tcMar>
              <w:left w:w="57" w:type="dxa"/>
              <w:right w:w="57" w:type="dxa"/>
            </w:tcMar>
            <w:vAlign w:val="center"/>
          </w:tcPr>
          <w:p w14:paraId="6EF8DA42" w14:textId="7D7AA56D" w:rsidR="004779D9" w:rsidRPr="00FE714A" w:rsidRDefault="004779D9" w:rsidP="007A6EA2">
            <w:pPr>
              <w:keepNext/>
              <w:keepLines/>
              <w:jc w:val="left"/>
              <w:rPr>
                <w:rFonts w:ascii="Arial Narrow" w:hAnsi="Arial Narrow"/>
                <w:sz w:val="20"/>
                <w:szCs w:val="20"/>
                <w:vertAlign w:val="superscript"/>
              </w:rPr>
            </w:pPr>
            <w:r w:rsidRPr="00FE714A">
              <w:rPr>
                <w:rFonts w:ascii="Arial Narrow" w:hAnsi="Arial Narrow"/>
                <w:sz w:val="20"/>
                <w:szCs w:val="20"/>
              </w:rPr>
              <w:t xml:space="preserve">DUPI trials pooled </w:t>
            </w:r>
            <w:r w:rsidR="005E489C"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5BD9F715"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53E8CA0D"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70/554 (12.6)</w:t>
            </w:r>
          </w:p>
        </w:tc>
        <w:tc>
          <w:tcPr>
            <w:tcW w:w="709" w:type="pct"/>
            <w:shd w:val="clear" w:color="auto" w:fill="auto"/>
            <w:vAlign w:val="center"/>
          </w:tcPr>
          <w:p w14:paraId="249C445E"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174/455 (38.2)</w:t>
            </w:r>
          </w:p>
        </w:tc>
        <w:tc>
          <w:tcPr>
            <w:tcW w:w="928" w:type="pct"/>
            <w:shd w:val="clear" w:color="auto" w:fill="auto"/>
            <w:tcMar>
              <w:left w:w="57" w:type="dxa"/>
              <w:right w:w="57" w:type="dxa"/>
            </w:tcMar>
            <w:vAlign w:val="center"/>
          </w:tcPr>
          <w:p w14:paraId="19F7965A"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3.04 (2.35, 3.95)</w:t>
            </w:r>
          </w:p>
        </w:tc>
        <w:tc>
          <w:tcPr>
            <w:tcW w:w="926" w:type="pct"/>
            <w:shd w:val="clear" w:color="auto" w:fill="auto"/>
            <w:tcMar>
              <w:left w:w="57" w:type="dxa"/>
              <w:right w:w="57" w:type="dxa"/>
            </w:tcMar>
            <w:vAlign w:val="center"/>
          </w:tcPr>
          <w:p w14:paraId="4A4FCA1E"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0.26 (0.20, 0.31)</w:t>
            </w:r>
          </w:p>
        </w:tc>
      </w:tr>
      <w:tr w:rsidR="004779D9" w:rsidRPr="00FE714A" w14:paraId="147FB392" w14:textId="77777777" w:rsidTr="007A6EA2">
        <w:trPr>
          <w:cantSplit/>
          <w:trHeight w:val="244"/>
        </w:trPr>
        <w:tc>
          <w:tcPr>
            <w:tcW w:w="3146" w:type="pct"/>
            <w:gridSpan w:val="4"/>
            <w:shd w:val="clear" w:color="auto" w:fill="auto"/>
            <w:tcMar>
              <w:left w:w="57" w:type="dxa"/>
              <w:right w:w="57" w:type="dxa"/>
            </w:tcMar>
            <w:vAlign w:val="center"/>
          </w:tcPr>
          <w:p w14:paraId="7D6712A2" w14:textId="55794AC3"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ITC: combination therapy trials pooled </w:t>
            </w:r>
            <w:r w:rsidR="009E0982" w:rsidRPr="00FE714A">
              <w:rPr>
                <w:rFonts w:ascii="Arial Narrow" w:hAnsi="Arial Narrow"/>
                <w:sz w:val="20"/>
                <w:szCs w:val="20"/>
                <w:vertAlign w:val="superscript"/>
              </w:rPr>
              <w:t>a</w:t>
            </w:r>
            <w:r w:rsidRPr="00FE714A">
              <w:rPr>
                <w:rFonts w:ascii="Arial Narrow" w:hAnsi="Arial Narrow"/>
                <w:sz w:val="20"/>
                <w:szCs w:val="20"/>
              </w:rPr>
              <w:t xml:space="preserve"> (corrected during the evaluation)</w:t>
            </w:r>
          </w:p>
        </w:tc>
        <w:tc>
          <w:tcPr>
            <w:tcW w:w="928" w:type="pct"/>
            <w:shd w:val="clear" w:color="auto" w:fill="auto"/>
            <w:tcMar>
              <w:left w:w="57" w:type="dxa"/>
              <w:right w:w="57" w:type="dxa"/>
            </w:tcMar>
            <w:vAlign w:val="center"/>
          </w:tcPr>
          <w:p w14:paraId="7642DE3D"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0.76 (0.42, 1.39)</w:t>
            </w:r>
          </w:p>
        </w:tc>
        <w:tc>
          <w:tcPr>
            <w:tcW w:w="926" w:type="pct"/>
            <w:shd w:val="clear" w:color="auto" w:fill="auto"/>
            <w:tcMar>
              <w:left w:w="57" w:type="dxa"/>
              <w:right w:w="57" w:type="dxa"/>
            </w:tcMar>
            <w:vAlign w:val="center"/>
          </w:tcPr>
          <w:p w14:paraId="7E54C111"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-0.04 (-0.13, 0.05)</w:t>
            </w:r>
          </w:p>
        </w:tc>
      </w:tr>
      <w:tr w:rsidR="004779D9" w:rsidRPr="00FE714A" w14:paraId="37126F45" w14:textId="77777777" w:rsidTr="007A6EA2">
        <w:trPr>
          <w:cantSplit/>
          <w:trHeight w:val="244"/>
        </w:trPr>
        <w:tc>
          <w:tcPr>
            <w:tcW w:w="3146" w:type="pct"/>
            <w:gridSpan w:val="4"/>
            <w:shd w:val="clear" w:color="auto" w:fill="auto"/>
            <w:tcMar>
              <w:left w:w="57" w:type="dxa"/>
              <w:right w:w="57" w:type="dxa"/>
            </w:tcMar>
            <w:vAlign w:val="center"/>
          </w:tcPr>
          <w:p w14:paraId="0218AE67"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ITC: combination therapy trials pooled (as presented in the submission)</w:t>
            </w:r>
          </w:p>
        </w:tc>
        <w:tc>
          <w:tcPr>
            <w:tcW w:w="928" w:type="pct"/>
            <w:shd w:val="clear" w:color="auto" w:fill="auto"/>
            <w:tcMar>
              <w:left w:w="57" w:type="dxa"/>
              <w:right w:w="57" w:type="dxa"/>
            </w:tcMar>
            <w:vAlign w:val="center"/>
          </w:tcPr>
          <w:p w14:paraId="07E7480A"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0.76 (0.41, 1.42)</w:t>
            </w:r>
          </w:p>
        </w:tc>
        <w:tc>
          <w:tcPr>
            <w:tcW w:w="926" w:type="pct"/>
            <w:shd w:val="clear" w:color="auto" w:fill="auto"/>
            <w:tcMar>
              <w:left w:w="57" w:type="dxa"/>
              <w:right w:w="57" w:type="dxa"/>
            </w:tcMar>
            <w:vAlign w:val="center"/>
          </w:tcPr>
          <w:p w14:paraId="4EC357F7"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noBreakHyphen/>
              <w:t>0.05 (</w:t>
            </w:r>
            <w:r w:rsidRPr="00FE714A">
              <w:rPr>
                <w:rFonts w:ascii="Arial Narrow" w:eastAsia="Calibri" w:hAnsi="Arial Narrow"/>
                <w:sz w:val="20"/>
                <w:szCs w:val="20"/>
              </w:rPr>
              <w:noBreakHyphen/>
              <w:t>0.14, 0.05)</w:t>
            </w:r>
          </w:p>
        </w:tc>
      </w:tr>
      <w:tr w:rsidR="004779D9" w:rsidRPr="00FE714A" w14:paraId="0D61D5E1" w14:textId="77777777" w:rsidTr="007A6EA2">
        <w:trPr>
          <w:cantSplit/>
          <w:trHeight w:val="244"/>
        </w:trPr>
        <w:tc>
          <w:tcPr>
            <w:tcW w:w="5000" w:type="pct"/>
            <w:gridSpan w:val="6"/>
            <w:shd w:val="clear" w:color="auto" w:fill="auto"/>
            <w:tcMar>
              <w:left w:w="57" w:type="dxa"/>
              <w:right w:w="57" w:type="dxa"/>
            </w:tcMar>
            <w:vAlign w:val="center"/>
          </w:tcPr>
          <w:p w14:paraId="59437EBC" w14:textId="77777777" w:rsidR="004779D9" w:rsidRPr="00FE714A" w:rsidRDefault="004779D9" w:rsidP="007A6EA2">
            <w:pPr>
              <w:keepNext/>
              <w:keepLines/>
              <w:jc w:val="left"/>
              <w:rPr>
                <w:rFonts w:ascii="Arial Narrow" w:hAnsi="Arial Narrow"/>
                <w:b/>
                <w:bCs/>
                <w:sz w:val="20"/>
                <w:szCs w:val="20"/>
              </w:rPr>
            </w:pPr>
            <w:r w:rsidRPr="00FE714A">
              <w:rPr>
                <w:rFonts w:ascii="Arial Narrow" w:hAnsi="Arial Narrow"/>
                <w:b/>
                <w:bCs/>
                <w:sz w:val="20"/>
                <w:szCs w:val="20"/>
              </w:rPr>
              <w:t>All trials</w:t>
            </w:r>
          </w:p>
        </w:tc>
      </w:tr>
      <w:tr w:rsidR="004779D9" w:rsidRPr="00FE714A" w14:paraId="720B60A6" w14:textId="77777777" w:rsidTr="007A6EA2">
        <w:trPr>
          <w:cantSplit/>
          <w:trHeight w:val="244"/>
        </w:trPr>
        <w:tc>
          <w:tcPr>
            <w:tcW w:w="1019" w:type="pct"/>
            <w:shd w:val="clear" w:color="auto" w:fill="auto"/>
            <w:tcMar>
              <w:left w:w="57" w:type="dxa"/>
              <w:right w:w="57" w:type="dxa"/>
            </w:tcMar>
            <w:vAlign w:val="center"/>
          </w:tcPr>
          <w:p w14:paraId="7D56DB92"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LEB all trials pooled</w:t>
            </w:r>
          </w:p>
        </w:tc>
        <w:tc>
          <w:tcPr>
            <w:tcW w:w="709" w:type="pct"/>
            <w:shd w:val="clear" w:color="auto" w:fill="auto"/>
            <w:tcMar>
              <w:left w:w="57" w:type="dxa"/>
              <w:right w:w="57" w:type="dxa"/>
            </w:tcMar>
            <w:vAlign w:val="center"/>
          </w:tcPr>
          <w:p w14:paraId="08327125"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469/1252 (37.5)</w:t>
            </w:r>
          </w:p>
        </w:tc>
        <w:tc>
          <w:tcPr>
            <w:tcW w:w="709" w:type="pct"/>
            <w:shd w:val="clear" w:color="auto" w:fill="auto"/>
            <w:tcMar>
              <w:left w:w="57" w:type="dxa"/>
              <w:right w:w="57" w:type="dxa"/>
            </w:tcMar>
            <w:vAlign w:val="center"/>
          </w:tcPr>
          <w:p w14:paraId="122B4AB9"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96/720 (13.3)</w:t>
            </w:r>
          </w:p>
        </w:tc>
        <w:tc>
          <w:tcPr>
            <w:tcW w:w="709" w:type="pct"/>
            <w:shd w:val="clear" w:color="auto" w:fill="auto"/>
          </w:tcPr>
          <w:p w14:paraId="21DE4A1D" w14:textId="77777777" w:rsidR="004779D9" w:rsidRPr="00FE714A" w:rsidRDefault="004779D9" w:rsidP="007A6EA2">
            <w:pPr>
              <w:keepNext/>
              <w:keepLines/>
              <w:jc w:val="center"/>
              <w:rPr>
                <w:rFonts w:ascii="Arial Narrow" w:hAnsi="Arial Narrow"/>
                <w:sz w:val="20"/>
                <w:szCs w:val="20"/>
              </w:rPr>
            </w:pPr>
            <w:r w:rsidRPr="00FE714A">
              <w:rPr>
                <w:rFonts w:ascii="Arial Narrow" w:hAnsi="Arial Narrow"/>
                <w:sz w:val="20"/>
                <w:szCs w:val="20"/>
              </w:rPr>
              <w:t>-</w:t>
            </w:r>
          </w:p>
        </w:tc>
        <w:tc>
          <w:tcPr>
            <w:tcW w:w="928" w:type="pct"/>
            <w:shd w:val="clear" w:color="auto" w:fill="auto"/>
            <w:tcMar>
              <w:left w:w="57" w:type="dxa"/>
              <w:right w:w="57" w:type="dxa"/>
            </w:tcMar>
            <w:vAlign w:val="center"/>
          </w:tcPr>
          <w:p w14:paraId="67CE0922"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2.80 (2.08, 3.78)</w:t>
            </w:r>
          </w:p>
        </w:tc>
        <w:tc>
          <w:tcPr>
            <w:tcW w:w="926" w:type="pct"/>
            <w:shd w:val="clear" w:color="auto" w:fill="auto"/>
            <w:tcMar>
              <w:left w:w="57" w:type="dxa"/>
              <w:right w:w="57" w:type="dxa"/>
            </w:tcMar>
            <w:vAlign w:val="center"/>
          </w:tcPr>
          <w:p w14:paraId="66414BF2"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0.24 (0.21, 0.28)</w:t>
            </w:r>
          </w:p>
        </w:tc>
      </w:tr>
      <w:tr w:rsidR="004779D9" w:rsidRPr="00FE714A" w14:paraId="4FF9FE0D" w14:textId="77777777" w:rsidTr="007A6EA2">
        <w:trPr>
          <w:cantSplit/>
          <w:trHeight w:val="244"/>
        </w:trPr>
        <w:tc>
          <w:tcPr>
            <w:tcW w:w="1019" w:type="pct"/>
            <w:shd w:val="clear" w:color="auto" w:fill="auto"/>
            <w:tcMar>
              <w:left w:w="57" w:type="dxa"/>
              <w:right w:w="57" w:type="dxa"/>
            </w:tcMar>
            <w:vAlign w:val="center"/>
          </w:tcPr>
          <w:p w14:paraId="3987A310" w14:textId="7A7724D6" w:rsidR="004779D9" w:rsidRPr="00FE714A" w:rsidRDefault="004779D9" w:rsidP="007A6EA2">
            <w:pPr>
              <w:keepNext/>
              <w:keepLines/>
              <w:jc w:val="left"/>
              <w:rPr>
                <w:rFonts w:ascii="Arial Narrow" w:hAnsi="Arial Narrow"/>
                <w:sz w:val="20"/>
                <w:szCs w:val="20"/>
                <w:vertAlign w:val="superscript"/>
              </w:rPr>
            </w:pPr>
            <w:r w:rsidRPr="00FE714A">
              <w:rPr>
                <w:rFonts w:ascii="Arial Narrow" w:hAnsi="Arial Narrow"/>
                <w:sz w:val="20"/>
                <w:szCs w:val="20"/>
              </w:rPr>
              <w:t xml:space="preserve">DUPI all trials pooled </w:t>
            </w:r>
            <w:r w:rsidR="005E489C"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23875FE0"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auto"/>
            <w:tcMar>
              <w:left w:w="57" w:type="dxa"/>
              <w:right w:w="57" w:type="dxa"/>
            </w:tcMar>
            <w:vAlign w:val="center"/>
          </w:tcPr>
          <w:p w14:paraId="1B75DDA8"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402/1140 (35.4)</w:t>
            </w:r>
          </w:p>
        </w:tc>
        <w:tc>
          <w:tcPr>
            <w:tcW w:w="709" w:type="pct"/>
            <w:shd w:val="clear" w:color="auto" w:fill="auto"/>
            <w:vAlign w:val="center"/>
          </w:tcPr>
          <w:p w14:paraId="13C5423D"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sz w:val="20"/>
                <w:szCs w:val="20"/>
              </w:rPr>
              <w:t>120/1243 (9.7)</w:t>
            </w:r>
          </w:p>
        </w:tc>
        <w:tc>
          <w:tcPr>
            <w:tcW w:w="928" w:type="pct"/>
            <w:shd w:val="clear" w:color="auto" w:fill="auto"/>
            <w:tcMar>
              <w:left w:w="57" w:type="dxa"/>
              <w:right w:w="57" w:type="dxa"/>
            </w:tcMar>
            <w:vAlign w:val="center"/>
          </w:tcPr>
          <w:p w14:paraId="118AC739"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3.61 (2.92, 4.46)</w:t>
            </w:r>
          </w:p>
        </w:tc>
        <w:tc>
          <w:tcPr>
            <w:tcW w:w="926" w:type="pct"/>
            <w:shd w:val="clear" w:color="auto" w:fill="auto"/>
            <w:tcMar>
              <w:left w:w="57" w:type="dxa"/>
              <w:right w:w="57" w:type="dxa"/>
            </w:tcMar>
            <w:vAlign w:val="center"/>
          </w:tcPr>
          <w:p w14:paraId="14099DDE" w14:textId="77777777" w:rsidR="004779D9" w:rsidRPr="00FE714A" w:rsidRDefault="004779D9" w:rsidP="007A6EA2">
            <w:pPr>
              <w:keepNext/>
              <w:keepLines/>
              <w:jc w:val="center"/>
              <w:rPr>
                <w:rFonts w:ascii="Arial Narrow" w:hAnsi="Arial Narrow"/>
                <w:sz w:val="20"/>
                <w:szCs w:val="20"/>
              </w:rPr>
            </w:pPr>
            <w:r w:rsidRPr="00FE714A">
              <w:rPr>
                <w:rFonts w:ascii="Arial Narrow" w:eastAsia="Calibri" w:hAnsi="Arial Narrow"/>
                <w:b/>
                <w:bCs/>
                <w:sz w:val="20"/>
                <w:szCs w:val="20"/>
              </w:rPr>
              <w:t>0.26 (0.23, 0.29)</w:t>
            </w:r>
          </w:p>
        </w:tc>
      </w:tr>
      <w:tr w:rsidR="004779D9" w:rsidRPr="00FE714A" w14:paraId="26209BB2" w14:textId="77777777" w:rsidTr="007A6EA2">
        <w:trPr>
          <w:cantSplit/>
          <w:trHeight w:val="244"/>
        </w:trPr>
        <w:tc>
          <w:tcPr>
            <w:tcW w:w="3146" w:type="pct"/>
            <w:gridSpan w:val="4"/>
            <w:shd w:val="clear" w:color="auto" w:fill="auto"/>
            <w:tcMar>
              <w:left w:w="57" w:type="dxa"/>
              <w:right w:w="57" w:type="dxa"/>
            </w:tcMar>
            <w:vAlign w:val="center"/>
          </w:tcPr>
          <w:p w14:paraId="44941F99" w14:textId="0B06FC8E"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 xml:space="preserve">ITC: all trials pooled </w:t>
            </w:r>
            <w:r w:rsidR="005E489C" w:rsidRPr="00FE714A">
              <w:rPr>
                <w:rFonts w:ascii="Arial Narrow" w:hAnsi="Arial Narrow"/>
                <w:sz w:val="20"/>
                <w:szCs w:val="20"/>
                <w:vertAlign w:val="superscript"/>
              </w:rPr>
              <w:t>a</w:t>
            </w:r>
            <w:r w:rsidRPr="00FE714A">
              <w:rPr>
                <w:rFonts w:ascii="Arial Narrow" w:hAnsi="Arial Narrow"/>
                <w:sz w:val="20"/>
                <w:szCs w:val="20"/>
              </w:rPr>
              <w:t xml:space="preserve"> (c</w:t>
            </w:r>
            <w:r w:rsidR="009E0982" w:rsidRPr="00FE714A">
              <w:rPr>
                <w:rFonts w:ascii="Arial Narrow" w:hAnsi="Arial Narrow"/>
                <w:sz w:val="20"/>
                <w:szCs w:val="20"/>
              </w:rPr>
              <w:t>alculated</w:t>
            </w:r>
            <w:r w:rsidRPr="00FE714A">
              <w:rPr>
                <w:rFonts w:ascii="Arial Narrow" w:hAnsi="Arial Narrow"/>
                <w:sz w:val="20"/>
                <w:szCs w:val="20"/>
              </w:rPr>
              <w:t xml:space="preserve"> during the evaluation)</w:t>
            </w:r>
          </w:p>
        </w:tc>
        <w:tc>
          <w:tcPr>
            <w:tcW w:w="928" w:type="pct"/>
            <w:shd w:val="clear" w:color="auto" w:fill="auto"/>
            <w:tcMar>
              <w:left w:w="57" w:type="dxa"/>
              <w:right w:w="57" w:type="dxa"/>
            </w:tcMar>
            <w:vAlign w:val="center"/>
          </w:tcPr>
          <w:p w14:paraId="018D197C"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0.78 (0.54, 1.12)</w:t>
            </w:r>
          </w:p>
        </w:tc>
        <w:tc>
          <w:tcPr>
            <w:tcW w:w="926" w:type="pct"/>
            <w:shd w:val="clear" w:color="auto" w:fill="auto"/>
            <w:tcMar>
              <w:left w:w="57" w:type="dxa"/>
              <w:right w:w="57" w:type="dxa"/>
            </w:tcMar>
            <w:vAlign w:val="center"/>
          </w:tcPr>
          <w:p w14:paraId="1D1768EA"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-0.02 (-0.07, 0.03)</w:t>
            </w:r>
          </w:p>
        </w:tc>
      </w:tr>
      <w:tr w:rsidR="004779D9" w:rsidRPr="00FE714A" w14:paraId="42B85307" w14:textId="77777777" w:rsidTr="007A6EA2">
        <w:trPr>
          <w:cantSplit/>
          <w:trHeight w:val="244"/>
        </w:trPr>
        <w:tc>
          <w:tcPr>
            <w:tcW w:w="3146" w:type="pct"/>
            <w:gridSpan w:val="4"/>
            <w:shd w:val="clear" w:color="auto" w:fill="auto"/>
            <w:tcMar>
              <w:left w:w="57" w:type="dxa"/>
              <w:right w:w="57" w:type="dxa"/>
            </w:tcMar>
            <w:vAlign w:val="center"/>
          </w:tcPr>
          <w:p w14:paraId="4C01D3F7" w14:textId="77777777" w:rsidR="004779D9" w:rsidRPr="00FE714A" w:rsidRDefault="004779D9" w:rsidP="007A6EA2">
            <w:pPr>
              <w:keepNext/>
              <w:keepLines/>
              <w:jc w:val="left"/>
              <w:rPr>
                <w:rFonts w:ascii="Arial Narrow" w:hAnsi="Arial Narrow"/>
                <w:sz w:val="20"/>
                <w:szCs w:val="20"/>
              </w:rPr>
            </w:pPr>
            <w:r w:rsidRPr="00FE714A">
              <w:rPr>
                <w:rFonts w:ascii="Arial Narrow" w:hAnsi="Arial Narrow"/>
                <w:sz w:val="20"/>
                <w:szCs w:val="20"/>
              </w:rPr>
              <w:t>ITC: all trials pooled (as presented in the submission)</w:t>
            </w:r>
          </w:p>
        </w:tc>
        <w:tc>
          <w:tcPr>
            <w:tcW w:w="928" w:type="pct"/>
            <w:shd w:val="clear" w:color="auto" w:fill="auto"/>
            <w:tcMar>
              <w:left w:w="57" w:type="dxa"/>
              <w:right w:w="57" w:type="dxa"/>
            </w:tcMar>
            <w:vAlign w:val="center"/>
          </w:tcPr>
          <w:p w14:paraId="7D2D9A2F"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t>0.79 (0.54, 1.15)</w:t>
            </w:r>
          </w:p>
        </w:tc>
        <w:tc>
          <w:tcPr>
            <w:tcW w:w="926" w:type="pct"/>
            <w:shd w:val="clear" w:color="auto" w:fill="auto"/>
            <w:tcMar>
              <w:left w:w="57" w:type="dxa"/>
              <w:right w:w="57" w:type="dxa"/>
            </w:tcMar>
            <w:vAlign w:val="center"/>
          </w:tcPr>
          <w:p w14:paraId="5980F15D" w14:textId="77777777" w:rsidR="004779D9" w:rsidRPr="00FE714A" w:rsidRDefault="004779D9" w:rsidP="007A6EA2">
            <w:pPr>
              <w:keepNext/>
              <w:keepLines/>
              <w:jc w:val="center"/>
              <w:rPr>
                <w:rFonts w:ascii="Arial Narrow" w:eastAsia="Calibri" w:hAnsi="Arial Narrow"/>
                <w:sz w:val="20"/>
                <w:szCs w:val="20"/>
              </w:rPr>
            </w:pPr>
            <w:r w:rsidRPr="00FE714A">
              <w:rPr>
                <w:rFonts w:ascii="Arial Narrow" w:eastAsia="Calibri" w:hAnsi="Arial Narrow"/>
                <w:sz w:val="20"/>
                <w:szCs w:val="20"/>
              </w:rPr>
              <w:noBreakHyphen/>
              <w:t>0.01 (</w:t>
            </w:r>
            <w:r w:rsidRPr="00FE714A">
              <w:rPr>
                <w:rFonts w:ascii="Arial Narrow" w:eastAsia="Calibri" w:hAnsi="Arial Narrow"/>
                <w:sz w:val="20"/>
                <w:szCs w:val="20"/>
              </w:rPr>
              <w:noBreakHyphen/>
              <w:t>0.06, 0.04)</w:t>
            </w:r>
          </w:p>
        </w:tc>
      </w:tr>
    </w:tbl>
    <w:p w14:paraId="34561001" w14:textId="77777777" w:rsidR="004779D9" w:rsidRPr="00FE714A" w:rsidRDefault="004779D9" w:rsidP="000B2442">
      <w:pPr>
        <w:pStyle w:val="FooterTableFigure"/>
        <w:keepNext/>
        <w:keepLines/>
      </w:pPr>
      <w:r w:rsidRPr="00FE714A">
        <w:t>Source: Table 2.6-10, pp227-229 of the submission.</w:t>
      </w:r>
    </w:p>
    <w:p w14:paraId="64B0D5BF" w14:textId="77777777" w:rsidR="004779D9" w:rsidRPr="00FE714A" w:rsidRDefault="004779D9" w:rsidP="000B2442">
      <w:pPr>
        <w:pStyle w:val="FooterTableFigure"/>
        <w:keepNext/>
        <w:keepLines/>
      </w:pPr>
      <w:r w:rsidRPr="00FE714A">
        <w:t>CI = confidence interval; DUPI = dupilumab; IGA = investigator’s global assessment; LEB = lebrikizumab; NA = not applicable; PBO = placebo; Q2W = every 2 weeks; RD = risk difference; RR = relative risk; TCS = topical corticosteroids</w:t>
      </w:r>
    </w:p>
    <w:p w14:paraId="2985059D" w14:textId="7BF63562" w:rsidR="004779D9" w:rsidRPr="00FE714A" w:rsidRDefault="005E489C" w:rsidP="000B2442">
      <w:pPr>
        <w:pStyle w:val="FooterTableFigure"/>
        <w:keepNext/>
        <w:keepLines/>
      </w:pPr>
      <w:r w:rsidRPr="00FE714A">
        <w:t>a</w:t>
      </w:r>
      <w:r w:rsidR="004779D9" w:rsidRPr="00FE714A">
        <w:t xml:space="preserve"> Indicates values corrected during the evaluation u</w:t>
      </w:r>
      <w:r w:rsidR="004779D9" w:rsidRPr="00FE714A">
        <w:rPr>
          <w:rFonts w:eastAsia="Calibri"/>
        </w:rPr>
        <w:t xml:space="preserve">sing random effects on </w:t>
      </w:r>
      <w:proofErr w:type="spellStart"/>
      <w:r w:rsidR="004779D9" w:rsidRPr="00FE714A">
        <w:rPr>
          <w:rFonts w:eastAsia="Calibri"/>
        </w:rPr>
        <w:t>StatsDirect</w:t>
      </w:r>
      <w:proofErr w:type="spellEnd"/>
      <w:r w:rsidR="004779D9" w:rsidRPr="00FE714A">
        <w:rPr>
          <w:rFonts w:eastAsia="Calibri"/>
        </w:rPr>
        <w:t xml:space="preserve"> 3, </w:t>
      </w:r>
      <w:r w:rsidR="004779D9" w:rsidRPr="00FE714A">
        <w:t>due to the re-classification of JADE Compare (as a combination therapy trial). For this outcome, values for JADE Compare were corrected during the evaluation.</w:t>
      </w:r>
    </w:p>
    <w:p w14:paraId="53672B25" w14:textId="1EF6DCD0" w:rsidR="009E0982" w:rsidRPr="00FE714A" w:rsidRDefault="009E0982" w:rsidP="009E0982">
      <w:pPr>
        <w:pStyle w:val="FooterTableFigure"/>
        <w:keepNext/>
        <w:keepLines/>
      </w:pPr>
      <w:r w:rsidRPr="00FE714A">
        <w:t xml:space="preserve">RR and RD were estimated using </w:t>
      </w:r>
      <w:proofErr w:type="spellStart"/>
      <w:r w:rsidRPr="00FE714A">
        <w:t>StatsDirect</w:t>
      </w:r>
      <w:proofErr w:type="spellEnd"/>
      <w:r w:rsidRPr="00FE714A">
        <w:t xml:space="preserve"> v3</w:t>
      </w:r>
    </w:p>
    <w:p w14:paraId="5C9738B2" w14:textId="77777777" w:rsidR="004779D9" w:rsidRPr="00FE714A" w:rsidRDefault="004779D9" w:rsidP="0056239E">
      <w:pPr>
        <w:pStyle w:val="FooterTableFigure"/>
      </w:pPr>
      <w:r w:rsidRPr="00FE714A">
        <w:t>Values in bold indicate significance (CI did not include 1 or 0 for RR and RD respectively).</w:t>
      </w:r>
    </w:p>
    <w:p w14:paraId="78D6F0F1" w14:textId="77777777" w:rsidR="004779D9" w:rsidRPr="00FE714A" w:rsidRDefault="004779D9" w:rsidP="00F10329">
      <w:pPr>
        <w:pStyle w:val="3-BodyText"/>
      </w:pPr>
      <w:r w:rsidRPr="00FE714A">
        <w:t xml:space="preserve">For the efficacy outcomes of EASI 75, EASI 50, DLQI ≥ 4-point improvement and IGA 0/1, patients with moderate-to-severe AD (whole trial population) tended to respond more favourably with active treatment (LEB or DUPI) compared to placebo, with all </w:t>
      </w:r>
      <w:r w:rsidRPr="00FE714A">
        <w:lastRenderedPageBreak/>
        <w:t xml:space="preserve">trials achieving statistically significant results (95%CI did not include 1 or 0 for RR and RD respectively) against placebo, except in the LEB trial </w:t>
      </w:r>
      <w:proofErr w:type="spellStart"/>
      <w:r w:rsidRPr="00FE714A">
        <w:t>ADvantage</w:t>
      </w:r>
      <w:proofErr w:type="spellEnd"/>
      <w:r w:rsidRPr="00FE714A">
        <w:t xml:space="preserve"> for the outcome of DLQI ≥ 4-point improvement (RR=1.1, 95% CI: 1.0, 1.3; RD=0.09, 95%CI: -0.02, 0.20). Once pooled (meta-analyses), results were also statistically significant, except for the LEB combination therapy trials for the outcome of DLQI ≥ 4-point improvement (RR=1.71, 95%CI: 0.97, 3.02; though the RD was significant (RD=0.28, 95%CI: 0.03, 0.52)). </w:t>
      </w:r>
    </w:p>
    <w:p w14:paraId="68E6345A" w14:textId="6C4B79C5" w:rsidR="004779D9" w:rsidRPr="00FE714A" w:rsidRDefault="004779D9" w:rsidP="00F10329">
      <w:pPr>
        <w:pStyle w:val="3-BodyText"/>
      </w:pPr>
      <w:r w:rsidRPr="00FE714A">
        <w:t>Results of the indirect treatment comparisons performed between LEB and DUPI mostly reported non statistically significant differences, with majority of point estimates favouring DUPI (except for the outcome of DLQI ≥ 4-point improvement) though the 95% CIs were large. However, it was noted that the (all trials pooled) indirect treatment comparison for the outcome of DLQI ≥ 4 points may have been biased against DUPI given monotherapy trials (which tended to have more favourable active treatment results) were included for LEB but not for DUPI. For the outcome of EASI 50, results statistically favoured DUPI (RR= 0.73, 95%CI: 0.60, 0.89; RD= -0.08, 95% CI: -0.15, -0.01)</w:t>
      </w:r>
      <w:r w:rsidR="00EF710C" w:rsidRPr="00FE714A">
        <w:t xml:space="preserve"> when only monotherapy trials were considered</w:t>
      </w:r>
      <w:r w:rsidRPr="00FE714A">
        <w:t xml:space="preserve">. </w:t>
      </w:r>
    </w:p>
    <w:p w14:paraId="627342A0" w14:textId="0E828849" w:rsidR="004779D9" w:rsidRPr="00FE714A" w:rsidRDefault="004779D9" w:rsidP="00135B8A">
      <w:pPr>
        <w:pStyle w:val="3-BodyText"/>
      </w:pPr>
      <w:r w:rsidRPr="00FE714A">
        <w:t xml:space="preserve">These results in the whole trial population were largely consistent with the findings in the previous analysis for the severe AD subgroup. </w:t>
      </w:r>
      <w:r w:rsidR="0066054A" w:rsidRPr="00FE714A">
        <w:t>Overall</w:t>
      </w:r>
      <w:r w:rsidRPr="00FE714A">
        <w:t>, the clinical evidence presented by the submission indicate</w:t>
      </w:r>
      <w:r w:rsidR="0066054A" w:rsidRPr="00FE714A">
        <w:t>s</w:t>
      </w:r>
      <w:r w:rsidRPr="00FE714A">
        <w:t xml:space="preserve"> that LEB 250 mg Q2W ± TCS was likely </w:t>
      </w:r>
      <w:r w:rsidR="00955882" w:rsidRPr="00FE714A">
        <w:t xml:space="preserve">superior to </w:t>
      </w:r>
      <w:r w:rsidRPr="00FE714A">
        <w:t xml:space="preserve">placebo ± TCS. However, the </w:t>
      </w:r>
      <w:r w:rsidR="00295271" w:rsidRPr="00FE714A">
        <w:t xml:space="preserve">evaluation considered the </w:t>
      </w:r>
      <w:r w:rsidRPr="00FE714A">
        <w:t>evidence presented for the whole trial population may not adequately support the non-inferiority of LEB 250 mg Q2W ± TCS compared to DUPI 300 mg Q2W ± TCS given the point estimates were largely in favour of DUPI and the 95% CIs were large, indicating uncertainty associated with the estimates.</w:t>
      </w:r>
    </w:p>
    <w:p w14:paraId="7ACFDD79" w14:textId="77777777" w:rsidR="004779D9" w:rsidRPr="00FE714A" w:rsidRDefault="004779D9" w:rsidP="007B2D18">
      <w:pPr>
        <w:pStyle w:val="3-BodyText"/>
        <w:numPr>
          <w:ilvl w:val="0"/>
          <w:numId w:val="0"/>
        </w:numPr>
        <w:rPr>
          <w:u w:val="single"/>
        </w:rPr>
      </w:pPr>
      <w:r w:rsidRPr="00FE714A">
        <w:rPr>
          <w:u w:val="single"/>
        </w:rPr>
        <w:t>Face and/or hands</w:t>
      </w:r>
    </w:p>
    <w:p w14:paraId="137053A3" w14:textId="25CCA598" w:rsidR="004779D9" w:rsidRPr="00FE714A" w:rsidRDefault="004779D9" w:rsidP="007B2D18">
      <w:pPr>
        <w:pStyle w:val="3-BodyText"/>
      </w:pPr>
      <w:r w:rsidRPr="00FE714A">
        <w:t xml:space="preserve">The analysis of patients who achieved cleared or improved responses are presented in </w:t>
      </w:r>
      <w:r w:rsidRPr="00FE714A">
        <w:fldChar w:fldCharType="begin" w:fldLock="1"/>
      </w:r>
      <w:r w:rsidRPr="00FE714A">
        <w:instrText xml:space="preserve"> REF _Ref155545974 \h </w:instrText>
      </w:r>
      <w:r w:rsidRPr="00FE714A">
        <w:fldChar w:fldCharType="separate"/>
      </w:r>
      <w:r w:rsidR="00B3585E" w:rsidRPr="00FE714A">
        <w:t xml:space="preserve">Figure </w:t>
      </w:r>
      <w:r w:rsidR="00B3585E">
        <w:rPr>
          <w:noProof/>
        </w:rPr>
        <w:t>1</w:t>
      </w:r>
      <w:r w:rsidRPr="00FE714A">
        <w:fldChar w:fldCharType="end"/>
      </w:r>
      <w:r w:rsidRPr="00FE714A">
        <w:t>. LEB was associated with</w:t>
      </w:r>
      <w:r w:rsidR="00D65519" w:rsidRPr="00FE714A">
        <w:t xml:space="preserve"> a</w:t>
      </w:r>
      <w:r w:rsidRPr="00FE714A">
        <w:t xml:space="preserve"> statistically significantly higher proportion of patients with face AD achieving cleared or improved responses at Week 16 compared with placebo in </w:t>
      </w:r>
      <w:proofErr w:type="spellStart"/>
      <w:r w:rsidRPr="00FE714A">
        <w:t>ADvocate</w:t>
      </w:r>
      <w:proofErr w:type="spellEnd"/>
      <w:r w:rsidRPr="00FE714A">
        <w:t xml:space="preserve"> 1 (61.9% vs. 31.6%), </w:t>
      </w:r>
      <w:proofErr w:type="spellStart"/>
      <w:r w:rsidRPr="00FE714A">
        <w:t>ADvocate</w:t>
      </w:r>
      <w:proofErr w:type="spellEnd"/>
      <w:r w:rsidRPr="00FE714A">
        <w:t xml:space="preserve"> 2 (57.5% vs. 21.7%), and </w:t>
      </w:r>
      <w:proofErr w:type="spellStart"/>
      <w:r w:rsidRPr="00FE714A">
        <w:t>ADhere</w:t>
      </w:r>
      <w:proofErr w:type="spellEnd"/>
      <w:r w:rsidRPr="00FE714A">
        <w:t xml:space="preserve"> (68.6% vs. 46.2%). Similarly, LEB was associated with a statistically significantly higher proportion of patients with hand AD achieving cleared or improved responses at Week 16 compared with placebo in </w:t>
      </w:r>
      <w:proofErr w:type="spellStart"/>
      <w:r w:rsidRPr="00FE714A">
        <w:t>ADvocate</w:t>
      </w:r>
      <w:proofErr w:type="spellEnd"/>
      <w:r w:rsidRPr="00FE714A">
        <w:t xml:space="preserve"> 1 (67.2% vs. 29.1%), </w:t>
      </w:r>
      <w:proofErr w:type="spellStart"/>
      <w:r w:rsidRPr="00FE714A">
        <w:t>ADvocate</w:t>
      </w:r>
      <w:proofErr w:type="spellEnd"/>
      <w:r w:rsidRPr="00FE714A">
        <w:t xml:space="preserve"> 2 (61.7% vs. 18.9%), and </w:t>
      </w:r>
      <w:proofErr w:type="spellStart"/>
      <w:r w:rsidRPr="00FE714A">
        <w:t>ADhere</w:t>
      </w:r>
      <w:proofErr w:type="spellEnd"/>
      <w:r w:rsidRPr="00FE714A">
        <w:t xml:space="preserve"> (72.8% vs. 43.2). Overall, the response to LEB in the face and hands </w:t>
      </w:r>
      <w:r w:rsidR="00D65519" w:rsidRPr="00FE714A">
        <w:t xml:space="preserve">was </w:t>
      </w:r>
      <w:r w:rsidRPr="00FE714A">
        <w:t>largely consistent with the response to LEB in patients with moderate-to-severe AD of the whole body.</w:t>
      </w:r>
      <w:r w:rsidRPr="00FE714A">
        <w:rPr>
          <w:i/>
          <w:iCs/>
        </w:rPr>
        <w:t xml:space="preserve"> </w:t>
      </w:r>
      <w:r w:rsidRPr="00FE714A">
        <w:t xml:space="preserve">However, </w:t>
      </w:r>
      <w:r w:rsidR="007B3E7D" w:rsidRPr="00FE714A">
        <w:t xml:space="preserve">it was unclear if </w:t>
      </w:r>
      <w:r w:rsidRPr="00FE714A">
        <w:t>the use of th</w:t>
      </w:r>
      <w:r w:rsidR="007B3E7D" w:rsidRPr="00FE714A">
        <w:t xml:space="preserve">is </w:t>
      </w:r>
      <w:r w:rsidRPr="00FE714A">
        <w:t xml:space="preserve">4-point scale as an outcome measure </w:t>
      </w:r>
      <w:r w:rsidR="007B3E7D" w:rsidRPr="00FE714A">
        <w:t xml:space="preserve">was validated and the </w:t>
      </w:r>
      <w:r w:rsidRPr="00FE714A">
        <w:t xml:space="preserve">may </w:t>
      </w:r>
      <w:r w:rsidR="007B3E7D" w:rsidRPr="00FE714A">
        <w:t xml:space="preserve">results </w:t>
      </w:r>
      <w:r w:rsidRPr="00FE714A">
        <w:t xml:space="preserve">not be entirely </w:t>
      </w:r>
      <w:r w:rsidR="00E94DF6" w:rsidRPr="00FE714A">
        <w:t>certain</w:t>
      </w:r>
      <w:r w:rsidRPr="00FE714A">
        <w:t>.</w:t>
      </w:r>
    </w:p>
    <w:p w14:paraId="57453E40" w14:textId="4A148D56" w:rsidR="004779D9" w:rsidRPr="00FE714A" w:rsidRDefault="004779D9" w:rsidP="00884CBC">
      <w:pPr>
        <w:pStyle w:val="Caption"/>
        <w:rPr>
          <w:rStyle w:val="CommentReference"/>
          <w:szCs w:val="24"/>
        </w:rPr>
      </w:pPr>
      <w:bookmarkStart w:id="37" w:name="_Ref155545974"/>
      <w:r w:rsidRPr="00FE714A">
        <w:lastRenderedPageBreak/>
        <w:t xml:space="preserve">Figure </w:t>
      </w:r>
      <w:r w:rsidR="008B26E3">
        <w:fldChar w:fldCharType="begin" w:fldLock="1"/>
      </w:r>
      <w:r w:rsidR="008B26E3">
        <w:instrText xml:space="preserve"> SEQ Figure \* ARABIC </w:instrText>
      </w:r>
      <w:r w:rsidR="008B26E3">
        <w:fldChar w:fldCharType="separate"/>
      </w:r>
      <w:r w:rsidR="00B3585E">
        <w:rPr>
          <w:noProof/>
        </w:rPr>
        <w:t>1</w:t>
      </w:r>
      <w:r w:rsidR="008B26E3">
        <w:rPr>
          <w:noProof/>
        </w:rPr>
        <w:fldChar w:fldCharType="end"/>
      </w:r>
      <w:bookmarkEnd w:id="37"/>
      <w:r w:rsidRPr="00FE714A">
        <w:rPr>
          <w:rStyle w:val="CommentReference"/>
          <w:szCs w:val="24"/>
        </w:rPr>
        <w:t xml:space="preserve">: </w:t>
      </w:r>
      <w:r w:rsidRPr="00FE714A">
        <w:rPr>
          <w:rStyle w:val="CommentReference"/>
          <w:b/>
          <w:bCs w:val="0"/>
          <w:szCs w:val="24"/>
        </w:rPr>
        <w:t>Patients with face and hand AD at baseline who had cleared or improved at Week 16</w:t>
      </w:r>
    </w:p>
    <w:tbl>
      <w:tblPr>
        <w:tblStyle w:val="MSD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779D9" w:rsidRPr="00FE714A" w14:paraId="6DDD7082" w14:textId="77777777" w:rsidTr="007A6EA2">
        <w:tc>
          <w:tcPr>
            <w:tcW w:w="4508" w:type="dxa"/>
          </w:tcPr>
          <w:p w14:paraId="1671F345" w14:textId="77777777" w:rsidR="004779D9" w:rsidRPr="00FE714A" w:rsidRDefault="004779D9" w:rsidP="007A6EA2">
            <w:pPr>
              <w:keepNext/>
              <w:rPr>
                <w:rFonts w:asciiTheme="minorHAnsi" w:hAnsiTheme="minorHAnsi" w:cstheme="minorHAnsi"/>
                <w:sz w:val="22"/>
                <w:szCs w:val="18"/>
              </w:rPr>
            </w:pPr>
            <w:r w:rsidRPr="00FE714A">
              <w:rPr>
                <w:rFonts w:asciiTheme="minorHAnsi" w:hAnsiTheme="minorHAnsi" w:cstheme="minorHAnsi"/>
                <w:sz w:val="22"/>
                <w:szCs w:val="18"/>
              </w:rPr>
              <w:t>A</w:t>
            </w:r>
          </w:p>
        </w:tc>
        <w:tc>
          <w:tcPr>
            <w:tcW w:w="4508" w:type="dxa"/>
          </w:tcPr>
          <w:p w14:paraId="2C8E65A0" w14:textId="77777777" w:rsidR="004779D9" w:rsidRPr="00FE714A" w:rsidRDefault="004779D9" w:rsidP="007A6EA2">
            <w:pPr>
              <w:keepNext/>
              <w:rPr>
                <w:rFonts w:asciiTheme="minorHAnsi" w:hAnsiTheme="minorHAnsi" w:cstheme="minorHAnsi"/>
                <w:sz w:val="22"/>
                <w:szCs w:val="18"/>
              </w:rPr>
            </w:pPr>
            <w:r w:rsidRPr="00FE714A">
              <w:rPr>
                <w:rFonts w:asciiTheme="minorHAnsi" w:hAnsiTheme="minorHAnsi" w:cstheme="minorHAnsi"/>
                <w:sz w:val="22"/>
                <w:szCs w:val="18"/>
              </w:rPr>
              <w:t>B</w:t>
            </w:r>
          </w:p>
        </w:tc>
      </w:tr>
      <w:tr w:rsidR="004779D9" w:rsidRPr="00FE714A" w14:paraId="329824F1" w14:textId="77777777" w:rsidTr="007A6EA2">
        <w:tc>
          <w:tcPr>
            <w:tcW w:w="4508" w:type="dxa"/>
          </w:tcPr>
          <w:p w14:paraId="63320CB5" w14:textId="77777777" w:rsidR="004779D9" w:rsidRPr="00FE714A" w:rsidRDefault="004779D9" w:rsidP="007A6EA2">
            <w:pPr>
              <w:keepNext/>
              <w:rPr>
                <w:rFonts w:asciiTheme="minorHAnsi" w:hAnsiTheme="minorHAnsi" w:cstheme="minorHAnsi"/>
                <w:sz w:val="22"/>
                <w:szCs w:val="18"/>
              </w:rPr>
            </w:pPr>
            <w:r w:rsidRPr="00FE714A">
              <w:rPr>
                <w:rFonts w:asciiTheme="minorHAnsi" w:hAnsiTheme="minorHAnsi" w:cstheme="minorHAnsi"/>
                <w:noProof/>
                <w:sz w:val="22"/>
                <w:szCs w:val="18"/>
              </w:rPr>
              <w:drawing>
                <wp:inline distT="0" distB="0" distL="0" distR="0" wp14:anchorId="6226704A" wp14:editId="4A9A8210">
                  <wp:extent cx="2672080" cy="1428682"/>
                  <wp:effectExtent l="0" t="0" r="0" b="635"/>
                  <wp:docPr id="2000646791" name="Picture 2000646791" descr="Figure 1: Patients with face and hand AD at baseline who had cleared or improved at Week 16 (Advoc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46791" name="Picture 2000646791" descr="Figure 1: Patients with face and hand AD at baseline who had cleared or improved at Week 16 (Advocate1)"/>
                          <pic:cNvPicPr/>
                        </pic:nvPicPr>
                        <pic:blipFill rotWithShape="1">
                          <a:blip r:embed="rId8"/>
                          <a:srcRect l="2435"/>
                          <a:stretch/>
                        </pic:blipFill>
                        <pic:spPr bwMode="auto">
                          <a:xfrm>
                            <a:off x="0" y="0"/>
                            <a:ext cx="2680903" cy="1433399"/>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tcPr>
          <w:p w14:paraId="121E61BC" w14:textId="77777777" w:rsidR="004779D9" w:rsidRPr="00FE714A" w:rsidRDefault="004779D9" w:rsidP="007A6EA2">
            <w:pPr>
              <w:keepNext/>
              <w:rPr>
                <w:rFonts w:asciiTheme="minorHAnsi" w:hAnsiTheme="minorHAnsi" w:cstheme="minorHAnsi"/>
                <w:sz w:val="22"/>
                <w:szCs w:val="18"/>
              </w:rPr>
            </w:pPr>
            <w:r w:rsidRPr="00FE714A">
              <w:rPr>
                <w:rFonts w:asciiTheme="minorHAnsi" w:hAnsiTheme="minorHAnsi" w:cstheme="minorHAnsi"/>
                <w:noProof/>
                <w:sz w:val="22"/>
                <w:szCs w:val="18"/>
              </w:rPr>
              <w:drawing>
                <wp:inline distT="0" distB="0" distL="0" distR="0" wp14:anchorId="05102013" wp14:editId="2DCDB55D">
                  <wp:extent cx="2695232" cy="1391920"/>
                  <wp:effectExtent l="0" t="0" r="0" b="0"/>
                  <wp:docPr id="1240848126" name="Picture 1240848126" descr="Figure 1: Patients with face and hand AD at baseline who had cleared or improved at Week 16 (Advoc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48126" name="Picture 1240848126" descr="Figure 1: Patients with face and hand AD at baseline who had cleared or improved at Week 16 (Advocate2)"/>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2713848" cy="140153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779D9" w:rsidRPr="00FE714A" w14:paraId="2636686B" w14:textId="77777777" w:rsidTr="007A6EA2">
        <w:tc>
          <w:tcPr>
            <w:tcW w:w="9016" w:type="dxa"/>
            <w:gridSpan w:val="2"/>
          </w:tcPr>
          <w:p w14:paraId="11CDFB82" w14:textId="77777777" w:rsidR="004779D9" w:rsidRPr="00FE714A" w:rsidRDefault="004779D9" w:rsidP="007A6EA2">
            <w:pPr>
              <w:keepNext/>
              <w:rPr>
                <w:rFonts w:asciiTheme="minorHAnsi" w:hAnsiTheme="minorHAnsi" w:cstheme="minorHAnsi"/>
                <w:sz w:val="22"/>
                <w:szCs w:val="18"/>
              </w:rPr>
            </w:pPr>
            <w:r w:rsidRPr="00FE714A">
              <w:rPr>
                <w:rFonts w:asciiTheme="minorHAnsi" w:hAnsiTheme="minorHAnsi" w:cstheme="minorHAnsi"/>
                <w:sz w:val="22"/>
                <w:szCs w:val="18"/>
              </w:rPr>
              <w:t>C</w:t>
            </w:r>
          </w:p>
        </w:tc>
      </w:tr>
      <w:tr w:rsidR="004779D9" w:rsidRPr="00FE714A" w14:paraId="00532992" w14:textId="77777777" w:rsidTr="007A6EA2">
        <w:tc>
          <w:tcPr>
            <w:tcW w:w="9016" w:type="dxa"/>
            <w:gridSpan w:val="2"/>
          </w:tcPr>
          <w:p w14:paraId="1050A192" w14:textId="77777777" w:rsidR="004779D9" w:rsidRPr="00FE714A" w:rsidRDefault="004779D9" w:rsidP="007A6EA2">
            <w:pPr>
              <w:keepNext/>
              <w:jc w:val="center"/>
              <w:rPr>
                <w:rFonts w:asciiTheme="minorHAnsi" w:hAnsiTheme="minorHAnsi" w:cstheme="minorHAnsi"/>
                <w:sz w:val="22"/>
                <w:szCs w:val="18"/>
              </w:rPr>
            </w:pPr>
            <w:r w:rsidRPr="00FE714A">
              <w:rPr>
                <w:rFonts w:asciiTheme="minorHAnsi" w:hAnsiTheme="minorHAnsi" w:cstheme="minorHAnsi"/>
                <w:noProof/>
                <w:sz w:val="22"/>
                <w:szCs w:val="18"/>
              </w:rPr>
              <w:drawing>
                <wp:inline distT="0" distB="0" distL="0" distR="0" wp14:anchorId="02507A34" wp14:editId="00855E76">
                  <wp:extent cx="3142748" cy="1515247"/>
                  <wp:effectExtent l="0" t="0" r="635" b="8890"/>
                  <wp:docPr id="1048806732" name="Picture 1048806732" descr="Figure 1: Patients with face and hand AD at baseline who had cleared or improved at Week 16 (AD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806732" name="Picture 1048806732" descr="Figure 1: Patients with face and hand AD at baseline who had cleared or improved at Week 16 (ADhe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9448" cy="1523299"/>
                          </a:xfrm>
                          <a:prstGeom prst="rect">
                            <a:avLst/>
                          </a:prstGeom>
                          <a:noFill/>
                        </pic:spPr>
                      </pic:pic>
                    </a:graphicData>
                  </a:graphic>
                </wp:inline>
              </w:drawing>
            </w:r>
          </w:p>
        </w:tc>
      </w:tr>
    </w:tbl>
    <w:p w14:paraId="116E7D1D" w14:textId="77777777" w:rsidR="004779D9" w:rsidRPr="00FE714A" w:rsidRDefault="004779D9" w:rsidP="00AC7A22">
      <w:pPr>
        <w:pStyle w:val="FooterTableFigure"/>
      </w:pPr>
      <w:r w:rsidRPr="00FE714A">
        <w:t xml:space="preserve">Source: Figure 2.6-1, p243 of the submission. </w:t>
      </w:r>
    </w:p>
    <w:p w14:paraId="56C2886B" w14:textId="77777777" w:rsidR="004779D9" w:rsidRPr="00FE714A" w:rsidRDefault="004779D9" w:rsidP="00AC7A22">
      <w:pPr>
        <w:pStyle w:val="FooterTableFigure"/>
      </w:pPr>
      <w:r w:rsidRPr="00FE714A">
        <w:t>LEB = lebrikizumab; PBO = placebo; TCS = topical corticosteroids; Q2W = every 2 weeks; n=number of patients</w:t>
      </w:r>
    </w:p>
    <w:p w14:paraId="7FF852A1" w14:textId="77777777" w:rsidR="004779D9" w:rsidRPr="00FE714A" w:rsidRDefault="004779D9" w:rsidP="00AC7A22">
      <w:pPr>
        <w:pStyle w:val="FooterTableFigure"/>
      </w:pPr>
      <w:r w:rsidRPr="00FE714A">
        <w:t xml:space="preserve">Note: Patients who use rescue medication or discontinued treatment or with missing data were considered as non-responders; p-value is from Fisher's exact test. </w:t>
      </w:r>
    </w:p>
    <w:p w14:paraId="7486F421" w14:textId="77777777" w:rsidR="004779D9" w:rsidRPr="00FE714A" w:rsidRDefault="004779D9" w:rsidP="00AC7A22">
      <w:pPr>
        <w:pStyle w:val="FooterTableFigure"/>
      </w:pPr>
      <w:r w:rsidRPr="00FE714A">
        <w:t>*=p &lt; 0.05, **= p &lt; 0.01, *** = p &lt; 0.001</w:t>
      </w:r>
    </w:p>
    <w:p w14:paraId="785089C0" w14:textId="11D20622" w:rsidR="004779D9" w:rsidRPr="00FE714A" w:rsidRDefault="004779D9" w:rsidP="00EC3AA5">
      <w:pPr>
        <w:pStyle w:val="3-BodyText"/>
      </w:pPr>
      <w:r w:rsidRPr="00FE714A">
        <w:t>The submission did not perform an indirect comparison for LEB vs DUPI for AD on the face and/or hands</w:t>
      </w:r>
      <w:r w:rsidR="009B4062" w:rsidRPr="00FE714A">
        <w:t xml:space="preserve">, </w:t>
      </w:r>
      <w:r w:rsidR="00E10F8F">
        <w:t>h</w:t>
      </w:r>
      <w:r w:rsidR="00FB3119">
        <w:t xml:space="preserve">owever, </w:t>
      </w:r>
      <w:r w:rsidRPr="00FE714A">
        <w:t>outcomes reported in the included DUPI trials and the included LEB trials for the face and/or hands may not be comparable. As such the comparative efficacy of LEB and DUPI for severe AD of face and/or hands was unclear from the submission.</w:t>
      </w:r>
    </w:p>
    <w:p w14:paraId="44C17D04" w14:textId="77777777" w:rsidR="004779D9" w:rsidRPr="00FE714A" w:rsidRDefault="004779D9" w:rsidP="00815C36">
      <w:pPr>
        <w:pStyle w:val="3-BodyText"/>
        <w:numPr>
          <w:ilvl w:val="0"/>
          <w:numId w:val="0"/>
        </w:numPr>
        <w:rPr>
          <w:u w:val="single"/>
        </w:rPr>
      </w:pPr>
      <w:r w:rsidRPr="00FE714A">
        <w:rPr>
          <w:u w:val="single"/>
        </w:rPr>
        <w:t>Maintenance (Q4W vs Q2W dosing)</w:t>
      </w:r>
    </w:p>
    <w:p w14:paraId="4DE5DC71" w14:textId="3689B3CD" w:rsidR="004779D9" w:rsidRPr="00FE714A" w:rsidRDefault="004779D9" w:rsidP="00EC3AA5">
      <w:pPr>
        <w:pStyle w:val="3-BodyText"/>
      </w:pPr>
      <w:r w:rsidRPr="00FE714A">
        <w:t xml:space="preserve">The </w:t>
      </w:r>
      <w:proofErr w:type="spellStart"/>
      <w:r w:rsidRPr="00FE714A">
        <w:t>ADvocate</w:t>
      </w:r>
      <w:proofErr w:type="spellEnd"/>
      <w:r w:rsidRPr="00FE714A">
        <w:t xml:space="preserve"> 1, </w:t>
      </w:r>
      <w:proofErr w:type="spellStart"/>
      <w:r w:rsidRPr="00FE714A">
        <w:t>ADvocate</w:t>
      </w:r>
      <w:proofErr w:type="spellEnd"/>
      <w:r w:rsidRPr="00FE714A">
        <w:t xml:space="preserve"> 2 and </w:t>
      </w:r>
      <w:proofErr w:type="spellStart"/>
      <w:r w:rsidRPr="00FE714A">
        <w:t>ADhere</w:t>
      </w:r>
      <w:proofErr w:type="spellEnd"/>
      <w:r w:rsidRPr="00FE714A">
        <w:t xml:space="preserve"> J trials included a maintenance period in which both Q2W and Q4W LEB dosing frequency were used. During the maintenance period of </w:t>
      </w:r>
      <w:proofErr w:type="spellStart"/>
      <w:r w:rsidRPr="00FE714A">
        <w:t>ADvocate</w:t>
      </w:r>
      <w:proofErr w:type="spellEnd"/>
      <w:r w:rsidRPr="00FE714A">
        <w:t xml:space="preserve"> 1 and </w:t>
      </w:r>
      <w:proofErr w:type="spellStart"/>
      <w:r w:rsidRPr="00FE714A">
        <w:t>ADvocate</w:t>
      </w:r>
      <w:proofErr w:type="spellEnd"/>
      <w:r w:rsidRPr="00FE714A">
        <w:t xml:space="preserve"> 2 (i.e. from Week 16 to Week 52), the submission reported that numerically higher proportions of responders treated with LEB Q2W and LEB Q4W maintained the outcome of EASI 75 and IGA 0/1 in both trials compared with the corresponding placebo arms (LEB responders at Week 16 with treatment withdrawn). The submission’s claim that patients treated Q2W had</w:t>
      </w:r>
      <w:r w:rsidR="00CB5BE5" w:rsidRPr="00FE714A">
        <w:t xml:space="preserve"> a</w:t>
      </w:r>
      <w:r w:rsidRPr="00FE714A">
        <w:t xml:space="preserve"> similar response rate to </w:t>
      </w:r>
      <w:r w:rsidR="00024298" w:rsidRPr="00FE714A">
        <w:t xml:space="preserve">those treated </w:t>
      </w:r>
      <w:r w:rsidRPr="00FE714A">
        <w:t xml:space="preserve">Q4W during the maintenance period appeared to be reasonable, as Q2W dosing generally had similar response rates to Q4W dosing during the maintenance period in </w:t>
      </w:r>
      <w:proofErr w:type="spellStart"/>
      <w:r w:rsidRPr="00FE714A">
        <w:t>ADvocate</w:t>
      </w:r>
      <w:proofErr w:type="spellEnd"/>
      <w:r w:rsidRPr="00FE714A">
        <w:t xml:space="preserve"> 1 and </w:t>
      </w:r>
      <w:proofErr w:type="spellStart"/>
      <w:r w:rsidRPr="00FE714A">
        <w:t>ADvocate</w:t>
      </w:r>
      <w:proofErr w:type="spellEnd"/>
      <w:r w:rsidRPr="00FE714A">
        <w:t xml:space="preserve"> 2. However, patients in </w:t>
      </w:r>
      <w:proofErr w:type="spellStart"/>
      <w:r w:rsidRPr="00FE714A">
        <w:t>ADhere</w:t>
      </w:r>
      <w:proofErr w:type="spellEnd"/>
      <w:r w:rsidRPr="00FE714A">
        <w:t xml:space="preserve"> J on Q4W dosing appeared to have more favourable response rates compared to those on Q2W dosing regarding improvement in DLQI scores, but not EASI 75 (74.9% (25/33) compared to 89.8% (26/29) respectively)</w:t>
      </w:r>
      <w:r w:rsidR="00FE714A">
        <w:t xml:space="preserve">. </w:t>
      </w:r>
    </w:p>
    <w:p w14:paraId="0646BAAA" w14:textId="77777777" w:rsidR="004779D9" w:rsidRPr="00FE714A" w:rsidRDefault="004779D9" w:rsidP="00EC3AA5">
      <w:pPr>
        <w:pStyle w:val="3-BodyText"/>
        <w:numPr>
          <w:ilvl w:val="0"/>
          <w:numId w:val="0"/>
        </w:numPr>
        <w:rPr>
          <w:u w:val="single"/>
        </w:rPr>
      </w:pPr>
      <w:r w:rsidRPr="00FE714A">
        <w:rPr>
          <w:u w:val="single"/>
        </w:rPr>
        <w:lastRenderedPageBreak/>
        <w:t>Week 16 escape arm</w:t>
      </w:r>
    </w:p>
    <w:p w14:paraId="6273B68A" w14:textId="7CC31ACB" w:rsidR="004779D9" w:rsidRPr="00FE714A" w:rsidRDefault="004779D9" w:rsidP="00892988">
      <w:pPr>
        <w:pStyle w:val="3-BodyText"/>
      </w:pPr>
      <w:r w:rsidRPr="00FE714A">
        <w:t xml:space="preserve">The submission’s requested listing for extended induction beyond 16 weeks (balance of supply) for patients deemed to have achieved a less than adequate response to LEB (‘slow responder’) was based on the submission’s claim that the results from the </w:t>
      </w:r>
      <w:proofErr w:type="spellStart"/>
      <w:r w:rsidRPr="00FE714A">
        <w:t>ADvocate</w:t>
      </w:r>
      <w:proofErr w:type="spellEnd"/>
      <w:r w:rsidRPr="00FE714A">
        <w:t xml:space="preserve"> 1 and </w:t>
      </w:r>
      <w:proofErr w:type="spellStart"/>
      <w:r w:rsidRPr="00FE714A">
        <w:t>ADvocate</w:t>
      </w:r>
      <w:proofErr w:type="spellEnd"/>
      <w:r w:rsidRPr="00FE714A">
        <w:t xml:space="preserve"> 2 escape arm showed a benefit of continued treatment in patients who had not achieved a protocol defined response (achieving an IGA 0/1 and/or an EASI 75 without use of rescue medication) at 16 weeks. </w:t>
      </w:r>
      <w:proofErr w:type="spellStart"/>
      <w:r w:rsidRPr="00FE714A">
        <w:t>ADhere</w:t>
      </w:r>
      <w:proofErr w:type="spellEnd"/>
      <w:r w:rsidRPr="00FE714A">
        <w:t xml:space="preserve"> J also included an escape arm</w:t>
      </w:r>
      <w:r w:rsidR="00CB147B" w:rsidRPr="00FE714A">
        <w:t xml:space="preserve"> and</w:t>
      </w:r>
      <w:r w:rsidRPr="00FE714A">
        <w:t xml:space="preserve"> results for non-responders to LEB 250 mg Q2W from </w:t>
      </w:r>
      <w:proofErr w:type="spellStart"/>
      <w:r w:rsidRPr="00FE714A">
        <w:t>ADhere</w:t>
      </w:r>
      <w:proofErr w:type="spellEnd"/>
      <w:r w:rsidRPr="00FE714A">
        <w:t xml:space="preserve"> J were extracted during the evaluation for comparison and completeness. </w:t>
      </w:r>
    </w:p>
    <w:p w14:paraId="78C103AA" w14:textId="41E5417E" w:rsidR="004779D9" w:rsidRPr="00FE714A" w:rsidRDefault="004779D9" w:rsidP="00892988">
      <w:pPr>
        <w:pStyle w:val="3-BodyText"/>
      </w:pPr>
      <w:bookmarkStart w:id="38" w:name="_Ref155620177"/>
      <w:r w:rsidRPr="00FE714A">
        <w:t xml:space="preserve">While the proportion of patients achieving IGA 0/1, EASI 50 and EASI 75 appeared to be greater at Week 32 compared to Week 16, the proportion of patients reporting a DLQI ≥ 4-point improvement from baseline (one of the components of the requested continuation criteria) actually decreased </w:t>
      </w:r>
      <w:r w:rsidR="00A17D5E" w:rsidRPr="00FE714A">
        <w:t xml:space="preserve">slightly </w:t>
      </w:r>
      <w:r w:rsidRPr="00FE714A">
        <w:t xml:space="preserve">at Week 32 compared to Week 16 in </w:t>
      </w:r>
      <w:proofErr w:type="spellStart"/>
      <w:r w:rsidRPr="00FE714A">
        <w:t>ADvocate</w:t>
      </w:r>
      <w:proofErr w:type="spellEnd"/>
      <w:r w:rsidRPr="00FE714A">
        <w:t xml:space="preserve"> 1 (61/82 to 60/82) and </w:t>
      </w:r>
      <w:proofErr w:type="spellStart"/>
      <w:r w:rsidRPr="00FE714A">
        <w:t>ADvocate</w:t>
      </w:r>
      <w:proofErr w:type="spellEnd"/>
      <w:r w:rsidRPr="00FE714A">
        <w:t xml:space="preserve"> 2 (75/99 to 71/99) and was similar in Adhere J at Week 16 (32/45) and Week 32 (34/45) </w:t>
      </w:r>
      <w:r w:rsidR="00CB147B" w:rsidRPr="00FE714A">
        <w:t xml:space="preserve">when the total number of patients who entered the </w:t>
      </w:r>
      <w:r w:rsidR="003742CD" w:rsidRPr="00FE714A">
        <w:t>escape arm were considered in the denominator (as in an ITT analysis)</w:t>
      </w:r>
      <w:r w:rsidRPr="00FE714A">
        <w:t xml:space="preserve">. Therefore, it may be concluded that if patients failed to meet the criteria of DLQI ≥ 4-point improvement at Week 16, it was unlikely that the </w:t>
      </w:r>
      <w:r w:rsidR="009B4062" w:rsidRPr="00FE714A">
        <w:t>extended induction</w:t>
      </w:r>
      <w:r w:rsidRPr="00FE714A">
        <w:t xml:space="preserve"> treatment to Week 2</w:t>
      </w:r>
      <w:r w:rsidR="00FD11C3">
        <w:t>4</w:t>
      </w:r>
      <w:r w:rsidRPr="00FE714A">
        <w:t xml:space="preserve"> would increase the number of responders. However, in patients who did not meet the EASI 50 criteria at Week 16 (but did meet the DLQI ≥ 4-point improvement criteria), the additional </w:t>
      </w:r>
      <w:r w:rsidR="009B4062" w:rsidRPr="00FE714A">
        <w:t xml:space="preserve">extended induction </w:t>
      </w:r>
      <w:r w:rsidRPr="00FE714A">
        <w:t>may increase the number of responders at Week 24.</w:t>
      </w:r>
      <w:bookmarkEnd w:id="38"/>
    </w:p>
    <w:p w14:paraId="291A693E" w14:textId="257C9C5C" w:rsidR="00DB33E9" w:rsidRPr="00613B05" w:rsidRDefault="004779D9" w:rsidP="00613B05">
      <w:pPr>
        <w:pStyle w:val="3-BodyText"/>
      </w:pPr>
      <w:r w:rsidRPr="00FE714A">
        <w:t xml:space="preserve">The response rates for the composite outcome or the severe AD subgroup were not presented by the submission, and it was unclear what the expected response rate would be for continuing treatment in the PBS population. Moreover, evidence based on escape arm data is not supported by any formal statistical analysis and should therefore be </w:t>
      </w:r>
      <w:r w:rsidR="0091772A" w:rsidRPr="00FE714A">
        <w:t>interpreted with caution</w:t>
      </w:r>
      <w:r w:rsidRPr="00FE714A">
        <w:t xml:space="preserve">. </w:t>
      </w:r>
    </w:p>
    <w:p w14:paraId="3762FBE1" w14:textId="32C77684" w:rsidR="004779D9" w:rsidRPr="00FE714A" w:rsidRDefault="004779D9" w:rsidP="003C7797">
      <w:pPr>
        <w:pStyle w:val="3-BodyText"/>
        <w:numPr>
          <w:ilvl w:val="0"/>
          <w:numId w:val="0"/>
        </w:numPr>
        <w:rPr>
          <w:b/>
          <w:bCs/>
        </w:rPr>
      </w:pPr>
      <w:r w:rsidRPr="00FE714A">
        <w:rPr>
          <w:b/>
          <w:bCs/>
        </w:rPr>
        <w:t>Indirect treatment comparison with secondary comparator, UPA</w:t>
      </w:r>
    </w:p>
    <w:p w14:paraId="6B65BE67" w14:textId="77777777" w:rsidR="004779D9" w:rsidRPr="00FE714A" w:rsidRDefault="004779D9" w:rsidP="00363C05">
      <w:pPr>
        <w:pStyle w:val="3-BodyText"/>
      </w:pPr>
      <w:r w:rsidRPr="00FE714A">
        <w:t xml:space="preserve">The submission presented indirect comparisons of LEB 250 mg Q2W± TCS versus UPA 15 mg ± TCS and 30 mg ± TCS (using placebo as the common comparator) in the severe AD subgroup for the composite outcome (EASI50 and DLQI ≥ 4-point improvement from baseline at Week 16), informed by: </w:t>
      </w:r>
    </w:p>
    <w:p w14:paraId="39466330" w14:textId="77777777" w:rsidR="004779D9" w:rsidRPr="00FE714A" w:rsidRDefault="004779D9" w:rsidP="00A2503D">
      <w:pPr>
        <w:pStyle w:val="3-BodyText"/>
        <w:numPr>
          <w:ilvl w:val="0"/>
          <w:numId w:val="9"/>
        </w:numPr>
      </w:pPr>
      <w:r w:rsidRPr="00FE714A">
        <w:t xml:space="preserve">LEB: monotherapy trials </w:t>
      </w:r>
      <w:proofErr w:type="spellStart"/>
      <w:r w:rsidRPr="00FE714A">
        <w:t>ADvocate</w:t>
      </w:r>
      <w:proofErr w:type="spellEnd"/>
      <w:r w:rsidRPr="00FE714A">
        <w:t xml:space="preserve"> 1 and </w:t>
      </w:r>
      <w:proofErr w:type="spellStart"/>
      <w:r w:rsidRPr="00FE714A">
        <w:t>ADvocate</w:t>
      </w:r>
      <w:proofErr w:type="spellEnd"/>
      <w:r w:rsidRPr="00FE714A">
        <w:t xml:space="preserve"> 2, and combination therapy trial, </w:t>
      </w:r>
      <w:proofErr w:type="spellStart"/>
      <w:r w:rsidRPr="00FE714A">
        <w:t>ADhere</w:t>
      </w:r>
      <w:proofErr w:type="spellEnd"/>
      <w:r w:rsidRPr="00FE714A">
        <w:t xml:space="preserve">; and  </w:t>
      </w:r>
    </w:p>
    <w:p w14:paraId="5C580652" w14:textId="77777777" w:rsidR="004779D9" w:rsidRPr="00FE714A" w:rsidRDefault="004779D9" w:rsidP="00A2503D">
      <w:pPr>
        <w:pStyle w:val="3-BodyText"/>
        <w:numPr>
          <w:ilvl w:val="0"/>
          <w:numId w:val="9"/>
        </w:numPr>
      </w:pPr>
      <w:r w:rsidRPr="00FE714A">
        <w:t>UPA: monotherapy trials Measure UP 1 and Measure UP 2, and combination therapy trial, AD Up (as reported in the UPA PSD, July 2021 PBAC meeting; these trials have previously been considered by the PBAC in the July 2021 submission for UPA).</w:t>
      </w:r>
    </w:p>
    <w:p w14:paraId="37F7687B" w14:textId="751581BF" w:rsidR="004779D9" w:rsidRPr="00FE714A" w:rsidRDefault="004779D9" w:rsidP="00EF6297">
      <w:pPr>
        <w:pStyle w:val="3-BodyText"/>
      </w:pPr>
      <w:r w:rsidRPr="00FE714A">
        <w:t xml:space="preserve">Results of this </w:t>
      </w:r>
      <w:r w:rsidRPr="00FE714A">
        <w:rPr>
          <w:i/>
          <w:iCs/>
        </w:rPr>
        <w:t>post-hoc</w:t>
      </w:r>
      <w:r w:rsidRPr="00FE714A">
        <w:t xml:space="preserve"> analysis are presented in </w:t>
      </w:r>
      <w:r w:rsidRPr="00FE714A">
        <w:fldChar w:fldCharType="begin" w:fldLock="1"/>
      </w:r>
      <w:r w:rsidRPr="00FE714A">
        <w:instrText xml:space="preserve"> REF _Ref155559799 \h </w:instrText>
      </w:r>
      <w:r w:rsidRPr="00FE714A">
        <w:fldChar w:fldCharType="separate"/>
      </w:r>
      <w:r w:rsidR="00B3585E" w:rsidRPr="00FE714A">
        <w:t xml:space="preserve">Table </w:t>
      </w:r>
      <w:r w:rsidR="00B3585E">
        <w:rPr>
          <w:noProof/>
        </w:rPr>
        <w:t>11</w:t>
      </w:r>
      <w:r w:rsidRPr="00FE714A">
        <w:fldChar w:fldCharType="end"/>
      </w:r>
      <w:r w:rsidRPr="00FE714A">
        <w:t xml:space="preserve"> and </w:t>
      </w:r>
      <w:r w:rsidRPr="00FE714A">
        <w:fldChar w:fldCharType="begin" w:fldLock="1"/>
      </w:r>
      <w:r w:rsidRPr="00FE714A">
        <w:instrText xml:space="preserve"> REF _Ref155559801 \h </w:instrText>
      </w:r>
      <w:r w:rsidRPr="00FE714A">
        <w:fldChar w:fldCharType="separate"/>
      </w:r>
      <w:r w:rsidR="00B3585E" w:rsidRPr="00FE714A">
        <w:t xml:space="preserve">Table </w:t>
      </w:r>
      <w:r w:rsidR="00B3585E">
        <w:rPr>
          <w:noProof/>
        </w:rPr>
        <w:t>12</w:t>
      </w:r>
      <w:r w:rsidRPr="00FE714A">
        <w:fldChar w:fldCharType="end"/>
      </w:r>
      <w:r w:rsidRPr="00FE714A">
        <w:t xml:space="preserve">. </w:t>
      </w:r>
    </w:p>
    <w:p w14:paraId="297017B8" w14:textId="3E8CDEED" w:rsidR="004779D9" w:rsidRPr="00FE714A" w:rsidRDefault="004779D9" w:rsidP="0091772A">
      <w:pPr>
        <w:pStyle w:val="Caption"/>
      </w:pPr>
      <w:bookmarkStart w:id="39" w:name="_Ref155559799"/>
      <w:r w:rsidRPr="00FE714A">
        <w:lastRenderedPageBreak/>
        <w:t xml:space="preserve">Table </w:t>
      </w:r>
      <w:r w:rsidR="008B26E3">
        <w:fldChar w:fldCharType="begin" w:fldLock="1"/>
      </w:r>
      <w:r w:rsidR="008B26E3">
        <w:instrText xml:space="preserve"> SEQ Table \* ARABIC </w:instrText>
      </w:r>
      <w:r w:rsidR="008B26E3">
        <w:fldChar w:fldCharType="separate"/>
      </w:r>
      <w:r w:rsidR="00B3585E">
        <w:rPr>
          <w:noProof/>
        </w:rPr>
        <w:t>11</w:t>
      </w:r>
      <w:r w:rsidR="008B26E3">
        <w:rPr>
          <w:noProof/>
        </w:rPr>
        <w:fldChar w:fldCharType="end"/>
      </w:r>
      <w:bookmarkEnd w:id="39"/>
      <w:r w:rsidRPr="00FE714A">
        <w:t>:</w:t>
      </w:r>
      <w:r w:rsidRPr="00FE714A">
        <w:rPr>
          <w:rStyle w:val="CommentReference"/>
          <w:b/>
          <w:szCs w:val="24"/>
        </w:rPr>
        <w:t xml:space="preserve"> ITC in the severe AD subgroup for the composite outcome (all trials pooled, UPA 15 mg; Week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Caption w:val="Table 11: ITC in the severe AD subgroup for the composite outcome (all trials pooled, UPA 15 mg; Week 16)"/>
      </w:tblPr>
      <w:tblGrid>
        <w:gridCol w:w="1837"/>
        <w:gridCol w:w="1278"/>
        <w:gridCol w:w="1279"/>
        <w:gridCol w:w="1279"/>
        <w:gridCol w:w="1672"/>
        <w:gridCol w:w="1672"/>
      </w:tblGrid>
      <w:tr w:rsidR="004779D9" w:rsidRPr="00FE714A" w14:paraId="34217AD5" w14:textId="77777777" w:rsidTr="00DB2033">
        <w:trPr>
          <w:cantSplit/>
          <w:trHeight w:val="20"/>
          <w:tblHeader/>
        </w:trPr>
        <w:tc>
          <w:tcPr>
            <w:tcW w:w="1019" w:type="pct"/>
            <w:vMerge w:val="restart"/>
            <w:tcBorders>
              <w:right w:val="single" w:sz="4" w:space="0" w:color="auto"/>
            </w:tcBorders>
            <w:shd w:val="clear" w:color="auto" w:fill="auto"/>
            <w:tcMar>
              <w:left w:w="57" w:type="dxa"/>
              <w:right w:w="57" w:type="dxa"/>
            </w:tcMar>
            <w:vAlign w:val="center"/>
          </w:tcPr>
          <w:p w14:paraId="4C4AA9F0" w14:textId="77777777" w:rsidR="004779D9" w:rsidRPr="00FE714A" w:rsidRDefault="004779D9" w:rsidP="0091772A">
            <w:pPr>
              <w:keepNext/>
              <w:keepLines/>
              <w:jc w:val="center"/>
              <w:rPr>
                <w:rFonts w:ascii="Arial Narrow" w:hAnsi="Arial Narrow"/>
                <w:sz w:val="20"/>
                <w:szCs w:val="20"/>
              </w:rPr>
            </w:pP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67662996"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b/>
                <w:bCs/>
                <w:sz w:val="20"/>
                <w:szCs w:val="20"/>
              </w:rPr>
              <w:t>LEB 250 mg Q2W ± TCS</w:t>
            </w: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555651AF"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b/>
                <w:bCs/>
                <w:sz w:val="20"/>
                <w:szCs w:val="20"/>
              </w:rPr>
              <w:t>PBO ± TCS</w:t>
            </w:r>
          </w:p>
        </w:tc>
        <w:tc>
          <w:tcPr>
            <w:tcW w:w="709" w:type="pct"/>
            <w:vMerge w:val="restart"/>
            <w:tcBorders>
              <w:left w:val="single" w:sz="4" w:space="0" w:color="auto"/>
              <w:right w:val="single" w:sz="4" w:space="0" w:color="auto"/>
            </w:tcBorders>
            <w:shd w:val="clear" w:color="auto" w:fill="auto"/>
            <w:vAlign w:val="center"/>
          </w:tcPr>
          <w:p w14:paraId="6B887984"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UPA 15 mg ± TCS</w:t>
            </w:r>
          </w:p>
        </w:tc>
        <w:tc>
          <w:tcPr>
            <w:tcW w:w="927" w:type="pct"/>
            <w:tcBorders>
              <w:left w:val="single" w:sz="4" w:space="0" w:color="auto"/>
              <w:right w:val="single" w:sz="4" w:space="0" w:color="auto"/>
            </w:tcBorders>
            <w:shd w:val="clear" w:color="auto" w:fill="auto"/>
            <w:tcMar>
              <w:left w:w="57" w:type="dxa"/>
              <w:right w:w="57" w:type="dxa"/>
            </w:tcMar>
            <w:vAlign w:val="center"/>
          </w:tcPr>
          <w:p w14:paraId="6DAAC013"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RR (95% CI)</w:t>
            </w:r>
          </w:p>
        </w:tc>
        <w:tc>
          <w:tcPr>
            <w:tcW w:w="927" w:type="pct"/>
            <w:tcBorders>
              <w:left w:val="single" w:sz="4" w:space="0" w:color="auto"/>
            </w:tcBorders>
            <w:shd w:val="clear" w:color="auto" w:fill="auto"/>
            <w:tcMar>
              <w:left w:w="57" w:type="dxa"/>
              <w:right w:w="57" w:type="dxa"/>
            </w:tcMar>
            <w:vAlign w:val="center"/>
          </w:tcPr>
          <w:p w14:paraId="4A97944F"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584896B2" w14:textId="77777777" w:rsidTr="00DB2033">
        <w:trPr>
          <w:cantSplit/>
          <w:trHeight w:val="20"/>
        </w:trPr>
        <w:tc>
          <w:tcPr>
            <w:tcW w:w="1019" w:type="pct"/>
            <w:vMerge/>
            <w:tcBorders>
              <w:right w:val="single" w:sz="4" w:space="0" w:color="auto"/>
            </w:tcBorders>
            <w:shd w:val="clear" w:color="auto" w:fill="auto"/>
            <w:tcMar>
              <w:left w:w="57" w:type="dxa"/>
              <w:right w:w="57" w:type="dxa"/>
            </w:tcMar>
            <w:vAlign w:val="center"/>
          </w:tcPr>
          <w:p w14:paraId="037218F2" w14:textId="77777777" w:rsidR="004779D9" w:rsidRPr="00FE714A" w:rsidRDefault="004779D9" w:rsidP="0091772A">
            <w:pPr>
              <w:keepNext/>
              <w:keepLines/>
              <w:jc w:val="left"/>
              <w:rPr>
                <w:rFonts w:ascii="Arial Narrow" w:hAnsi="Arial Narrow"/>
                <w:b/>
                <w:bCs/>
                <w:sz w:val="20"/>
                <w:szCs w:val="20"/>
              </w:rPr>
            </w:pPr>
          </w:p>
        </w:tc>
        <w:tc>
          <w:tcPr>
            <w:tcW w:w="709" w:type="pct"/>
            <w:vMerge/>
            <w:tcBorders>
              <w:left w:val="single" w:sz="4" w:space="0" w:color="auto"/>
            </w:tcBorders>
            <w:shd w:val="clear" w:color="auto" w:fill="auto"/>
            <w:tcMar>
              <w:left w:w="57" w:type="dxa"/>
              <w:right w:w="57" w:type="dxa"/>
            </w:tcMar>
            <w:vAlign w:val="center"/>
          </w:tcPr>
          <w:p w14:paraId="4B33AE0A" w14:textId="77777777" w:rsidR="004779D9" w:rsidRPr="00FE714A" w:rsidRDefault="004779D9" w:rsidP="0091772A">
            <w:pPr>
              <w:keepNext/>
              <w:keepLines/>
              <w:jc w:val="center"/>
              <w:rPr>
                <w:rFonts w:ascii="Arial Narrow" w:hAnsi="Arial Narrow"/>
                <w:b/>
                <w:bCs/>
                <w:sz w:val="20"/>
                <w:szCs w:val="20"/>
              </w:rPr>
            </w:pPr>
          </w:p>
        </w:tc>
        <w:tc>
          <w:tcPr>
            <w:tcW w:w="709" w:type="pct"/>
            <w:vMerge/>
            <w:shd w:val="clear" w:color="auto" w:fill="auto"/>
            <w:tcMar>
              <w:left w:w="57" w:type="dxa"/>
              <w:right w:w="57" w:type="dxa"/>
            </w:tcMar>
            <w:vAlign w:val="center"/>
          </w:tcPr>
          <w:p w14:paraId="18A8A355" w14:textId="77777777" w:rsidR="004779D9" w:rsidRPr="00FE714A" w:rsidRDefault="004779D9" w:rsidP="0091772A">
            <w:pPr>
              <w:keepNext/>
              <w:keepLines/>
              <w:jc w:val="center"/>
              <w:rPr>
                <w:rFonts w:ascii="Arial Narrow" w:hAnsi="Arial Narrow"/>
                <w:b/>
                <w:bCs/>
                <w:sz w:val="20"/>
                <w:szCs w:val="20"/>
              </w:rPr>
            </w:pPr>
          </w:p>
        </w:tc>
        <w:tc>
          <w:tcPr>
            <w:tcW w:w="709" w:type="pct"/>
            <w:vMerge/>
            <w:shd w:val="clear" w:color="auto" w:fill="auto"/>
            <w:vAlign w:val="center"/>
          </w:tcPr>
          <w:p w14:paraId="188EA45C" w14:textId="77777777" w:rsidR="004779D9" w:rsidRPr="00FE714A" w:rsidRDefault="004779D9" w:rsidP="0091772A">
            <w:pPr>
              <w:keepNext/>
              <w:keepLines/>
              <w:jc w:val="center"/>
              <w:rPr>
                <w:rFonts w:ascii="Arial Narrow" w:hAnsi="Arial Narrow"/>
                <w:b/>
                <w:bCs/>
                <w:sz w:val="20"/>
                <w:szCs w:val="20"/>
              </w:rPr>
            </w:pPr>
          </w:p>
        </w:tc>
        <w:tc>
          <w:tcPr>
            <w:tcW w:w="1854" w:type="pct"/>
            <w:gridSpan w:val="2"/>
            <w:shd w:val="clear" w:color="auto" w:fill="auto"/>
            <w:vAlign w:val="center"/>
          </w:tcPr>
          <w:p w14:paraId="334424E8"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Active treatment ± TCS vs PBO ± TCS</w:t>
            </w:r>
          </w:p>
        </w:tc>
      </w:tr>
      <w:tr w:rsidR="004779D9" w:rsidRPr="00FE714A" w14:paraId="4395F876" w14:textId="77777777" w:rsidTr="00DB2033">
        <w:trPr>
          <w:cantSplit/>
          <w:trHeight w:val="20"/>
        </w:trPr>
        <w:tc>
          <w:tcPr>
            <w:tcW w:w="1019" w:type="pct"/>
            <w:shd w:val="clear" w:color="auto" w:fill="auto"/>
            <w:tcMar>
              <w:left w:w="57" w:type="dxa"/>
              <w:right w:w="57" w:type="dxa"/>
            </w:tcMar>
            <w:vAlign w:val="center"/>
          </w:tcPr>
          <w:p w14:paraId="73CA1044" w14:textId="77777777" w:rsidR="004779D9" w:rsidRPr="00FE714A" w:rsidRDefault="004779D9" w:rsidP="0091772A">
            <w:pPr>
              <w:keepNext/>
              <w:keepLines/>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1</w:t>
            </w:r>
          </w:p>
        </w:tc>
        <w:tc>
          <w:tcPr>
            <w:tcW w:w="709" w:type="pct"/>
            <w:shd w:val="clear" w:color="auto" w:fill="auto"/>
            <w:tcMar>
              <w:left w:w="57" w:type="dxa"/>
              <w:right w:w="57" w:type="dxa"/>
            </w:tcMar>
          </w:tcPr>
          <w:p w14:paraId="29DEE63C"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46/82 (56.1)</w:t>
            </w:r>
          </w:p>
        </w:tc>
        <w:tc>
          <w:tcPr>
            <w:tcW w:w="709" w:type="pct"/>
            <w:shd w:val="clear" w:color="auto" w:fill="auto"/>
            <w:tcMar>
              <w:left w:w="57" w:type="dxa"/>
              <w:right w:w="57" w:type="dxa"/>
            </w:tcMar>
          </w:tcPr>
          <w:p w14:paraId="67334411"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4/41 (9.8)</w:t>
            </w:r>
          </w:p>
        </w:tc>
        <w:tc>
          <w:tcPr>
            <w:tcW w:w="709" w:type="pct"/>
            <w:shd w:val="clear" w:color="auto" w:fill="auto"/>
            <w:vAlign w:val="center"/>
          </w:tcPr>
          <w:p w14:paraId="34C729D3"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w:t>
            </w:r>
          </w:p>
        </w:tc>
        <w:tc>
          <w:tcPr>
            <w:tcW w:w="927" w:type="pct"/>
            <w:shd w:val="clear" w:color="auto" w:fill="auto"/>
            <w:tcMar>
              <w:left w:w="57" w:type="dxa"/>
              <w:right w:w="57" w:type="dxa"/>
            </w:tcMar>
          </w:tcPr>
          <w:p w14:paraId="579C61D6"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b/>
                <w:bCs/>
                <w:sz w:val="20"/>
                <w:szCs w:val="20"/>
              </w:rPr>
              <w:t>5.8 (2.2, 14.9)</w:t>
            </w:r>
          </w:p>
        </w:tc>
        <w:tc>
          <w:tcPr>
            <w:tcW w:w="927" w:type="pct"/>
            <w:shd w:val="clear" w:color="auto" w:fill="auto"/>
            <w:tcMar>
              <w:left w:w="57" w:type="dxa"/>
              <w:right w:w="57" w:type="dxa"/>
            </w:tcMar>
          </w:tcPr>
          <w:p w14:paraId="256234F2"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b/>
                <w:bCs/>
                <w:sz w:val="20"/>
                <w:szCs w:val="20"/>
              </w:rPr>
              <w:t>0.46 (0.32, 0.60)</w:t>
            </w:r>
          </w:p>
        </w:tc>
      </w:tr>
      <w:tr w:rsidR="004779D9" w:rsidRPr="00FE714A" w14:paraId="2451F625" w14:textId="77777777" w:rsidTr="00DB2033">
        <w:trPr>
          <w:cantSplit/>
          <w:trHeight w:val="20"/>
        </w:trPr>
        <w:tc>
          <w:tcPr>
            <w:tcW w:w="1019" w:type="pct"/>
            <w:shd w:val="clear" w:color="auto" w:fill="auto"/>
            <w:tcMar>
              <w:left w:w="57" w:type="dxa"/>
              <w:right w:w="57" w:type="dxa"/>
            </w:tcMar>
            <w:vAlign w:val="center"/>
          </w:tcPr>
          <w:p w14:paraId="6B69AAD2" w14:textId="77777777" w:rsidR="004779D9" w:rsidRPr="00FE714A" w:rsidRDefault="004779D9" w:rsidP="0091772A">
            <w:pPr>
              <w:keepNext/>
              <w:keepLines/>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2</w:t>
            </w:r>
          </w:p>
        </w:tc>
        <w:tc>
          <w:tcPr>
            <w:tcW w:w="709" w:type="pct"/>
            <w:shd w:val="clear" w:color="auto" w:fill="auto"/>
            <w:tcMar>
              <w:left w:w="57" w:type="dxa"/>
              <w:right w:w="57" w:type="dxa"/>
            </w:tcMar>
          </w:tcPr>
          <w:p w14:paraId="4FCB1FF7"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35/75 (46.7)</w:t>
            </w:r>
          </w:p>
        </w:tc>
        <w:tc>
          <w:tcPr>
            <w:tcW w:w="709" w:type="pct"/>
            <w:shd w:val="clear" w:color="auto" w:fill="auto"/>
            <w:tcMar>
              <w:left w:w="57" w:type="dxa"/>
              <w:right w:w="57" w:type="dxa"/>
            </w:tcMar>
          </w:tcPr>
          <w:p w14:paraId="3E96334D"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6/42 (14.3)</w:t>
            </w:r>
          </w:p>
        </w:tc>
        <w:tc>
          <w:tcPr>
            <w:tcW w:w="709" w:type="pct"/>
            <w:shd w:val="clear" w:color="auto" w:fill="auto"/>
            <w:vAlign w:val="center"/>
          </w:tcPr>
          <w:p w14:paraId="233AF262"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w:t>
            </w:r>
          </w:p>
        </w:tc>
        <w:tc>
          <w:tcPr>
            <w:tcW w:w="927" w:type="pct"/>
            <w:shd w:val="clear" w:color="auto" w:fill="auto"/>
            <w:tcMar>
              <w:left w:w="57" w:type="dxa"/>
              <w:right w:w="57" w:type="dxa"/>
            </w:tcMar>
          </w:tcPr>
          <w:p w14:paraId="2771522D"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b/>
                <w:bCs/>
                <w:sz w:val="20"/>
                <w:szCs w:val="20"/>
              </w:rPr>
              <w:t>3.3 (1.5, 7.1)</w:t>
            </w:r>
          </w:p>
        </w:tc>
        <w:tc>
          <w:tcPr>
            <w:tcW w:w="927" w:type="pct"/>
            <w:shd w:val="clear" w:color="auto" w:fill="auto"/>
            <w:tcMar>
              <w:left w:w="57" w:type="dxa"/>
              <w:right w:w="57" w:type="dxa"/>
            </w:tcMar>
          </w:tcPr>
          <w:p w14:paraId="416A4125"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b/>
                <w:bCs/>
                <w:sz w:val="20"/>
                <w:szCs w:val="20"/>
              </w:rPr>
              <w:t>0.32 (0.17, 0.48)</w:t>
            </w:r>
          </w:p>
        </w:tc>
      </w:tr>
      <w:tr w:rsidR="004779D9" w:rsidRPr="00FE714A" w14:paraId="5613FF23" w14:textId="77777777" w:rsidTr="00DB2033">
        <w:trPr>
          <w:cantSplit/>
          <w:trHeight w:val="20"/>
        </w:trPr>
        <w:tc>
          <w:tcPr>
            <w:tcW w:w="1019" w:type="pct"/>
            <w:shd w:val="clear" w:color="auto" w:fill="auto"/>
            <w:tcMar>
              <w:left w:w="57" w:type="dxa"/>
              <w:right w:w="57" w:type="dxa"/>
            </w:tcMar>
            <w:vAlign w:val="center"/>
          </w:tcPr>
          <w:p w14:paraId="775CAAC7" w14:textId="77777777" w:rsidR="004779D9" w:rsidRPr="00FE714A" w:rsidRDefault="004779D9" w:rsidP="0091772A">
            <w:pPr>
              <w:keepNext/>
              <w:keepLines/>
              <w:jc w:val="left"/>
              <w:rPr>
                <w:rFonts w:ascii="Arial Narrow" w:hAnsi="Arial Narrow"/>
                <w:sz w:val="20"/>
                <w:szCs w:val="20"/>
              </w:rPr>
            </w:pPr>
            <w:proofErr w:type="spellStart"/>
            <w:r w:rsidRPr="00FE714A">
              <w:rPr>
                <w:rFonts w:ascii="Arial Narrow" w:hAnsi="Arial Narrow"/>
                <w:sz w:val="20"/>
                <w:szCs w:val="20"/>
              </w:rPr>
              <w:t>ADhere</w:t>
            </w:r>
            <w:proofErr w:type="spellEnd"/>
            <w:r w:rsidRPr="00FE714A">
              <w:rPr>
                <w:rFonts w:ascii="Arial Narrow" w:hAnsi="Arial Narrow"/>
                <w:sz w:val="20"/>
                <w:szCs w:val="20"/>
              </w:rPr>
              <w:t xml:space="preserve"> </w:t>
            </w:r>
          </w:p>
        </w:tc>
        <w:tc>
          <w:tcPr>
            <w:tcW w:w="709" w:type="pct"/>
            <w:shd w:val="clear" w:color="auto" w:fill="auto"/>
            <w:tcMar>
              <w:left w:w="57" w:type="dxa"/>
              <w:right w:w="57" w:type="dxa"/>
            </w:tcMar>
          </w:tcPr>
          <w:p w14:paraId="39107D1E"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14/23 (60.9)</w:t>
            </w:r>
          </w:p>
        </w:tc>
        <w:tc>
          <w:tcPr>
            <w:tcW w:w="709" w:type="pct"/>
            <w:shd w:val="clear" w:color="auto" w:fill="auto"/>
            <w:tcMar>
              <w:left w:w="57" w:type="dxa"/>
              <w:right w:w="57" w:type="dxa"/>
            </w:tcMar>
          </w:tcPr>
          <w:p w14:paraId="489CC63C"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2/6 (33.3)</w:t>
            </w:r>
          </w:p>
        </w:tc>
        <w:tc>
          <w:tcPr>
            <w:tcW w:w="709" w:type="pct"/>
            <w:shd w:val="clear" w:color="auto" w:fill="auto"/>
            <w:vAlign w:val="center"/>
          </w:tcPr>
          <w:p w14:paraId="416DB993"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w:t>
            </w:r>
          </w:p>
        </w:tc>
        <w:tc>
          <w:tcPr>
            <w:tcW w:w="927" w:type="pct"/>
            <w:shd w:val="clear" w:color="auto" w:fill="auto"/>
            <w:tcMar>
              <w:left w:w="57" w:type="dxa"/>
              <w:right w:w="57" w:type="dxa"/>
            </w:tcMar>
          </w:tcPr>
          <w:p w14:paraId="297504B6"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1.8 (0.6, 5.9)</w:t>
            </w:r>
          </w:p>
        </w:tc>
        <w:tc>
          <w:tcPr>
            <w:tcW w:w="927" w:type="pct"/>
            <w:shd w:val="clear" w:color="auto" w:fill="auto"/>
            <w:tcMar>
              <w:left w:w="57" w:type="dxa"/>
              <w:right w:w="57" w:type="dxa"/>
            </w:tcMar>
          </w:tcPr>
          <w:p w14:paraId="09427876"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0.28 (</w:t>
            </w:r>
            <w:r w:rsidRPr="00FE714A">
              <w:rPr>
                <w:rFonts w:ascii="Arial Narrow" w:hAnsi="Arial Narrow"/>
                <w:sz w:val="20"/>
                <w:szCs w:val="20"/>
              </w:rPr>
              <w:noBreakHyphen/>
              <w:t>0.15, 0.70)</w:t>
            </w:r>
          </w:p>
        </w:tc>
      </w:tr>
      <w:tr w:rsidR="004779D9" w:rsidRPr="00FE714A" w14:paraId="1BC019B5" w14:textId="77777777" w:rsidTr="00DB2033">
        <w:trPr>
          <w:cantSplit/>
          <w:trHeight w:val="20"/>
        </w:trPr>
        <w:tc>
          <w:tcPr>
            <w:tcW w:w="1019" w:type="pct"/>
            <w:shd w:val="clear" w:color="auto" w:fill="auto"/>
            <w:tcMar>
              <w:left w:w="57" w:type="dxa"/>
              <w:right w:w="57" w:type="dxa"/>
            </w:tcMar>
            <w:vAlign w:val="center"/>
          </w:tcPr>
          <w:p w14:paraId="582FCB5D" w14:textId="77777777" w:rsidR="004779D9" w:rsidRPr="00FE714A" w:rsidRDefault="004779D9" w:rsidP="0091772A">
            <w:pPr>
              <w:keepNext/>
              <w:keepLines/>
              <w:jc w:val="left"/>
              <w:rPr>
                <w:rFonts w:ascii="Arial Narrow" w:hAnsi="Arial Narrow"/>
                <w:sz w:val="20"/>
                <w:szCs w:val="20"/>
              </w:rPr>
            </w:pPr>
            <w:r w:rsidRPr="00FE714A">
              <w:rPr>
                <w:rFonts w:ascii="Arial Narrow" w:hAnsi="Arial Narrow"/>
                <w:sz w:val="20"/>
                <w:szCs w:val="20"/>
              </w:rPr>
              <w:t>LEB trials pooled</w:t>
            </w:r>
          </w:p>
        </w:tc>
        <w:tc>
          <w:tcPr>
            <w:tcW w:w="709" w:type="pct"/>
            <w:shd w:val="clear" w:color="auto" w:fill="auto"/>
            <w:tcMar>
              <w:left w:w="57" w:type="dxa"/>
              <w:right w:w="57" w:type="dxa"/>
            </w:tcMar>
          </w:tcPr>
          <w:p w14:paraId="3C998CF8"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95/180 (52.8)</w:t>
            </w:r>
          </w:p>
        </w:tc>
        <w:tc>
          <w:tcPr>
            <w:tcW w:w="709" w:type="pct"/>
            <w:shd w:val="clear" w:color="auto" w:fill="auto"/>
            <w:tcMar>
              <w:left w:w="57" w:type="dxa"/>
              <w:right w:w="57" w:type="dxa"/>
            </w:tcMar>
          </w:tcPr>
          <w:p w14:paraId="69C1EC4B"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12/89 (13.5)</w:t>
            </w:r>
          </w:p>
        </w:tc>
        <w:tc>
          <w:tcPr>
            <w:tcW w:w="709" w:type="pct"/>
            <w:shd w:val="clear" w:color="auto" w:fill="auto"/>
            <w:vAlign w:val="center"/>
          </w:tcPr>
          <w:p w14:paraId="4F92F028"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w:t>
            </w:r>
          </w:p>
        </w:tc>
        <w:tc>
          <w:tcPr>
            <w:tcW w:w="927" w:type="pct"/>
            <w:shd w:val="clear" w:color="auto" w:fill="auto"/>
            <w:tcMar>
              <w:left w:w="57" w:type="dxa"/>
              <w:right w:w="57" w:type="dxa"/>
            </w:tcMar>
          </w:tcPr>
          <w:p w14:paraId="5314127C"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b/>
                <w:bCs/>
                <w:sz w:val="20"/>
                <w:szCs w:val="20"/>
              </w:rPr>
              <w:t>3.45 (1.91, 6.22)</w:t>
            </w:r>
          </w:p>
        </w:tc>
        <w:tc>
          <w:tcPr>
            <w:tcW w:w="927" w:type="pct"/>
            <w:shd w:val="clear" w:color="auto" w:fill="auto"/>
            <w:tcMar>
              <w:left w:w="57" w:type="dxa"/>
              <w:right w:w="57" w:type="dxa"/>
            </w:tcMar>
          </w:tcPr>
          <w:p w14:paraId="441604BA"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b/>
                <w:bCs/>
                <w:sz w:val="20"/>
                <w:szCs w:val="20"/>
              </w:rPr>
              <w:t>0.39 (0.29, 0.50)</w:t>
            </w:r>
          </w:p>
        </w:tc>
      </w:tr>
      <w:tr w:rsidR="004779D9" w:rsidRPr="00FE714A" w14:paraId="571CA73E" w14:textId="77777777" w:rsidTr="00DB2033">
        <w:trPr>
          <w:cantSplit/>
          <w:trHeight w:val="20"/>
        </w:trPr>
        <w:tc>
          <w:tcPr>
            <w:tcW w:w="1019" w:type="pct"/>
            <w:shd w:val="clear" w:color="auto" w:fill="B8CCE4" w:themeFill="accent1" w:themeFillTint="66"/>
            <w:tcMar>
              <w:left w:w="57" w:type="dxa"/>
              <w:right w:w="57" w:type="dxa"/>
            </w:tcMar>
          </w:tcPr>
          <w:p w14:paraId="33A6E8D5" w14:textId="77777777" w:rsidR="004779D9" w:rsidRPr="00FE714A" w:rsidRDefault="004779D9" w:rsidP="0091772A">
            <w:pPr>
              <w:keepNext/>
              <w:keepLines/>
              <w:jc w:val="left"/>
              <w:rPr>
                <w:rFonts w:ascii="Arial Narrow" w:hAnsi="Arial Narrow"/>
                <w:sz w:val="20"/>
                <w:szCs w:val="20"/>
              </w:rPr>
            </w:pPr>
            <w:r w:rsidRPr="00FE714A">
              <w:rPr>
                <w:rFonts w:ascii="Arial Narrow" w:hAnsi="Arial Narrow"/>
                <w:sz w:val="20"/>
                <w:szCs w:val="20"/>
              </w:rPr>
              <w:t xml:space="preserve">MEASURE UP 1 </w:t>
            </w:r>
            <w:r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253EF013"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7A8CC152"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eastAsia="Calibri" w:hAnsi="Arial Narrow"/>
                <w:sz w:val="20"/>
                <w:szCs w:val="20"/>
              </w:rPr>
              <w:t>1/21 (4.8)</w:t>
            </w:r>
          </w:p>
        </w:tc>
        <w:tc>
          <w:tcPr>
            <w:tcW w:w="709" w:type="pct"/>
            <w:shd w:val="clear" w:color="auto" w:fill="B8CCE4" w:themeFill="accent1" w:themeFillTint="66"/>
          </w:tcPr>
          <w:p w14:paraId="04E15E61"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15/26 (57.7)</w:t>
            </w:r>
          </w:p>
        </w:tc>
        <w:tc>
          <w:tcPr>
            <w:tcW w:w="927" w:type="pct"/>
            <w:shd w:val="clear" w:color="auto" w:fill="B8CCE4" w:themeFill="accent1" w:themeFillTint="66"/>
            <w:tcMar>
              <w:left w:w="57" w:type="dxa"/>
              <w:right w:w="57" w:type="dxa"/>
            </w:tcMar>
          </w:tcPr>
          <w:p w14:paraId="54EE5ED1"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12.1 (1.7, 84.4)</w:t>
            </w:r>
          </w:p>
        </w:tc>
        <w:tc>
          <w:tcPr>
            <w:tcW w:w="927" w:type="pct"/>
            <w:shd w:val="clear" w:color="auto" w:fill="B8CCE4" w:themeFill="accent1" w:themeFillTint="66"/>
            <w:tcMar>
              <w:left w:w="57" w:type="dxa"/>
              <w:right w:w="57" w:type="dxa"/>
            </w:tcMar>
          </w:tcPr>
          <w:p w14:paraId="57B85EE0"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0.53 (0.32, 0.74)</w:t>
            </w:r>
          </w:p>
        </w:tc>
      </w:tr>
      <w:tr w:rsidR="004779D9" w:rsidRPr="00FE714A" w14:paraId="67349655" w14:textId="77777777" w:rsidTr="00DB2033">
        <w:trPr>
          <w:cantSplit/>
          <w:trHeight w:val="20"/>
        </w:trPr>
        <w:tc>
          <w:tcPr>
            <w:tcW w:w="1019" w:type="pct"/>
            <w:shd w:val="clear" w:color="auto" w:fill="B8CCE4" w:themeFill="accent1" w:themeFillTint="66"/>
            <w:tcMar>
              <w:left w:w="57" w:type="dxa"/>
              <w:right w:w="57" w:type="dxa"/>
            </w:tcMar>
          </w:tcPr>
          <w:p w14:paraId="0148D6A2" w14:textId="77777777" w:rsidR="004779D9" w:rsidRPr="00FE714A" w:rsidRDefault="004779D9" w:rsidP="0091772A">
            <w:pPr>
              <w:keepNext/>
              <w:keepLines/>
              <w:jc w:val="left"/>
              <w:rPr>
                <w:rFonts w:ascii="Arial Narrow" w:hAnsi="Arial Narrow"/>
                <w:sz w:val="20"/>
                <w:szCs w:val="20"/>
              </w:rPr>
            </w:pPr>
            <w:r w:rsidRPr="00FE714A">
              <w:rPr>
                <w:rFonts w:ascii="Arial Narrow" w:hAnsi="Arial Narrow"/>
                <w:sz w:val="20"/>
                <w:szCs w:val="20"/>
              </w:rPr>
              <w:t xml:space="preserve">MEASURE UP 2 </w:t>
            </w:r>
            <w:r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625EC7E9" w14:textId="77777777" w:rsidR="004779D9" w:rsidRPr="00FE714A" w:rsidRDefault="004779D9" w:rsidP="0091772A">
            <w:pPr>
              <w:keepNext/>
              <w:keepLines/>
              <w:jc w:val="center"/>
              <w:rPr>
                <w:rFonts w:ascii="Arial Narrow" w:eastAsia="Calibri" w:hAnsi="Arial Narrow"/>
                <w:sz w:val="20"/>
                <w:szCs w:val="20"/>
              </w:rPr>
            </w:pPr>
          </w:p>
        </w:tc>
        <w:tc>
          <w:tcPr>
            <w:tcW w:w="709" w:type="pct"/>
            <w:shd w:val="clear" w:color="auto" w:fill="B8CCE4" w:themeFill="accent1" w:themeFillTint="66"/>
            <w:tcMar>
              <w:left w:w="57" w:type="dxa"/>
              <w:right w:w="57" w:type="dxa"/>
            </w:tcMar>
          </w:tcPr>
          <w:p w14:paraId="69282549"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eastAsia="Calibri" w:hAnsi="Arial Narrow"/>
                <w:sz w:val="20"/>
                <w:szCs w:val="20"/>
              </w:rPr>
              <w:t>2/43 (4.7)</w:t>
            </w:r>
          </w:p>
        </w:tc>
        <w:tc>
          <w:tcPr>
            <w:tcW w:w="709" w:type="pct"/>
            <w:shd w:val="clear" w:color="auto" w:fill="B8CCE4" w:themeFill="accent1" w:themeFillTint="66"/>
          </w:tcPr>
          <w:p w14:paraId="442B5F8D"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30/41 (73.2)</w:t>
            </w:r>
          </w:p>
        </w:tc>
        <w:tc>
          <w:tcPr>
            <w:tcW w:w="927" w:type="pct"/>
            <w:shd w:val="clear" w:color="auto" w:fill="B8CCE4" w:themeFill="accent1" w:themeFillTint="66"/>
            <w:tcMar>
              <w:left w:w="57" w:type="dxa"/>
              <w:right w:w="57" w:type="dxa"/>
            </w:tcMar>
          </w:tcPr>
          <w:p w14:paraId="4EFD6BA1"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15.7 (4.0, 61.7)</w:t>
            </w:r>
          </w:p>
        </w:tc>
        <w:tc>
          <w:tcPr>
            <w:tcW w:w="927" w:type="pct"/>
            <w:shd w:val="clear" w:color="auto" w:fill="B8CCE4" w:themeFill="accent1" w:themeFillTint="66"/>
            <w:tcMar>
              <w:left w:w="57" w:type="dxa"/>
              <w:right w:w="57" w:type="dxa"/>
            </w:tcMar>
          </w:tcPr>
          <w:p w14:paraId="6B16DD4C"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0.69 (0.54, 0.83)</w:t>
            </w:r>
          </w:p>
        </w:tc>
      </w:tr>
      <w:tr w:rsidR="004779D9" w:rsidRPr="00FE714A" w14:paraId="4F4CA5B1" w14:textId="77777777" w:rsidTr="00DB2033">
        <w:trPr>
          <w:cantSplit/>
          <w:trHeight w:val="20"/>
        </w:trPr>
        <w:tc>
          <w:tcPr>
            <w:tcW w:w="1019" w:type="pct"/>
            <w:shd w:val="clear" w:color="auto" w:fill="B8CCE4" w:themeFill="accent1" w:themeFillTint="66"/>
            <w:tcMar>
              <w:left w:w="57" w:type="dxa"/>
              <w:right w:w="57" w:type="dxa"/>
            </w:tcMar>
          </w:tcPr>
          <w:p w14:paraId="6778201B" w14:textId="77777777" w:rsidR="004779D9" w:rsidRPr="00FE714A" w:rsidRDefault="004779D9" w:rsidP="0091772A">
            <w:pPr>
              <w:keepNext/>
              <w:keepLines/>
              <w:jc w:val="left"/>
              <w:rPr>
                <w:rFonts w:ascii="Arial Narrow" w:hAnsi="Arial Narrow"/>
                <w:sz w:val="20"/>
                <w:szCs w:val="20"/>
              </w:rPr>
            </w:pPr>
            <w:r w:rsidRPr="00FE714A">
              <w:rPr>
                <w:rFonts w:ascii="Arial Narrow" w:hAnsi="Arial Narrow"/>
                <w:sz w:val="20"/>
                <w:szCs w:val="20"/>
              </w:rPr>
              <w:t xml:space="preserve">AD UP </w:t>
            </w:r>
            <w:r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067494DD"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417F88B9"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eastAsia="Calibri" w:hAnsi="Arial Narrow"/>
                <w:sz w:val="20"/>
                <w:szCs w:val="20"/>
              </w:rPr>
              <w:t>9/34 (26.5)</w:t>
            </w:r>
          </w:p>
        </w:tc>
        <w:tc>
          <w:tcPr>
            <w:tcW w:w="709" w:type="pct"/>
            <w:shd w:val="clear" w:color="auto" w:fill="B8CCE4" w:themeFill="accent1" w:themeFillTint="66"/>
          </w:tcPr>
          <w:p w14:paraId="54AD0203"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23/31 (74.2)</w:t>
            </w:r>
          </w:p>
        </w:tc>
        <w:tc>
          <w:tcPr>
            <w:tcW w:w="927" w:type="pct"/>
            <w:shd w:val="clear" w:color="auto" w:fill="B8CCE4" w:themeFill="accent1" w:themeFillTint="66"/>
            <w:tcMar>
              <w:left w:w="57" w:type="dxa"/>
              <w:right w:w="57" w:type="dxa"/>
            </w:tcMar>
          </w:tcPr>
          <w:p w14:paraId="0C332102"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2.8 (1.5, 5.1)</w:t>
            </w:r>
          </w:p>
        </w:tc>
        <w:tc>
          <w:tcPr>
            <w:tcW w:w="927" w:type="pct"/>
            <w:shd w:val="clear" w:color="auto" w:fill="B8CCE4" w:themeFill="accent1" w:themeFillTint="66"/>
            <w:tcMar>
              <w:left w:w="57" w:type="dxa"/>
              <w:right w:w="57" w:type="dxa"/>
            </w:tcMar>
          </w:tcPr>
          <w:p w14:paraId="2085FD21"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0.48 (0.26, 0.69)</w:t>
            </w:r>
          </w:p>
        </w:tc>
      </w:tr>
      <w:tr w:rsidR="004779D9" w:rsidRPr="00FE714A" w14:paraId="2AA9FC55" w14:textId="77777777" w:rsidTr="00DB2033">
        <w:trPr>
          <w:cantSplit/>
          <w:trHeight w:val="20"/>
        </w:trPr>
        <w:tc>
          <w:tcPr>
            <w:tcW w:w="1019" w:type="pct"/>
            <w:shd w:val="clear" w:color="auto" w:fill="B8CCE4" w:themeFill="accent1" w:themeFillTint="66"/>
            <w:tcMar>
              <w:left w:w="57" w:type="dxa"/>
              <w:right w:w="57" w:type="dxa"/>
            </w:tcMar>
          </w:tcPr>
          <w:p w14:paraId="4A7D54D0" w14:textId="77777777" w:rsidR="004779D9" w:rsidRPr="00FE714A" w:rsidRDefault="004779D9" w:rsidP="0091772A">
            <w:pPr>
              <w:keepNext/>
              <w:keepLines/>
              <w:jc w:val="left"/>
              <w:rPr>
                <w:rFonts w:ascii="Arial Narrow" w:hAnsi="Arial Narrow"/>
                <w:sz w:val="20"/>
                <w:szCs w:val="20"/>
              </w:rPr>
            </w:pPr>
            <w:r w:rsidRPr="00FE714A">
              <w:rPr>
                <w:rFonts w:ascii="Arial Narrow" w:hAnsi="Arial Narrow"/>
                <w:sz w:val="20"/>
                <w:szCs w:val="20"/>
              </w:rPr>
              <w:t xml:space="preserve">MEASURE UP 1 </w:t>
            </w:r>
            <w:r w:rsidRPr="00FE714A">
              <w:rPr>
                <w:rFonts w:ascii="Arial Narrow" w:hAnsi="Arial Narrow"/>
                <w:sz w:val="20"/>
                <w:szCs w:val="20"/>
                <w:vertAlign w:val="superscript"/>
              </w:rPr>
              <w:t>b</w:t>
            </w:r>
          </w:p>
        </w:tc>
        <w:tc>
          <w:tcPr>
            <w:tcW w:w="709" w:type="pct"/>
            <w:shd w:val="clear" w:color="auto" w:fill="auto"/>
            <w:tcMar>
              <w:left w:w="57" w:type="dxa"/>
              <w:right w:w="57" w:type="dxa"/>
            </w:tcMar>
            <w:vAlign w:val="center"/>
          </w:tcPr>
          <w:p w14:paraId="452B7D6A"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30771AC9"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15/75 (20.0)</w:t>
            </w:r>
          </w:p>
        </w:tc>
        <w:tc>
          <w:tcPr>
            <w:tcW w:w="709" w:type="pct"/>
            <w:shd w:val="clear" w:color="auto" w:fill="B8CCE4" w:themeFill="accent1" w:themeFillTint="66"/>
          </w:tcPr>
          <w:p w14:paraId="644B4B3D"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53/76 (69.7)</w:t>
            </w:r>
          </w:p>
        </w:tc>
        <w:tc>
          <w:tcPr>
            <w:tcW w:w="927" w:type="pct"/>
            <w:shd w:val="clear" w:color="auto" w:fill="B8CCE4" w:themeFill="accent1" w:themeFillTint="66"/>
            <w:tcMar>
              <w:left w:w="57" w:type="dxa"/>
              <w:right w:w="57" w:type="dxa"/>
            </w:tcMar>
          </w:tcPr>
          <w:p w14:paraId="3792422C"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3.5 (2.2, 5.6)</w:t>
            </w:r>
          </w:p>
        </w:tc>
        <w:tc>
          <w:tcPr>
            <w:tcW w:w="927" w:type="pct"/>
            <w:shd w:val="clear" w:color="auto" w:fill="B8CCE4" w:themeFill="accent1" w:themeFillTint="66"/>
            <w:tcMar>
              <w:left w:w="57" w:type="dxa"/>
              <w:right w:w="57" w:type="dxa"/>
            </w:tcMar>
          </w:tcPr>
          <w:p w14:paraId="010151C1"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0.50 (0.36, 0.63)</w:t>
            </w:r>
          </w:p>
        </w:tc>
      </w:tr>
      <w:tr w:rsidR="004779D9" w:rsidRPr="00FE714A" w14:paraId="13FCECF0" w14:textId="77777777" w:rsidTr="00DB2033">
        <w:trPr>
          <w:cantSplit/>
          <w:trHeight w:val="20"/>
        </w:trPr>
        <w:tc>
          <w:tcPr>
            <w:tcW w:w="1019" w:type="pct"/>
            <w:shd w:val="clear" w:color="auto" w:fill="B8CCE4" w:themeFill="accent1" w:themeFillTint="66"/>
            <w:tcMar>
              <w:left w:w="57" w:type="dxa"/>
              <w:right w:w="57" w:type="dxa"/>
            </w:tcMar>
          </w:tcPr>
          <w:p w14:paraId="56420A97" w14:textId="77777777" w:rsidR="004779D9" w:rsidRPr="00FE714A" w:rsidRDefault="004779D9" w:rsidP="0091772A">
            <w:pPr>
              <w:keepNext/>
              <w:keepLines/>
              <w:jc w:val="left"/>
              <w:rPr>
                <w:rFonts w:ascii="Arial Narrow" w:hAnsi="Arial Narrow"/>
                <w:sz w:val="20"/>
                <w:szCs w:val="20"/>
              </w:rPr>
            </w:pPr>
            <w:r w:rsidRPr="00FE714A">
              <w:rPr>
                <w:rFonts w:ascii="Arial Narrow" w:hAnsi="Arial Narrow"/>
                <w:sz w:val="20"/>
                <w:szCs w:val="20"/>
              </w:rPr>
              <w:t xml:space="preserve">MEASURE UP 2 </w:t>
            </w:r>
            <w:r w:rsidRPr="00FE714A">
              <w:rPr>
                <w:rFonts w:ascii="Arial Narrow" w:hAnsi="Arial Narrow"/>
                <w:sz w:val="20"/>
                <w:szCs w:val="20"/>
                <w:vertAlign w:val="superscript"/>
              </w:rPr>
              <w:t>b</w:t>
            </w:r>
          </w:p>
        </w:tc>
        <w:tc>
          <w:tcPr>
            <w:tcW w:w="709" w:type="pct"/>
            <w:shd w:val="clear" w:color="auto" w:fill="auto"/>
            <w:tcMar>
              <w:left w:w="57" w:type="dxa"/>
              <w:right w:w="57" w:type="dxa"/>
            </w:tcMar>
            <w:vAlign w:val="center"/>
          </w:tcPr>
          <w:p w14:paraId="3E9D33A9"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2FD3B2A9"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15/73 (20.5)</w:t>
            </w:r>
          </w:p>
        </w:tc>
        <w:tc>
          <w:tcPr>
            <w:tcW w:w="709" w:type="pct"/>
            <w:shd w:val="clear" w:color="auto" w:fill="B8CCE4" w:themeFill="accent1" w:themeFillTint="66"/>
          </w:tcPr>
          <w:p w14:paraId="6779D62F"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47/72 (65.3)</w:t>
            </w:r>
          </w:p>
        </w:tc>
        <w:tc>
          <w:tcPr>
            <w:tcW w:w="927" w:type="pct"/>
            <w:shd w:val="clear" w:color="auto" w:fill="B8CCE4" w:themeFill="accent1" w:themeFillTint="66"/>
            <w:tcMar>
              <w:left w:w="57" w:type="dxa"/>
              <w:right w:w="57" w:type="dxa"/>
            </w:tcMar>
          </w:tcPr>
          <w:p w14:paraId="481AAC47"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3.2 (2.0 ,5.1)</w:t>
            </w:r>
          </w:p>
        </w:tc>
        <w:tc>
          <w:tcPr>
            <w:tcW w:w="927" w:type="pct"/>
            <w:shd w:val="clear" w:color="auto" w:fill="B8CCE4" w:themeFill="accent1" w:themeFillTint="66"/>
            <w:tcMar>
              <w:left w:w="57" w:type="dxa"/>
              <w:right w:w="57" w:type="dxa"/>
            </w:tcMar>
          </w:tcPr>
          <w:p w14:paraId="42500C84"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0.45 (0.30, 0.59)</w:t>
            </w:r>
          </w:p>
        </w:tc>
      </w:tr>
      <w:tr w:rsidR="004779D9" w:rsidRPr="00FE714A" w14:paraId="7FBBA85B" w14:textId="77777777" w:rsidTr="00DB2033">
        <w:trPr>
          <w:cantSplit/>
          <w:trHeight w:val="20"/>
        </w:trPr>
        <w:tc>
          <w:tcPr>
            <w:tcW w:w="1019" w:type="pct"/>
            <w:shd w:val="clear" w:color="auto" w:fill="B8CCE4" w:themeFill="accent1" w:themeFillTint="66"/>
            <w:tcMar>
              <w:left w:w="57" w:type="dxa"/>
              <w:right w:w="57" w:type="dxa"/>
            </w:tcMar>
          </w:tcPr>
          <w:p w14:paraId="691A6384" w14:textId="77777777" w:rsidR="004779D9" w:rsidRPr="00FE714A" w:rsidRDefault="004779D9" w:rsidP="0091772A">
            <w:pPr>
              <w:keepNext/>
              <w:keepLines/>
              <w:jc w:val="left"/>
              <w:rPr>
                <w:rFonts w:ascii="Arial Narrow" w:hAnsi="Arial Narrow"/>
                <w:sz w:val="20"/>
                <w:szCs w:val="20"/>
              </w:rPr>
            </w:pPr>
            <w:r w:rsidRPr="00FE714A">
              <w:rPr>
                <w:rFonts w:ascii="Arial Narrow" w:hAnsi="Arial Narrow"/>
                <w:sz w:val="20"/>
                <w:szCs w:val="20"/>
              </w:rPr>
              <w:t xml:space="preserve">AD UP </w:t>
            </w:r>
            <w:r w:rsidRPr="00FE714A">
              <w:rPr>
                <w:rFonts w:ascii="Arial Narrow" w:hAnsi="Arial Narrow"/>
                <w:sz w:val="20"/>
                <w:szCs w:val="20"/>
                <w:vertAlign w:val="superscript"/>
              </w:rPr>
              <w:t>b</w:t>
            </w:r>
          </w:p>
        </w:tc>
        <w:tc>
          <w:tcPr>
            <w:tcW w:w="709" w:type="pct"/>
            <w:shd w:val="clear" w:color="auto" w:fill="auto"/>
            <w:tcMar>
              <w:left w:w="57" w:type="dxa"/>
              <w:right w:w="57" w:type="dxa"/>
            </w:tcMar>
            <w:vAlign w:val="center"/>
          </w:tcPr>
          <w:p w14:paraId="34689EDD"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2CA34AF2"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hAnsi="Arial Narrow"/>
                <w:sz w:val="20"/>
                <w:szCs w:val="20"/>
              </w:rPr>
              <w:t>31/98 (31.6)</w:t>
            </w:r>
          </w:p>
        </w:tc>
        <w:tc>
          <w:tcPr>
            <w:tcW w:w="709" w:type="pct"/>
            <w:shd w:val="clear" w:color="auto" w:fill="B8CCE4" w:themeFill="accent1" w:themeFillTint="66"/>
          </w:tcPr>
          <w:p w14:paraId="0F7EE468"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67/91 (73.6)</w:t>
            </w:r>
          </w:p>
        </w:tc>
        <w:tc>
          <w:tcPr>
            <w:tcW w:w="927" w:type="pct"/>
            <w:shd w:val="clear" w:color="auto" w:fill="B8CCE4" w:themeFill="accent1" w:themeFillTint="66"/>
            <w:tcMar>
              <w:left w:w="57" w:type="dxa"/>
              <w:right w:w="57" w:type="dxa"/>
            </w:tcMar>
          </w:tcPr>
          <w:p w14:paraId="120D2FFE"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2.3 (1.7, 3.2)</w:t>
            </w:r>
          </w:p>
        </w:tc>
        <w:tc>
          <w:tcPr>
            <w:tcW w:w="927" w:type="pct"/>
            <w:shd w:val="clear" w:color="auto" w:fill="B8CCE4" w:themeFill="accent1" w:themeFillTint="66"/>
            <w:tcMar>
              <w:left w:w="57" w:type="dxa"/>
              <w:right w:w="57" w:type="dxa"/>
            </w:tcMar>
          </w:tcPr>
          <w:p w14:paraId="1EF6DE52"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0.45 (0.37, 0.53)</w:t>
            </w:r>
          </w:p>
        </w:tc>
      </w:tr>
      <w:tr w:rsidR="004779D9" w:rsidRPr="00FE714A" w14:paraId="42AD0291" w14:textId="77777777" w:rsidTr="00DB2033">
        <w:trPr>
          <w:cantSplit/>
          <w:trHeight w:val="20"/>
        </w:trPr>
        <w:tc>
          <w:tcPr>
            <w:tcW w:w="1019" w:type="pct"/>
            <w:shd w:val="clear" w:color="auto" w:fill="B8CCE4" w:themeFill="accent1" w:themeFillTint="66"/>
            <w:tcMar>
              <w:left w:w="57" w:type="dxa"/>
              <w:right w:w="57" w:type="dxa"/>
            </w:tcMar>
          </w:tcPr>
          <w:p w14:paraId="5D36B094" w14:textId="77777777" w:rsidR="004779D9" w:rsidRPr="00FE714A" w:rsidRDefault="004779D9" w:rsidP="0091772A">
            <w:pPr>
              <w:keepNext/>
              <w:keepLines/>
              <w:jc w:val="left"/>
              <w:rPr>
                <w:rFonts w:ascii="Arial Narrow" w:hAnsi="Arial Narrow"/>
                <w:sz w:val="20"/>
                <w:szCs w:val="20"/>
              </w:rPr>
            </w:pPr>
            <w:r w:rsidRPr="00FE714A">
              <w:rPr>
                <w:rFonts w:ascii="Arial Narrow" w:hAnsi="Arial Narrow"/>
                <w:sz w:val="20"/>
                <w:szCs w:val="20"/>
              </w:rPr>
              <w:t>UPA trials pooled</w:t>
            </w:r>
          </w:p>
        </w:tc>
        <w:tc>
          <w:tcPr>
            <w:tcW w:w="709" w:type="pct"/>
            <w:shd w:val="clear" w:color="auto" w:fill="auto"/>
            <w:tcMar>
              <w:left w:w="57" w:type="dxa"/>
              <w:right w:w="57" w:type="dxa"/>
            </w:tcMar>
            <w:vAlign w:val="center"/>
          </w:tcPr>
          <w:p w14:paraId="162111FB"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0DBB9976" w14:textId="77777777" w:rsidR="004779D9" w:rsidRPr="00FE714A" w:rsidRDefault="004779D9" w:rsidP="0091772A">
            <w:pPr>
              <w:keepNext/>
              <w:keepLines/>
              <w:jc w:val="center"/>
              <w:rPr>
                <w:rFonts w:ascii="Arial Narrow" w:eastAsia="Calibri" w:hAnsi="Arial Narrow"/>
                <w:sz w:val="20"/>
                <w:szCs w:val="20"/>
              </w:rPr>
            </w:pPr>
            <w:r w:rsidRPr="00FE714A">
              <w:rPr>
                <w:rFonts w:ascii="Arial Narrow" w:eastAsia="Calibri" w:hAnsi="Arial Narrow"/>
                <w:sz w:val="20"/>
                <w:szCs w:val="20"/>
              </w:rPr>
              <w:t>73/344 (21.2)</w:t>
            </w:r>
          </w:p>
        </w:tc>
        <w:tc>
          <w:tcPr>
            <w:tcW w:w="709" w:type="pct"/>
            <w:shd w:val="clear" w:color="auto" w:fill="B8CCE4" w:themeFill="accent1" w:themeFillTint="66"/>
          </w:tcPr>
          <w:p w14:paraId="70FAFE15"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235/337 (69.7)</w:t>
            </w:r>
          </w:p>
        </w:tc>
        <w:tc>
          <w:tcPr>
            <w:tcW w:w="927" w:type="pct"/>
            <w:shd w:val="clear" w:color="auto" w:fill="B8CCE4" w:themeFill="accent1" w:themeFillTint="66"/>
            <w:tcMar>
              <w:left w:w="57" w:type="dxa"/>
              <w:right w:w="57" w:type="dxa"/>
            </w:tcMar>
          </w:tcPr>
          <w:p w14:paraId="67F27100"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3.38 (2.30, 4.96)</w:t>
            </w:r>
          </w:p>
        </w:tc>
        <w:tc>
          <w:tcPr>
            <w:tcW w:w="927" w:type="pct"/>
            <w:shd w:val="clear" w:color="auto" w:fill="B8CCE4" w:themeFill="accent1" w:themeFillTint="66"/>
            <w:tcMar>
              <w:left w:w="57" w:type="dxa"/>
              <w:right w:w="57" w:type="dxa"/>
            </w:tcMar>
          </w:tcPr>
          <w:p w14:paraId="5AE5F320" w14:textId="77777777" w:rsidR="004779D9" w:rsidRPr="00FE714A" w:rsidRDefault="004779D9" w:rsidP="0091772A">
            <w:pPr>
              <w:keepNext/>
              <w:keepLines/>
              <w:jc w:val="center"/>
              <w:rPr>
                <w:rFonts w:ascii="Arial Narrow" w:hAnsi="Arial Narrow"/>
                <w:b/>
                <w:bCs/>
                <w:sz w:val="20"/>
                <w:szCs w:val="20"/>
              </w:rPr>
            </w:pPr>
            <w:r w:rsidRPr="00FE714A">
              <w:rPr>
                <w:rFonts w:ascii="Arial Narrow" w:hAnsi="Arial Narrow"/>
                <w:b/>
                <w:bCs/>
                <w:sz w:val="20"/>
                <w:szCs w:val="20"/>
              </w:rPr>
              <w:t>0.51 (0.42, 0.59)</w:t>
            </w:r>
          </w:p>
        </w:tc>
      </w:tr>
      <w:tr w:rsidR="004779D9" w:rsidRPr="00FE714A" w14:paraId="385D81B5" w14:textId="77777777" w:rsidTr="00DB2033">
        <w:trPr>
          <w:cantSplit/>
          <w:trHeight w:val="20"/>
        </w:trPr>
        <w:tc>
          <w:tcPr>
            <w:tcW w:w="3146" w:type="pct"/>
            <w:gridSpan w:val="4"/>
            <w:shd w:val="clear" w:color="auto" w:fill="auto"/>
            <w:tcMar>
              <w:left w:w="57" w:type="dxa"/>
              <w:right w:w="57" w:type="dxa"/>
            </w:tcMar>
            <w:vAlign w:val="center"/>
          </w:tcPr>
          <w:p w14:paraId="02485CC1" w14:textId="77777777" w:rsidR="004779D9" w:rsidRPr="00FE714A" w:rsidRDefault="004779D9" w:rsidP="0091772A">
            <w:pPr>
              <w:keepNext/>
              <w:keepLines/>
              <w:jc w:val="left"/>
              <w:rPr>
                <w:rFonts w:ascii="Arial Narrow" w:hAnsi="Arial Narrow"/>
                <w:sz w:val="20"/>
                <w:szCs w:val="20"/>
              </w:rPr>
            </w:pPr>
            <w:r w:rsidRPr="00FE714A">
              <w:rPr>
                <w:rFonts w:ascii="Arial Narrow" w:hAnsi="Arial Narrow"/>
                <w:sz w:val="20"/>
                <w:szCs w:val="20"/>
              </w:rPr>
              <w:t>Indirect treatment comparison: all trials pooled</w:t>
            </w:r>
          </w:p>
        </w:tc>
        <w:tc>
          <w:tcPr>
            <w:tcW w:w="927" w:type="pct"/>
            <w:tcMar>
              <w:left w:w="57" w:type="dxa"/>
              <w:right w:w="57" w:type="dxa"/>
            </w:tcMar>
          </w:tcPr>
          <w:p w14:paraId="2D1B170E"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t>1.02 (0.50, 2.06)</w:t>
            </w:r>
          </w:p>
        </w:tc>
        <w:tc>
          <w:tcPr>
            <w:tcW w:w="927" w:type="pct"/>
            <w:tcMar>
              <w:left w:w="57" w:type="dxa"/>
              <w:right w:w="57" w:type="dxa"/>
            </w:tcMar>
          </w:tcPr>
          <w:p w14:paraId="03503DBF" w14:textId="77777777" w:rsidR="004779D9" w:rsidRPr="00FE714A" w:rsidRDefault="004779D9" w:rsidP="0091772A">
            <w:pPr>
              <w:keepNext/>
              <w:keepLines/>
              <w:jc w:val="center"/>
              <w:rPr>
                <w:rFonts w:ascii="Arial Narrow" w:hAnsi="Arial Narrow"/>
                <w:sz w:val="20"/>
                <w:szCs w:val="20"/>
              </w:rPr>
            </w:pPr>
            <w:r w:rsidRPr="00FE714A">
              <w:rPr>
                <w:rFonts w:ascii="Arial Narrow" w:hAnsi="Arial Narrow"/>
                <w:sz w:val="20"/>
                <w:szCs w:val="20"/>
              </w:rPr>
              <w:noBreakHyphen/>
              <w:t>0.11 (</w:t>
            </w:r>
            <w:r w:rsidRPr="00FE714A">
              <w:rPr>
                <w:rFonts w:ascii="Arial Narrow" w:hAnsi="Arial Narrow"/>
                <w:sz w:val="20"/>
                <w:szCs w:val="20"/>
              </w:rPr>
              <w:noBreakHyphen/>
              <w:t>0.25, 0.02)</w:t>
            </w:r>
          </w:p>
        </w:tc>
      </w:tr>
    </w:tbl>
    <w:p w14:paraId="7645D4DE" w14:textId="77777777" w:rsidR="004779D9" w:rsidRPr="00FE714A" w:rsidRDefault="004779D9" w:rsidP="0091772A">
      <w:pPr>
        <w:pStyle w:val="TableFooter"/>
        <w:keepNext/>
        <w:keepLines/>
      </w:pPr>
      <w:r w:rsidRPr="00FE714A">
        <w:t>Source: Table 2a.6-1, p323 of the submission.</w:t>
      </w:r>
    </w:p>
    <w:p w14:paraId="700450DE" w14:textId="77777777" w:rsidR="004779D9" w:rsidRPr="00FE714A" w:rsidRDefault="004779D9" w:rsidP="0091772A">
      <w:pPr>
        <w:pStyle w:val="TableFooter"/>
        <w:keepNext/>
        <w:keepLines/>
      </w:pPr>
      <w:r w:rsidRPr="00FE714A">
        <w:t>AD = atopic dermatitis; CI = confidence interval; DLQI = dermatology life quality index; EASI = eczema area and severity index; LEB = lebrikizumab; Q2W = every 2 weeks; RD = risk difference; RR = relative risk; TCS = topical corticosteroids; UPA = upadacitinib</w:t>
      </w:r>
    </w:p>
    <w:p w14:paraId="709F372D" w14:textId="77777777" w:rsidR="004779D9" w:rsidRPr="00FE714A" w:rsidRDefault="004779D9" w:rsidP="0091772A">
      <w:pPr>
        <w:pStyle w:val="TableFooter"/>
        <w:keepNext/>
        <w:keepLines/>
      </w:pPr>
      <w:r w:rsidRPr="00FE714A">
        <w:t xml:space="preserve">a Cyclosporin </w:t>
      </w:r>
      <w:proofErr w:type="spellStart"/>
      <w:r w:rsidRPr="00FE714A">
        <w:t>A</w:t>
      </w:r>
      <w:proofErr w:type="spellEnd"/>
      <w:r w:rsidRPr="00FE714A">
        <w:t xml:space="preserve"> experienced patients</w:t>
      </w:r>
    </w:p>
    <w:p w14:paraId="2714B428" w14:textId="77777777" w:rsidR="004779D9" w:rsidRPr="00FE714A" w:rsidRDefault="004779D9" w:rsidP="0091772A">
      <w:pPr>
        <w:pStyle w:val="TableFooter"/>
        <w:keepNext/>
        <w:keepLines/>
      </w:pPr>
      <w:r w:rsidRPr="00FE714A">
        <w:t>b Cyclosporin A naïve patients</w:t>
      </w:r>
    </w:p>
    <w:p w14:paraId="60503147" w14:textId="77777777" w:rsidR="004779D9" w:rsidRPr="00FE714A" w:rsidRDefault="004779D9" w:rsidP="0091772A">
      <w:pPr>
        <w:pStyle w:val="TableFooter"/>
        <w:keepNext/>
        <w:keepLines/>
      </w:pPr>
      <w:r w:rsidRPr="00FE714A">
        <w:t>Blue shading indicates trials previously considered by PBAC.</w:t>
      </w:r>
    </w:p>
    <w:p w14:paraId="5691DEA5" w14:textId="5DA3B90C" w:rsidR="004779D9" w:rsidRPr="00FE714A" w:rsidRDefault="004779D9" w:rsidP="0056239E">
      <w:pPr>
        <w:pStyle w:val="TableFooter"/>
        <w:spacing w:after="120"/>
      </w:pPr>
      <w:r w:rsidRPr="00FE714A">
        <w:t>Values in bold indicate significance (CI did not include 1 or 0 for RR and RD respectively).</w:t>
      </w:r>
    </w:p>
    <w:p w14:paraId="35174386" w14:textId="32CE33A4" w:rsidR="004779D9" w:rsidRPr="00FE714A" w:rsidRDefault="004779D9" w:rsidP="00550B5E">
      <w:pPr>
        <w:pStyle w:val="Caption"/>
        <w:keepNext w:val="0"/>
        <w:keepLines w:val="0"/>
      </w:pPr>
      <w:bookmarkStart w:id="40" w:name="_Ref155559801"/>
      <w:r w:rsidRPr="00FE714A">
        <w:t xml:space="preserve">Table </w:t>
      </w:r>
      <w:r w:rsidR="008B26E3">
        <w:fldChar w:fldCharType="begin" w:fldLock="1"/>
      </w:r>
      <w:r w:rsidR="008B26E3">
        <w:instrText xml:space="preserve"> SEQ Table \* ARABIC </w:instrText>
      </w:r>
      <w:r w:rsidR="008B26E3">
        <w:fldChar w:fldCharType="separate"/>
      </w:r>
      <w:r w:rsidR="00B3585E">
        <w:rPr>
          <w:noProof/>
        </w:rPr>
        <w:t>12</w:t>
      </w:r>
      <w:r w:rsidR="008B26E3">
        <w:rPr>
          <w:noProof/>
        </w:rPr>
        <w:fldChar w:fldCharType="end"/>
      </w:r>
      <w:bookmarkEnd w:id="40"/>
      <w:r w:rsidRPr="00FE714A">
        <w:t>:</w:t>
      </w:r>
      <w:r w:rsidRPr="00FE714A">
        <w:rPr>
          <w:rStyle w:val="CommentReference"/>
          <w:b/>
          <w:szCs w:val="24"/>
        </w:rPr>
        <w:t xml:space="preserve"> ITC in the severe AD subgroup for the composite outcome (all trials pooled, UPA 30 mg; Week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Caption w:val="Table 12: ITC in the severe AD subgroup for the composite outcome (all trials pooled, UPA 30 mg; Week 16)"/>
      </w:tblPr>
      <w:tblGrid>
        <w:gridCol w:w="1837"/>
        <w:gridCol w:w="1278"/>
        <w:gridCol w:w="1279"/>
        <w:gridCol w:w="1279"/>
        <w:gridCol w:w="1672"/>
        <w:gridCol w:w="1672"/>
      </w:tblGrid>
      <w:tr w:rsidR="004779D9" w:rsidRPr="00FE714A" w14:paraId="69A272D0" w14:textId="77777777" w:rsidTr="00DB2033">
        <w:trPr>
          <w:cantSplit/>
          <w:trHeight w:val="20"/>
          <w:tblHeader/>
        </w:trPr>
        <w:tc>
          <w:tcPr>
            <w:tcW w:w="1019" w:type="pct"/>
            <w:vMerge w:val="restart"/>
            <w:tcBorders>
              <w:right w:val="single" w:sz="4" w:space="0" w:color="auto"/>
            </w:tcBorders>
            <w:shd w:val="clear" w:color="auto" w:fill="auto"/>
            <w:tcMar>
              <w:left w:w="57" w:type="dxa"/>
              <w:right w:w="57" w:type="dxa"/>
            </w:tcMar>
            <w:vAlign w:val="center"/>
          </w:tcPr>
          <w:p w14:paraId="58862E84" w14:textId="77777777" w:rsidR="004779D9" w:rsidRPr="00FE714A" w:rsidRDefault="004779D9" w:rsidP="00550B5E">
            <w:pPr>
              <w:jc w:val="center"/>
              <w:rPr>
                <w:rFonts w:ascii="Arial Narrow" w:hAnsi="Arial Narrow"/>
                <w:sz w:val="20"/>
                <w:szCs w:val="20"/>
              </w:rPr>
            </w:pP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2EB358B1" w14:textId="77777777" w:rsidR="004779D9" w:rsidRPr="00FE714A" w:rsidRDefault="004779D9" w:rsidP="00550B5E">
            <w:pPr>
              <w:jc w:val="center"/>
              <w:rPr>
                <w:rFonts w:ascii="Arial Narrow" w:hAnsi="Arial Narrow"/>
                <w:sz w:val="20"/>
                <w:szCs w:val="20"/>
              </w:rPr>
            </w:pPr>
            <w:r w:rsidRPr="00FE714A">
              <w:rPr>
                <w:rFonts w:ascii="Arial Narrow" w:hAnsi="Arial Narrow"/>
                <w:b/>
                <w:bCs/>
                <w:sz w:val="20"/>
                <w:szCs w:val="20"/>
              </w:rPr>
              <w:t>LEB 250 mg Q2W ± TCS</w:t>
            </w:r>
          </w:p>
        </w:tc>
        <w:tc>
          <w:tcPr>
            <w:tcW w:w="709" w:type="pct"/>
            <w:vMerge w:val="restart"/>
            <w:tcBorders>
              <w:left w:val="single" w:sz="4" w:space="0" w:color="auto"/>
              <w:right w:val="single" w:sz="4" w:space="0" w:color="auto"/>
            </w:tcBorders>
            <w:shd w:val="clear" w:color="auto" w:fill="auto"/>
            <w:tcMar>
              <w:left w:w="57" w:type="dxa"/>
              <w:right w:w="57" w:type="dxa"/>
            </w:tcMar>
            <w:vAlign w:val="center"/>
          </w:tcPr>
          <w:p w14:paraId="315E56DE" w14:textId="77777777" w:rsidR="004779D9" w:rsidRPr="00FE714A" w:rsidRDefault="004779D9" w:rsidP="00550B5E">
            <w:pPr>
              <w:jc w:val="center"/>
              <w:rPr>
                <w:rFonts w:ascii="Arial Narrow" w:hAnsi="Arial Narrow"/>
                <w:sz w:val="20"/>
                <w:szCs w:val="20"/>
              </w:rPr>
            </w:pPr>
            <w:r w:rsidRPr="00FE714A">
              <w:rPr>
                <w:rFonts w:ascii="Arial Narrow" w:hAnsi="Arial Narrow"/>
                <w:b/>
                <w:bCs/>
                <w:sz w:val="20"/>
                <w:szCs w:val="20"/>
              </w:rPr>
              <w:t>PBO ± TCS</w:t>
            </w:r>
          </w:p>
        </w:tc>
        <w:tc>
          <w:tcPr>
            <w:tcW w:w="709" w:type="pct"/>
            <w:vMerge w:val="restart"/>
            <w:tcBorders>
              <w:left w:val="single" w:sz="4" w:space="0" w:color="auto"/>
              <w:right w:val="single" w:sz="4" w:space="0" w:color="auto"/>
            </w:tcBorders>
            <w:shd w:val="clear" w:color="auto" w:fill="auto"/>
            <w:vAlign w:val="center"/>
          </w:tcPr>
          <w:p w14:paraId="0B3750F4"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UPA 30 mg ± TCS</w:t>
            </w:r>
          </w:p>
        </w:tc>
        <w:tc>
          <w:tcPr>
            <w:tcW w:w="927" w:type="pct"/>
            <w:tcBorders>
              <w:left w:val="single" w:sz="4" w:space="0" w:color="auto"/>
              <w:right w:val="single" w:sz="4" w:space="0" w:color="auto"/>
            </w:tcBorders>
            <w:shd w:val="clear" w:color="auto" w:fill="auto"/>
            <w:tcMar>
              <w:left w:w="57" w:type="dxa"/>
              <w:right w:w="57" w:type="dxa"/>
            </w:tcMar>
            <w:vAlign w:val="center"/>
          </w:tcPr>
          <w:p w14:paraId="64294CFF"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RR (95% CI)</w:t>
            </w:r>
          </w:p>
        </w:tc>
        <w:tc>
          <w:tcPr>
            <w:tcW w:w="927" w:type="pct"/>
            <w:tcBorders>
              <w:left w:val="single" w:sz="4" w:space="0" w:color="auto"/>
            </w:tcBorders>
            <w:shd w:val="clear" w:color="auto" w:fill="auto"/>
            <w:tcMar>
              <w:left w:w="57" w:type="dxa"/>
              <w:right w:w="57" w:type="dxa"/>
            </w:tcMar>
            <w:vAlign w:val="center"/>
          </w:tcPr>
          <w:p w14:paraId="1F7BC0DC"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0F3D1E8B" w14:textId="77777777" w:rsidTr="00DB2033">
        <w:trPr>
          <w:cantSplit/>
          <w:trHeight w:val="20"/>
        </w:trPr>
        <w:tc>
          <w:tcPr>
            <w:tcW w:w="1019" w:type="pct"/>
            <w:vMerge/>
            <w:tcBorders>
              <w:right w:val="single" w:sz="4" w:space="0" w:color="auto"/>
            </w:tcBorders>
            <w:shd w:val="clear" w:color="auto" w:fill="auto"/>
            <w:tcMar>
              <w:left w:w="57" w:type="dxa"/>
              <w:right w:w="57" w:type="dxa"/>
            </w:tcMar>
            <w:vAlign w:val="center"/>
          </w:tcPr>
          <w:p w14:paraId="181B8CED" w14:textId="77777777" w:rsidR="004779D9" w:rsidRPr="00FE714A" w:rsidRDefault="004779D9" w:rsidP="00550B5E">
            <w:pPr>
              <w:jc w:val="left"/>
              <w:rPr>
                <w:rFonts w:ascii="Arial Narrow" w:hAnsi="Arial Narrow"/>
                <w:b/>
                <w:bCs/>
                <w:sz w:val="20"/>
                <w:szCs w:val="20"/>
              </w:rPr>
            </w:pPr>
          </w:p>
        </w:tc>
        <w:tc>
          <w:tcPr>
            <w:tcW w:w="709" w:type="pct"/>
            <w:vMerge/>
            <w:tcBorders>
              <w:left w:val="single" w:sz="4" w:space="0" w:color="auto"/>
            </w:tcBorders>
            <w:shd w:val="clear" w:color="auto" w:fill="auto"/>
            <w:tcMar>
              <w:left w:w="57" w:type="dxa"/>
              <w:right w:w="57" w:type="dxa"/>
            </w:tcMar>
            <w:vAlign w:val="center"/>
          </w:tcPr>
          <w:p w14:paraId="73FA2122" w14:textId="77777777" w:rsidR="004779D9" w:rsidRPr="00FE714A" w:rsidRDefault="004779D9" w:rsidP="00550B5E">
            <w:pPr>
              <w:jc w:val="center"/>
              <w:rPr>
                <w:rFonts w:ascii="Arial Narrow" w:hAnsi="Arial Narrow"/>
                <w:b/>
                <w:bCs/>
                <w:sz w:val="20"/>
                <w:szCs w:val="20"/>
              </w:rPr>
            </w:pPr>
          </w:p>
        </w:tc>
        <w:tc>
          <w:tcPr>
            <w:tcW w:w="709" w:type="pct"/>
            <w:vMerge/>
            <w:shd w:val="clear" w:color="auto" w:fill="auto"/>
            <w:tcMar>
              <w:left w:w="57" w:type="dxa"/>
              <w:right w:w="57" w:type="dxa"/>
            </w:tcMar>
            <w:vAlign w:val="center"/>
          </w:tcPr>
          <w:p w14:paraId="5DD608AA" w14:textId="77777777" w:rsidR="004779D9" w:rsidRPr="00FE714A" w:rsidRDefault="004779D9" w:rsidP="00550B5E">
            <w:pPr>
              <w:jc w:val="center"/>
              <w:rPr>
                <w:rFonts w:ascii="Arial Narrow" w:hAnsi="Arial Narrow"/>
                <w:b/>
                <w:bCs/>
                <w:sz w:val="20"/>
                <w:szCs w:val="20"/>
              </w:rPr>
            </w:pPr>
          </w:p>
        </w:tc>
        <w:tc>
          <w:tcPr>
            <w:tcW w:w="709" w:type="pct"/>
            <w:vMerge/>
            <w:shd w:val="clear" w:color="auto" w:fill="auto"/>
            <w:vAlign w:val="center"/>
          </w:tcPr>
          <w:p w14:paraId="77175093" w14:textId="77777777" w:rsidR="004779D9" w:rsidRPr="00FE714A" w:rsidRDefault="004779D9" w:rsidP="00550B5E">
            <w:pPr>
              <w:jc w:val="center"/>
              <w:rPr>
                <w:rFonts w:ascii="Arial Narrow" w:hAnsi="Arial Narrow"/>
                <w:b/>
                <w:bCs/>
                <w:sz w:val="20"/>
                <w:szCs w:val="20"/>
              </w:rPr>
            </w:pPr>
          </w:p>
        </w:tc>
        <w:tc>
          <w:tcPr>
            <w:tcW w:w="1854" w:type="pct"/>
            <w:gridSpan w:val="2"/>
            <w:shd w:val="clear" w:color="auto" w:fill="auto"/>
            <w:vAlign w:val="center"/>
          </w:tcPr>
          <w:p w14:paraId="547B0A0B"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Active treatment ± TCS vs PBO ± TCS</w:t>
            </w:r>
          </w:p>
        </w:tc>
      </w:tr>
      <w:tr w:rsidR="004779D9" w:rsidRPr="00FE714A" w14:paraId="41B34558" w14:textId="77777777" w:rsidTr="00DB2033">
        <w:trPr>
          <w:cantSplit/>
          <w:trHeight w:val="20"/>
        </w:trPr>
        <w:tc>
          <w:tcPr>
            <w:tcW w:w="1019" w:type="pct"/>
            <w:shd w:val="clear" w:color="auto" w:fill="auto"/>
            <w:tcMar>
              <w:left w:w="57" w:type="dxa"/>
              <w:right w:w="57" w:type="dxa"/>
            </w:tcMar>
            <w:vAlign w:val="center"/>
          </w:tcPr>
          <w:p w14:paraId="36C9661B" w14:textId="77777777" w:rsidR="004779D9" w:rsidRPr="00FE714A" w:rsidRDefault="004779D9" w:rsidP="00550B5E">
            <w:pPr>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1</w:t>
            </w:r>
          </w:p>
        </w:tc>
        <w:tc>
          <w:tcPr>
            <w:tcW w:w="709" w:type="pct"/>
            <w:shd w:val="clear" w:color="auto" w:fill="auto"/>
            <w:tcMar>
              <w:left w:w="57" w:type="dxa"/>
              <w:right w:w="57" w:type="dxa"/>
            </w:tcMar>
          </w:tcPr>
          <w:p w14:paraId="675EE8B5"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46/82 (56.1)</w:t>
            </w:r>
          </w:p>
        </w:tc>
        <w:tc>
          <w:tcPr>
            <w:tcW w:w="709" w:type="pct"/>
            <w:shd w:val="clear" w:color="auto" w:fill="auto"/>
            <w:tcMar>
              <w:left w:w="57" w:type="dxa"/>
              <w:right w:w="57" w:type="dxa"/>
            </w:tcMar>
          </w:tcPr>
          <w:p w14:paraId="3F124BDC"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4/41 (9.8)</w:t>
            </w:r>
          </w:p>
        </w:tc>
        <w:tc>
          <w:tcPr>
            <w:tcW w:w="709" w:type="pct"/>
            <w:shd w:val="clear" w:color="auto" w:fill="auto"/>
            <w:vAlign w:val="center"/>
          </w:tcPr>
          <w:p w14:paraId="3BF5042C"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w:t>
            </w:r>
          </w:p>
        </w:tc>
        <w:tc>
          <w:tcPr>
            <w:tcW w:w="927" w:type="pct"/>
            <w:shd w:val="clear" w:color="auto" w:fill="auto"/>
            <w:tcMar>
              <w:left w:w="57" w:type="dxa"/>
              <w:right w:w="57" w:type="dxa"/>
            </w:tcMar>
          </w:tcPr>
          <w:p w14:paraId="41ADF03D" w14:textId="77777777" w:rsidR="004779D9" w:rsidRPr="00FE714A" w:rsidRDefault="004779D9" w:rsidP="00550B5E">
            <w:pPr>
              <w:jc w:val="center"/>
              <w:rPr>
                <w:rFonts w:ascii="Arial Narrow" w:hAnsi="Arial Narrow"/>
                <w:sz w:val="20"/>
                <w:szCs w:val="20"/>
              </w:rPr>
            </w:pPr>
            <w:r w:rsidRPr="00FE714A">
              <w:rPr>
                <w:rFonts w:ascii="Arial Narrow" w:hAnsi="Arial Narrow"/>
                <w:b/>
                <w:bCs/>
                <w:sz w:val="20"/>
                <w:szCs w:val="20"/>
              </w:rPr>
              <w:t>5.8 (2.2, 14.9)</w:t>
            </w:r>
          </w:p>
        </w:tc>
        <w:tc>
          <w:tcPr>
            <w:tcW w:w="927" w:type="pct"/>
            <w:shd w:val="clear" w:color="auto" w:fill="auto"/>
            <w:tcMar>
              <w:left w:w="57" w:type="dxa"/>
              <w:right w:w="57" w:type="dxa"/>
            </w:tcMar>
          </w:tcPr>
          <w:p w14:paraId="48E62F59" w14:textId="77777777" w:rsidR="004779D9" w:rsidRPr="00FE714A" w:rsidRDefault="004779D9" w:rsidP="00550B5E">
            <w:pPr>
              <w:jc w:val="center"/>
              <w:rPr>
                <w:rFonts w:ascii="Arial Narrow" w:hAnsi="Arial Narrow"/>
                <w:sz w:val="20"/>
                <w:szCs w:val="20"/>
              </w:rPr>
            </w:pPr>
            <w:r w:rsidRPr="00FE714A">
              <w:rPr>
                <w:rFonts w:ascii="Arial Narrow" w:hAnsi="Arial Narrow"/>
                <w:b/>
                <w:bCs/>
                <w:sz w:val="20"/>
                <w:szCs w:val="20"/>
              </w:rPr>
              <w:t>0.46 (0.32, 0.60)</w:t>
            </w:r>
          </w:p>
        </w:tc>
      </w:tr>
      <w:tr w:rsidR="004779D9" w:rsidRPr="00FE714A" w14:paraId="3225DAC9" w14:textId="77777777" w:rsidTr="00DB2033">
        <w:trPr>
          <w:cantSplit/>
          <w:trHeight w:val="20"/>
        </w:trPr>
        <w:tc>
          <w:tcPr>
            <w:tcW w:w="1019" w:type="pct"/>
            <w:shd w:val="clear" w:color="auto" w:fill="auto"/>
            <w:tcMar>
              <w:left w:w="57" w:type="dxa"/>
              <w:right w:w="57" w:type="dxa"/>
            </w:tcMar>
            <w:vAlign w:val="center"/>
          </w:tcPr>
          <w:p w14:paraId="15781CE9" w14:textId="77777777" w:rsidR="004779D9" w:rsidRPr="00FE714A" w:rsidRDefault="004779D9" w:rsidP="00550B5E">
            <w:pPr>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2</w:t>
            </w:r>
          </w:p>
        </w:tc>
        <w:tc>
          <w:tcPr>
            <w:tcW w:w="709" w:type="pct"/>
            <w:shd w:val="clear" w:color="auto" w:fill="auto"/>
            <w:tcMar>
              <w:left w:w="57" w:type="dxa"/>
              <w:right w:w="57" w:type="dxa"/>
            </w:tcMar>
          </w:tcPr>
          <w:p w14:paraId="3BF9C540"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35/75 (46.7)</w:t>
            </w:r>
          </w:p>
        </w:tc>
        <w:tc>
          <w:tcPr>
            <w:tcW w:w="709" w:type="pct"/>
            <w:shd w:val="clear" w:color="auto" w:fill="auto"/>
            <w:tcMar>
              <w:left w:w="57" w:type="dxa"/>
              <w:right w:w="57" w:type="dxa"/>
            </w:tcMar>
          </w:tcPr>
          <w:p w14:paraId="78110156"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6/42 (14.3)</w:t>
            </w:r>
          </w:p>
        </w:tc>
        <w:tc>
          <w:tcPr>
            <w:tcW w:w="709" w:type="pct"/>
            <w:shd w:val="clear" w:color="auto" w:fill="auto"/>
            <w:vAlign w:val="center"/>
          </w:tcPr>
          <w:p w14:paraId="3F6D3F52"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w:t>
            </w:r>
          </w:p>
        </w:tc>
        <w:tc>
          <w:tcPr>
            <w:tcW w:w="927" w:type="pct"/>
            <w:shd w:val="clear" w:color="auto" w:fill="auto"/>
            <w:tcMar>
              <w:left w:w="57" w:type="dxa"/>
              <w:right w:w="57" w:type="dxa"/>
            </w:tcMar>
          </w:tcPr>
          <w:p w14:paraId="5D230906" w14:textId="77777777" w:rsidR="004779D9" w:rsidRPr="00FE714A" w:rsidRDefault="004779D9" w:rsidP="00550B5E">
            <w:pPr>
              <w:jc w:val="center"/>
              <w:rPr>
                <w:rFonts w:ascii="Arial Narrow" w:hAnsi="Arial Narrow"/>
                <w:sz w:val="20"/>
                <w:szCs w:val="20"/>
              </w:rPr>
            </w:pPr>
            <w:r w:rsidRPr="00FE714A">
              <w:rPr>
                <w:rFonts w:ascii="Arial Narrow" w:hAnsi="Arial Narrow"/>
                <w:b/>
                <w:bCs/>
                <w:sz w:val="20"/>
                <w:szCs w:val="20"/>
              </w:rPr>
              <w:t>3.3 (1.5, 7.1)</w:t>
            </w:r>
          </w:p>
        </w:tc>
        <w:tc>
          <w:tcPr>
            <w:tcW w:w="927" w:type="pct"/>
            <w:shd w:val="clear" w:color="auto" w:fill="auto"/>
            <w:tcMar>
              <w:left w:w="57" w:type="dxa"/>
              <w:right w:w="57" w:type="dxa"/>
            </w:tcMar>
          </w:tcPr>
          <w:p w14:paraId="241E1C06" w14:textId="77777777" w:rsidR="004779D9" w:rsidRPr="00FE714A" w:rsidRDefault="004779D9" w:rsidP="00550B5E">
            <w:pPr>
              <w:jc w:val="center"/>
              <w:rPr>
                <w:rFonts w:ascii="Arial Narrow" w:hAnsi="Arial Narrow"/>
                <w:sz w:val="20"/>
                <w:szCs w:val="20"/>
              </w:rPr>
            </w:pPr>
            <w:r w:rsidRPr="00FE714A">
              <w:rPr>
                <w:rFonts w:ascii="Arial Narrow" w:hAnsi="Arial Narrow"/>
                <w:b/>
                <w:bCs/>
                <w:sz w:val="20"/>
                <w:szCs w:val="20"/>
              </w:rPr>
              <w:t>0.32 (0.17, 0.48)</w:t>
            </w:r>
          </w:p>
        </w:tc>
      </w:tr>
      <w:tr w:rsidR="004779D9" w:rsidRPr="00FE714A" w14:paraId="10ED8FE0" w14:textId="77777777" w:rsidTr="00DB2033">
        <w:trPr>
          <w:cantSplit/>
          <w:trHeight w:val="20"/>
        </w:trPr>
        <w:tc>
          <w:tcPr>
            <w:tcW w:w="1019" w:type="pct"/>
            <w:shd w:val="clear" w:color="auto" w:fill="auto"/>
            <w:tcMar>
              <w:left w:w="57" w:type="dxa"/>
              <w:right w:w="57" w:type="dxa"/>
            </w:tcMar>
            <w:vAlign w:val="center"/>
          </w:tcPr>
          <w:p w14:paraId="71472B3B" w14:textId="77777777" w:rsidR="004779D9" w:rsidRPr="00FE714A" w:rsidRDefault="004779D9" w:rsidP="00550B5E">
            <w:pPr>
              <w:jc w:val="left"/>
              <w:rPr>
                <w:rFonts w:ascii="Arial Narrow" w:hAnsi="Arial Narrow"/>
                <w:sz w:val="20"/>
                <w:szCs w:val="20"/>
              </w:rPr>
            </w:pPr>
            <w:proofErr w:type="spellStart"/>
            <w:r w:rsidRPr="00FE714A">
              <w:rPr>
                <w:rFonts w:ascii="Arial Narrow" w:hAnsi="Arial Narrow"/>
                <w:sz w:val="20"/>
                <w:szCs w:val="20"/>
              </w:rPr>
              <w:t>ADhere</w:t>
            </w:r>
            <w:proofErr w:type="spellEnd"/>
            <w:r w:rsidRPr="00FE714A">
              <w:rPr>
                <w:rFonts w:ascii="Arial Narrow" w:hAnsi="Arial Narrow"/>
                <w:sz w:val="20"/>
                <w:szCs w:val="20"/>
              </w:rPr>
              <w:t xml:space="preserve"> </w:t>
            </w:r>
          </w:p>
        </w:tc>
        <w:tc>
          <w:tcPr>
            <w:tcW w:w="709" w:type="pct"/>
            <w:shd w:val="clear" w:color="auto" w:fill="auto"/>
            <w:tcMar>
              <w:left w:w="57" w:type="dxa"/>
              <w:right w:w="57" w:type="dxa"/>
            </w:tcMar>
          </w:tcPr>
          <w:p w14:paraId="52526AF2"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14/23 (60.9)</w:t>
            </w:r>
          </w:p>
        </w:tc>
        <w:tc>
          <w:tcPr>
            <w:tcW w:w="709" w:type="pct"/>
            <w:shd w:val="clear" w:color="auto" w:fill="auto"/>
            <w:tcMar>
              <w:left w:w="57" w:type="dxa"/>
              <w:right w:w="57" w:type="dxa"/>
            </w:tcMar>
          </w:tcPr>
          <w:p w14:paraId="3EDDB123"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2/6 (33.3)</w:t>
            </w:r>
          </w:p>
        </w:tc>
        <w:tc>
          <w:tcPr>
            <w:tcW w:w="709" w:type="pct"/>
            <w:shd w:val="clear" w:color="auto" w:fill="auto"/>
            <w:vAlign w:val="center"/>
          </w:tcPr>
          <w:p w14:paraId="59E162C8"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w:t>
            </w:r>
          </w:p>
        </w:tc>
        <w:tc>
          <w:tcPr>
            <w:tcW w:w="927" w:type="pct"/>
            <w:shd w:val="clear" w:color="auto" w:fill="auto"/>
            <w:tcMar>
              <w:left w:w="57" w:type="dxa"/>
              <w:right w:w="57" w:type="dxa"/>
            </w:tcMar>
          </w:tcPr>
          <w:p w14:paraId="36976F0B"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1.8 (0.6, 5.9)</w:t>
            </w:r>
          </w:p>
        </w:tc>
        <w:tc>
          <w:tcPr>
            <w:tcW w:w="927" w:type="pct"/>
            <w:shd w:val="clear" w:color="auto" w:fill="auto"/>
            <w:tcMar>
              <w:left w:w="57" w:type="dxa"/>
              <w:right w:w="57" w:type="dxa"/>
            </w:tcMar>
          </w:tcPr>
          <w:p w14:paraId="6A8BD169"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0.28 (</w:t>
            </w:r>
            <w:r w:rsidRPr="00FE714A">
              <w:rPr>
                <w:rFonts w:ascii="Arial Narrow" w:hAnsi="Arial Narrow"/>
                <w:sz w:val="20"/>
                <w:szCs w:val="20"/>
              </w:rPr>
              <w:noBreakHyphen/>
              <w:t>0.15, 0.70)</w:t>
            </w:r>
          </w:p>
        </w:tc>
      </w:tr>
      <w:tr w:rsidR="004779D9" w:rsidRPr="00FE714A" w14:paraId="51659E98" w14:textId="77777777" w:rsidTr="00DB2033">
        <w:trPr>
          <w:cantSplit/>
          <w:trHeight w:val="20"/>
        </w:trPr>
        <w:tc>
          <w:tcPr>
            <w:tcW w:w="1019" w:type="pct"/>
            <w:shd w:val="clear" w:color="auto" w:fill="auto"/>
            <w:tcMar>
              <w:left w:w="57" w:type="dxa"/>
              <w:right w:w="57" w:type="dxa"/>
            </w:tcMar>
            <w:vAlign w:val="center"/>
          </w:tcPr>
          <w:p w14:paraId="04B538FB" w14:textId="77777777" w:rsidR="004779D9" w:rsidRPr="00FE714A" w:rsidRDefault="004779D9" w:rsidP="00550B5E">
            <w:pPr>
              <w:jc w:val="left"/>
              <w:rPr>
                <w:rFonts w:ascii="Arial Narrow" w:hAnsi="Arial Narrow"/>
                <w:sz w:val="20"/>
                <w:szCs w:val="20"/>
              </w:rPr>
            </w:pPr>
            <w:r w:rsidRPr="00FE714A">
              <w:rPr>
                <w:rFonts w:ascii="Arial Narrow" w:hAnsi="Arial Narrow"/>
                <w:sz w:val="20"/>
                <w:szCs w:val="20"/>
              </w:rPr>
              <w:t>LEB trials pooled</w:t>
            </w:r>
          </w:p>
        </w:tc>
        <w:tc>
          <w:tcPr>
            <w:tcW w:w="709" w:type="pct"/>
            <w:shd w:val="clear" w:color="auto" w:fill="auto"/>
            <w:tcMar>
              <w:left w:w="57" w:type="dxa"/>
              <w:right w:w="57" w:type="dxa"/>
            </w:tcMar>
          </w:tcPr>
          <w:p w14:paraId="375795EE"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95/180 (52.8)</w:t>
            </w:r>
          </w:p>
        </w:tc>
        <w:tc>
          <w:tcPr>
            <w:tcW w:w="709" w:type="pct"/>
            <w:shd w:val="clear" w:color="auto" w:fill="auto"/>
            <w:tcMar>
              <w:left w:w="57" w:type="dxa"/>
              <w:right w:w="57" w:type="dxa"/>
            </w:tcMar>
          </w:tcPr>
          <w:p w14:paraId="361F8D66"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12/89 (13.5)</w:t>
            </w:r>
          </w:p>
        </w:tc>
        <w:tc>
          <w:tcPr>
            <w:tcW w:w="709" w:type="pct"/>
            <w:shd w:val="clear" w:color="auto" w:fill="auto"/>
            <w:vAlign w:val="center"/>
          </w:tcPr>
          <w:p w14:paraId="738055E6"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w:t>
            </w:r>
          </w:p>
        </w:tc>
        <w:tc>
          <w:tcPr>
            <w:tcW w:w="927" w:type="pct"/>
            <w:shd w:val="clear" w:color="auto" w:fill="auto"/>
            <w:tcMar>
              <w:left w:w="57" w:type="dxa"/>
              <w:right w:w="57" w:type="dxa"/>
            </w:tcMar>
          </w:tcPr>
          <w:p w14:paraId="1D6C3C36" w14:textId="77777777" w:rsidR="004779D9" w:rsidRPr="00FE714A" w:rsidRDefault="004779D9" w:rsidP="00550B5E">
            <w:pPr>
              <w:jc w:val="center"/>
              <w:rPr>
                <w:rFonts w:ascii="Arial Narrow" w:hAnsi="Arial Narrow"/>
                <w:sz w:val="20"/>
                <w:szCs w:val="20"/>
              </w:rPr>
            </w:pPr>
            <w:r w:rsidRPr="00FE714A">
              <w:rPr>
                <w:rFonts w:ascii="Arial Narrow" w:hAnsi="Arial Narrow"/>
                <w:b/>
                <w:bCs/>
                <w:sz w:val="20"/>
                <w:szCs w:val="20"/>
              </w:rPr>
              <w:t>3.45 (1.91, 6.22)</w:t>
            </w:r>
          </w:p>
        </w:tc>
        <w:tc>
          <w:tcPr>
            <w:tcW w:w="927" w:type="pct"/>
            <w:shd w:val="clear" w:color="auto" w:fill="auto"/>
            <w:tcMar>
              <w:left w:w="57" w:type="dxa"/>
              <w:right w:w="57" w:type="dxa"/>
            </w:tcMar>
          </w:tcPr>
          <w:p w14:paraId="5C4EAD92" w14:textId="77777777" w:rsidR="004779D9" w:rsidRPr="00FE714A" w:rsidRDefault="004779D9" w:rsidP="00550B5E">
            <w:pPr>
              <w:jc w:val="center"/>
              <w:rPr>
                <w:rFonts w:ascii="Arial Narrow" w:hAnsi="Arial Narrow"/>
                <w:sz w:val="20"/>
                <w:szCs w:val="20"/>
              </w:rPr>
            </w:pPr>
            <w:r w:rsidRPr="00FE714A">
              <w:rPr>
                <w:rFonts w:ascii="Arial Narrow" w:hAnsi="Arial Narrow"/>
                <w:b/>
                <w:bCs/>
                <w:sz w:val="20"/>
                <w:szCs w:val="20"/>
              </w:rPr>
              <w:t>0.39 (0.29, 0.50)</w:t>
            </w:r>
          </w:p>
        </w:tc>
      </w:tr>
      <w:tr w:rsidR="004779D9" w:rsidRPr="00FE714A" w14:paraId="472955DE" w14:textId="77777777" w:rsidTr="00DB2033">
        <w:trPr>
          <w:cantSplit/>
          <w:trHeight w:val="20"/>
        </w:trPr>
        <w:tc>
          <w:tcPr>
            <w:tcW w:w="1019" w:type="pct"/>
            <w:shd w:val="clear" w:color="auto" w:fill="B8CCE4" w:themeFill="accent1" w:themeFillTint="66"/>
            <w:tcMar>
              <w:left w:w="57" w:type="dxa"/>
              <w:right w:w="57" w:type="dxa"/>
            </w:tcMar>
          </w:tcPr>
          <w:p w14:paraId="4281FDEB" w14:textId="77777777" w:rsidR="004779D9" w:rsidRPr="00FE714A" w:rsidRDefault="004779D9" w:rsidP="00550B5E">
            <w:pPr>
              <w:jc w:val="left"/>
              <w:rPr>
                <w:rFonts w:ascii="Arial Narrow" w:hAnsi="Arial Narrow"/>
                <w:sz w:val="20"/>
                <w:szCs w:val="20"/>
              </w:rPr>
            </w:pPr>
            <w:r w:rsidRPr="00FE714A">
              <w:rPr>
                <w:rFonts w:ascii="Arial Narrow" w:hAnsi="Arial Narrow"/>
                <w:sz w:val="20"/>
                <w:szCs w:val="20"/>
              </w:rPr>
              <w:t xml:space="preserve">MEASURE UP 1 </w:t>
            </w:r>
            <w:r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0FF6EBE7" w14:textId="77777777" w:rsidR="004779D9" w:rsidRPr="00FE714A" w:rsidRDefault="004779D9" w:rsidP="00550B5E">
            <w:pPr>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0EC4B3FE" w14:textId="77777777" w:rsidR="004779D9" w:rsidRPr="00FE714A" w:rsidRDefault="004779D9" w:rsidP="00550B5E">
            <w:pPr>
              <w:jc w:val="center"/>
              <w:rPr>
                <w:rFonts w:ascii="Arial Narrow" w:eastAsia="Calibri" w:hAnsi="Arial Narrow"/>
                <w:sz w:val="20"/>
                <w:szCs w:val="20"/>
              </w:rPr>
            </w:pPr>
            <w:r w:rsidRPr="00FE714A">
              <w:rPr>
                <w:rFonts w:ascii="Arial Narrow" w:eastAsia="Calibri" w:hAnsi="Arial Narrow"/>
                <w:sz w:val="20"/>
                <w:szCs w:val="20"/>
              </w:rPr>
              <w:t>1/21 (4.8)</w:t>
            </w:r>
          </w:p>
        </w:tc>
        <w:tc>
          <w:tcPr>
            <w:tcW w:w="709" w:type="pct"/>
            <w:shd w:val="clear" w:color="auto" w:fill="B8CCE4" w:themeFill="accent1" w:themeFillTint="66"/>
          </w:tcPr>
          <w:p w14:paraId="2B39DE28"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16/20 (80.0)</w:t>
            </w:r>
          </w:p>
        </w:tc>
        <w:tc>
          <w:tcPr>
            <w:tcW w:w="927" w:type="pct"/>
            <w:shd w:val="clear" w:color="auto" w:fill="B8CCE4" w:themeFill="accent1" w:themeFillTint="66"/>
            <w:tcMar>
              <w:left w:w="57" w:type="dxa"/>
              <w:right w:w="57" w:type="dxa"/>
            </w:tcMar>
          </w:tcPr>
          <w:p w14:paraId="660C77ED"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16.8 (2.5, 115.2)</w:t>
            </w:r>
          </w:p>
        </w:tc>
        <w:tc>
          <w:tcPr>
            <w:tcW w:w="927" w:type="pct"/>
            <w:shd w:val="clear" w:color="auto" w:fill="B8CCE4" w:themeFill="accent1" w:themeFillTint="66"/>
            <w:tcMar>
              <w:left w:w="57" w:type="dxa"/>
              <w:right w:w="57" w:type="dxa"/>
            </w:tcMar>
          </w:tcPr>
          <w:p w14:paraId="07619F4F"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0.75 (0.55, 0.95)</w:t>
            </w:r>
          </w:p>
        </w:tc>
      </w:tr>
      <w:tr w:rsidR="004779D9" w:rsidRPr="00FE714A" w14:paraId="3DBEC02D" w14:textId="77777777" w:rsidTr="00DB2033">
        <w:trPr>
          <w:cantSplit/>
          <w:trHeight w:val="20"/>
        </w:trPr>
        <w:tc>
          <w:tcPr>
            <w:tcW w:w="1019" w:type="pct"/>
            <w:shd w:val="clear" w:color="auto" w:fill="B8CCE4" w:themeFill="accent1" w:themeFillTint="66"/>
            <w:tcMar>
              <w:left w:w="57" w:type="dxa"/>
              <w:right w:w="57" w:type="dxa"/>
            </w:tcMar>
          </w:tcPr>
          <w:p w14:paraId="17CFFA05" w14:textId="77777777" w:rsidR="004779D9" w:rsidRPr="00FE714A" w:rsidRDefault="004779D9" w:rsidP="00550B5E">
            <w:pPr>
              <w:jc w:val="left"/>
              <w:rPr>
                <w:rFonts w:ascii="Arial Narrow" w:hAnsi="Arial Narrow"/>
                <w:sz w:val="20"/>
                <w:szCs w:val="20"/>
              </w:rPr>
            </w:pPr>
            <w:r w:rsidRPr="00FE714A">
              <w:rPr>
                <w:rFonts w:ascii="Arial Narrow" w:hAnsi="Arial Narrow"/>
                <w:sz w:val="20"/>
                <w:szCs w:val="20"/>
              </w:rPr>
              <w:t xml:space="preserve">MEASURE UP 2 </w:t>
            </w:r>
            <w:r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20B75986" w14:textId="77777777" w:rsidR="004779D9" w:rsidRPr="00FE714A" w:rsidRDefault="004779D9" w:rsidP="00550B5E">
            <w:pPr>
              <w:jc w:val="center"/>
              <w:rPr>
                <w:rFonts w:ascii="Arial Narrow" w:eastAsia="Calibri" w:hAnsi="Arial Narrow"/>
                <w:sz w:val="20"/>
                <w:szCs w:val="20"/>
              </w:rPr>
            </w:pPr>
          </w:p>
        </w:tc>
        <w:tc>
          <w:tcPr>
            <w:tcW w:w="709" w:type="pct"/>
            <w:shd w:val="clear" w:color="auto" w:fill="B8CCE4" w:themeFill="accent1" w:themeFillTint="66"/>
            <w:tcMar>
              <w:left w:w="57" w:type="dxa"/>
              <w:right w:w="57" w:type="dxa"/>
            </w:tcMar>
          </w:tcPr>
          <w:p w14:paraId="34F23D00" w14:textId="77777777" w:rsidR="004779D9" w:rsidRPr="00FE714A" w:rsidRDefault="004779D9" w:rsidP="00550B5E">
            <w:pPr>
              <w:jc w:val="center"/>
              <w:rPr>
                <w:rFonts w:ascii="Arial Narrow" w:eastAsia="Calibri" w:hAnsi="Arial Narrow"/>
                <w:sz w:val="20"/>
                <w:szCs w:val="20"/>
              </w:rPr>
            </w:pPr>
            <w:r w:rsidRPr="00FE714A">
              <w:rPr>
                <w:rFonts w:ascii="Arial Narrow" w:eastAsia="Calibri" w:hAnsi="Arial Narrow"/>
                <w:sz w:val="20"/>
                <w:szCs w:val="20"/>
              </w:rPr>
              <w:t>2/43 (4.7)</w:t>
            </w:r>
          </w:p>
        </w:tc>
        <w:tc>
          <w:tcPr>
            <w:tcW w:w="709" w:type="pct"/>
            <w:shd w:val="clear" w:color="auto" w:fill="B8CCE4" w:themeFill="accent1" w:themeFillTint="66"/>
          </w:tcPr>
          <w:p w14:paraId="4C1B023D"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26/32 (81.3)</w:t>
            </w:r>
          </w:p>
        </w:tc>
        <w:tc>
          <w:tcPr>
            <w:tcW w:w="927" w:type="pct"/>
            <w:shd w:val="clear" w:color="auto" w:fill="B8CCE4" w:themeFill="accent1" w:themeFillTint="66"/>
            <w:tcMar>
              <w:left w:w="57" w:type="dxa"/>
              <w:right w:w="57" w:type="dxa"/>
            </w:tcMar>
          </w:tcPr>
          <w:p w14:paraId="4331C4D0"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17.5 (4.5, 68.3)</w:t>
            </w:r>
          </w:p>
        </w:tc>
        <w:tc>
          <w:tcPr>
            <w:tcW w:w="927" w:type="pct"/>
            <w:shd w:val="clear" w:color="auto" w:fill="B8CCE4" w:themeFill="accent1" w:themeFillTint="66"/>
            <w:tcMar>
              <w:left w:w="57" w:type="dxa"/>
              <w:right w:w="57" w:type="dxa"/>
            </w:tcMar>
          </w:tcPr>
          <w:p w14:paraId="6758338E"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0.77 (0.62, 0.92)</w:t>
            </w:r>
          </w:p>
        </w:tc>
      </w:tr>
      <w:tr w:rsidR="004779D9" w:rsidRPr="00FE714A" w14:paraId="61E93A44" w14:textId="77777777" w:rsidTr="00DB2033">
        <w:trPr>
          <w:cantSplit/>
          <w:trHeight w:val="20"/>
        </w:trPr>
        <w:tc>
          <w:tcPr>
            <w:tcW w:w="1019" w:type="pct"/>
            <w:shd w:val="clear" w:color="auto" w:fill="B8CCE4" w:themeFill="accent1" w:themeFillTint="66"/>
            <w:tcMar>
              <w:left w:w="57" w:type="dxa"/>
              <w:right w:w="57" w:type="dxa"/>
            </w:tcMar>
          </w:tcPr>
          <w:p w14:paraId="59DF6646" w14:textId="77777777" w:rsidR="004779D9" w:rsidRPr="00FE714A" w:rsidRDefault="004779D9" w:rsidP="00550B5E">
            <w:pPr>
              <w:jc w:val="left"/>
              <w:rPr>
                <w:rFonts w:ascii="Arial Narrow" w:hAnsi="Arial Narrow"/>
                <w:sz w:val="20"/>
                <w:szCs w:val="20"/>
              </w:rPr>
            </w:pPr>
            <w:r w:rsidRPr="00FE714A">
              <w:rPr>
                <w:rFonts w:ascii="Arial Narrow" w:hAnsi="Arial Narrow"/>
                <w:sz w:val="20"/>
                <w:szCs w:val="20"/>
              </w:rPr>
              <w:t xml:space="preserve">AD UP </w:t>
            </w:r>
            <w:r w:rsidRPr="00FE714A">
              <w:rPr>
                <w:rFonts w:ascii="Arial Narrow" w:hAnsi="Arial Narrow"/>
                <w:sz w:val="20"/>
                <w:szCs w:val="20"/>
                <w:vertAlign w:val="superscript"/>
              </w:rPr>
              <w:t>a</w:t>
            </w:r>
          </w:p>
        </w:tc>
        <w:tc>
          <w:tcPr>
            <w:tcW w:w="709" w:type="pct"/>
            <w:shd w:val="clear" w:color="auto" w:fill="auto"/>
            <w:tcMar>
              <w:left w:w="57" w:type="dxa"/>
              <w:right w:w="57" w:type="dxa"/>
            </w:tcMar>
            <w:vAlign w:val="center"/>
          </w:tcPr>
          <w:p w14:paraId="6A6362CB" w14:textId="77777777" w:rsidR="004779D9" w:rsidRPr="00FE714A" w:rsidRDefault="004779D9" w:rsidP="00550B5E">
            <w:pPr>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01D1FE03" w14:textId="77777777" w:rsidR="004779D9" w:rsidRPr="00FE714A" w:rsidRDefault="004779D9" w:rsidP="00550B5E">
            <w:pPr>
              <w:jc w:val="center"/>
              <w:rPr>
                <w:rFonts w:ascii="Arial Narrow" w:eastAsia="Calibri" w:hAnsi="Arial Narrow"/>
                <w:sz w:val="20"/>
                <w:szCs w:val="20"/>
              </w:rPr>
            </w:pPr>
            <w:r w:rsidRPr="00FE714A">
              <w:rPr>
                <w:rFonts w:ascii="Arial Narrow" w:eastAsia="Calibri" w:hAnsi="Arial Narrow"/>
                <w:sz w:val="20"/>
                <w:szCs w:val="20"/>
              </w:rPr>
              <w:t>9/34 (26.5)</w:t>
            </w:r>
          </w:p>
        </w:tc>
        <w:tc>
          <w:tcPr>
            <w:tcW w:w="709" w:type="pct"/>
            <w:shd w:val="clear" w:color="auto" w:fill="B8CCE4" w:themeFill="accent1" w:themeFillTint="66"/>
          </w:tcPr>
          <w:p w14:paraId="700A5AA8"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22/27 (81.5)</w:t>
            </w:r>
          </w:p>
        </w:tc>
        <w:tc>
          <w:tcPr>
            <w:tcW w:w="927" w:type="pct"/>
            <w:shd w:val="clear" w:color="auto" w:fill="B8CCE4" w:themeFill="accent1" w:themeFillTint="66"/>
            <w:tcMar>
              <w:left w:w="57" w:type="dxa"/>
              <w:right w:w="57" w:type="dxa"/>
            </w:tcMar>
          </w:tcPr>
          <w:p w14:paraId="5844C742"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3.1 (1.7, 5.5)</w:t>
            </w:r>
          </w:p>
        </w:tc>
        <w:tc>
          <w:tcPr>
            <w:tcW w:w="927" w:type="pct"/>
            <w:shd w:val="clear" w:color="auto" w:fill="B8CCE4" w:themeFill="accent1" w:themeFillTint="66"/>
            <w:tcMar>
              <w:left w:w="57" w:type="dxa"/>
              <w:right w:w="57" w:type="dxa"/>
            </w:tcMar>
          </w:tcPr>
          <w:p w14:paraId="619D12DB"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0.55 (0.34, 0.76)</w:t>
            </w:r>
          </w:p>
        </w:tc>
      </w:tr>
      <w:tr w:rsidR="004779D9" w:rsidRPr="00FE714A" w14:paraId="718707C6" w14:textId="77777777" w:rsidTr="00DB2033">
        <w:trPr>
          <w:cantSplit/>
          <w:trHeight w:val="20"/>
        </w:trPr>
        <w:tc>
          <w:tcPr>
            <w:tcW w:w="1019" w:type="pct"/>
            <w:shd w:val="clear" w:color="auto" w:fill="B8CCE4" w:themeFill="accent1" w:themeFillTint="66"/>
            <w:tcMar>
              <w:left w:w="57" w:type="dxa"/>
              <w:right w:w="57" w:type="dxa"/>
            </w:tcMar>
          </w:tcPr>
          <w:p w14:paraId="4B6D3352" w14:textId="77777777" w:rsidR="004779D9" w:rsidRPr="00FE714A" w:rsidRDefault="004779D9" w:rsidP="00550B5E">
            <w:pPr>
              <w:jc w:val="left"/>
              <w:rPr>
                <w:rFonts w:ascii="Arial Narrow" w:hAnsi="Arial Narrow"/>
                <w:sz w:val="20"/>
                <w:szCs w:val="20"/>
              </w:rPr>
            </w:pPr>
            <w:r w:rsidRPr="00FE714A">
              <w:rPr>
                <w:rFonts w:ascii="Arial Narrow" w:hAnsi="Arial Narrow"/>
                <w:sz w:val="20"/>
                <w:szCs w:val="20"/>
              </w:rPr>
              <w:t xml:space="preserve">MEASURE UP 1 </w:t>
            </w:r>
            <w:r w:rsidRPr="00FE714A">
              <w:rPr>
                <w:rFonts w:ascii="Arial Narrow" w:hAnsi="Arial Narrow"/>
                <w:sz w:val="20"/>
                <w:szCs w:val="20"/>
                <w:vertAlign w:val="superscript"/>
              </w:rPr>
              <w:t>b</w:t>
            </w:r>
          </w:p>
        </w:tc>
        <w:tc>
          <w:tcPr>
            <w:tcW w:w="709" w:type="pct"/>
            <w:shd w:val="clear" w:color="auto" w:fill="auto"/>
            <w:tcMar>
              <w:left w:w="57" w:type="dxa"/>
              <w:right w:w="57" w:type="dxa"/>
            </w:tcMar>
            <w:vAlign w:val="center"/>
          </w:tcPr>
          <w:p w14:paraId="3756AADB" w14:textId="77777777" w:rsidR="004779D9" w:rsidRPr="00FE714A" w:rsidRDefault="004779D9" w:rsidP="00550B5E">
            <w:pPr>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12E553C6"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15/75 (20.0)</w:t>
            </w:r>
          </w:p>
        </w:tc>
        <w:tc>
          <w:tcPr>
            <w:tcW w:w="709" w:type="pct"/>
            <w:shd w:val="clear" w:color="auto" w:fill="B8CCE4" w:themeFill="accent1" w:themeFillTint="66"/>
          </w:tcPr>
          <w:p w14:paraId="02CB9FF6"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70/85 (82.4)</w:t>
            </w:r>
          </w:p>
        </w:tc>
        <w:tc>
          <w:tcPr>
            <w:tcW w:w="927" w:type="pct"/>
            <w:shd w:val="clear" w:color="auto" w:fill="B8CCE4" w:themeFill="accent1" w:themeFillTint="66"/>
            <w:tcMar>
              <w:left w:w="57" w:type="dxa"/>
              <w:right w:w="57" w:type="dxa"/>
            </w:tcMar>
          </w:tcPr>
          <w:p w14:paraId="58C4495A"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4.1 (2.6, 6.5)</w:t>
            </w:r>
          </w:p>
        </w:tc>
        <w:tc>
          <w:tcPr>
            <w:tcW w:w="927" w:type="pct"/>
            <w:shd w:val="clear" w:color="auto" w:fill="B8CCE4" w:themeFill="accent1" w:themeFillTint="66"/>
            <w:tcMar>
              <w:left w:w="57" w:type="dxa"/>
              <w:right w:w="57" w:type="dxa"/>
            </w:tcMar>
          </w:tcPr>
          <w:p w14:paraId="7D3EE93F"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0.62 (0.50, 0.75)</w:t>
            </w:r>
          </w:p>
        </w:tc>
      </w:tr>
      <w:tr w:rsidR="004779D9" w:rsidRPr="00FE714A" w14:paraId="5C0A54E3" w14:textId="77777777" w:rsidTr="00DB2033">
        <w:trPr>
          <w:cantSplit/>
          <w:trHeight w:val="20"/>
        </w:trPr>
        <w:tc>
          <w:tcPr>
            <w:tcW w:w="1019" w:type="pct"/>
            <w:shd w:val="clear" w:color="auto" w:fill="B8CCE4" w:themeFill="accent1" w:themeFillTint="66"/>
            <w:tcMar>
              <w:left w:w="57" w:type="dxa"/>
              <w:right w:w="57" w:type="dxa"/>
            </w:tcMar>
          </w:tcPr>
          <w:p w14:paraId="64423ABA" w14:textId="77777777" w:rsidR="004779D9" w:rsidRPr="00FE714A" w:rsidRDefault="004779D9" w:rsidP="00550B5E">
            <w:pPr>
              <w:jc w:val="left"/>
              <w:rPr>
                <w:rFonts w:ascii="Arial Narrow" w:hAnsi="Arial Narrow"/>
                <w:sz w:val="20"/>
                <w:szCs w:val="20"/>
              </w:rPr>
            </w:pPr>
            <w:r w:rsidRPr="00FE714A">
              <w:rPr>
                <w:rFonts w:ascii="Arial Narrow" w:hAnsi="Arial Narrow"/>
                <w:sz w:val="20"/>
                <w:szCs w:val="20"/>
              </w:rPr>
              <w:t xml:space="preserve">MEASURE UP 2 </w:t>
            </w:r>
            <w:r w:rsidRPr="00FE714A">
              <w:rPr>
                <w:rFonts w:ascii="Arial Narrow" w:hAnsi="Arial Narrow"/>
                <w:sz w:val="20"/>
                <w:szCs w:val="20"/>
                <w:vertAlign w:val="superscript"/>
              </w:rPr>
              <w:t>b</w:t>
            </w:r>
          </w:p>
        </w:tc>
        <w:tc>
          <w:tcPr>
            <w:tcW w:w="709" w:type="pct"/>
            <w:shd w:val="clear" w:color="auto" w:fill="auto"/>
            <w:tcMar>
              <w:left w:w="57" w:type="dxa"/>
              <w:right w:w="57" w:type="dxa"/>
            </w:tcMar>
            <w:vAlign w:val="center"/>
          </w:tcPr>
          <w:p w14:paraId="5BD3DEE4" w14:textId="77777777" w:rsidR="004779D9" w:rsidRPr="00FE714A" w:rsidRDefault="004779D9" w:rsidP="00550B5E">
            <w:pPr>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6A1AAB30"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15/73 (20.5)</w:t>
            </w:r>
          </w:p>
        </w:tc>
        <w:tc>
          <w:tcPr>
            <w:tcW w:w="709" w:type="pct"/>
            <w:shd w:val="clear" w:color="auto" w:fill="B8CCE4" w:themeFill="accent1" w:themeFillTint="66"/>
          </w:tcPr>
          <w:p w14:paraId="1C2652E4"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68/85 (80.0)</w:t>
            </w:r>
          </w:p>
        </w:tc>
        <w:tc>
          <w:tcPr>
            <w:tcW w:w="927" w:type="pct"/>
            <w:shd w:val="clear" w:color="auto" w:fill="B8CCE4" w:themeFill="accent1" w:themeFillTint="66"/>
            <w:tcMar>
              <w:left w:w="57" w:type="dxa"/>
              <w:right w:w="57" w:type="dxa"/>
            </w:tcMar>
          </w:tcPr>
          <w:p w14:paraId="0546B160"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3.9 (2.5, 6.2)</w:t>
            </w:r>
          </w:p>
        </w:tc>
        <w:tc>
          <w:tcPr>
            <w:tcW w:w="927" w:type="pct"/>
            <w:shd w:val="clear" w:color="auto" w:fill="B8CCE4" w:themeFill="accent1" w:themeFillTint="66"/>
            <w:tcMar>
              <w:left w:w="57" w:type="dxa"/>
              <w:right w:w="57" w:type="dxa"/>
            </w:tcMar>
          </w:tcPr>
          <w:p w14:paraId="040F5A5D"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0.59 (0.47, 0.72)</w:t>
            </w:r>
          </w:p>
        </w:tc>
      </w:tr>
      <w:tr w:rsidR="004779D9" w:rsidRPr="00FE714A" w14:paraId="7F96C87C" w14:textId="77777777" w:rsidTr="00DB2033">
        <w:trPr>
          <w:cantSplit/>
          <w:trHeight w:val="20"/>
        </w:trPr>
        <w:tc>
          <w:tcPr>
            <w:tcW w:w="1019" w:type="pct"/>
            <w:shd w:val="clear" w:color="auto" w:fill="B8CCE4" w:themeFill="accent1" w:themeFillTint="66"/>
            <w:tcMar>
              <w:left w:w="57" w:type="dxa"/>
              <w:right w:w="57" w:type="dxa"/>
            </w:tcMar>
          </w:tcPr>
          <w:p w14:paraId="13675DA9" w14:textId="77777777" w:rsidR="004779D9" w:rsidRPr="00FE714A" w:rsidRDefault="004779D9" w:rsidP="00550B5E">
            <w:pPr>
              <w:jc w:val="left"/>
              <w:rPr>
                <w:rFonts w:ascii="Arial Narrow" w:hAnsi="Arial Narrow"/>
                <w:sz w:val="20"/>
                <w:szCs w:val="20"/>
              </w:rPr>
            </w:pPr>
            <w:r w:rsidRPr="00FE714A">
              <w:rPr>
                <w:rFonts w:ascii="Arial Narrow" w:hAnsi="Arial Narrow"/>
                <w:sz w:val="20"/>
                <w:szCs w:val="20"/>
              </w:rPr>
              <w:t xml:space="preserve">AD UP </w:t>
            </w:r>
            <w:r w:rsidRPr="00FE714A">
              <w:rPr>
                <w:rFonts w:ascii="Arial Narrow" w:hAnsi="Arial Narrow"/>
                <w:sz w:val="20"/>
                <w:szCs w:val="20"/>
                <w:vertAlign w:val="superscript"/>
              </w:rPr>
              <w:t>b</w:t>
            </w:r>
          </w:p>
        </w:tc>
        <w:tc>
          <w:tcPr>
            <w:tcW w:w="709" w:type="pct"/>
            <w:shd w:val="clear" w:color="auto" w:fill="auto"/>
            <w:tcMar>
              <w:left w:w="57" w:type="dxa"/>
              <w:right w:w="57" w:type="dxa"/>
            </w:tcMar>
            <w:vAlign w:val="center"/>
          </w:tcPr>
          <w:p w14:paraId="7F80E406" w14:textId="77777777" w:rsidR="004779D9" w:rsidRPr="00FE714A" w:rsidRDefault="004779D9" w:rsidP="00550B5E">
            <w:pPr>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0EB8ACE6" w14:textId="77777777" w:rsidR="004779D9" w:rsidRPr="00FE714A" w:rsidRDefault="004779D9" w:rsidP="00550B5E">
            <w:pPr>
              <w:jc w:val="center"/>
              <w:rPr>
                <w:rFonts w:ascii="Arial Narrow" w:eastAsia="Calibri" w:hAnsi="Arial Narrow"/>
                <w:sz w:val="20"/>
                <w:szCs w:val="20"/>
              </w:rPr>
            </w:pPr>
            <w:r w:rsidRPr="00FE714A">
              <w:rPr>
                <w:rFonts w:ascii="Arial Narrow" w:hAnsi="Arial Narrow"/>
                <w:sz w:val="20"/>
                <w:szCs w:val="20"/>
              </w:rPr>
              <w:t>31/98 (31.6)</w:t>
            </w:r>
          </w:p>
        </w:tc>
        <w:tc>
          <w:tcPr>
            <w:tcW w:w="709" w:type="pct"/>
            <w:shd w:val="clear" w:color="auto" w:fill="B8CCE4" w:themeFill="accent1" w:themeFillTint="66"/>
          </w:tcPr>
          <w:p w14:paraId="5DCDAAA0"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76/95 (80.0)</w:t>
            </w:r>
          </w:p>
        </w:tc>
        <w:tc>
          <w:tcPr>
            <w:tcW w:w="927" w:type="pct"/>
            <w:shd w:val="clear" w:color="auto" w:fill="B8CCE4" w:themeFill="accent1" w:themeFillTint="66"/>
            <w:tcMar>
              <w:left w:w="57" w:type="dxa"/>
              <w:right w:w="57" w:type="dxa"/>
            </w:tcMar>
          </w:tcPr>
          <w:p w14:paraId="3617A95F"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2.5 (1.9, 3.4)</w:t>
            </w:r>
          </w:p>
        </w:tc>
        <w:tc>
          <w:tcPr>
            <w:tcW w:w="927" w:type="pct"/>
            <w:shd w:val="clear" w:color="auto" w:fill="B8CCE4" w:themeFill="accent1" w:themeFillTint="66"/>
            <w:tcMar>
              <w:left w:w="57" w:type="dxa"/>
              <w:right w:w="57" w:type="dxa"/>
            </w:tcMar>
          </w:tcPr>
          <w:p w14:paraId="44C974E8"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0.48 (0.36, 0.61)</w:t>
            </w:r>
          </w:p>
        </w:tc>
      </w:tr>
      <w:tr w:rsidR="004779D9" w:rsidRPr="00FE714A" w14:paraId="12505852" w14:textId="77777777" w:rsidTr="00DB2033">
        <w:trPr>
          <w:cantSplit/>
          <w:trHeight w:val="20"/>
        </w:trPr>
        <w:tc>
          <w:tcPr>
            <w:tcW w:w="1019" w:type="pct"/>
            <w:shd w:val="clear" w:color="auto" w:fill="B8CCE4" w:themeFill="accent1" w:themeFillTint="66"/>
            <w:tcMar>
              <w:left w:w="57" w:type="dxa"/>
              <w:right w:w="57" w:type="dxa"/>
            </w:tcMar>
          </w:tcPr>
          <w:p w14:paraId="569645F1" w14:textId="77777777" w:rsidR="004779D9" w:rsidRPr="00FE714A" w:rsidRDefault="004779D9" w:rsidP="00550B5E">
            <w:pPr>
              <w:jc w:val="left"/>
              <w:rPr>
                <w:rFonts w:ascii="Arial Narrow" w:hAnsi="Arial Narrow"/>
                <w:sz w:val="20"/>
                <w:szCs w:val="20"/>
              </w:rPr>
            </w:pPr>
            <w:r w:rsidRPr="00FE714A">
              <w:rPr>
                <w:rFonts w:ascii="Arial Narrow" w:hAnsi="Arial Narrow"/>
                <w:sz w:val="20"/>
                <w:szCs w:val="20"/>
              </w:rPr>
              <w:t>UPA trials pooled</w:t>
            </w:r>
          </w:p>
        </w:tc>
        <w:tc>
          <w:tcPr>
            <w:tcW w:w="709" w:type="pct"/>
            <w:shd w:val="clear" w:color="auto" w:fill="auto"/>
            <w:tcMar>
              <w:left w:w="57" w:type="dxa"/>
              <w:right w:w="57" w:type="dxa"/>
            </w:tcMar>
            <w:vAlign w:val="center"/>
          </w:tcPr>
          <w:p w14:paraId="5E0602FE" w14:textId="77777777" w:rsidR="004779D9" w:rsidRPr="00FE714A" w:rsidRDefault="004779D9" w:rsidP="00550B5E">
            <w:pPr>
              <w:jc w:val="center"/>
              <w:rPr>
                <w:rFonts w:ascii="Arial Narrow" w:eastAsia="Calibri" w:hAnsi="Arial Narrow"/>
                <w:sz w:val="20"/>
                <w:szCs w:val="20"/>
              </w:rPr>
            </w:pPr>
            <w:r w:rsidRPr="00FE714A">
              <w:rPr>
                <w:rFonts w:ascii="Arial Narrow" w:eastAsia="Calibri" w:hAnsi="Arial Narrow"/>
                <w:sz w:val="20"/>
                <w:szCs w:val="20"/>
              </w:rPr>
              <w:t>-</w:t>
            </w:r>
          </w:p>
        </w:tc>
        <w:tc>
          <w:tcPr>
            <w:tcW w:w="709" w:type="pct"/>
            <w:shd w:val="clear" w:color="auto" w:fill="B8CCE4" w:themeFill="accent1" w:themeFillTint="66"/>
            <w:tcMar>
              <w:left w:w="57" w:type="dxa"/>
              <w:right w:w="57" w:type="dxa"/>
            </w:tcMar>
          </w:tcPr>
          <w:p w14:paraId="27ADBF50" w14:textId="77777777" w:rsidR="004779D9" w:rsidRPr="00FE714A" w:rsidRDefault="004779D9" w:rsidP="00550B5E">
            <w:pPr>
              <w:jc w:val="center"/>
              <w:rPr>
                <w:rFonts w:ascii="Arial Narrow" w:eastAsia="Calibri" w:hAnsi="Arial Narrow"/>
                <w:sz w:val="20"/>
                <w:szCs w:val="20"/>
              </w:rPr>
            </w:pPr>
            <w:r w:rsidRPr="00FE714A">
              <w:rPr>
                <w:rFonts w:ascii="Arial Narrow" w:eastAsia="Calibri" w:hAnsi="Arial Narrow"/>
                <w:sz w:val="20"/>
                <w:szCs w:val="20"/>
              </w:rPr>
              <w:t>73/344 (21.2)</w:t>
            </w:r>
          </w:p>
        </w:tc>
        <w:tc>
          <w:tcPr>
            <w:tcW w:w="709" w:type="pct"/>
            <w:shd w:val="clear" w:color="auto" w:fill="B8CCE4" w:themeFill="accent1" w:themeFillTint="66"/>
          </w:tcPr>
          <w:p w14:paraId="4F912F43"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278/344 (80.8)</w:t>
            </w:r>
          </w:p>
        </w:tc>
        <w:tc>
          <w:tcPr>
            <w:tcW w:w="927" w:type="pct"/>
            <w:shd w:val="clear" w:color="auto" w:fill="B8CCE4" w:themeFill="accent1" w:themeFillTint="66"/>
            <w:tcMar>
              <w:left w:w="57" w:type="dxa"/>
              <w:right w:w="57" w:type="dxa"/>
            </w:tcMar>
          </w:tcPr>
          <w:p w14:paraId="0FCEF6F5"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3.97 (2.63, 6.00)</w:t>
            </w:r>
          </w:p>
        </w:tc>
        <w:tc>
          <w:tcPr>
            <w:tcW w:w="927" w:type="pct"/>
            <w:shd w:val="clear" w:color="auto" w:fill="B8CCE4" w:themeFill="accent1" w:themeFillTint="66"/>
            <w:tcMar>
              <w:left w:w="57" w:type="dxa"/>
              <w:right w:w="57" w:type="dxa"/>
            </w:tcMar>
          </w:tcPr>
          <w:p w14:paraId="11E4D1C6" w14:textId="77777777" w:rsidR="004779D9" w:rsidRPr="00FE714A" w:rsidRDefault="004779D9" w:rsidP="00550B5E">
            <w:pPr>
              <w:jc w:val="center"/>
              <w:rPr>
                <w:rFonts w:ascii="Arial Narrow" w:hAnsi="Arial Narrow"/>
                <w:b/>
                <w:bCs/>
                <w:sz w:val="20"/>
                <w:szCs w:val="20"/>
              </w:rPr>
            </w:pPr>
            <w:r w:rsidRPr="00FE714A">
              <w:rPr>
                <w:rFonts w:ascii="Arial Narrow" w:hAnsi="Arial Narrow"/>
                <w:b/>
                <w:bCs/>
                <w:sz w:val="20"/>
                <w:szCs w:val="20"/>
              </w:rPr>
              <w:t>0.62 (0.53, 0.71)</w:t>
            </w:r>
          </w:p>
        </w:tc>
      </w:tr>
      <w:tr w:rsidR="004779D9" w:rsidRPr="00FE714A" w14:paraId="01864B47" w14:textId="77777777" w:rsidTr="00DB2033">
        <w:trPr>
          <w:cantSplit/>
          <w:trHeight w:val="20"/>
        </w:trPr>
        <w:tc>
          <w:tcPr>
            <w:tcW w:w="3146" w:type="pct"/>
            <w:gridSpan w:val="4"/>
            <w:shd w:val="clear" w:color="auto" w:fill="auto"/>
            <w:tcMar>
              <w:left w:w="57" w:type="dxa"/>
              <w:right w:w="57" w:type="dxa"/>
            </w:tcMar>
            <w:vAlign w:val="center"/>
          </w:tcPr>
          <w:p w14:paraId="2F590EE4" w14:textId="77777777" w:rsidR="004779D9" w:rsidRPr="00FE714A" w:rsidRDefault="004779D9" w:rsidP="00550B5E">
            <w:pPr>
              <w:jc w:val="left"/>
              <w:rPr>
                <w:rFonts w:ascii="Arial Narrow" w:hAnsi="Arial Narrow"/>
                <w:sz w:val="20"/>
                <w:szCs w:val="20"/>
              </w:rPr>
            </w:pPr>
            <w:r w:rsidRPr="00FE714A">
              <w:rPr>
                <w:rFonts w:ascii="Arial Narrow" w:hAnsi="Arial Narrow"/>
                <w:sz w:val="20"/>
                <w:szCs w:val="20"/>
              </w:rPr>
              <w:t>Indirect treatment comparison: all trials pooled</w:t>
            </w:r>
          </w:p>
        </w:tc>
        <w:tc>
          <w:tcPr>
            <w:tcW w:w="927" w:type="pct"/>
            <w:tcMar>
              <w:left w:w="57" w:type="dxa"/>
              <w:right w:w="57" w:type="dxa"/>
            </w:tcMar>
          </w:tcPr>
          <w:p w14:paraId="069D1726" w14:textId="77777777" w:rsidR="004779D9" w:rsidRPr="00FE714A" w:rsidRDefault="004779D9" w:rsidP="00550B5E">
            <w:pPr>
              <w:jc w:val="center"/>
              <w:rPr>
                <w:rFonts w:ascii="Arial Narrow" w:hAnsi="Arial Narrow"/>
                <w:sz w:val="20"/>
                <w:szCs w:val="20"/>
              </w:rPr>
            </w:pPr>
            <w:r w:rsidRPr="00FE714A">
              <w:rPr>
                <w:rFonts w:ascii="Arial Narrow" w:hAnsi="Arial Narrow"/>
                <w:sz w:val="20"/>
                <w:szCs w:val="20"/>
              </w:rPr>
              <w:t>0.87 (0.42, 1.78)</w:t>
            </w:r>
          </w:p>
        </w:tc>
        <w:tc>
          <w:tcPr>
            <w:tcW w:w="927" w:type="pct"/>
            <w:tcMar>
              <w:left w:w="57" w:type="dxa"/>
              <w:right w:w="57" w:type="dxa"/>
            </w:tcMar>
          </w:tcPr>
          <w:p w14:paraId="538DC9DF" w14:textId="77777777" w:rsidR="004779D9" w:rsidRPr="00FE714A" w:rsidRDefault="004779D9" w:rsidP="00550B5E">
            <w:pPr>
              <w:jc w:val="center"/>
              <w:rPr>
                <w:rFonts w:ascii="Arial Narrow" w:hAnsi="Arial Narrow"/>
                <w:sz w:val="20"/>
                <w:szCs w:val="20"/>
              </w:rPr>
            </w:pPr>
            <w:r w:rsidRPr="00FE714A">
              <w:rPr>
                <w:rFonts w:ascii="Arial Narrow" w:hAnsi="Arial Narrow"/>
                <w:b/>
                <w:bCs/>
                <w:sz w:val="20"/>
                <w:szCs w:val="20"/>
              </w:rPr>
              <w:noBreakHyphen/>
              <w:t>0.23 (</w:t>
            </w:r>
            <w:r w:rsidRPr="00FE714A">
              <w:rPr>
                <w:rFonts w:ascii="Arial Narrow" w:hAnsi="Arial Narrow"/>
                <w:b/>
                <w:bCs/>
                <w:sz w:val="20"/>
                <w:szCs w:val="20"/>
              </w:rPr>
              <w:noBreakHyphen/>
              <w:t xml:space="preserve">0.37, </w:t>
            </w:r>
            <w:r w:rsidRPr="00FE714A">
              <w:rPr>
                <w:rFonts w:ascii="Arial Narrow" w:hAnsi="Arial Narrow"/>
                <w:b/>
                <w:bCs/>
                <w:sz w:val="20"/>
                <w:szCs w:val="20"/>
              </w:rPr>
              <w:noBreakHyphen/>
              <w:t>0.09)</w:t>
            </w:r>
          </w:p>
        </w:tc>
      </w:tr>
    </w:tbl>
    <w:p w14:paraId="18029F6A" w14:textId="77777777" w:rsidR="004779D9" w:rsidRPr="00FE714A" w:rsidRDefault="004779D9" w:rsidP="00550B5E">
      <w:pPr>
        <w:pStyle w:val="TableFooter"/>
      </w:pPr>
      <w:r w:rsidRPr="00FE714A">
        <w:t>Source: Table 2a.6-1, p323 of the submission.</w:t>
      </w:r>
    </w:p>
    <w:p w14:paraId="37AA56F6" w14:textId="77777777" w:rsidR="004779D9" w:rsidRPr="00FE714A" w:rsidRDefault="004779D9" w:rsidP="00550B5E">
      <w:pPr>
        <w:pStyle w:val="TableFooter"/>
      </w:pPr>
      <w:r w:rsidRPr="00FE714A">
        <w:t>AD = atopic dermatitis; CI = confidence interval; DLQI = dermatology life quality index; EASI = eczema area and severity index; LEB = lebrikizumab; Q2W = every 2 weeks; RD = risk difference; RR = relative risk; TCS = topical corticosteroid; UPA = upadacitinib</w:t>
      </w:r>
    </w:p>
    <w:p w14:paraId="1CD6FC37" w14:textId="77777777" w:rsidR="004779D9" w:rsidRPr="00FE714A" w:rsidRDefault="004779D9" w:rsidP="00550B5E">
      <w:pPr>
        <w:pStyle w:val="TableFooter"/>
      </w:pPr>
      <w:r w:rsidRPr="00FE714A">
        <w:t xml:space="preserve">a Cyclosporin </w:t>
      </w:r>
      <w:proofErr w:type="spellStart"/>
      <w:r w:rsidRPr="00FE714A">
        <w:t>A</w:t>
      </w:r>
      <w:proofErr w:type="spellEnd"/>
      <w:r w:rsidRPr="00FE714A">
        <w:t xml:space="preserve"> experienced patients</w:t>
      </w:r>
    </w:p>
    <w:p w14:paraId="7E9687DE" w14:textId="77777777" w:rsidR="004779D9" w:rsidRPr="00FE714A" w:rsidRDefault="004779D9" w:rsidP="00550B5E">
      <w:pPr>
        <w:pStyle w:val="TableFooter"/>
      </w:pPr>
      <w:r w:rsidRPr="00FE714A">
        <w:t>b Cyclosporin A naïve patients</w:t>
      </w:r>
    </w:p>
    <w:p w14:paraId="6FE75132" w14:textId="77777777" w:rsidR="004779D9" w:rsidRPr="00FE714A" w:rsidRDefault="004779D9" w:rsidP="00550B5E">
      <w:pPr>
        <w:pStyle w:val="TableFooter"/>
      </w:pPr>
      <w:r w:rsidRPr="00FE714A">
        <w:t>Blue shading indicates trials previously considered by PBAC.</w:t>
      </w:r>
    </w:p>
    <w:p w14:paraId="1822ED9E" w14:textId="77777777" w:rsidR="004779D9" w:rsidRPr="00FE714A" w:rsidRDefault="004779D9" w:rsidP="00550B5E">
      <w:pPr>
        <w:pStyle w:val="TableFooter"/>
        <w:spacing w:after="120"/>
      </w:pPr>
      <w:r w:rsidRPr="00FE714A">
        <w:t>Values in bold indicate significance (CI did not include 1 or 0 for RR and RD respectively).</w:t>
      </w:r>
    </w:p>
    <w:p w14:paraId="18B0B26A" w14:textId="77777777" w:rsidR="00FD7317" w:rsidRPr="00FE714A" w:rsidRDefault="00FD7317" w:rsidP="00550B5E">
      <w:pPr>
        <w:pStyle w:val="3-BodyText"/>
        <w:keepNext/>
        <w:keepLines/>
      </w:pPr>
      <w:r w:rsidRPr="00FE714A">
        <w:lastRenderedPageBreak/>
        <w:t>Results in the indirect comparison in the severe AD subgroup reported:</w:t>
      </w:r>
    </w:p>
    <w:p w14:paraId="4DB93C16" w14:textId="550E3C74" w:rsidR="00FD7317" w:rsidRPr="00FE714A" w:rsidRDefault="00FD7317" w:rsidP="00550B5E">
      <w:pPr>
        <w:pStyle w:val="3-BodyText"/>
        <w:keepNext/>
        <w:keepLines/>
        <w:numPr>
          <w:ilvl w:val="0"/>
          <w:numId w:val="9"/>
        </w:numPr>
        <w:rPr>
          <w:i/>
          <w:iCs/>
        </w:rPr>
      </w:pPr>
      <w:r w:rsidRPr="00FE714A">
        <w:t>No statistically significant difference was observed between LEB 250 mg Q2W ± TCS and UPA 15 mg ± TCS, however the 95% CIs were large; and</w:t>
      </w:r>
      <w:r w:rsidRPr="00FE714A">
        <w:rPr>
          <w:i/>
          <w:iCs/>
        </w:rPr>
        <w:t xml:space="preserve"> </w:t>
      </w:r>
    </w:p>
    <w:p w14:paraId="5642FEF1" w14:textId="77777777" w:rsidR="00FD7317" w:rsidRPr="00FE714A" w:rsidRDefault="00FD7317" w:rsidP="00A2503D">
      <w:pPr>
        <w:pStyle w:val="3-BodyText"/>
        <w:numPr>
          <w:ilvl w:val="0"/>
          <w:numId w:val="9"/>
        </w:numPr>
      </w:pPr>
      <w:r w:rsidRPr="00FE714A">
        <w:t>The proportion of patients who achieved the composite outcome was statistically significantly lower with LEB 250 mg Q2W ± TCS than UPA 30 mg ± TCS in terms of RD (RD= -0.23; 95% CI: -0.37, -0.09) but not RR (RR 0.87; 95% CI: 0.42, 1.78).</w:t>
      </w:r>
    </w:p>
    <w:p w14:paraId="2BC5E77F" w14:textId="1E3217CB" w:rsidR="00B024D6" w:rsidRPr="00FE714A" w:rsidRDefault="00B024D6" w:rsidP="00557003">
      <w:pPr>
        <w:pStyle w:val="3-BodyText"/>
      </w:pPr>
      <w:r w:rsidRPr="00FE714A">
        <w:t xml:space="preserve">While the results of the indirect comparison between LEB 250 mg Q2W ± TCS and UPA 15 mg ± TCS met the submission’s nominated criteria for non-inferiority based on an absence of a statistically significant difference, the </w:t>
      </w:r>
      <w:r w:rsidR="009B4062" w:rsidRPr="00FE714A">
        <w:t xml:space="preserve">evaluation considered the </w:t>
      </w:r>
      <w:r w:rsidRPr="00FE714A">
        <w:t>submission’s claim of non-inferior efficacy may not be supported given lack of an established non-inferiority margin and uncertainty associated with the observed 95% CIs derived from an indirect comparison. Further, the nominated criteria for non-inferiority of LEB and UPA 3</w:t>
      </w:r>
      <w:r w:rsidR="00FE714A">
        <w:t>0 mg</w:t>
      </w:r>
      <w:r w:rsidRPr="00FE714A">
        <w:t xml:space="preserve"> was not met.</w:t>
      </w:r>
    </w:p>
    <w:p w14:paraId="396995DB" w14:textId="77777777" w:rsidR="004779D9" w:rsidRPr="00FE714A" w:rsidRDefault="004779D9" w:rsidP="00D86231">
      <w:pPr>
        <w:pStyle w:val="4-SubsectionHeading"/>
      </w:pPr>
      <w:bookmarkStart w:id="41" w:name="_Toc155860020"/>
      <w:r w:rsidRPr="00FE714A">
        <w:t>Comparative harms</w:t>
      </w:r>
      <w:bookmarkEnd w:id="41"/>
    </w:p>
    <w:p w14:paraId="58FA308A" w14:textId="2972C911" w:rsidR="004779D9" w:rsidRPr="00FE714A" w:rsidRDefault="004779D9" w:rsidP="00593E82">
      <w:pPr>
        <w:pStyle w:val="3-BodyText"/>
      </w:pPr>
      <w:r w:rsidRPr="00FE714A">
        <w:fldChar w:fldCharType="begin" w:fldLock="1"/>
      </w:r>
      <w:r w:rsidRPr="00FE714A">
        <w:instrText xml:space="preserve"> REF _Ref155562564 \h </w:instrText>
      </w:r>
      <w:r w:rsidRPr="00FE714A">
        <w:fldChar w:fldCharType="separate"/>
      </w:r>
      <w:r w:rsidR="00B3585E" w:rsidRPr="00FE714A">
        <w:t xml:space="preserve">Table </w:t>
      </w:r>
      <w:r w:rsidR="00B3585E">
        <w:rPr>
          <w:noProof/>
        </w:rPr>
        <w:t>13</w:t>
      </w:r>
      <w:r w:rsidRPr="00FE714A">
        <w:fldChar w:fldCharType="end"/>
      </w:r>
      <w:r w:rsidRPr="00FE714A">
        <w:t xml:space="preserve"> summarises the </w:t>
      </w:r>
      <w:r w:rsidR="00AE7858" w:rsidRPr="00FE714A">
        <w:t>adverse events (</w:t>
      </w:r>
      <w:r w:rsidRPr="00FE714A">
        <w:t>AEs</w:t>
      </w:r>
      <w:r w:rsidR="00AE7858" w:rsidRPr="00FE714A">
        <w:t>)</w:t>
      </w:r>
      <w:r w:rsidRPr="00FE714A">
        <w:t xml:space="preserve"> reported in the included LEB trials. Results for individual trials were statistically not significant (95%CI included 1 or 0 for RR and RD respectively)</w:t>
      </w:r>
      <w:r w:rsidR="00FE714A">
        <w:t xml:space="preserve">. </w:t>
      </w:r>
    </w:p>
    <w:p w14:paraId="1125095C" w14:textId="752AA725" w:rsidR="004779D9" w:rsidRPr="00FE714A" w:rsidRDefault="004779D9" w:rsidP="001A38C3">
      <w:pPr>
        <w:pStyle w:val="Caption"/>
        <w:rPr>
          <w:color w:val="0066FF"/>
        </w:rPr>
      </w:pPr>
      <w:bookmarkStart w:id="42" w:name="_Ref155562564"/>
      <w:r w:rsidRPr="00FE714A">
        <w:t xml:space="preserve">Table </w:t>
      </w:r>
      <w:r w:rsidR="008B26E3">
        <w:fldChar w:fldCharType="begin" w:fldLock="1"/>
      </w:r>
      <w:r w:rsidR="008B26E3">
        <w:instrText xml:space="preserve"> SEQ Table \* ARABIC </w:instrText>
      </w:r>
      <w:r w:rsidR="008B26E3">
        <w:fldChar w:fldCharType="separate"/>
      </w:r>
      <w:r w:rsidR="00B3585E">
        <w:rPr>
          <w:noProof/>
        </w:rPr>
        <w:t>13</w:t>
      </w:r>
      <w:r w:rsidR="008B26E3">
        <w:rPr>
          <w:noProof/>
        </w:rPr>
        <w:fldChar w:fldCharType="end"/>
      </w:r>
      <w:bookmarkEnd w:id="42"/>
      <w:r w:rsidRPr="00FE714A">
        <w:rPr>
          <w:rStyle w:val="CommentReference"/>
          <w:b/>
          <w:szCs w:val="24"/>
        </w:rPr>
        <w:t xml:space="preserve">: Summary and meta-analysis of any adverse events reported in the included LEB trials </w:t>
      </w:r>
      <w:r w:rsidRPr="00FE714A">
        <w:t>(Week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Caption w:val="Table 13: Summary and meta-analysis of any adverse events reported in the included LEB trials (Week 16)"/>
      </w:tblPr>
      <w:tblGrid>
        <w:gridCol w:w="1838"/>
        <w:gridCol w:w="1701"/>
        <w:gridCol w:w="1702"/>
        <w:gridCol w:w="1888"/>
        <w:gridCol w:w="1888"/>
      </w:tblGrid>
      <w:tr w:rsidR="004779D9" w:rsidRPr="00FE714A" w14:paraId="2D14B366" w14:textId="77777777" w:rsidTr="007F70AC">
        <w:trPr>
          <w:cantSplit/>
          <w:trHeight w:val="227"/>
          <w:tblHeader/>
        </w:trPr>
        <w:tc>
          <w:tcPr>
            <w:tcW w:w="1019" w:type="pct"/>
            <w:vMerge w:val="restart"/>
            <w:tcBorders>
              <w:right w:val="single" w:sz="4" w:space="0" w:color="auto"/>
            </w:tcBorders>
            <w:shd w:val="clear" w:color="auto" w:fill="auto"/>
            <w:tcMar>
              <w:left w:w="57" w:type="dxa"/>
              <w:right w:w="57" w:type="dxa"/>
            </w:tcMar>
            <w:vAlign w:val="center"/>
          </w:tcPr>
          <w:p w14:paraId="54E4BF20" w14:textId="77777777" w:rsidR="004779D9" w:rsidRPr="00FE714A" w:rsidRDefault="004779D9" w:rsidP="00DB2033">
            <w:pPr>
              <w:keepNext/>
              <w:keepLines/>
              <w:jc w:val="center"/>
              <w:rPr>
                <w:rFonts w:ascii="Arial Narrow" w:hAnsi="Arial Narrow"/>
                <w:sz w:val="20"/>
                <w:szCs w:val="20"/>
              </w:rPr>
            </w:pPr>
          </w:p>
        </w:tc>
        <w:tc>
          <w:tcPr>
            <w:tcW w:w="943" w:type="pct"/>
            <w:vMerge w:val="restart"/>
            <w:tcBorders>
              <w:left w:val="single" w:sz="4" w:space="0" w:color="auto"/>
              <w:right w:val="single" w:sz="4" w:space="0" w:color="auto"/>
            </w:tcBorders>
            <w:shd w:val="clear" w:color="auto" w:fill="auto"/>
            <w:tcMar>
              <w:left w:w="57" w:type="dxa"/>
              <w:right w:w="57" w:type="dxa"/>
            </w:tcMar>
            <w:vAlign w:val="center"/>
          </w:tcPr>
          <w:p w14:paraId="66850B02"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b/>
                <w:bCs/>
                <w:sz w:val="20"/>
                <w:szCs w:val="20"/>
              </w:rPr>
              <w:t>LEB 250 mg Q2W ± TCS</w:t>
            </w:r>
          </w:p>
        </w:tc>
        <w:tc>
          <w:tcPr>
            <w:tcW w:w="944" w:type="pct"/>
            <w:vMerge w:val="restart"/>
            <w:tcBorders>
              <w:left w:val="single" w:sz="4" w:space="0" w:color="auto"/>
              <w:right w:val="single" w:sz="4" w:space="0" w:color="auto"/>
            </w:tcBorders>
            <w:shd w:val="clear" w:color="auto" w:fill="auto"/>
            <w:tcMar>
              <w:left w:w="57" w:type="dxa"/>
              <w:right w:w="57" w:type="dxa"/>
            </w:tcMar>
            <w:vAlign w:val="center"/>
          </w:tcPr>
          <w:p w14:paraId="19044A82" w14:textId="77777777" w:rsidR="004779D9" w:rsidRPr="00FE714A" w:rsidRDefault="004779D9" w:rsidP="00DB2033">
            <w:pPr>
              <w:keepNext/>
              <w:keepLines/>
              <w:jc w:val="center"/>
              <w:rPr>
                <w:rFonts w:ascii="Arial Narrow" w:hAnsi="Arial Narrow"/>
                <w:b/>
                <w:bCs/>
                <w:sz w:val="20"/>
                <w:szCs w:val="20"/>
              </w:rPr>
            </w:pPr>
            <w:r w:rsidRPr="00FE714A">
              <w:rPr>
                <w:rFonts w:ascii="Arial Narrow" w:hAnsi="Arial Narrow"/>
                <w:b/>
                <w:bCs/>
                <w:sz w:val="20"/>
                <w:szCs w:val="20"/>
              </w:rPr>
              <w:t>PBO ± TCS</w:t>
            </w:r>
          </w:p>
        </w:tc>
        <w:tc>
          <w:tcPr>
            <w:tcW w:w="1047" w:type="pct"/>
            <w:tcBorders>
              <w:left w:val="single" w:sz="4" w:space="0" w:color="auto"/>
              <w:right w:val="single" w:sz="4" w:space="0" w:color="auto"/>
            </w:tcBorders>
            <w:shd w:val="clear" w:color="auto" w:fill="auto"/>
            <w:tcMar>
              <w:left w:w="57" w:type="dxa"/>
              <w:right w:w="57" w:type="dxa"/>
            </w:tcMar>
            <w:vAlign w:val="center"/>
          </w:tcPr>
          <w:p w14:paraId="54AB1D97" w14:textId="77777777" w:rsidR="004779D9" w:rsidRPr="00FE714A" w:rsidRDefault="004779D9" w:rsidP="00DB2033">
            <w:pPr>
              <w:keepNext/>
              <w:keepLines/>
              <w:jc w:val="center"/>
              <w:rPr>
                <w:rFonts w:ascii="Arial Narrow" w:hAnsi="Arial Narrow"/>
                <w:b/>
                <w:bCs/>
                <w:sz w:val="20"/>
                <w:szCs w:val="20"/>
              </w:rPr>
            </w:pPr>
            <w:r w:rsidRPr="00FE714A">
              <w:rPr>
                <w:rFonts w:ascii="Arial Narrow" w:hAnsi="Arial Narrow"/>
                <w:b/>
                <w:bCs/>
                <w:sz w:val="20"/>
                <w:szCs w:val="20"/>
              </w:rPr>
              <w:t>RR (95% CI)</w:t>
            </w:r>
          </w:p>
        </w:tc>
        <w:tc>
          <w:tcPr>
            <w:tcW w:w="1047" w:type="pct"/>
            <w:tcBorders>
              <w:left w:val="single" w:sz="4" w:space="0" w:color="auto"/>
            </w:tcBorders>
            <w:shd w:val="clear" w:color="auto" w:fill="auto"/>
            <w:tcMar>
              <w:left w:w="57" w:type="dxa"/>
              <w:right w:w="57" w:type="dxa"/>
            </w:tcMar>
            <w:vAlign w:val="center"/>
          </w:tcPr>
          <w:p w14:paraId="439B04D2" w14:textId="77777777" w:rsidR="004779D9" w:rsidRPr="00FE714A" w:rsidRDefault="004779D9" w:rsidP="00DB2033">
            <w:pPr>
              <w:keepNext/>
              <w:keepLines/>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32A846F2" w14:textId="77777777" w:rsidTr="007F70AC">
        <w:trPr>
          <w:cantSplit/>
          <w:trHeight w:val="227"/>
        </w:trPr>
        <w:tc>
          <w:tcPr>
            <w:tcW w:w="1019" w:type="pct"/>
            <w:vMerge/>
            <w:tcBorders>
              <w:right w:val="single" w:sz="4" w:space="0" w:color="auto"/>
            </w:tcBorders>
            <w:shd w:val="clear" w:color="auto" w:fill="auto"/>
            <w:tcMar>
              <w:left w:w="57" w:type="dxa"/>
              <w:right w:w="57" w:type="dxa"/>
            </w:tcMar>
            <w:vAlign w:val="center"/>
          </w:tcPr>
          <w:p w14:paraId="0E3311FF" w14:textId="77777777" w:rsidR="004779D9" w:rsidRPr="00FE714A" w:rsidRDefault="004779D9" w:rsidP="00DB2033">
            <w:pPr>
              <w:keepNext/>
              <w:keepLines/>
              <w:jc w:val="left"/>
              <w:rPr>
                <w:rFonts w:ascii="Arial Narrow" w:hAnsi="Arial Narrow"/>
                <w:b/>
                <w:bCs/>
                <w:sz w:val="20"/>
                <w:szCs w:val="20"/>
              </w:rPr>
            </w:pPr>
          </w:p>
        </w:tc>
        <w:tc>
          <w:tcPr>
            <w:tcW w:w="943" w:type="pct"/>
            <w:vMerge/>
            <w:tcBorders>
              <w:left w:val="single" w:sz="4" w:space="0" w:color="auto"/>
              <w:right w:val="single" w:sz="4" w:space="0" w:color="auto"/>
            </w:tcBorders>
            <w:shd w:val="clear" w:color="auto" w:fill="auto"/>
            <w:tcMar>
              <w:left w:w="57" w:type="dxa"/>
              <w:right w:w="57" w:type="dxa"/>
            </w:tcMar>
            <w:vAlign w:val="center"/>
          </w:tcPr>
          <w:p w14:paraId="5846111E" w14:textId="77777777" w:rsidR="004779D9" w:rsidRPr="00FE714A" w:rsidRDefault="004779D9" w:rsidP="00DB2033">
            <w:pPr>
              <w:keepNext/>
              <w:keepLines/>
              <w:jc w:val="center"/>
              <w:rPr>
                <w:rFonts w:ascii="Arial Narrow" w:hAnsi="Arial Narrow"/>
                <w:b/>
                <w:bCs/>
                <w:sz w:val="20"/>
                <w:szCs w:val="20"/>
              </w:rPr>
            </w:pPr>
          </w:p>
        </w:tc>
        <w:tc>
          <w:tcPr>
            <w:tcW w:w="944" w:type="pct"/>
            <w:vMerge/>
            <w:tcBorders>
              <w:left w:val="single" w:sz="4" w:space="0" w:color="auto"/>
              <w:right w:val="single" w:sz="4" w:space="0" w:color="auto"/>
            </w:tcBorders>
            <w:shd w:val="clear" w:color="auto" w:fill="auto"/>
            <w:tcMar>
              <w:left w:w="57" w:type="dxa"/>
              <w:right w:w="57" w:type="dxa"/>
            </w:tcMar>
            <w:vAlign w:val="center"/>
          </w:tcPr>
          <w:p w14:paraId="130B8F8E" w14:textId="77777777" w:rsidR="004779D9" w:rsidRPr="00FE714A" w:rsidRDefault="004779D9" w:rsidP="00DB2033">
            <w:pPr>
              <w:keepNext/>
              <w:keepLines/>
              <w:jc w:val="center"/>
              <w:rPr>
                <w:rFonts w:ascii="Arial Narrow" w:hAnsi="Arial Narrow"/>
                <w:b/>
                <w:bCs/>
                <w:sz w:val="20"/>
                <w:szCs w:val="20"/>
              </w:rPr>
            </w:pPr>
          </w:p>
        </w:tc>
        <w:tc>
          <w:tcPr>
            <w:tcW w:w="2094" w:type="pct"/>
            <w:gridSpan w:val="2"/>
            <w:tcBorders>
              <w:left w:val="single" w:sz="4" w:space="0" w:color="auto"/>
            </w:tcBorders>
            <w:shd w:val="clear" w:color="auto" w:fill="auto"/>
            <w:vAlign w:val="center"/>
          </w:tcPr>
          <w:p w14:paraId="3D8F0464" w14:textId="77777777" w:rsidR="004779D9" w:rsidRPr="00FE714A" w:rsidRDefault="004779D9" w:rsidP="00DB2033">
            <w:pPr>
              <w:keepNext/>
              <w:keepLines/>
              <w:jc w:val="center"/>
              <w:rPr>
                <w:rFonts w:ascii="Arial Narrow" w:hAnsi="Arial Narrow"/>
                <w:b/>
                <w:bCs/>
                <w:sz w:val="20"/>
                <w:szCs w:val="20"/>
              </w:rPr>
            </w:pPr>
            <w:r w:rsidRPr="00FE714A">
              <w:rPr>
                <w:rFonts w:ascii="Arial Narrow" w:hAnsi="Arial Narrow"/>
                <w:b/>
                <w:bCs/>
                <w:sz w:val="20"/>
                <w:szCs w:val="20"/>
              </w:rPr>
              <w:t>Active treatment ± TCS vs PBO ± TCS</w:t>
            </w:r>
          </w:p>
        </w:tc>
      </w:tr>
      <w:tr w:rsidR="004779D9" w:rsidRPr="00FE714A" w14:paraId="01F9BE57" w14:textId="77777777" w:rsidTr="007F70AC">
        <w:trPr>
          <w:cantSplit/>
          <w:trHeight w:val="227"/>
        </w:trPr>
        <w:tc>
          <w:tcPr>
            <w:tcW w:w="5000" w:type="pct"/>
            <w:gridSpan w:val="5"/>
            <w:shd w:val="clear" w:color="auto" w:fill="auto"/>
            <w:tcMar>
              <w:left w:w="57" w:type="dxa"/>
              <w:right w:w="57" w:type="dxa"/>
            </w:tcMar>
            <w:vAlign w:val="center"/>
          </w:tcPr>
          <w:p w14:paraId="7CB68ADA" w14:textId="77777777" w:rsidR="004779D9" w:rsidRPr="00FE714A" w:rsidRDefault="004779D9" w:rsidP="00DB2033">
            <w:pPr>
              <w:keepNext/>
              <w:keepLines/>
              <w:jc w:val="left"/>
              <w:rPr>
                <w:rFonts w:ascii="Arial Narrow" w:hAnsi="Arial Narrow"/>
                <w:b/>
                <w:bCs/>
                <w:sz w:val="20"/>
                <w:szCs w:val="20"/>
              </w:rPr>
            </w:pPr>
            <w:r w:rsidRPr="00FE714A">
              <w:rPr>
                <w:rFonts w:ascii="Arial Narrow" w:hAnsi="Arial Narrow"/>
                <w:b/>
                <w:bCs/>
                <w:sz w:val="20"/>
                <w:szCs w:val="20"/>
              </w:rPr>
              <w:t>Monotherapy trials</w:t>
            </w:r>
          </w:p>
        </w:tc>
      </w:tr>
      <w:tr w:rsidR="004779D9" w:rsidRPr="00FE714A" w14:paraId="341ECC39" w14:textId="77777777" w:rsidTr="007F70AC">
        <w:trPr>
          <w:cantSplit/>
          <w:trHeight w:val="227"/>
        </w:trPr>
        <w:tc>
          <w:tcPr>
            <w:tcW w:w="1019" w:type="pct"/>
            <w:shd w:val="clear" w:color="auto" w:fill="auto"/>
            <w:tcMar>
              <w:left w:w="57" w:type="dxa"/>
              <w:right w:w="57" w:type="dxa"/>
            </w:tcMar>
            <w:vAlign w:val="center"/>
          </w:tcPr>
          <w:p w14:paraId="6507CDDE" w14:textId="77777777" w:rsidR="004779D9" w:rsidRPr="00FE714A" w:rsidRDefault="004779D9" w:rsidP="00DB2033">
            <w:pPr>
              <w:keepNext/>
              <w:keepLines/>
              <w:jc w:val="left"/>
              <w:rPr>
                <w:rFonts w:ascii="Arial Narrow" w:hAnsi="Arial Narrow"/>
                <w:sz w:val="20"/>
                <w:szCs w:val="20"/>
              </w:rPr>
            </w:pPr>
            <w:r w:rsidRPr="00FE714A">
              <w:rPr>
                <w:rFonts w:ascii="Arial Narrow" w:hAnsi="Arial Narrow"/>
                <w:sz w:val="20"/>
                <w:szCs w:val="20"/>
              </w:rPr>
              <w:t>KGAF</w:t>
            </w:r>
          </w:p>
        </w:tc>
        <w:tc>
          <w:tcPr>
            <w:tcW w:w="943" w:type="pct"/>
            <w:shd w:val="clear" w:color="auto" w:fill="auto"/>
            <w:tcMar>
              <w:left w:w="57" w:type="dxa"/>
              <w:right w:w="57" w:type="dxa"/>
            </w:tcMar>
            <w:vAlign w:val="center"/>
          </w:tcPr>
          <w:p w14:paraId="7771BBAD" w14:textId="77777777" w:rsidR="004779D9" w:rsidRPr="00FE714A" w:rsidRDefault="004779D9" w:rsidP="00DB2033">
            <w:pPr>
              <w:keepNext/>
              <w:keepLines/>
              <w:jc w:val="center"/>
              <w:rPr>
                <w:rFonts w:ascii="Arial Narrow" w:eastAsia="Calibri" w:hAnsi="Arial Narrow"/>
                <w:sz w:val="20"/>
                <w:szCs w:val="20"/>
              </w:rPr>
            </w:pPr>
            <w:r w:rsidRPr="00FE714A">
              <w:rPr>
                <w:rFonts w:ascii="Arial Narrow" w:eastAsia="Calibri" w:hAnsi="Arial Narrow"/>
                <w:sz w:val="20"/>
                <w:szCs w:val="20"/>
              </w:rPr>
              <w:t>46/75 (61.3)</w:t>
            </w:r>
          </w:p>
        </w:tc>
        <w:tc>
          <w:tcPr>
            <w:tcW w:w="944" w:type="pct"/>
            <w:shd w:val="clear" w:color="auto" w:fill="auto"/>
            <w:tcMar>
              <w:left w:w="57" w:type="dxa"/>
              <w:right w:w="57" w:type="dxa"/>
            </w:tcMar>
            <w:vAlign w:val="center"/>
          </w:tcPr>
          <w:p w14:paraId="6139E09E" w14:textId="77777777" w:rsidR="004779D9" w:rsidRPr="00FE714A" w:rsidRDefault="004779D9" w:rsidP="00DB2033">
            <w:pPr>
              <w:keepNext/>
              <w:keepLines/>
              <w:jc w:val="center"/>
              <w:rPr>
                <w:rFonts w:ascii="Arial Narrow" w:hAnsi="Arial Narrow"/>
                <w:sz w:val="20"/>
                <w:szCs w:val="20"/>
              </w:rPr>
            </w:pPr>
            <w:r w:rsidRPr="00FE714A">
              <w:rPr>
                <w:rFonts w:ascii="Arial Narrow" w:eastAsia="Calibri" w:hAnsi="Arial Narrow"/>
                <w:sz w:val="20"/>
                <w:szCs w:val="20"/>
              </w:rPr>
              <w:t>24/52 (46.2)</w:t>
            </w:r>
          </w:p>
        </w:tc>
        <w:tc>
          <w:tcPr>
            <w:tcW w:w="1047" w:type="pct"/>
            <w:shd w:val="clear" w:color="auto" w:fill="auto"/>
            <w:tcMar>
              <w:left w:w="57" w:type="dxa"/>
              <w:right w:w="57" w:type="dxa"/>
            </w:tcMar>
            <w:vAlign w:val="center"/>
          </w:tcPr>
          <w:p w14:paraId="046B0882" w14:textId="77777777" w:rsidR="004779D9" w:rsidRPr="00FE714A" w:rsidRDefault="004779D9" w:rsidP="00DB2033">
            <w:pPr>
              <w:keepNext/>
              <w:keepLines/>
              <w:jc w:val="center"/>
              <w:rPr>
                <w:rFonts w:ascii="Arial Narrow" w:hAnsi="Arial Narrow"/>
                <w:sz w:val="20"/>
                <w:szCs w:val="20"/>
                <w:highlight w:val="yellow"/>
              </w:rPr>
            </w:pPr>
            <w:r w:rsidRPr="00FE714A">
              <w:rPr>
                <w:rFonts w:ascii="Arial Narrow" w:hAnsi="Arial Narrow"/>
                <w:sz w:val="20"/>
                <w:szCs w:val="20"/>
              </w:rPr>
              <w:t>1.3 (0.9, 1.9)</w:t>
            </w:r>
          </w:p>
        </w:tc>
        <w:tc>
          <w:tcPr>
            <w:tcW w:w="1047" w:type="pct"/>
            <w:shd w:val="clear" w:color="auto" w:fill="auto"/>
            <w:tcMar>
              <w:left w:w="57" w:type="dxa"/>
              <w:right w:w="57" w:type="dxa"/>
            </w:tcMar>
            <w:vAlign w:val="center"/>
          </w:tcPr>
          <w:p w14:paraId="1932276A" w14:textId="77777777" w:rsidR="004779D9" w:rsidRPr="00FE714A" w:rsidRDefault="004779D9" w:rsidP="00DB2033">
            <w:pPr>
              <w:keepNext/>
              <w:keepLines/>
              <w:jc w:val="center"/>
              <w:rPr>
                <w:rFonts w:ascii="Arial Narrow" w:hAnsi="Arial Narrow"/>
                <w:b/>
                <w:bCs/>
                <w:i/>
                <w:iCs/>
                <w:sz w:val="20"/>
                <w:szCs w:val="20"/>
                <w:highlight w:val="yellow"/>
              </w:rPr>
            </w:pPr>
            <w:r w:rsidRPr="00FE714A">
              <w:rPr>
                <w:rFonts w:ascii="Arial Narrow" w:hAnsi="Arial Narrow"/>
                <w:sz w:val="20"/>
                <w:szCs w:val="20"/>
              </w:rPr>
              <w:t>0.15 (</w:t>
            </w:r>
            <w:r w:rsidRPr="00FE714A">
              <w:rPr>
                <w:rFonts w:ascii="Arial Narrow" w:hAnsi="Arial Narrow"/>
                <w:sz w:val="20"/>
                <w:szCs w:val="20"/>
              </w:rPr>
              <w:noBreakHyphen/>
              <w:t>0.02, 0.33)</w:t>
            </w:r>
          </w:p>
        </w:tc>
      </w:tr>
      <w:tr w:rsidR="004779D9" w:rsidRPr="00FE714A" w14:paraId="4D420BCE" w14:textId="77777777" w:rsidTr="007F70AC">
        <w:trPr>
          <w:cantSplit/>
          <w:trHeight w:val="227"/>
        </w:trPr>
        <w:tc>
          <w:tcPr>
            <w:tcW w:w="1019" w:type="pct"/>
            <w:shd w:val="clear" w:color="auto" w:fill="auto"/>
            <w:tcMar>
              <w:left w:w="57" w:type="dxa"/>
              <w:right w:w="57" w:type="dxa"/>
            </w:tcMar>
            <w:vAlign w:val="center"/>
          </w:tcPr>
          <w:p w14:paraId="1C8D81D3" w14:textId="77777777" w:rsidR="004779D9" w:rsidRPr="00FE714A" w:rsidRDefault="004779D9" w:rsidP="00DB2033">
            <w:pPr>
              <w:keepNext/>
              <w:keepLines/>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1</w:t>
            </w:r>
          </w:p>
        </w:tc>
        <w:tc>
          <w:tcPr>
            <w:tcW w:w="943" w:type="pct"/>
            <w:shd w:val="clear" w:color="auto" w:fill="auto"/>
            <w:tcMar>
              <w:left w:w="57" w:type="dxa"/>
              <w:right w:w="57" w:type="dxa"/>
            </w:tcMar>
            <w:vAlign w:val="center"/>
          </w:tcPr>
          <w:p w14:paraId="7BBA2A54" w14:textId="77777777" w:rsidR="004779D9" w:rsidRPr="00FE714A" w:rsidRDefault="004779D9" w:rsidP="00DB2033">
            <w:pPr>
              <w:keepNext/>
              <w:keepLines/>
              <w:jc w:val="center"/>
              <w:rPr>
                <w:rFonts w:ascii="Arial Narrow" w:eastAsia="Calibri" w:hAnsi="Arial Narrow"/>
                <w:sz w:val="20"/>
                <w:szCs w:val="20"/>
              </w:rPr>
            </w:pPr>
            <w:r w:rsidRPr="00FE714A">
              <w:rPr>
                <w:rFonts w:ascii="Arial Narrow" w:eastAsia="Calibri" w:hAnsi="Arial Narrow"/>
                <w:sz w:val="20"/>
                <w:szCs w:val="20"/>
              </w:rPr>
              <w:t>129/282 (45.7)</w:t>
            </w:r>
          </w:p>
        </w:tc>
        <w:tc>
          <w:tcPr>
            <w:tcW w:w="944" w:type="pct"/>
            <w:shd w:val="clear" w:color="auto" w:fill="auto"/>
            <w:tcMar>
              <w:left w:w="57" w:type="dxa"/>
              <w:right w:w="57" w:type="dxa"/>
            </w:tcMar>
            <w:vAlign w:val="center"/>
          </w:tcPr>
          <w:p w14:paraId="2FF6DEF0" w14:textId="77777777" w:rsidR="004779D9" w:rsidRPr="00FE714A" w:rsidRDefault="004779D9" w:rsidP="00DB2033">
            <w:pPr>
              <w:keepNext/>
              <w:keepLines/>
              <w:jc w:val="center"/>
              <w:rPr>
                <w:rFonts w:ascii="Arial Narrow" w:hAnsi="Arial Narrow"/>
                <w:sz w:val="20"/>
                <w:szCs w:val="20"/>
              </w:rPr>
            </w:pPr>
            <w:r w:rsidRPr="00FE714A">
              <w:rPr>
                <w:rFonts w:ascii="Arial Narrow" w:eastAsia="Calibri" w:hAnsi="Arial Narrow"/>
                <w:sz w:val="20"/>
                <w:szCs w:val="20"/>
              </w:rPr>
              <w:t>73/141 (51.8)</w:t>
            </w:r>
          </w:p>
        </w:tc>
        <w:tc>
          <w:tcPr>
            <w:tcW w:w="1047" w:type="pct"/>
            <w:shd w:val="clear" w:color="auto" w:fill="auto"/>
            <w:tcMar>
              <w:left w:w="57" w:type="dxa"/>
              <w:right w:w="57" w:type="dxa"/>
            </w:tcMar>
            <w:vAlign w:val="center"/>
          </w:tcPr>
          <w:p w14:paraId="2CD371EF"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0.9 (0.7, 1.1)</w:t>
            </w:r>
          </w:p>
        </w:tc>
        <w:tc>
          <w:tcPr>
            <w:tcW w:w="1047" w:type="pct"/>
            <w:shd w:val="clear" w:color="auto" w:fill="auto"/>
            <w:tcMar>
              <w:left w:w="57" w:type="dxa"/>
              <w:right w:w="57" w:type="dxa"/>
            </w:tcMar>
            <w:vAlign w:val="center"/>
          </w:tcPr>
          <w:p w14:paraId="46C6A202"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noBreakHyphen/>
              <w:t>0.06 (</w:t>
            </w:r>
            <w:r w:rsidRPr="00FE714A">
              <w:rPr>
                <w:rFonts w:ascii="Arial Narrow" w:hAnsi="Arial Narrow"/>
                <w:sz w:val="20"/>
                <w:szCs w:val="20"/>
              </w:rPr>
              <w:noBreakHyphen/>
              <w:t>0.16, 0.04)</w:t>
            </w:r>
          </w:p>
        </w:tc>
      </w:tr>
      <w:tr w:rsidR="004779D9" w:rsidRPr="00FE714A" w14:paraId="5084CDC7" w14:textId="77777777" w:rsidTr="007F70AC">
        <w:trPr>
          <w:cantSplit/>
          <w:trHeight w:val="227"/>
        </w:trPr>
        <w:tc>
          <w:tcPr>
            <w:tcW w:w="1019" w:type="pct"/>
            <w:shd w:val="clear" w:color="auto" w:fill="auto"/>
            <w:tcMar>
              <w:left w:w="57" w:type="dxa"/>
              <w:right w:w="57" w:type="dxa"/>
            </w:tcMar>
            <w:vAlign w:val="center"/>
          </w:tcPr>
          <w:p w14:paraId="79CBB8F2" w14:textId="77777777" w:rsidR="004779D9" w:rsidRPr="00FE714A" w:rsidRDefault="004779D9" w:rsidP="00DB2033">
            <w:pPr>
              <w:keepNext/>
              <w:keepLines/>
              <w:jc w:val="left"/>
              <w:rPr>
                <w:rFonts w:ascii="Arial Narrow" w:hAnsi="Arial Narrow"/>
                <w:sz w:val="20"/>
                <w:szCs w:val="20"/>
              </w:rPr>
            </w:pPr>
            <w:proofErr w:type="spellStart"/>
            <w:r w:rsidRPr="00FE714A">
              <w:rPr>
                <w:rFonts w:ascii="Arial Narrow" w:hAnsi="Arial Narrow"/>
                <w:sz w:val="20"/>
                <w:szCs w:val="20"/>
              </w:rPr>
              <w:t>ADvocate</w:t>
            </w:r>
            <w:proofErr w:type="spellEnd"/>
            <w:r w:rsidRPr="00FE714A">
              <w:rPr>
                <w:rFonts w:ascii="Arial Narrow" w:hAnsi="Arial Narrow"/>
                <w:sz w:val="20"/>
                <w:szCs w:val="20"/>
              </w:rPr>
              <w:t xml:space="preserve"> 2</w:t>
            </w:r>
          </w:p>
        </w:tc>
        <w:tc>
          <w:tcPr>
            <w:tcW w:w="943" w:type="pct"/>
            <w:shd w:val="clear" w:color="auto" w:fill="auto"/>
            <w:tcMar>
              <w:left w:w="57" w:type="dxa"/>
              <w:right w:w="57" w:type="dxa"/>
            </w:tcMar>
            <w:vAlign w:val="center"/>
          </w:tcPr>
          <w:p w14:paraId="17831753" w14:textId="77777777" w:rsidR="004779D9" w:rsidRPr="00FE714A" w:rsidRDefault="004779D9" w:rsidP="00DB2033">
            <w:pPr>
              <w:keepNext/>
              <w:keepLines/>
              <w:jc w:val="center"/>
              <w:rPr>
                <w:rFonts w:ascii="Arial Narrow" w:eastAsia="Calibri" w:hAnsi="Arial Narrow"/>
                <w:sz w:val="20"/>
                <w:szCs w:val="20"/>
              </w:rPr>
            </w:pPr>
            <w:r w:rsidRPr="00FE714A">
              <w:rPr>
                <w:rFonts w:ascii="Arial Narrow" w:eastAsia="Calibri" w:hAnsi="Arial Narrow"/>
                <w:sz w:val="20"/>
                <w:szCs w:val="20"/>
              </w:rPr>
              <w:t>150/281 (53.4)</w:t>
            </w:r>
          </w:p>
        </w:tc>
        <w:tc>
          <w:tcPr>
            <w:tcW w:w="944" w:type="pct"/>
            <w:shd w:val="clear" w:color="auto" w:fill="auto"/>
            <w:tcMar>
              <w:left w:w="57" w:type="dxa"/>
              <w:right w:w="57" w:type="dxa"/>
            </w:tcMar>
            <w:vAlign w:val="center"/>
          </w:tcPr>
          <w:p w14:paraId="1B2284ED" w14:textId="77777777" w:rsidR="004779D9" w:rsidRPr="00FE714A" w:rsidRDefault="004779D9" w:rsidP="00DB2033">
            <w:pPr>
              <w:keepNext/>
              <w:keepLines/>
              <w:jc w:val="center"/>
              <w:rPr>
                <w:rFonts w:ascii="Arial Narrow" w:hAnsi="Arial Narrow"/>
                <w:sz w:val="20"/>
                <w:szCs w:val="20"/>
              </w:rPr>
            </w:pPr>
            <w:r w:rsidRPr="00FE714A">
              <w:rPr>
                <w:rFonts w:ascii="Arial Narrow" w:eastAsia="Calibri" w:hAnsi="Arial Narrow"/>
                <w:sz w:val="20"/>
                <w:szCs w:val="20"/>
              </w:rPr>
              <w:t>96/145 (66.2)</w:t>
            </w:r>
          </w:p>
        </w:tc>
        <w:tc>
          <w:tcPr>
            <w:tcW w:w="1047" w:type="pct"/>
            <w:shd w:val="clear" w:color="auto" w:fill="auto"/>
            <w:tcMar>
              <w:left w:w="57" w:type="dxa"/>
              <w:right w:w="57" w:type="dxa"/>
            </w:tcMar>
            <w:vAlign w:val="center"/>
          </w:tcPr>
          <w:p w14:paraId="16522D4D"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0.8 (0.7, 0.9)</w:t>
            </w:r>
          </w:p>
        </w:tc>
        <w:tc>
          <w:tcPr>
            <w:tcW w:w="1047" w:type="pct"/>
            <w:shd w:val="clear" w:color="auto" w:fill="auto"/>
            <w:tcMar>
              <w:left w:w="57" w:type="dxa"/>
              <w:right w:w="57" w:type="dxa"/>
            </w:tcMar>
            <w:vAlign w:val="center"/>
          </w:tcPr>
          <w:p w14:paraId="69A09519"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noBreakHyphen/>
              <w:t>0.13 (</w:t>
            </w:r>
            <w:r w:rsidRPr="00FE714A">
              <w:rPr>
                <w:rFonts w:ascii="Arial Narrow" w:hAnsi="Arial Narrow"/>
                <w:sz w:val="20"/>
                <w:szCs w:val="20"/>
              </w:rPr>
              <w:noBreakHyphen/>
              <w:t xml:space="preserve">0.22, </w:t>
            </w:r>
            <w:r w:rsidRPr="00FE714A">
              <w:rPr>
                <w:rFonts w:ascii="Arial Narrow" w:hAnsi="Arial Narrow"/>
                <w:sz w:val="20"/>
                <w:szCs w:val="20"/>
              </w:rPr>
              <w:noBreakHyphen/>
              <w:t>0.03)</w:t>
            </w:r>
          </w:p>
        </w:tc>
      </w:tr>
      <w:tr w:rsidR="004779D9" w:rsidRPr="00FE714A" w14:paraId="6FEFD94C" w14:textId="77777777" w:rsidTr="007F70AC">
        <w:trPr>
          <w:cantSplit/>
          <w:trHeight w:val="227"/>
        </w:trPr>
        <w:tc>
          <w:tcPr>
            <w:tcW w:w="1019" w:type="pct"/>
            <w:shd w:val="clear" w:color="auto" w:fill="auto"/>
            <w:tcMar>
              <w:left w:w="57" w:type="dxa"/>
              <w:right w:w="57" w:type="dxa"/>
            </w:tcMar>
            <w:vAlign w:val="center"/>
          </w:tcPr>
          <w:p w14:paraId="11D72223" w14:textId="77777777" w:rsidR="004779D9" w:rsidRPr="00FE714A" w:rsidRDefault="004779D9" w:rsidP="00DB2033">
            <w:pPr>
              <w:keepNext/>
              <w:keepLines/>
              <w:jc w:val="left"/>
              <w:rPr>
                <w:rFonts w:ascii="Arial Narrow" w:hAnsi="Arial Narrow"/>
                <w:sz w:val="20"/>
                <w:szCs w:val="20"/>
              </w:rPr>
            </w:pPr>
            <w:proofErr w:type="spellStart"/>
            <w:r w:rsidRPr="00FE714A">
              <w:rPr>
                <w:rFonts w:ascii="Arial Narrow" w:hAnsi="Arial Narrow"/>
                <w:sz w:val="20"/>
                <w:szCs w:val="20"/>
              </w:rPr>
              <w:t>ADopt</w:t>
            </w:r>
            <w:proofErr w:type="spellEnd"/>
            <w:r w:rsidRPr="00FE714A">
              <w:rPr>
                <w:rFonts w:ascii="Arial Narrow" w:hAnsi="Arial Narrow"/>
                <w:sz w:val="20"/>
                <w:szCs w:val="20"/>
              </w:rPr>
              <w:t xml:space="preserve"> VA</w:t>
            </w:r>
          </w:p>
        </w:tc>
        <w:tc>
          <w:tcPr>
            <w:tcW w:w="943" w:type="pct"/>
            <w:shd w:val="clear" w:color="auto" w:fill="auto"/>
            <w:tcMar>
              <w:left w:w="57" w:type="dxa"/>
              <w:right w:w="57" w:type="dxa"/>
            </w:tcMar>
            <w:vAlign w:val="center"/>
          </w:tcPr>
          <w:p w14:paraId="05456033" w14:textId="77777777" w:rsidR="004779D9" w:rsidRPr="00FE714A" w:rsidRDefault="004779D9" w:rsidP="00DB2033">
            <w:pPr>
              <w:keepNext/>
              <w:keepLines/>
              <w:jc w:val="center"/>
              <w:rPr>
                <w:rFonts w:ascii="Arial Narrow" w:eastAsia="Calibri" w:hAnsi="Arial Narrow"/>
                <w:sz w:val="20"/>
                <w:szCs w:val="20"/>
              </w:rPr>
            </w:pPr>
            <w:r w:rsidRPr="00FE714A">
              <w:rPr>
                <w:rFonts w:ascii="Arial Narrow" w:eastAsia="Calibri" w:hAnsi="Arial Narrow"/>
                <w:sz w:val="20"/>
                <w:szCs w:val="20"/>
              </w:rPr>
              <w:t>48/125 (38.4)</w:t>
            </w:r>
          </w:p>
        </w:tc>
        <w:tc>
          <w:tcPr>
            <w:tcW w:w="944" w:type="pct"/>
            <w:shd w:val="clear" w:color="auto" w:fill="auto"/>
            <w:tcMar>
              <w:left w:w="57" w:type="dxa"/>
              <w:right w:w="57" w:type="dxa"/>
            </w:tcMar>
            <w:vAlign w:val="center"/>
          </w:tcPr>
          <w:p w14:paraId="518842F1" w14:textId="77777777" w:rsidR="004779D9" w:rsidRPr="00FE714A" w:rsidRDefault="004779D9" w:rsidP="00DB2033">
            <w:pPr>
              <w:keepNext/>
              <w:keepLines/>
              <w:jc w:val="center"/>
              <w:rPr>
                <w:rFonts w:ascii="Arial Narrow" w:hAnsi="Arial Narrow"/>
                <w:sz w:val="20"/>
                <w:szCs w:val="20"/>
              </w:rPr>
            </w:pPr>
            <w:r w:rsidRPr="00FE714A">
              <w:rPr>
                <w:rFonts w:ascii="Arial Narrow" w:eastAsia="Calibri" w:hAnsi="Arial Narrow"/>
                <w:sz w:val="20"/>
                <w:szCs w:val="20"/>
              </w:rPr>
              <w:t>42/122 (34.4)</w:t>
            </w:r>
          </w:p>
        </w:tc>
        <w:tc>
          <w:tcPr>
            <w:tcW w:w="1047" w:type="pct"/>
            <w:shd w:val="clear" w:color="auto" w:fill="auto"/>
            <w:tcMar>
              <w:left w:w="57" w:type="dxa"/>
              <w:right w:w="57" w:type="dxa"/>
            </w:tcMar>
            <w:vAlign w:val="center"/>
          </w:tcPr>
          <w:p w14:paraId="737CFD27"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1.1 (0.8, 1.6)</w:t>
            </w:r>
          </w:p>
        </w:tc>
        <w:tc>
          <w:tcPr>
            <w:tcW w:w="1047" w:type="pct"/>
            <w:shd w:val="clear" w:color="auto" w:fill="auto"/>
            <w:tcMar>
              <w:left w:w="57" w:type="dxa"/>
              <w:right w:w="57" w:type="dxa"/>
            </w:tcMar>
            <w:vAlign w:val="center"/>
          </w:tcPr>
          <w:p w14:paraId="1D08A6B3"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0.04 (</w:t>
            </w:r>
            <w:r w:rsidRPr="00FE714A">
              <w:rPr>
                <w:rFonts w:ascii="Arial Narrow" w:hAnsi="Arial Narrow"/>
                <w:sz w:val="20"/>
                <w:szCs w:val="20"/>
              </w:rPr>
              <w:noBreakHyphen/>
              <w:t>0.08, 0.16)</w:t>
            </w:r>
          </w:p>
        </w:tc>
      </w:tr>
      <w:tr w:rsidR="004779D9" w:rsidRPr="00FE714A" w14:paraId="58EB2565" w14:textId="77777777" w:rsidTr="007F70AC">
        <w:trPr>
          <w:cantSplit/>
          <w:trHeight w:val="227"/>
        </w:trPr>
        <w:tc>
          <w:tcPr>
            <w:tcW w:w="1019" w:type="pct"/>
            <w:shd w:val="clear" w:color="auto" w:fill="auto"/>
            <w:tcMar>
              <w:left w:w="57" w:type="dxa"/>
              <w:right w:w="57" w:type="dxa"/>
            </w:tcMar>
            <w:vAlign w:val="center"/>
          </w:tcPr>
          <w:p w14:paraId="5F702242" w14:textId="77777777" w:rsidR="004779D9" w:rsidRPr="00FE714A" w:rsidRDefault="004779D9" w:rsidP="00DB2033">
            <w:pPr>
              <w:keepNext/>
              <w:keepLines/>
              <w:jc w:val="left"/>
              <w:rPr>
                <w:rFonts w:ascii="Arial Narrow" w:hAnsi="Arial Narrow"/>
                <w:sz w:val="20"/>
                <w:szCs w:val="20"/>
              </w:rPr>
            </w:pPr>
            <w:r w:rsidRPr="00FE714A">
              <w:rPr>
                <w:rFonts w:ascii="Arial Narrow" w:hAnsi="Arial Narrow"/>
                <w:sz w:val="20"/>
                <w:szCs w:val="20"/>
              </w:rPr>
              <w:t>LEB trials pooled</w:t>
            </w:r>
          </w:p>
        </w:tc>
        <w:tc>
          <w:tcPr>
            <w:tcW w:w="943" w:type="pct"/>
            <w:shd w:val="clear" w:color="auto" w:fill="auto"/>
            <w:tcMar>
              <w:left w:w="57" w:type="dxa"/>
              <w:right w:w="57" w:type="dxa"/>
            </w:tcMar>
            <w:vAlign w:val="center"/>
          </w:tcPr>
          <w:p w14:paraId="6BDF1C4F" w14:textId="77777777" w:rsidR="004779D9" w:rsidRPr="00FE714A" w:rsidRDefault="004779D9" w:rsidP="00DB2033">
            <w:pPr>
              <w:keepNext/>
              <w:keepLines/>
              <w:jc w:val="center"/>
              <w:rPr>
                <w:rFonts w:ascii="Arial Narrow" w:eastAsia="Calibri" w:hAnsi="Arial Narrow"/>
                <w:sz w:val="20"/>
                <w:szCs w:val="20"/>
              </w:rPr>
            </w:pPr>
            <w:r w:rsidRPr="00FE714A">
              <w:rPr>
                <w:rFonts w:ascii="Arial Narrow" w:hAnsi="Arial Narrow"/>
                <w:sz w:val="20"/>
                <w:szCs w:val="20"/>
              </w:rPr>
              <w:t>373/763 (48.9)</w:t>
            </w:r>
          </w:p>
        </w:tc>
        <w:tc>
          <w:tcPr>
            <w:tcW w:w="944" w:type="pct"/>
            <w:shd w:val="clear" w:color="auto" w:fill="auto"/>
            <w:tcMar>
              <w:left w:w="57" w:type="dxa"/>
              <w:right w:w="57" w:type="dxa"/>
            </w:tcMar>
            <w:vAlign w:val="center"/>
          </w:tcPr>
          <w:p w14:paraId="694DF6D6"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235/460 (51.1)</w:t>
            </w:r>
          </w:p>
        </w:tc>
        <w:tc>
          <w:tcPr>
            <w:tcW w:w="1047" w:type="pct"/>
            <w:shd w:val="clear" w:color="auto" w:fill="auto"/>
            <w:tcMar>
              <w:left w:w="57" w:type="dxa"/>
              <w:right w:w="57" w:type="dxa"/>
            </w:tcMar>
            <w:vAlign w:val="center"/>
          </w:tcPr>
          <w:p w14:paraId="6F035E8F" w14:textId="77777777" w:rsidR="004779D9" w:rsidRPr="00FE714A" w:rsidRDefault="004779D9" w:rsidP="00DB2033">
            <w:pPr>
              <w:keepNext/>
              <w:keepLines/>
              <w:jc w:val="center"/>
              <w:rPr>
                <w:rFonts w:ascii="Arial Narrow" w:hAnsi="Arial Narrow"/>
                <w:i/>
                <w:iCs/>
                <w:sz w:val="20"/>
                <w:szCs w:val="20"/>
              </w:rPr>
            </w:pPr>
            <w:r w:rsidRPr="00FE714A">
              <w:rPr>
                <w:rFonts w:ascii="Arial Narrow" w:hAnsi="Arial Narrow"/>
                <w:sz w:val="20"/>
                <w:szCs w:val="20"/>
              </w:rPr>
              <w:t>0.97 (0.79, 1.19)</w:t>
            </w:r>
          </w:p>
        </w:tc>
        <w:tc>
          <w:tcPr>
            <w:tcW w:w="1047" w:type="pct"/>
            <w:shd w:val="clear" w:color="auto" w:fill="auto"/>
            <w:tcMar>
              <w:left w:w="57" w:type="dxa"/>
              <w:right w:w="57" w:type="dxa"/>
            </w:tcMar>
            <w:vAlign w:val="center"/>
          </w:tcPr>
          <w:p w14:paraId="6F4F8696" w14:textId="77777777" w:rsidR="004779D9" w:rsidRPr="00FE714A" w:rsidRDefault="004779D9" w:rsidP="00DB2033">
            <w:pPr>
              <w:keepNext/>
              <w:keepLines/>
              <w:jc w:val="center"/>
              <w:rPr>
                <w:rFonts w:ascii="Arial Narrow" w:hAnsi="Arial Narrow"/>
                <w:i/>
                <w:iCs/>
                <w:sz w:val="20"/>
                <w:szCs w:val="20"/>
              </w:rPr>
            </w:pPr>
            <w:r w:rsidRPr="00FE714A">
              <w:rPr>
                <w:rFonts w:ascii="Arial Narrow" w:hAnsi="Arial Narrow"/>
                <w:sz w:val="20"/>
                <w:szCs w:val="20"/>
              </w:rPr>
              <w:noBreakHyphen/>
              <w:t>0.02 (</w:t>
            </w:r>
            <w:r w:rsidRPr="00FE714A">
              <w:rPr>
                <w:rFonts w:ascii="Arial Narrow" w:hAnsi="Arial Narrow"/>
                <w:sz w:val="20"/>
                <w:szCs w:val="20"/>
              </w:rPr>
              <w:noBreakHyphen/>
              <w:t>0.12, 0.09)</w:t>
            </w:r>
          </w:p>
        </w:tc>
      </w:tr>
      <w:tr w:rsidR="004779D9" w:rsidRPr="00FE714A" w14:paraId="26399751" w14:textId="77777777" w:rsidTr="007F70AC">
        <w:trPr>
          <w:cantSplit/>
          <w:trHeight w:val="227"/>
        </w:trPr>
        <w:tc>
          <w:tcPr>
            <w:tcW w:w="5000" w:type="pct"/>
            <w:gridSpan w:val="5"/>
          </w:tcPr>
          <w:p w14:paraId="50068C1A" w14:textId="77777777" w:rsidR="004779D9" w:rsidRPr="00FE714A" w:rsidRDefault="004779D9" w:rsidP="00DB2033">
            <w:pPr>
              <w:keepNext/>
              <w:keepLines/>
              <w:jc w:val="left"/>
              <w:rPr>
                <w:rFonts w:ascii="Arial Narrow" w:hAnsi="Arial Narrow"/>
                <w:b/>
                <w:bCs/>
                <w:sz w:val="20"/>
                <w:szCs w:val="20"/>
              </w:rPr>
            </w:pPr>
            <w:r w:rsidRPr="00FE714A">
              <w:rPr>
                <w:rFonts w:ascii="Arial Narrow" w:hAnsi="Arial Narrow"/>
                <w:b/>
                <w:bCs/>
                <w:sz w:val="20"/>
                <w:szCs w:val="20"/>
              </w:rPr>
              <w:t>Combination therapy trials</w:t>
            </w:r>
          </w:p>
        </w:tc>
      </w:tr>
      <w:tr w:rsidR="004779D9" w:rsidRPr="00FE714A" w14:paraId="133FBA31" w14:textId="77777777" w:rsidTr="007F70AC">
        <w:trPr>
          <w:cantSplit/>
          <w:trHeight w:val="227"/>
        </w:trPr>
        <w:tc>
          <w:tcPr>
            <w:tcW w:w="1019" w:type="pct"/>
            <w:shd w:val="clear" w:color="auto" w:fill="auto"/>
            <w:tcMar>
              <w:left w:w="57" w:type="dxa"/>
              <w:right w:w="57" w:type="dxa"/>
            </w:tcMar>
            <w:vAlign w:val="center"/>
          </w:tcPr>
          <w:p w14:paraId="0A6EB80D" w14:textId="77777777" w:rsidR="004779D9" w:rsidRPr="00FE714A" w:rsidRDefault="004779D9" w:rsidP="00DB2033">
            <w:pPr>
              <w:keepNext/>
              <w:keepLines/>
              <w:jc w:val="left"/>
              <w:rPr>
                <w:rFonts w:ascii="Arial Narrow" w:hAnsi="Arial Narrow"/>
                <w:sz w:val="20"/>
                <w:szCs w:val="20"/>
              </w:rPr>
            </w:pPr>
            <w:proofErr w:type="spellStart"/>
            <w:r w:rsidRPr="00FE714A">
              <w:rPr>
                <w:rFonts w:ascii="Arial Narrow" w:hAnsi="Arial Narrow"/>
                <w:sz w:val="20"/>
                <w:szCs w:val="20"/>
              </w:rPr>
              <w:t>ADhere</w:t>
            </w:r>
            <w:proofErr w:type="spellEnd"/>
          </w:p>
        </w:tc>
        <w:tc>
          <w:tcPr>
            <w:tcW w:w="943" w:type="pct"/>
            <w:shd w:val="clear" w:color="auto" w:fill="auto"/>
            <w:tcMar>
              <w:left w:w="57" w:type="dxa"/>
              <w:right w:w="57" w:type="dxa"/>
            </w:tcMar>
            <w:vAlign w:val="center"/>
          </w:tcPr>
          <w:p w14:paraId="549771FC" w14:textId="77777777" w:rsidR="004779D9" w:rsidRPr="00FE714A" w:rsidRDefault="004779D9" w:rsidP="00DB2033">
            <w:pPr>
              <w:keepNext/>
              <w:keepLines/>
              <w:jc w:val="center"/>
              <w:rPr>
                <w:rFonts w:ascii="Arial Narrow" w:eastAsia="Calibri" w:hAnsi="Arial Narrow"/>
                <w:sz w:val="20"/>
                <w:szCs w:val="20"/>
              </w:rPr>
            </w:pPr>
            <w:r w:rsidRPr="00FE714A">
              <w:rPr>
                <w:rFonts w:ascii="Arial Narrow" w:eastAsia="Calibri" w:hAnsi="Arial Narrow"/>
                <w:sz w:val="20"/>
                <w:szCs w:val="20"/>
              </w:rPr>
              <w:t>63/145 (43.4)</w:t>
            </w:r>
          </w:p>
        </w:tc>
        <w:tc>
          <w:tcPr>
            <w:tcW w:w="944" w:type="pct"/>
            <w:shd w:val="clear" w:color="auto" w:fill="auto"/>
            <w:tcMar>
              <w:left w:w="57" w:type="dxa"/>
              <w:right w:w="57" w:type="dxa"/>
            </w:tcMar>
            <w:vAlign w:val="center"/>
          </w:tcPr>
          <w:p w14:paraId="50FCB147" w14:textId="77777777" w:rsidR="004779D9" w:rsidRPr="00FE714A" w:rsidRDefault="004779D9" w:rsidP="00DB2033">
            <w:pPr>
              <w:keepNext/>
              <w:keepLines/>
              <w:jc w:val="center"/>
              <w:rPr>
                <w:rFonts w:ascii="Arial Narrow" w:hAnsi="Arial Narrow"/>
                <w:sz w:val="20"/>
                <w:szCs w:val="20"/>
              </w:rPr>
            </w:pPr>
            <w:r w:rsidRPr="00FE714A">
              <w:rPr>
                <w:rFonts w:ascii="Arial Narrow" w:eastAsia="Calibri" w:hAnsi="Arial Narrow"/>
                <w:sz w:val="20"/>
                <w:szCs w:val="20"/>
              </w:rPr>
              <w:t>23/66 (34.8)</w:t>
            </w:r>
          </w:p>
        </w:tc>
        <w:tc>
          <w:tcPr>
            <w:tcW w:w="1047" w:type="pct"/>
            <w:shd w:val="clear" w:color="auto" w:fill="auto"/>
            <w:tcMar>
              <w:left w:w="57" w:type="dxa"/>
              <w:right w:w="57" w:type="dxa"/>
            </w:tcMar>
            <w:vAlign w:val="center"/>
          </w:tcPr>
          <w:p w14:paraId="0929DDBE"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1.2 (0.8, 1.8)</w:t>
            </w:r>
          </w:p>
        </w:tc>
        <w:tc>
          <w:tcPr>
            <w:tcW w:w="1047" w:type="pct"/>
            <w:shd w:val="clear" w:color="auto" w:fill="auto"/>
            <w:tcMar>
              <w:left w:w="57" w:type="dxa"/>
              <w:right w:w="57" w:type="dxa"/>
            </w:tcMar>
            <w:vAlign w:val="center"/>
          </w:tcPr>
          <w:p w14:paraId="262C798C"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0.09 (</w:t>
            </w:r>
            <w:r w:rsidRPr="00FE714A">
              <w:rPr>
                <w:rFonts w:ascii="Arial Narrow" w:hAnsi="Arial Narrow"/>
                <w:sz w:val="20"/>
                <w:szCs w:val="20"/>
              </w:rPr>
              <w:noBreakHyphen/>
              <w:t>0.05, 0.23)</w:t>
            </w:r>
          </w:p>
        </w:tc>
      </w:tr>
      <w:tr w:rsidR="004779D9" w:rsidRPr="00FE714A" w14:paraId="4926CAD4" w14:textId="77777777" w:rsidTr="007F70AC">
        <w:trPr>
          <w:cantSplit/>
          <w:trHeight w:val="227"/>
        </w:trPr>
        <w:tc>
          <w:tcPr>
            <w:tcW w:w="1019" w:type="pct"/>
            <w:shd w:val="clear" w:color="auto" w:fill="auto"/>
            <w:tcMar>
              <w:left w:w="57" w:type="dxa"/>
              <w:right w:w="57" w:type="dxa"/>
            </w:tcMar>
            <w:vAlign w:val="center"/>
          </w:tcPr>
          <w:p w14:paraId="0ED6A479" w14:textId="77777777" w:rsidR="004779D9" w:rsidRPr="00FE714A" w:rsidRDefault="004779D9" w:rsidP="00DB2033">
            <w:pPr>
              <w:keepNext/>
              <w:keepLines/>
              <w:jc w:val="left"/>
              <w:rPr>
                <w:rFonts w:ascii="Arial Narrow" w:hAnsi="Arial Narrow"/>
                <w:sz w:val="20"/>
                <w:szCs w:val="20"/>
              </w:rPr>
            </w:pPr>
            <w:proofErr w:type="spellStart"/>
            <w:r w:rsidRPr="00FE714A">
              <w:rPr>
                <w:rFonts w:ascii="Arial Narrow" w:hAnsi="Arial Narrow"/>
                <w:sz w:val="20"/>
                <w:szCs w:val="20"/>
              </w:rPr>
              <w:t>ADhere</w:t>
            </w:r>
            <w:proofErr w:type="spellEnd"/>
            <w:r w:rsidRPr="00FE714A">
              <w:rPr>
                <w:rFonts w:ascii="Arial Narrow" w:hAnsi="Arial Narrow"/>
                <w:sz w:val="20"/>
                <w:szCs w:val="20"/>
              </w:rPr>
              <w:t xml:space="preserve"> J</w:t>
            </w:r>
          </w:p>
        </w:tc>
        <w:tc>
          <w:tcPr>
            <w:tcW w:w="943" w:type="pct"/>
            <w:shd w:val="clear" w:color="auto" w:fill="auto"/>
            <w:tcMar>
              <w:left w:w="57" w:type="dxa"/>
              <w:right w:w="57" w:type="dxa"/>
            </w:tcMar>
            <w:vAlign w:val="center"/>
          </w:tcPr>
          <w:p w14:paraId="5B70720C" w14:textId="77777777" w:rsidR="004779D9" w:rsidRPr="00FE714A" w:rsidRDefault="004779D9" w:rsidP="00DB2033">
            <w:pPr>
              <w:keepNext/>
              <w:keepLines/>
              <w:jc w:val="center"/>
              <w:rPr>
                <w:rFonts w:ascii="Arial Narrow" w:eastAsia="Calibri" w:hAnsi="Arial Narrow"/>
                <w:sz w:val="20"/>
                <w:szCs w:val="20"/>
              </w:rPr>
            </w:pPr>
            <w:r w:rsidRPr="00FE714A">
              <w:rPr>
                <w:rFonts w:ascii="Arial Narrow" w:eastAsia="Calibri" w:hAnsi="Arial Narrow"/>
                <w:sz w:val="20"/>
                <w:szCs w:val="20"/>
              </w:rPr>
              <w:t>93/123 (75.6)</w:t>
            </w:r>
          </w:p>
        </w:tc>
        <w:tc>
          <w:tcPr>
            <w:tcW w:w="944" w:type="pct"/>
            <w:shd w:val="clear" w:color="auto" w:fill="auto"/>
            <w:tcMar>
              <w:left w:w="57" w:type="dxa"/>
              <w:right w:w="57" w:type="dxa"/>
            </w:tcMar>
            <w:vAlign w:val="center"/>
          </w:tcPr>
          <w:p w14:paraId="03D42A21" w14:textId="77777777" w:rsidR="004779D9" w:rsidRPr="00FE714A" w:rsidRDefault="004779D9" w:rsidP="00DB2033">
            <w:pPr>
              <w:keepNext/>
              <w:keepLines/>
              <w:jc w:val="center"/>
              <w:rPr>
                <w:rFonts w:ascii="Arial Narrow" w:hAnsi="Arial Narrow"/>
                <w:sz w:val="20"/>
                <w:szCs w:val="20"/>
              </w:rPr>
            </w:pPr>
            <w:r w:rsidRPr="00FE714A">
              <w:rPr>
                <w:rFonts w:ascii="Arial Narrow" w:eastAsia="Calibri" w:hAnsi="Arial Narrow"/>
                <w:sz w:val="20"/>
                <w:szCs w:val="20"/>
              </w:rPr>
              <w:t>52/82 (63.4)</w:t>
            </w:r>
          </w:p>
        </w:tc>
        <w:tc>
          <w:tcPr>
            <w:tcW w:w="1047" w:type="pct"/>
            <w:shd w:val="clear" w:color="auto" w:fill="auto"/>
            <w:tcMar>
              <w:left w:w="57" w:type="dxa"/>
              <w:right w:w="57" w:type="dxa"/>
            </w:tcMar>
            <w:vAlign w:val="center"/>
          </w:tcPr>
          <w:p w14:paraId="7D60D973"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1.2 (1.0, 1.4)</w:t>
            </w:r>
          </w:p>
        </w:tc>
        <w:tc>
          <w:tcPr>
            <w:tcW w:w="1047" w:type="pct"/>
            <w:shd w:val="clear" w:color="auto" w:fill="auto"/>
            <w:tcMar>
              <w:left w:w="57" w:type="dxa"/>
              <w:right w:w="57" w:type="dxa"/>
            </w:tcMar>
            <w:vAlign w:val="center"/>
          </w:tcPr>
          <w:p w14:paraId="07830A17"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0.12 (</w:t>
            </w:r>
            <w:r w:rsidRPr="00FE714A">
              <w:rPr>
                <w:rFonts w:ascii="Arial Narrow" w:hAnsi="Arial Narrow"/>
                <w:sz w:val="20"/>
                <w:szCs w:val="20"/>
              </w:rPr>
              <w:noBreakHyphen/>
              <w:t>0.01, 0.25)</w:t>
            </w:r>
          </w:p>
        </w:tc>
      </w:tr>
      <w:tr w:rsidR="004779D9" w:rsidRPr="00FE714A" w14:paraId="1F2CF26E" w14:textId="77777777" w:rsidTr="007F70AC">
        <w:trPr>
          <w:cantSplit/>
          <w:trHeight w:val="227"/>
        </w:trPr>
        <w:tc>
          <w:tcPr>
            <w:tcW w:w="1019" w:type="pct"/>
            <w:shd w:val="clear" w:color="auto" w:fill="auto"/>
            <w:tcMar>
              <w:left w:w="57" w:type="dxa"/>
              <w:right w:w="57" w:type="dxa"/>
            </w:tcMar>
            <w:vAlign w:val="center"/>
          </w:tcPr>
          <w:p w14:paraId="704002E0" w14:textId="77777777" w:rsidR="004779D9" w:rsidRPr="00FE714A" w:rsidRDefault="004779D9" w:rsidP="00DB2033">
            <w:pPr>
              <w:keepNext/>
              <w:keepLines/>
              <w:jc w:val="left"/>
              <w:rPr>
                <w:rFonts w:ascii="Arial Narrow" w:hAnsi="Arial Narrow"/>
                <w:sz w:val="20"/>
                <w:szCs w:val="20"/>
              </w:rPr>
            </w:pPr>
            <w:proofErr w:type="spellStart"/>
            <w:r w:rsidRPr="00FE714A">
              <w:rPr>
                <w:rFonts w:ascii="Arial Narrow" w:hAnsi="Arial Narrow"/>
                <w:sz w:val="20"/>
                <w:szCs w:val="20"/>
              </w:rPr>
              <w:t>ADvantage</w:t>
            </w:r>
            <w:proofErr w:type="spellEnd"/>
          </w:p>
        </w:tc>
        <w:tc>
          <w:tcPr>
            <w:tcW w:w="943" w:type="pct"/>
            <w:shd w:val="clear" w:color="auto" w:fill="auto"/>
            <w:tcMar>
              <w:left w:w="57" w:type="dxa"/>
              <w:right w:w="57" w:type="dxa"/>
            </w:tcMar>
            <w:vAlign w:val="center"/>
          </w:tcPr>
          <w:p w14:paraId="62BB3FBD" w14:textId="77777777" w:rsidR="004779D9" w:rsidRPr="00FE714A" w:rsidRDefault="004779D9" w:rsidP="00DB2033">
            <w:pPr>
              <w:keepNext/>
              <w:keepLines/>
              <w:jc w:val="center"/>
              <w:rPr>
                <w:rFonts w:ascii="Arial Narrow" w:eastAsia="Calibri" w:hAnsi="Arial Narrow"/>
                <w:sz w:val="20"/>
                <w:szCs w:val="20"/>
              </w:rPr>
            </w:pPr>
            <w:r w:rsidRPr="00FE714A">
              <w:rPr>
                <w:rFonts w:ascii="Arial Narrow" w:eastAsia="Calibri" w:hAnsi="Arial Narrow"/>
                <w:sz w:val="20"/>
                <w:szCs w:val="20"/>
              </w:rPr>
              <w:t>136/220 (61.8)</w:t>
            </w:r>
          </w:p>
        </w:tc>
        <w:tc>
          <w:tcPr>
            <w:tcW w:w="944" w:type="pct"/>
            <w:shd w:val="clear" w:color="auto" w:fill="auto"/>
            <w:tcMar>
              <w:left w:w="57" w:type="dxa"/>
              <w:right w:w="57" w:type="dxa"/>
            </w:tcMar>
            <w:vAlign w:val="center"/>
          </w:tcPr>
          <w:p w14:paraId="448912F2" w14:textId="77777777" w:rsidR="004779D9" w:rsidRPr="00FE714A" w:rsidRDefault="004779D9" w:rsidP="00DB2033">
            <w:pPr>
              <w:keepNext/>
              <w:keepLines/>
              <w:jc w:val="center"/>
              <w:rPr>
                <w:rFonts w:ascii="Arial Narrow" w:hAnsi="Arial Narrow"/>
                <w:sz w:val="20"/>
                <w:szCs w:val="20"/>
              </w:rPr>
            </w:pPr>
            <w:r w:rsidRPr="00FE714A">
              <w:rPr>
                <w:rFonts w:ascii="Arial Narrow" w:eastAsia="Calibri" w:hAnsi="Arial Narrow"/>
                <w:sz w:val="20"/>
                <w:szCs w:val="20"/>
              </w:rPr>
              <w:t>59/111 (53.2)</w:t>
            </w:r>
          </w:p>
        </w:tc>
        <w:tc>
          <w:tcPr>
            <w:tcW w:w="1047" w:type="pct"/>
            <w:shd w:val="clear" w:color="auto" w:fill="auto"/>
            <w:tcMar>
              <w:left w:w="57" w:type="dxa"/>
              <w:right w:w="57" w:type="dxa"/>
            </w:tcMar>
            <w:vAlign w:val="center"/>
          </w:tcPr>
          <w:p w14:paraId="59A8AD39"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1.2 (0.9, 1.4)</w:t>
            </w:r>
          </w:p>
        </w:tc>
        <w:tc>
          <w:tcPr>
            <w:tcW w:w="1047" w:type="pct"/>
            <w:shd w:val="clear" w:color="auto" w:fill="auto"/>
            <w:tcMar>
              <w:left w:w="57" w:type="dxa"/>
              <w:right w:w="57" w:type="dxa"/>
            </w:tcMar>
            <w:vAlign w:val="center"/>
          </w:tcPr>
          <w:p w14:paraId="370A3F58"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0.09 (</w:t>
            </w:r>
            <w:r w:rsidRPr="00FE714A">
              <w:rPr>
                <w:rFonts w:ascii="Arial Narrow" w:hAnsi="Arial Narrow"/>
                <w:sz w:val="20"/>
                <w:szCs w:val="20"/>
              </w:rPr>
              <w:noBreakHyphen/>
              <w:t>0.03, 0.20)</w:t>
            </w:r>
          </w:p>
        </w:tc>
      </w:tr>
      <w:tr w:rsidR="004779D9" w:rsidRPr="00FE714A" w14:paraId="45B01C58" w14:textId="77777777" w:rsidTr="007F70AC">
        <w:trPr>
          <w:cantSplit/>
          <w:trHeight w:val="227"/>
        </w:trPr>
        <w:tc>
          <w:tcPr>
            <w:tcW w:w="1019" w:type="pct"/>
            <w:shd w:val="clear" w:color="auto" w:fill="auto"/>
            <w:tcMar>
              <w:left w:w="57" w:type="dxa"/>
              <w:right w:w="57" w:type="dxa"/>
            </w:tcMar>
            <w:vAlign w:val="center"/>
          </w:tcPr>
          <w:p w14:paraId="1A5D292D" w14:textId="77777777" w:rsidR="004779D9" w:rsidRPr="00FE714A" w:rsidRDefault="004779D9" w:rsidP="00DB2033">
            <w:pPr>
              <w:keepNext/>
              <w:keepLines/>
              <w:jc w:val="left"/>
              <w:rPr>
                <w:rFonts w:ascii="Arial Narrow" w:hAnsi="Arial Narrow"/>
                <w:sz w:val="20"/>
                <w:szCs w:val="20"/>
              </w:rPr>
            </w:pPr>
            <w:r w:rsidRPr="00FE714A">
              <w:rPr>
                <w:rFonts w:ascii="Arial Narrow" w:hAnsi="Arial Narrow"/>
                <w:sz w:val="20"/>
                <w:szCs w:val="20"/>
              </w:rPr>
              <w:t xml:space="preserve">LEB trials pooled </w:t>
            </w:r>
          </w:p>
        </w:tc>
        <w:tc>
          <w:tcPr>
            <w:tcW w:w="943" w:type="pct"/>
            <w:shd w:val="clear" w:color="auto" w:fill="auto"/>
            <w:tcMar>
              <w:left w:w="57" w:type="dxa"/>
              <w:right w:w="57" w:type="dxa"/>
            </w:tcMar>
            <w:vAlign w:val="center"/>
          </w:tcPr>
          <w:p w14:paraId="03015434" w14:textId="77777777" w:rsidR="004779D9" w:rsidRPr="00FE714A" w:rsidRDefault="004779D9" w:rsidP="00DB2033">
            <w:pPr>
              <w:keepNext/>
              <w:keepLines/>
              <w:jc w:val="center"/>
              <w:rPr>
                <w:rFonts w:ascii="Arial Narrow" w:eastAsia="Calibri" w:hAnsi="Arial Narrow"/>
                <w:sz w:val="20"/>
                <w:szCs w:val="20"/>
              </w:rPr>
            </w:pPr>
            <w:r w:rsidRPr="00FE714A">
              <w:rPr>
                <w:rFonts w:ascii="Arial Narrow" w:hAnsi="Arial Narrow"/>
                <w:sz w:val="20"/>
                <w:szCs w:val="20"/>
              </w:rPr>
              <w:t>292/488 (59.8)</w:t>
            </w:r>
          </w:p>
        </w:tc>
        <w:tc>
          <w:tcPr>
            <w:tcW w:w="944" w:type="pct"/>
            <w:shd w:val="clear" w:color="auto" w:fill="auto"/>
            <w:tcMar>
              <w:left w:w="57" w:type="dxa"/>
              <w:right w:w="57" w:type="dxa"/>
            </w:tcMar>
            <w:vAlign w:val="center"/>
          </w:tcPr>
          <w:p w14:paraId="650812D9"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134/259 (51.7)</w:t>
            </w:r>
          </w:p>
        </w:tc>
        <w:tc>
          <w:tcPr>
            <w:tcW w:w="1047" w:type="pct"/>
            <w:shd w:val="clear" w:color="auto" w:fill="auto"/>
            <w:tcMar>
              <w:left w:w="57" w:type="dxa"/>
              <w:right w:w="57" w:type="dxa"/>
            </w:tcMar>
            <w:vAlign w:val="center"/>
          </w:tcPr>
          <w:p w14:paraId="01C80560" w14:textId="77777777" w:rsidR="004779D9" w:rsidRPr="00FE714A" w:rsidRDefault="004779D9" w:rsidP="00DB2033">
            <w:pPr>
              <w:keepNext/>
              <w:keepLines/>
              <w:jc w:val="center"/>
              <w:rPr>
                <w:rFonts w:ascii="Arial Narrow" w:hAnsi="Arial Narrow"/>
                <w:b/>
                <w:bCs/>
                <w:sz w:val="20"/>
                <w:szCs w:val="20"/>
              </w:rPr>
            </w:pPr>
            <w:r w:rsidRPr="00FE714A">
              <w:rPr>
                <w:rFonts w:ascii="Arial Narrow" w:hAnsi="Arial Narrow"/>
                <w:b/>
                <w:bCs/>
                <w:sz w:val="20"/>
                <w:szCs w:val="20"/>
              </w:rPr>
              <w:t>1.19 (1.04, 1.35)</w:t>
            </w:r>
          </w:p>
        </w:tc>
        <w:tc>
          <w:tcPr>
            <w:tcW w:w="1047" w:type="pct"/>
            <w:shd w:val="clear" w:color="auto" w:fill="auto"/>
            <w:tcMar>
              <w:left w:w="57" w:type="dxa"/>
              <w:right w:w="57" w:type="dxa"/>
            </w:tcMar>
            <w:vAlign w:val="center"/>
          </w:tcPr>
          <w:p w14:paraId="7182E5A0" w14:textId="77777777" w:rsidR="004779D9" w:rsidRPr="00FE714A" w:rsidRDefault="004779D9" w:rsidP="00DB2033">
            <w:pPr>
              <w:keepNext/>
              <w:keepLines/>
              <w:jc w:val="center"/>
              <w:rPr>
                <w:rFonts w:ascii="Arial Narrow" w:hAnsi="Arial Narrow"/>
                <w:b/>
                <w:bCs/>
                <w:sz w:val="20"/>
                <w:szCs w:val="20"/>
              </w:rPr>
            </w:pPr>
            <w:r w:rsidRPr="00FE714A">
              <w:rPr>
                <w:rFonts w:ascii="Arial Narrow" w:hAnsi="Arial Narrow"/>
                <w:b/>
                <w:bCs/>
                <w:sz w:val="20"/>
                <w:szCs w:val="20"/>
              </w:rPr>
              <w:t>0.10 (0.03, 0.17)</w:t>
            </w:r>
          </w:p>
        </w:tc>
      </w:tr>
      <w:tr w:rsidR="004779D9" w:rsidRPr="00FE714A" w14:paraId="713F53FD" w14:textId="77777777" w:rsidTr="007F70AC">
        <w:trPr>
          <w:cantSplit/>
          <w:trHeight w:val="227"/>
        </w:trPr>
        <w:tc>
          <w:tcPr>
            <w:tcW w:w="5000" w:type="pct"/>
            <w:gridSpan w:val="5"/>
            <w:shd w:val="clear" w:color="auto" w:fill="auto"/>
            <w:tcMar>
              <w:left w:w="57" w:type="dxa"/>
              <w:right w:w="57" w:type="dxa"/>
            </w:tcMar>
            <w:vAlign w:val="center"/>
          </w:tcPr>
          <w:p w14:paraId="103C380F" w14:textId="77777777" w:rsidR="004779D9" w:rsidRPr="00FE714A" w:rsidRDefault="004779D9" w:rsidP="00DB2033">
            <w:pPr>
              <w:keepNext/>
              <w:keepLines/>
              <w:jc w:val="left"/>
              <w:rPr>
                <w:rFonts w:ascii="Arial Narrow" w:hAnsi="Arial Narrow"/>
                <w:b/>
                <w:bCs/>
                <w:sz w:val="20"/>
                <w:szCs w:val="20"/>
              </w:rPr>
            </w:pPr>
            <w:r w:rsidRPr="00FE714A">
              <w:rPr>
                <w:rFonts w:ascii="Arial Narrow" w:hAnsi="Arial Narrow"/>
                <w:b/>
                <w:bCs/>
                <w:sz w:val="20"/>
                <w:szCs w:val="20"/>
              </w:rPr>
              <w:t>All trials</w:t>
            </w:r>
          </w:p>
        </w:tc>
      </w:tr>
      <w:tr w:rsidR="004779D9" w:rsidRPr="00FE714A" w14:paraId="24757352" w14:textId="77777777" w:rsidTr="007F70AC">
        <w:trPr>
          <w:cantSplit/>
          <w:trHeight w:val="227"/>
        </w:trPr>
        <w:tc>
          <w:tcPr>
            <w:tcW w:w="1019" w:type="pct"/>
            <w:shd w:val="clear" w:color="auto" w:fill="auto"/>
            <w:tcMar>
              <w:left w:w="57" w:type="dxa"/>
              <w:right w:w="57" w:type="dxa"/>
            </w:tcMar>
            <w:vAlign w:val="center"/>
          </w:tcPr>
          <w:p w14:paraId="2586081F" w14:textId="77777777" w:rsidR="004779D9" w:rsidRPr="00FE714A" w:rsidRDefault="004779D9" w:rsidP="00DB2033">
            <w:pPr>
              <w:keepNext/>
              <w:keepLines/>
              <w:jc w:val="left"/>
              <w:rPr>
                <w:rFonts w:ascii="Arial Narrow" w:hAnsi="Arial Narrow"/>
                <w:sz w:val="20"/>
                <w:szCs w:val="20"/>
              </w:rPr>
            </w:pPr>
            <w:r w:rsidRPr="00FE714A">
              <w:rPr>
                <w:rFonts w:ascii="Arial Narrow" w:hAnsi="Arial Narrow"/>
                <w:sz w:val="20"/>
                <w:szCs w:val="20"/>
              </w:rPr>
              <w:t>LEB all trials pooled</w:t>
            </w:r>
          </w:p>
        </w:tc>
        <w:tc>
          <w:tcPr>
            <w:tcW w:w="943" w:type="pct"/>
            <w:shd w:val="clear" w:color="auto" w:fill="auto"/>
            <w:tcMar>
              <w:left w:w="57" w:type="dxa"/>
              <w:right w:w="57" w:type="dxa"/>
            </w:tcMar>
            <w:vAlign w:val="center"/>
          </w:tcPr>
          <w:p w14:paraId="21F266CE" w14:textId="77777777" w:rsidR="004779D9" w:rsidRPr="00FE714A" w:rsidRDefault="004779D9" w:rsidP="00DB2033">
            <w:pPr>
              <w:keepNext/>
              <w:keepLines/>
              <w:jc w:val="center"/>
              <w:rPr>
                <w:rFonts w:ascii="Arial Narrow" w:eastAsia="Calibri" w:hAnsi="Arial Narrow"/>
                <w:sz w:val="20"/>
                <w:szCs w:val="20"/>
              </w:rPr>
            </w:pPr>
            <w:r w:rsidRPr="00FE714A">
              <w:rPr>
                <w:rFonts w:ascii="Arial Narrow" w:hAnsi="Arial Narrow"/>
                <w:sz w:val="20"/>
                <w:szCs w:val="20"/>
              </w:rPr>
              <w:t>665/1251 (53.2)</w:t>
            </w:r>
          </w:p>
        </w:tc>
        <w:tc>
          <w:tcPr>
            <w:tcW w:w="944" w:type="pct"/>
            <w:shd w:val="clear" w:color="auto" w:fill="auto"/>
            <w:tcMar>
              <w:left w:w="57" w:type="dxa"/>
              <w:right w:w="57" w:type="dxa"/>
            </w:tcMar>
            <w:vAlign w:val="center"/>
          </w:tcPr>
          <w:p w14:paraId="6B5EA2A2"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369/719 (51.3)</w:t>
            </w:r>
          </w:p>
        </w:tc>
        <w:tc>
          <w:tcPr>
            <w:tcW w:w="1047" w:type="pct"/>
            <w:shd w:val="clear" w:color="auto" w:fill="auto"/>
            <w:tcMar>
              <w:left w:w="57" w:type="dxa"/>
              <w:right w:w="57" w:type="dxa"/>
            </w:tcMar>
            <w:vAlign w:val="center"/>
          </w:tcPr>
          <w:p w14:paraId="28920ABA"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1.06 (0.91, 1.24)</w:t>
            </w:r>
          </w:p>
        </w:tc>
        <w:tc>
          <w:tcPr>
            <w:tcW w:w="1047" w:type="pct"/>
            <w:shd w:val="clear" w:color="auto" w:fill="auto"/>
            <w:tcMar>
              <w:left w:w="57" w:type="dxa"/>
              <w:right w:w="57" w:type="dxa"/>
            </w:tcMar>
            <w:vAlign w:val="center"/>
          </w:tcPr>
          <w:p w14:paraId="05B24E60" w14:textId="77777777" w:rsidR="004779D9" w:rsidRPr="00FE714A" w:rsidRDefault="004779D9" w:rsidP="00DB2033">
            <w:pPr>
              <w:keepNext/>
              <w:keepLines/>
              <w:jc w:val="center"/>
              <w:rPr>
                <w:rFonts w:ascii="Arial Narrow" w:hAnsi="Arial Narrow"/>
                <w:sz w:val="20"/>
                <w:szCs w:val="20"/>
              </w:rPr>
            </w:pPr>
            <w:r w:rsidRPr="00FE714A">
              <w:rPr>
                <w:rFonts w:ascii="Arial Narrow" w:hAnsi="Arial Narrow"/>
                <w:sz w:val="20"/>
                <w:szCs w:val="20"/>
              </w:rPr>
              <w:t>0.03 (</w:t>
            </w:r>
            <w:r w:rsidRPr="00FE714A">
              <w:rPr>
                <w:rFonts w:ascii="Arial Narrow" w:hAnsi="Arial Narrow"/>
                <w:sz w:val="20"/>
                <w:szCs w:val="20"/>
              </w:rPr>
              <w:noBreakHyphen/>
              <w:t>0.05, 0.11)</w:t>
            </w:r>
          </w:p>
        </w:tc>
      </w:tr>
    </w:tbl>
    <w:p w14:paraId="48D5DE57" w14:textId="77777777" w:rsidR="004779D9" w:rsidRPr="00FE714A" w:rsidRDefault="004779D9" w:rsidP="00B929AF">
      <w:pPr>
        <w:pStyle w:val="FooterTableFigure"/>
        <w:keepNext/>
        <w:keepLines/>
      </w:pPr>
      <w:r w:rsidRPr="00FE714A">
        <w:t>Source: Table 2.6-12, pp233-235 of the submission.</w:t>
      </w:r>
    </w:p>
    <w:p w14:paraId="4FBF895E" w14:textId="77777777" w:rsidR="004779D9" w:rsidRPr="00FE714A" w:rsidRDefault="004779D9" w:rsidP="0056239E">
      <w:pPr>
        <w:pStyle w:val="FooterTableFigure"/>
      </w:pPr>
      <w:r w:rsidRPr="00FE714A">
        <w:t>AE = adverse events; CI = confidence interval; LEB = lebrikizumab; NA = not applicable; PBO = placebo; Q2W = every 2 weeks; RD = risk difference; RR = relative risk; TCS = topical corticosteroids</w:t>
      </w:r>
    </w:p>
    <w:p w14:paraId="0205CC38" w14:textId="2C862877" w:rsidR="004779D9" w:rsidRPr="00FE714A" w:rsidRDefault="004779D9" w:rsidP="00A6258F">
      <w:pPr>
        <w:pStyle w:val="3-BodyText"/>
      </w:pPr>
      <w:r w:rsidRPr="00FE714A">
        <w:t xml:space="preserve">The indirect comparisons for any AEs, serious adverse events (SAEs) and AEs leading to discontinuation (all trials pooled) reported over 16 weeks are presented in </w:t>
      </w:r>
      <w:r w:rsidRPr="00FE714A">
        <w:fldChar w:fldCharType="begin" w:fldLock="1"/>
      </w:r>
      <w:r w:rsidRPr="00FE714A">
        <w:instrText xml:space="preserve"> REF _Ref155565394 \h </w:instrText>
      </w:r>
      <w:r w:rsidRPr="00FE714A">
        <w:fldChar w:fldCharType="separate"/>
      </w:r>
      <w:r w:rsidR="00B3585E" w:rsidRPr="00FE714A">
        <w:t xml:space="preserve">Table </w:t>
      </w:r>
      <w:r w:rsidR="00B3585E">
        <w:rPr>
          <w:noProof/>
        </w:rPr>
        <w:t>14</w:t>
      </w:r>
      <w:r w:rsidRPr="00FE714A">
        <w:fldChar w:fldCharType="end"/>
      </w:r>
      <w:r w:rsidRPr="00FE714A">
        <w:t xml:space="preserve">. CHRONOS was not included in the indirect treatment comparison given only Week 52 safety results were available. </w:t>
      </w:r>
    </w:p>
    <w:p w14:paraId="3378377E" w14:textId="75F57F3F" w:rsidR="004779D9" w:rsidRPr="00FE714A" w:rsidRDefault="004779D9" w:rsidP="007D2E64">
      <w:pPr>
        <w:pStyle w:val="Caption"/>
      </w:pPr>
      <w:bookmarkStart w:id="43" w:name="_Ref155565394"/>
      <w:r w:rsidRPr="00FE714A">
        <w:lastRenderedPageBreak/>
        <w:t xml:space="preserve">Table </w:t>
      </w:r>
      <w:r w:rsidR="008B26E3">
        <w:fldChar w:fldCharType="begin" w:fldLock="1"/>
      </w:r>
      <w:r w:rsidR="008B26E3">
        <w:instrText xml:space="preserve"> SEQ Table \* ARABIC </w:instrText>
      </w:r>
      <w:r w:rsidR="008B26E3">
        <w:fldChar w:fldCharType="separate"/>
      </w:r>
      <w:r w:rsidR="00B3585E">
        <w:rPr>
          <w:noProof/>
        </w:rPr>
        <w:t>14</w:t>
      </w:r>
      <w:r w:rsidR="008B26E3">
        <w:rPr>
          <w:noProof/>
        </w:rPr>
        <w:fldChar w:fldCharType="end"/>
      </w:r>
      <w:bookmarkEnd w:id="43"/>
      <w:r w:rsidRPr="00FE714A">
        <w:t xml:space="preserve">: Indirect treatment comparisons of safety outcomes (Week 16) </w:t>
      </w:r>
    </w:p>
    <w:tbl>
      <w:tblPr>
        <w:tblStyle w:val="MSDTableGrid1"/>
        <w:tblW w:w="5000" w:type="pct"/>
        <w:jc w:val="center"/>
        <w:tblLook w:val="04A0" w:firstRow="1" w:lastRow="0" w:firstColumn="1" w:lastColumn="0" w:noHBand="0" w:noVBand="1"/>
        <w:tblCaption w:val="Table 14: Indirect treatment comparisons of safety outcomes (Week 16) "/>
      </w:tblPr>
      <w:tblGrid>
        <w:gridCol w:w="3963"/>
        <w:gridCol w:w="2527"/>
        <w:gridCol w:w="2527"/>
      </w:tblGrid>
      <w:tr w:rsidR="004779D9" w:rsidRPr="00FE714A" w14:paraId="18CA50A9" w14:textId="77777777" w:rsidTr="00DB2033">
        <w:trPr>
          <w:jc w:val="center"/>
        </w:trPr>
        <w:tc>
          <w:tcPr>
            <w:tcW w:w="2198" w:type="pct"/>
            <w:tcBorders>
              <w:top w:val="single" w:sz="4" w:space="0" w:color="auto"/>
            </w:tcBorders>
          </w:tcPr>
          <w:p w14:paraId="25F5AAA1" w14:textId="77777777" w:rsidR="004779D9" w:rsidRPr="00FE714A" w:rsidRDefault="004779D9" w:rsidP="00DB2033">
            <w:pPr>
              <w:keepNext/>
              <w:keepLines/>
              <w:rPr>
                <w:rFonts w:ascii="Arial Narrow" w:hAnsi="Arial Narrow"/>
                <w:sz w:val="20"/>
                <w:szCs w:val="20"/>
              </w:rPr>
            </w:pPr>
          </w:p>
        </w:tc>
        <w:tc>
          <w:tcPr>
            <w:tcW w:w="1401" w:type="pct"/>
            <w:tcBorders>
              <w:top w:val="single" w:sz="4" w:space="0" w:color="auto"/>
            </w:tcBorders>
          </w:tcPr>
          <w:p w14:paraId="5C9FA267" w14:textId="77777777" w:rsidR="004779D9" w:rsidRPr="00FE714A" w:rsidRDefault="004779D9" w:rsidP="00DB2033">
            <w:pPr>
              <w:keepNext/>
              <w:keepLines/>
              <w:jc w:val="center"/>
              <w:rPr>
                <w:rFonts w:ascii="Arial Narrow" w:hAnsi="Arial Narrow"/>
                <w:b/>
                <w:bCs/>
                <w:sz w:val="20"/>
                <w:szCs w:val="20"/>
              </w:rPr>
            </w:pPr>
            <w:r w:rsidRPr="00FE714A">
              <w:rPr>
                <w:rFonts w:ascii="Arial Narrow" w:hAnsi="Arial Narrow"/>
                <w:b/>
                <w:bCs/>
                <w:sz w:val="20"/>
                <w:szCs w:val="20"/>
              </w:rPr>
              <w:t>RR (95% CI)</w:t>
            </w:r>
          </w:p>
        </w:tc>
        <w:tc>
          <w:tcPr>
            <w:tcW w:w="1401" w:type="pct"/>
          </w:tcPr>
          <w:p w14:paraId="732620EE" w14:textId="77777777" w:rsidR="004779D9" w:rsidRPr="00FE714A" w:rsidRDefault="004779D9" w:rsidP="00DB2033">
            <w:pPr>
              <w:keepNext/>
              <w:keepLines/>
              <w:jc w:val="center"/>
              <w:rPr>
                <w:rFonts w:ascii="Arial Narrow" w:hAnsi="Arial Narrow"/>
                <w:b/>
                <w:bCs/>
                <w:sz w:val="20"/>
                <w:szCs w:val="20"/>
              </w:rPr>
            </w:pPr>
            <w:r w:rsidRPr="00FE714A">
              <w:rPr>
                <w:rFonts w:ascii="Arial Narrow" w:hAnsi="Arial Narrow"/>
                <w:b/>
                <w:bCs/>
                <w:sz w:val="20"/>
                <w:szCs w:val="20"/>
              </w:rPr>
              <w:t>RD (95% CI)</w:t>
            </w:r>
          </w:p>
        </w:tc>
      </w:tr>
      <w:tr w:rsidR="004779D9" w:rsidRPr="00FE714A" w14:paraId="22A2A57A" w14:textId="77777777" w:rsidTr="00DB2033">
        <w:trPr>
          <w:jc w:val="center"/>
        </w:trPr>
        <w:tc>
          <w:tcPr>
            <w:tcW w:w="5000" w:type="pct"/>
            <w:gridSpan w:val="3"/>
          </w:tcPr>
          <w:p w14:paraId="24852329" w14:textId="77777777" w:rsidR="004779D9" w:rsidRPr="00FE714A" w:rsidRDefault="004779D9" w:rsidP="00DB2033">
            <w:pPr>
              <w:keepNext/>
              <w:keepLines/>
              <w:jc w:val="left"/>
              <w:rPr>
                <w:rFonts w:ascii="Arial Narrow" w:hAnsi="Arial Narrow"/>
                <w:b/>
                <w:bCs/>
                <w:sz w:val="20"/>
                <w:szCs w:val="20"/>
              </w:rPr>
            </w:pPr>
            <w:r w:rsidRPr="00FE714A">
              <w:rPr>
                <w:rFonts w:ascii="Arial Narrow" w:hAnsi="Arial Narrow"/>
                <w:b/>
                <w:bCs/>
                <w:sz w:val="20"/>
                <w:szCs w:val="20"/>
              </w:rPr>
              <w:t>AEs</w:t>
            </w:r>
          </w:p>
        </w:tc>
      </w:tr>
      <w:tr w:rsidR="004779D9" w:rsidRPr="00FE714A" w14:paraId="7572C22F" w14:textId="77777777" w:rsidTr="0034280C">
        <w:trPr>
          <w:jc w:val="center"/>
        </w:trPr>
        <w:tc>
          <w:tcPr>
            <w:tcW w:w="2198" w:type="pct"/>
          </w:tcPr>
          <w:p w14:paraId="54B2FB08" w14:textId="77777777" w:rsidR="004779D9" w:rsidRPr="00FE714A" w:rsidRDefault="004779D9" w:rsidP="00652447">
            <w:pPr>
              <w:keepNext/>
              <w:keepLines/>
              <w:rPr>
                <w:rFonts w:ascii="Arial Narrow" w:hAnsi="Arial Narrow"/>
                <w:sz w:val="20"/>
                <w:szCs w:val="20"/>
              </w:rPr>
            </w:pPr>
            <w:r w:rsidRPr="00FE714A">
              <w:rPr>
                <w:rFonts w:ascii="Arial Narrow" w:hAnsi="Arial Narrow"/>
                <w:sz w:val="20"/>
                <w:szCs w:val="20"/>
              </w:rPr>
              <w:t>LEB 250 mg Q2W ±TCS vs DUPI 300 mg ± TCS</w:t>
            </w:r>
          </w:p>
        </w:tc>
        <w:tc>
          <w:tcPr>
            <w:tcW w:w="1401" w:type="pct"/>
            <w:shd w:val="clear" w:color="auto" w:fill="auto"/>
            <w:vAlign w:val="center"/>
          </w:tcPr>
          <w:p w14:paraId="71554735" w14:textId="77777777" w:rsidR="004779D9" w:rsidRPr="00FE714A" w:rsidRDefault="004779D9" w:rsidP="00652447">
            <w:pPr>
              <w:keepNext/>
              <w:keepLines/>
              <w:jc w:val="center"/>
              <w:rPr>
                <w:rFonts w:ascii="Arial Narrow" w:hAnsi="Arial Narrow"/>
                <w:sz w:val="20"/>
                <w:szCs w:val="20"/>
              </w:rPr>
            </w:pPr>
            <w:r w:rsidRPr="00FE714A">
              <w:rPr>
                <w:rFonts w:ascii="Arial Narrow" w:hAnsi="Arial Narrow"/>
                <w:sz w:val="20"/>
                <w:szCs w:val="20"/>
              </w:rPr>
              <w:t>1.07 (0.90, 1.26)</w:t>
            </w:r>
          </w:p>
        </w:tc>
        <w:tc>
          <w:tcPr>
            <w:tcW w:w="1401" w:type="pct"/>
            <w:shd w:val="clear" w:color="auto" w:fill="auto"/>
            <w:vAlign w:val="center"/>
          </w:tcPr>
          <w:p w14:paraId="6F99AC45" w14:textId="77777777" w:rsidR="004779D9" w:rsidRPr="00FE714A" w:rsidRDefault="004779D9" w:rsidP="00652447">
            <w:pPr>
              <w:keepNext/>
              <w:keepLines/>
              <w:jc w:val="center"/>
              <w:rPr>
                <w:rFonts w:ascii="Arial Narrow" w:hAnsi="Arial Narrow"/>
                <w:sz w:val="20"/>
                <w:szCs w:val="20"/>
              </w:rPr>
            </w:pPr>
            <w:r w:rsidRPr="00FE714A">
              <w:rPr>
                <w:rFonts w:ascii="Arial Narrow" w:hAnsi="Arial Narrow"/>
                <w:sz w:val="20"/>
                <w:szCs w:val="20"/>
              </w:rPr>
              <w:t>0.04 (</w:t>
            </w:r>
            <w:r w:rsidRPr="00FE714A">
              <w:rPr>
                <w:rFonts w:ascii="Arial Narrow" w:hAnsi="Arial Narrow"/>
                <w:sz w:val="20"/>
                <w:szCs w:val="20"/>
              </w:rPr>
              <w:noBreakHyphen/>
              <w:t>0.05, 0.13)</w:t>
            </w:r>
          </w:p>
        </w:tc>
      </w:tr>
      <w:tr w:rsidR="004779D9" w:rsidRPr="00FE714A" w14:paraId="15BDEFED" w14:textId="77777777" w:rsidTr="00DB2033">
        <w:trPr>
          <w:jc w:val="center"/>
        </w:trPr>
        <w:tc>
          <w:tcPr>
            <w:tcW w:w="5000" w:type="pct"/>
            <w:gridSpan w:val="3"/>
            <w:vAlign w:val="center"/>
          </w:tcPr>
          <w:p w14:paraId="4E906D4D" w14:textId="77777777" w:rsidR="004779D9" w:rsidRPr="00FE714A" w:rsidRDefault="004779D9" w:rsidP="00DB2033">
            <w:pPr>
              <w:keepNext/>
              <w:keepLines/>
              <w:jc w:val="left"/>
              <w:rPr>
                <w:rFonts w:ascii="Arial Narrow" w:hAnsi="Arial Narrow"/>
                <w:b/>
                <w:bCs/>
                <w:sz w:val="20"/>
                <w:szCs w:val="20"/>
              </w:rPr>
            </w:pPr>
            <w:r w:rsidRPr="00FE714A">
              <w:rPr>
                <w:rFonts w:ascii="Arial Narrow" w:hAnsi="Arial Narrow"/>
                <w:b/>
                <w:bCs/>
                <w:sz w:val="20"/>
                <w:szCs w:val="20"/>
              </w:rPr>
              <w:t>SAEs</w:t>
            </w:r>
          </w:p>
        </w:tc>
      </w:tr>
      <w:tr w:rsidR="004779D9" w:rsidRPr="00FE714A" w14:paraId="5F16B10B" w14:textId="77777777" w:rsidTr="001A53C7">
        <w:trPr>
          <w:jc w:val="center"/>
        </w:trPr>
        <w:tc>
          <w:tcPr>
            <w:tcW w:w="2198" w:type="pct"/>
          </w:tcPr>
          <w:p w14:paraId="32AA1F7B" w14:textId="77777777" w:rsidR="004779D9" w:rsidRPr="00FE714A" w:rsidRDefault="004779D9" w:rsidP="003A2CF0">
            <w:pPr>
              <w:keepNext/>
              <w:keepLines/>
              <w:rPr>
                <w:rFonts w:ascii="Arial Narrow" w:hAnsi="Arial Narrow"/>
                <w:sz w:val="20"/>
                <w:szCs w:val="20"/>
              </w:rPr>
            </w:pPr>
            <w:r w:rsidRPr="00FE714A">
              <w:rPr>
                <w:rFonts w:ascii="Arial Narrow" w:hAnsi="Arial Narrow"/>
                <w:sz w:val="20"/>
                <w:szCs w:val="20"/>
              </w:rPr>
              <w:t>LEB 250 mg Q2W ±TCS vs DUPI 300 mg ± TCS</w:t>
            </w:r>
          </w:p>
        </w:tc>
        <w:tc>
          <w:tcPr>
            <w:tcW w:w="1401" w:type="pct"/>
            <w:shd w:val="clear" w:color="auto" w:fill="auto"/>
            <w:vAlign w:val="center"/>
          </w:tcPr>
          <w:p w14:paraId="438676FE" w14:textId="77777777" w:rsidR="004779D9" w:rsidRPr="00FE714A" w:rsidRDefault="004779D9" w:rsidP="003A2CF0">
            <w:pPr>
              <w:keepNext/>
              <w:keepLines/>
              <w:jc w:val="center"/>
              <w:rPr>
                <w:rFonts w:ascii="Arial Narrow" w:hAnsi="Arial Narrow"/>
                <w:sz w:val="20"/>
                <w:szCs w:val="20"/>
              </w:rPr>
            </w:pPr>
            <w:r w:rsidRPr="00FE714A">
              <w:rPr>
                <w:rFonts w:ascii="Arial Narrow" w:hAnsi="Arial Narrow"/>
                <w:sz w:val="20"/>
                <w:szCs w:val="20"/>
              </w:rPr>
              <w:t>1.68 (0.63, 4.49)</w:t>
            </w:r>
          </w:p>
        </w:tc>
        <w:tc>
          <w:tcPr>
            <w:tcW w:w="1401" w:type="pct"/>
            <w:shd w:val="clear" w:color="auto" w:fill="auto"/>
            <w:vAlign w:val="center"/>
          </w:tcPr>
          <w:p w14:paraId="188FC8CA" w14:textId="77777777" w:rsidR="004779D9" w:rsidRPr="00FE714A" w:rsidRDefault="004779D9" w:rsidP="003A2CF0">
            <w:pPr>
              <w:keepNext/>
              <w:keepLines/>
              <w:jc w:val="center"/>
              <w:rPr>
                <w:rFonts w:ascii="Arial Narrow" w:hAnsi="Arial Narrow"/>
                <w:sz w:val="20"/>
                <w:szCs w:val="20"/>
              </w:rPr>
            </w:pPr>
            <w:r w:rsidRPr="00FE714A">
              <w:rPr>
                <w:rFonts w:ascii="Arial Narrow" w:hAnsi="Arial Narrow"/>
                <w:sz w:val="20"/>
                <w:szCs w:val="20"/>
              </w:rPr>
              <w:t>0.02 (0.00, 0.04)</w:t>
            </w:r>
          </w:p>
        </w:tc>
      </w:tr>
      <w:tr w:rsidR="004779D9" w:rsidRPr="00FE714A" w14:paraId="0EE89DFF" w14:textId="77777777" w:rsidTr="00DB2033">
        <w:trPr>
          <w:jc w:val="center"/>
        </w:trPr>
        <w:tc>
          <w:tcPr>
            <w:tcW w:w="5000" w:type="pct"/>
            <w:gridSpan w:val="3"/>
            <w:vAlign w:val="center"/>
          </w:tcPr>
          <w:p w14:paraId="0492CDAA" w14:textId="77777777" w:rsidR="004779D9" w:rsidRPr="00FE714A" w:rsidRDefault="004779D9" w:rsidP="00DB2033">
            <w:pPr>
              <w:keepNext/>
              <w:keepLines/>
              <w:jc w:val="left"/>
              <w:rPr>
                <w:rFonts w:ascii="Arial Narrow" w:hAnsi="Arial Narrow"/>
                <w:b/>
                <w:bCs/>
                <w:sz w:val="20"/>
                <w:szCs w:val="20"/>
              </w:rPr>
            </w:pPr>
            <w:r w:rsidRPr="00FE714A">
              <w:rPr>
                <w:rFonts w:ascii="Arial Narrow" w:hAnsi="Arial Narrow"/>
                <w:b/>
                <w:bCs/>
                <w:sz w:val="20"/>
                <w:szCs w:val="20"/>
              </w:rPr>
              <w:t>AEs leading to discontinuation</w:t>
            </w:r>
          </w:p>
        </w:tc>
      </w:tr>
      <w:tr w:rsidR="004779D9" w:rsidRPr="00FE714A" w14:paraId="13899F19" w14:textId="77777777" w:rsidTr="00117F93">
        <w:trPr>
          <w:jc w:val="center"/>
        </w:trPr>
        <w:tc>
          <w:tcPr>
            <w:tcW w:w="2198" w:type="pct"/>
          </w:tcPr>
          <w:p w14:paraId="0D01EBB3" w14:textId="77777777" w:rsidR="004779D9" w:rsidRPr="00FE714A" w:rsidRDefault="004779D9" w:rsidP="00BA74FD">
            <w:pPr>
              <w:keepNext/>
              <w:keepLines/>
              <w:rPr>
                <w:rFonts w:ascii="Arial Narrow" w:hAnsi="Arial Narrow"/>
                <w:sz w:val="20"/>
                <w:szCs w:val="20"/>
              </w:rPr>
            </w:pPr>
            <w:r w:rsidRPr="00FE714A">
              <w:rPr>
                <w:rFonts w:ascii="Arial Narrow" w:hAnsi="Arial Narrow"/>
                <w:sz w:val="20"/>
                <w:szCs w:val="20"/>
              </w:rPr>
              <w:t>LEB 250 mg Q2W ±TCS vs DUPI 300 mg ± TCS</w:t>
            </w:r>
          </w:p>
        </w:tc>
        <w:tc>
          <w:tcPr>
            <w:tcW w:w="1401" w:type="pct"/>
            <w:shd w:val="clear" w:color="auto" w:fill="auto"/>
            <w:vAlign w:val="center"/>
          </w:tcPr>
          <w:p w14:paraId="1DBBDE03" w14:textId="77777777" w:rsidR="004779D9" w:rsidRPr="00FE714A" w:rsidRDefault="004779D9" w:rsidP="00BA74FD">
            <w:pPr>
              <w:keepNext/>
              <w:keepLines/>
              <w:jc w:val="center"/>
              <w:rPr>
                <w:rFonts w:ascii="Arial Narrow" w:hAnsi="Arial Narrow"/>
                <w:sz w:val="20"/>
                <w:szCs w:val="20"/>
              </w:rPr>
            </w:pPr>
            <w:r w:rsidRPr="00FE714A">
              <w:rPr>
                <w:rFonts w:ascii="Arial Narrow" w:hAnsi="Arial Narrow"/>
                <w:sz w:val="20"/>
                <w:szCs w:val="20"/>
              </w:rPr>
              <w:t>1.20 (0.47, 3.05)</w:t>
            </w:r>
          </w:p>
        </w:tc>
        <w:tc>
          <w:tcPr>
            <w:tcW w:w="1401" w:type="pct"/>
            <w:shd w:val="clear" w:color="auto" w:fill="auto"/>
            <w:vAlign w:val="center"/>
          </w:tcPr>
          <w:p w14:paraId="4B40E478" w14:textId="77777777" w:rsidR="004779D9" w:rsidRPr="00FE714A" w:rsidRDefault="004779D9" w:rsidP="00BA74FD">
            <w:pPr>
              <w:keepNext/>
              <w:keepLines/>
              <w:jc w:val="center"/>
              <w:rPr>
                <w:rFonts w:ascii="Arial Narrow" w:hAnsi="Arial Narrow"/>
                <w:sz w:val="20"/>
                <w:szCs w:val="20"/>
              </w:rPr>
            </w:pPr>
            <w:r w:rsidRPr="00FE714A">
              <w:rPr>
                <w:rFonts w:ascii="Arial Narrow" w:hAnsi="Arial Narrow"/>
                <w:sz w:val="20"/>
                <w:szCs w:val="20"/>
              </w:rPr>
              <w:t>0.01 (</w:t>
            </w:r>
            <w:r w:rsidRPr="00FE714A">
              <w:rPr>
                <w:rFonts w:ascii="Arial Narrow" w:hAnsi="Arial Narrow"/>
                <w:sz w:val="20"/>
                <w:szCs w:val="20"/>
              </w:rPr>
              <w:noBreakHyphen/>
              <w:t>0.01, 0.02)</w:t>
            </w:r>
          </w:p>
        </w:tc>
      </w:tr>
    </w:tbl>
    <w:p w14:paraId="21A92AD8" w14:textId="77777777" w:rsidR="004779D9" w:rsidRPr="00FE714A" w:rsidRDefault="004779D9" w:rsidP="009926DD">
      <w:pPr>
        <w:pStyle w:val="FooterTableFigure"/>
        <w:keepNext/>
        <w:keepLines/>
        <w:rPr>
          <w:rFonts w:eastAsia="Calibri"/>
        </w:rPr>
      </w:pPr>
      <w:r w:rsidRPr="00FE714A">
        <w:rPr>
          <w:rFonts w:eastAsia="Calibri"/>
        </w:rPr>
        <w:t xml:space="preserve">Source: </w:t>
      </w:r>
      <w:r w:rsidRPr="00FE714A">
        <w:t>Table 2.6-12, 2.6113 &amp; 2.6-14, pp233-235, 236-238 &amp; 239-241 of the submission.</w:t>
      </w:r>
    </w:p>
    <w:p w14:paraId="71DD731D" w14:textId="77777777" w:rsidR="004779D9" w:rsidRPr="00FE714A" w:rsidRDefault="004779D9" w:rsidP="0056239E">
      <w:pPr>
        <w:pStyle w:val="FooterTableFigure"/>
      </w:pPr>
      <w:r w:rsidRPr="00FE714A">
        <w:t>AE = adverse event; CI = confidence interval; DUPI = dupilumab; LEB = lebrikizumab; PBO = placebo; Q2W = every 2 weeks; RD = risk difference; RR = relative risk; SAEs = serious adverse events; TCS = topical corticosteroids</w:t>
      </w:r>
    </w:p>
    <w:p w14:paraId="579606C9" w14:textId="38ABF949" w:rsidR="004779D9" w:rsidRPr="00FE714A" w:rsidRDefault="008C54F2" w:rsidP="00D86231">
      <w:pPr>
        <w:pStyle w:val="3-BodyText"/>
      </w:pPr>
      <w:r w:rsidRPr="00FE714A">
        <w:t xml:space="preserve">All safety results were not significantly different in the </w:t>
      </w:r>
      <w:r w:rsidR="004779D9" w:rsidRPr="00FE714A">
        <w:t xml:space="preserve">indirect treatment comparisons of LEB versus DUPI (all trials pooled) and therefore met the submission’s </w:t>
      </w:r>
      <w:r w:rsidR="002249AA" w:rsidRPr="00FE714A">
        <w:t xml:space="preserve">criteria for non-inferiority. </w:t>
      </w:r>
      <w:r w:rsidR="00FE714A" w:rsidRPr="00FE714A">
        <w:t>However,</w:t>
      </w:r>
      <w:r w:rsidR="004779D9" w:rsidRPr="00FE714A">
        <w:t xml:space="preserve"> the point estimates tended to favour DUPI and the 95%CI for SAEs and AEs leading to discontinuations were large (noting the relatively low </w:t>
      </w:r>
      <w:r w:rsidR="002249AA" w:rsidRPr="00FE714A">
        <w:t xml:space="preserve">number of </w:t>
      </w:r>
      <w:r w:rsidR="004779D9" w:rsidRPr="00FE714A">
        <w:t xml:space="preserve">observations for these outcomes). </w:t>
      </w:r>
    </w:p>
    <w:p w14:paraId="3F3F0571" w14:textId="6CFED74D" w:rsidR="00E73ED0" w:rsidRPr="00FE714A" w:rsidRDefault="00E73ED0" w:rsidP="00E73ED0">
      <w:pPr>
        <w:pStyle w:val="3-BodyText"/>
      </w:pPr>
      <w:r w:rsidRPr="00FE714A">
        <w:t>Based on the Development Safety Update Report (DSUR) (reporting period: 23</w:t>
      </w:r>
      <w:r w:rsidR="007D452D">
        <w:t> </w:t>
      </w:r>
      <w:r w:rsidRPr="00FE714A">
        <w:t>September 2021 to 22 September 2022), the following events were determined to be adverse drug reactions (of interest) of LEB: conjunctivitis; keratitis; injection site reactions; herpes zoster; and blood eosinophilia.</w:t>
      </w:r>
      <w:r w:rsidRPr="00FE714A">
        <w:rPr>
          <w:i/>
          <w:iCs/>
        </w:rPr>
        <w:t xml:space="preserve"> </w:t>
      </w:r>
      <w:r w:rsidRPr="00FE714A">
        <w:t xml:space="preserve">These AEs were extracted from the included trials during the evaluation and the RR and RD were calculated for each condition. Overall, the results indicated that patients enrolled in the LEB arms of the included trials had a higher risk of experiencing conjunctivitis clusters compared to patients enrolled in the placebo arms (pooled RR=3.67, 95%CI: 2.36, 5.70; pooled RD=0.08, 95%CI: 0.04, 0.12). This was </w:t>
      </w:r>
      <w:r w:rsidR="009F1491" w:rsidRPr="00FE714A">
        <w:t xml:space="preserve">also observed </w:t>
      </w:r>
      <w:r w:rsidRPr="00FE714A">
        <w:t>with DUPI (a biologic that is a close pharmacological analogue to LEB</w:t>
      </w:r>
      <w:r w:rsidR="009F1491" w:rsidRPr="00FE714A">
        <w:t>, as DUPI is an IL-4 and IL-13 inhibitor whereas LEB is an IL-13 inhibitor</w:t>
      </w:r>
      <w:r w:rsidRPr="00FE714A">
        <w:t>), where patients treated with DUPI in the included trials reported a higher incidence of conjunctivitis compared to patients treated with placebo (paragraph 6.35, DUPI PSD, July 2018 PBAC meeting).</w:t>
      </w:r>
    </w:p>
    <w:p w14:paraId="6FC086A1" w14:textId="77777777" w:rsidR="00E73ED0" w:rsidRPr="00FE714A" w:rsidRDefault="00E73ED0" w:rsidP="00E73ED0">
      <w:pPr>
        <w:pStyle w:val="3-BodyText"/>
      </w:pPr>
      <w:r w:rsidRPr="00FE714A">
        <w:t>There was a lack of long-term safety outcomes for LEB available, however, Guttman-</w:t>
      </w:r>
      <w:proofErr w:type="spellStart"/>
      <w:r w:rsidRPr="00FE714A">
        <w:t>Yassky</w:t>
      </w:r>
      <w:proofErr w:type="spellEnd"/>
      <w:r w:rsidRPr="00FE714A">
        <w:rPr>
          <w:rStyle w:val="FootnoteReference"/>
        </w:rPr>
        <w:footnoteReference w:id="3"/>
      </w:r>
      <w:r w:rsidRPr="00FE714A">
        <w:t xml:space="preserve"> reported no new safety signals were noted in up to two years of treatment</w:t>
      </w:r>
      <w:r w:rsidRPr="00FE714A">
        <w:rPr>
          <w:rStyle w:val="FootnoteReference"/>
        </w:rPr>
        <w:footnoteReference w:id="4"/>
      </w:r>
      <w:r w:rsidRPr="00FE714A">
        <w:t xml:space="preserve"> with LEB in </w:t>
      </w:r>
      <w:proofErr w:type="spellStart"/>
      <w:r w:rsidRPr="00FE714A">
        <w:t>ADjoin</w:t>
      </w:r>
      <w:proofErr w:type="spellEnd"/>
      <w:r w:rsidRPr="00FE714A">
        <w:t xml:space="preserve"> (long-term extension study in responders from </w:t>
      </w:r>
      <w:proofErr w:type="spellStart"/>
      <w:r w:rsidRPr="00FE714A">
        <w:t>ADvocate</w:t>
      </w:r>
      <w:proofErr w:type="spellEnd"/>
      <w:r w:rsidRPr="00FE714A">
        <w:t xml:space="preserve"> 1, </w:t>
      </w:r>
      <w:proofErr w:type="spellStart"/>
      <w:r w:rsidRPr="00FE714A">
        <w:t>ADvocate</w:t>
      </w:r>
      <w:proofErr w:type="spellEnd"/>
      <w:r w:rsidRPr="00FE714A">
        <w:t xml:space="preserve"> 2 and </w:t>
      </w:r>
      <w:proofErr w:type="spellStart"/>
      <w:r w:rsidRPr="00FE714A">
        <w:t>ADhere</w:t>
      </w:r>
      <w:proofErr w:type="spellEnd"/>
      <w:r w:rsidRPr="00FE714A">
        <w:t>).</w:t>
      </w:r>
    </w:p>
    <w:p w14:paraId="318F328C" w14:textId="77777777" w:rsidR="004779D9" w:rsidRPr="00FE714A" w:rsidRDefault="004779D9" w:rsidP="00D86231">
      <w:pPr>
        <w:pStyle w:val="4-SubsectionHeading"/>
      </w:pPr>
      <w:bookmarkStart w:id="44" w:name="_Toc155860021"/>
      <w:r w:rsidRPr="00FE714A">
        <w:t>Benefits/harms</w:t>
      </w:r>
      <w:bookmarkEnd w:id="44"/>
    </w:p>
    <w:p w14:paraId="5D93036B" w14:textId="7441954E" w:rsidR="004779D9" w:rsidRPr="00FE714A" w:rsidRDefault="004779D9" w:rsidP="00D2155B">
      <w:pPr>
        <w:pStyle w:val="3-BodyText"/>
      </w:pPr>
      <w:r w:rsidRPr="00FE714A">
        <w:rPr>
          <w:snapToGrid/>
        </w:rPr>
        <w:t xml:space="preserve">A benefits and harms table </w:t>
      </w:r>
      <w:proofErr w:type="gramStart"/>
      <w:r w:rsidR="00AE7858" w:rsidRPr="00FE714A">
        <w:rPr>
          <w:snapToGrid/>
        </w:rPr>
        <w:t>wa</w:t>
      </w:r>
      <w:r w:rsidRPr="00FE714A">
        <w:rPr>
          <w:snapToGrid/>
        </w:rPr>
        <w:t>s</w:t>
      </w:r>
      <w:proofErr w:type="gramEnd"/>
      <w:r w:rsidRPr="00FE714A">
        <w:rPr>
          <w:snapToGrid/>
        </w:rPr>
        <w:t xml:space="preserve"> not presented as the submission made a claim of non-inferiority. </w:t>
      </w:r>
    </w:p>
    <w:p w14:paraId="6BF7028D" w14:textId="77777777" w:rsidR="004779D9" w:rsidRPr="00FE714A" w:rsidRDefault="004779D9" w:rsidP="000B4A4D">
      <w:pPr>
        <w:pStyle w:val="4-SubsectionHeading"/>
      </w:pPr>
      <w:bookmarkStart w:id="45" w:name="_Toc155860022"/>
      <w:r w:rsidRPr="00FE714A">
        <w:lastRenderedPageBreak/>
        <w:t>Clinical claim</w:t>
      </w:r>
      <w:bookmarkEnd w:id="45"/>
    </w:p>
    <w:p w14:paraId="76E25334" w14:textId="07968BEE" w:rsidR="00B050DD" w:rsidRPr="00FE714A" w:rsidRDefault="00B050DD" w:rsidP="00B050DD">
      <w:pPr>
        <w:pStyle w:val="3-BodyText"/>
        <w:rPr>
          <w:rFonts w:eastAsia="Calibri"/>
        </w:rPr>
      </w:pPr>
      <w:r w:rsidRPr="00FE714A">
        <w:rPr>
          <w:rFonts w:eastAsia="Calibri"/>
        </w:rPr>
        <w:t>The submission described LEB 250 mg Q2W as non-inferior compared with DUPI 300</w:t>
      </w:r>
      <w:r w:rsidR="007D452D">
        <w:rPr>
          <w:rFonts w:eastAsia="Calibri"/>
        </w:rPr>
        <w:t> </w:t>
      </w:r>
      <w:r w:rsidRPr="00FE714A">
        <w:rPr>
          <w:rFonts w:eastAsia="Calibri"/>
        </w:rPr>
        <w:t xml:space="preserve">mg Q2W in terms of effectiveness. Although the results of the indirect treatment comparison between LEB and DUPI in the severe AD subgroup were not statistically significant (RR=0.99, 95%CI: 0.50, 1.96; RD=-0.03, 95%CI: -0.16, 0.09), the </w:t>
      </w:r>
      <w:r w:rsidR="009C6D6E" w:rsidRPr="00FE714A">
        <w:rPr>
          <w:rFonts w:eastAsia="Calibri"/>
        </w:rPr>
        <w:t xml:space="preserve">evaluation considered the </w:t>
      </w:r>
      <w:r w:rsidRPr="00FE714A">
        <w:rPr>
          <w:rFonts w:eastAsia="Calibri"/>
        </w:rPr>
        <w:t>therapeutic conclusion presented in the submission may not be adequately supported by the evidence presented by the submission because:</w:t>
      </w:r>
    </w:p>
    <w:p w14:paraId="639EE68D" w14:textId="2C424D73" w:rsidR="00B050DD" w:rsidRPr="00FE714A" w:rsidRDefault="00B050DD" w:rsidP="00A2503D">
      <w:pPr>
        <w:pStyle w:val="ListParagraph"/>
        <w:numPr>
          <w:ilvl w:val="0"/>
          <w:numId w:val="7"/>
        </w:numPr>
        <w:ind w:left="1080"/>
      </w:pPr>
      <w:r w:rsidRPr="00FE714A">
        <w:t>The submission’s non-inferiority claim was based on an absence of a statistically significant difference in the indirect treatment comparisons.</w:t>
      </w:r>
      <w:r w:rsidR="00735CB2" w:rsidRPr="00FE714A">
        <w:t xml:space="preserve"> </w:t>
      </w:r>
      <w:r w:rsidR="00A253A2" w:rsidRPr="00FE714A">
        <w:t>However,</w:t>
      </w:r>
      <w:r w:rsidR="00735CB2" w:rsidRPr="00FE714A">
        <w:t xml:space="preserve"> the 95% CI </w:t>
      </w:r>
      <w:r w:rsidR="00C37499" w:rsidRPr="00FE714A">
        <w:t xml:space="preserve">for </w:t>
      </w:r>
      <w:r w:rsidR="002204FC" w:rsidRPr="00FE714A">
        <w:t xml:space="preserve">RR </w:t>
      </w:r>
      <w:r w:rsidR="00C37499" w:rsidRPr="00FE714A">
        <w:t>was wide and</w:t>
      </w:r>
      <w:r w:rsidRPr="00FE714A">
        <w:t xml:space="preserve"> the absence of a statistically significant difference based on an indirect comparison may be insufficient to support a claim of non-inferiority. A more stringent approach may be to apply an established non-inferiority margin to reduce uncertainty; however, a non-inferiority margin was not nominated by the submission;</w:t>
      </w:r>
    </w:p>
    <w:p w14:paraId="61FFA861" w14:textId="3B1808EF" w:rsidR="00B050DD" w:rsidRPr="00FE714A" w:rsidRDefault="00B050DD" w:rsidP="00A2503D">
      <w:pPr>
        <w:pStyle w:val="ListParagraph"/>
        <w:numPr>
          <w:ilvl w:val="0"/>
          <w:numId w:val="7"/>
        </w:numPr>
        <w:ind w:left="1080"/>
      </w:pPr>
      <w:r w:rsidRPr="00FE714A">
        <w:t xml:space="preserve">The PBAC has previously considered that trials that allowed ongoing use of TCS were the most relevant to Australian clinical practice, where TCS would be expected to be continued in combination with other treatment (paragraph 6.10, UPA PSD, July 2021 PBAC meeting). </w:t>
      </w:r>
      <w:r w:rsidR="00FE714A" w:rsidRPr="00FE714A">
        <w:t>However,</w:t>
      </w:r>
      <w:r w:rsidRPr="00FE714A">
        <w:t xml:space="preserve"> the majority of patients </w:t>
      </w:r>
      <w:r w:rsidR="009C6D6E" w:rsidRPr="00FE714A">
        <w:t>treated with</w:t>
      </w:r>
      <w:r w:rsidRPr="00FE714A">
        <w:t xml:space="preserve"> LEB were enrolled in monotherapy trials, and as such the pooled LEB benefit reported carried a degree of uncertainty with regards to the applicability to the proposed PBS population. Further, </w:t>
      </w:r>
      <w:r w:rsidR="00006577" w:rsidRPr="00FE714A">
        <w:t>t</w:t>
      </w:r>
      <w:r w:rsidRPr="00FE714A">
        <w:t xml:space="preserve">he magnitude of benefit of treatment in the LEB combination therapy trial </w:t>
      </w:r>
      <w:proofErr w:type="spellStart"/>
      <w:r w:rsidRPr="00FE714A">
        <w:t>ADhere</w:t>
      </w:r>
      <w:proofErr w:type="spellEnd"/>
      <w:r w:rsidRPr="00FE714A">
        <w:t xml:space="preserve"> was lower than the benefit of LEB in the monotherapy trials. As such, </w:t>
      </w:r>
      <w:r w:rsidR="008A3B58" w:rsidRPr="00FE714A">
        <w:t>th</w:t>
      </w:r>
      <w:r w:rsidR="00E94A61" w:rsidRPr="00FE714A">
        <w:t>e results of the indirect comparison</w:t>
      </w:r>
      <w:r w:rsidR="008A3B58" w:rsidRPr="00FE714A">
        <w:t xml:space="preserve"> may be biased in favour of LEB if the ratio of patients treated with combination therapy (DUPI </w:t>
      </w:r>
      <w:r w:rsidR="00D75978" w:rsidRPr="00FE714A">
        <w:t>+</w:t>
      </w:r>
      <w:r w:rsidR="008A3B58" w:rsidRPr="00FE714A">
        <w:t xml:space="preserve"> TCS) in the pooled estimates for DUPI was higher than those observed for LEB</w:t>
      </w:r>
      <w:r w:rsidRPr="00FE714A">
        <w:t>; and</w:t>
      </w:r>
    </w:p>
    <w:p w14:paraId="27EB866E" w14:textId="14DC548F" w:rsidR="00B050DD" w:rsidRPr="00FE714A" w:rsidRDefault="00B050DD" w:rsidP="00B050DD">
      <w:pPr>
        <w:pStyle w:val="ListBullet"/>
        <w:tabs>
          <w:tab w:val="clear" w:pos="360"/>
          <w:tab w:val="num" w:pos="1080"/>
        </w:tabs>
        <w:spacing w:after="120"/>
        <w:ind w:left="1080"/>
        <w:contextualSpacing w:val="0"/>
      </w:pPr>
      <w:r w:rsidRPr="00FE714A">
        <w:t>The point estimates of the indirect treatment comparison were consistently in favour of DUPI</w:t>
      </w:r>
      <w:r w:rsidR="009C6D6E" w:rsidRPr="00FE714A">
        <w:t>, though</w:t>
      </w:r>
      <w:r w:rsidRPr="00FE714A">
        <w:t xml:space="preserve"> the 95% CIs were large, indicating a substantial degree of uncertainty associated with the estimates. </w:t>
      </w:r>
    </w:p>
    <w:p w14:paraId="11323E97" w14:textId="3582CCC1" w:rsidR="00B050DD" w:rsidRPr="00FE714A" w:rsidRDefault="00B050DD" w:rsidP="00B050DD">
      <w:pPr>
        <w:pStyle w:val="3-BodyText"/>
        <w:rPr>
          <w:rFonts w:eastAsia="Calibri"/>
        </w:rPr>
      </w:pPr>
      <w:r w:rsidRPr="00FE714A">
        <w:rPr>
          <w:rFonts w:eastAsia="Calibri"/>
        </w:rPr>
        <w:t>No comparative evidence for LEB and DUPI in adolescent patients (aged ≥12 to &lt;18</w:t>
      </w:r>
      <w:r w:rsidR="007D452D">
        <w:rPr>
          <w:rFonts w:eastAsia="Calibri"/>
        </w:rPr>
        <w:t> </w:t>
      </w:r>
      <w:r w:rsidRPr="00FE714A">
        <w:rPr>
          <w:rFonts w:eastAsia="Calibri"/>
        </w:rPr>
        <w:t xml:space="preserve">years) with severe AD was presented by the submission. As such, the comparative efficacy of LEB versus DUPI in the adolescent PBS population was </w:t>
      </w:r>
      <w:r w:rsidR="000742EC" w:rsidRPr="00FE714A">
        <w:rPr>
          <w:rFonts w:eastAsia="Calibri"/>
        </w:rPr>
        <w:t>uncertain</w:t>
      </w:r>
      <w:r w:rsidRPr="00FE714A">
        <w:rPr>
          <w:rFonts w:eastAsia="Calibri"/>
        </w:rPr>
        <w:t>.</w:t>
      </w:r>
    </w:p>
    <w:p w14:paraId="148D8EF0" w14:textId="6C9C06BA" w:rsidR="004779D9" w:rsidRPr="00FE714A" w:rsidRDefault="004779D9" w:rsidP="00D0732B">
      <w:pPr>
        <w:pStyle w:val="3-BodyText"/>
        <w:rPr>
          <w:rFonts w:eastAsia="Calibri"/>
        </w:rPr>
      </w:pPr>
      <w:r w:rsidRPr="00FE714A">
        <w:t>The submission described LEB 250 mg Q2W as non-inferior compared with DUPI 300</w:t>
      </w:r>
      <w:r w:rsidR="007D452D">
        <w:t> </w:t>
      </w:r>
      <w:r w:rsidRPr="00FE714A">
        <w:t xml:space="preserve"> mg Q2W in terms of safety. </w:t>
      </w:r>
      <w:bookmarkStart w:id="46" w:name="_Hlk155659540"/>
      <w:r w:rsidRPr="00FE714A">
        <w:t>The submission’s claim of non-inferiority may be reasonable and plausible given the similarities in the respective mechanisms of action (DUPI is an IL-4 and IL-13 inhibitor whereas LEB is an IL-13 inhibitor)</w:t>
      </w:r>
      <w:bookmarkEnd w:id="46"/>
      <w:r w:rsidRPr="00FE714A">
        <w:t>, though it was difficult to determine with certainty given the relatively low observations for SAEs and AEs leading to discontinuations. There was a lack of long-term safety outcomes available for LEB though no new safety signals were noted at up to two years of treatment.</w:t>
      </w:r>
    </w:p>
    <w:p w14:paraId="2320CF22" w14:textId="06A20421" w:rsidR="004F7EF7" w:rsidRPr="00FE714A" w:rsidRDefault="004F7EF7" w:rsidP="004F7EF7">
      <w:pPr>
        <w:pStyle w:val="3-BodyText"/>
      </w:pPr>
      <w:r w:rsidRPr="00FE714A">
        <w:lastRenderedPageBreak/>
        <w:t xml:space="preserve">Additionally, </w:t>
      </w:r>
      <w:r w:rsidR="00847735" w:rsidRPr="00FE714A">
        <w:t>t</w:t>
      </w:r>
      <w:r w:rsidRPr="00FE714A">
        <w:t xml:space="preserve">he submission described LEB 250 mg Q2W ± TCS as non-inferior in terms of effectiveness compared with UPA 15 mg ± TCS and compared with UPA 30 mg </w:t>
      </w:r>
      <w:r w:rsidRPr="00FE714A">
        <w:rPr>
          <w:rFonts w:cs="Calibri"/>
        </w:rPr>
        <w:t>±</w:t>
      </w:r>
      <w:r w:rsidRPr="00FE714A">
        <w:t xml:space="preserve"> TCS. While the results of the indirect comparison between LEB 250 mg Q2W ± TCS and UPA 15 mg ± TCS met the submission’s nominated criteria for non-inferiority based on an absence of a statistically significant difference, the submission’s claim of non-inferior efficacy may not be supported given lack of an established non-inferiority margin and uncertainty associated with the observed 95% CIs derived from an indirect comparison. The nominated criteria for non-inferiority of LEB and UPA 30</w:t>
      </w:r>
      <w:r w:rsidR="00006577" w:rsidRPr="00FE714A">
        <w:t xml:space="preserve"> </w:t>
      </w:r>
      <w:r w:rsidRPr="00FE714A">
        <w:t>mg was not met as the proportion of patients who achieved the composite outcome was statistically significantly lower with LEB 250 mg Q2W ± TCS than UPA 30 mg ± TCS in terms of RD (RD= -0.23; 95% CI: -0.37, -0.09).</w:t>
      </w:r>
    </w:p>
    <w:p w14:paraId="06680D8E" w14:textId="25BDDF00" w:rsidR="00302FB2" w:rsidRPr="00FE714A" w:rsidRDefault="00302FB2" w:rsidP="00302FB2">
      <w:pPr>
        <w:widowControl w:val="0"/>
        <w:numPr>
          <w:ilvl w:val="1"/>
          <w:numId w:val="1"/>
        </w:numPr>
        <w:spacing w:after="120"/>
        <w:rPr>
          <w:rFonts w:asciiTheme="minorHAnsi" w:hAnsiTheme="minorHAnsi"/>
          <w:snapToGrid w:val="0"/>
          <w:szCs w:val="20"/>
        </w:rPr>
      </w:pPr>
      <w:bookmarkStart w:id="47" w:name="_Hlk76376200"/>
      <w:r w:rsidRPr="00FE714A">
        <w:rPr>
          <w:rFonts w:asciiTheme="minorHAnsi" w:hAnsiTheme="minorHAnsi"/>
          <w:iCs/>
          <w:snapToGrid w:val="0"/>
        </w:rPr>
        <w:t>The</w:t>
      </w:r>
      <w:r w:rsidRPr="00FE714A">
        <w:rPr>
          <w:rFonts w:asciiTheme="minorHAnsi" w:hAnsiTheme="minorHAnsi"/>
          <w:snapToGrid w:val="0"/>
          <w:szCs w:val="20"/>
        </w:rPr>
        <w:t xml:space="preserve"> PBAC considered that the claim of non-inferior comparative effectiveness </w:t>
      </w:r>
      <w:r w:rsidR="000A5686" w:rsidRPr="00FE714A">
        <w:rPr>
          <w:rFonts w:asciiTheme="minorHAnsi" w:hAnsiTheme="minorHAnsi"/>
          <w:snapToGrid w:val="0"/>
          <w:szCs w:val="20"/>
        </w:rPr>
        <w:t xml:space="preserve">to DUPI </w:t>
      </w:r>
      <w:r w:rsidRPr="00FE714A">
        <w:rPr>
          <w:rFonts w:asciiTheme="minorHAnsi" w:hAnsiTheme="minorHAnsi"/>
          <w:snapToGrid w:val="0"/>
          <w:szCs w:val="20"/>
        </w:rPr>
        <w:t>was reasonable</w:t>
      </w:r>
      <w:r w:rsidR="000A5686" w:rsidRPr="00FE714A">
        <w:rPr>
          <w:rFonts w:asciiTheme="minorHAnsi" w:hAnsiTheme="minorHAnsi"/>
          <w:snapToGrid w:val="0"/>
          <w:szCs w:val="20"/>
        </w:rPr>
        <w:t>, as was the claim of non-inferior comparative effectiveness to UPA</w:t>
      </w:r>
      <w:r w:rsidRPr="00FE714A">
        <w:rPr>
          <w:rFonts w:asciiTheme="minorHAnsi" w:hAnsiTheme="minorHAnsi"/>
          <w:snapToGrid w:val="0"/>
          <w:szCs w:val="20"/>
        </w:rPr>
        <w:t>.</w:t>
      </w:r>
    </w:p>
    <w:p w14:paraId="7E2E13E1" w14:textId="75F5D0CA" w:rsidR="00302FB2" w:rsidRPr="00FE714A" w:rsidRDefault="00302FB2" w:rsidP="005F4197">
      <w:pPr>
        <w:widowControl w:val="0"/>
        <w:numPr>
          <w:ilvl w:val="1"/>
          <w:numId w:val="1"/>
        </w:numPr>
        <w:spacing w:after="120"/>
      </w:pPr>
      <w:r w:rsidRPr="00FE714A">
        <w:rPr>
          <w:rFonts w:asciiTheme="minorHAnsi" w:hAnsiTheme="minorHAnsi"/>
          <w:snapToGrid w:val="0"/>
          <w:szCs w:val="20"/>
        </w:rPr>
        <w:t xml:space="preserve">The PBAC considered that the claim of non-inferior comparative safety </w:t>
      </w:r>
      <w:r w:rsidR="000A5686" w:rsidRPr="00FE714A">
        <w:rPr>
          <w:rFonts w:asciiTheme="minorHAnsi" w:hAnsiTheme="minorHAnsi"/>
          <w:snapToGrid w:val="0"/>
          <w:szCs w:val="20"/>
        </w:rPr>
        <w:t xml:space="preserve">to DUPI </w:t>
      </w:r>
      <w:r w:rsidRPr="00FE714A">
        <w:rPr>
          <w:rFonts w:asciiTheme="minorHAnsi" w:hAnsiTheme="minorHAnsi"/>
          <w:snapToGrid w:val="0"/>
          <w:szCs w:val="20"/>
        </w:rPr>
        <w:t>was reasonable</w:t>
      </w:r>
      <w:r w:rsidR="000A5686" w:rsidRPr="00FE714A">
        <w:rPr>
          <w:rFonts w:asciiTheme="minorHAnsi" w:hAnsiTheme="minorHAnsi"/>
          <w:snapToGrid w:val="0"/>
          <w:szCs w:val="20"/>
        </w:rPr>
        <w:t>, as was the claim of non-inferior comparative effectiveness to UPA</w:t>
      </w:r>
      <w:r w:rsidRPr="00FE714A">
        <w:rPr>
          <w:rFonts w:asciiTheme="minorHAnsi" w:hAnsiTheme="minorHAnsi"/>
          <w:snapToGrid w:val="0"/>
          <w:szCs w:val="20"/>
        </w:rPr>
        <w:t>.</w:t>
      </w:r>
      <w:bookmarkEnd w:id="47"/>
    </w:p>
    <w:p w14:paraId="15B152CC" w14:textId="77777777" w:rsidR="004779D9" w:rsidRPr="00FE714A" w:rsidRDefault="004779D9" w:rsidP="00E9094A">
      <w:pPr>
        <w:pStyle w:val="4-SubsectionHeading"/>
      </w:pPr>
      <w:bookmarkStart w:id="48" w:name="_Toc155860023"/>
      <w:r w:rsidRPr="00FE714A">
        <w:t>Economic analysis</w:t>
      </w:r>
      <w:bookmarkEnd w:id="48"/>
      <w:r w:rsidRPr="00FE714A">
        <w:t xml:space="preserve"> </w:t>
      </w:r>
    </w:p>
    <w:p w14:paraId="4EC22C22" w14:textId="1312C163" w:rsidR="004779D9" w:rsidRPr="00FE714A" w:rsidRDefault="004779D9" w:rsidP="00641FB3">
      <w:pPr>
        <w:pStyle w:val="3-BodyText"/>
        <w:rPr>
          <w:b/>
          <w:bCs/>
        </w:rPr>
      </w:pPr>
      <w:r w:rsidRPr="00FE714A">
        <w:t>The submission presented a CMA which compared LEB 250 mg for adult and adolescent patients aged 12 years and over, with DUPI 300 mg for adult patients and DUPI 200 mg for adolescent patients weighing &lt;60 kg, over a two-year time horizon</w:t>
      </w:r>
      <w:r w:rsidR="0035091B" w:rsidRPr="00FE714A">
        <w:t>, including a 16 week induction period</w:t>
      </w:r>
      <w:r w:rsidRPr="00FE714A">
        <w:t>. Only data from adult patients receiving DUPI 300 mg were presented in the submission’s clinical evaluation for the severe AD subgroup</w:t>
      </w:r>
      <w:r w:rsidR="007C05B5" w:rsidRPr="00FE714A">
        <w:t xml:space="preserve"> with n</w:t>
      </w:r>
      <w:r w:rsidRPr="00FE714A">
        <w:t>o comparative evidence for LEB and DUPI</w:t>
      </w:r>
      <w:r w:rsidR="002177A0" w:rsidRPr="00FE714A">
        <w:t xml:space="preserve"> 200 mg</w:t>
      </w:r>
      <w:r w:rsidRPr="00FE714A">
        <w:t xml:space="preserve"> in adolescent patients (aged </w:t>
      </w:r>
      <w:r w:rsidRPr="00FE714A">
        <w:rPr>
          <w:rFonts w:cs="Calibri"/>
        </w:rPr>
        <w:t>≥</w:t>
      </w:r>
      <w:r w:rsidRPr="00FE714A">
        <w:t>12 to &lt;18 years) with severe AD presented</w:t>
      </w:r>
      <w:r w:rsidR="00FE714A">
        <w:t xml:space="preserve">. </w:t>
      </w:r>
    </w:p>
    <w:p w14:paraId="0A23EDE5" w14:textId="201461FE" w:rsidR="004779D9" w:rsidRPr="00FE714A" w:rsidRDefault="004779D9" w:rsidP="00641FB3">
      <w:pPr>
        <w:pStyle w:val="3-BodyText"/>
        <w:rPr>
          <w:b/>
          <w:bCs/>
        </w:rPr>
      </w:pPr>
      <w:r w:rsidRPr="00FE714A">
        <w:t>The submission’s approach of comparing drug costs over a two-year period was consistent with the CMA of UPA and DUPI, which was previously accepted by the PBAC (paragraph 6.52, UPA PSD, July 2021 PBAC meeting). The submission did not include any cost offsets in the CMA.</w:t>
      </w:r>
    </w:p>
    <w:p w14:paraId="2C28E9BF" w14:textId="77777777" w:rsidR="004779D9" w:rsidRPr="00FE714A" w:rsidRDefault="004779D9" w:rsidP="00030D9F">
      <w:pPr>
        <w:pStyle w:val="3-BodyText"/>
      </w:pPr>
      <w:r w:rsidRPr="00FE714A">
        <w:t xml:space="preserve">The </w:t>
      </w:r>
      <w:proofErr w:type="spellStart"/>
      <w:r w:rsidRPr="00FE714A">
        <w:t>equi</w:t>
      </w:r>
      <w:proofErr w:type="spellEnd"/>
      <w:r w:rsidRPr="00FE714A">
        <w:t>-effective doses of LEB and DUPI estimated by the submission were:</w:t>
      </w:r>
    </w:p>
    <w:p w14:paraId="389C1E3A" w14:textId="77777777" w:rsidR="004779D9" w:rsidRPr="00FE714A" w:rsidRDefault="004779D9" w:rsidP="00A2503D">
      <w:pPr>
        <w:pStyle w:val="ListParagraph"/>
        <w:numPr>
          <w:ilvl w:val="0"/>
          <w:numId w:val="8"/>
        </w:numPr>
        <w:ind w:left="1080"/>
      </w:pPr>
      <w:r w:rsidRPr="00FE714A">
        <w:t>For adults and adolescents ≥ 60 kg: LEB 500 mg SC at Week 0 and 2, followed by LEB 250 mg SC Q2W until Week 16, followed by LEB 250 mg Q4W thereafter = DUPI 600 mg SC at Week 0, followed by DUPI 300 mg SC Q2W thereafter; and</w:t>
      </w:r>
    </w:p>
    <w:p w14:paraId="584068BE" w14:textId="1085272E" w:rsidR="004779D9" w:rsidRPr="00FE714A" w:rsidRDefault="004779D9" w:rsidP="00A2503D">
      <w:pPr>
        <w:pStyle w:val="ListParagraph"/>
        <w:numPr>
          <w:ilvl w:val="0"/>
          <w:numId w:val="8"/>
        </w:numPr>
        <w:ind w:left="1080"/>
      </w:pPr>
      <w:r w:rsidRPr="00FE714A">
        <w:t xml:space="preserve">For adolescents &lt; 60 kg: LEB 500 mg SC at </w:t>
      </w:r>
      <w:r w:rsidR="00BE2280" w:rsidRPr="00FE714A">
        <w:t>W</w:t>
      </w:r>
      <w:r w:rsidRPr="00FE714A">
        <w:t xml:space="preserve">eek 0 and 2, followed by LEB 250 mg SC Q2W until Week 16, followed by LEB 250 mg Q4W thereafter = DUPI 400 mg SC at Week 0, followed by DUPI 200 mg SC Q2W thereafter. </w:t>
      </w:r>
    </w:p>
    <w:p w14:paraId="2CD90A7F" w14:textId="0A588DCA" w:rsidR="00A2288C" w:rsidRPr="00FE714A" w:rsidRDefault="00A2288C" w:rsidP="00A2288C">
      <w:pPr>
        <w:pStyle w:val="3-BodyText"/>
      </w:pPr>
      <w:r w:rsidRPr="00FE714A">
        <w:t xml:space="preserve">The </w:t>
      </w:r>
      <w:proofErr w:type="spellStart"/>
      <w:r w:rsidRPr="00FE714A">
        <w:t>equi</w:t>
      </w:r>
      <w:proofErr w:type="spellEnd"/>
      <w:r w:rsidRPr="00FE714A">
        <w:t xml:space="preserve">-effective doses were derived from the </w:t>
      </w:r>
      <w:r w:rsidR="008E5516" w:rsidRPr="00FE714A">
        <w:t>treatment regimens in</w:t>
      </w:r>
      <w:r w:rsidRPr="00FE714A">
        <w:t xml:space="preserve"> the included LEB and DUPI trials and were consistent with the respective draft or approved product information. The recommended dosing for LEB in the draft product information was based on patients who weigh at least 40 kg.</w:t>
      </w:r>
      <w:r w:rsidR="001B2140" w:rsidRPr="00FE714A">
        <w:t xml:space="preserve"> For DUPI, the dosing for adolescents &lt; </w:t>
      </w:r>
      <w:r w:rsidR="001B2140" w:rsidRPr="00FE714A">
        <w:lastRenderedPageBreak/>
        <w:t>60</w:t>
      </w:r>
      <w:r w:rsidR="007D452D">
        <w:t> </w:t>
      </w:r>
      <w:r w:rsidR="001B2140" w:rsidRPr="00FE714A">
        <w:t>kg was consistent with the recommended dose in the approved product information (p3) for adolescent patients who weigh between 30 kg - &lt; 60 kg.</w:t>
      </w:r>
    </w:p>
    <w:p w14:paraId="206D1347" w14:textId="02F8FB26" w:rsidR="00A2288C" w:rsidRPr="00FE714A" w:rsidRDefault="00A2288C" w:rsidP="00A2288C">
      <w:pPr>
        <w:pStyle w:val="3-BodyText"/>
      </w:pPr>
      <w:r w:rsidRPr="00FE714A">
        <w:t xml:space="preserve">Even though the submission requested a listing for extended induction (balance of supply) for ‘slow responders’, neither the </w:t>
      </w:r>
      <w:proofErr w:type="spellStart"/>
      <w:r w:rsidRPr="00FE714A">
        <w:t>equi</w:t>
      </w:r>
      <w:proofErr w:type="spellEnd"/>
      <w:r w:rsidRPr="00FE714A">
        <w:t xml:space="preserve">-effective dose </w:t>
      </w:r>
      <w:r w:rsidR="002F2BA4" w:rsidRPr="00FE714A">
        <w:t>n</w:t>
      </w:r>
      <w:r w:rsidRPr="00FE714A">
        <w:t>or an economic evaluation for these patients was provided by the submission. T</w:t>
      </w:r>
      <w:r w:rsidR="00C73F96" w:rsidRPr="00FE714A">
        <w:t>he evaluation considered t</w:t>
      </w:r>
      <w:r w:rsidRPr="00FE714A">
        <w:t>his was inappropriate and would lead to an underestimate of the number of LEB doses used over two years.</w:t>
      </w:r>
      <w:r w:rsidR="002F2BA4" w:rsidRPr="00FE714A">
        <w:t xml:space="preserve"> A</w:t>
      </w:r>
      <w:r w:rsidR="00FC195D" w:rsidRPr="00FE714A">
        <w:t xml:space="preserve"> CMA in ‘slow responders’ was conducted during the evaluation, in which ‘slow responders’ were assumed to use LEB 25</w:t>
      </w:r>
      <w:r w:rsidR="00FE714A">
        <w:t>0 mg</w:t>
      </w:r>
      <w:r w:rsidR="00FC195D" w:rsidRPr="00FE714A">
        <w:t xml:space="preserve"> Q2W until week 2</w:t>
      </w:r>
      <w:r w:rsidR="00414942">
        <w:t>4</w:t>
      </w:r>
      <w:r w:rsidR="00E74A6B" w:rsidRPr="00FE714A">
        <w:t>, after which they will use a maintenance dose of LEB 25</w:t>
      </w:r>
      <w:r w:rsidR="00FE714A">
        <w:t>0 mg</w:t>
      </w:r>
      <w:r w:rsidR="00E74A6B" w:rsidRPr="00FE714A">
        <w:t xml:space="preserve"> Q4W. </w:t>
      </w:r>
    </w:p>
    <w:p w14:paraId="48031C13" w14:textId="77777777" w:rsidR="004A3279" w:rsidRPr="00FE714A" w:rsidRDefault="004779D9" w:rsidP="00BB732D">
      <w:pPr>
        <w:pStyle w:val="3-BodyText"/>
      </w:pPr>
      <w:r w:rsidRPr="00FE714A">
        <w:t xml:space="preserve">The results of the CMAs are presented below. As DUPI is subject to a </w:t>
      </w:r>
      <w:r w:rsidR="008F5B0A" w:rsidRPr="00FE714A">
        <w:t>special pricing arrangement (</w:t>
      </w:r>
      <w:r w:rsidRPr="00FE714A">
        <w:t>SPA</w:t>
      </w:r>
      <w:r w:rsidR="008F5B0A" w:rsidRPr="00FE714A">
        <w:t>)</w:t>
      </w:r>
      <w:r w:rsidRPr="00FE714A">
        <w:t xml:space="preserve"> and the effective AEMP was not known to the submission, the CMA was performed using the published AEMP for DUPI in severe AD. </w:t>
      </w:r>
    </w:p>
    <w:p w14:paraId="4E3AACD9" w14:textId="4BF8E11F" w:rsidR="00AB13B7" w:rsidRPr="00FE714A" w:rsidRDefault="004779D9" w:rsidP="00FA0FDD">
      <w:pPr>
        <w:pStyle w:val="3-BodyText"/>
      </w:pPr>
      <w:r w:rsidRPr="00FE714A">
        <w:fldChar w:fldCharType="begin" w:fldLock="1"/>
      </w:r>
      <w:r w:rsidRPr="00FE714A">
        <w:instrText xml:space="preserve"> REF _Ref155570537 \h </w:instrText>
      </w:r>
      <w:r w:rsidR="00FA0FDD" w:rsidRPr="00FE714A">
        <w:instrText xml:space="preserve"> \* MERGEFORMAT </w:instrText>
      </w:r>
      <w:r w:rsidRPr="00FE714A">
        <w:fldChar w:fldCharType="separate"/>
      </w:r>
      <w:r w:rsidR="00B3585E" w:rsidRPr="00FE714A">
        <w:t xml:space="preserve">Table </w:t>
      </w:r>
      <w:r w:rsidR="00B3585E">
        <w:t>15</w:t>
      </w:r>
      <w:r w:rsidRPr="00FE714A">
        <w:fldChar w:fldCharType="end"/>
      </w:r>
      <w:r w:rsidRPr="00FE714A">
        <w:t xml:space="preserve"> shows the results based on responders at Week 16 (presented by the submission)</w:t>
      </w:r>
      <w:r w:rsidR="004A3279" w:rsidRPr="00FE714A">
        <w:t>.</w:t>
      </w:r>
      <w:r w:rsidRPr="00FE714A">
        <w:t xml:space="preserve"> </w:t>
      </w:r>
      <w:r w:rsidRPr="00FE714A">
        <w:fldChar w:fldCharType="begin" w:fldLock="1"/>
      </w:r>
      <w:r w:rsidRPr="00FE714A">
        <w:instrText xml:space="preserve"> REF _Ref155570539 \h  \* MERGEFORMAT </w:instrText>
      </w:r>
      <w:r w:rsidRPr="00FE714A">
        <w:fldChar w:fldCharType="separate"/>
      </w:r>
      <w:r w:rsidR="00B3585E" w:rsidRPr="00FE714A">
        <w:t xml:space="preserve">Table </w:t>
      </w:r>
      <w:r w:rsidR="00B3585E">
        <w:t>16</w:t>
      </w:r>
      <w:r w:rsidRPr="00FE714A">
        <w:fldChar w:fldCharType="end"/>
      </w:r>
      <w:r w:rsidRPr="00FE714A">
        <w:t xml:space="preserve"> shows the results of the CMA performed during the evaluation for the extended induction (balance of supply) listing for ‘slow responders’; and lastly, given a proportion of patients would be expected to respond at Week 16 and a proportion of patients would be ‘slow responders’, the cost of LEB per pack should be weighted accordingly - a revised CMA using a weighted approach performed during the evaluation is presented in </w:t>
      </w:r>
      <w:r w:rsidRPr="00FE714A">
        <w:fldChar w:fldCharType="begin" w:fldLock="1"/>
      </w:r>
      <w:r w:rsidRPr="00FE714A">
        <w:instrText xml:space="preserve"> REF _Ref155570540 \h </w:instrText>
      </w:r>
      <w:r w:rsidR="004A3279" w:rsidRPr="00FE714A">
        <w:instrText xml:space="preserve"> \* MERGEFORMAT </w:instrText>
      </w:r>
      <w:r w:rsidRPr="00FE714A">
        <w:fldChar w:fldCharType="separate"/>
      </w:r>
      <w:r w:rsidR="00B3585E" w:rsidRPr="00FE714A">
        <w:t xml:space="preserve">Table </w:t>
      </w:r>
      <w:r w:rsidR="00B3585E">
        <w:t>17</w:t>
      </w:r>
      <w:r w:rsidRPr="00FE714A">
        <w:fldChar w:fldCharType="end"/>
      </w:r>
      <w:r w:rsidRPr="00FE714A">
        <w:t xml:space="preserve">. </w:t>
      </w:r>
      <w:r w:rsidR="00AB13B7" w:rsidRPr="00FE714A">
        <w:t xml:space="preserve">The proportion of slow responders (34.48%, 55 of 145 total responders) was approximated based on pooled EASI 75 results and the proportion of patients in the week 16 escape arm who achieved response by week 24 (58.6% as per pooled Advocate 1 and 2 data). It was assumed 95/180 patients responded by week 16 and a further 50 of the remaining patients (50/85) responded between week 16 and week 24. </w:t>
      </w:r>
    </w:p>
    <w:p w14:paraId="0AA522BD" w14:textId="65F82EC3" w:rsidR="004779D9" w:rsidRPr="00FE714A" w:rsidRDefault="00C73F96" w:rsidP="00BB732D">
      <w:pPr>
        <w:pStyle w:val="3-BodyText"/>
      </w:pPr>
      <w:r w:rsidRPr="00FE714A">
        <w:t xml:space="preserve">The pre-PBAC response stated that the sponsor is willing to adjust the cost-minimisation approach to include additional doses for extended induction on the condition that the proposed extended induction response rate (80.5%) for LEB is accepted in the financial estimates, and that the additional responders are included in the </w:t>
      </w:r>
      <w:r w:rsidR="00C044EA">
        <w:rPr>
          <w:rFonts w:cs="Times New Roman"/>
          <w:bCs/>
        </w:rPr>
        <w:t>R</w:t>
      </w:r>
      <w:r w:rsidR="00C044EA" w:rsidRPr="00DF2A8C">
        <w:rPr>
          <w:rFonts w:cs="Times New Roman"/>
          <w:bCs/>
        </w:rPr>
        <w:t xml:space="preserve">isk </w:t>
      </w:r>
      <w:r w:rsidR="00C044EA">
        <w:rPr>
          <w:rFonts w:cs="Times New Roman"/>
          <w:bCs/>
        </w:rPr>
        <w:t>S</w:t>
      </w:r>
      <w:r w:rsidR="00C044EA" w:rsidRPr="00DF2A8C">
        <w:rPr>
          <w:rFonts w:cs="Times New Roman"/>
          <w:bCs/>
        </w:rPr>
        <w:t>har</w:t>
      </w:r>
      <w:r w:rsidR="008231B7">
        <w:rPr>
          <w:rFonts w:cs="Times New Roman"/>
          <w:bCs/>
        </w:rPr>
        <w:t>ing</w:t>
      </w:r>
      <w:r w:rsidR="00C044EA" w:rsidRPr="00DF2A8C">
        <w:rPr>
          <w:rFonts w:cs="Times New Roman"/>
          <w:bCs/>
        </w:rPr>
        <w:t xml:space="preserve"> </w:t>
      </w:r>
      <w:r w:rsidR="00C044EA">
        <w:rPr>
          <w:rFonts w:cs="Times New Roman"/>
          <w:bCs/>
        </w:rPr>
        <w:t>A</w:t>
      </w:r>
      <w:r w:rsidR="00C044EA" w:rsidRPr="00DF2A8C">
        <w:rPr>
          <w:rFonts w:cs="Times New Roman"/>
          <w:bCs/>
        </w:rPr>
        <w:t xml:space="preserve">rrangements </w:t>
      </w:r>
      <w:r w:rsidR="00C044EA">
        <w:rPr>
          <w:rFonts w:cs="Times New Roman"/>
          <w:bCs/>
        </w:rPr>
        <w:t>(</w:t>
      </w:r>
      <w:r w:rsidRPr="00FE714A">
        <w:t>RSA</w:t>
      </w:r>
      <w:r w:rsidR="00C044EA">
        <w:t>)</w:t>
      </w:r>
      <w:r w:rsidRPr="00FE714A">
        <w:t xml:space="preserve">. </w:t>
      </w:r>
    </w:p>
    <w:p w14:paraId="7C32520C" w14:textId="5839D869" w:rsidR="004779D9" w:rsidRPr="00FE714A" w:rsidRDefault="004779D9" w:rsidP="00064094">
      <w:pPr>
        <w:pStyle w:val="Caption"/>
        <w:rPr>
          <w:rStyle w:val="CommentReference"/>
          <w:b/>
          <w:szCs w:val="24"/>
        </w:rPr>
      </w:pPr>
      <w:bookmarkStart w:id="49" w:name="_Ref155570537"/>
      <w:r w:rsidRPr="00FE714A">
        <w:t xml:space="preserve">Table </w:t>
      </w:r>
      <w:r w:rsidR="008B26E3">
        <w:fldChar w:fldCharType="begin" w:fldLock="1"/>
      </w:r>
      <w:r w:rsidR="008B26E3">
        <w:instrText xml:space="preserve"> SEQ Table \* ARABIC </w:instrText>
      </w:r>
      <w:r w:rsidR="008B26E3">
        <w:fldChar w:fldCharType="separate"/>
      </w:r>
      <w:r w:rsidR="00B3585E">
        <w:rPr>
          <w:noProof/>
        </w:rPr>
        <w:t>15</w:t>
      </w:r>
      <w:r w:rsidR="008B26E3">
        <w:rPr>
          <w:noProof/>
        </w:rPr>
        <w:fldChar w:fldCharType="end"/>
      </w:r>
      <w:bookmarkEnd w:id="49"/>
      <w:r w:rsidRPr="00FE714A">
        <w:rPr>
          <w:rStyle w:val="CommentReference"/>
          <w:b/>
          <w:szCs w:val="24"/>
        </w:rPr>
        <w:t>: Results of the cost-minimisation approach (responders at Week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Results of the cost-minimisation approach (responders at Week 16)"/>
      </w:tblPr>
      <w:tblGrid>
        <w:gridCol w:w="3010"/>
        <w:gridCol w:w="3008"/>
        <w:gridCol w:w="2999"/>
      </w:tblGrid>
      <w:tr w:rsidR="004779D9" w:rsidRPr="00FE714A" w14:paraId="26718AD5" w14:textId="77777777" w:rsidTr="00DB2033">
        <w:tc>
          <w:tcPr>
            <w:tcW w:w="3010" w:type="dxa"/>
          </w:tcPr>
          <w:p w14:paraId="318288B3" w14:textId="77777777" w:rsidR="004779D9" w:rsidRPr="00FE714A" w:rsidRDefault="004779D9" w:rsidP="00DB2033">
            <w:pPr>
              <w:pStyle w:val="In-tableHeading"/>
              <w:rPr>
                <w:lang w:val="en-AU"/>
              </w:rPr>
            </w:pPr>
            <w:r w:rsidRPr="00FE714A">
              <w:rPr>
                <w:lang w:val="en-AU"/>
              </w:rPr>
              <w:t>Component</w:t>
            </w:r>
          </w:p>
        </w:tc>
        <w:tc>
          <w:tcPr>
            <w:tcW w:w="3008" w:type="dxa"/>
            <w:vAlign w:val="center"/>
          </w:tcPr>
          <w:p w14:paraId="77C31C0E" w14:textId="77777777" w:rsidR="004779D9" w:rsidRPr="00FE714A" w:rsidRDefault="004779D9" w:rsidP="00DB2033">
            <w:pPr>
              <w:pStyle w:val="In-tableHeading"/>
              <w:jc w:val="center"/>
              <w:rPr>
                <w:lang w:val="en-AU"/>
              </w:rPr>
            </w:pPr>
            <w:r w:rsidRPr="00FE714A">
              <w:rPr>
                <w:lang w:val="en-AU"/>
              </w:rPr>
              <w:t>Lebrikizumab 250 mg</w:t>
            </w:r>
          </w:p>
        </w:tc>
        <w:tc>
          <w:tcPr>
            <w:tcW w:w="2999" w:type="dxa"/>
            <w:vAlign w:val="center"/>
          </w:tcPr>
          <w:p w14:paraId="13184DE8" w14:textId="77777777" w:rsidR="004779D9" w:rsidRPr="00FE714A" w:rsidRDefault="004779D9" w:rsidP="00DB2033">
            <w:pPr>
              <w:pStyle w:val="In-tableHeading"/>
              <w:jc w:val="center"/>
              <w:rPr>
                <w:lang w:val="en-AU"/>
              </w:rPr>
            </w:pPr>
            <w:r w:rsidRPr="00FE714A">
              <w:rPr>
                <w:lang w:val="en-AU"/>
              </w:rPr>
              <w:t>Dupilumab 200/300 mg</w:t>
            </w:r>
          </w:p>
        </w:tc>
      </w:tr>
      <w:tr w:rsidR="004779D9" w:rsidRPr="00FE714A" w14:paraId="53370F5C" w14:textId="77777777" w:rsidTr="00DB2033">
        <w:tc>
          <w:tcPr>
            <w:tcW w:w="3010" w:type="dxa"/>
          </w:tcPr>
          <w:p w14:paraId="6CE7E724" w14:textId="77777777" w:rsidR="004779D9" w:rsidRPr="00FE714A" w:rsidRDefault="004779D9" w:rsidP="00DB2033">
            <w:pPr>
              <w:pStyle w:val="TableText0"/>
            </w:pPr>
            <w:r w:rsidRPr="00FE714A">
              <w:t>Pack size</w:t>
            </w:r>
          </w:p>
        </w:tc>
        <w:tc>
          <w:tcPr>
            <w:tcW w:w="3008" w:type="dxa"/>
            <w:vAlign w:val="center"/>
          </w:tcPr>
          <w:p w14:paraId="179B4126" w14:textId="77777777" w:rsidR="004779D9" w:rsidRPr="00FE714A" w:rsidRDefault="004779D9" w:rsidP="00DB2033">
            <w:pPr>
              <w:pStyle w:val="TableText0"/>
              <w:jc w:val="center"/>
            </w:pPr>
            <w:r w:rsidRPr="00FE714A">
              <w:t>1</w:t>
            </w:r>
          </w:p>
        </w:tc>
        <w:tc>
          <w:tcPr>
            <w:tcW w:w="2999" w:type="dxa"/>
            <w:vAlign w:val="center"/>
          </w:tcPr>
          <w:p w14:paraId="3A1F0607" w14:textId="77777777" w:rsidR="004779D9" w:rsidRPr="00FE714A" w:rsidRDefault="004779D9" w:rsidP="00DB2033">
            <w:pPr>
              <w:pStyle w:val="TableText0"/>
              <w:jc w:val="center"/>
            </w:pPr>
            <w:r w:rsidRPr="00FE714A">
              <w:t>2</w:t>
            </w:r>
          </w:p>
        </w:tc>
      </w:tr>
      <w:tr w:rsidR="004779D9" w:rsidRPr="00FE714A" w14:paraId="6AA719FC" w14:textId="77777777" w:rsidTr="00DB2033">
        <w:tc>
          <w:tcPr>
            <w:tcW w:w="3010" w:type="dxa"/>
          </w:tcPr>
          <w:p w14:paraId="02552DF1" w14:textId="77777777" w:rsidR="004779D9" w:rsidRPr="00FE714A" w:rsidRDefault="004779D9" w:rsidP="00DB2033">
            <w:pPr>
              <w:pStyle w:val="TableText0"/>
            </w:pPr>
            <w:r w:rsidRPr="00FE714A">
              <w:t>Cost per pack (published AEMP)</w:t>
            </w:r>
          </w:p>
        </w:tc>
        <w:tc>
          <w:tcPr>
            <w:tcW w:w="3008" w:type="dxa"/>
            <w:vAlign w:val="center"/>
          </w:tcPr>
          <w:p w14:paraId="18D03126" w14:textId="58DA5112" w:rsidR="004779D9" w:rsidRPr="00461053" w:rsidRDefault="004779D9" w:rsidP="00DB2033">
            <w:pPr>
              <w:pStyle w:val="TableText0"/>
              <w:jc w:val="center"/>
            </w:pPr>
            <w:r w:rsidRPr="00461053">
              <w:t>$</w:t>
            </w:r>
            <w:r w:rsidR="000727C3" w:rsidRPr="000727C3">
              <w:rPr>
                <w:color w:val="000000"/>
                <w:shd w:val="solid" w:color="000000" w:fill="000000"/>
                <w14:textFill>
                  <w14:solidFill>
                    <w14:srgbClr w14:val="000000">
                      <w14:alpha w14:val="100000"/>
                    </w14:srgbClr>
                  </w14:solidFill>
                </w14:textFill>
              </w:rPr>
              <w:t>|</w:t>
            </w:r>
          </w:p>
        </w:tc>
        <w:tc>
          <w:tcPr>
            <w:tcW w:w="2999" w:type="dxa"/>
            <w:vAlign w:val="center"/>
          </w:tcPr>
          <w:p w14:paraId="05FA33EF" w14:textId="77777777" w:rsidR="004779D9" w:rsidRPr="00FE714A" w:rsidRDefault="004779D9" w:rsidP="00DB2033">
            <w:pPr>
              <w:pStyle w:val="TableText0"/>
              <w:jc w:val="center"/>
            </w:pPr>
            <w:r w:rsidRPr="00FE714A">
              <w:t>$1,609.86</w:t>
            </w:r>
          </w:p>
        </w:tc>
      </w:tr>
      <w:tr w:rsidR="004779D9" w:rsidRPr="00FE714A" w14:paraId="438567E2" w14:textId="77777777" w:rsidTr="00DB2033">
        <w:tc>
          <w:tcPr>
            <w:tcW w:w="3010" w:type="dxa"/>
          </w:tcPr>
          <w:p w14:paraId="279CC14C" w14:textId="77777777" w:rsidR="004779D9" w:rsidRPr="00FE714A" w:rsidRDefault="004779D9" w:rsidP="00DB2033">
            <w:pPr>
              <w:pStyle w:val="TableText0"/>
            </w:pPr>
            <w:r w:rsidRPr="00FE714A">
              <w:t>Total doses over two years</w:t>
            </w:r>
          </w:p>
        </w:tc>
        <w:tc>
          <w:tcPr>
            <w:tcW w:w="3008" w:type="dxa"/>
            <w:vAlign w:val="center"/>
          </w:tcPr>
          <w:p w14:paraId="43B057E7" w14:textId="77777777" w:rsidR="004779D9" w:rsidRPr="00461053" w:rsidRDefault="004779D9" w:rsidP="00DB2033">
            <w:pPr>
              <w:pStyle w:val="TableText0"/>
              <w:jc w:val="center"/>
            </w:pPr>
            <w:r w:rsidRPr="00461053">
              <w:t>32</w:t>
            </w:r>
          </w:p>
        </w:tc>
        <w:tc>
          <w:tcPr>
            <w:tcW w:w="2999" w:type="dxa"/>
            <w:vAlign w:val="center"/>
          </w:tcPr>
          <w:p w14:paraId="5F2903D8" w14:textId="77777777" w:rsidR="004779D9" w:rsidRPr="00FE714A" w:rsidRDefault="004779D9" w:rsidP="00DB2033">
            <w:pPr>
              <w:pStyle w:val="TableText0"/>
              <w:jc w:val="center"/>
            </w:pPr>
            <w:r w:rsidRPr="00FE714A">
              <w:t>53</w:t>
            </w:r>
          </w:p>
        </w:tc>
      </w:tr>
      <w:tr w:rsidR="004779D9" w:rsidRPr="00FE714A" w14:paraId="5A89A818" w14:textId="77777777" w:rsidTr="00DB2033">
        <w:tc>
          <w:tcPr>
            <w:tcW w:w="3010" w:type="dxa"/>
          </w:tcPr>
          <w:p w14:paraId="6FEF30F3" w14:textId="77777777" w:rsidR="004779D9" w:rsidRPr="00FE714A" w:rsidRDefault="004779D9" w:rsidP="00DB2033">
            <w:pPr>
              <w:pStyle w:val="TableText0"/>
            </w:pPr>
            <w:r w:rsidRPr="00FE714A">
              <w:t>Total medicine cost over two years</w:t>
            </w:r>
          </w:p>
        </w:tc>
        <w:tc>
          <w:tcPr>
            <w:tcW w:w="3008" w:type="dxa"/>
            <w:vAlign w:val="center"/>
          </w:tcPr>
          <w:p w14:paraId="4635D10A" w14:textId="5AD2924D" w:rsidR="004779D9" w:rsidRPr="00461053" w:rsidRDefault="004779D9" w:rsidP="00DB2033">
            <w:pPr>
              <w:pStyle w:val="TableText0"/>
              <w:jc w:val="center"/>
            </w:pPr>
            <w:r w:rsidRPr="00461053">
              <w:t>$</w:t>
            </w:r>
            <w:r w:rsidR="000727C3" w:rsidRPr="000727C3">
              <w:rPr>
                <w:color w:val="000000"/>
                <w:shd w:val="solid" w:color="000000" w:fill="000000"/>
                <w14:textFill>
                  <w14:solidFill>
                    <w14:srgbClr w14:val="000000">
                      <w14:alpha w14:val="100000"/>
                    </w14:srgbClr>
                  </w14:solidFill>
                </w14:textFill>
              </w:rPr>
              <w:t>|</w:t>
            </w:r>
          </w:p>
        </w:tc>
        <w:tc>
          <w:tcPr>
            <w:tcW w:w="2999" w:type="dxa"/>
            <w:vAlign w:val="center"/>
          </w:tcPr>
          <w:p w14:paraId="19A142BA" w14:textId="77777777" w:rsidR="004779D9" w:rsidRPr="00FE714A" w:rsidRDefault="004779D9" w:rsidP="00DB2033">
            <w:pPr>
              <w:pStyle w:val="TableText0"/>
              <w:jc w:val="center"/>
            </w:pPr>
            <w:r w:rsidRPr="00FE714A">
              <w:t>$42,661.29</w:t>
            </w:r>
          </w:p>
        </w:tc>
      </w:tr>
    </w:tbl>
    <w:p w14:paraId="6E028858" w14:textId="77777777" w:rsidR="004779D9" w:rsidRPr="00FE714A" w:rsidRDefault="004779D9" w:rsidP="00E64892">
      <w:pPr>
        <w:pStyle w:val="FooterTableFigure"/>
      </w:pPr>
      <w:r w:rsidRPr="00FE714A">
        <w:t>Source: Table3.4-1, p374 of the submission.</w:t>
      </w:r>
    </w:p>
    <w:p w14:paraId="723579D3" w14:textId="77777777" w:rsidR="004779D9" w:rsidRPr="00FE714A" w:rsidRDefault="004779D9" w:rsidP="00993666">
      <w:pPr>
        <w:pStyle w:val="FooterTableFigure"/>
      </w:pPr>
      <w:r w:rsidRPr="00FE714A">
        <w:t xml:space="preserve">AEMP = approved ex-manufacturer price </w:t>
      </w:r>
    </w:p>
    <w:p w14:paraId="088F7630" w14:textId="4B0A0B4F" w:rsidR="004779D9" w:rsidRPr="00FE714A" w:rsidRDefault="004779D9" w:rsidP="00064094">
      <w:pPr>
        <w:pStyle w:val="Caption"/>
        <w:rPr>
          <w:rStyle w:val="CommentReference"/>
          <w:b/>
          <w:szCs w:val="24"/>
        </w:rPr>
      </w:pPr>
      <w:bookmarkStart w:id="50" w:name="_Ref155570539"/>
      <w:r w:rsidRPr="00FE714A">
        <w:lastRenderedPageBreak/>
        <w:t xml:space="preserve">Table </w:t>
      </w:r>
      <w:r w:rsidR="008B26E3">
        <w:fldChar w:fldCharType="begin" w:fldLock="1"/>
      </w:r>
      <w:r w:rsidR="008B26E3">
        <w:instrText xml:space="preserve"> SEQ Table \* ARABIC </w:instrText>
      </w:r>
      <w:r w:rsidR="008B26E3">
        <w:fldChar w:fldCharType="separate"/>
      </w:r>
      <w:r w:rsidR="00B3585E">
        <w:rPr>
          <w:noProof/>
        </w:rPr>
        <w:t>16</w:t>
      </w:r>
      <w:r w:rsidR="008B26E3">
        <w:rPr>
          <w:noProof/>
        </w:rPr>
        <w:fldChar w:fldCharType="end"/>
      </w:r>
      <w:bookmarkEnd w:id="50"/>
      <w:r w:rsidRPr="00FE714A">
        <w:rPr>
          <w:rStyle w:val="CommentReference"/>
          <w:b/>
          <w:szCs w:val="24"/>
        </w:rPr>
        <w:t>: Results of the cost-minimisation approach (extended induction; balance of supply)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6: Results of the cost-minimisation approach (extended induction; balance of supply)"/>
      </w:tblPr>
      <w:tblGrid>
        <w:gridCol w:w="3010"/>
        <w:gridCol w:w="3008"/>
        <w:gridCol w:w="2999"/>
      </w:tblGrid>
      <w:tr w:rsidR="004779D9" w:rsidRPr="00FE714A" w14:paraId="15686294" w14:textId="77777777" w:rsidTr="00DB2033">
        <w:tc>
          <w:tcPr>
            <w:tcW w:w="3010" w:type="dxa"/>
          </w:tcPr>
          <w:p w14:paraId="02B5BD86" w14:textId="77777777" w:rsidR="004779D9" w:rsidRPr="00FE714A" w:rsidRDefault="004779D9" w:rsidP="00DB2033">
            <w:pPr>
              <w:pStyle w:val="In-tableHeading"/>
              <w:rPr>
                <w:lang w:val="en-AU"/>
              </w:rPr>
            </w:pPr>
            <w:r w:rsidRPr="00FE714A">
              <w:rPr>
                <w:lang w:val="en-AU"/>
              </w:rPr>
              <w:t>Component</w:t>
            </w:r>
          </w:p>
        </w:tc>
        <w:tc>
          <w:tcPr>
            <w:tcW w:w="3008" w:type="dxa"/>
            <w:vAlign w:val="center"/>
          </w:tcPr>
          <w:p w14:paraId="113465FF" w14:textId="77777777" w:rsidR="004779D9" w:rsidRPr="00FE714A" w:rsidRDefault="004779D9" w:rsidP="00DB2033">
            <w:pPr>
              <w:pStyle w:val="In-tableHeading"/>
              <w:jc w:val="center"/>
              <w:rPr>
                <w:lang w:val="en-AU"/>
              </w:rPr>
            </w:pPr>
            <w:r w:rsidRPr="00FE714A">
              <w:rPr>
                <w:lang w:val="en-AU"/>
              </w:rPr>
              <w:t>Lebrikizumab 250 mg</w:t>
            </w:r>
          </w:p>
        </w:tc>
        <w:tc>
          <w:tcPr>
            <w:tcW w:w="2999" w:type="dxa"/>
            <w:vAlign w:val="center"/>
          </w:tcPr>
          <w:p w14:paraId="2239907A" w14:textId="77777777" w:rsidR="004779D9" w:rsidRPr="00FE714A" w:rsidRDefault="004779D9" w:rsidP="00DB2033">
            <w:pPr>
              <w:pStyle w:val="In-tableHeading"/>
              <w:jc w:val="center"/>
              <w:rPr>
                <w:lang w:val="en-AU"/>
              </w:rPr>
            </w:pPr>
            <w:r w:rsidRPr="00FE714A">
              <w:rPr>
                <w:lang w:val="en-AU"/>
              </w:rPr>
              <w:t>Dupilumab 200/300 mg</w:t>
            </w:r>
          </w:p>
        </w:tc>
      </w:tr>
      <w:tr w:rsidR="004779D9" w:rsidRPr="00FE714A" w14:paraId="6F79046B" w14:textId="77777777" w:rsidTr="00DB2033">
        <w:tc>
          <w:tcPr>
            <w:tcW w:w="3010" w:type="dxa"/>
          </w:tcPr>
          <w:p w14:paraId="609A7B77" w14:textId="77777777" w:rsidR="004779D9" w:rsidRPr="00FE714A" w:rsidRDefault="004779D9" w:rsidP="00DB2033">
            <w:pPr>
              <w:pStyle w:val="TableText0"/>
            </w:pPr>
            <w:r w:rsidRPr="00FE714A">
              <w:t>Pack size</w:t>
            </w:r>
          </w:p>
        </w:tc>
        <w:tc>
          <w:tcPr>
            <w:tcW w:w="3008" w:type="dxa"/>
            <w:vAlign w:val="center"/>
          </w:tcPr>
          <w:p w14:paraId="217F6ACF" w14:textId="77777777" w:rsidR="004779D9" w:rsidRPr="00FE714A" w:rsidRDefault="004779D9" w:rsidP="00DB2033">
            <w:pPr>
              <w:pStyle w:val="TableText0"/>
              <w:jc w:val="center"/>
            </w:pPr>
            <w:r w:rsidRPr="00FE714A">
              <w:t>1</w:t>
            </w:r>
          </w:p>
        </w:tc>
        <w:tc>
          <w:tcPr>
            <w:tcW w:w="2999" w:type="dxa"/>
            <w:vAlign w:val="center"/>
          </w:tcPr>
          <w:p w14:paraId="3031543A" w14:textId="77777777" w:rsidR="004779D9" w:rsidRPr="00FE714A" w:rsidRDefault="004779D9" w:rsidP="00DB2033">
            <w:pPr>
              <w:pStyle w:val="TableText0"/>
              <w:jc w:val="center"/>
            </w:pPr>
            <w:r w:rsidRPr="00FE714A">
              <w:t>2</w:t>
            </w:r>
          </w:p>
        </w:tc>
      </w:tr>
      <w:tr w:rsidR="004779D9" w:rsidRPr="00FE714A" w14:paraId="3D60460B" w14:textId="77777777" w:rsidTr="00DB2033">
        <w:tc>
          <w:tcPr>
            <w:tcW w:w="3010" w:type="dxa"/>
          </w:tcPr>
          <w:p w14:paraId="10AB646D" w14:textId="77777777" w:rsidR="004779D9" w:rsidRPr="00FE714A" w:rsidRDefault="004779D9" w:rsidP="00DB2033">
            <w:pPr>
              <w:pStyle w:val="TableText0"/>
            </w:pPr>
            <w:r w:rsidRPr="00FE714A">
              <w:t>Cost per pack (published AEMP)</w:t>
            </w:r>
          </w:p>
        </w:tc>
        <w:tc>
          <w:tcPr>
            <w:tcW w:w="3008" w:type="dxa"/>
            <w:vAlign w:val="center"/>
          </w:tcPr>
          <w:p w14:paraId="1A385E46" w14:textId="7CFE4073" w:rsidR="004779D9" w:rsidRPr="00461053" w:rsidRDefault="004779D9" w:rsidP="00DB2033">
            <w:pPr>
              <w:pStyle w:val="TableText0"/>
              <w:jc w:val="center"/>
            </w:pPr>
            <w:r w:rsidRPr="00461053">
              <w:t>$</w:t>
            </w:r>
            <w:r w:rsidR="000727C3" w:rsidRPr="000727C3">
              <w:rPr>
                <w:color w:val="000000"/>
                <w:shd w:val="solid" w:color="000000" w:fill="000000"/>
                <w14:textFill>
                  <w14:solidFill>
                    <w14:srgbClr w14:val="000000">
                      <w14:alpha w14:val="100000"/>
                    </w14:srgbClr>
                  </w14:solidFill>
                </w14:textFill>
              </w:rPr>
              <w:t>|</w:t>
            </w:r>
          </w:p>
        </w:tc>
        <w:tc>
          <w:tcPr>
            <w:tcW w:w="2999" w:type="dxa"/>
            <w:vAlign w:val="center"/>
          </w:tcPr>
          <w:p w14:paraId="7F857180" w14:textId="77777777" w:rsidR="004779D9" w:rsidRPr="00FE714A" w:rsidRDefault="004779D9" w:rsidP="00DB2033">
            <w:pPr>
              <w:pStyle w:val="TableText0"/>
              <w:jc w:val="center"/>
            </w:pPr>
            <w:r w:rsidRPr="00FE714A">
              <w:t>$1,609.86</w:t>
            </w:r>
          </w:p>
        </w:tc>
      </w:tr>
      <w:tr w:rsidR="004779D9" w:rsidRPr="00FE714A" w14:paraId="3A6AE1C7" w14:textId="77777777" w:rsidTr="00DB2033">
        <w:tc>
          <w:tcPr>
            <w:tcW w:w="3010" w:type="dxa"/>
          </w:tcPr>
          <w:p w14:paraId="316BE84B" w14:textId="77777777" w:rsidR="004779D9" w:rsidRPr="00FE714A" w:rsidRDefault="004779D9" w:rsidP="00DB2033">
            <w:pPr>
              <w:pStyle w:val="TableText0"/>
            </w:pPr>
            <w:r w:rsidRPr="00FE714A">
              <w:t>Total doses over two years</w:t>
            </w:r>
          </w:p>
        </w:tc>
        <w:tc>
          <w:tcPr>
            <w:tcW w:w="3008" w:type="dxa"/>
            <w:vAlign w:val="center"/>
          </w:tcPr>
          <w:p w14:paraId="13BB45FD" w14:textId="77777777" w:rsidR="004779D9" w:rsidRPr="00461053" w:rsidRDefault="004779D9" w:rsidP="00DB2033">
            <w:pPr>
              <w:pStyle w:val="TableText0"/>
              <w:jc w:val="center"/>
            </w:pPr>
            <w:r w:rsidRPr="00461053">
              <w:t>34</w:t>
            </w:r>
          </w:p>
        </w:tc>
        <w:tc>
          <w:tcPr>
            <w:tcW w:w="2999" w:type="dxa"/>
            <w:vAlign w:val="center"/>
          </w:tcPr>
          <w:p w14:paraId="1278ABFE" w14:textId="77777777" w:rsidR="004779D9" w:rsidRPr="00FE714A" w:rsidRDefault="004779D9" w:rsidP="00DB2033">
            <w:pPr>
              <w:pStyle w:val="TableText0"/>
              <w:jc w:val="center"/>
            </w:pPr>
            <w:r w:rsidRPr="00FE714A">
              <w:t>53</w:t>
            </w:r>
          </w:p>
        </w:tc>
      </w:tr>
      <w:tr w:rsidR="004779D9" w:rsidRPr="00FE714A" w14:paraId="34A7BDBA" w14:textId="77777777" w:rsidTr="00DB2033">
        <w:tc>
          <w:tcPr>
            <w:tcW w:w="3010" w:type="dxa"/>
          </w:tcPr>
          <w:p w14:paraId="3164531B" w14:textId="77777777" w:rsidR="004779D9" w:rsidRPr="00FE714A" w:rsidRDefault="004779D9" w:rsidP="00DB2033">
            <w:pPr>
              <w:pStyle w:val="TableText0"/>
            </w:pPr>
            <w:r w:rsidRPr="00FE714A">
              <w:t>Total medicine cost over two years</w:t>
            </w:r>
          </w:p>
        </w:tc>
        <w:tc>
          <w:tcPr>
            <w:tcW w:w="3008" w:type="dxa"/>
            <w:vAlign w:val="center"/>
          </w:tcPr>
          <w:p w14:paraId="70D4F50B" w14:textId="41D9163F" w:rsidR="004779D9" w:rsidRPr="00461053" w:rsidRDefault="004779D9" w:rsidP="00DB2033">
            <w:pPr>
              <w:pStyle w:val="TableText0"/>
              <w:jc w:val="center"/>
            </w:pPr>
            <w:r w:rsidRPr="00461053">
              <w:t>$</w:t>
            </w:r>
            <w:r w:rsidR="000727C3" w:rsidRPr="000727C3">
              <w:rPr>
                <w:color w:val="000000"/>
                <w:shd w:val="solid" w:color="000000" w:fill="000000"/>
                <w14:textFill>
                  <w14:solidFill>
                    <w14:srgbClr w14:val="000000">
                      <w14:alpha w14:val="100000"/>
                    </w14:srgbClr>
                  </w14:solidFill>
                </w14:textFill>
              </w:rPr>
              <w:t>|</w:t>
            </w:r>
          </w:p>
        </w:tc>
        <w:tc>
          <w:tcPr>
            <w:tcW w:w="2999" w:type="dxa"/>
            <w:vAlign w:val="center"/>
          </w:tcPr>
          <w:p w14:paraId="34C996B7" w14:textId="77777777" w:rsidR="004779D9" w:rsidRPr="00FE714A" w:rsidRDefault="004779D9" w:rsidP="00DB2033">
            <w:pPr>
              <w:pStyle w:val="TableText0"/>
              <w:jc w:val="center"/>
            </w:pPr>
            <w:r w:rsidRPr="00FE714A">
              <w:t>$42,661.29</w:t>
            </w:r>
          </w:p>
        </w:tc>
      </w:tr>
    </w:tbl>
    <w:p w14:paraId="22265AD8" w14:textId="77777777" w:rsidR="004779D9" w:rsidRPr="00FE714A" w:rsidRDefault="004779D9" w:rsidP="00E64892">
      <w:pPr>
        <w:pStyle w:val="FooterTableFigure"/>
      </w:pPr>
      <w:r w:rsidRPr="00FE714A">
        <w:t xml:space="preserve">Source: Constructed during the evaluation. </w:t>
      </w:r>
    </w:p>
    <w:p w14:paraId="3477D4E1" w14:textId="77777777" w:rsidR="004779D9" w:rsidRPr="00FE714A" w:rsidRDefault="004779D9" w:rsidP="00E64892">
      <w:pPr>
        <w:pStyle w:val="FooterTableFigure"/>
      </w:pPr>
      <w:r w:rsidRPr="00FE714A">
        <w:t xml:space="preserve">AEMP = approved ex-manufacturer price </w:t>
      </w:r>
    </w:p>
    <w:p w14:paraId="742E8F5B" w14:textId="7FEDC83F" w:rsidR="004779D9" w:rsidRPr="00FE714A" w:rsidRDefault="004779D9" w:rsidP="000F05BD">
      <w:pPr>
        <w:pStyle w:val="Caption"/>
      </w:pPr>
      <w:bookmarkStart w:id="51" w:name="_Ref155570540"/>
      <w:r w:rsidRPr="00FE714A">
        <w:t xml:space="preserve">Table </w:t>
      </w:r>
      <w:r w:rsidR="008B26E3">
        <w:fldChar w:fldCharType="begin" w:fldLock="1"/>
      </w:r>
      <w:r w:rsidR="008B26E3">
        <w:instrText xml:space="preserve"> SEQ Table \* ARABIC </w:instrText>
      </w:r>
      <w:r w:rsidR="008B26E3">
        <w:fldChar w:fldCharType="separate"/>
      </w:r>
      <w:r w:rsidR="00B3585E">
        <w:rPr>
          <w:noProof/>
        </w:rPr>
        <w:t>17</w:t>
      </w:r>
      <w:r w:rsidR="008B26E3">
        <w:rPr>
          <w:noProof/>
        </w:rPr>
        <w:fldChar w:fldCharType="end"/>
      </w:r>
      <w:bookmarkEnd w:id="51"/>
      <w:r w:rsidRPr="00FE714A">
        <w:rPr>
          <w:rStyle w:val="CommentReference"/>
          <w:b/>
          <w:szCs w:val="24"/>
        </w:rPr>
        <w:t>: Results of the cost-minimisation approach (weighted by the proportion of responders at Week 16 and ‘slow responders’)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7: Results of the cost-minimisation approach (weighted by the proportion of responders at Week 16 and ‘slow responders’)"/>
      </w:tblPr>
      <w:tblGrid>
        <w:gridCol w:w="3010"/>
        <w:gridCol w:w="3008"/>
        <w:gridCol w:w="2999"/>
      </w:tblGrid>
      <w:tr w:rsidR="004779D9" w:rsidRPr="00FE714A" w14:paraId="5D2B8ECA" w14:textId="77777777" w:rsidTr="00DB2033">
        <w:tc>
          <w:tcPr>
            <w:tcW w:w="3010" w:type="dxa"/>
          </w:tcPr>
          <w:p w14:paraId="393E8B2C" w14:textId="77777777" w:rsidR="004779D9" w:rsidRPr="00FE714A" w:rsidRDefault="004779D9" w:rsidP="000F05BD">
            <w:pPr>
              <w:pStyle w:val="In-tableHeading"/>
              <w:keepLines/>
              <w:rPr>
                <w:lang w:val="en-AU"/>
              </w:rPr>
            </w:pPr>
            <w:r w:rsidRPr="00FE714A">
              <w:rPr>
                <w:lang w:val="en-AU"/>
              </w:rPr>
              <w:t>Component</w:t>
            </w:r>
          </w:p>
        </w:tc>
        <w:tc>
          <w:tcPr>
            <w:tcW w:w="3008" w:type="dxa"/>
            <w:vAlign w:val="center"/>
          </w:tcPr>
          <w:p w14:paraId="2F6DED3A" w14:textId="77777777" w:rsidR="004779D9" w:rsidRPr="00FE714A" w:rsidRDefault="004779D9" w:rsidP="000F05BD">
            <w:pPr>
              <w:pStyle w:val="In-tableHeading"/>
              <w:keepLines/>
              <w:jc w:val="center"/>
              <w:rPr>
                <w:lang w:val="en-AU"/>
              </w:rPr>
            </w:pPr>
            <w:r w:rsidRPr="00FE714A">
              <w:rPr>
                <w:lang w:val="en-AU"/>
              </w:rPr>
              <w:t>Lebrikizumab 250 mg</w:t>
            </w:r>
          </w:p>
        </w:tc>
        <w:tc>
          <w:tcPr>
            <w:tcW w:w="2999" w:type="dxa"/>
            <w:vAlign w:val="center"/>
          </w:tcPr>
          <w:p w14:paraId="2732A689" w14:textId="77777777" w:rsidR="004779D9" w:rsidRPr="00FE714A" w:rsidRDefault="004779D9" w:rsidP="000F05BD">
            <w:pPr>
              <w:pStyle w:val="In-tableHeading"/>
              <w:keepLines/>
              <w:jc w:val="center"/>
              <w:rPr>
                <w:lang w:val="en-AU"/>
              </w:rPr>
            </w:pPr>
            <w:r w:rsidRPr="00FE714A">
              <w:rPr>
                <w:lang w:val="en-AU"/>
              </w:rPr>
              <w:t>Dupilumab 200/300 mg</w:t>
            </w:r>
          </w:p>
        </w:tc>
      </w:tr>
      <w:tr w:rsidR="004779D9" w:rsidRPr="00FE714A" w14:paraId="4EF8D54F" w14:textId="77777777" w:rsidTr="00DB2033">
        <w:tc>
          <w:tcPr>
            <w:tcW w:w="3010" w:type="dxa"/>
          </w:tcPr>
          <w:p w14:paraId="6B11BDFC" w14:textId="77777777" w:rsidR="004779D9" w:rsidRPr="00FE714A" w:rsidRDefault="004779D9" w:rsidP="000F05BD">
            <w:pPr>
              <w:pStyle w:val="TableText0"/>
              <w:keepLines/>
            </w:pPr>
            <w:r w:rsidRPr="00FE714A">
              <w:t>Pack size</w:t>
            </w:r>
          </w:p>
        </w:tc>
        <w:tc>
          <w:tcPr>
            <w:tcW w:w="3008" w:type="dxa"/>
            <w:vAlign w:val="center"/>
          </w:tcPr>
          <w:p w14:paraId="22B26E40" w14:textId="77777777" w:rsidR="004779D9" w:rsidRPr="00FE714A" w:rsidRDefault="004779D9" w:rsidP="000F05BD">
            <w:pPr>
              <w:pStyle w:val="TableText0"/>
              <w:keepLines/>
              <w:jc w:val="center"/>
            </w:pPr>
            <w:r w:rsidRPr="00FE714A">
              <w:t>1</w:t>
            </w:r>
          </w:p>
        </w:tc>
        <w:tc>
          <w:tcPr>
            <w:tcW w:w="2999" w:type="dxa"/>
            <w:vAlign w:val="center"/>
          </w:tcPr>
          <w:p w14:paraId="323C50E9" w14:textId="77777777" w:rsidR="004779D9" w:rsidRPr="00FE714A" w:rsidRDefault="004779D9" w:rsidP="000F05BD">
            <w:pPr>
              <w:pStyle w:val="TableText0"/>
              <w:keepLines/>
              <w:jc w:val="center"/>
            </w:pPr>
            <w:r w:rsidRPr="00FE714A">
              <w:t>2</w:t>
            </w:r>
          </w:p>
        </w:tc>
      </w:tr>
      <w:tr w:rsidR="004779D9" w:rsidRPr="00FE714A" w14:paraId="6D60ECFD" w14:textId="77777777" w:rsidTr="00DB2033">
        <w:tc>
          <w:tcPr>
            <w:tcW w:w="3010" w:type="dxa"/>
          </w:tcPr>
          <w:p w14:paraId="3B1C094C" w14:textId="77777777" w:rsidR="004779D9" w:rsidRPr="00FE714A" w:rsidRDefault="004779D9" w:rsidP="000F05BD">
            <w:pPr>
              <w:pStyle w:val="TableText0"/>
              <w:keepLines/>
            </w:pPr>
            <w:r w:rsidRPr="00FE714A">
              <w:t>Cost per pack (published AEMP)</w:t>
            </w:r>
          </w:p>
        </w:tc>
        <w:tc>
          <w:tcPr>
            <w:tcW w:w="3008" w:type="dxa"/>
            <w:vAlign w:val="center"/>
          </w:tcPr>
          <w:p w14:paraId="3D9D7B08" w14:textId="01DA1DB7" w:rsidR="004779D9" w:rsidRPr="00461053" w:rsidRDefault="004779D9" w:rsidP="000F05BD">
            <w:pPr>
              <w:pStyle w:val="TableText0"/>
              <w:keepLines/>
              <w:jc w:val="center"/>
            </w:pPr>
            <w:r w:rsidRPr="00461053">
              <w:t>$</w:t>
            </w:r>
            <w:r w:rsidR="000727C3" w:rsidRPr="000727C3">
              <w:rPr>
                <w:color w:val="000000"/>
                <w:shd w:val="solid" w:color="000000" w:fill="000000"/>
                <w14:textFill>
                  <w14:solidFill>
                    <w14:srgbClr w14:val="000000">
                      <w14:alpha w14:val="100000"/>
                    </w14:srgbClr>
                  </w14:solidFill>
                </w14:textFill>
              </w:rPr>
              <w:t>|</w:t>
            </w:r>
          </w:p>
        </w:tc>
        <w:tc>
          <w:tcPr>
            <w:tcW w:w="2999" w:type="dxa"/>
            <w:vAlign w:val="center"/>
          </w:tcPr>
          <w:p w14:paraId="5D85B440" w14:textId="77777777" w:rsidR="004779D9" w:rsidRPr="00FE714A" w:rsidRDefault="004779D9" w:rsidP="000F05BD">
            <w:pPr>
              <w:pStyle w:val="TableText0"/>
              <w:keepLines/>
              <w:jc w:val="center"/>
            </w:pPr>
            <w:r w:rsidRPr="00FE714A">
              <w:t>$1,609.86</w:t>
            </w:r>
          </w:p>
        </w:tc>
      </w:tr>
      <w:tr w:rsidR="004779D9" w:rsidRPr="00FE714A" w14:paraId="69315013" w14:textId="77777777" w:rsidTr="00DB2033">
        <w:tc>
          <w:tcPr>
            <w:tcW w:w="3010" w:type="dxa"/>
          </w:tcPr>
          <w:p w14:paraId="3A709BC6" w14:textId="77777777" w:rsidR="004779D9" w:rsidRPr="00FE714A" w:rsidRDefault="004779D9" w:rsidP="000F05BD">
            <w:pPr>
              <w:pStyle w:val="TableText0"/>
              <w:keepLines/>
            </w:pPr>
            <w:r w:rsidRPr="00FE714A">
              <w:t>Total doses over two years</w:t>
            </w:r>
          </w:p>
        </w:tc>
        <w:tc>
          <w:tcPr>
            <w:tcW w:w="3008" w:type="dxa"/>
            <w:vAlign w:val="center"/>
          </w:tcPr>
          <w:p w14:paraId="0D14CA22" w14:textId="77777777" w:rsidR="004779D9" w:rsidRPr="00461053" w:rsidRDefault="004779D9" w:rsidP="000F05BD">
            <w:pPr>
              <w:pStyle w:val="TableText0"/>
              <w:keepLines/>
              <w:jc w:val="center"/>
            </w:pPr>
            <w:r w:rsidRPr="00461053">
              <w:t xml:space="preserve">32.69 </w:t>
            </w:r>
            <w:r w:rsidRPr="00461053">
              <w:rPr>
                <w:vertAlign w:val="superscript"/>
              </w:rPr>
              <w:t>a</w:t>
            </w:r>
          </w:p>
        </w:tc>
        <w:tc>
          <w:tcPr>
            <w:tcW w:w="2999" w:type="dxa"/>
            <w:vAlign w:val="center"/>
          </w:tcPr>
          <w:p w14:paraId="719B2D9A" w14:textId="77777777" w:rsidR="004779D9" w:rsidRPr="00FE714A" w:rsidRDefault="004779D9" w:rsidP="000F05BD">
            <w:pPr>
              <w:pStyle w:val="TableText0"/>
              <w:keepLines/>
              <w:jc w:val="center"/>
            </w:pPr>
            <w:r w:rsidRPr="00FE714A">
              <w:t>53</w:t>
            </w:r>
          </w:p>
        </w:tc>
      </w:tr>
      <w:tr w:rsidR="004779D9" w:rsidRPr="00FE714A" w14:paraId="23DE99D5" w14:textId="77777777" w:rsidTr="00DB2033">
        <w:tc>
          <w:tcPr>
            <w:tcW w:w="3010" w:type="dxa"/>
          </w:tcPr>
          <w:p w14:paraId="23D9CEBB" w14:textId="77777777" w:rsidR="004779D9" w:rsidRPr="00FE714A" w:rsidRDefault="004779D9" w:rsidP="000F05BD">
            <w:pPr>
              <w:pStyle w:val="TableText0"/>
              <w:keepLines/>
            </w:pPr>
            <w:r w:rsidRPr="00FE714A">
              <w:t>Total medicine cost over two years</w:t>
            </w:r>
          </w:p>
        </w:tc>
        <w:tc>
          <w:tcPr>
            <w:tcW w:w="3008" w:type="dxa"/>
            <w:vAlign w:val="center"/>
          </w:tcPr>
          <w:p w14:paraId="75DCB000" w14:textId="00B602F8" w:rsidR="004779D9" w:rsidRPr="00461053" w:rsidRDefault="004779D9" w:rsidP="000F05BD">
            <w:pPr>
              <w:pStyle w:val="TableText0"/>
              <w:keepLines/>
              <w:jc w:val="center"/>
            </w:pPr>
            <w:r w:rsidRPr="00461053">
              <w:t>$</w:t>
            </w:r>
            <w:r w:rsidR="000727C3" w:rsidRPr="000727C3">
              <w:rPr>
                <w:color w:val="000000"/>
                <w:shd w:val="solid" w:color="000000" w:fill="000000"/>
                <w14:textFill>
                  <w14:solidFill>
                    <w14:srgbClr w14:val="000000">
                      <w14:alpha w14:val="100000"/>
                    </w14:srgbClr>
                  </w14:solidFill>
                </w14:textFill>
              </w:rPr>
              <w:t>|</w:t>
            </w:r>
          </w:p>
        </w:tc>
        <w:tc>
          <w:tcPr>
            <w:tcW w:w="2999" w:type="dxa"/>
            <w:vAlign w:val="center"/>
          </w:tcPr>
          <w:p w14:paraId="2E58E890" w14:textId="77777777" w:rsidR="004779D9" w:rsidRPr="00FE714A" w:rsidRDefault="004779D9" w:rsidP="000F05BD">
            <w:pPr>
              <w:pStyle w:val="TableText0"/>
              <w:keepLines/>
              <w:jc w:val="center"/>
            </w:pPr>
            <w:r w:rsidRPr="00FE714A">
              <w:t>$42,661.29</w:t>
            </w:r>
          </w:p>
        </w:tc>
      </w:tr>
    </w:tbl>
    <w:p w14:paraId="2DC038BA" w14:textId="77777777" w:rsidR="004779D9" w:rsidRPr="00FE714A" w:rsidRDefault="004779D9" w:rsidP="000F05BD">
      <w:pPr>
        <w:pStyle w:val="FooterTableFigure"/>
        <w:keepNext/>
        <w:keepLines/>
      </w:pPr>
      <w:r w:rsidRPr="00FE714A">
        <w:t xml:space="preserve">Source; Constructed during the evaluation. </w:t>
      </w:r>
    </w:p>
    <w:p w14:paraId="424D01D3" w14:textId="77777777" w:rsidR="004779D9" w:rsidRPr="00FE714A" w:rsidRDefault="004779D9" w:rsidP="000F05BD">
      <w:pPr>
        <w:pStyle w:val="FooterTableFigure"/>
        <w:keepNext/>
        <w:keepLines/>
      </w:pPr>
      <w:r w:rsidRPr="00FE714A">
        <w:t xml:space="preserve">AEMP = approved ex-manufacturer price </w:t>
      </w:r>
    </w:p>
    <w:p w14:paraId="1F4BD5B8" w14:textId="59ACB24D" w:rsidR="004779D9" w:rsidRPr="00FE714A" w:rsidRDefault="004779D9" w:rsidP="00FF7D79">
      <w:pPr>
        <w:pStyle w:val="FooterTableFigure"/>
      </w:pPr>
      <w:r w:rsidRPr="00FE714A">
        <w:t xml:space="preserve">a Calculated by: 65.52% (95/145) of patients expected to respond at Week 16 thereby requiring 32 doses, and 34.48% (50/145) expected to be ‘slow responders’ thereby requiring 34 doses. </w:t>
      </w:r>
      <w:r w:rsidR="00125274" w:rsidRPr="00FE714A">
        <w:t>The submission expected that, from a cohort of 180 patients with severe AD treated with LEB, 95 would be responders at Week 16 (based on the composite outcome) and there would be 50 additional ‘slow responders’ (based on pooled EASI 75 results of placebo and LEB 250 mg Q2W patients who ‘escaped’) between Week 16 and 24, totalling 145 responders.</w:t>
      </w:r>
    </w:p>
    <w:p w14:paraId="3B52B40F" w14:textId="77777777" w:rsidR="004779D9" w:rsidRPr="00FE714A" w:rsidRDefault="004779D9" w:rsidP="00BB732D">
      <w:pPr>
        <w:pStyle w:val="4-SubsectionHeading"/>
      </w:pPr>
      <w:bookmarkStart w:id="52" w:name="_Toc155860024"/>
      <w:r w:rsidRPr="00FE714A">
        <w:t>Drug cost/patient/year</w:t>
      </w:r>
      <w:bookmarkEnd w:id="52"/>
    </w:p>
    <w:p w14:paraId="6ED27079" w14:textId="11ABB9F6" w:rsidR="004779D9" w:rsidRPr="00461053" w:rsidRDefault="004779D9" w:rsidP="009E7101">
      <w:pPr>
        <w:pStyle w:val="3-BodyText"/>
        <w:rPr>
          <w:snapToGrid/>
        </w:rPr>
      </w:pPr>
      <w:r w:rsidRPr="00FE714A">
        <w:rPr>
          <w:snapToGrid/>
        </w:rPr>
        <w:t xml:space="preserve">The drug cost </w:t>
      </w:r>
      <w:r w:rsidRPr="00461053">
        <w:rPr>
          <w:snapToGrid/>
        </w:rPr>
        <w:t xml:space="preserve">per patient per year </w:t>
      </w:r>
      <w:r w:rsidR="004347F7" w:rsidRPr="00461053">
        <w:rPr>
          <w:snapToGrid/>
        </w:rPr>
        <w:t>wa</w:t>
      </w:r>
      <w:r w:rsidRPr="00461053">
        <w:rPr>
          <w:snapToGrid/>
        </w:rPr>
        <w:t>s $</w:t>
      </w:r>
      <w:r w:rsidR="000727C3" w:rsidRPr="000727C3">
        <w:rPr>
          <w:snapToGrid/>
          <w:color w:val="000000"/>
          <w:w w:val="60"/>
          <w:shd w:val="solid" w:color="000000" w:fill="000000"/>
          <w:fitText w:val="469" w:id="-961880826"/>
          <w14:textFill>
            <w14:solidFill>
              <w14:srgbClr w14:val="000000">
                <w14:alpha w14:val="100000"/>
              </w14:srgbClr>
            </w14:solidFill>
          </w14:textFill>
        </w:rPr>
        <w:t>|||  ||</w:t>
      </w:r>
      <w:r w:rsidR="000727C3" w:rsidRPr="000727C3">
        <w:rPr>
          <w:snapToGrid/>
          <w:color w:val="000000"/>
          <w:spacing w:val="5"/>
          <w:w w:val="60"/>
          <w:shd w:val="solid" w:color="000000" w:fill="000000"/>
          <w:fitText w:val="469" w:id="-961880826"/>
          <w14:textFill>
            <w14:solidFill>
              <w14:srgbClr w14:val="000000">
                <w14:alpha w14:val="100000"/>
              </w14:srgbClr>
            </w14:solidFill>
          </w14:textFill>
        </w:rPr>
        <w:t>|</w:t>
      </w:r>
      <w:r w:rsidRPr="00461053">
        <w:rPr>
          <w:snapToGrid/>
        </w:rPr>
        <w:t xml:space="preserve"> (assuming standard induction/response at Week 16) based on the submission’s requested published DPMQ</w:t>
      </w:r>
      <w:bookmarkStart w:id="53" w:name="_Ref155573549"/>
      <w:r w:rsidRPr="00461053">
        <w:rPr>
          <w:rStyle w:val="FootnoteReference"/>
          <w:snapToGrid/>
        </w:rPr>
        <w:footnoteReference w:id="5"/>
      </w:r>
      <w:bookmarkEnd w:id="53"/>
      <w:r w:rsidRPr="00461053">
        <w:rPr>
          <w:snapToGrid/>
        </w:rPr>
        <w:t xml:space="preserve">. This calculation was based on three initial scripts, followed by seven continuing scripts in year 1. </w:t>
      </w:r>
      <w:r w:rsidRPr="00461053">
        <w:t>It is anticipated that there will be 13 scripts for LEB required from Year 2 onwards at a cost of $</w:t>
      </w:r>
      <w:r w:rsidR="000727C3" w:rsidRPr="008B26E3">
        <w:rPr>
          <w:color w:val="000000"/>
          <w:w w:val="15"/>
          <w:shd w:val="solid" w:color="000000" w:fill="000000"/>
          <w:fitText w:val="-20" w:id="-961880825"/>
          <w14:textFill>
            <w14:solidFill>
              <w14:srgbClr w14:val="000000">
                <w14:alpha w14:val="100000"/>
              </w14:srgbClr>
            </w14:solidFill>
          </w14:textFill>
        </w:rPr>
        <w:t xml:space="preserve">|  </w:t>
      </w:r>
      <w:r w:rsidR="000727C3" w:rsidRPr="008B26E3">
        <w:rPr>
          <w:color w:val="000000"/>
          <w:spacing w:val="-69"/>
          <w:w w:val="15"/>
          <w:shd w:val="solid" w:color="000000" w:fill="000000"/>
          <w:fitText w:val="-20" w:id="-961880825"/>
          <w14:textFill>
            <w14:solidFill>
              <w14:srgbClr w14:val="000000">
                <w14:alpha w14:val="100000"/>
              </w14:srgbClr>
            </w14:solidFill>
          </w14:textFill>
        </w:rPr>
        <w:t>|</w:t>
      </w:r>
      <w:r w:rsidR="005D3A69">
        <w:rPr>
          <w:color w:val="000000"/>
          <w:shd w:val="solid" w:color="000000" w:fill="000000"/>
          <w14:textFill>
            <w14:solidFill>
              <w14:srgbClr w14:val="000000">
                <w14:alpha w14:val="100000"/>
              </w14:srgbClr>
            </w14:solidFill>
          </w14:textFill>
        </w:rPr>
        <w:t xml:space="preserve"> </w:t>
      </w:r>
      <w:r w:rsidRPr="00461053">
        <w:t>per year.</w:t>
      </w:r>
    </w:p>
    <w:p w14:paraId="1A31C7AC" w14:textId="05D542B2" w:rsidR="004779D9" w:rsidRPr="00461053" w:rsidRDefault="004779D9" w:rsidP="001500F6">
      <w:pPr>
        <w:pStyle w:val="3-BodyText"/>
        <w:rPr>
          <w:snapToGrid/>
        </w:rPr>
      </w:pPr>
      <w:r w:rsidRPr="00461053">
        <w:rPr>
          <w:snapToGrid/>
        </w:rPr>
        <w:t>Assuming an extended induction</w:t>
      </w:r>
      <w:r w:rsidR="006B0B29" w:rsidRPr="00461053">
        <w:rPr>
          <w:snapToGrid/>
        </w:rPr>
        <w:t xml:space="preserve"> to 24 weeks</w:t>
      </w:r>
      <w:r w:rsidRPr="00461053">
        <w:rPr>
          <w:snapToGrid/>
        </w:rPr>
        <w:t>, the drug cost per patient per year is $</w:t>
      </w:r>
      <w:proofErr w:type="gramStart"/>
      <w:r w:rsidR="000727C3" w:rsidRPr="008B26E3">
        <w:rPr>
          <w:snapToGrid/>
          <w:color w:val="000000"/>
          <w:w w:val="15"/>
          <w:shd w:val="solid" w:color="000000" w:fill="000000"/>
          <w:fitText w:val="-20" w:id="-961880824"/>
          <w14:textFill>
            <w14:solidFill>
              <w14:srgbClr w14:val="000000">
                <w14:alpha w14:val="100000"/>
              </w14:srgbClr>
            </w14:solidFill>
          </w14:textFill>
        </w:rPr>
        <w:t xml:space="preserve">|  </w:t>
      </w:r>
      <w:r w:rsidR="000727C3" w:rsidRPr="008B26E3">
        <w:rPr>
          <w:snapToGrid/>
          <w:color w:val="000000"/>
          <w:spacing w:val="-69"/>
          <w:w w:val="15"/>
          <w:shd w:val="solid" w:color="000000" w:fill="000000"/>
          <w:fitText w:val="-20" w:id="-961880824"/>
          <w14:textFill>
            <w14:solidFill>
              <w14:srgbClr w14:val="000000">
                <w14:alpha w14:val="100000"/>
              </w14:srgbClr>
            </w14:solidFill>
          </w14:textFill>
        </w:rPr>
        <w:t>|</w:t>
      </w:r>
      <w:proofErr w:type="gramEnd"/>
      <w:r w:rsidR="005D3A69">
        <w:rPr>
          <w:snapToGrid/>
          <w:color w:val="000000"/>
          <w:shd w:val="solid" w:color="000000" w:fill="000000"/>
          <w14:textFill>
            <w14:solidFill>
              <w14:srgbClr w14:val="000000">
                <w14:alpha w14:val="100000"/>
              </w14:srgbClr>
            </w14:solidFill>
          </w14:textFill>
        </w:rPr>
        <w:t xml:space="preserve"> </w:t>
      </w:r>
      <w:r w:rsidRPr="00461053">
        <w:rPr>
          <w:snapToGrid/>
        </w:rPr>
        <w:t>based on the submission’s requested published DPMQ</w:t>
      </w:r>
      <w:r w:rsidRPr="00461053">
        <w:rPr>
          <w:snapToGrid/>
        </w:rPr>
        <w:fldChar w:fldCharType="begin" w:fldLock="1"/>
      </w:r>
      <w:r w:rsidRPr="00461053">
        <w:rPr>
          <w:snapToGrid/>
        </w:rPr>
        <w:instrText xml:space="preserve"> NOTEREF _Ref155573549 \f \h  \* MERGEFORMAT </w:instrText>
      </w:r>
      <w:r w:rsidRPr="00461053">
        <w:rPr>
          <w:snapToGrid/>
        </w:rPr>
      </w:r>
      <w:r w:rsidRPr="00461053">
        <w:rPr>
          <w:snapToGrid/>
        </w:rPr>
        <w:fldChar w:fldCharType="separate"/>
      </w:r>
      <w:r w:rsidR="00B3585E" w:rsidRPr="00461053">
        <w:rPr>
          <w:rStyle w:val="FootnoteReference"/>
        </w:rPr>
        <w:t>4</w:t>
      </w:r>
      <w:r w:rsidRPr="00461053">
        <w:rPr>
          <w:snapToGrid/>
        </w:rPr>
        <w:fldChar w:fldCharType="end"/>
      </w:r>
      <w:r w:rsidRPr="00461053">
        <w:rPr>
          <w:snapToGrid/>
        </w:rPr>
        <w:t xml:space="preserve">. This calculation was based on three initial scripts, followed by two extended induction/balance of supply scripts, and six continuing scripts in year 1. </w:t>
      </w:r>
      <w:r w:rsidRPr="00461053">
        <w:t>It is anticipated that there will be 13 scripts for LEB required from Year 2 onwards at a cost of $</w:t>
      </w:r>
      <w:r w:rsidR="000727C3" w:rsidRPr="008B26E3">
        <w:rPr>
          <w:color w:val="000000"/>
          <w:w w:val="15"/>
          <w:shd w:val="solid" w:color="000000" w:fill="000000"/>
          <w:fitText w:val="-20" w:id="-961880823"/>
          <w14:textFill>
            <w14:solidFill>
              <w14:srgbClr w14:val="000000">
                <w14:alpha w14:val="100000"/>
              </w14:srgbClr>
            </w14:solidFill>
          </w14:textFill>
        </w:rPr>
        <w:t xml:space="preserve">|  </w:t>
      </w:r>
      <w:r w:rsidR="000727C3" w:rsidRPr="008B26E3">
        <w:rPr>
          <w:color w:val="000000"/>
          <w:spacing w:val="-69"/>
          <w:w w:val="15"/>
          <w:shd w:val="solid" w:color="000000" w:fill="000000"/>
          <w:fitText w:val="-20" w:id="-961880823"/>
          <w14:textFill>
            <w14:solidFill>
              <w14:srgbClr w14:val="000000">
                <w14:alpha w14:val="100000"/>
              </w14:srgbClr>
            </w14:solidFill>
          </w14:textFill>
        </w:rPr>
        <w:t>|</w:t>
      </w:r>
      <w:r w:rsidR="005D3A69">
        <w:rPr>
          <w:color w:val="000000"/>
          <w:shd w:val="solid" w:color="000000" w:fill="000000"/>
          <w14:textFill>
            <w14:solidFill>
              <w14:srgbClr w14:val="000000">
                <w14:alpha w14:val="100000"/>
              </w14:srgbClr>
            </w14:solidFill>
          </w14:textFill>
        </w:rPr>
        <w:t xml:space="preserve"> </w:t>
      </w:r>
      <w:r w:rsidRPr="00461053">
        <w:t>per year.</w:t>
      </w:r>
    </w:p>
    <w:p w14:paraId="02C5D2C0" w14:textId="77777777" w:rsidR="004779D9" w:rsidRPr="00FE714A" w:rsidRDefault="004779D9" w:rsidP="002B05A1">
      <w:pPr>
        <w:pStyle w:val="4-SubsectionHeading"/>
      </w:pPr>
      <w:bookmarkStart w:id="54" w:name="_Toc155860025"/>
      <w:r w:rsidRPr="00FE714A">
        <w:t>Estimated PBS usage &amp; financial implications</w:t>
      </w:r>
      <w:bookmarkEnd w:id="54"/>
    </w:p>
    <w:p w14:paraId="3D62A2C8" w14:textId="024421E7" w:rsidR="00302FB2" w:rsidRPr="00FE714A" w:rsidRDefault="00302FB2" w:rsidP="00FA0FDD">
      <w:pPr>
        <w:pStyle w:val="3-BodyText"/>
      </w:pPr>
      <w:bookmarkStart w:id="55" w:name="_Toc155860026"/>
      <w:r w:rsidRPr="00FE714A">
        <w:t xml:space="preserve">This submission was considered by DUSC. An epidemiological approach was employed to estimate the financial impact of listing LEB for the treatment of severe AD on the PBS. The submission argued that an epidemiological approach was </w:t>
      </w:r>
      <w:r w:rsidR="00FA0FDD" w:rsidRPr="00FE714A">
        <w:t>necessary</w:t>
      </w:r>
      <w:r w:rsidRPr="00FE714A">
        <w:t xml:space="preserve"> given both DUPI and UPA were only recently listed on the PBS and as such there were limited data to inform a market share approach. However, the submission utilised PBS sample data to inform the uptake (extrapolation) of advanced systemic therapies in the </w:t>
      </w:r>
      <w:r w:rsidRPr="00FE714A">
        <w:lastRenderedPageBreak/>
        <w:t xml:space="preserve">financial estimates. The PBAC guidelines V5.0 (p101) notes that “a market-share approach might be preferred if the submission indicates a noninferior therapeutic conclusion”. </w:t>
      </w:r>
      <w:r w:rsidR="00E719C8" w:rsidRPr="00FE714A">
        <w:t xml:space="preserve">The </w:t>
      </w:r>
      <w:r w:rsidR="00C044EA">
        <w:t>Pre-Sub-Committee Response</w:t>
      </w:r>
      <w:r w:rsidR="00C044EA" w:rsidRPr="00FE714A">
        <w:t xml:space="preserve"> </w:t>
      </w:r>
      <w:r w:rsidR="00C044EA">
        <w:t>(</w:t>
      </w:r>
      <w:r w:rsidR="00E719C8" w:rsidRPr="00FE714A">
        <w:t>PSCR</w:t>
      </w:r>
      <w:r w:rsidR="00C044EA">
        <w:t>)</w:t>
      </w:r>
      <w:r w:rsidR="00E719C8" w:rsidRPr="00FE714A">
        <w:t xml:space="preserve"> stated that t</w:t>
      </w:r>
      <w:r w:rsidR="00E719C8" w:rsidRPr="00FE714A">
        <w:rPr>
          <w:rFonts w:ascii="Calibri" w:eastAsia="SimSun" w:hAnsi="Calibri" w:cs="Cordia New"/>
          <w:szCs w:val="28"/>
          <w:lang w:eastAsia="zh-CN" w:bidi="th-TH"/>
        </w:rPr>
        <w:t>he current submission sought to provide more certain data to determine the eligible population as well as uptake of advanced systemic therapies to provide a basis to revise the RSA expenditure caps.</w:t>
      </w:r>
      <w:r w:rsidR="00876678" w:rsidRPr="00FE714A">
        <w:rPr>
          <w:rFonts w:ascii="Calibri" w:eastAsia="SimSun" w:hAnsi="Calibri" w:cs="Cordia New"/>
          <w:szCs w:val="28"/>
          <w:lang w:eastAsia="zh-CN" w:bidi="th-TH"/>
        </w:rPr>
        <w:t xml:space="preserve"> </w:t>
      </w:r>
      <w:r w:rsidR="00876678" w:rsidRPr="00FE714A">
        <w:t>DUSC considered that a market-share approach, with growth factored in, would be more appropriate than an epidemiological approach.</w:t>
      </w:r>
    </w:p>
    <w:p w14:paraId="7BC08040" w14:textId="65F8CBC3" w:rsidR="00302FB2" w:rsidRPr="00FE714A" w:rsidRDefault="00302FB2" w:rsidP="00302FB2">
      <w:pPr>
        <w:pStyle w:val="3-BodyText"/>
      </w:pPr>
      <w:r w:rsidRPr="00FE714A">
        <w:t xml:space="preserve">The proposed restrictions do not prevent sequential treatment for non-response or intolerance to </w:t>
      </w:r>
      <w:r w:rsidR="000A5686" w:rsidRPr="00FE714A">
        <w:t>DUPI</w:t>
      </w:r>
      <w:r w:rsidRPr="00FE714A">
        <w:t xml:space="preserve"> or </w:t>
      </w:r>
      <w:r w:rsidR="000A5686" w:rsidRPr="00FE714A">
        <w:t>UPA</w:t>
      </w:r>
      <w:r w:rsidRPr="00FE714A">
        <w:t xml:space="preserve">. In the financial estimates treatment switching was only applied to responders, non-responders to </w:t>
      </w:r>
      <w:r w:rsidR="00CF6E69">
        <w:t>DUPI/UPA</w:t>
      </w:r>
      <w:r w:rsidRPr="00FE714A">
        <w:t xml:space="preserve"> were not assumed to receive treatment with lebrikizumab. </w:t>
      </w:r>
      <w:r w:rsidR="00FB3119">
        <w:t xml:space="preserve">However, </w:t>
      </w:r>
      <w:r w:rsidRPr="00FE714A">
        <w:t xml:space="preserve">the number of patients ceasing treatment for </w:t>
      </w:r>
      <w:r w:rsidR="00FB3119">
        <w:t>DUPI/UPA</w:t>
      </w:r>
      <w:r w:rsidRPr="00FE714A">
        <w:t xml:space="preserve"> has been below predicted </w:t>
      </w:r>
      <w:r w:rsidR="00A008F5" w:rsidRPr="00FE714A">
        <w:t xml:space="preserve">and the </w:t>
      </w:r>
      <w:r w:rsidRPr="00FE714A">
        <w:t>potential impact on total numbers is likely to be small.</w:t>
      </w:r>
      <w:r w:rsidR="000E0B68" w:rsidRPr="00FE714A">
        <w:t xml:space="preserve"> The pre-PBAC response provided revised estimates incorporating sequential treatment for patients who do not achieve a response to their initial therapy, which increased the net financial implications by approximately 1% per year. </w:t>
      </w:r>
      <w:r w:rsidR="00FA0FDD" w:rsidRPr="00FE714A">
        <w:t xml:space="preserve">The PBAC agreed with the evaluation and pre-PBAC response that the impact of sequential use in non-responders was likely to be minimal (see also paragraph </w:t>
      </w:r>
      <w:r w:rsidR="00FA0FDD" w:rsidRPr="00FE714A">
        <w:fldChar w:fldCharType="begin" w:fldLock="1"/>
      </w:r>
      <w:r w:rsidR="00FA0FDD" w:rsidRPr="00FE714A">
        <w:instrText xml:space="preserve"> REF _Ref162250310 \n \h </w:instrText>
      </w:r>
      <w:r w:rsidR="00FA0FDD" w:rsidRPr="00FE714A">
        <w:fldChar w:fldCharType="separate"/>
      </w:r>
      <w:r w:rsidR="00B3585E">
        <w:t>6.74</w:t>
      </w:r>
      <w:r w:rsidR="00FA0FDD" w:rsidRPr="00FE714A">
        <w:fldChar w:fldCharType="end"/>
      </w:r>
      <w:r w:rsidR="00FA0FDD" w:rsidRPr="00FE714A">
        <w:t xml:space="preserve"> regarding increase to caps for sequential use).</w:t>
      </w:r>
    </w:p>
    <w:p w14:paraId="0C0BA289" w14:textId="1D4A3D95" w:rsidR="00302FB2" w:rsidRPr="00FE714A" w:rsidRDefault="00302FB2" w:rsidP="00302FB2">
      <w:pPr>
        <w:pStyle w:val="3-BodyText"/>
      </w:pPr>
      <w:r w:rsidRPr="00FE714A">
        <w:t>Key data sources, parameters and assumptions used to estimate the financial impact of listing LEB</w:t>
      </w:r>
      <w:r w:rsidR="00FA0FDD" w:rsidRPr="00FE714A">
        <w:t>, and evaluat</w:t>
      </w:r>
      <w:r w:rsidR="00876678" w:rsidRPr="00FE714A">
        <w:t>ion</w:t>
      </w:r>
      <w:r w:rsidR="00FA0FDD" w:rsidRPr="00FE714A">
        <w:t xml:space="preserve"> and DUSC comments on these values</w:t>
      </w:r>
      <w:r w:rsidRPr="00FE714A">
        <w:t xml:space="preserve"> are summarised in </w:t>
      </w:r>
      <w:r w:rsidRPr="00FE714A">
        <w:fldChar w:fldCharType="begin" w:fldLock="1"/>
      </w:r>
      <w:r w:rsidRPr="00FE714A">
        <w:instrText xml:space="preserve"> REF _Ref155664385 \h </w:instrText>
      </w:r>
      <w:r w:rsidRPr="00FE714A">
        <w:fldChar w:fldCharType="separate"/>
      </w:r>
      <w:r w:rsidR="00B3585E" w:rsidRPr="00FE714A">
        <w:t xml:space="preserve">Table </w:t>
      </w:r>
      <w:r w:rsidR="00B3585E">
        <w:rPr>
          <w:noProof/>
        </w:rPr>
        <w:t>18</w:t>
      </w:r>
      <w:r w:rsidRPr="00FE714A">
        <w:fldChar w:fldCharType="end"/>
      </w:r>
      <w:r w:rsidRPr="00FE714A">
        <w:t xml:space="preserve">. </w:t>
      </w:r>
    </w:p>
    <w:p w14:paraId="35670703" w14:textId="0F66A3BF" w:rsidR="00302FB2" w:rsidRPr="00FE714A" w:rsidRDefault="00302FB2" w:rsidP="00302FB2">
      <w:pPr>
        <w:pStyle w:val="Caption"/>
        <w:rPr>
          <w:rStyle w:val="CommentReference"/>
          <w:b/>
          <w:szCs w:val="24"/>
        </w:rPr>
      </w:pPr>
      <w:bookmarkStart w:id="56" w:name="_Ref155664385"/>
      <w:bookmarkStart w:id="57" w:name="_Ref155575256"/>
      <w:r w:rsidRPr="00FE714A">
        <w:t xml:space="preserve">Table </w:t>
      </w:r>
      <w:r w:rsidR="008B26E3">
        <w:fldChar w:fldCharType="begin" w:fldLock="1"/>
      </w:r>
      <w:r w:rsidR="008B26E3">
        <w:instrText xml:space="preserve"> SEQ Tabl</w:instrText>
      </w:r>
      <w:r w:rsidR="008B26E3">
        <w:instrText xml:space="preserve">e \* ARABIC </w:instrText>
      </w:r>
      <w:r w:rsidR="008B26E3">
        <w:fldChar w:fldCharType="separate"/>
      </w:r>
      <w:r w:rsidR="00B3585E">
        <w:rPr>
          <w:noProof/>
        </w:rPr>
        <w:t>18</w:t>
      </w:r>
      <w:r w:rsidR="008B26E3">
        <w:rPr>
          <w:noProof/>
        </w:rPr>
        <w:fldChar w:fldCharType="end"/>
      </w:r>
      <w:bookmarkEnd w:id="56"/>
      <w:r w:rsidRPr="00FE714A">
        <w:t>:</w:t>
      </w:r>
      <w:r w:rsidRPr="00FE714A">
        <w:rPr>
          <w:rStyle w:val="CommentReference"/>
          <w:b/>
          <w:szCs w:val="24"/>
        </w:rPr>
        <w:t xml:space="preserve"> Key inputs for financial estimates</w:t>
      </w:r>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8: Key inputs for financial estimates"/>
      </w:tblPr>
      <w:tblGrid>
        <w:gridCol w:w="1388"/>
        <w:gridCol w:w="4038"/>
        <w:gridCol w:w="3591"/>
      </w:tblGrid>
      <w:tr w:rsidR="00302FB2" w:rsidRPr="00FE714A" w14:paraId="77092805" w14:textId="77777777" w:rsidTr="00550B5E">
        <w:trPr>
          <w:tblHeader/>
        </w:trPr>
        <w:tc>
          <w:tcPr>
            <w:tcW w:w="770" w:type="pct"/>
            <w:vAlign w:val="center"/>
          </w:tcPr>
          <w:p w14:paraId="4C84BC21" w14:textId="77777777" w:rsidR="00302FB2" w:rsidRPr="00FE714A" w:rsidRDefault="00302FB2" w:rsidP="00F81041">
            <w:pPr>
              <w:pStyle w:val="In-tableHeading"/>
              <w:keepNext w:val="0"/>
              <w:jc w:val="center"/>
              <w:rPr>
                <w:lang w:val="en-AU"/>
              </w:rPr>
            </w:pPr>
            <w:r w:rsidRPr="00FE714A">
              <w:rPr>
                <w:lang w:val="en-AU"/>
              </w:rPr>
              <w:t>Data</w:t>
            </w:r>
          </w:p>
        </w:tc>
        <w:tc>
          <w:tcPr>
            <w:tcW w:w="2239" w:type="pct"/>
            <w:vAlign w:val="center"/>
          </w:tcPr>
          <w:p w14:paraId="1B32271E" w14:textId="77777777" w:rsidR="00302FB2" w:rsidRPr="00FE714A" w:rsidRDefault="00302FB2" w:rsidP="00F81041">
            <w:pPr>
              <w:pStyle w:val="In-tableHeading"/>
              <w:keepNext w:val="0"/>
              <w:jc w:val="center"/>
              <w:rPr>
                <w:lang w:val="en-AU"/>
              </w:rPr>
            </w:pPr>
            <w:r w:rsidRPr="00FE714A">
              <w:rPr>
                <w:lang w:val="en-AU"/>
              </w:rPr>
              <w:t>Value and Source</w:t>
            </w:r>
          </w:p>
        </w:tc>
        <w:tc>
          <w:tcPr>
            <w:tcW w:w="1991" w:type="pct"/>
            <w:vAlign w:val="center"/>
          </w:tcPr>
          <w:p w14:paraId="6E13574D" w14:textId="77777777" w:rsidR="00302FB2" w:rsidRPr="00FE714A" w:rsidRDefault="00302FB2" w:rsidP="00F81041">
            <w:pPr>
              <w:pStyle w:val="In-tableHeading"/>
              <w:keepNext w:val="0"/>
              <w:jc w:val="center"/>
              <w:rPr>
                <w:lang w:val="en-AU"/>
              </w:rPr>
            </w:pPr>
            <w:r w:rsidRPr="00FE714A">
              <w:rPr>
                <w:lang w:val="en-AU"/>
              </w:rPr>
              <w:t>Comment</w:t>
            </w:r>
          </w:p>
        </w:tc>
      </w:tr>
      <w:tr w:rsidR="00302FB2" w:rsidRPr="00FE714A" w14:paraId="087E8E00" w14:textId="77777777" w:rsidTr="00550B5E">
        <w:tc>
          <w:tcPr>
            <w:tcW w:w="5000" w:type="pct"/>
            <w:gridSpan w:val="3"/>
            <w:vAlign w:val="center"/>
          </w:tcPr>
          <w:p w14:paraId="35513C2E" w14:textId="77777777" w:rsidR="00302FB2" w:rsidRPr="00FE714A" w:rsidRDefault="00302FB2" w:rsidP="00F81041">
            <w:pPr>
              <w:pStyle w:val="In-tableHeading"/>
              <w:keepNext w:val="0"/>
              <w:rPr>
                <w:lang w:val="en-AU"/>
              </w:rPr>
            </w:pPr>
            <w:r w:rsidRPr="00FE714A">
              <w:rPr>
                <w:lang w:val="en-AU"/>
              </w:rPr>
              <w:t>Eligible population</w:t>
            </w:r>
          </w:p>
        </w:tc>
      </w:tr>
      <w:tr w:rsidR="00302FB2" w:rsidRPr="00FE714A" w14:paraId="66884BA5" w14:textId="77777777" w:rsidTr="00550B5E">
        <w:tc>
          <w:tcPr>
            <w:tcW w:w="770" w:type="pct"/>
            <w:vAlign w:val="center"/>
          </w:tcPr>
          <w:p w14:paraId="7A1A4EF1" w14:textId="77777777" w:rsidR="00302FB2" w:rsidRPr="00FE714A" w:rsidRDefault="00302FB2" w:rsidP="00F81041">
            <w:pPr>
              <w:pStyle w:val="TableText0"/>
              <w:keepNext w:val="0"/>
            </w:pPr>
            <w:r w:rsidRPr="00FE714A">
              <w:t>Prevalent patients (with AD)</w:t>
            </w:r>
          </w:p>
        </w:tc>
        <w:tc>
          <w:tcPr>
            <w:tcW w:w="2239" w:type="pct"/>
            <w:vAlign w:val="center"/>
          </w:tcPr>
          <w:tbl>
            <w:tblPr>
              <w:tblStyle w:val="TableGrid"/>
              <w:tblW w:w="0" w:type="auto"/>
              <w:tblLook w:val="04A0" w:firstRow="1" w:lastRow="0" w:firstColumn="1" w:lastColumn="0" w:noHBand="0" w:noVBand="1"/>
            </w:tblPr>
            <w:tblGrid>
              <w:gridCol w:w="619"/>
              <w:gridCol w:w="1248"/>
              <w:gridCol w:w="1418"/>
            </w:tblGrid>
            <w:tr w:rsidR="00302FB2" w:rsidRPr="00FE714A" w14:paraId="11BE3521" w14:textId="77777777" w:rsidTr="00550B5E">
              <w:tc>
                <w:tcPr>
                  <w:tcW w:w="619" w:type="dxa"/>
                </w:tcPr>
                <w:p w14:paraId="5E53758D" w14:textId="77777777" w:rsidR="00302FB2" w:rsidRPr="00FE714A" w:rsidRDefault="00302FB2" w:rsidP="00F81041">
                  <w:pPr>
                    <w:rPr>
                      <w:rFonts w:ascii="Arial Narrow" w:hAnsi="Arial Narrow"/>
                      <w:sz w:val="18"/>
                      <w:szCs w:val="18"/>
                    </w:rPr>
                  </w:pPr>
                </w:p>
              </w:tc>
              <w:tc>
                <w:tcPr>
                  <w:tcW w:w="1248" w:type="dxa"/>
                </w:tcPr>
                <w:p w14:paraId="42D181C2" w14:textId="77777777" w:rsidR="00302FB2" w:rsidRPr="00FE714A" w:rsidRDefault="00302FB2" w:rsidP="00F81041">
                  <w:pPr>
                    <w:jc w:val="center"/>
                    <w:rPr>
                      <w:rFonts w:ascii="Arial Narrow" w:hAnsi="Arial Narrow"/>
                      <w:b/>
                      <w:bCs/>
                      <w:sz w:val="18"/>
                      <w:szCs w:val="18"/>
                    </w:rPr>
                  </w:pPr>
                  <w:r w:rsidRPr="00FE714A">
                    <w:rPr>
                      <w:rFonts w:ascii="Arial Narrow" w:hAnsi="Arial Narrow"/>
                      <w:b/>
                      <w:bCs/>
                      <w:sz w:val="18"/>
                      <w:szCs w:val="18"/>
                    </w:rPr>
                    <w:t xml:space="preserve">Adolescents (12-17 </w:t>
                  </w:r>
                  <w:proofErr w:type="spellStart"/>
                  <w:r w:rsidRPr="00FE714A">
                    <w:rPr>
                      <w:rFonts w:ascii="Arial Narrow" w:hAnsi="Arial Narrow"/>
                      <w:b/>
                      <w:bCs/>
                      <w:sz w:val="18"/>
                      <w:szCs w:val="18"/>
                    </w:rPr>
                    <w:t>yrs</w:t>
                  </w:r>
                  <w:proofErr w:type="spellEnd"/>
                  <w:r w:rsidRPr="00FE714A">
                    <w:rPr>
                      <w:rFonts w:ascii="Arial Narrow" w:hAnsi="Arial Narrow"/>
                      <w:b/>
                      <w:bCs/>
                      <w:sz w:val="18"/>
                      <w:szCs w:val="18"/>
                    </w:rPr>
                    <w:t>)</w:t>
                  </w:r>
                </w:p>
              </w:tc>
              <w:tc>
                <w:tcPr>
                  <w:tcW w:w="1418" w:type="dxa"/>
                </w:tcPr>
                <w:p w14:paraId="7A6BB9A7" w14:textId="77777777" w:rsidR="00302FB2" w:rsidRPr="00FE714A" w:rsidRDefault="00302FB2" w:rsidP="00F81041">
                  <w:pPr>
                    <w:jc w:val="center"/>
                    <w:rPr>
                      <w:rFonts w:ascii="Arial Narrow" w:hAnsi="Arial Narrow"/>
                      <w:b/>
                      <w:bCs/>
                      <w:sz w:val="18"/>
                      <w:szCs w:val="18"/>
                    </w:rPr>
                  </w:pPr>
                  <w:r w:rsidRPr="00FE714A">
                    <w:rPr>
                      <w:rFonts w:ascii="Arial Narrow" w:hAnsi="Arial Narrow"/>
                      <w:b/>
                      <w:bCs/>
                      <w:sz w:val="18"/>
                      <w:szCs w:val="18"/>
                    </w:rPr>
                    <w:t xml:space="preserve">Adults (≥ 18 </w:t>
                  </w:r>
                  <w:proofErr w:type="spellStart"/>
                  <w:r w:rsidRPr="00FE714A">
                    <w:rPr>
                      <w:rFonts w:ascii="Arial Narrow" w:hAnsi="Arial Narrow"/>
                      <w:b/>
                      <w:bCs/>
                      <w:sz w:val="18"/>
                      <w:szCs w:val="18"/>
                    </w:rPr>
                    <w:t>yrs</w:t>
                  </w:r>
                  <w:proofErr w:type="spellEnd"/>
                  <w:r w:rsidRPr="00FE714A">
                    <w:rPr>
                      <w:rFonts w:ascii="Arial Narrow" w:hAnsi="Arial Narrow"/>
                      <w:b/>
                      <w:bCs/>
                      <w:sz w:val="18"/>
                      <w:szCs w:val="18"/>
                    </w:rPr>
                    <w:t>)</w:t>
                  </w:r>
                </w:p>
              </w:tc>
            </w:tr>
            <w:tr w:rsidR="00302FB2" w:rsidRPr="00FE714A" w14:paraId="28DA81D4" w14:textId="77777777" w:rsidTr="00550B5E">
              <w:tc>
                <w:tcPr>
                  <w:tcW w:w="619" w:type="dxa"/>
                </w:tcPr>
                <w:p w14:paraId="4908F766" w14:textId="77777777" w:rsidR="00302FB2" w:rsidRPr="00FE714A" w:rsidRDefault="00302FB2" w:rsidP="00F81041">
                  <w:pPr>
                    <w:rPr>
                      <w:rFonts w:ascii="Arial Narrow" w:hAnsi="Arial Narrow"/>
                      <w:sz w:val="18"/>
                      <w:szCs w:val="18"/>
                    </w:rPr>
                  </w:pPr>
                  <w:proofErr w:type="spellStart"/>
                  <w:r w:rsidRPr="00FE714A">
                    <w:rPr>
                      <w:rFonts w:ascii="Arial Narrow" w:hAnsi="Arial Narrow"/>
                      <w:sz w:val="18"/>
                      <w:szCs w:val="18"/>
                    </w:rPr>
                    <w:t>Yr</w:t>
                  </w:r>
                  <w:proofErr w:type="spellEnd"/>
                  <w:r w:rsidRPr="00FE714A">
                    <w:rPr>
                      <w:rFonts w:ascii="Arial Narrow" w:hAnsi="Arial Narrow"/>
                      <w:sz w:val="18"/>
                      <w:szCs w:val="18"/>
                    </w:rPr>
                    <w:t xml:space="preserve"> 1</w:t>
                  </w:r>
                </w:p>
              </w:tc>
              <w:tc>
                <w:tcPr>
                  <w:tcW w:w="1248" w:type="dxa"/>
                  <w:shd w:val="clear" w:color="auto" w:fill="auto"/>
                  <w:vAlign w:val="bottom"/>
                </w:tcPr>
                <w:p w14:paraId="7807D7AC" w14:textId="2BB63E1B" w:rsidR="00302FB2" w:rsidRPr="00595967" w:rsidRDefault="000727C3" w:rsidP="00F81041">
                  <w:pPr>
                    <w:jc w:val="center"/>
                    <w:rPr>
                      <w:rFonts w:ascii="Arial Narrow" w:hAnsi="Arial Narrow"/>
                      <w:sz w:val="18"/>
                      <w:szCs w:val="18"/>
                      <w:highlight w:val="lightGray"/>
                    </w:rPr>
                  </w:pPr>
                  <w:r w:rsidRPr="008B26E3">
                    <w:rPr>
                      <w:rFonts w:ascii="Arial Narrow" w:hAnsi="Arial Narrow" w:hint="eastAsia"/>
                      <w:color w:val="000000"/>
                      <w:w w:val="15"/>
                      <w:sz w:val="18"/>
                      <w:szCs w:val="18"/>
                      <w:shd w:val="solid" w:color="000000" w:fill="000000"/>
                      <w:fitText w:val="13" w:id="-961880822"/>
                      <w14:textFill>
                        <w14:solidFill>
                          <w14:srgbClr w14:val="000000">
                            <w14:alpha w14:val="100000"/>
                          </w14:srgbClr>
                        </w14:solidFill>
                      </w14:textFill>
                    </w:rPr>
                    <w:t xml:space="preserve">　</w:t>
                  </w:r>
                  <w:r w:rsidRPr="008B26E3">
                    <w:rPr>
                      <w:rFonts w:ascii="Arial Narrow" w:hAnsi="Arial Narrow"/>
                      <w:color w:val="000000"/>
                      <w:w w:val="15"/>
                      <w:sz w:val="18"/>
                      <w:szCs w:val="18"/>
                      <w:shd w:val="solid" w:color="000000" w:fill="000000"/>
                      <w:fitText w:val="13" w:id="-961880822"/>
                      <w14:textFill>
                        <w14:solidFill>
                          <w14:srgbClr w14:val="000000">
                            <w14:alpha w14:val="100000"/>
                          </w14:srgbClr>
                        </w14:solidFill>
                      </w14:textFill>
                    </w:rPr>
                    <w:t>|</w:t>
                  </w:r>
                  <w:r w:rsidRPr="008B26E3">
                    <w:rPr>
                      <w:rFonts w:ascii="Arial Narrow" w:hAnsi="Arial Narrow" w:hint="eastAsia"/>
                      <w:color w:val="000000"/>
                      <w:spacing w:val="-46"/>
                      <w:w w:val="15"/>
                      <w:sz w:val="18"/>
                      <w:szCs w:val="18"/>
                      <w:shd w:val="solid" w:color="000000" w:fill="000000"/>
                      <w:fitText w:val="13" w:id="-961880822"/>
                      <w14:textFill>
                        <w14:solidFill>
                          <w14:srgbClr w14:val="000000">
                            <w14:alpha w14:val="100000"/>
                          </w14:srgbClr>
                        </w14:solidFill>
                      </w14:textFill>
                    </w:rPr>
                    <w:t xml:space="preserve">　</w:t>
                  </w:r>
                  <w:r w:rsidR="00595967" w:rsidRPr="00595967">
                    <w:rPr>
                      <w:rFonts w:ascii="Arial Narrow" w:hAnsi="Arial Narrow"/>
                      <w:sz w:val="18"/>
                      <w:szCs w:val="18"/>
                      <w:vertAlign w:val="superscript"/>
                    </w:rPr>
                    <w:t>1</w:t>
                  </w:r>
                </w:p>
              </w:tc>
              <w:tc>
                <w:tcPr>
                  <w:tcW w:w="1418" w:type="dxa"/>
                  <w:shd w:val="clear" w:color="auto" w:fill="auto"/>
                  <w:vAlign w:val="bottom"/>
                </w:tcPr>
                <w:p w14:paraId="5FE9D698" w14:textId="77D94E8D" w:rsidR="00302FB2" w:rsidRPr="00595967" w:rsidRDefault="000727C3" w:rsidP="00F81041">
                  <w:pPr>
                    <w:jc w:val="center"/>
                    <w:rPr>
                      <w:rFonts w:ascii="Arial Narrow" w:hAnsi="Arial Narrow"/>
                      <w:sz w:val="18"/>
                      <w:szCs w:val="18"/>
                      <w:highlight w:val="lightGray"/>
                    </w:rPr>
                  </w:pPr>
                  <w:r w:rsidRPr="000727C3">
                    <w:rPr>
                      <w:rFonts w:ascii="Arial Narrow" w:hAnsi="Arial Narrow"/>
                      <w:color w:val="000000"/>
                      <w:sz w:val="18"/>
                      <w:szCs w:val="18"/>
                      <w:shd w:val="solid" w:color="000000" w:fill="000000"/>
                      <w14:textFill>
                        <w14:solidFill>
                          <w14:srgbClr w14:val="000000">
                            <w14:alpha w14:val="100000"/>
                          </w14:srgbClr>
                        </w14:solidFill>
                      </w14:textFill>
                    </w:rPr>
                    <w:t>|</w:t>
                  </w:r>
                  <w:r w:rsidR="00595967" w:rsidRPr="00595967">
                    <w:rPr>
                      <w:rFonts w:ascii="Arial Narrow" w:hAnsi="Arial Narrow"/>
                      <w:sz w:val="18"/>
                      <w:szCs w:val="18"/>
                      <w:vertAlign w:val="superscript"/>
                    </w:rPr>
                    <w:t>2</w:t>
                  </w:r>
                </w:p>
              </w:tc>
            </w:tr>
            <w:tr w:rsidR="00302FB2" w:rsidRPr="00FE714A" w14:paraId="2BC14E29" w14:textId="77777777" w:rsidTr="00550B5E">
              <w:tc>
                <w:tcPr>
                  <w:tcW w:w="619" w:type="dxa"/>
                </w:tcPr>
                <w:p w14:paraId="61B3581D" w14:textId="77777777" w:rsidR="00302FB2" w:rsidRPr="00FE714A" w:rsidRDefault="00302FB2" w:rsidP="00F81041">
                  <w:pPr>
                    <w:rPr>
                      <w:rFonts w:ascii="Arial Narrow" w:hAnsi="Arial Narrow"/>
                      <w:sz w:val="18"/>
                      <w:szCs w:val="18"/>
                    </w:rPr>
                  </w:pPr>
                  <w:proofErr w:type="spellStart"/>
                  <w:r w:rsidRPr="00FE714A">
                    <w:rPr>
                      <w:rFonts w:ascii="Arial Narrow" w:hAnsi="Arial Narrow"/>
                      <w:sz w:val="18"/>
                      <w:szCs w:val="18"/>
                    </w:rPr>
                    <w:t>Yr</w:t>
                  </w:r>
                  <w:proofErr w:type="spellEnd"/>
                  <w:r w:rsidRPr="00FE714A">
                    <w:rPr>
                      <w:rFonts w:ascii="Arial Narrow" w:hAnsi="Arial Narrow"/>
                      <w:sz w:val="18"/>
                      <w:szCs w:val="18"/>
                    </w:rPr>
                    <w:t xml:space="preserve"> 2</w:t>
                  </w:r>
                </w:p>
              </w:tc>
              <w:tc>
                <w:tcPr>
                  <w:tcW w:w="1248" w:type="dxa"/>
                  <w:shd w:val="clear" w:color="auto" w:fill="auto"/>
                  <w:vAlign w:val="bottom"/>
                </w:tcPr>
                <w:p w14:paraId="38482FEB" w14:textId="0C940FBB" w:rsidR="00302FB2" w:rsidRPr="00595967" w:rsidRDefault="000727C3" w:rsidP="00F81041">
                  <w:pPr>
                    <w:jc w:val="center"/>
                    <w:rPr>
                      <w:rFonts w:ascii="Arial Narrow" w:hAnsi="Arial Narrow"/>
                      <w:sz w:val="18"/>
                      <w:szCs w:val="18"/>
                      <w:highlight w:val="lightGray"/>
                    </w:rPr>
                  </w:pPr>
                  <w:r w:rsidRPr="008B26E3">
                    <w:rPr>
                      <w:rFonts w:ascii="Arial Narrow" w:hAnsi="Arial Narrow" w:hint="eastAsia"/>
                      <w:color w:val="000000"/>
                      <w:w w:val="15"/>
                      <w:sz w:val="18"/>
                      <w:szCs w:val="18"/>
                      <w:shd w:val="solid" w:color="000000" w:fill="000000"/>
                      <w:fitText w:val="13" w:id="-961880821"/>
                      <w14:textFill>
                        <w14:solidFill>
                          <w14:srgbClr w14:val="000000">
                            <w14:alpha w14:val="100000"/>
                          </w14:srgbClr>
                        </w14:solidFill>
                      </w14:textFill>
                    </w:rPr>
                    <w:t xml:space="preserve">　</w:t>
                  </w:r>
                  <w:r w:rsidRPr="008B26E3">
                    <w:rPr>
                      <w:rFonts w:ascii="Arial Narrow" w:hAnsi="Arial Narrow"/>
                      <w:color w:val="000000"/>
                      <w:w w:val="15"/>
                      <w:sz w:val="18"/>
                      <w:szCs w:val="18"/>
                      <w:shd w:val="solid" w:color="000000" w:fill="000000"/>
                      <w:fitText w:val="13" w:id="-961880821"/>
                      <w14:textFill>
                        <w14:solidFill>
                          <w14:srgbClr w14:val="000000">
                            <w14:alpha w14:val="100000"/>
                          </w14:srgbClr>
                        </w14:solidFill>
                      </w14:textFill>
                    </w:rPr>
                    <w:t>|</w:t>
                  </w:r>
                  <w:r w:rsidRPr="008B26E3">
                    <w:rPr>
                      <w:rFonts w:ascii="Arial Narrow" w:hAnsi="Arial Narrow" w:hint="eastAsia"/>
                      <w:color w:val="000000"/>
                      <w:spacing w:val="-46"/>
                      <w:w w:val="15"/>
                      <w:sz w:val="18"/>
                      <w:szCs w:val="18"/>
                      <w:shd w:val="solid" w:color="000000" w:fill="000000"/>
                      <w:fitText w:val="13" w:id="-961880821"/>
                      <w14:textFill>
                        <w14:solidFill>
                          <w14:srgbClr w14:val="000000">
                            <w14:alpha w14:val="100000"/>
                          </w14:srgbClr>
                        </w14:solidFill>
                      </w14:textFill>
                    </w:rPr>
                    <w:t xml:space="preserve">　</w:t>
                  </w:r>
                  <w:r w:rsidR="00595967" w:rsidRPr="00595967">
                    <w:rPr>
                      <w:rFonts w:ascii="Arial Narrow" w:hAnsi="Arial Narrow"/>
                      <w:sz w:val="18"/>
                      <w:szCs w:val="18"/>
                      <w:vertAlign w:val="superscript"/>
                    </w:rPr>
                    <w:t>1</w:t>
                  </w:r>
                </w:p>
              </w:tc>
              <w:tc>
                <w:tcPr>
                  <w:tcW w:w="1418" w:type="dxa"/>
                  <w:shd w:val="clear" w:color="auto" w:fill="auto"/>
                  <w:vAlign w:val="bottom"/>
                </w:tcPr>
                <w:p w14:paraId="44632CFA" w14:textId="4DADD02C" w:rsidR="00302FB2" w:rsidRPr="00595967" w:rsidRDefault="000727C3" w:rsidP="00F81041">
                  <w:pPr>
                    <w:jc w:val="center"/>
                    <w:rPr>
                      <w:rFonts w:ascii="Arial Narrow" w:hAnsi="Arial Narrow"/>
                      <w:sz w:val="18"/>
                      <w:szCs w:val="18"/>
                      <w:highlight w:val="lightGray"/>
                    </w:rPr>
                  </w:pPr>
                  <w:r w:rsidRPr="000727C3">
                    <w:rPr>
                      <w:rFonts w:ascii="Arial Narrow" w:hAnsi="Arial Narrow"/>
                      <w:color w:val="000000"/>
                      <w:sz w:val="18"/>
                      <w:szCs w:val="18"/>
                      <w:shd w:val="solid" w:color="000000" w:fill="000000"/>
                      <w14:textFill>
                        <w14:solidFill>
                          <w14:srgbClr w14:val="000000">
                            <w14:alpha w14:val="100000"/>
                          </w14:srgbClr>
                        </w14:solidFill>
                      </w14:textFill>
                    </w:rPr>
                    <w:t>|</w:t>
                  </w:r>
                  <w:r w:rsidR="00595967" w:rsidRPr="00595967">
                    <w:rPr>
                      <w:rFonts w:ascii="Arial Narrow" w:hAnsi="Arial Narrow"/>
                      <w:sz w:val="18"/>
                      <w:szCs w:val="18"/>
                      <w:vertAlign w:val="superscript"/>
                    </w:rPr>
                    <w:t>2</w:t>
                  </w:r>
                </w:p>
              </w:tc>
            </w:tr>
            <w:tr w:rsidR="00302FB2" w:rsidRPr="00FE714A" w14:paraId="652CB70D" w14:textId="77777777" w:rsidTr="00550B5E">
              <w:tc>
                <w:tcPr>
                  <w:tcW w:w="619" w:type="dxa"/>
                </w:tcPr>
                <w:p w14:paraId="31E03E7B" w14:textId="77777777" w:rsidR="00302FB2" w:rsidRPr="00FE714A" w:rsidRDefault="00302FB2" w:rsidP="00F81041">
                  <w:pPr>
                    <w:rPr>
                      <w:rFonts w:ascii="Arial Narrow" w:hAnsi="Arial Narrow"/>
                      <w:sz w:val="18"/>
                      <w:szCs w:val="18"/>
                    </w:rPr>
                  </w:pPr>
                  <w:proofErr w:type="spellStart"/>
                  <w:r w:rsidRPr="00FE714A">
                    <w:rPr>
                      <w:rFonts w:ascii="Arial Narrow" w:hAnsi="Arial Narrow"/>
                      <w:sz w:val="18"/>
                      <w:szCs w:val="18"/>
                    </w:rPr>
                    <w:t>Yr</w:t>
                  </w:r>
                  <w:proofErr w:type="spellEnd"/>
                  <w:r w:rsidRPr="00FE714A">
                    <w:rPr>
                      <w:rFonts w:ascii="Arial Narrow" w:hAnsi="Arial Narrow"/>
                      <w:sz w:val="18"/>
                      <w:szCs w:val="18"/>
                    </w:rPr>
                    <w:t xml:space="preserve"> 3</w:t>
                  </w:r>
                </w:p>
              </w:tc>
              <w:tc>
                <w:tcPr>
                  <w:tcW w:w="1248" w:type="dxa"/>
                  <w:shd w:val="clear" w:color="auto" w:fill="auto"/>
                  <w:vAlign w:val="bottom"/>
                </w:tcPr>
                <w:p w14:paraId="02C9C862" w14:textId="3A1D2E41" w:rsidR="00302FB2" w:rsidRPr="00595967" w:rsidRDefault="000727C3" w:rsidP="00F81041">
                  <w:pPr>
                    <w:jc w:val="center"/>
                    <w:rPr>
                      <w:rFonts w:ascii="Arial Narrow" w:hAnsi="Arial Narrow"/>
                      <w:sz w:val="18"/>
                      <w:szCs w:val="18"/>
                      <w:highlight w:val="lightGray"/>
                    </w:rPr>
                  </w:pPr>
                  <w:r w:rsidRPr="008B26E3">
                    <w:rPr>
                      <w:rFonts w:ascii="Arial Narrow" w:hAnsi="Arial Narrow" w:hint="eastAsia"/>
                      <w:color w:val="000000"/>
                      <w:w w:val="15"/>
                      <w:sz w:val="18"/>
                      <w:szCs w:val="18"/>
                      <w:shd w:val="solid" w:color="000000" w:fill="000000"/>
                      <w:fitText w:val="13" w:id="-961880820"/>
                      <w14:textFill>
                        <w14:solidFill>
                          <w14:srgbClr w14:val="000000">
                            <w14:alpha w14:val="100000"/>
                          </w14:srgbClr>
                        </w14:solidFill>
                      </w14:textFill>
                    </w:rPr>
                    <w:t xml:space="preserve">　</w:t>
                  </w:r>
                  <w:r w:rsidRPr="008B26E3">
                    <w:rPr>
                      <w:rFonts w:ascii="Arial Narrow" w:hAnsi="Arial Narrow"/>
                      <w:color w:val="000000"/>
                      <w:w w:val="15"/>
                      <w:sz w:val="18"/>
                      <w:szCs w:val="18"/>
                      <w:shd w:val="solid" w:color="000000" w:fill="000000"/>
                      <w:fitText w:val="13" w:id="-961880820"/>
                      <w14:textFill>
                        <w14:solidFill>
                          <w14:srgbClr w14:val="000000">
                            <w14:alpha w14:val="100000"/>
                          </w14:srgbClr>
                        </w14:solidFill>
                      </w14:textFill>
                    </w:rPr>
                    <w:t>|</w:t>
                  </w:r>
                  <w:r w:rsidRPr="008B26E3">
                    <w:rPr>
                      <w:rFonts w:ascii="Arial Narrow" w:hAnsi="Arial Narrow" w:hint="eastAsia"/>
                      <w:color w:val="000000"/>
                      <w:spacing w:val="-46"/>
                      <w:w w:val="15"/>
                      <w:sz w:val="18"/>
                      <w:szCs w:val="18"/>
                      <w:shd w:val="solid" w:color="000000" w:fill="000000"/>
                      <w:fitText w:val="13" w:id="-961880820"/>
                      <w14:textFill>
                        <w14:solidFill>
                          <w14:srgbClr w14:val="000000">
                            <w14:alpha w14:val="100000"/>
                          </w14:srgbClr>
                        </w14:solidFill>
                      </w14:textFill>
                    </w:rPr>
                    <w:t xml:space="preserve">　</w:t>
                  </w:r>
                  <w:r w:rsidR="00595967" w:rsidRPr="00595967">
                    <w:rPr>
                      <w:rFonts w:ascii="Arial Narrow" w:hAnsi="Arial Narrow"/>
                      <w:sz w:val="18"/>
                      <w:szCs w:val="18"/>
                      <w:vertAlign w:val="superscript"/>
                    </w:rPr>
                    <w:t>1</w:t>
                  </w:r>
                </w:p>
              </w:tc>
              <w:tc>
                <w:tcPr>
                  <w:tcW w:w="1418" w:type="dxa"/>
                  <w:shd w:val="clear" w:color="auto" w:fill="auto"/>
                  <w:vAlign w:val="bottom"/>
                </w:tcPr>
                <w:p w14:paraId="121906F6" w14:textId="53E19ECD" w:rsidR="00302FB2" w:rsidRPr="00595967" w:rsidRDefault="000727C3" w:rsidP="00F81041">
                  <w:pPr>
                    <w:jc w:val="center"/>
                    <w:rPr>
                      <w:rFonts w:ascii="Arial Narrow" w:hAnsi="Arial Narrow"/>
                      <w:sz w:val="18"/>
                      <w:szCs w:val="18"/>
                      <w:highlight w:val="lightGray"/>
                    </w:rPr>
                  </w:pPr>
                  <w:r w:rsidRPr="000727C3">
                    <w:rPr>
                      <w:rFonts w:ascii="Arial Narrow" w:hAnsi="Arial Narrow"/>
                      <w:color w:val="000000"/>
                      <w:sz w:val="18"/>
                      <w:szCs w:val="18"/>
                      <w:shd w:val="solid" w:color="000000" w:fill="000000"/>
                      <w14:textFill>
                        <w14:solidFill>
                          <w14:srgbClr w14:val="000000">
                            <w14:alpha w14:val="100000"/>
                          </w14:srgbClr>
                        </w14:solidFill>
                      </w14:textFill>
                    </w:rPr>
                    <w:t>|</w:t>
                  </w:r>
                  <w:r w:rsidR="00595967" w:rsidRPr="00595967">
                    <w:rPr>
                      <w:rFonts w:ascii="Arial Narrow" w:hAnsi="Arial Narrow"/>
                      <w:sz w:val="18"/>
                      <w:szCs w:val="18"/>
                      <w:vertAlign w:val="superscript"/>
                    </w:rPr>
                    <w:t>2</w:t>
                  </w:r>
                </w:p>
              </w:tc>
            </w:tr>
            <w:tr w:rsidR="00302FB2" w:rsidRPr="00FE714A" w14:paraId="04D1B4EB" w14:textId="77777777" w:rsidTr="00550B5E">
              <w:tc>
                <w:tcPr>
                  <w:tcW w:w="619" w:type="dxa"/>
                </w:tcPr>
                <w:p w14:paraId="7F775A97" w14:textId="77777777" w:rsidR="00302FB2" w:rsidRPr="00FE714A" w:rsidRDefault="00302FB2" w:rsidP="00F81041">
                  <w:pPr>
                    <w:rPr>
                      <w:rFonts w:ascii="Arial Narrow" w:hAnsi="Arial Narrow"/>
                      <w:sz w:val="18"/>
                      <w:szCs w:val="18"/>
                    </w:rPr>
                  </w:pPr>
                  <w:proofErr w:type="spellStart"/>
                  <w:r w:rsidRPr="00FE714A">
                    <w:rPr>
                      <w:rFonts w:ascii="Arial Narrow" w:hAnsi="Arial Narrow"/>
                      <w:sz w:val="18"/>
                      <w:szCs w:val="18"/>
                    </w:rPr>
                    <w:t>Yr</w:t>
                  </w:r>
                  <w:proofErr w:type="spellEnd"/>
                  <w:r w:rsidRPr="00FE714A">
                    <w:rPr>
                      <w:rFonts w:ascii="Arial Narrow" w:hAnsi="Arial Narrow"/>
                      <w:sz w:val="18"/>
                      <w:szCs w:val="18"/>
                    </w:rPr>
                    <w:t xml:space="preserve"> 4</w:t>
                  </w:r>
                </w:p>
              </w:tc>
              <w:tc>
                <w:tcPr>
                  <w:tcW w:w="1248" w:type="dxa"/>
                  <w:shd w:val="clear" w:color="auto" w:fill="auto"/>
                  <w:vAlign w:val="bottom"/>
                </w:tcPr>
                <w:p w14:paraId="20DB5023" w14:textId="10E5BFB5" w:rsidR="00302FB2" w:rsidRPr="00595967" w:rsidRDefault="000727C3" w:rsidP="00F81041">
                  <w:pPr>
                    <w:jc w:val="center"/>
                    <w:rPr>
                      <w:rFonts w:ascii="Arial Narrow" w:hAnsi="Arial Narrow"/>
                      <w:sz w:val="18"/>
                      <w:szCs w:val="18"/>
                      <w:highlight w:val="lightGray"/>
                    </w:rPr>
                  </w:pPr>
                  <w:r w:rsidRPr="008B26E3">
                    <w:rPr>
                      <w:rFonts w:ascii="Arial Narrow" w:hAnsi="Arial Narrow" w:hint="eastAsia"/>
                      <w:color w:val="000000"/>
                      <w:w w:val="15"/>
                      <w:sz w:val="18"/>
                      <w:szCs w:val="18"/>
                      <w:shd w:val="solid" w:color="000000" w:fill="000000"/>
                      <w:fitText w:val="13" w:id="-961880819"/>
                      <w14:textFill>
                        <w14:solidFill>
                          <w14:srgbClr w14:val="000000">
                            <w14:alpha w14:val="100000"/>
                          </w14:srgbClr>
                        </w14:solidFill>
                      </w14:textFill>
                    </w:rPr>
                    <w:t xml:space="preserve">　</w:t>
                  </w:r>
                  <w:r w:rsidRPr="008B26E3">
                    <w:rPr>
                      <w:rFonts w:ascii="Arial Narrow" w:hAnsi="Arial Narrow"/>
                      <w:color w:val="000000"/>
                      <w:w w:val="15"/>
                      <w:sz w:val="18"/>
                      <w:szCs w:val="18"/>
                      <w:shd w:val="solid" w:color="000000" w:fill="000000"/>
                      <w:fitText w:val="13" w:id="-961880819"/>
                      <w14:textFill>
                        <w14:solidFill>
                          <w14:srgbClr w14:val="000000">
                            <w14:alpha w14:val="100000"/>
                          </w14:srgbClr>
                        </w14:solidFill>
                      </w14:textFill>
                    </w:rPr>
                    <w:t>|</w:t>
                  </w:r>
                  <w:r w:rsidRPr="008B26E3">
                    <w:rPr>
                      <w:rFonts w:ascii="Arial Narrow" w:hAnsi="Arial Narrow" w:hint="eastAsia"/>
                      <w:color w:val="000000"/>
                      <w:spacing w:val="-46"/>
                      <w:w w:val="15"/>
                      <w:sz w:val="18"/>
                      <w:szCs w:val="18"/>
                      <w:shd w:val="solid" w:color="000000" w:fill="000000"/>
                      <w:fitText w:val="13" w:id="-961880819"/>
                      <w14:textFill>
                        <w14:solidFill>
                          <w14:srgbClr w14:val="000000">
                            <w14:alpha w14:val="100000"/>
                          </w14:srgbClr>
                        </w14:solidFill>
                      </w14:textFill>
                    </w:rPr>
                    <w:t xml:space="preserve">　</w:t>
                  </w:r>
                  <w:r w:rsidR="00595967" w:rsidRPr="00595967">
                    <w:rPr>
                      <w:rFonts w:ascii="Arial Narrow" w:hAnsi="Arial Narrow"/>
                      <w:sz w:val="18"/>
                      <w:szCs w:val="18"/>
                      <w:vertAlign w:val="superscript"/>
                    </w:rPr>
                    <w:t>1</w:t>
                  </w:r>
                </w:p>
              </w:tc>
              <w:tc>
                <w:tcPr>
                  <w:tcW w:w="1418" w:type="dxa"/>
                  <w:shd w:val="clear" w:color="auto" w:fill="auto"/>
                  <w:vAlign w:val="bottom"/>
                </w:tcPr>
                <w:p w14:paraId="189E1D2B" w14:textId="76EC7DDB" w:rsidR="00302FB2" w:rsidRPr="00595967" w:rsidRDefault="000727C3" w:rsidP="00F81041">
                  <w:pPr>
                    <w:jc w:val="center"/>
                    <w:rPr>
                      <w:rFonts w:ascii="Arial Narrow" w:hAnsi="Arial Narrow"/>
                      <w:sz w:val="18"/>
                      <w:szCs w:val="18"/>
                      <w:highlight w:val="lightGray"/>
                    </w:rPr>
                  </w:pPr>
                  <w:r w:rsidRPr="000727C3">
                    <w:rPr>
                      <w:rFonts w:ascii="Arial Narrow" w:hAnsi="Arial Narrow"/>
                      <w:color w:val="000000"/>
                      <w:sz w:val="18"/>
                      <w:szCs w:val="18"/>
                      <w:shd w:val="solid" w:color="000000" w:fill="000000"/>
                      <w14:textFill>
                        <w14:solidFill>
                          <w14:srgbClr w14:val="000000">
                            <w14:alpha w14:val="100000"/>
                          </w14:srgbClr>
                        </w14:solidFill>
                      </w14:textFill>
                    </w:rPr>
                    <w:t>|</w:t>
                  </w:r>
                  <w:r w:rsidR="00595967">
                    <w:rPr>
                      <w:rFonts w:ascii="Arial Narrow" w:hAnsi="Arial Narrow"/>
                      <w:sz w:val="18"/>
                      <w:szCs w:val="18"/>
                      <w:vertAlign w:val="superscript"/>
                    </w:rPr>
                    <w:t>3</w:t>
                  </w:r>
                </w:p>
              </w:tc>
            </w:tr>
            <w:tr w:rsidR="00302FB2" w:rsidRPr="00FE714A" w14:paraId="6F5C0EAF" w14:textId="77777777" w:rsidTr="00550B5E">
              <w:tc>
                <w:tcPr>
                  <w:tcW w:w="619" w:type="dxa"/>
                </w:tcPr>
                <w:p w14:paraId="7C165AFB" w14:textId="77777777" w:rsidR="00302FB2" w:rsidRPr="00FE714A" w:rsidRDefault="00302FB2" w:rsidP="00F81041">
                  <w:pPr>
                    <w:rPr>
                      <w:rFonts w:ascii="Arial Narrow" w:hAnsi="Arial Narrow"/>
                      <w:sz w:val="18"/>
                      <w:szCs w:val="18"/>
                    </w:rPr>
                  </w:pPr>
                  <w:proofErr w:type="spellStart"/>
                  <w:r w:rsidRPr="00FE714A">
                    <w:rPr>
                      <w:rFonts w:ascii="Arial Narrow" w:hAnsi="Arial Narrow"/>
                      <w:sz w:val="18"/>
                      <w:szCs w:val="18"/>
                    </w:rPr>
                    <w:t>Yr</w:t>
                  </w:r>
                  <w:proofErr w:type="spellEnd"/>
                  <w:r w:rsidRPr="00FE714A">
                    <w:rPr>
                      <w:rFonts w:ascii="Arial Narrow" w:hAnsi="Arial Narrow"/>
                      <w:sz w:val="18"/>
                      <w:szCs w:val="18"/>
                    </w:rPr>
                    <w:t xml:space="preserve"> 5</w:t>
                  </w:r>
                </w:p>
              </w:tc>
              <w:tc>
                <w:tcPr>
                  <w:tcW w:w="1248" w:type="dxa"/>
                  <w:shd w:val="clear" w:color="auto" w:fill="auto"/>
                  <w:vAlign w:val="bottom"/>
                </w:tcPr>
                <w:p w14:paraId="00AD578F" w14:textId="0C2BED45" w:rsidR="00302FB2" w:rsidRPr="00595967" w:rsidRDefault="000727C3" w:rsidP="00F81041">
                  <w:pPr>
                    <w:jc w:val="center"/>
                    <w:rPr>
                      <w:rFonts w:ascii="Arial Narrow" w:hAnsi="Arial Narrow"/>
                      <w:sz w:val="18"/>
                      <w:szCs w:val="18"/>
                      <w:highlight w:val="lightGray"/>
                    </w:rPr>
                  </w:pPr>
                  <w:r w:rsidRPr="008B26E3">
                    <w:rPr>
                      <w:rFonts w:ascii="Arial Narrow" w:hAnsi="Arial Narrow" w:hint="eastAsia"/>
                      <w:color w:val="000000"/>
                      <w:w w:val="15"/>
                      <w:sz w:val="18"/>
                      <w:szCs w:val="18"/>
                      <w:shd w:val="solid" w:color="000000" w:fill="000000"/>
                      <w:fitText w:val="13" w:id="-961880818"/>
                      <w14:textFill>
                        <w14:solidFill>
                          <w14:srgbClr w14:val="000000">
                            <w14:alpha w14:val="100000"/>
                          </w14:srgbClr>
                        </w14:solidFill>
                      </w14:textFill>
                    </w:rPr>
                    <w:t xml:space="preserve">　</w:t>
                  </w:r>
                  <w:r w:rsidRPr="008B26E3">
                    <w:rPr>
                      <w:rFonts w:ascii="Arial Narrow" w:hAnsi="Arial Narrow"/>
                      <w:color w:val="000000"/>
                      <w:w w:val="15"/>
                      <w:sz w:val="18"/>
                      <w:szCs w:val="18"/>
                      <w:shd w:val="solid" w:color="000000" w:fill="000000"/>
                      <w:fitText w:val="13" w:id="-961880818"/>
                      <w14:textFill>
                        <w14:solidFill>
                          <w14:srgbClr w14:val="000000">
                            <w14:alpha w14:val="100000"/>
                          </w14:srgbClr>
                        </w14:solidFill>
                      </w14:textFill>
                    </w:rPr>
                    <w:t>|</w:t>
                  </w:r>
                  <w:r w:rsidRPr="008B26E3">
                    <w:rPr>
                      <w:rFonts w:ascii="Arial Narrow" w:hAnsi="Arial Narrow" w:hint="eastAsia"/>
                      <w:color w:val="000000"/>
                      <w:spacing w:val="-46"/>
                      <w:w w:val="15"/>
                      <w:sz w:val="18"/>
                      <w:szCs w:val="18"/>
                      <w:shd w:val="solid" w:color="000000" w:fill="000000"/>
                      <w:fitText w:val="13" w:id="-961880818"/>
                      <w14:textFill>
                        <w14:solidFill>
                          <w14:srgbClr w14:val="000000">
                            <w14:alpha w14:val="100000"/>
                          </w14:srgbClr>
                        </w14:solidFill>
                      </w14:textFill>
                    </w:rPr>
                    <w:t xml:space="preserve">　</w:t>
                  </w:r>
                  <w:r w:rsidR="00595967" w:rsidRPr="00595967">
                    <w:rPr>
                      <w:rFonts w:ascii="Arial Narrow" w:hAnsi="Arial Narrow"/>
                      <w:sz w:val="18"/>
                      <w:szCs w:val="18"/>
                      <w:vertAlign w:val="superscript"/>
                    </w:rPr>
                    <w:t>1</w:t>
                  </w:r>
                </w:p>
              </w:tc>
              <w:tc>
                <w:tcPr>
                  <w:tcW w:w="1418" w:type="dxa"/>
                  <w:shd w:val="clear" w:color="auto" w:fill="auto"/>
                  <w:vAlign w:val="bottom"/>
                </w:tcPr>
                <w:p w14:paraId="1504AC8B" w14:textId="07288221" w:rsidR="00302FB2" w:rsidRPr="00595967" w:rsidRDefault="000727C3" w:rsidP="00F81041">
                  <w:pPr>
                    <w:jc w:val="center"/>
                    <w:rPr>
                      <w:rFonts w:ascii="Arial Narrow" w:hAnsi="Arial Narrow"/>
                      <w:sz w:val="18"/>
                      <w:szCs w:val="18"/>
                      <w:highlight w:val="lightGray"/>
                    </w:rPr>
                  </w:pPr>
                  <w:r w:rsidRPr="000727C3">
                    <w:rPr>
                      <w:rFonts w:ascii="Arial Narrow" w:hAnsi="Arial Narrow"/>
                      <w:color w:val="000000"/>
                      <w:sz w:val="18"/>
                      <w:szCs w:val="18"/>
                      <w:shd w:val="solid" w:color="000000" w:fill="000000"/>
                      <w14:textFill>
                        <w14:solidFill>
                          <w14:srgbClr w14:val="000000">
                            <w14:alpha w14:val="100000"/>
                          </w14:srgbClr>
                        </w14:solidFill>
                      </w14:textFill>
                    </w:rPr>
                    <w:t>|</w:t>
                  </w:r>
                  <w:r w:rsidR="00595967">
                    <w:rPr>
                      <w:rFonts w:ascii="Arial Narrow" w:hAnsi="Arial Narrow"/>
                      <w:sz w:val="18"/>
                      <w:szCs w:val="18"/>
                      <w:vertAlign w:val="superscript"/>
                    </w:rPr>
                    <w:t>3</w:t>
                  </w:r>
                </w:p>
              </w:tc>
            </w:tr>
            <w:tr w:rsidR="00302FB2" w:rsidRPr="00FE714A" w14:paraId="7730BFB5" w14:textId="77777777" w:rsidTr="00550B5E">
              <w:tc>
                <w:tcPr>
                  <w:tcW w:w="619" w:type="dxa"/>
                </w:tcPr>
                <w:p w14:paraId="39AC5223" w14:textId="77777777" w:rsidR="00302FB2" w:rsidRPr="00FE714A" w:rsidRDefault="00302FB2" w:rsidP="00F81041">
                  <w:pPr>
                    <w:rPr>
                      <w:rFonts w:ascii="Arial Narrow" w:hAnsi="Arial Narrow"/>
                      <w:sz w:val="18"/>
                      <w:szCs w:val="18"/>
                    </w:rPr>
                  </w:pPr>
                  <w:proofErr w:type="spellStart"/>
                  <w:r w:rsidRPr="00FE714A">
                    <w:rPr>
                      <w:rFonts w:ascii="Arial Narrow" w:hAnsi="Arial Narrow"/>
                      <w:sz w:val="18"/>
                      <w:szCs w:val="18"/>
                    </w:rPr>
                    <w:t>Yr</w:t>
                  </w:r>
                  <w:proofErr w:type="spellEnd"/>
                  <w:r w:rsidRPr="00FE714A">
                    <w:rPr>
                      <w:rFonts w:ascii="Arial Narrow" w:hAnsi="Arial Narrow"/>
                      <w:sz w:val="18"/>
                      <w:szCs w:val="18"/>
                    </w:rPr>
                    <w:t xml:space="preserve"> 6</w:t>
                  </w:r>
                </w:p>
              </w:tc>
              <w:tc>
                <w:tcPr>
                  <w:tcW w:w="1248" w:type="dxa"/>
                  <w:shd w:val="clear" w:color="auto" w:fill="auto"/>
                  <w:vAlign w:val="bottom"/>
                </w:tcPr>
                <w:p w14:paraId="22D7E301" w14:textId="3A12CC26" w:rsidR="00302FB2" w:rsidRPr="00595967" w:rsidRDefault="000727C3" w:rsidP="00F81041">
                  <w:pPr>
                    <w:jc w:val="center"/>
                    <w:rPr>
                      <w:rFonts w:ascii="Arial Narrow" w:hAnsi="Arial Narrow"/>
                      <w:sz w:val="18"/>
                      <w:szCs w:val="18"/>
                      <w:highlight w:val="lightGray"/>
                    </w:rPr>
                  </w:pPr>
                  <w:r w:rsidRPr="008B26E3">
                    <w:rPr>
                      <w:rFonts w:ascii="Arial Narrow" w:hAnsi="Arial Narrow" w:hint="eastAsia"/>
                      <w:color w:val="000000"/>
                      <w:w w:val="15"/>
                      <w:sz w:val="18"/>
                      <w:szCs w:val="18"/>
                      <w:shd w:val="solid" w:color="000000" w:fill="000000"/>
                      <w:fitText w:val="13" w:id="-961880817"/>
                      <w14:textFill>
                        <w14:solidFill>
                          <w14:srgbClr w14:val="000000">
                            <w14:alpha w14:val="100000"/>
                          </w14:srgbClr>
                        </w14:solidFill>
                      </w14:textFill>
                    </w:rPr>
                    <w:t xml:space="preserve">　</w:t>
                  </w:r>
                  <w:r w:rsidRPr="008B26E3">
                    <w:rPr>
                      <w:rFonts w:ascii="Arial Narrow" w:hAnsi="Arial Narrow"/>
                      <w:color w:val="000000"/>
                      <w:w w:val="15"/>
                      <w:sz w:val="18"/>
                      <w:szCs w:val="18"/>
                      <w:shd w:val="solid" w:color="000000" w:fill="000000"/>
                      <w:fitText w:val="13" w:id="-961880817"/>
                      <w14:textFill>
                        <w14:solidFill>
                          <w14:srgbClr w14:val="000000">
                            <w14:alpha w14:val="100000"/>
                          </w14:srgbClr>
                        </w14:solidFill>
                      </w14:textFill>
                    </w:rPr>
                    <w:t>|</w:t>
                  </w:r>
                  <w:r w:rsidRPr="008B26E3">
                    <w:rPr>
                      <w:rFonts w:ascii="Arial Narrow" w:hAnsi="Arial Narrow" w:hint="eastAsia"/>
                      <w:color w:val="000000"/>
                      <w:spacing w:val="-46"/>
                      <w:w w:val="15"/>
                      <w:sz w:val="18"/>
                      <w:szCs w:val="18"/>
                      <w:shd w:val="solid" w:color="000000" w:fill="000000"/>
                      <w:fitText w:val="13" w:id="-961880817"/>
                      <w14:textFill>
                        <w14:solidFill>
                          <w14:srgbClr w14:val="000000">
                            <w14:alpha w14:val="100000"/>
                          </w14:srgbClr>
                        </w14:solidFill>
                      </w14:textFill>
                    </w:rPr>
                    <w:t xml:space="preserve">　</w:t>
                  </w:r>
                  <w:r w:rsidR="00595967" w:rsidRPr="00595967">
                    <w:rPr>
                      <w:rFonts w:ascii="Arial Narrow" w:hAnsi="Arial Narrow"/>
                      <w:sz w:val="18"/>
                      <w:szCs w:val="18"/>
                      <w:vertAlign w:val="superscript"/>
                    </w:rPr>
                    <w:t>1</w:t>
                  </w:r>
                </w:p>
              </w:tc>
              <w:tc>
                <w:tcPr>
                  <w:tcW w:w="1418" w:type="dxa"/>
                  <w:shd w:val="clear" w:color="auto" w:fill="auto"/>
                  <w:vAlign w:val="bottom"/>
                </w:tcPr>
                <w:p w14:paraId="4F2C727B" w14:textId="3E945B63" w:rsidR="00302FB2" w:rsidRPr="00595967" w:rsidRDefault="000727C3" w:rsidP="00F81041">
                  <w:pPr>
                    <w:jc w:val="center"/>
                    <w:rPr>
                      <w:rFonts w:ascii="Arial Narrow" w:hAnsi="Arial Narrow"/>
                      <w:sz w:val="18"/>
                      <w:szCs w:val="18"/>
                      <w:highlight w:val="lightGray"/>
                    </w:rPr>
                  </w:pPr>
                  <w:r w:rsidRPr="000727C3">
                    <w:rPr>
                      <w:rFonts w:ascii="Arial Narrow" w:hAnsi="Arial Narrow"/>
                      <w:color w:val="000000"/>
                      <w:sz w:val="18"/>
                      <w:szCs w:val="18"/>
                      <w:shd w:val="solid" w:color="000000" w:fill="000000"/>
                      <w14:textFill>
                        <w14:solidFill>
                          <w14:srgbClr w14:val="000000">
                            <w14:alpha w14:val="100000"/>
                          </w14:srgbClr>
                        </w14:solidFill>
                      </w14:textFill>
                    </w:rPr>
                    <w:t>|</w:t>
                  </w:r>
                  <w:r w:rsidR="00595967">
                    <w:rPr>
                      <w:rFonts w:ascii="Arial Narrow" w:hAnsi="Arial Narrow"/>
                      <w:sz w:val="18"/>
                      <w:szCs w:val="18"/>
                      <w:vertAlign w:val="superscript"/>
                    </w:rPr>
                    <w:t>3</w:t>
                  </w:r>
                </w:p>
              </w:tc>
            </w:tr>
          </w:tbl>
          <w:p w14:paraId="24377998" w14:textId="77777777" w:rsidR="00302FB2" w:rsidRPr="00FE714A" w:rsidRDefault="00302FB2" w:rsidP="00F81041">
            <w:pPr>
              <w:pStyle w:val="TableText0"/>
              <w:keepNext w:val="0"/>
            </w:pPr>
            <w:r w:rsidRPr="00FE714A">
              <w:t xml:space="preserve">Source: Calculated by applying a prevalence of 9% (as used in the DUPI submission; Table 19, DUPI PSD, March 2020) to the Australian population aged ≥ 18 years and the Australian population aged 12 to 17 years. </w:t>
            </w:r>
          </w:p>
        </w:tc>
        <w:tc>
          <w:tcPr>
            <w:tcW w:w="1991" w:type="pct"/>
            <w:vAlign w:val="center"/>
          </w:tcPr>
          <w:p w14:paraId="0D1945A9" w14:textId="77777777" w:rsidR="00FA0FDD" w:rsidRPr="00FE714A" w:rsidRDefault="00FA0FDD" w:rsidP="00FA0FDD">
            <w:pPr>
              <w:pStyle w:val="In-tableHeading"/>
              <w:rPr>
                <w:b w:val="0"/>
                <w:szCs w:val="20"/>
                <w:lang w:val="en-AU"/>
              </w:rPr>
            </w:pPr>
            <w:r w:rsidRPr="00FE714A">
              <w:rPr>
                <w:b w:val="0"/>
                <w:szCs w:val="20"/>
                <w:lang w:val="en-AU"/>
              </w:rPr>
              <w:t>DUSC commented that the estimated current prevalence (past 2 years) of atopic dermatitis was 6.3% and estimated lifetime prevalence of atopic dermatitis was 16.4% in the Australian general practice population (</w:t>
            </w:r>
            <w:proofErr w:type="spellStart"/>
            <w:r w:rsidRPr="00FE714A">
              <w:rPr>
                <w:b w:val="0"/>
                <w:szCs w:val="20"/>
                <w:lang w:val="en-AU"/>
              </w:rPr>
              <w:t>Chidwick</w:t>
            </w:r>
            <w:proofErr w:type="spellEnd"/>
            <w:r w:rsidRPr="00FE714A">
              <w:rPr>
                <w:b w:val="0"/>
                <w:szCs w:val="20"/>
                <w:lang w:val="en-AU"/>
              </w:rPr>
              <w:t>, 2020).</w:t>
            </w:r>
          </w:p>
          <w:p w14:paraId="1D920E6F" w14:textId="77777777" w:rsidR="00FA0FDD" w:rsidRPr="00FE714A" w:rsidRDefault="00FA0FDD" w:rsidP="00FA0FDD">
            <w:pPr>
              <w:pStyle w:val="In-tableHeading"/>
              <w:rPr>
                <w:b w:val="0"/>
                <w:szCs w:val="20"/>
                <w:lang w:val="en-AU"/>
              </w:rPr>
            </w:pPr>
          </w:p>
          <w:p w14:paraId="7F4072FD" w14:textId="58A9DD54" w:rsidR="00302FB2" w:rsidRPr="00FE714A" w:rsidRDefault="00FA0FDD" w:rsidP="00FA0FDD">
            <w:pPr>
              <w:pStyle w:val="TableText0"/>
              <w:keepNext w:val="0"/>
            </w:pPr>
            <w:r w:rsidRPr="00FE714A">
              <w:rPr>
                <w:szCs w:val="20"/>
              </w:rPr>
              <w:t xml:space="preserve">DUSC considered that </w:t>
            </w:r>
            <w:r w:rsidR="00FB3119" w:rsidRPr="00FE714A">
              <w:rPr>
                <w:szCs w:val="20"/>
              </w:rPr>
              <w:t>overall,</w:t>
            </w:r>
            <w:r w:rsidRPr="00FE714A">
              <w:rPr>
                <w:szCs w:val="20"/>
              </w:rPr>
              <w:t xml:space="preserve"> the prevalence assumptions were reasonable noting that there is limited Australian data to draw on to inform the assumptions.</w:t>
            </w:r>
          </w:p>
        </w:tc>
      </w:tr>
      <w:tr w:rsidR="00302FB2" w:rsidRPr="00FE714A" w14:paraId="082B462B" w14:textId="77777777" w:rsidTr="00550B5E">
        <w:tc>
          <w:tcPr>
            <w:tcW w:w="770" w:type="pct"/>
            <w:vAlign w:val="center"/>
          </w:tcPr>
          <w:p w14:paraId="15CADCF9" w14:textId="77777777" w:rsidR="00302FB2" w:rsidRPr="00FE714A" w:rsidRDefault="00302FB2" w:rsidP="00F81041">
            <w:pPr>
              <w:pStyle w:val="TableText0"/>
              <w:keepNext w:val="0"/>
            </w:pPr>
            <w:r w:rsidRPr="00FE714A">
              <w:t xml:space="preserve">Patients (aged 12 to 17 years) with severe AD affecting whole body </w:t>
            </w:r>
          </w:p>
        </w:tc>
        <w:tc>
          <w:tcPr>
            <w:tcW w:w="2239" w:type="pct"/>
            <w:vAlign w:val="center"/>
          </w:tcPr>
          <w:p w14:paraId="228C02BE" w14:textId="77777777" w:rsidR="00302FB2" w:rsidRPr="00FE714A" w:rsidRDefault="00302FB2" w:rsidP="00F81041">
            <w:pPr>
              <w:pStyle w:val="TableText0"/>
              <w:keepNext w:val="0"/>
            </w:pPr>
            <w:r w:rsidRPr="00FE714A">
              <w:t>5.84%</w:t>
            </w:r>
          </w:p>
          <w:p w14:paraId="7051F508" w14:textId="77777777" w:rsidR="00302FB2" w:rsidRPr="00FE714A" w:rsidRDefault="00302FB2" w:rsidP="00F81041">
            <w:pPr>
              <w:pStyle w:val="TableText0"/>
              <w:keepNext w:val="0"/>
            </w:pPr>
            <w:r w:rsidRPr="00FE714A">
              <w:t xml:space="preserve">Source: Based on a cross-sectional, international epidemiologic study in the paediatric population (Silverberg et al 2021). </w:t>
            </w:r>
          </w:p>
        </w:tc>
        <w:tc>
          <w:tcPr>
            <w:tcW w:w="1991" w:type="pct"/>
            <w:vAlign w:val="center"/>
          </w:tcPr>
          <w:p w14:paraId="486350AA" w14:textId="3C696C83" w:rsidR="00302FB2" w:rsidRPr="00FE714A" w:rsidRDefault="00FA0FDD" w:rsidP="00F81041">
            <w:pPr>
              <w:pStyle w:val="TableText0"/>
              <w:keepNext w:val="0"/>
            </w:pPr>
            <w:r w:rsidRPr="00FE714A">
              <w:t>T</w:t>
            </w:r>
            <w:r w:rsidR="00302FB2" w:rsidRPr="00FE714A">
              <w:t xml:space="preserve">he definition of AD and severity were both self-reported and thus may not align with PGA=4 </w:t>
            </w:r>
          </w:p>
          <w:p w14:paraId="13323516" w14:textId="0CB5F64E" w:rsidR="00FA0FDD" w:rsidRPr="00FE714A" w:rsidRDefault="00FA0FDD" w:rsidP="000A5686">
            <w:pPr>
              <w:pStyle w:val="TableText0"/>
              <w:rPr>
                <w:rFonts w:cstheme="minorHAnsi"/>
                <w:szCs w:val="20"/>
              </w:rPr>
            </w:pPr>
            <w:r w:rsidRPr="00FE714A">
              <w:rPr>
                <w:rFonts w:cstheme="minorHAnsi"/>
                <w:szCs w:val="20"/>
              </w:rPr>
              <w:t>DUSC noted that the proportion of patients with severe AD by country ranges from 1.1% in Japan to 25.2% in Israel (Canada, 7.5%, US 8.7%, UK 7.2%).</w:t>
            </w:r>
          </w:p>
        </w:tc>
      </w:tr>
      <w:tr w:rsidR="00302FB2" w:rsidRPr="00FE714A" w14:paraId="66F10AE0" w14:textId="77777777" w:rsidTr="00550B5E">
        <w:tc>
          <w:tcPr>
            <w:tcW w:w="770" w:type="pct"/>
            <w:vAlign w:val="center"/>
          </w:tcPr>
          <w:p w14:paraId="7F2F836F" w14:textId="77777777" w:rsidR="00302FB2" w:rsidRPr="00FE714A" w:rsidRDefault="00302FB2" w:rsidP="00F81041">
            <w:pPr>
              <w:pStyle w:val="TableText0"/>
              <w:keepNext w:val="0"/>
            </w:pPr>
            <w:r w:rsidRPr="00FE714A">
              <w:lastRenderedPageBreak/>
              <w:t>Patients (aged ≥ 18 years) with severe AD affecting whole body</w:t>
            </w:r>
          </w:p>
        </w:tc>
        <w:tc>
          <w:tcPr>
            <w:tcW w:w="2239" w:type="pct"/>
            <w:vAlign w:val="center"/>
          </w:tcPr>
          <w:p w14:paraId="5CD232C8" w14:textId="77777777" w:rsidR="00302FB2" w:rsidRPr="00FE714A" w:rsidRDefault="00302FB2" w:rsidP="00F81041">
            <w:pPr>
              <w:pStyle w:val="TableText0"/>
              <w:keepNext w:val="0"/>
            </w:pPr>
            <w:r w:rsidRPr="00FE714A">
              <w:t>Aged ≥ 18 years: 5.00%</w:t>
            </w:r>
          </w:p>
          <w:p w14:paraId="06F30D6F" w14:textId="77777777" w:rsidR="00302FB2" w:rsidRPr="00FE714A" w:rsidRDefault="00302FB2" w:rsidP="00F81041">
            <w:pPr>
              <w:pStyle w:val="TableText0"/>
              <w:keepNext w:val="0"/>
            </w:pPr>
            <w:r w:rsidRPr="00FE714A">
              <w:t xml:space="preserve">Source: Previously used in the submission for DUPI (Table 19, DUPI PSD, March 2020). </w:t>
            </w:r>
          </w:p>
        </w:tc>
        <w:tc>
          <w:tcPr>
            <w:tcW w:w="1991" w:type="pct"/>
            <w:vAlign w:val="center"/>
          </w:tcPr>
          <w:p w14:paraId="1E672985" w14:textId="513F8D81" w:rsidR="00302FB2" w:rsidRPr="00FE714A" w:rsidRDefault="00302FB2" w:rsidP="000F05BD">
            <w:pPr>
              <w:pStyle w:val="TableText0"/>
              <w:keepLines/>
            </w:pPr>
            <w:r w:rsidRPr="00FE714A">
              <w:t xml:space="preserve">The evaluation for DUPI (Table 19, DUPI PSD, March 2020) previously noted that this value was based on a sponsor-commissioned survey (METIS 2019a) and the definition of severe disease may not align with PGA=4. </w:t>
            </w:r>
          </w:p>
          <w:p w14:paraId="35570895" w14:textId="48D06136" w:rsidR="00EA4BA0" w:rsidRPr="00FE714A" w:rsidRDefault="00EA4BA0" w:rsidP="000F05BD">
            <w:pPr>
              <w:pStyle w:val="TableText0"/>
              <w:keepLines/>
            </w:pPr>
            <w:r w:rsidRPr="00FE714A">
              <w:rPr>
                <w:szCs w:val="20"/>
              </w:rPr>
              <w:t>DUSC noted that there is an absence of good data in this area. DUSC considered that this is uncertain and potentially underestimated, considering the actual use of DUPI versus predicted.</w:t>
            </w:r>
          </w:p>
        </w:tc>
      </w:tr>
      <w:tr w:rsidR="00302FB2" w:rsidRPr="00FE714A" w14:paraId="4220BD72" w14:textId="77777777" w:rsidTr="00550B5E">
        <w:tc>
          <w:tcPr>
            <w:tcW w:w="770" w:type="pct"/>
            <w:vAlign w:val="center"/>
          </w:tcPr>
          <w:p w14:paraId="483B2FE8" w14:textId="0AD55225" w:rsidR="00302FB2" w:rsidRPr="00FE714A" w:rsidRDefault="00302FB2" w:rsidP="00F81041">
            <w:pPr>
              <w:pStyle w:val="TableText0"/>
              <w:keepNext w:val="0"/>
            </w:pPr>
            <w:r w:rsidRPr="00FE714A">
              <w:t xml:space="preserve">Patients aged </w:t>
            </w:r>
            <w:r w:rsidR="000F05BD" w:rsidRPr="00FE714A">
              <w:t>≥</w:t>
            </w:r>
            <w:r w:rsidR="000F05BD">
              <w:t> </w:t>
            </w:r>
            <w:r w:rsidRPr="00FE714A">
              <w:t>12 years with severe AD affecting whole body with EASI ≥ 20</w:t>
            </w:r>
          </w:p>
        </w:tc>
        <w:tc>
          <w:tcPr>
            <w:tcW w:w="2239" w:type="pct"/>
            <w:vAlign w:val="center"/>
          </w:tcPr>
          <w:p w14:paraId="21A9ACC7" w14:textId="77777777" w:rsidR="00302FB2" w:rsidRPr="00FE714A" w:rsidRDefault="00302FB2" w:rsidP="00F81041">
            <w:pPr>
              <w:pStyle w:val="TableText0"/>
              <w:keepNext w:val="0"/>
            </w:pPr>
            <w:r w:rsidRPr="00FE714A">
              <w:t>95.00%</w:t>
            </w:r>
          </w:p>
          <w:p w14:paraId="05560B70" w14:textId="77777777" w:rsidR="00302FB2" w:rsidRPr="00FE714A" w:rsidRDefault="00302FB2" w:rsidP="00F81041">
            <w:pPr>
              <w:pStyle w:val="TableText0"/>
              <w:keepNext w:val="0"/>
            </w:pPr>
            <w:r w:rsidRPr="00FE714A">
              <w:t>Source: Previously used in the submission for DUPI (Table 19, DUPI PSD, March 2020).</w:t>
            </w:r>
          </w:p>
        </w:tc>
        <w:tc>
          <w:tcPr>
            <w:tcW w:w="1991" w:type="pct"/>
            <w:vAlign w:val="center"/>
          </w:tcPr>
          <w:p w14:paraId="5101838E" w14:textId="77777777" w:rsidR="00302FB2" w:rsidRPr="00FE714A" w:rsidRDefault="00302FB2" w:rsidP="00F81041">
            <w:pPr>
              <w:pStyle w:val="TableText0"/>
              <w:keepNext w:val="0"/>
            </w:pPr>
            <w:r w:rsidRPr="00FE714A">
              <w:t xml:space="preserve">The evaluation for DUPI (Table 19) previously noted that this was reasonable (for the whole body). </w:t>
            </w:r>
          </w:p>
        </w:tc>
      </w:tr>
      <w:tr w:rsidR="00302FB2" w:rsidRPr="00FE714A" w14:paraId="16F04C27" w14:textId="77777777" w:rsidTr="00550B5E">
        <w:tc>
          <w:tcPr>
            <w:tcW w:w="770" w:type="pct"/>
            <w:vAlign w:val="center"/>
          </w:tcPr>
          <w:p w14:paraId="7D10969A" w14:textId="34BD03E6" w:rsidR="00302FB2" w:rsidRPr="00FE714A" w:rsidRDefault="00302FB2" w:rsidP="00F81041">
            <w:pPr>
              <w:pStyle w:val="TableText0"/>
              <w:keepNext w:val="0"/>
            </w:pPr>
            <w:r w:rsidRPr="00FE714A">
              <w:t>Patients aged ≥</w:t>
            </w:r>
            <w:r w:rsidR="000F05BD">
              <w:t> </w:t>
            </w:r>
            <w:r w:rsidRPr="00FE714A">
              <w:t>12 years who are uncontrolled on TCS</w:t>
            </w:r>
          </w:p>
        </w:tc>
        <w:tc>
          <w:tcPr>
            <w:tcW w:w="2239" w:type="pct"/>
            <w:vAlign w:val="center"/>
          </w:tcPr>
          <w:p w14:paraId="006E8A22" w14:textId="77777777" w:rsidR="00302FB2" w:rsidRPr="00FE714A" w:rsidRDefault="00302FB2" w:rsidP="00F81041">
            <w:pPr>
              <w:pStyle w:val="TableText0"/>
              <w:keepNext w:val="0"/>
            </w:pPr>
            <w:r w:rsidRPr="00FE714A">
              <w:t>80.00%</w:t>
            </w:r>
          </w:p>
          <w:p w14:paraId="2BB5FB51" w14:textId="77777777" w:rsidR="00302FB2" w:rsidRPr="00FE714A" w:rsidRDefault="00302FB2" w:rsidP="00F81041">
            <w:pPr>
              <w:pStyle w:val="TableText0"/>
            </w:pPr>
            <w:r w:rsidRPr="00FE714A">
              <w:t>Source: Sponsor’s market research data; from a survey of dermatologists (n = 30) and immunologists (n = 7) in Australia who treated patients with severe AD in 2021</w:t>
            </w:r>
          </w:p>
        </w:tc>
        <w:tc>
          <w:tcPr>
            <w:tcW w:w="1991" w:type="pct"/>
            <w:vAlign w:val="center"/>
          </w:tcPr>
          <w:p w14:paraId="7F771868" w14:textId="6E724C02" w:rsidR="00302FB2" w:rsidRPr="00FE714A" w:rsidRDefault="00302FB2" w:rsidP="00EA4BA0">
            <w:pPr>
              <w:pStyle w:val="TableText0"/>
              <w:rPr>
                <w:szCs w:val="20"/>
              </w:rPr>
            </w:pPr>
            <w:r w:rsidRPr="00FE714A">
              <w:t xml:space="preserve">This was uncertain but fell within the range of previously proposed values for DUPI (68% used in the DUPI submission (Table 19, DUPI PSD, March 2020), which was revised to 100% in later resubmissions (paragraph 6.1, DUPI PSD, July 2023)). </w:t>
            </w:r>
            <w:r w:rsidR="00EA4BA0" w:rsidRPr="00FE714A">
              <w:rPr>
                <w:szCs w:val="20"/>
              </w:rPr>
              <w:t>DUSC noted that this was tested by the submission in their sensitivity analyses (using 68% (-$15m) and 90% (+$12.5m).</w:t>
            </w:r>
          </w:p>
        </w:tc>
      </w:tr>
      <w:tr w:rsidR="00EA4BA0" w:rsidRPr="00FE714A" w14:paraId="0D82352D" w14:textId="77777777" w:rsidTr="00550B5E">
        <w:tc>
          <w:tcPr>
            <w:tcW w:w="770" w:type="pct"/>
          </w:tcPr>
          <w:p w14:paraId="1059BE9D" w14:textId="524B70B3" w:rsidR="00EA4BA0" w:rsidRPr="00FE714A" w:rsidRDefault="00EA4BA0" w:rsidP="00EA4BA0">
            <w:pPr>
              <w:pStyle w:val="TableText0"/>
              <w:keepNext w:val="0"/>
            </w:pPr>
            <w:r w:rsidRPr="00FE714A">
              <w:rPr>
                <w:szCs w:val="20"/>
              </w:rPr>
              <w:t>Patients aged ≥</w:t>
            </w:r>
            <w:r w:rsidR="000F05BD">
              <w:rPr>
                <w:szCs w:val="20"/>
              </w:rPr>
              <w:t> </w:t>
            </w:r>
            <w:r w:rsidRPr="00FE714A">
              <w:rPr>
                <w:szCs w:val="20"/>
              </w:rPr>
              <w:t>12 years with severe AD affecting face and/or hands as a proportion of those with severe AD affecting whole body</w:t>
            </w:r>
          </w:p>
        </w:tc>
        <w:tc>
          <w:tcPr>
            <w:tcW w:w="2239" w:type="pct"/>
          </w:tcPr>
          <w:p w14:paraId="10CB9DBA" w14:textId="77777777" w:rsidR="00EA4BA0" w:rsidRPr="00FE714A" w:rsidRDefault="00EA4BA0" w:rsidP="00EA4BA0">
            <w:pPr>
              <w:pStyle w:val="TableText0"/>
              <w:rPr>
                <w:szCs w:val="20"/>
              </w:rPr>
            </w:pPr>
            <w:r w:rsidRPr="00FE714A">
              <w:rPr>
                <w:szCs w:val="20"/>
              </w:rPr>
              <w:t>20.68% (2,420/11,700) as a ratio of patients with severe AD affecting the whole body</w:t>
            </w:r>
          </w:p>
          <w:p w14:paraId="6E6E9753" w14:textId="77777777" w:rsidR="00EA4BA0" w:rsidRPr="00FE714A" w:rsidRDefault="00EA4BA0" w:rsidP="00EA4BA0">
            <w:pPr>
              <w:pStyle w:val="TableText0"/>
              <w:rPr>
                <w:szCs w:val="20"/>
              </w:rPr>
            </w:pPr>
            <w:r w:rsidRPr="00FE714A">
              <w:rPr>
                <w:szCs w:val="20"/>
              </w:rPr>
              <w:t>(17.14% (2,420/14,120) of total patients treated)</w:t>
            </w:r>
          </w:p>
          <w:p w14:paraId="5DF249CD" w14:textId="707A524A" w:rsidR="00EA4BA0" w:rsidRPr="00FE714A" w:rsidRDefault="00EA4BA0" w:rsidP="00EA4BA0">
            <w:pPr>
              <w:pStyle w:val="TableText0"/>
              <w:keepNext w:val="0"/>
            </w:pPr>
            <w:r w:rsidRPr="00FE714A">
              <w:rPr>
                <w:szCs w:val="20"/>
              </w:rPr>
              <w:t xml:space="preserve">Source: Prospection 10% PBS sample data (Attachment 8.1 to the submission). </w:t>
            </w:r>
          </w:p>
        </w:tc>
        <w:tc>
          <w:tcPr>
            <w:tcW w:w="1991" w:type="pct"/>
          </w:tcPr>
          <w:p w14:paraId="3306233A" w14:textId="3D9BF224" w:rsidR="00EA4BA0" w:rsidRPr="00FE714A" w:rsidRDefault="00EA4BA0" w:rsidP="00EA4BA0">
            <w:pPr>
              <w:pStyle w:val="TableText0"/>
            </w:pPr>
            <w:r w:rsidRPr="00FE714A">
              <w:rPr>
                <w:szCs w:val="20"/>
              </w:rPr>
              <w:t xml:space="preserve">This was in line with script data utilisation for DUPI in which 17.6% (March 2021-August 2022) and 19% (March 2021-March 2023) of patients treated with DUPI for severe AD were qualifying under the hands/face only criteria (paragraph 6.3, DUPI PSD, July 2023). </w:t>
            </w:r>
          </w:p>
        </w:tc>
      </w:tr>
      <w:tr w:rsidR="006169CF" w:rsidRPr="00FE714A" w14:paraId="4A66D4F6" w14:textId="77777777" w:rsidTr="00550B5E">
        <w:tc>
          <w:tcPr>
            <w:tcW w:w="770" w:type="pct"/>
          </w:tcPr>
          <w:p w14:paraId="514196DB" w14:textId="34B11C5E" w:rsidR="006169CF" w:rsidRPr="00FE714A" w:rsidRDefault="006169CF" w:rsidP="006169CF">
            <w:pPr>
              <w:pStyle w:val="TableText0"/>
              <w:keepNext w:val="0"/>
              <w:rPr>
                <w:szCs w:val="20"/>
              </w:rPr>
            </w:pPr>
            <w:r w:rsidRPr="00FE714A">
              <w:rPr>
                <w:szCs w:val="20"/>
              </w:rPr>
              <w:t>Engagement with specialist</w:t>
            </w:r>
          </w:p>
        </w:tc>
        <w:tc>
          <w:tcPr>
            <w:tcW w:w="2239" w:type="pct"/>
          </w:tcPr>
          <w:p w14:paraId="5C452E31" w14:textId="099A1B04" w:rsidR="006169CF" w:rsidRPr="00FE714A" w:rsidRDefault="006169CF" w:rsidP="006169CF">
            <w:pPr>
              <w:pStyle w:val="TableText0"/>
              <w:rPr>
                <w:szCs w:val="20"/>
              </w:rPr>
            </w:pPr>
            <w:r w:rsidRPr="00FE714A">
              <w:rPr>
                <w:szCs w:val="20"/>
              </w:rPr>
              <w:t>Was not included by the submission given that the predicted use for LEB was informed by the total treated prevalent pool of patients with severe AD and patients would be necessarily already engaged with a specialist. Thereby implicitly assumed to be 100%.</w:t>
            </w:r>
          </w:p>
        </w:tc>
        <w:tc>
          <w:tcPr>
            <w:tcW w:w="1991" w:type="pct"/>
          </w:tcPr>
          <w:p w14:paraId="7921E73C" w14:textId="77777777" w:rsidR="006169CF" w:rsidRPr="00FE714A" w:rsidRDefault="006169CF" w:rsidP="006169CF">
            <w:pPr>
              <w:pStyle w:val="TableText0"/>
              <w:rPr>
                <w:szCs w:val="20"/>
              </w:rPr>
            </w:pPr>
            <w:r w:rsidRPr="00FE714A">
              <w:rPr>
                <w:szCs w:val="20"/>
              </w:rPr>
              <w:t>DUSC noted that the eligible population was based on an epidemiological approach, and to be eligible patients need to engage with a specialist.</w:t>
            </w:r>
          </w:p>
          <w:p w14:paraId="6509F773" w14:textId="2E2FC193" w:rsidR="006169CF" w:rsidRPr="00FE714A" w:rsidRDefault="006169CF" w:rsidP="006169CF">
            <w:pPr>
              <w:pStyle w:val="TableText0"/>
              <w:rPr>
                <w:szCs w:val="20"/>
              </w:rPr>
            </w:pPr>
          </w:p>
        </w:tc>
      </w:tr>
      <w:tr w:rsidR="00302FB2" w:rsidRPr="00FE714A" w14:paraId="4F600138" w14:textId="77777777" w:rsidTr="00550B5E">
        <w:tc>
          <w:tcPr>
            <w:tcW w:w="5000" w:type="pct"/>
            <w:gridSpan w:val="3"/>
            <w:vAlign w:val="center"/>
          </w:tcPr>
          <w:p w14:paraId="1BA62181" w14:textId="77777777" w:rsidR="00302FB2" w:rsidRPr="00FE714A" w:rsidRDefault="00302FB2" w:rsidP="000F05BD">
            <w:pPr>
              <w:pStyle w:val="TableText0"/>
              <w:rPr>
                <w:b/>
              </w:rPr>
            </w:pPr>
            <w:r w:rsidRPr="00FE714A">
              <w:rPr>
                <w:b/>
              </w:rPr>
              <w:lastRenderedPageBreak/>
              <w:t>Treatment utilisation</w:t>
            </w:r>
          </w:p>
        </w:tc>
      </w:tr>
      <w:tr w:rsidR="00302FB2" w:rsidRPr="00FE714A" w14:paraId="363C213F" w14:textId="77777777" w:rsidTr="00550B5E">
        <w:tc>
          <w:tcPr>
            <w:tcW w:w="770" w:type="pct"/>
            <w:vAlign w:val="center"/>
          </w:tcPr>
          <w:p w14:paraId="311B9364" w14:textId="77777777" w:rsidR="00302FB2" w:rsidRPr="00FE714A" w:rsidRDefault="00302FB2" w:rsidP="000F05BD">
            <w:pPr>
              <w:pStyle w:val="TableText0"/>
              <w:keepNext w:val="0"/>
              <w:keepLines/>
            </w:pPr>
            <w:r w:rsidRPr="00FE714A">
              <w:t>Uptake rate of advanced systemic therapies (DUPI, UPA and LEB)</w:t>
            </w:r>
          </w:p>
        </w:tc>
        <w:tc>
          <w:tcPr>
            <w:tcW w:w="2239" w:type="pct"/>
            <w:vAlign w:val="center"/>
          </w:tcPr>
          <w:p w14:paraId="178826D6" w14:textId="77777777" w:rsidR="006169CF" w:rsidRPr="00FE714A" w:rsidRDefault="006169CF" w:rsidP="000F05BD">
            <w:pPr>
              <w:pStyle w:val="TableText0"/>
              <w:keepNext w:val="0"/>
              <w:keepLines/>
              <w:rPr>
                <w:szCs w:val="20"/>
              </w:rPr>
            </w:pPr>
            <w:proofErr w:type="spellStart"/>
            <w:r w:rsidRPr="00FE714A">
              <w:rPr>
                <w:szCs w:val="20"/>
              </w:rPr>
              <w:t>Yr</w:t>
            </w:r>
            <w:proofErr w:type="spellEnd"/>
            <w:r w:rsidRPr="00FE714A">
              <w:rPr>
                <w:szCs w:val="20"/>
              </w:rPr>
              <w:t xml:space="preserve"> -2: 5.6%</w:t>
            </w:r>
          </w:p>
          <w:p w14:paraId="5D468E32" w14:textId="77777777" w:rsidR="006169CF" w:rsidRPr="00FE714A" w:rsidRDefault="006169CF" w:rsidP="000F05BD">
            <w:pPr>
              <w:pStyle w:val="TableText0"/>
              <w:keepNext w:val="0"/>
              <w:keepLines/>
              <w:rPr>
                <w:szCs w:val="20"/>
              </w:rPr>
            </w:pPr>
            <w:proofErr w:type="spellStart"/>
            <w:r w:rsidRPr="00FE714A">
              <w:rPr>
                <w:szCs w:val="20"/>
              </w:rPr>
              <w:t>Yr</w:t>
            </w:r>
            <w:proofErr w:type="spellEnd"/>
            <w:r w:rsidRPr="00FE714A">
              <w:rPr>
                <w:szCs w:val="20"/>
              </w:rPr>
              <w:t xml:space="preserve"> -1: 8.5%</w:t>
            </w:r>
          </w:p>
          <w:p w14:paraId="51E22F9B" w14:textId="017453F6" w:rsidR="006169CF" w:rsidRPr="00FE714A" w:rsidRDefault="006169CF" w:rsidP="000F05BD">
            <w:pPr>
              <w:pStyle w:val="TableText0"/>
              <w:keepNext w:val="0"/>
              <w:keepLines/>
              <w:rPr>
                <w:szCs w:val="20"/>
              </w:rPr>
            </w:pPr>
            <w:proofErr w:type="spellStart"/>
            <w:r w:rsidRPr="00FE714A">
              <w:rPr>
                <w:szCs w:val="20"/>
              </w:rPr>
              <w:t>Yr</w:t>
            </w:r>
            <w:proofErr w:type="spellEnd"/>
            <w:r w:rsidRPr="00FE714A">
              <w:rPr>
                <w:szCs w:val="20"/>
              </w:rPr>
              <w:t xml:space="preserve"> 0: 9.5%</w:t>
            </w:r>
          </w:p>
          <w:p w14:paraId="09F23933" w14:textId="5036658A" w:rsidR="00302FB2" w:rsidRPr="00FE714A" w:rsidRDefault="00302FB2" w:rsidP="000F05BD">
            <w:pPr>
              <w:pStyle w:val="TableText0"/>
              <w:keepNext w:val="0"/>
              <w:keepLines/>
            </w:pPr>
            <w:proofErr w:type="spellStart"/>
            <w:r w:rsidRPr="00FE714A">
              <w:t>Yr</w:t>
            </w:r>
            <w:proofErr w:type="spellEnd"/>
            <w:r w:rsidRPr="00FE714A">
              <w:t xml:space="preserve"> 1: 11.0%</w:t>
            </w:r>
          </w:p>
          <w:p w14:paraId="2C891326" w14:textId="77777777" w:rsidR="00302FB2" w:rsidRPr="00FE714A" w:rsidRDefault="00302FB2" w:rsidP="000F05BD">
            <w:pPr>
              <w:pStyle w:val="TableText0"/>
              <w:keepNext w:val="0"/>
              <w:keepLines/>
            </w:pPr>
            <w:proofErr w:type="spellStart"/>
            <w:r w:rsidRPr="00FE714A">
              <w:t>Yr</w:t>
            </w:r>
            <w:proofErr w:type="spellEnd"/>
            <w:r w:rsidRPr="00FE714A">
              <w:t xml:space="preserve"> 2: 11.5%</w:t>
            </w:r>
          </w:p>
          <w:p w14:paraId="21B0666F" w14:textId="77777777" w:rsidR="00302FB2" w:rsidRPr="00FE714A" w:rsidRDefault="00302FB2" w:rsidP="000F05BD">
            <w:pPr>
              <w:pStyle w:val="TableText0"/>
              <w:keepNext w:val="0"/>
              <w:keepLines/>
            </w:pPr>
            <w:proofErr w:type="spellStart"/>
            <w:r w:rsidRPr="00FE714A">
              <w:t>Yr</w:t>
            </w:r>
            <w:proofErr w:type="spellEnd"/>
            <w:r w:rsidRPr="00FE714A">
              <w:t xml:space="preserve"> 3: 12.0%</w:t>
            </w:r>
          </w:p>
          <w:p w14:paraId="07566AB2" w14:textId="77777777" w:rsidR="00302FB2" w:rsidRPr="00FE714A" w:rsidRDefault="00302FB2" w:rsidP="000F05BD">
            <w:pPr>
              <w:pStyle w:val="TableText0"/>
              <w:keepNext w:val="0"/>
              <w:keepLines/>
            </w:pPr>
            <w:proofErr w:type="spellStart"/>
            <w:r w:rsidRPr="00FE714A">
              <w:t>Yr</w:t>
            </w:r>
            <w:proofErr w:type="spellEnd"/>
            <w:r w:rsidRPr="00FE714A">
              <w:t xml:space="preserve"> 4: 12.5%</w:t>
            </w:r>
          </w:p>
          <w:p w14:paraId="1947F540" w14:textId="77777777" w:rsidR="00302FB2" w:rsidRPr="00FE714A" w:rsidRDefault="00302FB2" w:rsidP="000F05BD">
            <w:pPr>
              <w:pStyle w:val="TableText0"/>
              <w:keepNext w:val="0"/>
              <w:keepLines/>
            </w:pPr>
            <w:proofErr w:type="spellStart"/>
            <w:r w:rsidRPr="00FE714A">
              <w:t>Yr</w:t>
            </w:r>
            <w:proofErr w:type="spellEnd"/>
            <w:r w:rsidRPr="00FE714A">
              <w:t xml:space="preserve"> 5: 13.0%</w:t>
            </w:r>
          </w:p>
          <w:p w14:paraId="78984FC5" w14:textId="77777777" w:rsidR="00302FB2" w:rsidRPr="00FE714A" w:rsidRDefault="00302FB2" w:rsidP="000F05BD">
            <w:pPr>
              <w:pStyle w:val="TableText0"/>
              <w:keepNext w:val="0"/>
              <w:keepLines/>
            </w:pPr>
            <w:proofErr w:type="spellStart"/>
            <w:r w:rsidRPr="00FE714A">
              <w:t>Yr</w:t>
            </w:r>
            <w:proofErr w:type="spellEnd"/>
            <w:r w:rsidRPr="00FE714A">
              <w:t xml:space="preserve"> 6: 13.5%</w:t>
            </w:r>
          </w:p>
          <w:p w14:paraId="06392943" w14:textId="77777777" w:rsidR="00302FB2" w:rsidRPr="00FE714A" w:rsidRDefault="00302FB2" w:rsidP="000F05BD">
            <w:pPr>
              <w:pStyle w:val="TableText0"/>
              <w:keepNext w:val="0"/>
              <w:keepLines/>
            </w:pPr>
          </w:p>
          <w:p w14:paraId="59F0AA02" w14:textId="31DAC929" w:rsidR="00302FB2" w:rsidRPr="00FE714A" w:rsidRDefault="00302FB2" w:rsidP="000F05BD">
            <w:pPr>
              <w:pStyle w:val="TableText0"/>
              <w:keepNext w:val="0"/>
              <w:keepLines/>
            </w:pPr>
            <w:r w:rsidRPr="00FE714A">
              <w:t xml:space="preserve">Source: The uptake rate was informed by initiations of DUPI and UPA in 2021 and 2022 which were extrapolated from 2023 to 2029 and was adjusted to reach a ‘cumulative uptake’ of 73.5% over the six-years analysis period (i.e., the addition of rates from Yr1-6 resulted in 73.5%). </w:t>
            </w:r>
          </w:p>
        </w:tc>
        <w:tc>
          <w:tcPr>
            <w:tcW w:w="1991" w:type="pct"/>
          </w:tcPr>
          <w:p w14:paraId="054F657B" w14:textId="3B3124C0" w:rsidR="00302FB2" w:rsidRPr="00FE714A" w:rsidRDefault="009A1C97" w:rsidP="000F05BD">
            <w:pPr>
              <w:pStyle w:val="TableText0"/>
              <w:keepLines/>
              <w:rPr>
                <w:i/>
                <w:iCs/>
              </w:rPr>
            </w:pPr>
            <w:r w:rsidRPr="00FE714A">
              <w:rPr>
                <w:szCs w:val="20"/>
              </w:rPr>
              <w:t xml:space="preserve">This was a source of uncertainty. </w:t>
            </w:r>
          </w:p>
          <w:p w14:paraId="1D5A1BDC" w14:textId="77AB93FF" w:rsidR="009A1C97" w:rsidRPr="00FE714A" w:rsidRDefault="009A1C97" w:rsidP="000F05BD">
            <w:pPr>
              <w:pStyle w:val="TableText0"/>
              <w:keepLines/>
              <w:rPr>
                <w:szCs w:val="20"/>
              </w:rPr>
            </w:pPr>
            <w:r w:rsidRPr="00FE714A">
              <w:rPr>
                <w:szCs w:val="20"/>
              </w:rPr>
              <w:t xml:space="preserve">DUSC noted that the Sum Yr-2 to </w:t>
            </w:r>
            <w:proofErr w:type="spellStart"/>
            <w:r w:rsidRPr="00FE714A">
              <w:rPr>
                <w:szCs w:val="20"/>
              </w:rPr>
              <w:t>Yr</w:t>
            </w:r>
            <w:proofErr w:type="spellEnd"/>
            <w:r w:rsidRPr="00FE714A">
              <w:rPr>
                <w:szCs w:val="20"/>
              </w:rPr>
              <w:t xml:space="preserve"> 0 = 23.6% aligns with the September 2023 DUSC report of a 25% market share. </w:t>
            </w:r>
            <w:r w:rsidR="006169CF" w:rsidRPr="00FE714A">
              <w:rPr>
                <w:szCs w:val="20"/>
              </w:rPr>
              <w:t xml:space="preserve">DUSC </w:t>
            </w:r>
            <w:bookmarkStart w:id="58" w:name="_Hlk162254643"/>
            <w:r w:rsidR="006169CF" w:rsidRPr="00FE714A">
              <w:rPr>
                <w:szCs w:val="20"/>
              </w:rPr>
              <w:t xml:space="preserve">considered the cumulative uptake from </w:t>
            </w:r>
            <w:proofErr w:type="spellStart"/>
            <w:r w:rsidR="006169CF" w:rsidRPr="00FE714A">
              <w:rPr>
                <w:szCs w:val="20"/>
              </w:rPr>
              <w:t>Yr</w:t>
            </w:r>
            <w:proofErr w:type="spellEnd"/>
            <w:r w:rsidR="006169CF" w:rsidRPr="00FE714A">
              <w:rPr>
                <w:szCs w:val="20"/>
              </w:rPr>
              <w:t xml:space="preserve"> -2 to </w:t>
            </w:r>
            <w:proofErr w:type="spellStart"/>
            <w:r w:rsidR="006169CF" w:rsidRPr="00FE714A">
              <w:rPr>
                <w:szCs w:val="20"/>
              </w:rPr>
              <w:t>Yr</w:t>
            </w:r>
            <w:proofErr w:type="spellEnd"/>
            <w:r w:rsidR="006169CF" w:rsidRPr="00FE714A">
              <w:rPr>
                <w:szCs w:val="20"/>
              </w:rPr>
              <w:t xml:space="preserve"> 6 (97%) to be overestimated</w:t>
            </w:r>
            <w:r w:rsidRPr="00FE714A">
              <w:rPr>
                <w:szCs w:val="20"/>
              </w:rPr>
              <w:t xml:space="preserve">, noting that access to specialists, remoteness and socioeconomic status would impact on uptake. </w:t>
            </w:r>
          </w:p>
          <w:bookmarkEnd w:id="58"/>
          <w:p w14:paraId="51F4C526" w14:textId="286DACCD" w:rsidR="006169CF" w:rsidRPr="00FE714A" w:rsidRDefault="009A1C97" w:rsidP="000F05BD">
            <w:pPr>
              <w:pStyle w:val="TableText0"/>
              <w:keepLines/>
              <w:ind w:right="-103"/>
              <w:rPr>
                <w:i/>
                <w:iCs/>
              </w:rPr>
            </w:pPr>
            <w:r w:rsidRPr="00FE714A">
              <w:rPr>
                <w:szCs w:val="20"/>
              </w:rPr>
              <w:t xml:space="preserve">The PSCR (pp3-4) stated that the IPSOS market research (p390) showed that after 3.5 years, approximately 90% of eligible patients with moderate to severe AD are receiving a biologic or </w:t>
            </w:r>
            <w:proofErr w:type="spellStart"/>
            <w:r w:rsidRPr="00FE714A">
              <w:rPr>
                <w:szCs w:val="20"/>
              </w:rPr>
              <w:t>JAKi</w:t>
            </w:r>
            <w:proofErr w:type="spellEnd"/>
            <w:r w:rsidRPr="00FE714A">
              <w:rPr>
                <w:szCs w:val="20"/>
              </w:rPr>
              <w:t>. DUSC disagreed with the PSCR that this is the best available evidence, noting that the sample only included dermatologists treating 20+ AD patients in past 3 months with at least 1 on biologic in the 3 month period.</w:t>
            </w:r>
            <w:r w:rsidR="00C62DDF" w:rsidRPr="00FE714A">
              <w:rPr>
                <w:szCs w:val="20"/>
              </w:rPr>
              <w:t xml:space="preserve"> The pre-PBAC response noted that no alternative data sources were </w:t>
            </w:r>
            <w:r w:rsidR="000A5686" w:rsidRPr="00FE714A">
              <w:rPr>
                <w:szCs w:val="20"/>
              </w:rPr>
              <w:t>identified</w:t>
            </w:r>
          </w:p>
        </w:tc>
      </w:tr>
      <w:tr w:rsidR="00302FB2" w:rsidRPr="00FE714A" w14:paraId="237148B6" w14:textId="77777777" w:rsidTr="00550B5E">
        <w:tc>
          <w:tcPr>
            <w:tcW w:w="770" w:type="pct"/>
            <w:vAlign w:val="center"/>
          </w:tcPr>
          <w:p w14:paraId="3BD451B1" w14:textId="77777777" w:rsidR="00302FB2" w:rsidRPr="00FE714A" w:rsidRDefault="00302FB2" w:rsidP="00F81041">
            <w:pPr>
              <w:pStyle w:val="TableText0"/>
              <w:keepNext w:val="0"/>
            </w:pPr>
            <w:r w:rsidRPr="00FE714A">
              <w:t>Uptake of LEB as % of patients treated with advanced systemic therapies</w:t>
            </w:r>
          </w:p>
        </w:tc>
        <w:tc>
          <w:tcPr>
            <w:tcW w:w="2239" w:type="pct"/>
            <w:vAlign w:val="center"/>
          </w:tcPr>
          <w:p w14:paraId="5B4ECB0A" w14:textId="16124A1E" w:rsidR="00302FB2" w:rsidRPr="00461053" w:rsidRDefault="00302FB2" w:rsidP="00F81041">
            <w:pPr>
              <w:pStyle w:val="TableText0"/>
              <w:keepNext w:val="0"/>
            </w:pPr>
            <w:proofErr w:type="spellStart"/>
            <w:r w:rsidRPr="00FE714A">
              <w:t>Yr</w:t>
            </w:r>
            <w:proofErr w:type="spellEnd"/>
            <w:r w:rsidRPr="00FE714A">
              <w:t xml:space="preserve"> 1: </w:t>
            </w:r>
            <w:r w:rsidR="000727C3" w:rsidRPr="000727C3">
              <w:rPr>
                <w:color w:val="000000"/>
                <w:spacing w:val="51"/>
                <w:shd w:val="solid" w:color="000000" w:fill="000000"/>
                <w:fitText w:val="326" w:id="-961880816"/>
                <w14:textFill>
                  <w14:solidFill>
                    <w14:srgbClr w14:val="000000">
                      <w14:alpha w14:val="100000"/>
                    </w14:srgbClr>
                  </w14:solidFill>
                </w14:textFill>
              </w:rPr>
              <w:t>|||</w:t>
            </w:r>
            <w:r w:rsidR="000727C3" w:rsidRPr="000727C3">
              <w:rPr>
                <w:color w:val="000000"/>
                <w:spacing w:val="3"/>
                <w:shd w:val="solid" w:color="000000" w:fill="000000"/>
                <w:fitText w:val="326" w:id="-961880816"/>
                <w14:textFill>
                  <w14:solidFill>
                    <w14:srgbClr w14:val="000000">
                      <w14:alpha w14:val="100000"/>
                    </w14:srgbClr>
                  </w14:solidFill>
                </w14:textFill>
              </w:rPr>
              <w:t>|</w:t>
            </w:r>
            <w:r w:rsidRPr="00461053">
              <w:t>%</w:t>
            </w:r>
          </w:p>
          <w:p w14:paraId="78D0335E" w14:textId="212B4B76" w:rsidR="00302FB2" w:rsidRPr="00461053" w:rsidRDefault="00302FB2" w:rsidP="00F81041">
            <w:pPr>
              <w:pStyle w:val="TableText0"/>
              <w:keepNext w:val="0"/>
            </w:pPr>
            <w:proofErr w:type="spellStart"/>
            <w:r w:rsidRPr="00461053">
              <w:t>Yr</w:t>
            </w:r>
            <w:proofErr w:type="spellEnd"/>
            <w:r w:rsidRPr="00461053">
              <w:t xml:space="preserve"> 2: </w:t>
            </w:r>
            <w:r w:rsidR="000727C3" w:rsidRPr="000727C3">
              <w:rPr>
                <w:color w:val="000000"/>
                <w:spacing w:val="51"/>
                <w:shd w:val="solid" w:color="000000" w:fill="000000"/>
                <w:fitText w:val="326" w:id="-961880832"/>
                <w14:textFill>
                  <w14:solidFill>
                    <w14:srgbClr w14:val="000000">
                      <w14:alpha w14:val="100000"/>
                    </w14:srgbClr>
                  </w14:solidFill>
                </w14:textFill>
              </w:rPr>
              <w:t>|||</w:t>
            </w:r>
            <w:r w:rsidR="000727C3" w:rsidRPr="000727C3">
              <w:rPr>
                <w:color w:val="000000"/>
                <w:spacing w:val="3"/>
                <w:shd w:val="solid" w:color="000000" w:fill="000000"/>
                <w:fitText w:val="326" w:id="-961880832"/>
                <w14:textFill>
                  <w14:solidFill>
                    <w14:srgbClr w14:val="000000">
                      <w14:alpha w14:val="100000"/>
                    </w14:srgbClr>
                  </w14:solidFill>
                </w14:textFill>
              </w:rPr>
              <w:t>|</w:t>
            </w:r>
            <w:r w:rsidRPr="00461053">
              <w:t>%</w:t>
            </w:r>
          </w:p>
          <w:p w14:paraId="664F9D33" w14:textId="4FD530E9" w:rsidR="00302FB2" w:rsidRPr="00461053" w:rsidRDefault="00302FB2" w:rsidP="00F81041">
            <w:pPr>
              <w:pStyle w:val="TableText0"/>
              <w:keepNext w:val="0"/>
            </w:pPr>
            <w:proofErr w:type="spellStart"/>
            <w:r w:rsidRPr="00461053">
              <w:t>Yr</w:t>
            </w:r>
            <w:proofErr w:type="spellEnd"/>
            <w:r w:rsidRPr="00461053">
              <w:t xml:space="preserve"> 3: </w:t>
            </w:r>
            <w:r w:rsidR="000727C3" w:rsidRPr="000727C3">
              <w:rPr>
                <w:color w:val="000000"/>
                <w:spacing w:val="51"/>
                <w:shd w:val="solid" w:color="000000" w:fill="000000"/>
                <w:fitText w:val="326" w:id="-961880831"/>
                <w14:textFill>
                  <w14:solidFill>
                    <w14:srgbClr w14:val="000000">
                      <w14:alpha w14:val="100000"/>
                    </w14:srgbClr>
                  </w14:solidFill>
                </w14:textFill>
              </w:rPr>
              <w:t>|||</w:t>
            </w:r>
            <w:r w:rsidR="000727C3" w:rsidRPr="000727C3">
              <w:rPr>
                <w:color w:val="000000"/>
                <w:spacing w:val="3"/>
                <w:shd w:val="solid" w:color="000000" w:fill="000000"/>
                <w:fitText w:val="326" w:id="-961880831"/>
                <w14:textFill>
                  <w14:solidFill>
                    <w14:srgbClr w14:val="000000">
                      <w14:alpha w14:val="100000"/>
                    </w14:srgbClr>
                  </w14:solidFill>
                </w14:textFill>
              </w:rPr>
              <w:t>|</w:t>
            </w:r>
            <w:r w:rsidRPr="00461053">
              <w:t>%</w:t>
            </w:r>
          </w:p>
          <w:p w14:paraId="174E97B4" w14:textId="3DDE928F" w:rsidR="00302FB2" w:rsidRPr="00461053" w:rsidRDefault="00302FB2" w:rsidP="00F81041">
            <w:pPr>
              <w:pStyle w:val="TableText0"/>
              <w:keepNext w:val="0"/>
            </w:pPr>
            <w:proofErr w:type="spellStart"/>
            <w:r w:rsidRPr="00461053">
              <w:t>Yr</w:t>
            </w:r>
            <w:proofErr w:type="spellEnd"/>
            <w:r w:rsidRPr="00461053">
              <w:t xml:space="preserve"> 4: </w:t>
            </w:r>
            <w:r w:rsidR="000727C3" w:rsidRPr="000727C3">
              <w:rPr>
                <w:color w:val="000000"/>
                <w:spacing w:val="51"/>
                <w:shd w:val="solid" w:color="000000" w:fill="000000"/>
                <w:fitText w:val="326" w:id="-961880830"/>
                <w14:textFill>
                  <w14:solidFill>
                    <w14:srgbClr w14:val="000000">
                      <w14:alpha w14:val="100000"/>
                    </w14:srgbClr>
                  </w14:solidFill>
                </w14:textFill>
              </w:rPr>
              <w:t>|||</w:t>
            </w:r>
            <w:r w:rsidR="000727C3" w:rsidRPr="000727C3">
              <w:rPr>
                <w:color w:val="000000"/>
                <w:spacing w:val="3"/>
                <w:shd w:val="solid" w:color="000000" w:fill="000000"/>
                <w:fitText w:val="326" w:id="-961880830"/>
                <w14:textFill>
                  <w14:solidFill>
                    <w14:srgbClr w14:val="000000">
                      <w14:alpha w14:val="100000"/>
                    </w14:srgbClr>
                  </w14:solidFill>
                </w14:textFill>
              </w:rPr>
              <w:t>|</w:t>
            </w:r>
            <w:r w:rsidRPr="00461053">
              <w:t>%</w:t>
            </w:r>
          </w:p>
          <w:p w14:paraId="3D1E96A1" w14:textId="45278E24" w:rsidR="00302FB2" w:rsidRPr="00461053" w:rsidRDefault="00302FB2" w:rsidP="00F81041">
            <w:pPr>
              <w:pStyle w:val="TableText0"/>
              <w:keepNext w:val="0"/>
            </w:pPr>
            <w:proofErr w:type="spellStart"/>
            <w:r w:rsidRPr="00461053">
              <w:t>Yr</w:t>
            </w:r>
            <w:proofErr w:type="spellEnd"/>
            <w:r w:rsidRPr="00461053">
              <w:t xml:space="preserve"> 5: </w:t>
            </w:r>
            <w:r w:rsidR="000727C3" w:rsidRPr="000727C3">
              <w:rPr>
                <w:color w:val="000000"/>
                <w:spacing w:val="51"/>
                <w:shd w:val="solid" w:color="000000" w:fill="000000"/>
                <w:fitText w:val="326" w:id="-961880829"/>
                <w14:textFill>
                  <w14:solidFill>
                    <w14:srgbClr w14:val="000000">
                      <w14:alpha w14:val="100000"/>
                    </w14:srgbClr>
                  </w14:solidFill>
                </w14:textFill>
              </w:rPr>
              <w:t>|||</w:t>
            </w:r>
            <w:r w:rsidR="000727C3" w:rsidRPr="000727C3">
              <w:rPr>
                <w:color w:val="000000"/>
                <w:spacing w:val="3"/>
                <w:shd w:val="solid" w:color="000000" w:fill="000000"/>
                <w:fitText w:val="326" w:id="-961880829"/>
                <w14:textFill>
                  <w14:solidFill>
                    <w14:srgbClr w14:val="000000">
                      <w14:alpha w14:val="100000"/>
                    </w14:srgbClr>
                  </w14:solidFill>
                </w14:textFill>
              </w:rPr>
              <w:t>|</w:t>
            </w:r>
            <w:r w:rsidRPr="00461053">
              <w:t>%</w:t>
            </w:r>
          </w:p>
          <w:p w14:paraId="598567D8" w14:textId="46128F8B" w:rsidR="00302FB2" w:rsidRPr="00FE714A" w:rsidRDefault="00302FB2" w:rsidP="00F81041">
            <w:pPr>
              <w:pStyle w:val="TableText0"/>
              <w:keepNext w:val="0"/>
            </w:pPr>
            <w:proofErr w:type="spellStart"/>
            <w:r w:rsidRPr="00461053">
              <w:t>Yr</w:t>
            </w:r>
            <w:proofErr w:type="spellEnd"/>
            <w:r w:rsidRPr="00461053">
              <w:t xml:space="preserve"> 6: </w:t>
            </w:r>
            <w:r w:rsidR="000727C3" w:rsidRPr="000727C3">
              <w:rPr>
                <w:color w:val="000000"/>
                <w:spacing w:val="51"/>
                <w:shd w:val="solid" w:color="000000" w:fill="000000"/>
                <w:fitText w:val="326" w:id="-961880828"/>
                <w14:textFill>
                  <w14:solidFill>
                    <w14:srgbClr w14:val="000000">
                      <w14:alpha w14:val="100000"/>
                    </w14:srgbClr>
                  </w14:solidFill>
                </w14:textFill>
              </w:rPr>
              <w:t>|||</w:t>
            </w:r>
            <w:r w:rsidR="000727C3" w:rsidRPr="000727C3">
              <w:rPr>
                <w:color w:val="000000"/>
                <w:spacing w:val="3"/>
                <w:shd w:val="solid" w:color="000000" w:fill="000000"/>
                <w:fitText w:val="326" w:id="-961880828"/>
                <w14:textFill>
                  <w14:solidFill>
                    <w14:srgbClr w14:val="000000">
                      <w14:alpha w14:val="100000"/>
                    </w14:srgbClr>
                  </w14:solidFill>
                </w14:textFill>
              </w:rPr>
              <w:t>|</w:t>
            </w:r>
            <w:r w:rsidRPr="00461053">
              <w:t>%</w:t>
            </w:r>
          </w:p>
          <w:p w14:paraId="6DED9CA3" w14:textId="77777777" w:rsidR="00302FB2" w:rsidRPr="00FE714A" w:rsidRDefault="00302FB2" w:rsidP="00F81041">
            <w:pPr>
              <w:pStyle w:val="TableText0"/>
            </w:pPr>
            <w:r w:rsidRPr="00FE714A">
              <w:t xml:space="preserve">Source: Assumption; sponsor anticipated uptake rate. </w:t>
            </w:r>
          </w:p>
        </w:tc>
        <w:tc>
          <w:tcPr>
            <w:tcW w:w="1991" w:type="pct"/>
            <w:vAlign w:val="center"/>
          </w:tcPr>
          <w:p w14:paraId="4F9F0AE1" w14:textId="798BDD6F" w:rsidR="00302FB2" w:rsidRPr="00FE714A" w:rsidRDefault="00302FB2" w:rsidP="00F81041">
            <w:pPr>
              <w:pStyle w:val="TableText0"/>
              <w:keepNext w:val="0"/>
            </w:pPr>
            <w:r w:rsidRPr="00FE714A">
              <w:t>The relative uptake of LEB should not have a large impact on the financial estimates if the CMA price was accurate.</w:t>
            </w:r>
          </w:p>
        </w:tc>
      </w:tr>
      <w:tr w:rsidR="00302FB2" w:rsidRPr="00FE714A" w14:paraId="42B86960" w14:textId="77777777" w:rsidTr="00550B5E">
        <w:tc>
          <w:tcPr>
            <w:tcW w:w="770" w:type="pct"/>
            <w:vAlign w:val="center"/>
          </w:tcPr>
          <w:p w14:paraId="4BFF21F8" w14:textId="77777777" w:rsidR="00302FB2" w:rsidRPr="00FE714A" w:rsidRDefault="00302FB2" w:rsidP="00F81041">
            <w:pPr>
              <w:pStyle w:val="TableText0"/>
              <w:keepNext w:val="0"/>
            </w:pPr>
            <w:r w:rsidRPr="00FE714A">
              <w:t xml:space="preserve">Response rates and persistence </w:t>
            </w:r>
          </w:p>
        </w:tc>
        <w:tc>
          <w:tcPr>
            <w:tcW w:w="2239" w:type="pct"/>
            <w:vAlign w:val="center"/>
          </w:tcPr>
          <w:tbl>
            <w:tblPr>
              <w:tblStyle w:val="TableGrid"/>
              <w:tblW w:w="0" w:type="auto"/>
              <w:tblLook w:val="04A0" w:firstRow="1" w:lastRow="0" w:firstColumn="1" w:lastColumn="0" w:noHBand="0" w:noVBand="1"/>
            </w:tblPr>
            <w:tblGrid>
              <w:gridCol w:w="927"/>
              <w:gridCol w:w="646"/>
              <w:gridCol w:w="763"/>
              <w:gridCol w:w="797"/>
              <w:gridCol w:w="679"/>
            </w:tblGrid>
            <w:tr w:rsidR="00302FB2" w:rsidRPr="00FE714A" w14:paraId="5E6890DC" w14:textId="77777777" w:rsidTr="00550B5E">
              <w:tc>
                <w:tcPr>
                  <w:tcW w:w="930" w:type="dxa"/>
                </w:tcPr>
                <w:p w14:paraId="15C6F53F" w14:textId="77777777" w:rsidR="00302FB2" w:rsidRPr="00FE714A" w:rsidRDefault="00302FB2" w:rsidP="00F81041">
                  <w:pPr>
                    <w:pStyle w:val="TableText0"/>
                    <w:keepNext w:val="0"/>
                    <w:rPr>
                      <w:b/>
                      <w:bCs w:val="0"/>
                      <w:sz w:val="18"/>
                      <w:szCs w:val="22"/>
                    </w:rPr>
                  </w:pPr>
                  <w:r w:rsidRPr="00FE714A">
                    <w:t xml:space="preserve"> </w:t>
                  </w:r>
                </w:p>
              </w:tc>
              <w:tc>
                <w:tcPr>
                  <w:tcW w:w="654" w:type="dxa"/>
                  <w:vAlign w:val="center"/>
                </w:tcPr>
                <w:p w14:paraId="0CBB36AD" w14:textId="77777777" w:rsidR="00302FB2" w:rsidRPr="00FE714A" w:rsidRDefault="00302FB2" w:rsidP="00F81041">
                  <w:pPr>
                    <w:pStyle w:val="TableText0"/>
                    <w:keepNext w:val="0"/>
                    <w:jc w:val="center"/>
                    <w:rPr>
                      <w:b/>
                      <w:bCs w:val="0"/>
                      <w:sz w:val="18"/>
                      <w:szCs w:val="22"/>
                    </w:rPr>
                  </w:pPr>
                  <w:r w:rsidRPr="00FE714A">
                    <w:rPr>
                      <w:b/>
                      <w:bCs w:val="0"/>
                      <w:sz w:val="18"/>
                      <w:szCs w:val="22"/>
                    </w:rPr>
                    <w:t>DUPI</w:t>
                  </w:r>
                </w:p>
              </w:tc>
              <w:tc>
                <w:tcPr>
                  <w:tcW w:w="850" w:type="dxa"/>
                  <w:vAlign w:val="center"/>
                </w:tcPr>
                <w:p w14:paraId="052D3496" w14:textId="77777777" w:rsidR="00302FB2" w:rsidRPr="00FE714A" w:rsidRDefault="00302FB2" w:rsidP="00F81041">
                  <w:pPr>
                    <w:pStyle w:val="TableText0"/>
                    <w:keepNext w:val="0"/>
                    <w:jc w:val="center"/>
                    <w:rPr>
                      <w:b/>
                      <w:bCs w:val="0"/>
                      <w:sz w:val="18"/>
                      <w:szCs w:val="22"/>
                    </w:rPr>
                  </w:pPr>
                  <w:r w:rsidRPr="00FE714A">
                    <w:rPr>
                      <w:b/>
                      <w:bCs w:val="0"/>
                      <w:sz w:val="18"/>
                      <w:szCs w:val="22"/>
                    </w:rPr>
                    <w:t>UPA 15</w:t>
                  </w:r>
                </w:p>
              </w:tc>
              <w:tc>
                <w:tcPr>
                  <w:tcW w:w="851" w:type="dxa"/>
                  <w:vAlign w:val="center"/>
                </w:tcPr>
                <w:p w14:paraId="324718A3" w14:textId="77777777" w:rsidR="00302FB2" w:rsidRPr="00FE714A" w:rsidRDefault="00302FB2" w:rsidP="00F81041">
                  <w:pPr>
                    <w:pStyle w:val="TableText0"/>
                    <w:keepNext w:val="0"/>
                    <w:jc w:val="center"/>
                    <w:rPr>
                      <w:b/>
                      <w:bCs w:val="0"/>
                      <w:sz w:val="18"/>
                      <w:szCs w:val="22"/>
                    </w:rPr>
                  </w:pPr>
                  <w:r w:rsidRPr="00FE714A">
                    <w:rPr>
                      <w:b/>
                      <w:bCs w:val="0"/>
                      <w:sz w:val="18"/>
                      <w:szCs w:val="22"/>
                    </w:rPr>
                    <w:t>UPA 30</w:t>
                  </w:r>
                </w:p>
              </w:tc>
              <w:tc>
                <w:tcPr>
                  <w:tcW w:w="709" w:type="dxa"/>
                  <w:vAlign w:val="center"/>
                </w:tcPr>
                <w:p w14:paraId="6C88FD41" w14:textId="77777777" w:rsidR="00302FB2" w:rsidRPr="00FE714A" w:rsidRDefault="00302FB2" w:rsidP="00F81041">
                  <w:pPr>
                    <w:pStyle w:val="TableText0"/>
                    <w:keepNext w:val="0"/>
                    <w:jc w:val="center"/>
                    <w:rPr>
                      <w:b/>
                      <w:bCs w:val="0"/>
                      <w:sz w:val="18"/>
                      <w:szCs w:val="22"/>
                    </w:rPr>
                  </w:pPr>
                  <w:r w:rsidRPr="00FE714A">
                    <w:rPr>
                      <w:b/>
                      <w:bCs w:val="0"/>
                      <w:sz w:val="18"/>
                      <w:szCs w:val="22"/>
                    </w:rPr>
                    <w:t>LEB</w:t>
                  </w:r>
                </w:p>
              </w:tc>
            </w:tr>
            <w:tr w:rsidR="00302FB2" w:rsidRPr="00FE714A" w14:paraId="5ACF5B9E" w14:textId="77777777" w:rsidTr="00550B5E">
              <w:tc>
                <w:tcPr>
                  <w:tcW w:w="930" w:type="dxa"/>
                </w:tcPr>
                <w:p w14:paraId="6C8A37A3" w14:textId="77777777" w:rsidR="00302FB2" w:rsidRPr="00FE714A" w:rsidRDefault="00302FB2" w:rsidP="00F81041">
                  <w:pPr>
                    <w:pStyle w:val="TableText0"/>
                    <w:keepNext w:val="0"/>
                    <w:rPr>
                      <w:b/>
                      <w:bCs w:val="0"/>
                      <w:sz w:val="18"/>
                      <w:szCs w:val="22"/>
                    </w:rPr>
                  </w:pPr>
                  <w:r w:rsidRPr="00FE714A">
                    <w:rPr>
                      <w:b/>
                      <w:bCs w:val="0"/>
                      <w:sz w:val="18"/>
                      <w:szCs w:val="22"/>
                    </w:rPr>
                    <w:t xml:space="preserve">Response </w:t>
                  </w:r>
                </w:p>
              </w:tc>
              <w:tc>
                <w:tcPr>
                  <w:tcW w:w="654" w:type="dxa"/>
                  <w:vAlign w:val="center"/>
                </w:tcPr>
                <w:p w14:paraId="0D8561C0" w14:textId="77777777" w:rsidR="00302FB2" w:rsidRPr="00FE714A" w:rsidRDefault="00302FB2" w:rsidP="00F81041">
                  <w:pPr>
                    <w:pStyle w:val="TableText0"/>
                    <w:keepNext w:val="0"/>
                    <w:jc w:val="center"/>
                    <w:rPr>
                      <w:sz w:val="18"/>
                      <w:szCs w:val="22"/>
                    </w:rPr>
                  </w:pPr>
                  <w:r w:rsidRPr="00FE714A">
                    <w:rPr>
                      <w:sz w:val="18"/>
                      <w:szCs w:val="22"/>
                    </w:rPr>
                    <w:t>59.6%</w:t>
                  </w:r>
                </w:p>
              </w:tc>
              <w:tc>
                <w:tcPr>
                  <w:tcW w:w="850" w:type="dxa"/>
                  <w:vAlign w:val="center"/>
                </w:tcPr>
                <w:p w14:paraId="5103CE34" w14:textId="77777777" w:rsidR="00302FB2" w:rsidRPr="00FE714A" w:rsidRDefault="00302FB2" w:rsidP="00F81041">
                  <w:pPr>
                    <w:pStyle w:val="TableText0"/>
                    <w:keepNext w:val="0"/>
                    <w:jc w:val="center"/>
                    <w:rPr>
                      <w:sz w:val="18"/>
                      <w:szCs w:val="22"/>
                    </w:rPr>
                  </w:pPr>
                  <w:r w:rsidRPr="00FE714A">
                    <w:rPr>
                      <w:sz w:val="18"/>
                      <w:szCs w:val="22"/>
                    </w:rPr>
                    <w:t>69.6%</w:t>
                  </w:r>
                </w:p>
              </w:tc>
              <w:tc>
                <w:tcPr>
                  <w:tcW w:w="851" w:type="dxa"/>
                  <w:vAlign w:val="center"/>
                </w:tcPr>
                <w:p w14:paraId="1A0A775C" w14:textId="77777777" w:rsidR="00302FB2" w:rsidRPr="00FE714A" w:rsidRDefault="00302FB2" w:rsidP="00F81041">
                  <w:pPr>
                    <w:pStyle w:val="TableText0"/>
                    <w:keepNext w:val="0"/>
                    <w:jc w:val="center"/>
                    <w:rPr>
                      <w:sz w:val="18"/>
                      <w:szCs w:val="22"/>
                    </w:rPr>
                  </w:pPr>
                  <w:r w:rsidRPr="00FE714A">
                    <w:rPr>
                      <w:sz w:val="18"/>
                      <w:szCs w:val="22"/>
                    </w:rPr>
                    <w:t>80.80%</w:t>
                  </w:r>
                </w:p>
              </w:tc>
              <w:tc>
                <w:tcPr>
                  <w:tcW w:w="709" w:type="dxa"/>
                  <w:vAlign w:val="center"/>
                </w:tcPr>
                <w:p w14:paraId="1E91CF6D" w14:textId="77777777" w:rsidR="00302FB2" w:rsidRPr="00FE714A" w:rsidRDefault="00302FB2" w:rsidP="00F81041">
                  <w:pPr>
                    <w:pStyle w:val="TableText0"/>
                    <w:keepNext w:val="0"/>
                    <w:jc w:val="center"/>
                    <w:rPr>
                      <w:sz w:val="18"/>
                      <w:szCs w:val="22"/>
                    </w:rPr>
                  </w:pPr>
                  <w:r w:rsidRPr="00FE714A">
                    <w:rPr>
                      <w:sz w:val="18"/>
                      <w:szCs w:val="22"/>
                    </w:rPr>
                    <w:t>80.5%</w:t>
                  </w:r>
                </w:p>
              </w:tc>
            </w:tr>
            <w:tr w:rsidR="00302FB2" w:rsidRPr="00FE714A" w14:paraId="2CDDE2C3" w14:textId="77777777" w:rsidTr="00550B5E">
              <w:tc>
                <w:tcPr>
                  <w:tcW w:w="3994" w:type="dxa"/>
                  <w:gridSpan w:val="5"/>
                  <w:vAlign w:val="center"/>
                </w:tcPr>
                <w:p w14:paraId="5FFAA020" w14:textId="77777777" w:rsidR="00302FB2" w:rsidRPr="00FE714A" w:rsidRDefault="00302FB2" w:rsidP="00F81041">
                  <w:pPr>
                    <w:pStyle w:val="TableText0"/>
                    <w:keepNext w:val="0"/>
                    <w:rPr>
                      <w:b/>
                      <w:bCs w:val="0"/>
                      <w:sz w:val="18"/>
                      <w:szCs w:val="22"/>
                    </w:rPr>
                  </w:pPr>
                  <w:r w:rsidRPr="00FE714A">
                    <w:rPr>
                      <w:b/>
                      <w:bCs w:val="0"/>
                      <w:sz w:val="18"/>
                      <w:szCs w:val="22"/>
                    </w:rPr>
                    <w:t>Persistence</w:t>
                  </w:r>
                </w:p>
              </w:tc>
            </w:tr>
            <w:tr w:rsidR="00302FB2" w:rsidRPr="00FE714A" w14:paraId="25707D43" w14:textId="77777777" w:rsidTr="00550B5E">
              <w:tc>
                <w:tcPr>
                  <w:tcW w:w="930" w:type="dxa"/>
                </w:tcPr>
                <w:p w14:paraId="57512556" w14:textId="77777777" w:rsidR="00302FB2" w:rsidRPr="00FE714A" w:rsidRDefault="00302FB2" w:rsidP="00F81041">
                  <w:pPr>
                    <w:pStyle w:val="TableText0"/>
                    <w:keepNext w:val="0"/>
                    <w:ind w:left="57"/>
                    <w:rPr>
                      <w:sz w:val="18"/>
                      <w:szCs w:val="22"/>
                    </w:rPr>
                  </w:pPr>
                  <w:proofErr w:type="spellStart"/>
                  <w:r w:rsidRPr="00FE714A">
                    <w:rPr>
                      <w:sz w:val="18"/>
                      <w:szCs w:val="22"/>
                    </w:rPr>
                    <w:t>Wk</w:t>
                  </w:r>
                  <w:proofErr w:type="spellEnd"/>
                  <w:r w:rsidRPr="00FE714A">
                    <w:rPr>
                      <w:sz w:val="18"/>
                      <w:szCs w:val="22"/>
                    </w:rPr>
                    <w:t xml:space="preserve"> 52</w:t>
                  </w:r>
                </w:p>
              </w:tc>
              <w:tc>
                <w:tcPr>
                  <w:tcW w:w="654" w:type="dxa"/>
                  <w:vAlign w:val="center"/>
                </w:tcPr>
                <w:p w14:paraId="5F122D8E" w14:textId="77777777" w:rsidR="00302FB2" w:rsidRPr="00FE714A" w:rsidRDefault="00302FB2" w:rsidP="00F81041">
                  <w:pPr>
                    <w:pStyle w:val="TableText0"/>
                    <w:keepNext w:val="0"/>
                    <w:jc w:val="center"/>
                    <w:rPr>
                      <w:sz w:val="18"/>
                      <w:szCs w:val="22"/>
                    </w:rPr>
                  </w:pPr>
                  <w:r w:rsidRPr="00FE714A">
                    <w:rPr>
                      <w:sz w:val="18"/>
                      <w:szCs w:val="22"/>
                    </w:rPr>
                    <w:t>95.7%</w:t>
                  </w:r>
                </w:p>
              </w:tc>
              <w:tc>
                <w:tcPr>
                  <w:tcW w:w="850" w:type="dxa"/>
                  <w:vAlign w:val="center"/>
                </w:tcPr>
                <w:p w14:paraId="576A8E34" w14:textId="77777777" w:rsidR="00302FB2" w:rsidRPr="00FE714A" w:rsidRDefault="00302FB2" w:rsidP="00F81041">
                  <w:pPr>
                    <w:pStyle w:val="TableText0"/>
                    <w:keepNext w:val="0"/>
                    <w:jc w:val="center"/>
                    <w:rPr>
                      <w:sz w:val="18"/>
                      <w:szCs w:val="22"/>
                    </w:rPr>
                  </w:pPr>
                  <w:r w:rsidRPr="00FE714A">
                    <w:rPr>
                      <w:sz w:val="18"/>
                      <w:szCs w:val="22"/>
                    </w:rPr>
                    <w:t>95.7%</w:t>
                  </w:r>
                </w:p>
              </w:tc>
              <w:tc>
                <w:tcPr>
                  <w:tcW w:w="851" w:type="dxa"/>
                  <w:vAlign w:val="center"/>
                </w:tcPr>
                <w:p w14:paraId="2DDE5721" w14:textId="77777777" w:rsidR="00302FB2" w:rsidRPr="00FE714A" w:rsidRDefault="00302FB2" w:rsidP="00F81041">
                  <w:pPr>
                    <w:pStyle w:val="TableText0"/>
                    <w:keepNext w:val="0"/>
                    <w:jc w:val="center"/>
                    <w:rPr>
                      <w:sz w:val="18"/>
                      <w:szCs w:val="22"/>
                    </w:rPr>
                  </w:pPr>
                  <w:r w:rsidRPr="00FE714A">
                    <w:rPr>
                      <w:sz w:val="18"/>
                      <w:szCs w:val="22"/>
                    </w:rPr>
                    <w:t>95.7%</w:t>
                  </w:r>
                </w:p>
              </w:tc>
              <w:tc>
                <w:tcPr>
                  <w:tcW w:w="709" w:type="dxa"/>
                  <w:vAlign w:val="center"/>
                </w:tcPr>
                <w:p w14:paraId="45C15897" w14:textId="77777777" w:rsidR="00302FB2" w:rsidRPr="00FE714A" w:rsidRDefault="00302FB2" w:rsidP="00F81041">
                  <w:pPr>
                    <w:pStyle w:val="TableText0"/>
                    <w:keepNext w:val="0"/>
                    <w:jc w:val="center"/>
                    <w:rPr>
                      <w:sz w:val="18"/>
                      <w:szCs w:val="22"/>
                    </w:rPr>
                  </w:pPr>
                  <w:r w:rsidRPr="00FE714A">
                    <w:rPr>
                      <w:sz w:val="18"/>
                      <w:szCs w:val="22"/>
                    </w:rPr>
                    <w:t>95.7%</w:t>
                  </w:r>
                </w:p>
              </w:tc>
            </w:tr>
            <w:tr w:rsidR="00302FB2" w:rsidRPr="00FE714A" w14:paraId="69E6B17B" w14:textId="77777777" w:rsidTr="00550B5E">
              <w:tc>
                <w:tcPr>
                  <w:tcW w:w="930" w:type="dxa"/>
                </w:tcPr>
                <w:p w14:paraId="67823619" w14:textId="77777777" w:rsidR="00302FB2" w:rsidRPr="00FE714A" w:rsidRDefault="00302FB2" w:rsidP="00F81041">
                  <w:pPr>
                    <w:pStyle w:val="TableText0"/>
                    <w:keepNext w:val="0"/>
                    <w:ind w:left="57"/>
                    <w:rPr>
                      <w:sz w:val="18"/>
                      <w:szCs w:val="22"/>
                    </w:rPr>
                  </w:pPr>
                  <w:proofErr w:type="spellStart"/>
                  <w:r w:rsidRPr="00FE714A">
                    <w:rPr>
                      <w:sz w:val="18"/>
                      <w:szCs w:val="22"/>
                    </w:rPr>
                    <w:t>Yr</w:t>
                  </w:r>
                  <w:proofErr w:type="spellEnd"/>
                  <w:r w:rsidRPr="00FE714A">
                    <w:rPr>
                      <w:sz w:val="18"/>
                      <w:szCs w:val="22"/>
                    </w:rPr>
                    <w:t xml:space="preserve"> 2</w:t>
                  </w:r>
                </w:p>
              </w:tc>
              <w:tc>
                <w:tcPr>
                  <w:tcW w:w="654" w:type="dxa"/>
                  <w:vAlign w:val="center"/>
                </w:tcPr>
                <w:p w14:paraId="09625738" w14:textId="77777777" w:rsidR="00302FB2" w:rsidRPr="00FE714A" w:rsidRDefault="00302FB2" w:rsidP="00F81041">
                  <w:pPr>
                    <w:pStyle w:val="TableText0"/>
                    <w:keepNext w:val="0"/>
                    <w:jc w:val="center"/>
                    <w:rPr>
                      <w:sz w:val="18"/>
                      <w:szCs w:val="22"/>
                    </w:rPr>
                  </w:pPr>
                  <w:r w:rsidRPr="00FE714A">
                    <w:rPr>
                      <w:sz w:val="18"/>
                      <w:szCs w:val="22"/>
                    </w:rPr>
                    <w:t>83.2%</w:t>
                  </w:r>
                </w:p>
              </w:tc>
              <w:tc>
                <w:tcPr>
                  <w:tcW w:w="850" w:type="dxa"/>
                  <w:vAlign w:val="center"/>
                </w:tcPr>
                <w:p w14:paraId="1CB8B5AB" w14:textId="77777777" w:rsidR="00302FB2" w:rsidRPr="00FE714A" w:rsidRDefault="00302FB2" w:rsidP="00F81041">
                  <w:pPr>
                    <w:pStyle w:val="TableText0"/>
                    <w:keepNext w:val="0"/>
                    <w:jc w:val="center"/>
                    <w:rPr>
                      <w:sz w:val="18"/>
                      <w:szCs w:val="22"/>
                    </w:rPr>
                  </w:pPr>
                  <w:r w:rsidRPr="00FE714A">
                    <w:rPr>
                      <w:sz w:val="18"/>
                      <w:szCs w:val="22"/>
                    </w:rPr>
                    <w:t>83.2%</w:t>
                  </w:r>
                </w:p>
              </w:tc>
              <w:tc>
                <w:tcPr>
                  <w:tcW w:w="851" w:type="dxa"/>
                  <w:vAlign w:val="center"/>
                </w:tcPr>
                <w:p w14:paraId="751E2F0B" w14:textId="77777777" w:rsidR="00302FB2" w:rsidRPr="00FE714A" w:rsidRDefault="00302FB2" w:rsidP="00F81041">
                  <w:pPr>
                    <w:pStyle w:val="TableText0"/>
                    <w:keepNext w:val="0"/>
                    <w:jc w:val="center"/>
                    <w:rPr>
                      <w:sz w:val="18"/>
                      <w:szCs w:val="22"/>
                    </w:rPr>
                  </w:pPr>
                  <w:r w:rsidRPr="00FE714A">
                    <w:rPr>
                      <w:sz w:val="18"/>
                      <w:szCs w:val="22"/>
                    </w:rPr>
                    <w:t>83.2%</w:t>
                  </w:r>
                </w:p>
              </w:tc>
              <w:tc>
                <w:tcPr>
                  <w:tcW w:w="709" w:type="dxa"/>
                  <w:vAlign w:val="center"/>
                </w:tcPr>
                <w:p w14:paraId="21FFB59B" w14:textId="77777777" w:rsidR="00302FB2" w:rsidRPr="00FE714A" w:rsidRDefault="00302FB2" w:rsidP="00F81041">
                  <w:pPr>
                    <w:pStyle w:val="TableText0"/>
                    <w:keepNext w:val="0"/>
                    <w:jc w:val="center"/>
                    <w:rPr>
                      <w:sz w:val="18"/>
                      <w:szCs w:val="22"/>
                    </w:rPr>
                  </w:pPr>
                  <w:r w:rsidRPr="00FE714A">
                    <w:rPr>
                      <w:sz w:val="18"/>
                      <w:szCs w:val="22"/>
                    </w:rPr>
                    <w:t>83.2%</w:t>
                  </w:r>
                </w:p>
              </w:tc>
            </w:tr>
            <w:tr w:rsidR="00302FB2" w:rsidRPr="00FE714A" w14:paraId="3AB56F70" w14:textId="77777777" w:rsidTr="00550B5E">
              <w:tc>
                <w:tcPr>
                  <w:tcW w:w="930" w:type="dxa"/>
                </w:tcPr>
                <w:p w14:paraId="5233A209" w14:textId="77777777" w:rsidR="00302FB2" w:rsidRPr="00FE714A" w:rsidRDefault="00302FB2" w:rsidP="00F81041">
                  <w:pPr>
                    <w:pStyle w:val="TableText0"/>
                    <w:keepNext w:val="0"/>
                    <w:ind w:left="57"/>
                    <w:rPr>
                      <w:sz w:val="18"/>
                      <w:szCs w:val="22"/>
                    </w:rPr>
                  </w:pPr>
                  <w:proofErr w:type="spellStart"/>
                  <w:r w:rsidRPr="00FE714A">
                    <w:rPr>
                      <w:sz w:val="18"/>
                      <w:szCs w:val="22"/>
                    </w:rPr>
                    <w:t>Yr</w:t>
                  </w:r>
                  <w:proofErr w:type="spellEnd"/>
                  <w:r w:rsidRPr="00FE714A">
                    <w:rPr>
                      <w:sz w:val="18"/>
                      <w:szCs w:val="22"/>
                    </w:rPr>
                    <w:t xml:space="preserve"> 3</w:t>
                  </w:r>
                </w:p>
              </w:tc>
              <w:tc>
                <w:tcPr>
                  <w:tcW w:w="654" w:type="dxa"/>
                  <w:vAlign w:val="center"/>
                </w:tcPr>
                <w:p w14:paraId="21DC11C2" w14:textId="77777777" w:rsidR="00302FB2" w:rsidRPr="00FE714A" w:rsidRDefault="00302FB2" w:rsidP="00F81041">
                  <w:pPr>
                    <w:pStyle w:val="TableText0"/>
                    <w:keepNext w:val="0"/>
                    <w:jc w:val="center"/>
                    <w:rPr>
                      <w:sz w:val="18"/>
                      <w:szCs w:val="22"/>
                    </w:rPr>
                  </w:pPr>
                  <w:r w:rsidRPr="00FE714A">
                    <w:rPr>
                      <w:sz w:val="18"/>
                      <w:szCs w:val="22"/>
                    </w:rPr>
                    <w:t>79.9%</w:t>
                  </w:r>
                </w:p>
              </w:tc>
              <w:tc>
                <w:tcPr>
                  <w:tcW w:w="850" w:type="dxa"/>
                  <w:vAlign w:val="center"/>
                </w:tcPr>
                <w:p w14:paraId="12A1F4D4" w14:textId="77777777" w:rsidR="00302FB2" w:rsidRPr="00FE714A" w:rsidRDefault="00302FB2" w:rsidP="00F81041">
                  <w:pPr>
                    <w:pStyle w:val="TableText0"/>
                    <w:keepNext w:val="0"/>
                    <w:jc w:val="center"/>
                    <w:rPr>
                      <w:sz w:val="18"/>
                      <w:szCs w:val="22"/>
                    </w:rPr>
                  </w:pPr>
                  <w:r w:rsidRPr="00FE714A">
                    <w:rPr>
                      <w:sz w:val="18"/>
                      <w:szCs w:val="22"/>
                    </w:rPr>
                    <w:t>79.9%</w:t>
                  </w:r>
                </w:p>
              </w:tc>
              <w:tc>
                <w:tcPr>
                  <w:tcW w:w="851" w:type="dxa"/>
                  <w:vAlign w:val="center"/>
                </w:tcPr>
                <w:p w14:paraId="6A3A2914" w14:textId="77777777" w:rsidR="00302FB2" w:rsidRPr="00FE714A" w:rsidRDefault="00302FB2" w:rsidP="00F81041">
                  <w:pPr>
                    <w:pStyle w:val="TableText0"/>
                    <w:keepNext w:val="0"/>
                    <w:jc w:val="center"/>
                    <w:rPr>
                      <w:sz w:val="18"/>
                      <w:szCs w:val="22"/>
                    </w:rPr>
                  </w:pPr>
                  <w:r w:rsidRPr="00FE714A">
                    <w:rPr>
                      <w:sz w:val="18"/>
                      <w:szCs w:val="22"/>
                    </w:rPr>
                    <w:t>79.9%</w:t>
                  </w:r>
                </w:p>
              </w:tc>
              <w:tc>
                <w:tcPr>
                  <w:tcW w:w="709" w:type="dxa"/>
                  <w:vAlign w:val="center"/>
                </w:tcPr>
                <w:p w14:paraId="5446C9B8" w14:textId="77777777" w:rsidR="00302FB2" w:rsidRPr="00FE714A" w:rsidRDefault="00302FB2" w:rsidP="00F81041">
                  <w:pPr>
                    <w:pStyle w:val="TableText0"/>
                    <w:keepNext w:val="0"/>
                    <w:jc w:val="center"/>
                    <w:rPr>
                      <w:sz w:val="18"/>
                      <w:szCs w:val="22"/>
                    </w:rPr>
                  </w:pPr>
                  <w:r w:rsidRPr="00FE714A">
                    <w:rPr>
                      <w:sz w:val="18"/>
                      <w:szCs w:val="22"/>
                    </w:rPr>
                    <w:t>79.9%</w:t>
                  </w:r>
                </w:p>
              </w:tc>
            </w:tr>
            <w:tr w:rsidR="00302FB2" w:rsidRPr="00FE714A" w14:paraId="6B65CDB3" w14:textId="77777777" w:rsidTr="00550B5E">
              <w:tc>
                <w:tcPr>
                  <w:tcW w:w="930" w:type="dxa"/>
                </w:tcPr>
                <w:p w14:paraId="5D80DC20" w14:textId="77777777" w:rsidR="00302FB2" w:rsidRPr="00FE714A" w:rsidRDefault="00302FB2" w:rsidP="00F81041">
                  <w:pPr>
                    <w:pStyle w:val="TableText0"/>
                    <w:keepNext w:val="0"/>
                    <w:ind w:left="57"/>
                    <w:rPr>
                      <w:sz w:val="18"/>
                      <w:szCs w:val="22"/>
                    </w:rPr>
                  </w:pPr>
                  <w:proofErr w:type="spellStart"/>
                  <w:r w:rsidRPr="00FE714A">
                    <w:rPr>
                      <w:sz w:val="18"/>
                      <w:szCs w:val="22"/>
                    </w:rPr>
                    <w:t>Yr</w:t>
                  </w:r>
                  <w:proofErr w:type="spellEnd"/>
                  <w:r w:rsidRPr="00FE714A">
                    <w:rPr>
                      <w:sz w:val="18"/>
                      <w:szCs w:val="22"/>
                    </w:rPr>
                    <w:t xml:space="preserve"> 4</w:t>
                  </w:r>
                </w:p>
              </w:tc>
              <w:tc>
                <w:tcPr>
                  <w:tcW w:w="654" w:type="dxa"/>
                  <w:vAlign w:val="center"/>
                </w:tcPr>
                <w:p w14:paraId="3389998F" w14:textId="77777777" w:rsidR="00302FB2" w:rsidRPr="00FE714A" w:rsidRDefault="00302FB2" w:rsidP="00F81041">
                  <w:pPr>
                    <w:pStyle w:val="TableText0"/>
                    <w:keepNext w:val="0"/>
                    <w:jc w:val="center"/>
                    <w:rPr>
                      <w:sz w:val="18"/>
                      <w:szCs w:val="22"/>
                    </w:rPr>
                  </w:pPr>
                  <w:r w:rsidRPr="00FE714A">
                    <w:rPr>
                      <w:sz w:val="18"/>
                      <w:szCs w:val="22"/>
                    </w:rPr>
                    <w:t>77.2%</w:t>
                  </w:r>
                </w:p>
              </w:tc>
              <w:tc>
                <w:tcPr>
                  <w:tcW w:w="850" w:type="dxa"/>
                  <w:vAlign w:val="center"/>
                </w:tcPr>
                <w:p w14:paraId="40D4C5EF" w14:textId="77777777" w:rsidR="00302FB2" w:rsidRPr="00FE714A" w:rsidRDefault="00302FB2" w:rsidP="00F81041">
                  <w:pPr>
                    <w:pStyle w:val="TableText0"/>
                    <w:keepNext w:val="0"/>
                    <w:jc w:val="center"/>
                    <w:rPr>
                      <w:sz w:val="18"/>
                      <w:szCs w:val="22"/>
                    </w:rPr>
                  </w:pPr>
                  <w:r w:rsidRPr="00FE714A">
                    <w:rPr>
                      <w:sz w:val="18"/>
                      <w:szCs w:val="22"/>
                    </w:rPr>
                    <w:t>77.2%</w:t>
                  </w:r>
                </w:p>
              </w:tc>
              <w:tc>
                <w:tcPr>
                  <w:tcW w:w="851" w:type="dxa"/>
                  <w:vAlign w:val="center"/>
                </w:tcPr>
                <w:p w14:paraId="3DBA4A80" w14:textId="77777777" w:rsidR="00302FB2" w:rsidRPr="00FE714A" w:rsidRDefault="00302FB2" w:rsidP="00F81041">
                  <w:pPr>
                    <w:pStyle w:val="TableText0"/>
                    <w:keepNext w:val="0"/>
                    <w:jc w:val="center"/>
                    <w:rPr>
                      <w:sz w:val="18"/>
                      <w:szCs w:val="22"/>
                    </w:rPr>
                  </w:pPr>
                  <w:r w:rsidRPr="00FE714A">
                    <w:rPr>
                      <w:sz w:val="18"/>
                      <w:szCs w:val="22"/>
                    </w:rPr>
                    <w:t>77.2%</w:t>
                  </w:r>
                </w:p>
              </w:tc>
              <w:tc>
                <w:tcPr>
                  <w:tcW w:w="709" w:type="dxa"/>
                  <w:vAlign w:val="center"/>
                </w:tcPr>
                <w:p w14:paraId="2EC8E0D3" w14:textId="77777777" w:rsidR="00302FB2" w:rsidRPr="00FE714A" w:rsidRDefault="00302FB2" w:rsidP="00F81041">
                  <w:pPr>
                    <w:pStyle w:val="TableText0"/>
                    <w:keepNext w:val="0"/>
                    <w:jc w:val="center"/>
                    <w:rPr>
                      <w:sz w:val="18"/>
                      <w:szCs w:val="22"/>
                    </w:rPr>
                  </w:pPr>
                  <w:r w:rsidRPr="00FE714A">
                    <w:rPr>
                      <w:sz w:val="18"/>
                      <w:szCs w:val="22"/>
                    </w:rPr>
                    <w:t>77.2%</w:t>
                  </w:r>
                </w:p>
              </w:tc>
            </w:tr>
            <w:tr w:rsidR="00302FB2" w:rsidRPr="00FE714A" w14:paraId="1BBA04EB" w14:textId="77777777" w:rsidTr="00550B5E">
              <w:tc>
                <w:tcPr>
                  <w:tcW w:w="930" w:type="dxa"/>
                </w:tcPr>
                <w:p w14:paraId="3B913E12" w14:textId="77777777" w:rsidR="00302FB2" w:rsidRPr="00FE714A" w:rsidRDefault="00302FB2" w:rsidP="00F81041">
                  <w:pPr>
                    <w:pStyle w:val="TableText0"/>
                    <w:keepNext w:val="0"/>
                    <w:ind w:left="57"/>
                    <w:rPr>
                      <w:sz w:val="18"/>
                      <w:szCs w:val="22"/>
                    </w:rPr>
                  </w:pPr>
                  <w:proofErr w:type="spellStart"/>
                  <w:r w:rsidRPr="00FE714A">
                    <w:rPr>
                      <w:sz w:val="18"/>
                      <w:szCs w:val="22"/>
                    </w:rPr>
                    <w:t>Yr</w:t>
                  </w:r>
                  <w:proofErr w:type="spellEnd"/>
                  <w:r w:rsidRPr="00FE714A">
                    <w:rPr>
                      <w:sz w:val="18"/>
                      <w:szCs w:val="22"/>
                    </w:rPr>
                    <w:t xml:space="preserve"> 5</w:t>
                  </w:r>
                </w:p>
              </w:tc>
              <w:tc>
                <w:tcPr>
                  <w:tcW w:w="654" w:type="dxa"/>
                  <w:vAlign w:val="center"/>
                </w:tcPr>
                <w:p w14:paraId="4E06FDB3" w14:textId="77777777" w:rsidR="00302FB2" w:rsidRPr="00FE714A" w:rsidRDefault="00302FB2" w:rsidP="00F81041">
                  <w:pPr>
                    <w:pStyle w:val="TableText0"/>
                    <w:keepNext w:val="0"/>
                    <w:jc w:val="center"/>
                    <w:rPr>
                      <w:sz w:val="18"/>
                      <w:szCs w:val="22"/>
                    </w:rPr>
                  </w:pPr>
                  <w:r w:rsidRPr="00FE714A">
                    <w:rPr>
                      <w:sz w:val="18"/>
                      <w:szCs w:val="22"/>
                    </w:rPr>
                    <w:t>74.8%</w:t>
                  </w:r>
                </w:p>
              </w:tc>
              <w:tc>
                <w:tcPr>
                  <w:tcW w:w="850" w:type="dxa"/>
                  <w:vAlign w:val="center"/>
                </w:tcPr>
                <w:p w14:paraId="7D3F889A" w14:textId="77777777" w:rsidR="00302FB2" w:rsidRPr="00FE714A" w:rsidRDefault="00302FB2" w:rsidP="00F81041">
                  <w:pPr>
                    <w:pStyle w:val="TableText0"/>
                    <w:keepNext w:val="0"/>
                    <w:jc w:val="center"/>
                    <w:rPr>
                      <w:sz w:val="18"/>
                      <w:szCs w:val="22"/>
                    </w:rPr>
                  </w:pPr>
                  <w:r w:rsidRPr="00FE714A">
                    <w:rPr>
                      <w:sz w:val="18"/>
                      <w:szCs w:val="22"/>
                    </w:rPr>
                    <w:t>74.8%</w:t>
                  </w:r>
                </w:p>
              </w:tc>
              <w:tc>
                <w:tcPr>
                  <w:tcW w:w="851" w:type="dxa"/>
                  <w:vAlign w:val="center"/>
                </w:tcPr>
                <w:p w14:paraId="09686E37" w14:textId="77777777" w:rsidR="00302FB2" w:rsidRPr="00FE714A" w:rsidRDefault="00302FB2" w:rsidP="00F81041">
                  <w:pPr>
                    <w:pStyle w:val="TableText0"/>
                    <w:keepNext w:val="0"/>
                    <w:jc w:val="center"/>
                    <w:rPr>
                      <w:sz w:val="18"/>
                      <w:szCs w:val="22"/>
                    </w:rPr>
                  </w:pPr>
                  <w:r w:rsidRPr="00FE714A">
                    <w:rPr>
                      <w:sz w:val="18"/>
                      <w:szCs w:val="22"/>
                    </w:rPr>
                    <w:t>74.8%</w:t>
                  </w:r>
                </w:p>
              </w:tc>
              <w:tc>
                <w:tcPr>
                  <w:tcW w:w="709" w:type="dxa"/>
                  <w:vAlign w:val="center"/>
                </w:tcPr>
                <w:p w14:paraId="0658E79C" w14:textId="77777777" w:rsidR="00302FB2" w:rsidRPr="00FE714A" w:rsidRDefault="00302FB2" w:rsidP="00F81041">
                  <w:pPr>
                    <w:pStyle w:val="TableText0"/>
                    <w:keepNext w:val="0"/>
                    <w:jc w:val="center"/>
                    <w:rPr>
                      <w:sz w:val="18"/>
                      <w:szCs w:val="22"/>
                    </w:rPr>
                  </w:pPr>
                  <w:r w:rsidRPr="00FE714A">
                    <w:rPr>
                      <w:sz w:val="18"/>
                      <w:szCs w:val="22"/>
                    </w:rPr>
                    <w:t>74.8%</w:t>
                  </w:r>
                </w:p>
              </w:tc>
            </w:tr>
          </w:tbl>
          <w:p w14:paraId="4A5B7C85" w14:textId="77777777" w:rsidR="00302FB2" w:rsidRPr="00FE714A" w:rsidRDefault="00302FB2" w:rsidP="00F81041">
            <w:pPr>
              <w:pStyle w:val="TableText0"/>
              <w:keepNext w:val="0"/>
              <w:rPr>
                <w:i/>
                <w:iCs/>
              </w:rPr>
            </w:pPr>
            <w:r w:rsidRPr="00FE714A">
              <w:t xml:space="preserve">Source: Response for DUPI and UPA were based on those used in the respective submissions (Table 19, DUPI PSD, March 2020; Table 16, UPA PSD, July 2021). Persistence rate was based on those previously used in submissions for DUPI and UPA (Table 19, DUPI PSD, March 2020; Table 16, UPA PSD, July 2021). </w:t>
            </w:r>
          </w:p>
          <w:p w14:paraId="32C4C94B" w14:textId="77777777" w:rsidR="00302FB2" w:rsidRPr="00FE714A" w:rsidRDefault="00302FB2" w:rsidP="00F81041">
            <w:pPr>
              <w:pStyle w:val="TableText0"/>
              <w:keepNext w:val="0"/>
            </w:pPr>
          </w:p>
          <w:p w14:paraId="426B06F5" w14:textId="58270E47" w:rsidR="00302FB2" w:rsidRPr="00FE714A" w:rsidRDefault="00302FB2" w:rsidP="00F81041">
            <w:pPr>
              <w:pStyle w:val="TableText0"/>
              <w:keepNext w:val="0"/>
            </w:pPr>
            <w:r w:rsidRPr="00FE714A">
              <w:t xml:space="preserve">Response rate for LEB was based the combined response rate of patients at 16 weeks plus response rate of patients at 24 weeks who did not respond at 16 weeks </w:t>
            </w:r>
            <w:r w:rsidRPr="006B0B29">
              <w:t xml:space="preserve">(discussed in para </w:t>
            </w:r>
            <w:r w:rsidRPr="006B0B29">
              <w:fldChar w:fldCharType="begin" w:fldLock="1"/>
            </w:r>
            <w:r w:rsidRPr="006B0B29">
              <w:instrText xml:space="preserve"> REF _Ref155620002 \r \h  \* MERGEFORMAT </w:instrText>
            </w:r>
            <w:r w:rsidRPr="006B0B29">
              <w:fldChar w:fldCharType="separate"/>
            </w:r>
            <w:r w:rsidR="00B3585E">
              <w:t>6.65</w:t>
            </w:r>
            <w:r w:rsidRPr="006B0B29">
              <w:fldChar w:fldCharType="end"/>
            </w:r>
            <w:r w:rsidRPr="006B0B29">
              <w:t xml:space="preserve">) </w:t>
            </w:r>
          </w:p>
          <w:p w14:paraId="1EF6AE23" w14:textId="77777777" w:rsidR="00302FB2" w:rsidRPr="00FE714A" w:rsidRDefault="00302FB2" w:rsidP="00F81041">
            <w:pPr>
              <w:pStyle w:val="TableText0"/>
              <w:keepNext w:val="0"/>
            </w:pPr>
          </w:p>
        </w:tc>
        <w:tc>
          <w:tcPr>
            <w:tcW w:w="1991" w:type="pct"/>
            <w:vAlign w:val="center"/>
          </w:tcPr>
          <w:p w14:paraId="788332FA" w14:textId="4B040B77" w:rsidR="00302FB2" w:rsidRPr="00FE714A" w:rsidRDefault="00302FB2" w:rsidP="008D0D2E">
            <w:pPr>
              <w:pStyle w:val="TableText0"/>
              <w:keepLines/>
              <w:rPr>
                <w:i/>
                <w:iCs/>
              </w:rPr>
            </w:pPr>
            <w:r w:rsidRPr="00FE714A">
              <w:t>The PBAC previously did not accept that assuming a difference in response (for UPA vs DUPI) was reasonable (Table 16, UPA PSD), given the claim of non-inferiority of UPA 15 mg vs DUPI, and given the PBAC did not accept the submission’s claim that UPA 30 mg was superior to DUPI in terms of response (paragraph 7.1, UPA PSD).</w:t>
            </w:r>
            <w:r w:rsidRPr="00FE714A">
              <w:rPr>
                <w:i/>
                <w:iCs/>
              </w:rPr>
              <w:t xml:space="preserve"> </w:t>
            </w:r>
          </w:p>
          <w:p w14:paraId="42A5D8C1" w14:textId="77777777" w:rsidR="00302FB2" w:rsidRPr="00FE714A" w:rsidRDefault="00302FB2" w:rsidP="008D0D2E">
            <w:pPr>
              <w:pStyle w:val="TableText0"/>
              <w:keepLines/>
            </w:pPr>
            <w:r w:rsidRPr="00FE714A">
              <w:t xml:space="preserve">The overall response rate used by the submission for LEB was inappropriate and was inconsistent with the submission’s claim of non-inferiority to DUPI. </w:t>
            </w:r>
          </w:p>
          <w:p w14:paraId="3E47CE32" w14:textId="77777777" w:rsidR="003478D7" w:rsidRPr="00FE714A" w:rsidRDefault="003478D7" w:rsidP="008D0D2E">
            <w:pPr>
              <w:pStyle w:val="TableText0"/>
              <w:keepLines/>
              <w:rPr>
                <w:i/>
                <w:iCs/>
              </w:rPr>
            </w:pPr>
          </w:p>
          <w:p w14:paraId="1639CE9F" w14:textId="2EE612F7" w:rsidR="00302FB2" w:rsidRPr="00FE714A" w:rsidRDefault="00302FB2" w:rsidP="008D0D2E">
            <w:pPr>
              <w:pStyle w:val="TableText0"/>
              <w:keepLines/>
              <w:rPr>
                <w:szCs w:val="20"/>
              </w:rPr>
            </w:pPr>
            <w:r w:rsidRPr="00FE714A">
              <w:t xml:space="preserve">The submission applied the same persistence estimates as assumed by the DUPI March 2020 and UPA July 2021 submissions. </w:t>
            </w:r>
            <w:r w:rsidR="007940A2" w:rsidRPr="00FE714A">
              <w:rPr>
                <w:szCs w:val="20"/>
              </w:rPr>
              <w:t>In the 10% PBS sample, for the 2022 calendar year, 75.10% of patients who initiated DUPI, continued with treatment and 56.40% of patients who initiated with UPA continued treatment. DUSC also noted that the persistence rates are higher than observed in the Prospection analysis and considered that utilisation might be overestimated based on persistence rates.</w:t>
            </w:r>
          </w:p>
        </w:tc>
      </w:tr>
      <w:tr w:rsidR="00302FB2" w:rsidRPr="00FE714A" w14:paraId="6B6B2C2B" w14:textId="77777777" w:rsidTr="00550B5E">
        <w:tc>
          <w:tcPr>
            <w:tcW w:w="770" w:type="pct"/>
            <w:vAlign w:val="center"/>
          </w:tcPr>
          <w:p w14:paraId="37AF69E2" w14:textId="77777777" w:rsidR="00302FB2" w:rsidRPr="00FE714A" w:rsidRDefault="00302FB2" w:rsidP="00F81041">
            <w:pPr>
              <w:pStyle w:val="TableText0"/>
              <w:keepNext w:val="0"/>
            </w:pPr>
            <w:r w:rsidRPr="00FE714A">
              <w:lastRenderedPageBreak/>
              <w:t>LEB distribution of standard versus extended induction</w:t>
            </w:r>
          </w:p>
        </w:tc>
        <w:tc>
          <w:tcPr>
            <w:tcW w:w="2239" w:type="pct"/>
            <w:vAlign w:val="center"/>
          </w:tcPr>
          <w:p w14:paraId="5F7DCD0E" w14:textId="77777777" w:rsidR="00302FB2" w:rsidRPr="00FE714A" w:rsidRDefault="00302FB2" w:rsidP="00F81041">
            <w:pPr>
              <w:pStyle w:val="TableText0"/>
              <w:keepNext w:val="0"/>
            </w:pPr>
            <w:r w:rsidRPr="00FE714A">
              <w:t>Standard induction: 52.8% (proportion of responders at Week 16)</w:t>
            </w:r>
          </w:p>
          <w:p w14:paraId="783076A3" w14:textId="77777777" w:rsidR="00302FB2" w:rsidRPr="00FE714A" w:rsidRDefault="00302FB2" w:rsidP="00F81041">
            <w:pPr>
              <w:pStyle w:val="TableText0"/>
              <w:keepNext w:val="0"/>
            </w:pPr>
            <w:r w:rsidRPr="00FE714A">
              <w:t>Extended induction: 47.2% (proportion of non-responders at Week 16)</w:t>
            </w:r>
          </w:p>
          <w:p w14:paraId="76444246" w14:textId="77777777" w:rsidR="00302FB2" w:rsidRPr="00FE714A" w:rsidRDefault="00302FB2" w:rsidP="00F81041">
            <w:pPr>
              <w:pStyle w:val="TableText0"/>
              <w:keepNext w:val="0"/>
            </w:pPr>
            <w:r w:rsidRPr="00FE714A">
              <w:t>Source: Pooled analysis of LEB clinical trials at Week 16 (based on the composite outcome of EASI 50 and DLQI improvement ≥ 4 points) and analysis of escape arm at Week 24.</w:t>
            </w:r>
          </w:p>
        </w:tc>
        <w:tc>
          <w:tcPr>
            <w:tcW w:w="1991" w:type="pct"/>
            <w:vAlign w:val="center"/>
          </w:tcPr>
          <w:p w14:paraId="33AF6966" w14:textId="521D314F" w:rsidR="00302FB2" w:rsidRPr="00FE714A" w:rsidRDefault="00E719C8" w:rsidP="00F81041">
            <w:pPr>
              <w:pStyle w:val="TableText0"/>
              <w:keepNext w:val="0"/>
            </w:pPr>
            <w:r w:rsidRPr="00FE714A">
              <w:t>The PBAC considered that the additional cost for extended induction should be accounted for in the cost-minimisation approach. As such there should be no overall additional cost for LEB compared with DUPI and UPA.</w:t>
            </w:r>
          </w:p>
        </w:tc>
      </w:tr>
    </w:tbl>
    <w:p w14:paraId="098A5DB8" w14:textId="77777777" w:rsidR="00302FB2" w:rsidRPr="00FE714A" w:rsidRDefault="00302FB2" w:rsidP="00302FB2">
      <w:pPr>
        <w:pStyle w:val="FooterTableFigure"/>
      </w:pPr>
      <w:r w:rsidRPr="00FE714A">
        <w:t>Source: Tables 4.1-1, 4.1-2, 4.1-3, 4.1-4, 4.1-6, 4.1-7, 4.1-8, 4.1-12, pp378-382, 386,387 &amp; 392 of the submission.</w:t>
      </w:r>
    </w:p>
    <w:p w14:paraId="1C3A0522" w14:textId="77777777" w:rsidR="00302FB2" w:rsidRDefault="00302FB2" w:rsidP="00302FB2">
      <w:pPr>
        <w:pStyle w:val="FooterTableFigure"/>
      </w:pPr>
      <w:r w:rsidRPr="00FE714A">
        <w:t xml:space="preserve">AD = atopic dermatitis; DLQI = dermatology life quality index; DUPI = dupilumab; EASI = eczema area and severity index; PGA = physician’s global assessment; LEB = lebrikizumab; PBS = Pharmaceutical Benefits Scheme; Q2W = every 2 weeks; TCI = topical calcineurin inhibitor; TCS = topical corticosteroids; UPA = upadacitinib; </w:t>
      </w:r>
      <w:proofErr w:type="spellStart"/>
      <w:r w:rsidRPr="00FE714A">
        <w:t>Yr</w:t>
      </w:r>
      <w:proofErr w:type="spellEnd"/>
      <w:r w:rsidRPr="00FE714A">
        <w:t xml:space="preserve"> = year</w:t>
      </w:r>
    </w:p>
    <w:p w14:paraId="70689012" w14:textId="677DB135" w:rsidR="00595967" w:rsidRPr="00AF7C9E" w:rsidRDefault="00595967" w:rsidP="00302FB2">
      <w:pPr>
        <w:pStyle w:val="FooterTableFigure"/>
        <w:rPr>
          <w:i/>
          <w:iCs/>
        </w:rPr>
      </w:pPr>
      <w:r w:rsidRPr="00AF7C9E">
        <w:rPr>
          <w:i/>
          <w:iCs/>
        </w:rPr>
        <w:t>The redacted values correspond to the following ranges</w:t>
      </w:r>
      <w:r w:rsidR="00AF7C9E">
        <w:rPr>
          <w:i/>
          <w:iCs/>
        </w:rPr>
        <w:t>:</w:t>
      </w:r>
    </w:p>
    <w:p w14:paraId="5BC7225C" w14:textId="1E2D2C71" w:rsidR="00595967" w:rsidRPr="00AF7C9E" w:rsidRDefault="00595967" w:rsidP="00302FB2">
      <w:pPr>
        <w:pStyle w:val="FooterTableFigure"/>
        <w:rPr>
          <w:i/>
          <w:iCs/>
        </w:rPr>
      </w:pPr>
      <w:r w:rsidRPr="00AF7C9E">
        <w:rPr>
          <w:i/>
          <w:iCs/>
          <w:vertAlign w:val="superscript"/>
        </w:rPr>
        <w:t>1</w:t>
      </w:r>
      <w:r w:rsidRPr="00AF7C9E">
        <w:rPr>
          <w:i/>
          <w:iCs/>
        </w:rPr>
        <w:t xml:space="preserve"> 100,000 to &lt; 200,000</w:t>
      </w:r>
    </w:p>
    <w:p w14:paraId="2177FF8B" w14:textId="55E2406D" w:rsidR="00595967" w:rsidRPr="00AF7C9E" w:rsidRDefault="00595967" w:rsidP="00595967">
      <w:pPr>
        <w:pStyle w:val="FooterTableFigure"/>
        <w:rPr>
          <w:i/>
          <w:iCs/>
        </w:rPr>
      </w:pPr>
      <w:r w:rsidRPr="00AF7C9E">
        <w:rPr>
          <w:i/>
          <w:iCs/>
          <w:vertAlign w:val="superscript"/>
        </w:rPr>
        <w:t>2</w:t>
      </w:r>
      <w:r w:rsidRPr="00AF7C9E">
        <w:rPr>
          <w:i/>
          <w:iCs/>
        </w:rPr>
        <w:t xml:space="preserve"> 1,000,000 to &lt; 2,000,000</w:t>
      </w:r>
    </w:p>
    <w:p w14:paraId="5EE762F9" w14:textId="115BCF20" w:rsidR="00595967" w:rsidRPr="00AF7C9E" w:rsidRDefault="00595967" w:rsidP="00595967">
      <w:pPr>
        <w:pStyle w:val="FooterTableFigure"/>
        <w:rPr>
          <w:i/>
          <w:iCs/>
        </w:rPr>
      </w:pPr>
      <w:r w:rsidRPr="00AF7C9E">
        <w:rPr>
          <w:i/>
          <w:iCs/>
          <w:vertAlign w:val="superscript"/>
        </w:rPr>
        <w:t>3</w:t>
      </w:r>
      <w:r w:rsidRPr="00AF7C9E">
        <w:rPr>
          <w:i/>
          <w:iCs/>
        </w:rPr>
        <w:t xml:space="preserve"> 2,000,000 to &lt; 3,000,000</w:t>
      </w:r>
    </w:p>
    <w:p w14:paraId="78E3A00C" w14:textId="4DE8C75B" w:rsidR="00302FB2" w:rsidRPr="00FE714A" w:rsidRDefault="00302FB2" w:rsidP="00302FB2">
      <w:pPr>
        <w:pStyle w:val="3-BodyText"/>
      </w:pPr>
      <w:bookmarkStart w:id="59" w:name="_Ref155620002"/>
      <w:r w:rsidRPr="00FE714A">
        <w:t xml:space="preserve">The response rate for LEB used in the financial estimates was based </w:t>
      </w:r>
      <w:r w:rsidR="007940A2" w:rsidRPr="00FE714A">
        <w:t xml:space="preserve">on </w:t>
      </w:r>
      <w:r w:rsidRPr="00FE714A">
        <w:t>the combined response rate of patients at 16 weeks plus response rate of patients at 24 weeks who did not respond at 16 weeks and was inconsistent with the submission’s claim of non</w:t>
      </w:r>
      <w:r w:rsidRPr="00FE714A">
        <w:noBreakHyphen/>
        <w:t>inferior efficacy against DUPI. The response rate at 16 weeks was based on a pooled analysis of LEB at Week 16 for the composite outcome of EASI 50 and DLQI ≥</w:t>
      </w:r>
      <w:r w:rsidR="008D0D2E">
        <w:t> </w:t>
      </w:r>
      <w:r w:rsidRPr="00FE714A">
        <w:t>4</w:t>
      </w:r>
      <w:r w:rsidR="008D0D2E">
        <w:noBreakHyphen/>
      </w:r>
      <w:r w:rsidRPr="00FE714A">
        <w:t xml:space="preserve">point improvement (52.8%; 95/180, see </w:t>
      </w:r>
      <w:r w:rsidRPr="00FE714A">
        <w:fldChar w:fldCharType="begin" w:fldLock="1"/>
      </w:r>
      <w:r w:rsidRPr="00FE714A">
        <w:instrText xml:space="preserve"> REF _Ref155542170 \h </w:instrText>
      </w:r>
      <w:r w:rsidRPr="00FE714A">
        <w:fldChar w:fldCharType="separate"/>
      </w:r>
      <w:r w:rsidR="00B3585E" w:rsidRPr="00FE714A">
        <w:t xml:space="preserve">Table </w:t>
      </w:r>
      <w:r w:rsidR="00B3585E">
        <w:rPr>
          <w:noProof/>
        </w:rPr>
        <w:t>4</w:t>
      </w:r>
      <w:r w:rsidRPr="00FE714A">
        <w:fldChar w:fldCharType="end"/>
      </w:r>
      <w:r w:rsidRPr="00FE714A">
        <w:t>), leaving 85 patients (47.2%, 85/180) who were not responders at week 16.</w:t>
      </w:r>
      <w:bookmarkEnd w:id="59"/>
      <w:r w:rsidRPr="00FE714A">
        <w:t xml:space="preserve"> Response at 24 weeks among patients who did not respond at 16 weeks was based on the proportion of pooled patients who achieved an EASI 75 response (58.6%; 255/435) between Week 16 and 24 of the ‘Week</w:t>
      </w:r>
      <w:r w:rsidR="008D0D2E">
        <w:t> </w:t>
      </w:r>
      <w:r w:rsidRPr="00FE714A">
        <w:t xml:space="preserve">16 escape’ arms of </w:t>
      </w:r>
      <w:proofErr w:type="spellStart"/>
      <w:r w:rsidRPr="00FE714A">
        <w:t>ADvocate</w:t>
      </w:r>
      <w:proofErr w:type="spellEnd"/>
      <w:r w:rsidRPr="00FE714A">
        <w:t xml:space="preserve"> 1 and </w:t>
      </w:r>
      <w:proofErr w:type="spellStart"/>
      <w:r w:rsidRPr="00FE714A">
        <w:t>ADvocate</w:t>
      </w:r>
      <w:proofErr w:type="spellEnd"/>
      <w:r w:rsidRPr="00FE714A">
        <w:t xml:space="preserve"> 2. The submission then estimated that 50 patients (58.6% of 85 patients) who did not respond at week 16 will become responders at week 24. These two responder numbers were added to obtain an overall response rate at Week 24 of 80.5% ((95+50)/180). </w:t>
      </w:r>
    </w:p>
    <w:p w14:paraId="7752FCB3" w14:textId="64A5C64A" w:rsidR="00302FB2" w:rsidRPr="00FE714A" w:rsidRDefault="00302FB2" w:rsidP="00302FB2">
      <w:pPr>
        <w:pStyle w:val="3-BodyText"/>
        <w:rPr>
          <w:color w:val="0066FF"/>
        </w:rPr>
      </w:pPr>
      <w:r w:rsidRPr="00FE714A">
        <w:fldChar w:fldCharType="begin" w:fldLock="1"/>
      </w:r>
      <w:r w:rsidRPr="00FE714A">
        <w:instrText xml:space="preserve"> REF _Ref155664386 \h </w:instrText>
      </w:r>
      <w:r w:rsidRPr="00FE714A">
        <w:fldChar w:fldCharType="separate"/>
      </w:r>
      <w:r w:rsidR="00B3585E" w:rsidRPr="00FE714A">
        <w:t xml:space="preserve">Table </w:t>
      </w:r>
      <w:r w:rsidR="00B3585E">
        <w:rPr>
          <w:noProof/>
        </w:rPr>
        <w:t>19</w:t>
      </w:r>
      <w:r w:rsidRPr="00FE714A">
        <w:fldChar w:fldCharType="end"/>
      </w:r>
      <w:r w:rsidRPr="00FE714A">
        <w:t xml:space="preserve"> presents the estimated net financial implications for the proposed listing of LEB for treatment of severe AD (</w:t>
      </w:r>
      <w:r w:rsidR="002553AF" w:rsidRPr="00FE714A">
        <w:t xml:space="preserve">including </w:t>
      </w:r>
      <w:r w:rsidRPr="00FE714A">
        <w:t>whole body and AD affecting the face and/or hands</w:t>
      </w:r>
      <w:r w:rsidR="002553AF" w:rsidRPr="00FE714A">
        <w:t xml:space="preserve"> only</w:t>
      </w:r>
      <w:r w:rsidRPr="00FE714A">
        <w:t xml:space="preserve">) over the first 6 years. </w:t>
      </w:r>
    </w:p>
    <w:p w14:paraId="45B54455" w14:textId="01510005" w:rsidR="00302FB2" w:rsidRPr="00FE714A" w:rsidRDefault="00302FB2" w:rsidP="008D0D2E">
      <w:pPr>
        <w:pStyle w:val="Caption"/>
        <w:keepNext w:val="0"/>
        <w:keepLines w:val="0"/>
        <w:rPr>
          <w:rStyle w:val="CommentReference"/>
          <w:b/>
          <w:szCs w:val="24"/>
        </w:rPr>
      </w:pPr>
      <w:bookmarkStart w:id="60" w:name="_Ref155664386"/>
      <w:r w:rsidRPr="00FE714A">
        <w:t xml:space="preserve">Table </w:t>
      </w:r>
      <w:r w:rsidR="008B26E3">
        <w:fldChar w:fldCharType="begin" w:fldLock="1"/>
      </w:r>
      <w:r w:rsidR="008B26E3">
        <w:instrText xml:space="preserve"> SEQ Table \* ARABIC </w:instrText>
      </w:r>
      <w:r w:rsidR="008B26E3">
        <w:fldChar w:fldCharType="separate"/>
      </w:r>
      <w:r w:rsidR="00B3585E">
        <w:rPr>
          <w:noProof/>
        </w:rPr>
        <w:t>19</w:t>
      </w:r>
      <w:r w:rsidR="008B26E3">
        <w:rPr>
          <w:noProof/>
        </w:rPr>
        <w:fldChar w:fldCharType="end"/>
      </w:r>
      <w:bookmarkEnd w:id="60"/>
      <w:r w:rsidRPr="00FE714A">
        <w:t>:</w:t>
      </w:r>
      <w:r w:rsidRPr="00FE714A">
        <w:rPr>
          <w:rStyle w:val="CommentReference"/>
          <w:b/>
          <w:szCs w:val="24"/>
        </w:rPr>
        <w:t xml:space="preserve"> Estimated use and financial implications</w:t>
      </w:r>
      <w:r w:rsidR="007D7CD4" w:rsidRPr="00FE714A">
        <w:rPr>
          <w:rStyle w:val="CommentReference"/>
          <w:b/>
          <w:szCs w:val="24"/>
        </w:rPr>
        <w:t xml:space="preserve"> (based on published prices)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Estimated use and financial implications (based on published prices)"/>
      </w:tblPr>
      <w:tblGrid>
        <w:gridCol w:w="2263"/>
        <w:gridCol w:w="1134"/>
        <w:gridCol w:w="1134"/>
        <w:gridCol w:w="1134"/>
        <w:gridCol w:w="1134"/>
        <w:gridCol w:w="1134"/>
        <w:gridCol w:w="1134"/>
      </w:tblGrid>
      <w:tr w:rsidR="00302FB2" w:rsidRPr="00FE714A" w14:paraId="63B22F1B" w14:textId="77777777" w:rsidTr="00F81041">
        <w:trPr>
          <w:tblHeader/>
        </w:trPr>
        <w:tc>
          <w:tcPr>
            <w:tcW w:w="2263" w:type="dxa"/>
            <w:shd w:val="clear" w:color="auto" w:fill="auto"/>
            <w:vAlign w:val="center"/>
          </w:tcPr>
          <w:p w14:paraId="560B3A88" w14:textId="77777777" w:rsidR="00302FB2" w:rsidRPr="00FE714A" w:rsidRDefault="00302FB2" w:rsidP="008D0D2E">
            <w:pPr>
              <w:pStyle w:val="In-tableHeading"/>
              <w:keepNext w:val="0"/>
              <w:rPr>
                <w:szCs w:val="20"/>
                <w:lang w:val="en-AU"/>
              </w:rPr>
            </w:pPr>
          </w:p>
        </w:tc>
        <w:tc>
          <w:tcPr>
            <w:tcW w:w="1134" w:type="dxa"/>
            <w:shd w:val="clear" w:color="auto" w:fill="auto"/>
            <w:vAlign w:val="center"/>
          </w:tcPr>
          <w:p w14:paraId="07D16274" w14:textId="77777777" w:rsidR="00302FB2" w:rsidRPr="00FE714A" w:rsidRDefault="00302FB2" w:rsidP="008D0D2E">
            <w:pPr>
              <w:pStyle w:val="In-tableHeading"/>
              <w:keepNext w:val="0"/>
              <w:jc w:val="center"/>
              <w:rPr>
                <w:szCs w:val="20"/>
                <w:lang w:val="en-AU"/>
              </w:rPr>
            </w:pPr>
            <w:r w:rsidRPr="00FE714A">
              <w:rPr>
                <w:szCs w:val="20"/>
                <w:lang w:val="en-AU"/>
              </w:rPr>
              <w:t>Year 1</w:t>
            </w:r>
          </w:p>
        </w:tc>
        <w:tc>
          <w:tcPr>
            <w:tcW w:w="1134" w:type="dxa"/>
            <w:shd w:val="clear" w:color="auto" w:fill="auto"/>
            <w:vAlign w:val="center"/>
          </w:tcPr>
          <w:p w14:paraId="06BAB6F7" w14:textId="77777777" w:rsidR="00302FB2" w:rsidRPr="00FE714A" w:rsidRDefault="00302FB2" w:rsidP="008D0D2E">
            <w:pPr>
              <w:pStyle w:val="In-tableHeading"/>
              <w:keepNext w:val="0"/>
              <w:jc w:val="center"/>
              <w:rPr>
                <w:szCs w:val="20"/>
                <w:lang w:val="en-AU"/>
              </w:rPr>
            </w:pPr>
            <w:r w:rsidRPr="00FE714A">
              <w:rPr>
                <w:szCs w:val="20"/>
                <w:lang w:val="en-AU"/>
              </w:rPr>
              <w:t>Year 2</w:t>
            </w:r>
          </w:p>
        </w:tc>
        <w:tc>
          <w:tcPr>
            <w:tcW w:w="1134" w:type="dxa"/>
            <w:shd w:val="clear" w:color="auto" w:fill="auto"/>
            <w:vAlign w:val="center"/>
          </w:tcPr>
          <w:p w14:paraId="4409C565" w14:textId="77777777" w:rsidR="00302FB2" w:rsidRPr="00FE714A" w:rsidRDefault="00302FB2" w:rsidP="008D0D2E">
            <w:pPr>
              <w:pStyle w:val="In-tableHeading"/>
              <w:keepNext w:val="0"/>
              <w:jc w:val="center"/>
              <w:rPr>
                <w:szCs w:val="20"/>
                <w:lang w:val="en-AU"/>
              </w:rPr>
            </w:pPr>
            <w:r w:rsidRPr="00FE714A">
              <w:rPr>
                <w:szCs w:val="20"/>
                <w:lang w:val="en-AU"/>
              </w:rPr>
              <w:t>Year 3</w:t>
            </w:r>
          </w:p>
        </w:tc>
        <w:tc>
          <w:tcPr>
            <w:tcW w:w="1134" w:type="dxa"/>
            <w:shd w:val="clear" w:color="auto" w:fill="auto"/>
            <w:vAlign w:val="center"/>
          </w:tcPr>
          <w:p w14:paraId="45E69F37" w14:textId="77777777" w:rsidR="00302FB2" w:rsidRPr="00FE714A" w:rsidRDefault="00302FB2" w:rsidP="008D0D2E">
            <w:pPr>
              <w:pStyle w:val="In-tableHeading"/>
              <w:keepNext w:val="0"/>
              <w:jc w:val="center"/>
              <w:rPr>
                <w:szCs w:val="20"/>
                <w:lang w:val="en-AU"/>
              </w:rPr>
            </w:pPr>
            <w:r w:rsidRPr="00FE714A">
              <w:rPr>
                <w:szCs w:val="20"/>
                <w:lang w:val="en-AU"/>
              </w:rPr>
              <w:t>Year 4</w:t>
            </w:r>
          </w:p>
        </w:tc>
        <w:tc>
          <w:tcPr>
            <w:tcW w:w="1134" w:type="dxa"/>
            <w:shd w:val="clear" w:color="auto" w:fill="auto"/>
            <w:vAlign w:val="center"/>
          </w:tcPr>
          <w:p w14:paraId="3B76CD8F" w14:textId="77777777" w:rsidR="00302FB2" w:rsidRPr="00FE714A" w:rsidRDefault="00302FB2" w:rsidP="008D0D2E">
            <w:pPr>
              <w:pStyle w:val="In-tableHeading"/>
              <w:keepNext w:val="0"/>
              <w:jc w:val="center"/>
              <w:rPr>
                <w:szCs w:val="20"/>
                <w:lang w:val="en-AU"/>
              </w:rPr>
            </w:pPr>
            <w:r w:rsidRPr="00FE714A">
              <w:rPr>
                <w:szCs w:val="20"/>
                <w:lang w:val="en-AU"/>
              </w:rPr>
              <w:t>Year 5</w:t>
            </w:r>
          </w:p>
        </w:tc>
        <w:tc>
          <w:tcPr>
            <w:tcW w:w="1134" w:type="dxa"/>
            <w:shd w:val="clear" w:color="auto" w:fill="auto"/>
            <w:vAlign w:val="center"/>
          </w:tcPr>
          <w:p w14:paraId="57B8B2DA" w14:textId="77777777" w:rsidR="00302FB2" w:rsidRPr="00FE714A" w:rsidRDefault="00302FB2" w:rsidP="008D0D2E">
            <w:pPr>
              <w:pStyle w:val="In-tableHeading"/>
              <w:keepNext w:val="0"/>
              <w:jc w:val="center"/>
              <w:rPr>
                <w:szCs w:val="20"/>
                <w:lang w:val="en-AU"/>
              </w:rPr>
            </w:pPr>
            <w:r w:rsidRPr="00FE714A">
              <w:rPr>
                <w:szCs w:val="20"/>
                <w:lang w:val="en-AU"/>
              </w:rPr>
              <w:t>Year 6</w:t>
            </w:r>
          </w:p>
        </w:tc>
      </w:tr>
      <w:tr w:rsidR="00302FB2" w:rsidRPr="00FE714A" w14:paraId="5C7289D4" w14:textId="77777777" w:rsidTr="00F81041">
        <w:tc>
          <w:tcPr>
            <w:tcW w:w="9067" w:type="dxa"/>
            <w:gridSpan w:val="7"/>
            <w:shd w:val="clear" w:color="auto" w:fill="auto"/>
            <w:vAlign w:val="center"/>
          </w:tcPr>
          <w:p w14:paraId="45C61DD0" w14:textId="77777777" w:rsidR="00302FB2" w:rsidRPr="00FE714A" w:rsidRDefault="00302FB2" w:rsidP="008D0D2E">
            <w:pPr>
              <w:pStyle w:val="TableText0"/>
              <w:keepNext w:val="0"/>
              <w:rPr>
                <w:b/>
                <w:bCs w:val="0"/>
                <w:szCs w:val="20"/>
              </w:rPr>
            </w:pPr>
            <w:r w:rsidRPr="00FE714A">
              <w:rPr>
                <w:b/>
                <w:bCs w:val="0"/>
                <w:szCs w:val="20"/>
              </w:rPr>
              <w:t>Estimation of use and financial impact of the proposed medicine (PBS and RPBS)</w:t>
            </w:r>
          </w:p>
        </w:tc>
      </w:tr>
      <w:tr w:rsidR="00302FB2" w:rsidRPr="00FE714A" w14:paraId="6D8A50E7" w14:textId="77777777" w:rsidTr="00F81041">
        <w:tc>
          <w:tcPr>
            <w:tcW w:w="2263" w:type="dxa"/>
            <w:shd w:val="clear" w:color="auto" w:fill="auto"/>
            <w:vAlign w:val="center"/>
          </w:tcPr>
          <w:p w14:paraId="311E7EFB" w14:textId="77777777" w:rsidR="00302FB2" w:rsidRPr="00FE714A" w:rsidRDefault="00302FB2" w:rsidP="008D0D2E">
            <w:pPr>
              <w:pStyle w:val="TableText0"/>
              <w:keepNext w:val="0"/>
              <w:rPr>
                <w:szCs w:val="20"/>
              </w:rPr>
            </w:pPr>
            <w:r w:rsidRPr="00FE714A">
              <w:rPr>
                <w:szCs w:val="20"/>
              </w:rPr>
              <w:t xml:space="preserve">Prevalent AD population (12-17 </w:t>
            </w:r>
            <w:proofErr w:type="spellStart"/>
            <w:r w:rsidRPr="00FE714A">
              <w:rPr>
                <w:szCs w:val="20"/>
              </w:rPr>
              <w:t>yrs</w:t>
            </w:r>
            <w:proofErr w:type="spellEnd"/>
            <w:r w:rsidRPr="00FE714A">
              <w:rPr>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FA2B69" w14:textId="546185EE"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7"/>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7"/>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7"/>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605F3F" w14:textId="5A53071A"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6"/>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6"/>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32B05B" w14:textId="087F2DA3"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5"/>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5"/>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5"/>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A45CF0" w14:textId="5F4E97F7"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4"/>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4"/>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4"/>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8E40C5" w14:textId="001D9CEF"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3"/>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3"/>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3"/>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57C0C0" w14:textId="627FBDAC"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2"/>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2"/>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r>
      <w:tr w:rsidR="00302FB2" w:rsidRPr="00FE714A" w14:paraId="353FBDA3" w14:textId="77777777" w:rsidTr="00F81041">
        <w:tc>
          <w:tcPr>
            <w:tcW w:w="2263" w:type="dxa"/>
            <w:shd w:val="clear" w:color="auto" w:fill="auto"/>
            <w:vAlign w:val="center"/>
          </w:tcPr>
          <w:p w14:paraId="6E4E8EDF" w14:textId="77777777" w:rsidR="00302FB2" w:rsidRPr="00FE714A" w:rsidRDefault="00302FB2" w:rsidP="008D0D2E">
            <w:pPr>
              <w:pStyle w:val="TableText0"/>
              <w:keepNext w:val="0"/>
              <w:rPr>
                <w:szCs w:val="20"/>
              </w:rPr>
            </w:pPr>
            <w:r w:rsidRPr="00FE714A">
              <w:rPr>
                <w:szCs w:val="20"/>
              </w:rPr>
              <w:t xml:space="preserve">Prevalent AD population (≥18 </w:t>
            </w:r>
            <w:proofErr w:type="spellStart"/>
            <w:r w:rsidRPr="00FE714A">
              <w:rPr>
                <w:szCs w:val="20"/>
              </w:rPr>
              <w:t>yrs</w:t>
            </w:r>
            <w:proofErr w:type="spellEnd"/>
            <w:r w:rsidRPr="00FE714A">
              <w:rPr>
                <w:szCs w:val="20"/>
              </w:rPr>
              <w:t>)</w:t>
            </w:r>
          </w:p>
        </w:tc>
        <w:tc>
          <w:tcPr>
            <w:tcW w:w="1134" w:type="dxa"/>
            <w:shd w:val="clear" w:color="auto" w:fill="auto"/>
          </w:tcPr>
          <w:p w14:paraId="56CC0303" w14:textId="2211EE38"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1"/>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1"/>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2</w:t>
            </w:r>
          </w:p>
        </w:tc>
        <w:tc>
          <w:tcPr>
            <w:tcW w:w="1134" w:type="dxa"/>
            <w:shd w:val="clear" w:color="auto" w:fill="auto"/>
          </w:tcPr>
          <w:p w14:paraId="6B9C699F" w14:textId="47B91FD7"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0"/>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0"/>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2</w:t>
            </w:r>
          </w:p>
        </w:tc>
        <w:tc>
          <w:tcPr>
            <w:tcW w:w="1134" w:type="dxa"/>
            <w:shd w:val="clear" w:color="auto" w:fill="auto"/>
          </w:tcPr>
          <w:p w14:paraId="6A8CE94D" w14:textId="629E6838"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19"/>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19"/>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19"/>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2</w:t>
            </w:r>
          </w:p>
        </w:tc>
        <w:tc>
          <w:tcPr>
            <w:tcW w:w="1134" w:type="dxa"/>
            <w:shd w:val="clear" w:color="auto" w:fill="auto"/>
          </w:tcPr>
          <w:p w14:paraId="3ADF2895" w14:textId="6C0AC8B6"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18"/>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18"/>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18"/>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3</w:t>
            </w:r>
          </w:p>
        </w:tc>
        <w:tc>
          <w:tcPr>
            <w:tcW w:w="1134" w:type="dxa"/>
            <w:shd w:val="clear" w:color="auto" w:fill="auto"/>
          </w:tcPr>
          <w:p w14:paraId="1E24AE67" w14:textId="2497E158"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17"/>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17"/>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17"/>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3</w:t>
            </w:r>
          </w:p>
        </w:tc>
        <w:tc>
          <w:tcPr>
            <w:tcW w:w="1134" w:type="dxa"/>
            <w:shd w:val="clear" w:color="auto" w:fill="auto"/>
          </w:tcPr>
          <w:p w14:paraId="004369D5" w14:textId="0F37F31B"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1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16"/>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16"/>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3</w:t>
            </w:r>
          </w:p>
        </w:tc>
      </w:tr>
      <w:tr w:rsidR="00302FB2" w:rsidRPr="00FE714A" w14:paraId="3DFA5597" w14:textId="77777777" w:rsidTr="00F81041">
        <w:tc>
          <w:tcPr>
            <w:tcW w:w="2263" w:type="dxa"/>
            <w:shd w:val="clear" w:color="auto" w:fill="auto"/>
            <w:vAlign w:val="center"/>
          </w:tcPr>
          <w:p w14:paraId="695AE4F7" w14:textId="77777777" w:rsidR="00302FB2" w:rsidRPr="00FE714A" w:rsidRDefault="00302FB2" w:rsidP="008D0D2E">
            <w:pPr>
              <w:pStyle w:val="TableText0"/>
              <w:keepNext w:val="0"/>
              <w:rPr>
                <w:szCs w:val="20"/>
              </w:rPr>
            </w:pPr>
            <w:r w:rsidRPr="00FE714A">
              <w:rPr>
                <w:szCs w:val="20"/>
              </w:rPr>
              <w:t xml:space="preserve">Total eligible pts w/whole body AD </w:t>
            </w:r>
            <w:r w:rsidRPr="00FE714A">
              <w:rPr>
                <w:szCs w:val="20"/>
                <w:vertAlign w:val="superscript"/>
              </w:rPr>
              <w: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EBC48" w14:textId="2A09F595"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3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32"/>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32"/>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5A0D37" w14:textId="787FAA34"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3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31"/>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31"/>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B9E8DF" w14:textId="755351E7"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3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30"/>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30"/>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279073" w14:textId="22DC2B06"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9"/>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9"/>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9"/>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DD52AA" w14:textId="23673B37"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8"/>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8"/>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8"/>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B8F0CA" w14:textId="7F406F8C"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7"/>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7"/>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7"/>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4</w:t>
            </w:r>
          </w:p>
        </w:tc>
      </w:tr>
      <w:tr w:rsidR="00302FB2" w:rsidRPr="00FE714A" w14:paraId="124145DA" w14:textId="77777777" w:rsidTr="00F81041">
        <w:tc>
          <w:tcPr>
            <w:tcW w:w="2263" w:type="dxa"/>
            <w:shd w:val="clear" w:color="auto" w:fill="auto"/>
            <w:vAlign w:val="center"/>
          </w:tcPr>
          <w:p w14:paraId="47B26463" w14:textId="77777777" w:rsidR="00302FB2" w:rsidRPr="00FE714A" w:rsidRDefault="00302FB2" w:rsidP="008D0D2E">
            <w:pPr>
              <w:pStyle w:val="TableText0"/>
              <w:keepNext w:val="0"/>
              <w:rPr>
                <w:szCs w:val="20"/>
              </w:rPr>
            </w:pPr>
            <w:r w:rsidRPr="00FE714A">
              <w:rPr>
                <w:szCs w:val="20"/>
              </w:rPr>
              <w:t>Pts w/hand and/or face AD (20.68%)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1FE56" w14:textId="3A664C41"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6"/>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6"/>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46F0F3" w14:textId="25BFC29C"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5"/>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5"/>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5"/>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966D98" w14:textId="07C787F6"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4"/>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4"/>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4"/>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F75FD2" w14:textId="19277D84"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3"/>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3"/>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3"/>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23E205" w14:textId="43F79AC9"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2"/>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2"/>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A28E7D" w14:textId="603310C3"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1"/>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1"/>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r>
      <w:tr w:rsidR="00302FB2" w:rsidRPr="00FE714A" w14:paraId="65DE0BCB" w14:textId="77777777" w:rsidTr="00F81041">
        <w:tc>
          <w:tcPr>
            <w:tcW w:w="2263" w:type="dxa"/>
            <w:shd w:val="clear" w:color="auto" w:fill="auto"/>
            <w:vAlign w:val="center"/>
          </w:tcPr>
          <w:p w14:paraId="6D217A02" w14:textId="77777777" w:rsidR="00302FB2" w:rsidRPr="00FE714A" w:rsidRDefault="00302FB2" w:rsidP="008D0D2E">
            <w:pPr>
              <w:pStyle w:val="TableText0"/>
              <w:keepNext w:val="0"/>
              <w:rPr>
                <w:szCs w:val="20"/>
              </w:rPr>
            </w:pPr>
            <w:r w:rsidRPr="00FE714A">
              <w:rPr>
                <w:szCs w:val="20"/>
              </w:rPr>
              <w:t>Total eligible pts w/severe AD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2994F" w14:textId="6BA5744B"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0"/>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0"/>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D04BD5" w14:textId="10F07B52"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19"/>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19"/>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19"/>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FA05F0" w14:textId="6286B5C4"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18"/>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18"/>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18"/>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C2C70B" w14:textId="77D7CFC7"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17"/>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17"/>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17"/>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5AB868" w14:textId="667338E6"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1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16"/>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16"/>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61253A" w14:textId="37D757C8"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3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32"/>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32"/>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r>
      <w:tr w:rsidR="00302FB2" w:rsidRPr="00FE714A" w14:paraId="0E31C407" w14:textId="77777777" w:rsidTr="00F81041">
        <w:tc>
          <w:tcPr>
            <w:tcW w:w="2263" w:type="dxa"/>
            <w:shd w:val="clear" w:color="auto" w:fill="auto"/>
            <w:vAlign w:val="center"/>
          </w:tcPr>
          <w:p w14:paraId="12774FFA" w14:textId="77777777" w:rsidR="00302FB2" w:rsidRPr="00FE714A" w:rsidRDefault="00302FB2" w:rsidP="008D0D2E">
            <w:pPr>
              <w:pStyle w:val="TableText0"/>
              <w:keepNext w:val="0"/>
              <w:rPr>
                <w:szCs w:val="20"/>
              </w:rPr>
            </w:pPr>
            <w:r w:rsidRPr="00FE714A">
              <w:rPr>
                <w:szCs w:val="20"/>
              </w:rPr>
              <w:t xml:space="preserve">Pts initiating advanced systemic </w:t>
            </w:r>
            <w:proofErr w:type="spellStart"/>
            <w:r w:rsidRPr="00FE714A">
              <w:rPr>
                <w:szCs w:val="20"/>
              </w:rPr>
              <w:t>trt</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0643EC83" w14:textId="3F81C62C"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3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31"/>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31"/>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D50406" w14:textId="7E3FDA29"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3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30"/>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30"/>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086159" w14:textId="4D7D63F2"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9"/>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9"/>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9"/>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B8740" w14:textId="48D5383D"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8"/>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8"/>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8"/>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D055A7" w14:textId="51850966"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7"/>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7"/>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7"/>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72B260" w14:textId="71AD6CE6"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6"/>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6"/>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r>
      <w:tr w:rsidR="00302FB2" w:rsidRPr="00FE714A" w14:paraId="44B868DC" w14:textId="77777777" w:rsidTr="00F81041">
        <w:tc>
          <w:tcPr>
            <w:tcW w:w="2263" w:type="dxa"/>
            <w:shd w:val="clear" w:color="auto" w:fill="auto"/>
            <w:vAlign w:val="center"/>
          </w:tcPr>
          <w:p w14:paraId="2639E808" w14:textId="77777777" w:rsidR="00302FB2" w:rsidRPr="00FE714A" w:rsidRDefault="00302FB2" w:rsidP="008D0D2E">
            <w:pPr>
              <w:pStyle w:val="TableText0"/>
              <w:keepNext w:val="0"/>
              <w:rPr>
                <w:szCs w:val="20"/>
              </w:rPr>
            </w:pPr>
            <w:r w:rsidRPr="00FE714A">
              <w:rPr>
                <w:szCs w:val="20"/>
              </w:rPr>
              <w:t xml:space="preserve">Total pts initiating LEB </w:t>
            </w:r>
            <w:proofErr w:type="spellStart"/>
            <w:r w:rsidRPr="00FE714A">
              <w:rPr>
                <w:szCs w:val="20"/>
              </w:rPr>
              <w:t>trt</w:t>
            </w:r>
            <w:proofErr w:type="spellEnd"/>
            <w:r w:rsidRPr="00FE714A">
              <w:rPr>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874A2F" w14:textId="1CEF7B3D"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5"/>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5"/>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5"/>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35A74B" w14:textId="28D8397F"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4"/>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4"/>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4"/>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5FC742" w14:textId="4DD17302"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3"/>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3"/>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3"/>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6BEEBD" w14:textId="3D320CA6"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2"/>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2"/>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2B89B" w14:textId="31F2A7B0"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1"/>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1"/>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60D42B" w14:textId="5DA60043"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0"/>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0"/>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r>
      <w:tr w:rsidR="00302FB2" w:rsidRPr="00FE714A" w14:paraId="5CAB7277" w14:textId="77777777" w:rsidTr="00F81041">
        <w:tc>
          <w:tcPr>
            <w:tcW w:w="2263" w:type="dxa"/>
            <w:shd w:val="clear" w:color="auto" w:fill="auto"/>
            <w:vAlign w:val="center"/>
          </w:tcPr>
          <w:p w14:paraId="719BA7B2" w14:textId="77777777" w:rsidR="00302FB2" w:rsidRPr="00FE714A" w:rsidRDefault="00302FB2" w:rsidP="008D0D2E">
            <w:pPr>
              <w:pStyle w:val="TableText0"/>
              <w:keepNext w:val="0"/>
              <w:rPr>
                <w:szCs w:val="20"/>
              </w:rPr>
            </w:pPr>
            <w:r w:rsidRPr="00FE714A">
              <w:rPr>
                <w:szCs w:val="20"/>
              </w:rPr>
              <w:lastRenderedPageBreak/>
              <w:t xml:space="preserve">Pts continuing LEB </w:t>
            </w:r>
            <w:proofErr w:type="spellStart"/>
            <w:r w:rsidRPr="00FE714A">
              <w:rPr>
                <w:szCs w:val="20"/>
              </w:rPr>
              <w:t>trt</w:t>
            </w:r>
            <w:proofErr w:type="spellEnd"/>
            <w:r w:rsidRPr="00FE714A">
              <w:rPr>
                <w:szCs w:val="20"/>
              </w:rPr>
              <w:t xml:space="preserve"> in </w:t>
            </w:r>
            <w:proofErr w:type="spellStart"/>
            <w:r w:rsidRPr="00FE714A">
              <w:rPr>
                <w:szCs w:val="20"/>
              </w:rPr>
              <w:t>Yr</w:t>
            </w:r>
            <w:proofErr w:type="spellEnd"/>
            <w:r w:rsidRPr="00FE714A">
              <w:rPr>
                <w:szCs w:val="20"/>
              </w:rPr>
              <w:t xml:space="preserve"> 1 (80.5%)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7D4774" w14:textId="57BE219C"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19"/>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19"/>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19"/>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2B2DA5" w14:textId="13074BC5"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18"/>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18"/>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18"/>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82DA32" w14:textId="48FBFA26"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17"/>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17"/>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17"/>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F9A667" w14:textId="1203402E"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1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16"/>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16"/>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718905" w14:textId="4AA5DC4C"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3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32"/>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32"/>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67A26938" w14:textId="6AE50AAE"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3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31"/>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31"/>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r>
      <w:tr w:rsidR="00302FB2" w:rsidRPr="00FE714A" w14:paraId="67E1EBBD" w14:textId="77777777" w:rsidTr="00F81041">
        <w:tc>
          <w:tcPr>
            <w:tcW w:w="2263" w:type="dxa"/>
            <w:shd w:val="clear" w:color="auto" w:fill="auto"/>
            <w:vAlign w:val="center"/>
          </w:tcPr>
          <w:p w14:paraId="3853395D" w14:textId="77777777" w:rsidR="00302FB2" w:rsidRPr="00FE714A" w:rsidRDefault="00302FB2" w:rsidP="008D0D2E">
            <w:pPr>
              <w:pStyle w:val="TableText0"/>
              <w:keepNext w:val="0"/>
              <w:rPr>
                <w:szCs w:val="20"/>
              </w:rPr>
            </w:pPr>
            <w:r w:rsidRPr="00FE714A">
              <w:rPr>
                <w:szCs w:val="20"/>
              </w:rPr>
              <w:t xml:space="preserve">Pts continuing LEB </w:t>
            </w:r>
            <w:proofErr w:type="spellStart"/>
            <w:r w:rsidRPr="00FE714A">
              <w:rPr>
                <w:szCs w:val="20"/>
              </w:rPr>
              <w:t>trt</w:t>
            </w:r>
            <w:proofErr w:type="spellEnd"/>
            <w:r w:rsidRPr="00FE714A">
              <w:rPr>
                <w:szCs w:val="20"/>
              </w:rPr>
              <w:t xml:space="preserve"> in </w:t>
            </w:r>
            <w:proofErr w:type="spellStart"/>
            <w:r w:rsidRPr="00FE714A">
              <w:rPr>
                <w:szCs w:val="20"/>
              </w:rPr>
              <w:t>Yr</w:t>
            </w:r>
            <w:proofErr w:type="spellEnd"/>
            <w:r w:rsidRPr="00FE714A">
              <w:rPr>
                <w:szCs w:val="20"/>
              </w:rPr>
              <w:t xml:space="preserve"> 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C8178" w14:textId="2A4FBC5D"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3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30"/>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30"/>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9</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8FCCE2" w14:textId="290FF5FC"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9"/>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9"/>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9"/>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B3D057" w14:textId="6C5EDD7D"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8"/>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8"/>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8"/>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4C9C6F" w14:textId="2F6C998F"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7"/>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7"/>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7"/>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1A0759" w14:textId="1B1FC6EE"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6"/>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6"/>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989D93" w14:textId="4A1A9954"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25"/>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25"/>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25"/>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r>
      <w:tr w:rsidR="00302FB2" w:rsidRPr="00FE714A" w14:paraId="47E7835E" w14:textId="77777777" w:rsidTr="00F81041">
        <w:tc>
          <w:tcPr>
            <w:tcW w:w="9067" w:type="dxa"/>
            <w:gridSpan w:val="7"/>
            <w:shd w:val="clear" w:color="auto" w:fill="auto"/>
            <w:vAlign w:val="center"/>
          </w:tcPr>
          <w:p w14:paraId="611D9B9B" w14:textId="77777777" w:rsidR="00302FB2" w:rsidRPr="00FE714A" w:rsidRDefault="00302FB2" w:rsidP="008D0D2E">
            <w:pPr>
              <w:pStyle w:val="TableText0"/>
              <w:keepNext w:val="0"/>
              <w:rPr>
                <w:szCs w:val="20"/>
              </w:rPr>
            </w:pPr>
            <w:r w:rsidRPr="00FE714A">
              <w:rPr>
                <w:szCs w:val="20"/>
              </w:rPr>
              <w:t>Number of scripts</w:t>
            </w:r>
          </w:p>
        </w:tc>
      </w:tr>
      <w:tr w:rsidR="00302FB2" w:rsidRPr="00FE714A" w14:paraId="607837DA" w14:textId="77777777" w:rsidTr="00F81041">
        <w:tc>
          <w:tcPr>
            <w:tcW w:w="2263" w:type="dxa"/>
            <w:shd w:val="clear" w:color="auto" w:fill="auto"/>
            <w:vAlign w:val="center"/>
          </w:tcPr>
          <w:p w14:paraId="17A782DF" w14:textId="77777777" w:rsidR="00302FB2" w:rsidRPr="00FE714A" w:rsidRDefault="00302FB2" w:rsidP="008D0D2E">
            <w:pPr>
              <w:pStyle w:val="TableText0"/>
              <w:keepNext w:val="0"/>
              <w:rPr>
                <w:szCs w:val="20"/>
              </w:rPr>
            </w:pPr>
            <w:r w:rsidRPr="00FE714A">
              <w:rPr>
                <w:szCs w:val="20"/>
              </w:rPr>
              <w:t>Initial (std induction)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5450B3" w14:textId="66D5C568"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4"/>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4"/>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4"/>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89289" w14:textId="49B70D4D"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3"/>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3"/>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3"/>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0A4B64" w14:textId="7A480B16"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2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22"/>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22"/>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FB08F5" w14:textId="25ED39E4"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82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821"/>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821"/>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35960" w14:textId="1D99EDEB"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2" w:id="-96188082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2" w:id="-961880820"/>
                <w14:textFill>
                  <w14:solidFill>
                    <w14:srgbClr w14:val="000000">
                      <w14:alpha w14:val="100000"/>
                    </w14:srgbClr>
                  </w14:solidFill>
                </w14:textFill>
              </w:rPr>
              <w:t>|</w:t>
            </w:r>
            <w:r w:rsidRPr="000727C3">
              <w:rPr>
                <w:rFonts w:ascii="Arial Narrow" w:hAnsi="Arial Narrow" w:hint="eastAsia"/>
                <w:color w:val="000000"/>
                <w:spacing w:val="-3"/>
                <w:w w:val="15"/>
                <w:sz w:val="20"/>
                <w:szCs w:val="20"/>
                <w:shd w:val="solid" w:color="000000" w:fill="000000"/>
                <w:fitText w:val="62" w:id="-961880820"/>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D87E75" w14:textId="536BA8F1"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819"/>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819"/>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819"/>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10</w:t>
            </w:r>
          </w:p>
        </w:tc>
      </w:tr>
      <w:tr w:rsidR="00302FB2" w:rsidRPr="00FE714A" w14:paraId="5D5C33EB" w14:textId="77777777" w:rsidTr="00F81041">
        <w:tc>
          <w:tcPr>
            <w:tcW w:w="2263" w:type="dxa"/>
            <w:shd w:val="clear" w:color="auto" w:fill="auto"/>
            <w:vAlign w:val="center"/>
          </w:tcPr>
          <w:p w14:paraId="7F038EDE" w14:textId="77777777" w:rsidR="00302FB2" w:rsidRPr="00FE714A" w:rsidRDefault="00302FB2" w:rsidP="008D0D2E">
            <w:pPr>
              <w:pStyle w:val="TableText0"/>
              <w:keepNext w:val="0"/>
              <w:rPr>
                <w:szCs w:val="20"/>
              </w:rPr>
            </w:pPr>
            <w:r w:rsidRPr="00FE714A">
              <w:rPr>
                <w:szCs w:val="20"/>
              </w:rPr>
              <w:t>Initial (</w:t>
            </w:r>
            <w:proofErr w:type="spellStart"/>
            <w:r w:rsidRPr="00FE714A">
              <w:rPr>
                <w:szCs w:val="20"/>
              </w:rPr>
              <w:t>extd</w:t>
            </w:r>
            <w:proofErr w:type="spellEnd"/>
            <w:r w:rsidRPr="00FE714A">
              <w:rPr>
                <w:szCs w:val="20"/>
              </w:rPr>
              <w:t xml:space="preserve"> induction)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8CD156" w14:textId="2DD63FB1"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18"/>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18"/>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18"/>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479F4B" w14:textId="16ED9AB6"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17"/>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17"/>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17"/>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B6CBED" w14:textId="681980E2"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1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16"/>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16"/>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BA081B" w14:textId="225653CC"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83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832"/>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832"/>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D5D8D0" w14:textId="358C6909"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83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831"/>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831"/>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B77B5" w14:textId="0DE01B17"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7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76"/>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76"/>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r>
      <w:tr w:rsidR="00302FB2" w:rsidRPr="00FE714A" w14:paraId="46FC03D6" w14:textId="77777777" w:rsidTr="00F81041">
        <w:tc>
          <w:tcPr>
            <w:tcW w:w="2263" w:type="dxa"/>
            <w:shd w:val="clear" w:color="auto" w:fill="auto"/>
            <w:vAlign w:val="center"/>
          </w:tcPr>
          <w:p w14:paraId="35409E0E" w14:textId="77777777" w:rsidR="00302FB2" w:rsidRPr="00FE714A" w:rsidRDefault="00302FB2" w:rsidP="008D0D2E">
            <w:pPr>
              <w:pStyle w:val="TableText0"/>
              <w:keepNext w:val="0"/>
              <w:rPr>
                <w:szCs w:val="20"/>
              </w:rPr>
            </w:pPr>
            <w:r w:rsidRPr="00FE714A">
              <w:rPr>
                <w:szCs w:val="20"/>
              </w:rPr>
              <w:t xml:space="preserve">Continuing </w:t>
            </w:r>
            <w:proofErr w:type="spellStart"/>
            <w:r w:rsidRPr="00FE714A">
              <w:rPr>
                <w:szCs w:val="20"/>
              </w:rPr>
              <w:t>Yr</w:t>
            </w:r>
            <w:proofErr w:type="spellEnd"/>
            <w:r w:rsidRPr="00FE714A">
              <w:rPr>
                <w:szCs w:val="20"/>
              </w:rPr>
              <w:t xml:space="preserve"> 1+ (std induction)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FC5735" w14:textId="2236E73B"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75"/>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75"/>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75"/>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A30BF" w14:textId="2914B6AF"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74"/>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74"/>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74"/>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1CD478" w14:textId="4FCAA4D5"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73"/>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73"/>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73"/>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0FEB91" w14:textId="3BA28A14"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7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72"/>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72"/>
                <w14:textFill>
                  <w14:solidFill>
                    <w14:srgbClr w14:val="000000">
                      <w14:alpha w14:val="100000"/>
                    </w14:srgbClr>
                  </w14:solidFill>
                </w14:textFill>
              </w:rPr>
              <w:t xml:space="preserve">　</w:t>
            </w:r>
            <w:r w:rsidR="004B5984" w:rsidRPr="00645C26">
              <w:rPr>
                <w:rFonts w:ascii="Arial Narrow" w:hAnsi="Arial Narrow"/>
                <w:sz w:val="20"/>
                <w:szCs w:val="20"/>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CCE9B3" w14:textId="75E50C6E"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2" w:id="-96188057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2" w:id="-961880571"/>
                <w14:textFill>
                  <w14:solidFill>
                    <w14:srgbClr w14:val="000000">
                      <w14:alpha w14:val="100000"/>
                    </w14:srgbClr>
                  </w14:solidFill>
                </w14:textFill>
              </w:rPr>
              <w:t>|</w:t>
            </w:r>
            <w:r w:rsidRPr="000727C3">
              <w:rPr>
                <w:rFonts w:ascii="Arial Narrow" w:hAnsi="Arial Narrow" w:hint="eastAsia"/>
                <w:color w:val="000000"/>
                <w:spacing w:val="-3"/>
                <w:w w:val="15"/>
                <w:sz w:val="20"/>
                <w:szCs w:val="20"/>
                <w:shd w:val="solid" w:color="000000" w:fill="000000"/>
                <w:fitText w:val="62" w:id="-961880571"/>
                <w14:textFill>
                  <w14:solidFill>
                    <w14:srgbClr w14:val="000000">
                      <w14:alpha w14:val="100000"/>
                    </w14:srgbClr>
                  </w14:solidFill>
                </w14:textFill>
              </w:rPr>
              <w:t xml:space="preserve">　</w:t>
            </w:r>
            <w:r w:rsidR="004B5984" w:rsidRPr="00645C26">
              <w:rPr>
                <w:rFonts w:ascii="Arial Narrow" w:hAnsi="Arial Narrow"/>
                <w:sz w:val="20"/>
                <w:szCs w:val="20"/>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2E5190" w14:textId="03CF645A"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7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70"/>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70"/>
                <w14:textFill>
                  <w14:solidFill>
                    <w14:srgbClr w14:val="000000">
                      <w14:alpha w14:val="100000"/>
                    </w14:srgbClr>
                  </w14:solidFill>
                </w14:textFill>
              </w:rPr>
              <w:t xml:space="preserve">　</w:t>
            </w:r>
            <w:r w:rsidR="004B5984" w:rsidRPr="00645C26">
              <w:rPr>
                <w:rFonts w:ascii="Arial Narrow" w:hAnsi="Arial Narrow"/>
                <w:sz w:val="20"/>
                <w:szCs w:val="20"/>
                <w:vertAlign w:val="superscript"/>
              </w:rPr>
              <w:t>10</w:t>
            </w:r>
          </w:p>
        </w:tc>
      </w:tr>
      <w:tr w:rsidR="00302FB2" w:rsidRPr="00FE714A" w14:paraId="40125D06" w14:textId="77777777" w:rsidTr="00F81041">
        <w:tc>
          <w:tcPr>
            <w:tcW w:w="2263" w:type="dxa"/>
            <w:shd w:val="clear" w:color="auto" w:fill="auto"/>
            <w:vAlign w:val="center"/>
          </w:tcPr>
          <w:p w14:paraId="4D2C12C4" w14:textId="77777777" w:rsidR="00302FB2" w:rsidRPr="00FE714A" w:rsidRDefault="00302FB2" w:rsidP="008D0D2E">
            <w:pPr>
              <w:pStyle w:val="TableText0"/>
              <w:keepNext w:val="0"/>
              <w:rPr>
                <w:szCs w:val="20"/>
              </w:rPr>
            </w:pPr>
            <w:r w:rsidRPr="00FE714A">
              <w:rPr>
                <w:szCs w:val="20"/>
              </w:rPr>
              <w:t xml:space="preserve">Continuing </w:t>
            </w:r>
            <w:proofErr w:type="spellStart"/>
            <w:r w:rsidRPr="00FE714A">
              <w:rPr>
                <w:szCs w:val="20"/>
              </w:rPr>
              <w:t>Yr</w:t>
            </w:r>
            <w:proofErr w:type="spellEnd"/>
            <w:r w:rsidRPr="00FE714A">
              <w:rPr>
                <w:szCs w:val="20"/>
              </w:rPr>
              <w:t xml:space="preserve"> 1+ (</w:t>
            </w:r>
            <w:proofErr w:type="spellStart"/>
            <w:r w:rsidRPr="00FE714A">
              <w:rPr>
                <w:szCs w:val="20"/>
              </w:rPr>
              <w:t>extd</w:t>
            </w:r>
            <w:proofErr w:type="spellEnd"/>
            <w:r w:rsidRPr="00FE714A">
              <w:rPr>
                <w:szCs w:val="20"/>
              </w:rPr>
              <w:t xml:space="preserve"> induction)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D8C3DE" w14:textId="78909B10"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69"/>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69"/>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69"/>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DEED3F" w14:textId="58D04909"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68"/>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68"/>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68"/>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05C4F" w14:textId="43E9A140"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67"/>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67"/>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67"/>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22150D" w14:textId="4A503914"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56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566"/>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566"/>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E38BD" w14:textId="6EB752BE"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65"/>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65"/>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65"/>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237A29" w14:textId="55AD64DB"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64"/>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64"/>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64"/>
                <w14:textFill>
                  <w14:solidFill>
                    <w14:srgbClr w14:val="000000">
                      <w14:alpha w14:val="100000"/>
                    </w14:srgbClr>
                  </w14:solidFill>
                </w14:textFill>
              </w:rPr>
              <w:t xml:space="preserve">　</w:t>
            </w:r>
            <w:r w:rsidR="00645C26" w:rsidRPr="00325254">
              <w:rPr>
                <w:rFonts w:ascii="Arial Narrow" w:hAnsi="Arial Narrow"/>
                <w:sz w:val="20"/>
                <w:szCs w:val="20"/>
                <w:vertAlign w:val="superscript"/>
              </w:rPr>
              <w:t>5</w:t>
            </w:r>
          </w:p>
        </w:tc>
      </w:tr>
      <w:tr w:rsidR="00302FB2" w:rsidRPr="00FE714A" w14:paraId="1E8D6181" w14:textId="77777777" w:rsidTr="00F81041">
        <w:tc>
          <w:tcPr>
            <w:tcW w:w="2263" w:type="dxa"/>
            <w:shd w:val="clear" w:color="auto" w:fill="auto"/>
            <w:vAlign w:val="center"/>
          </w:tcPr>
          <w:p w14:paraId="1B8778C3" w14:textId="77777777" w:rsidR="00302FB2" w:rsidRPr="00FE714A" w:rsidRDefault="00302FB2" w:rsidP="008D0D2E">
            <w:pPr>
              <w:pStyle w:val="TableText0"/>
              <w:keepNext w:val="0"/>
              <w:rPr>
                <w:szCs w:val="20"/>
              </w:rPr>
            </w:pPr>
            <w:r w:rsidRPr="00FE714A">
              <w:rPr>
                <w:szCs w:val="20"/>
              </w:rPr>
              <w:t xml:space="preserve">Continuing </w:t>
            </w:r>
            <w:proofErr w:type="spellStart"/>
            <w:r w:rsidRPr="00FE714A">
              <w:rPr>
                <w:szCs w:val="20"/>
              </w:rPr>
              <w:t>Yr</w:t>
            </w:r>
            <w:proofErr w:type="spellEnd"/>
            <w:r w:rsidRPr="00FE714A">
              <w:rPr>
                <w:szCs w:val="20"/>
              </w:rPr>
              <w:t xml:space="preserve"> 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30928E" w14:textId="3B60F825"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63"/>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63"/>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63"/>
                <w14:textFill>
                  <w14:solidFill>
                    <w14:srgbClr w14:val="000000">
                      <w14:alpha w14:val="100000"/>
                    </w14:srgbClr>
                  </w14:solidFill>
                </w14:textFill>
              </w:rPr>
              <w:t xml:space="preserve">　</w:t>
            </w:r>
            <w:r w:rsidR="00645C26" w:rsidRPr="00645C26">
              <w:rPr>
                <w:rFonts w:ascii="Arial Narrow" w:hAnsi="Arial Narrow"/>
                <w:sz w:val="20"/>
                <w:szCs w:val="20"/>
                <w:vertAlign w:val="superscript"/>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731086" w14:textId="25B00FFE"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2" w:id="-96188056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2" w:id="-961880562"/>
                <w14:textFill>
                  <w14:solidFill>
                    <w14:srgbClr w14:val="000000">
                      <w14:alpha w14:val="100000"/>
                    </w14:srgbClr>
                  </w14:solidFill>
                </w14:textFill>
              </w:rPr>
              <w:t>|</w:t>
            </w:r>
            <w:r w:rsidRPr="000727C3">
              <w:rPr>
                <w:rFonts w:ascii="Arial Narrow" w:hAnsi="Arial Narrow" w:hint="eastAsia"/>
                <w:color w:val="000000"/>
                <w:spacing w:val="-3"/>
                <w:w w:val="15"/>
                <w:sz w:val="20"/>
                <w:szCs w:val="20"/>
                <w:shd w:val="solid" w:color="000000" w:fill="000000"/>
                <w:fitText w:val="62" w:id="-961880562"/>
                <w14:textFill>
                  <w14:solidFill>
                    <w14:srgbClr w14:val="000000">
                      <w14:alpha w14:val="100000"/>
                    </w14:srgbClr>
                  </w14:solidFill>
                </w14:textFill>
              </w:rPr>
              <w:t xml:space="preserve">　</w:t>
            </w:r>
            <w:r w:rsidR="004B5984" w:rsidRPr="00645C26">
              <w:rPr>
                <w:rFonts w:ascii="Arial Narrow" w:hAnsi="Arial Narrow"/>
                <w:sz w:val="20"/>
                <w:szCs w:val="20"/>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4DD4B3" w14:textId="0B55739D"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2" w:id="-96188056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2" w:id="-961880561"/>
                <w14:textFill>
                  <w14:solidFill>
                    <w14:srgbClr w14:val="000000">
                      <w14:alpha w14:val="100000"/>
                    </w14:srgbClr>
                  </w14:solidFill>
                </w14:textFill>
              </w:rPr>
              <w:t>|</w:t>
            </w:r>
            <w:r w:rsidRPr="000727C3">
              <w:rPr>
                <w:rFonts w:ascii="Arial Narrow" w:hAnsi="Arial Narrow" w:hint="eastAsia"/>
                <w:color w:val="000000"/>
                <w:spacing w:val="-3"/>
                <w:w w:val="15"/>
                <w:sz w:val="20"/>
                <w:szCs w:val="20"/>
                <w:shd w:val="solid" w:color="000000" w:fill="000000"/>
                <w:fitText w:val="62" w:id="-961880561"/>
                <w14:textFill>
                  <w14:solidFill>
                    <w14:srgbClr w14:val="000000">
                      <w14:alpha w14:val="100000"/>
                    </w14:srgbClr>
                  </w14:solidFill>
                </w14:textFill>
              </w:rPr>
              <w:t xml:space="preserve">　</w:t>
            </w:r>
            <w:r w:rsidR="004B5984" w:rsidRPr="004B5984">
              <w:rPr>
                <w:rFonts w:ascii="Arial Narrow" w:hAnsi="Arial Narrow"/>
                <w:sz w:val="20"/>
                <w:szCs w:val="20"/>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59FB6" w14:textId="62813677"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56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560"/>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560"/>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2CC3EF" w14:textId="532F4B6D"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7" w:id="-96188057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7" w:id="-961880576"/>
                <w14:textFill>
                  <w14:solidFill>
                    <w14:srgbClr w14:val="000000">
                      <w14:alpha w14:val="100000"/>
                    </w14:srgbClr>
                  </w14:solidFill>
                </w14:textFill>
              </w:rPr>
              <w:t>|</w:t>
            </w:r>
            <w:r w:rsidRPr="000727C3">
              <w:rPr>
                <w:rFonts w:ascii="Arial Narrow" w:hAnsi="Arial Narrow" w:hint="eastAsia"/>
                <w:color w:val="000000"/>
                <w:spacing w:val="-28"/>
                <w:w w:val="15"/>
                <w:sz w:val="20"/>
                <w:szCs w:val="20"/>
                <w:shd w:val="solid" w:color="000000" w:fill="000000"/>
                <w:fitText w:val="37" w:id="-961880576"/>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659837" w14:textId="4C35D440"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75"/>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75"/>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75"/>
                <w14:textFill>
                  <w14:solidFill>
                    <w14:srgbClr w14:val="000000">
                      <w14:alpha w14:val="100000"/>
                    </w14:srgbClr>
                  </w14:solidFill>
                </w14:textFill>
              </w:rPr>
              <w:t xml:space="preserve">　</w:t>
            </w:r>
            <w:r w:rsidR="004B5984" w:rsidRPr="004B5984">
              <w:rPr>
                <w:rFonts w:ascii="Arial Narrow" w:hAnsi="Arial Narrow"/>
                <w:sz w:val="20"/>
                <w:szCs w:val="20"/>
                <w:vertAlign w:val="superscript"/>
              </w:rPr>
              <w:t>12</w:t>
            </w:r>
          </w:p>
        </w:tc>
      </w:tr>
      <w:tr w:rsidR="00302FB2" w:rsidRPr="00FE714A" w14:paraId="4259FC37" w14:textId="77777777" w:rsidTr="00F81041">
        <w:tc>
          <w:tcPr>
            <w:tcW w:w="2263" w:type="dxa"/>
            <w:shd w:val="clear" w:color="auto" w:fill="auto"/>
            <w:vAlign w:val="center"/>
          </w:tcPr>
          <w:p w14:paraId="30E25E71" w14:textId="77777777" w:rsidR="00302FB2" w:rsidRPr="00FE714A" w:rsidRDefault="00302FB2" w:rsidP="008D0D2E">
            <w:pPr>
              <w:pStyle w:val="TableText0"/>
              <w:keepNext w:val="0"/>
              <w:rPr>
                <w:szCs w:val="20"/>
              </w:rPr>
            </w:pPr>
            <w:r w:rsidRPr="00FE714A">
              <w:rPr>
                <w:szCs w:val="20"/>
              </w:rPr>
              <w:t>Total scripts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DE0F3" w14:textId="45749BD8"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74"/>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74"/>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74"/>
                <w14:textFill>
                  <w14:solidFill>
                    <w14:srgbClr w14:val="000000">
                      <w14:alpha w14:val="100000"/>
                    </w14:srgbClr>
                  </w14:solidFill>
                </w14:textFill>
              </w:rPr>
              <w:t xml:space="preserve">　</w:t>
            </w:r>
            <w:r w:rsidR="004B5984" w:rsidRPr="00645C26">
              <w:rPr>
                <w:rFonts w:ascii="Arial Narrow" w:hAnsi="Arial Narrow"/>
                <w:sz w:val="20"/>
                <w:szCs w:val="20"/>
                <w:vertAlign w:val="superscript"/>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BBCA8F" w14:textId="58B6ECC9"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2" w:id="-961880573"/>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2" w:id="-961880573"/>
                <w14:textFill>
                  <w14:solidFill>
                    <w14:srgbClr w14:val="000000">
                      <w14:alpha w14:val="100000"/>
                    </w14:srgbClr>
                  </w14:solidFill>
                </w14:textFill>
              </w:rPr>
              <w:t>|</w:t>
            </w:r>
            <w:r w:rsidRPr="000727C3">
              <w:rPr>
                <w:rFonts w:ascii="Arial Narrow" w:hAnsi="Arial Narrow" w:hint="eastAsia"/>
                <w:color w:val="000000"/>
                <w:spacing w:val="-3"/>
                <w:w w:val="15"/>
                <w:sz w:val="20"/>
                <w:szCs w:val="20"/>
                <w:shd w:val="solid" w:color="000000" w:fill="000000"/>
                <w:fitText w:val="62" w:id="-961880573"/>
                <w14:textFill>
                  <w14:solidFill>
                    <w14:srgbClr w14:val="000000">
                      <w14:alpha w14:val="100000"/>
                    </w14:srgbClr>
                  </w14:solidFill>
                </w14:textFill>
              </w:rPr>
              <w:t xml:space="preserve">　</w:t>
            </w:r>
            <w:r w:rsidR="004B5984" w:rsidRPr="004B5984">
              <w:rPr>
                <w:rFonts w:ascii="Arial Narrow" w:hAnsi="Arial Narrow"/>
                <w:sz w:val="20"/>
                <w:szCs w:val="20"/>
                <w:vertAlign w:val="superscript"/>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56823B" w14:textId="63F8C21B"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57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572"/>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572"/>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CEC057" w14:textId="21B1B27E"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38" w:id="-961880571"/>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38" w:id="-961880571"/>
                <w14:textFill>
                  <w14:solidFill>
                    <w14:srgbClr w14:val="000000">
                      <w14:alpha w14:val="100000"/>
                    </w14:srgbClr>
                  </w14:solidFill>
                </w14:textFill>
              </w:rPr>
              <w:t>|</w:t>
            </w:r>
            <w:r w:rsidRPr="000727C3">
              <w:rPr>
                <w:rFonts w:ascii="Arial Narrow" w:hAnsi="Arial Narrow" w:hint="eastAsia"/>
                <w:color w:val="000000"/>
                <w:spacing w:val="-27"/>
                <w:w w:val="15"/>
                <w:sz w:val="20"/>
                <w:szCs w:val="20"/>
                <w:shd w:val="solid" w:color="000000" w:fill="000000"/>
                <w:fitText w:val="38" w:id="-961880571"/>
                <w14:textFill>
                  <w14:solidFill>
                    <w14:srgbClr w14:val="000000">
                      <w14:alpha w14:val="100000"/>
                    </w14:srgbClr>
                  </w14:solidFill>
                </w14:textFill>
              </w:rPr>
              <w:t xml:space="preserve">　</w:t>
            </w:r>
            <w:r w:rsidR="00325254" w:rsidRPr="0032525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B5AF35" w14:textId="4662F782"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2" w:id="-96188057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2" w:id="-961880570"/>
                <w14:textFill>
                  <w14:solidFill>
                    <w14:srgbClr w14:val="000000">
                      <w14:alpha w14:val="100000"/>
                    </w14:srgbClr>
                  </w14:solidFill>
                </w14:textFill>
              </w:rPr>
              <w:t>|</w:t>
            </w:r>
            <w:r w:rsidRPr="000727C3">
              <w:rPr>
                <w:rFonts w:ascii="Arial Narrow" w:hAnsi="Arial Narrow" w:hint="eastAsia"/>
                <w:color w:val="000000"/>
                <w:spacing w:val="-3"/>
                <w:w w:val="15"/>
                <w:sz w:val="20"/>
                <w:szCs w:val="20"/>
                <w:shd w:val="solid" w:color="000000" w:fill="000000"/>
                <w:fitText w:val="62" w:id="-961880570"/>
                <w14:textFill>
                  <w14:solidFill>
                    <w14:srgbClr w14:val="000000">
                      <w14:alpha w14:val="100000"/>
                    </w14:srgbClr>
                  </w14:solidFill>
                </w14:textFill>
              </w:rPr>
              <w:t xml:space="preserve">　</w:t>
            </w:r>
            <w:r w:rsidR="004B5984" w:rsidRPr="004B5984">
              <w:rPr>
                <w:rFonts w:ascii="Arial Narrow" w:hAnsi="Arial Narrow"/>
                <w:sz w:val="20"/>
                <w:szCs w:val="20"/>
                <w:vertAlign w:val="superscript"/>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0F69C8" w14:textId="4EA912B9"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69"/>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69"/>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69"/>
                <w14:textFill>
                  <w14:solidFill>
                    <w14:srgbClr w14:val="000000">
                      <w14:alpha w14:val="100000"/>
                    </w14:srgbClr>
                  </w14:solidFill>
                </w14:textFill>
              </w:rPr>
              <w:t xml:space="preserve">　</w:t>
            </w:r>
            <w:r w:rsidR="004B5984" w:rsidRPr="004B5984">
              <w:rPr>
                <w:rFonts w:ascii="Arial Narrow" w:hAnsi="Arial Narrow"/>
                <w:sz w:val="20"/>
                <w:szCs w:val="20"/>
                <w:vertAlign w:val="superscript"/>
              </w:rPr>
              <w:t>12</w:t>
            </w:r>
          </w:p>
        </w:tc>
      </w:tr>
      <w:tr w:rsidR="00302FB2" w:rsidRPr="00FE714A" w14:paraId="2045B1B4" w14:textId="77777777" w:rsidTr="00F81041">
        <w:tc>
          <w:tcPr>
            <w:tcW w:w="9067" w:type="dxa"/>
            <w:gridSpan w:val="7"/>
            <w:shd w:val="clear" w:color="auto" w:fill="auto"/>
            <w:vAlign w:val="center"/>
          </w:tcPr>
          <w:p w14:paraId="112DACAA" w14:textId="77777777" w:rsidR="00302FB2" w:rsidRPr="00FE714A" w:rsidRDefault="00302FB2" w:rsidP="008D0D2E">
            <w:pPr>
              <w:pStyle w:val="TableText0"/>
              <w:keepNext w:val="0"/>
              <w:rPr>
                <w:szCs w:val="20"/>
              </w:rPr>
            </w:pPr>
            <w:r w:rsidRPr="00FE714A">
              <w:rPr>
                <w:szCs w:val="20"/>
              </w:rPr>
              <w:t xml:space="preserve">PBS/RPBS cost less co-pay </w:t>
            </w:r>
          </w:p>
        </w:tc>
      </w:tr>
      <w:tr w:rsidR="00302FB2" w:rsidRPr="00FE714A" w14:paraId="5B824263" w14:textId="77777777" w:rsidTr="00F81041">
        <w:tc>
          <w:tcPr>
            <w:tcW w:w="2263" w:type="dxa"/>
            <w:shd w:val="clear" w:color="auto" w:fill="auto"/>
            <w:vAlign w:val="center"/>
          </w:tcPr>
          <w:p w14:paraId="2CBF05DB" w14:textId="77777777" w:rsidR="00302FB2" w:rsidRPr="00FE714A" w:rsidRDefault="00302FB2" w:rsidP="008D0D2E">
            <w:pPr>
              <w:pStyle w:val="TableText0"/>
              <w:keepNext w:val="0"/>
              <w:rPr>
                <w:szCs w:val="20"/>
              </w:rPr>
            </w:pPr>
            <w:r w:rsidRPr="00FE714A">
              <w:rPr>
                <w:szCs w:val="20"/>
              </w:rPr>
              <w:t xml:space="preserve">LEB total (pub) </w:t>
            </w:r>
            <w:r w:rsidRPr="00FE714A">
              <w:rPr>
                <w:szCs w:val="20"/>
                <w:vertAlign w:val="superscript"/>
              </w:rPr>
              <w:t>b</w:t>
            </w:r>
            <w:r w:rsidRPr="00FE714A">
              <w:rPr>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5076A1" w14:textId="00FEB5A9" w:rsidR="00302FB2" w:rsidRPr="005C6554"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68"/>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68"/>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68"/>
                <w14:textFill>
                  <w14:solidFill>
                    <w14:srgbClr w14:val="000000">
                      <w14:alpha w14:val="100000"/>
                    </w14:srgbClr>
                  </w14:solidFill>
                </w14:textFill>
              </w:rPr>
              <w:t xml:space="preserve">　</w:t>
            </w:r>
            <w:r w:rsidR="005C6554" w:rsidRPr="005C6554">
              <w:rPr>
                <w:rFonts w:ascii="Arial Narrow" w:hAnsi="Arial Narrow"/>
                <w:sz w:val="20"/>
                <w:szCs w:val="20"/>
                <w:vertAlign w:val="superscript"/>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14:paraId="24E3D0B0" w14:textId="6544EFC2" w:rsidR="00302FB2" w:rsidRPr="005C6554"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2" w:id="-961880567"/>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2" w:id="-961880567"/>
                <w14:textFill>
                  <w14:solidFill>
                    <w14:srgbClr w14:val="000000">
                      <w14:alpha w14:val="100000"/>
                    </w14:srgbClr>
                  </w14:solidFill>
                </w14:textFill>
              </w:rPr>
              <w:t>|</w:t>
            </w:r>
            <w:r w:rsidRPr="000727C3">
              <w:rPr>
                <w:rFonts w:ascii="Arial Narrow" w:hAnsi="Arial Narrow" w:hint="eastAsia"/>
                <w:color w:val="000000"/>
                <w:spacing w:val="-3"/>
                <w:w w:val="15"/>
                <w:sz w:val="20"/>
                <w:szCs w:val="20"/>
                <w:shd w:val="solid" w:color="000000" w:fill="000000"/>
                <w:fitText w:val="62" w:id="-961880567"/>
                <w14:textFill>
                  <w14:solidFill>
                    <w14:srgbClr w14:val="000000">
                      <w14:alpha w14:val="100000"/>
                    </w14:srgbClr>
                  </w14:solidFill>
                </w14:textFill>
              </w:rPr>
              <w:t xml:space="preserve">　</w:t>
            </w:r>
            <w:r w:rsidR="005C6554" w:rsidRPr="005C6554">
              <w:rPr>
                <w:rFonts w:ascii="Arial Narrow" w:hAnsi="Arial Narrow"/>
                <w:sz w:val="20"/>
                <w:szCs w:val="20"/>
                <w:vertAlign w:val="superscript"/>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52C9AD61" w14:textId="6816AFF4" w:rsidR="00302FB2" w:rsidRPr="005C6554"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6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66"/>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66"/>
                <w14:textFill>
                  <w14:solidFill>
                    <w14:srgbClr w14:val="000000">
                      <w14:alpha w14:val="100000"/>
                    </w14:srgbClr>
                  </w14:solidFill>
                </w14:textFill>
              </w:rPr>
              <w:t xml:space="preserve">　</w:t>
            </w:r>
            <w:r w:rsidR="005C6554" w:rsidRPr="005C6554">
              <w:rPr>
                <w:rFonts w:ascii="Arial Narrow" w:hAnsi="Arial Narrow"/>
                <w:sz w:val="20"/>
                <w:szCs w:val="20"/>
                <w:vertAlign w:val="superscript"/>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1E0D39FB" w14:textId="795ECFA1" w:rsidR="00302FB2" w:rsidRPr="005C6554"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65"/>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65"/>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65"/>
                <w14:textFill>
                  <w14:solidFill>
                    <w14:srgbClr w14:val="000000">
                      <w14:alpha w14:val="100000"/>
                    </w14:srgbClr>
                  </w14:solidFill>
                </w14:textFill>
              </w:rPr>
              <w:t xml:space="preserve">　</w:t>
            </w:r>
            <w:r w:rsidR="00B01906" w:rsidRPr="00B01906">
              <w:rPr>
                <w:rFonts w:ascii="Arial Narrow" w:hAnsi="Arial Narrow"/>
                <w:sz w:val="20"/>
                <w:szCs w:val="20"/>
                <w:vertAlign w:val="superscript"/>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76208E" w14:textId="7FE64F6F" w:rsidR="00302FB2" w:rsidRPr="005C6554"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2" w:id="-961880564"/>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2" w:id="-961880564"/>
                <w14:textFill>
                  <w14:solidFill>
                    <w14:srgbClr w14:val="000000">
                      <w14:alpha w14:val="100000"/>
                    </w14:srgbClr>
                  </w14:solidFill>
                </w14:textFill>
              </w:rPr>
              <w:t>|</w:t>
            </w:r>
            <w:r w:rsidRPr="000727C3">
              <w:rPr>
                <w:rFonts w:ascii="Arial Narrow" w:hAnsi="Arial Narrow" w:hint="eastAsia"/>
                <w:color w:val="000000"/>
                <w:spacing w:val="-3"/>
                <w:w w:val="15"/>
                <w:sz w:val="20"/>
                <w:szCs w:val="20"/>
                <w:shd w:val="solid" w:color="000000" w:fill="000000"/>
                <w:fitText w:val="62" w:id="-961880564"/>
                <w14:textFill>
                  <w14:solidFill>
                    <w14:srgbClr w14:val="000000">
                      <w14:alpha w14:val="100000"/>
                    </w14:srgbClr>
                  </w14:solidFill>
                </w14:textFill>
              </w:rPr>
              <w:t xml:space="preserve">　</w:t>
            </w:r>
            <w:r w:rsidR="00B01906" w:rsidRPr="00B01906">
              <w:rPr>
                <w:rFonts w:ascii="Arial Narrow" w:hAnsi="Arial Narrow"/>
                <w:sz w:val="20"/>
                <w:szCs w:val="20"/>
                <w:vertAlign w:val="superscript"/>
              </w:rPr>
              <w:t>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CBE7A3" w14:textId="0EC9BAA4" w:rsidR="00302FB2" w:rsidRPr="005C6554"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63"/>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63"/>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63"/>
                <w14:textFill>
                  <w14:solidFill>
                    <w14:srgbClr w14:val="000000">
                      <w14:alpha w14:val="100000"/>
                    </w14:srgbClr>
                  </w14:solidFill>
                </w14:textFill>
              </w:rPr>
              <w:t xml:space="preserve">　</w:t>
            </w:r>
            <w:r w:rsidR="00B01906" w:rsidRPr="00B01906">
              <w:rPr>
                <w:rFonts w:ascii="Arial Narrow" w:hAnsi="Arial Narrow"/>
                <w:sz w:val="20"/>
                <w:szCs w:val="20"/>
                <w:vertAlign w:val="superscript"/>
              </w:rPr>
              <w:t xml:space="preserve">17 </w:t>
            </w:r>
          </w:p>
        </w:tc>
      </w:tr>
      <w:tr w:rsidR="00302FB2" w:rsidRPr="00FE714A" w14:paraId="546A5C08" w14:textId="77777777" w:rsidTr="00F81041">
        <w:tc>
          <w:tcPr>
            <w:tcW w:w="9067" w:type="dxa"/>
            <w:gridSpan w:val="7"/>
            <w:shd w:val="clear" w:color="auto" w:fill="auto"/>
            <w:vAlign w:val="center"/>
          </w:tcPr>
          <w:p w14:paraId="2F39B891" w14:textId="77777777" w:rsidR="00302FB2" w:rsidRPr="00FE714A" w:rsidRDefault="00302FB2" w:rsidP="008D0D2E">
            <w:pPr>
              <w:pStyle w:val="TableText0"/>
              <w:keepNext w:val="0"/>
              <w:rPr>
                <w:szCs w:val="20"/>
              </w:rPr>
            </w:pPr>
            <w:r w:rsidRPr="00FE714A">
              <w:rPr>
                <w:rStyle w:val="CommentReference"/>
                <w:szCs w:val="20"/>
              </w:rPr>
              <w:t>Estimation of changes in use and financial impact of other medicines (PBS and RPBS)</w:t>
            </w:r>
          </w:p>
        </w:tc>
      </w:tr>
      <w:tr w:rsidR="00302FB2" w:rsidRPr="00FE714A" w14:paraId="757A3491" w14:textId="77777777" w:rsidTr="00F81041">
        <w:tc>
          <w:tcPr>
            <w:tcW w:w="9067" w:type="dxa"/>
            <w:gridSpan w:val="7"/>
            <w:tcBorders>
              <w:bottom w:val="single" w:sz="4" w:space="0" w:color="auto"/>
              <w:right w:val="single" w:sz="4" w:space="0" w:color="auto"/>
            </w:tcBorders>
            <w:shd w:val="clear" w:color="auto" w:fill="auto"/>
            <w:vAlign w:val="center"/>
          </w:tcPr>
          <w:p w14:paraId="0F597214" w14:textId="77777777" w:rsidR="00302FB2" w:rsidRPr="00FE714A" w:rsidRDefault="00302FB2" w:rsidP="008D0D2E">
            <w:pPr>
              <w:pStyle w:val="TableText0"/>
              <w:keepNext w:val="0"/>
              <w:rPr>
                <w:rFonts w:cs="Arial"/>
                <w:szCs w:val="20"/>
              </w:rPr>
            </w:pPr>
            <w:r w:rsidRPr="00FE714A">
              <w:rPr>
                <w:szCs w:val="20"/>
              </w:rPr>
              <w:t>Number of scripts offset by LEB</w:t>
            </w:r>
          </w:p>
        </w:tc>
      </w:tr>
      <w:tr w:rsidR="00302FB2" w:rsidRPr="00FE714A" w14:paraId="63F0DE88" w14:textId="77777777" w:rsidTr="00F81041">
        <w:tc>
          <w:tcPr>
            <w:tcW w:w="2263" w:type="dxa"/>
            <w:tcBorders>
              <w:top w:val="single" w:sz="4" w:space="0" w:color="auto"/>
              <w:bottom w:val="single" w:sz="4" w:space="0" w:color="auto"/>
              <w:right w:val="single" w:sz="4" w:space="0" w:color="auto"/>
            </w:tcBorders>
            <w:shd w:val="clear" w:color="auto" w:fill="auto"/>
            <w:vAlign w:val="center"/>
          </w:tcPr>
          <w:p w14:paraId="6C3F8D91" w14:textId="77777777" w:rsidR="00302FB2" w:rsidRPr="00FE714A" w:rsidRDefault="00302FB2" w:rsidP="008D0D2E">
            <w:pPr>
              <w:jc w:val="left"/>
              <w:rPr>
                <w:rFonts w:ascii="Arial Narrow" w:hAnsi="Arial Narrow"/>
                <w:sz w:val="20"/>
                <w:szCs w:val="20"/>
              </w:rPr>
            </w:pPr>
            <w:r w:rsidRPr="00FE714A">
              <w:rPr>
                <w:rFonts w:ascii="Arial Narrow" w:hAnsi="Arial Narrow"/>
                <w:sz w:val="20"/>
                <w:szCs w:val="20"/>
              </w:rPr>
              <w:t>DUPI (200 &amp; 300 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6ED48" w14:textId="425495FF"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9"/>
                <w:sz w:val="20"/>
                <w:szCs w:val="20"/>
                <w:shd w:val="solid" w:color="000000" w:fill="000000"/>
                <w:fitText w:val="88" w:id="-961880562"/>
                <w14:textFill>
                  <w14:solidFill>
                    <w14:srgbClr w14:val="000000">
                      <w14:alpha w14:val="100000"/>
                    </w14:srgbClr>
                  </w14:solidFill>
                </w14:textFill>
              </w:rPr>
              <w:t xml:space="preserve">　</w:t>
            </w:r>
            <w:r w:rsidR="000727C3" w:rsidRPr="000727C3">
              <w:rPr>
                <w:rFonts w:ascii="Arial Narrow" w:hAnsi="Arial Narrow"/>
                <w:color w:val="000000"/>
                <w:w w:val="19"/>
                <w:sz w:val="20"/>
                <w:szCs w:val="20"/>
                <w:shd w:val="solid" w:color="000000" w:fill="000000"/>
                <w:fitText w:val="88" w:id="-961880562"/>
                <w14:textFill>
                  <w14:solidFill>
                    <w14:srgbClr w14:val="000000">
                      <w14:alpha w14:val="100000"/>
                    </w14:srgbClr>
                  </w14:solidFill>
                </w14:textFill>
              </w:rPr>
              <w:t>|</w:t>
            </w:r>
            <w:r w:rsidR="000727C3" w:rsidRPr="000727C3">
              <w:rPr>
                <w:rFonts w:ascii="Arial Narrow" w:hAnsi="Arial Narrow" w:hint="eastAsia"/>
                <w:color w:val="000000"/>
                <w:spacing w:val="4"/>
                <w:w w:val="19"/>
                <w:sz w:val="20"/>
                <w:szCs w:val="20"/>
                <w:shd w:val="solid" w:color="000000" w:fill="000000"/>
                <w:fitText w:val="88" w:id="-961880562"/>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BDE" w14:textId="66711975"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9"/>
                <w:sz w:val="20"/>
                <w:szCs w:val="20"/>
                <w:shd w:val="solid" w:color="000000" w:fill="000000"/>
                <w:fitText w:val="87" w:id="-961880561"/>
                <w14:textFill>
                  <w14:solidFill>
                    <w14:srgbClr w14:val="000000">
                      <w14:alpha w14:val="100000"/>
                    </w14:srgbClr>
                  </w14:solidFill>
                </w14:textFill>
              </w:rPr>
              <w:t xml:space="preserve">　</w:t>
            </w:r>
            <w:r w:rsidR="000727C3" w:rsidRPr="000727C3">
              <w:rPr>
                <w:rFonts w:ascii="Arial Narrow" w:hAnsi="Arial Narrow"/>
                <w:color w:val="000000"/>
                <w:w w:val="19"/>
                <w:sz w:val="20"/>
                <w:szCs w:val="20"/>
                <w:shd w:val="solid" w:color="000000" w:fill="000000"/>
                <w:fitText w:val="87" w:id="-961880561"/>
                <w14:textFill>
                  <w14:solidFill>
                    <w14:srgbClr w14:val="000000">
                      <w14:alpha w14:val="100000"/>
                    </w14:srgbClr>
                  </w14:solidFill>
                </w14:textFill>
              </w:rPr>
              <w:t>|</w:t>
            </w:r>
            <w:r w:rsidR="000727C3" w:rsidRPr="000727C3">
              <w:rPr>
                <w:rFonts w:ascii="Arial Narrow" w:hAnsi="Arial Narrow" w:hint="eastAsia"/>
                <w:color w:val="000000"/>
                <w:spacing w:val="3"/>
                <w:w w:val="19"/>
                <w:sz w:val="20"/>
                <w:szCs w:val="20"/>
                <w:shd w:val="solid" w:color="000000" w:fill="000000"/>
                <w:fitText w:val="87" w:id="-961880561"/>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w:t>
            </w:r>
            <w:r w:rsidR="00B01906">
              <w:rPr>
                <w:rFonts w:ascii="Arial Narrow" w:hAnsi="Arial Narrow"/>
                <w:sz w:val="20"/>
                <w:szCs w:val="20"/>
                <w:vertAlign w:val="superscrip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249F07" w14:textId="42DC5058"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9"/>
                <w:sz w:val="20"/>
                <w:szCs w:val="20"/>
                <w:shd w:val="solid" w:color="000000" w:fill="000000"/>
                <w:fitText w:val="87" w:id="-961880560"/>
                <w14:textFill>
                  <w14:solidFill>
                    <w14:srgbClr w14:val="000000">
                      <w14:alpha w14:val="100000"/>
                    </w14:srgbClr>
                  </w14:solidFill>
                </w14:textFill>
              </w:rPr>
              <w:t xml:space="preserve">　</w:t>
            </w:r>
            <w:r w:rsidR="000727C3" w:rsidRPr="000727C3">
              <w:rPr>
                <w:rFonts w:ascii="Arial Narrow" w:hAnsi="Arial Narrow"/>
                <w:color w:val="000000"/>
                <w:w w:val="19"/>
                <w:sz w:val="20"/>
                <w:szCs w:val="20"/>
                <w:shd w:val="solid" w:color="000000" w:fill="000000"/>
                <w:fitText w:val="87" w:id="-961880560"/>
                <w14:textFill>
                  <w14:solidFill>
                    <w14:srgbClr w14:val="000000">
                      <w14:alpha w14:val="100000"/>
                    </w14:srgbClr>
                  </w14:solidFill>
                </w14:textFill>
              </w:rPr>
              <w:t>|</w:t>
            </w:r>
            <w:r w:rsidR="000727C3" w:rsidRPr="000727C3">
              <w:rPr>
                <w:rFonts w:ascii="Arial Narrow" w:hAnsi="Arial Narrow" w:hint="eastAsia"/>
                <w:color w:val="000000"/>
                <w:spacing w:val="3"/>
                <w:w w:val="19"/>
                <w:sz w:val="20"/>
                <w:szCs w:val="20"/>
                <w:shd w:val="solid" w:color="000000" w:fill="000000"/>
                <w:fitText w:val="87" w:id="-961880560"/>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F59F0A" w14:textId="7015D3CE"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5"/>
                <w:sz w:val="20"/>
                <w:szCs w:val="20"/>
                <w:shd w:val="solid" w:color="000000" w:fill="000000"/>
                <w:fitText w:val="63" w:id="-961880576"/>
                <w14:textFill>
                  <w14:solidFill>
                    <w14:srgbClr w14:val="000000">
                      <w14:alpha w14:val="100000"/>
                    </w14:srgbClr>
                  </w14:solidFill>
                </w14:textFill>
              </w:rPr>
              <w:t xml:space="preserve">　</w:t>
            </w:r>
            <w:r w:rsidR="000727C3" w:rsidRPr="000727C3">
              <w:rPr>
                <w:rFonts w:ascii="Arial Narrow" w:hAnsi="Arial Narrow"/>
                <w:color w:val="000000"/>
                <w:w w:val="15"/>
                <w:sz w:val="20"/>
                <w:szCs w:val="20"/>
                <w:shd w:val="solid" w:color="000000" w:fill="000000"/>
                <w:fitText w:val="63" w:id="-961880576"/>
                <w14:textFill>
                  <w14:solidFill>
                    <w14:srgbClr w14:val="000000">
                      <w14:alpha w14:val="100000"/>
                    </w14:srgbClr>
                  </w14:solidFill>
                </w14:textFill>
              </w:rPr>
              <w:t>|</w:t>
            </w:r>
            <w:r w:rsidR="000727C3" w:rsidRPr="000727C3">
              <w:rPr>
                <w:rFonts w:ascii="Arial Narrow" w:hAnsi="Arial Narrow" w:hint="eastAsia"/>
                <w:color w:val="000000"/>
                <w:spacing w:val="-2"/>
                <w:w w:val="15"/>
                <w:sz w:val="20"/>
                <w:szCs w:val="20"/>
                <w:shd w:val="solid" w:color="000000" w:fill="000000"/>
                <w:fitText w:val="63" w:id="-961880576"/>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E3381F" w14:textId="295AFDA7"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5"/>
                <w:sz w:val="20"/>
                <w:szCs w:val="20"/>
                <w:shd w:val="solid" w:color="000000" w:fill="000000"/>
                <w:fitText w:val="62" w:id="-961880575"/>
                <w14:textFill>
                  <w14:solidFill>
                    <w14:srgbClr w14:val="000000">
                      <w14:alpha w14:val="100000"/>
                    </w14:srgbClr>
                  </w14:solidFill>
                </w14:textFill>
              </w:rPr>
              <w:t xml:space="preserve">　</w:t>
            </w:r>
            <w:r w:rsidR="000727C3" w:rsidRPr="000727C3">
              <w:rPr>
                <w:rFonts w:ascii="Arial Narrow" w:hAnsi="Arial Narrow"/>
                <w:color w:val="000000"/>
                <w:w w:val="15"/>
                <w:sz w:val="20"/>
                <w:szCs w:val="20"/>
                <w:shd w:val="solid" w:color="000000" w:fill="000000"/>
                <w:fitText w:val="62" w:id="-961880575"/>
                <w14:textFill>
                  <w14:solidFill>
                    <w14:srgbClr w14:val="000000">
                      <w14:alpha w14:val="100000"/>
                    </w14:srgbClr>
                  </w14:solidFill>
                </w14:textFill>
              </w:rPr>
              <w:t>|</w:t>
            </w:r>
            <w:r w:rsidR="000727C3" w:rsidRPr="000727C3">
              <w:rPr>
                <w:rFonts w:ascii="Arial Narrow" w:hAnsi="Arial Narrow" w:hint="eastAsia"/>
                <w:color w:val="000000"/>
                <w:spacing w:val="-3"/>
                <w:w w:val="15"/>
                <w:sz w:val="20"/>
                <w:szCs w:val="20"/>
                <w:shd w:val="solid" w:color="000000" w:fill="000000"/>
                <w:fitText w:val="62" w:id="-961880575"/>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ECCFE8" w14:textId="063CA333"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5"/>
                <w:sz w:val="20"/>
                <w:szCs w:val="20"/>
                <w:shd w:val="solid" w:color="000000" w:fill="000000"/>
                <w:fitText w:val="62" w:id="-961880574"/>
                <w14:textFill>
                  <w14:solidFill>
                    <w14:srgbClr w14:val="000000">
                      <w14:alpha w14:val="100000"/>
                    </w14:srgbClr>
                  </w14:solidFill>
                </w14:textFill>
              </w:rPr>
              <w:t xml:space="preserve">　</w:t>
            </w:r>
            <w:r w:rsidR="000727C3" w:rsidRPr="000727C3">
              <w:rPr>
                <w:rFonts w:ascii="Arial Narrow" w:hAnsi="Arial Narrow"/>
                <w:color w:val="000000"/>
                <w:w w:val="15"/>
                <w:sz w:val="20"/>
                <w:szCs w:val="20"/>
                <w:shd w:val="solid" w:color="000000" w:fill="000000"/>
                <w:fitText w:val="62" w:id="-961880574"/>
                <w14:textFill>
                  <w14:solidFill>
                    <w14:srgbClr w14:val="000000">
                      <w14:alpha w14:val="100000"/>
                    </w14:srgbClr>
                  </w14:solidFill>
                </w14:textFill>
              </w:rPr>
              <w:t>|</w:t>
            </w:r>
            <w:r w:rsidR="000727C3" w:rsidRPr="000727C3">
              <w:rPr>
                <w:rFonts w:ascii="Arial Narrow" w:hAnsi="Arial Narrow" w:hint="eastAsia"/>
                <w:color w:val="000000"/>
                <w:spacing w:val="-3"/>
                <w:w w:val="15"/>
                <w:sz w:val="20"/>
                <w:szCs w:val="20"/>
                <w:shd w:val="solid" w:color="000000" w:fill="000000"/>
                <w:fitText w:val="62" w:id="-961880574"/>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w:t>
            </w:r>
          </w:p>
        </w:tc>
      </w:tr>
      <w:tr w:rsidR="00302FB2" w:rsidRPr="00FE714A" w14:paraId="76AC1EBB" w14:textId="77777777" w:rsidTr="00F81041">
        <w:tc>
          <w:tcPr>
            <w:tcW w:w="2263" w:type="dxa"/>
            <w:tcBorders>
              <w:top w:val="single" w:sz="4" w:space="0" w:color="auto"/>
              <w:bottom w:val="single" w:sz="4" w:space="0" w:color="auto"/>
              <w:right w:val="single" w:sz="4" w:space="0" w:color="auto"/>
            </w:tcBorders>
            <w:shd w:val="clear" w:color="auto" w:fill="auto"/>
            <w:vAlign w:val="center"/>
          </w:tcPr>
          <w:p w14:paraId="2A95ECC9" w14:textId="77777777" w:rsidR="00302FB2" w:rsidRPr="00FE714A" w:rsidRDefault="00302FB2" w:rsidP="008D0D2E">
            <w:pPr>
              <w:jc w:val="left"/>
              <w:rPr>
                <w:rFonts w:ascii="Arial Narrow" w:hAnsi="Arial Narrow"/>
                <w:sz w:val="20"/>
                <w:szCs w:val="20"/>
              </w:rPr>
            </w:pPr>
            <w:r w:rsidRPr="00FE714A">
              <w:rPr>
                <w:rFonts w:ascii="Arial Narrow" w:hAnsi="Arial Narrow"/>
                <w:sz w:val="20"/>
                <w:szCs w:val="20"/>
              </w:rPr>
              <w:t>UPA (15 &amp; 30 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A9ABA4" w14:textId="1DE450F6"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5"/>
                <w:sz w:val="20"/>
                <w:szCs w:val="20"/>
                <w:shd w:val="solid" w:color="000000" w:fill="000000"/>
                <w:fitText w:val="63" w:id="-961880573"/>
                <w14:textFill>
                  <w14:solidFill>
                    <w14:srgbClr w14:val="000000">
                      <w14:alpha w14:val="100000"/>
                    </w14:srgbClr>
                  </w14:solidFill>
                </w14:textFill>
              </w:rPr>
              <w:t xml:space="preserve">　</w:t>
            </w:r>
            <w:r w:rsidR="000727C3" w:rsidRPr="000727C3">
              <w:rPr>
                <w:rFonts w:ascii="Arial Narrow" w:hAnsi="Arial Narrow"/>
                <w:color w:val="000000"/>
                <w:w w:val="15"/>
                <w:sz w:val="20"/>
                <w:szCs w:val="20"/>
                <w:shd w:val="solid" w:color="000000" w:fill="000000"/>
                <w:fitText w:val="63" w:id="-961880573"/>
                <w14:textFill>
                  <w14:solidFill>
                    <w14:srgbClr w14:val="000000">
                      <w14:alpha w14:val="100000"/>
                    </w14:srgbClr>
                  </w14:solidFill>
                </w14:textFill>
              </w:rPr>
              <w:t>|</w:t>
            </w:r>
            <w:r w:rsidR="000727C3" w:rsidRPr="000727C3">
              <w:rPr>
                <w:rFonts w:ascii="Arial Narrow" w:hAnsi="Arial Narrow" w:hint="eastAsia"/>
                <w:color w:val="000000"/>
                <w:spacing w:val="-2"/>
                <w:w w:val="15"/>
                <w:sz w:val="20"/>
                <w:szCs w:val="20"/>
                <w:shd w:val="solid" w:color="000000" w:fill="000000"/>
                <w:fitText w:val="63" w:id="-961880573"/>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A9D81" w14:textId="20BFF05D"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9"/>
                <w:sz w:val="20"/>
                <w:szCs w:val="20"/>
                <w:shd w:val="solid" w:color="000000" w:fill="000000"/>
                <w:fitText w:val="87" w:id="-961880572"/>
                <w14:textFill>
                  <w14:solidFill>
                    <w14:srgbClr w14:val="000000">
                      <w14:alpha w14:val="100000"/>
                    </w14:srgbClr>
                  </w14:solidFill>
                </w14:textFill>
              </w:rPr>
              <w:t xml:space="preserve">　</w:t>
            </w:r>
            <w:r w:rsidR="000727C3" w:rsidRPr="000727C3">
              <w:rPr>
                <w:rFonts w:ascii="Arial Narrow" w:hAnsi="Arial Narrow"/>
                <w:color w:val="000000"/>
                <w:w w:val="19"/>
                <w:sz w:val="20"/>
                <w:szCs w:val="20"/>
                <w:shd w:val="solid" w:color="000000" w:fill="000000"/>
                <w:fitText w:val="87" w:id="-961880572"/>
                <w14:textFill>
                  <w14:solidFill>
                    <w14:srgbClr w14:val="000000">
                      <w14:alpha w14:val="100000"/>
                    </w14:srgbClr>
                  </w14:solidFill>
                </w14:textFill>
              </w:rPr>
              <w:t>|</w:t>
            </w:r>
            <w:r w:rsidR="000727C3" w:rsidRPr="000727C3">
              <w:rPr>
                <w:rFonts w:ascii="Arial Narrow" w:hAnsi="Arial Narrow" w:hint="eastAsia"/>
                <w:color w:val="000000"/>
                <w:spacing w:val="3"/>
                <w:w w:val="19"/>
                <w:sz w:val="20"/>
                <w:szCs w:val="20"/>
                <w:shd w:val="solid" w:color="000000" w:fill="000000"/>
                <w:fitText w:val="87" w:id="-961880572"/>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E9190E" w14:textId="344439CA"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9"/>
                <w:sz w:val="20"/>
                <w:szCs w:val="20"/>
                <w:shd w:val="solid" w:color="000000" w:fill="000000"/>
                <w:fitText w:val="87" w:id="-961880571"/>
                <w14:textFill>
                  <w14:solidFill>
                    <w14:srgbClr w14:val="000000">
                      <w14:alpha w14:val="100000"/>
                    </w14:srgbClr>
                  </w14:solidFill>
                </w14:textFill>
              </w:rPr>
              <w:t xml:space="preserve">　</w:t>
            </w:r>
            <w:r w:rsidR="000727C3" w:rsidRPr="000727C3">
              <w:rPr>
                <w:rFonts w:ascii="Arial Narrow" w:hAnsi="Arial Narrow"/>
                <w:color w:val="000000"/>
                <w:w w:val="19"/>
                <w:sz w:val="20"/>
                <w:szCs w:val="20"/>
                <w:shd w:val="solid" w:color="000000" w:fill="000000"/>
                <w:fitText w:val="87" w:id="-961880571"/>
                <w14:textFill>
                  <w14:solidFill>
                    <w14:srgbClr w14:val="000000">
                      <w14:alpha w14:val="100000"/>
                    </w14:srgbClr>
                  </w14:solidFill>
                </w14:textFill>
              </w:rPr>
              <w:t>|</w:t>
            </w:r>
            <w:r w:rsidR="000727C3" w:rsidRPr="000727C3">
              <w:rPr>
                <w:rFonts w:ascii="Arial Narrow" w:hAnsi="Arial Narrow" w:hint="eastAsia"/>
                <w:color w:val="000000"/>
                <w:spacing w:val="3"/>
                <w:w w:val="19"/>
                <w:sz w:val="20"/>
                <w:szCs w:val="20"/>
                <w:shd w:val="solid" w:color="000000" w:fill="000000"/>
                <w:fitText w:val="87" w:id="-961880571"/>
                <w14:textFill>
                  <w14:solidFill>
                    <w14:srgbClr w14:val="000000">
                      <w14:alpha w14:val="100000"/>
                    </w14:srgbClr>
                  </w14:solidFill>
                </w14:textFill>
              </w:rPr>
              <w:t xml:space="preserve">　</w:t>
            </w:r>
            <w:r w:rsidR="00B01906" w:rsidRPr="00B01906">
              <w:rPr>
                <w:rFonts w:ascii="Arial Narrow" w:hAnsi="Arial Narrow"/>
                <w:sz w:val="20"/>
                <w:szCs w:val="20"/>
                <w:vertAlign w:val="superscript"/>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31AF5" w14:textId="3F8C0213"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9"/>
                <w:sz w:val="20"/>
                <w:szCs w:val="20"/>
                <w:shd w:val="solid" w:color="000000" w:fill="000000"/>
                <w:fitText w:val="88" w:id="-961880570"/>
                <w14:textFill>
                  <w14:solidFill>
                    <w14:srgbClr w14:val="000000">
                      <w14:alpha w14:val="100000"/>
                    </w14:srgbClr>
                  </w14:solidFill>
                </w14:textFill>
              </w:rPr>
              <w:t xml:space="preserve">　</w:t>
            </w:r>
            <w:r w:rsidR="000727C3" w:rsidRPr="000727C3">
              <w:rPr>
                <w:rFonts w:ascii="Arial Narrow" w:hAnsi="Arial Narrow"/>
                <w:color w:val="000000"/>
                <w:w w:val="19"/>
                <w:sz w:val="20"/>
                <w:szCs w:val="20"/>
                <w:shd w:val="solid" w:color="000000" w:fill="000000"/>
                <w:fitText w:val="88" w:id="-961880570"/>
                <w14:textFill>
                  <w14:solidFill>
                    <w14:srgbClr w14:val="000000">
                      <w14:alpha w14:val="100000"/>
                    </w14:srgbClr>
                  </w14:solidFill>
                </w14:textFill>
              </w:rPr>
              <w:t>|</w:t>
            </w:r>
            <w:r w:rsidR="000727C3" w:rsidRPr="000727C3">
              <w:rPr>
                <w:rFonts w:ascii="Arial Narrow" w:hAnsi="Arial Narrow" w:hint="eastAsia"/>
                <w:color w:val="000000"/>
                <w:spacing w:val="4"/>
                <w:w w:val="19"/>
                <w:sz w:val="20"/>
                <w:szCs w:val="20"/>
                <w:shd w:val="solid" w:color="000000" w:fill="000000"/>
                <w:fitText w:val="88" w:id="-961880570"/>
                <w14:textFill>
                  <w14:solidFill>
                    <w14:srgbClr w14:val="000000">
                      <w14:alpha w14:val="100000"/>
                    </w14:srgbClr>
                  </w14:solidFill>
                </w14:textFill>
              </w:rPr>
              <w:t xml:space="preserve">　</w:t>
            </w:r>
            <w:r w:rsidR="005C6554">
              <w:rPr>
                <w:rFonts w:ascii="Arial Narrow" w:hAnsi="Arial Narrow"/>
                <w:sz w:val="20"/>
                <w:szCs w:val="20"/>
                <w:vertAlign w:val="superscript"/>
              </w:rPr>
              <w:t>1</w:t>
            </w:r>
            <w:r w:rsidR="00B01906">
              <w:rPr>
                <w:rFonts w:ascii="Arial Narrow" w:hAnsi="Arial Narrow"/>
                <w:sz w:val="20"/>
                <w:szCs w:val="20"/>
                <w:vertAlign w:val="superscript"/>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DDFFED" w14:textId="1DF21C59"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5"/>
                <w:sz w:val="20"/>
                <w:szCs w:val="20"/>
                <w:shd w:val="solid" w:color="000000" w:fill="000000"/>
                <w:fitText w:val="62" w:id="-961880569"/>
                <w14:textFill>
                  <w14:solidFill>
                    <w14:srgbClr w14:val="000000">
                      <w14:alpha w14:val="100000"/>
                    </w14:srgbClr>
                  </w14:solidFill>
                </w14:textFill>
              </w:rPr>
              <w:t xml:space="preserve">　</w:t>
            </w:r>
            <w:r w:rsidR="000727C3" w:rsidRPr="000727C3">
              <w:rPr>
                <w:rFonts w:ascii="Arial Narrow" w:hAnsi="Arial Narrow"/>
                <w:color w:val="000000"/>
                <w:w w:val="15"/>
                <w:sz w:val="20"/>
                <w:szCs w:val="20"/>
                <w:shd w:val="solid" w:color="000000" w:fill="000000"/>
                <w:fitText w:val="62" w:id="-961880569"/>
                <w14:textFill>
                  <w14:solidFill>
                    <w14:srgbClr w14:val="000000">
                      <w14:alpha w14:val="100000"/>
                    </w14:srgbClr>
                  </w14:solidFill>
                </w14:textFill>
              </w:rPr>
              <w:t>|</w:t>
            </w:r>
            <w:r w:rsidR="000727C3" w:rsidRPr="000727C3">
              <w:rPr>
                <w:rFonts w:ascii="Arial Narrow" w:hAnsi="Arial Narrow" w:hint="eastAsia"/>
                <w:color w:val="000000"/>
                <w:spacing w:val="-3"/>
                <w:w w:val="15"/>
                <w:sz w:val="20"/>
                <w:szCs w:val="20"/>
                <w:shd w:val="solid" w:color="000000" w:fill="000000"/>
                <w:fitText w:val="62" w:id="-961880569"/>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FCF2F" w14:textId="43751834"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5"/>
                <w:sz w:val="20"/>
                <w:szCs w:val="20"/>
                <w:shd w:val="solid" w:color="000000" w:fill="000000"/>
                <w:fitText w:val="62" w:id="-961880568"/>
                <w14:textFill>
                  <w14:solidFill>
                    <w14:srgbClr w14:val="000000">
                      <w14:alpha w14:val="100000"/>
                    </w14:srgbClr>
                  </w14:solidFill>
                </w14:textFill>
              </w:rPr>
              <w:t xml:space="preserve">　</w:t>
            </w:r>
            <w:r w:rsidR="000727C3" w:rsidRPr="000727C3">
              <w:rPr>
                <w:rFonts w:ascii="Arial Narrow" w:hAnsi="Arial Narrow"/>
                <w:color w:val="000000"/>
                <w:w w:val="15"/>
                <w:sz w:val="20"/>
                <w:szCs w:val="20"/>
                <w:shd w:val="solid" w:color="000000" w:fill="000000"/>
                <w:fitText w:val="62" w:id="-961880568"/>
                <w14:textFill>
                  <w14:solidFill>
                    <w14:srgbClr w14:val="000000">
                      <w14:alpha w14:val="100000"/>
                    </w14:srgbClr>
                  </w14:solidFill>
                </w14:textFill>
              </w:rPr>
              <w:t>|</w:t>
            </w:r>
            <w:r w:rsidR="000727C3" w:rsidRPr="000727C3">
              <w:rPr>
                <w:rFonts w:ascii="Arial Narrow" w:hAnsi="Arial Narrow" w:hint="eastAsia"/>
                <w:color w:val="000000"/>
                <w:spacing w:val="-3"/>
                <w:w w:val="15"/>
                <w:sz w:val="20"/>
                <w:szCs w:val="20"/>
                <w:shd w:val="solid" w:color="000000" w:fill="000000"/>
                <w:fitText w:val="62" w:id="-961880568"/>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w:t>
            </w:r>
          </w:p>
        </w:tc>
      </w:tr>
      <w:tr w:rsidR="00302FB2" w:rsidRPr="00FE714A" w14:paraId="665AD61A" w14:textId="77777777" w:rsidTr="00F81041">
        <w:tc>
          <w:tcPr>
            <w:tcW w:w="2263" w:type="dxa"/>
            <w:tcBorders>
              <w:bottom w:val="single" w:sz="4" w:space="0" w:color="auto"/>
            </w:tcBorders>
            <w:shd w:val="clear" w:color="auto" w:fill="auto"/>
            <w:vAlign w:val="center"/>
          </w:tcPr>
          <w:p w14:paraId="4423DD60" w14:textId="77777777" w:rsidR="00302FB2" w:rsidRPr="00FE714A" w:rsidRDefault="00302FB2" w:rsidP="008D0D2E">
            <w:pPr>
              <w:jc w:val="left"/>
              <w:rPr>
                <w:rFonts w:ascii="Arial Narrow" w:hAnsi="Arial Narrow"/>
                <w:sz w:val="20"/>
                <w:szCs w:val="20"/>
              </w:rPr>
            </w:pPr>
            <w:r w:rsidRPr="00FE714A">
              <w:rPr>
                <w:rFonts w:ascii="Arial Narrow" w:hAnsi="Arial Narrow"/>
                <w:sz w:val="20"/>
                <w:szCs w:val="20"/>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08604" w14:textId="3D476729"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5"/>
                <w:sz w:val="20"/>
                <w:szCs w:val="20"/>
                <w:shd w:val="solid" w:color="000000" w:fill="000000"/>
                <w:fitText w:val="50" w:id="-961880567"/>
                <w14:textFill>
                  <w14:solidFill>
                    <w14:srgbClr w14:val="000000">
                      <w14:alpha w14:val="100000"/>
                    </w14:srgbClr>
                  </w14:solidFill>
                </w14:textFill>
              </w:rPr>
              <w:t xml:space="preserve">　</w:t>
            </w:r>
            <w:r w:rsidR="000727C3" w:rsidRPr="000727C3">
              <w:rPr>
                <w:rFonts w:ascii="Arial Narrow" w:hAnsi="Arial Narrow"/>
                <w:color w:val="000000"/>
                <w:w w:val="15"/>
                <w:sz w:val="20"/>
                <w:szCs w:val="20"/>
                <w:shd w:val="solid" w:color="000000" w:fill="000000"/>
                <w:fitText w:val="50" w:id="-961880567"/>
                <w14:textFill>
                  <w14:solidFill>
                    <w14:srgbClr w14:val="000000">
                      <w14:alpha w14:val="100000"/>
                    </w14:srgbClr>
                  </w14:solidFill>
                </w14:textFill>
              </w:rPr>
              <w:t>|</w:t>
            </w:r>
            <w:r w:rsidR="000727C3" w:rsidRPr="000727C3">
              <w:rPr>
                <w:rFonts w:ascii="Arial Narrow" w:hAnsi="Arial Narrow" w:hint="eastAsia"/>
                <w:color w:val="000000"/>
                <w:spacing w:val="-15"/>
                <w:w w:val="15"/>
                <w:sz w:val="20"/>
                <w:szCs w:val="20"/>
                <w:shd w:val="solid" w:color="000000" w:fill="000000"/>
                <w:fitText w:val="50" w:id="-961880567"/>
                <w14:textFill>
                  <w14:solidFill>
                    <w14:srgbClr w14:val="000000">
                      <w14:alpha w14:val="100000"/>
                    </w14:srgbClr>
                  </w14:solidFill>
                </w14:textFill>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5C520EA2" w14:textId="26AFA0F6"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9"/>
                <w:sz w:val="20"/>
                <w:szCs w:val="20"/>
                <w:shd w:val="solid" w:color="000000" w:fill="000000"/>
                <w:fitText w:val="87" w:id="-961880566"/>
                <w14:textFill>
                  <w14:solidFill>
                    <w14:srgbClr w14:val="000000">
                      <w14:alpha w14:val="100000"/>
                    </w14:srgbClr>
                  </w14:solidFill>
                </w14:textFill>
              </w:rPr>
              <w:t xml:space="preserve">　</w:t>
            </w:r>
            <w:r w:rsidR="000727C3" w:rsidRPr="000727C3">
              <w:rPr>
                <w:rFonts w:ascii="Arial Narrow" w:hAnsi="Arial Narrow"/>
                <w:color w:val="000000"/>
                <w:w w:val="19"/>
                <w:sz w:val="20"/>
                <w:szCs w:val="20"/>
                <w:shd w:val="solid" w:color="000000" w:fill="000000"/>
                <w:fitText w:val="87" w:id="-961880566"/>
                <w14:textFill>
                  <w14:solidFill>
                    <w14:srgbClr w14:val="000000">
                      <w14:alpha w14:val="100000"/>
                    </w14:srgbClr>
                  </w14:solidFill>
                </w14:textFill>
              </w:rPr>
              <w:t>|</w:t>
            </w:r>
            <w:r w:rsidR="000727C3" w:rsidRPr="000727C3">
              <w:rPr>
                <w:rFonts w:ascii="Arial Narrow" w:hAnsi="Arial Narrow" w:hint="eastAsia"/>
                <w:color w:val="000000"/>
                <w:spacing w:val="3"/>
                <w:w w:val="19"/>
                <w:sz w:val="20"/>
                <w:szCs w:val="20"/>
                <w:shd w:val="solid" w:color="000000" w:fill="000000"/>
                <w:fitText w:val="87" w:id="-961880566"/>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084C1F" w14:textId="6908D6C2"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5"/>
                <w:sz w:val="20"/>
                <w:szCs w:val="20"/>
                <w:shd w:val="solid" w:color="000000" w:fill="000000"/>
                <w:fitText w:val="63" w:id="-961880565"/>
                <w14:textFill>
                  <w14:solidFill>
                    <w14:srgbClr w14:val="000000">
                      <w14:alpha w14:val="100000"/>
                    </w14:srgbClr>
                  </w14:solidFill>
                </w14:textFill>
              </w:rPr>
              <w:t xml:space="preserve">　</w:t>
            </w:r>
            <w:r w:rsidR="000727C3" w:rsidRPr="000727C3">
              <w:rPr>
                <w:rFonts w:ascii="Arial Narrow" w:hAnsi="Arial Narrow"/>
                <w:color w:val="000000"/>
                <w:w w:val="15"/>
                <w:sz w:val="20"/>
                <w:szCs w:val="20"/>
                <w:shd w:val="solid" w:color="000000" w:fill="000000"/>
                <w:fitText w:val="63" w:id="-961880565"/>
                <w14:textFill>
                  <w14:solidFill>
                    <w14:srgbClr w14:val="000000">
                      <w14:alpha w14:val="100000"/>
                    </w14:srgbClr>
                  </w14:solidFill>
                </w14:textFill>
              </w:rPr>
              <w:t>|</w:t>
            </w:r>
            <w:r w:rsidR="000727C3" w:rsidRPr="000727C3">
              <w:rPr>
                <w:rFonts w:ascii="Arial Narrow" w:hAnsi="Arial Narrow" w:hint="eastAsia"/>
                <w:color w:val="000000"/>
                <w:spacing w:val="-2"/>
                <w:w w:val="15"/>
                <w:sz w:val="20"/>
                <w:szCs w:val="20"/>
                <w:shd w:val="solid" w:color="000000" w:fill="000000"/>
                <w:fitText w:val="63" w:id="-961880565"/>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05D10FD" w14:textId="18408BED"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5"/>
                <w:sz w:val="20"/>
                <w:szCs w:val="20"/>
                <w:shd w:val="solid" w:color="000000" w:fill="000000"/>
                <w:fitText w:val="63" w:id="-961880564"/>
                <w14:textFill>
                  <w14:solidFill>
                    <w14:srgbClr w14:val="000000">
                      <w14:alpha w14:val="100000"/>
                    </w14:srgbClr>
                  </w14:solidFill>
                </w14:textFill>
              </w:rPr>
              <w:t xml:space="preserve">　</w:t>
            </w:r>
            <w:r w:rsidR="000727C3" w:rsidRPr="000727C3">
              <w:rPr>
                <w:rFonts w:ascii="Arial Narrow" w:hAnsi="Arial Narrow"/>
                <w:color w:val="000000"/>
                <w:w w:val="15"/>
                <w:sz w:val="20"/>
                <w:szCs w:val="20"/>
                <w:shd w:val="solid" w:color="000000" w:fill="000000"/>
                <w:fitText w:val="63" w:id="-961880564"/>
                <w14:textFill>
                  <w14:solidFill>
                    <w14:srgbClr w14:val="000000">
                      <w14:alpha w14:val="100000"/>
                    </w14:srgbClr>
                  </w14:solidFill>
                </w14:textFill>
              </w:rPr>
              <w:t>|</w:t>
            </w:r>
            <w:r w:rsidR="000727C3" w:rsidRPr="000727C3">
              <w:rPr>
                <w:rFonts w:ascii="Arial Narrow" w:hAnsi="Arial Narrow" w:hint="eastAsia"/>
                <w:color w:val="000000"/>
                <w:spacing w:val="-2"/>
                <w:w w:val="15"/>
                <w:sz w:val="20"/>
                <w:szCs w:val="20"/>
                <w:shd w:val="solid" w:color="000000" w:fill="000000"/>
                <w:fitText w:val="63" w:id="-961880564"/>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617794" w14:textId="524E47FD"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9"/>
                <w:sz w:val="20"/>
                <w:szCs w:val="20"/>
                <w:shd w:val="solid" w:color="000000" w:fill="000000"/>
                <w:fitText w:val="87" w:id="-961880563"/>
                <w14:textFill>
                  <w14:solidFill>
                    <w14:srgbClr w14:val="000000">
                      <w14:alpha w14:val="100000"/>
                    </w14:srgbClr>
                  </w14:solidFill>
                </w14:textFill>
              </w:rPr>
              <w:t xml:space="preserve">　</w:t>
            </w:r>
            <w:r w:rsidR="000727C3" w:rsidRPr="000727C3">
              <w:rPr>
                <w:rFonts w:ascii="Arial Narrow" w:hAnsi="Arial Narrow"/>
                <w:color w:val="000000"/>
                <w:w w:val="19"/>
                <w:sz w:val="20"/>
                <w:szCs w:val="20"/>
                <w:shd w:val="solid" w:color="000000" w:fill="000000"/>
                <w:fitText w:val="87" w:id="-961880563"/>
                <w14:textFill>
                  <w14:solidFill>
                    <w14:srgbClr w14:val="000000">
                      <w14:alpha w14:val="100000"/>
                    </w14:srgbClr>
                  </w14:solidFill>
                </w14:textFill>
              </w:rPr>
              <w:t>|</w:t>
            </w:r>
            <w:r w:rsidR="000727C3" w:rsidRPr="000727C3">
              <w:rPr>
                <w:rFonts w:ascii="Arial Narrow" w:hAnsi="Arial Narrow" w:hint="eastAsia"/>
                <w:color w:val="000000"/>
                <w:spacing w:val="3"/>
                <w:w w:val="19"/>
                <w:sz w:val="20"/>
                <w:szCs w:val="20"/>
                <w:shd w:val="solid" w:color="000000" w:fill="000000"/>
                <w:fitText w:val="87" w:id="-961880563"/>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352F0C" w14:textId="575BDA8A" w:rsidR="00302FB2" w:rsidRPr="00FE714A" w:rsidRDefault="00302FB2" w:rsidP="008D0D2E">
            <w:pPr>
              <w:jc w:val="center"/>
              <w:rPr>
                <w:rFonts w:ascii="Arial Narrow" w:hAnsi="Arial Narrow"/>
                <w:sz w:val="20"/>
                <w:szCs w:val="20"/>
              </w:rPr>
            </w:pPr>
            <w:r w:rsidRPr="00FE714A">
              <w:rPr>
                <w:rFonts w:ascii="Arial Narrow" w:hAnsi="Arial Narrow"/>
                <w:sz w:val="20"/>
                <w:szCs w:val="20"/>
              </w:rPr>
              <w:t>-</w:t>
            </w:r>
            <w:r w:rsidR="000727C3" w:rsidRPr="000727C3">
              <w:rPr>
                <w:rFonts w:ascii="Arial Narrow" w:hAnsi="Arial Narrow" w:hint="eastAsia"/>
                <w:color w:val="000000"/>
                <w:w w:val="19"/>
                <w:sz w:val="20"/>
                <w:szCs w:val="20"/>
                <w:shd w:val="solid" w:color="000000" w:fill="000000"/>
                <w:fitText w:val="88" w:id="-961880562"/>
                <w14:textFill>
                  <w14:solidFill>
                    <w14:srgbClr w14:val="000000">
                      <w14:alpha w14:val="100000"/>
                    </w14:srgbClr>
                  </w14:solidFill>
                </w14:textFill>
              </w:rPr>
              <w:t xml:space="preserve">　</w:t>
            </w:r>
            <w:r w:rsidR="000727C3" w:rsidRPr="000727C3">
              <w:rPr>
                <w:rFonts w:ascii="Arial Narrow" w:hAnsi="Arial Narrow"/>
                <w:color w:val="000000"/>
                <w:w w:val="19"/>
                <w:sz w:val="20"/>
                <w:szCs w:val="20"/>
                <w:shd w:val="solid" w:color="000000" w:fill="000000"/>
                <w:fitText w:val="88" w:id="-961880562"/>
                <w14:textFill>
                  <w14:solidFill>
                    <w14:srgbClr w14:val="000000">
                      <w14:alpha w14:val="100000"/>
                    </w14:srgbClr>
                  </w14:solidFill>
                </w14:textFill>
              </w:rPr>
              <w:t>|</w:t>
            </w:r>
            <w:r w:rsidR="000727C3" w:rsidRPr="000727C3">
              <w:rPr>
                <w:rFonts w:ascii="Arial Narrow" w:hAnsi="Arial Narrow" w:hint="eastAsia"/>
                <w:color w:val="000000"/>
                <w:spacing w:val="4"/>
                <w:w w:val="19"/>
                <w:sz w:val="20"/>
                <w:szCs w:val="20"/>
                <w:shd w:val="solid" w:color="000000" w:fill="000000"/>
                <w:fitText w:val="88" w:id="-961880562"/>
                <w14:textFill>
                  <w14:solidFill>
                    <w14:srgbClr w14:val="000000">
                      <w14:alpha w14:val="100000"/>
                    </w14:srgbClr>
                  </w14:solidFill>
                </w14:textFill>
              </w:rPr>
              <w:t xml:space="preserve">　</w:t>
            </w:r>
            <w:r w:rsidR="00992314" w:rsidRPr="00992314">
              <w:rPr>
                <w:rFonts w:ascii="Arial Narrow" w:hAnsi="Arial Narrow"/>
                <w:sz w:val="20"/>
                <w:szCs w:val="20"/>
                <w:vertAlign w:val="superscript"/>
              </w:rPr>
              <w:t>12</w:t>
            </w:r>
          </w:p>
        </w:tc>
      </w:tr>
      <w:tr w:rsidR="00302FB2" w:rsidRPr="00FE714A" w14:paraId="04726436" w14:textId="77777777" w:rsidTr="00F81041">
        <w:tc>
          <w:tcPr>
            <w:tcW w:w="9067" w:type="dxa"/>
            <w:gridSpan w:val="7"/>
            <w:shd w:val="clear" w:color="auto" w:fill="auto"/>
            <w:vAlign w:val="center"/>
          </w:tcPr>
          <w:p w14:paraId="45D48155" w14:textId="77777777" w:rsidR="00302FB2" w:rsidRPr="00FE714A" w:rsidRDefault="00302FB2" w:rsidP="008D0D2E">
            <w:pPr>
              <w:pStyle w:val="TableText0"/>
              <w:keepNext w:val="0"/>
              <w:rPr>
                <w:rFonts w:cs="Arial"/>
                <w:szCs w:val="20"/>
              </w:rPr>
            </w:pPr>
            <w:r w:rsidRPr="00FE714A">
              <w:rPr>
                <w:szCs w:val="20"/>
              </w:rPr>
              <w:t>PBS/RPBS cost less co-pay</w:t>
            </w:r>
          </w:p>
        </w:tc>
      </w:tr>
      <w:tr w:rsidR="00302FB2" w:rsidRPr="00FE714A" w14:paraId="1B82FAFF" w14:textId="77777777" w:rsidTr="00F81041">
        <w:tc>
          <w:tcPr>
            <w:tcW w:w="2263" w:type="dxa"/>
            <w:tcBorders>
              <w:top w:val="single" w:sz="4" w:space="0" w:color="auto"/>
              <w:bottom w:val="single" w:sz="4" w:space="0" w:color="auto"/>
              <w:right w:val="single" w:sz="4" w:space="0" w:color="auto"/>
            </w:tcBorders>
            <w:shd w:val="clear" w:color="auto" w:fill="auto"/>
            <w:vAlign w:val="center"/>
          </w:tcPr>
          <w:p w14:paraId="337B264A" w14:textId="77777777" w:rsidR="00302FB2" w:rsidRPr="00FE714A" w:rsidRDefault="00302FB2" w:rsidP="008D0D2E">
            <w:pPr>
              <w:pStyle w:val="TableText0"/>
              <w:keepNext w:val="0"/>
              <w:rPr>
                <w:szCs w:val="20"/>
              </w:rPr>
            </w:pPr>
            <w:r w:rsidRPr="00FE714A">
              <w:rPr>
                <w:szCs w:val="20"/>
              </w:rPr>
              <w:t>DUPI (200 &amp; 300 mg)</w:t>
            </w:r>
          </w:p>
        </w:tc>
        <w:tc>
          <w:tcPr>
            <w:tcW w:w="1134" w:type="dxa"/>
            <w:tcBorders>
              <w:top w:val="single" w:sz="4" w:space="0" w:color="auto"/>
              <w:left w:val="nil"/>
              <w:bottom w:val="single" w:sz="4" w:space="0" w:color="auto"/>
              <w:right w:val="single" w:sz="4" w:space="0" w:color="auto"/>
            </w:tcBorders>
            <w:shd w:val="clear" w:color="auto" w:fill="auto"/>
            <w:vAlign w:val="center"/>
          </w:tcPr>
          <w:p w14:paraId="1678A0FA" w14:textId="101A3238"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61"/>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61"/>
                <w14:textFill>
                  <w14:solidFill>
                    <w14:srgbClr w14:val="000000">
                      <w14:alpha w14:val="100000"/>
                    </w14:srgbClr>
                  </w14:solidFill>
                </w14:textFill>
              </w:rPr>
              <w:t>|</w:t>
            </w:r>
            <w:r w:rsidR="00DD1583">
              <w:rPr>
                <w:rFonts w:ascii="Arial Narrow" w:hAnsi="Arial Narrow"/>
                <w:sz w:val="20"/>
                <w:szCs w:val="20"/>
                <w:vertAlign w:val="superscript"/>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C46439" w14:textId="17A69660"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60"/>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60"/>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45AA8A" w14:textId="5F54A848"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76"/>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76"/>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AC1CB7" w14:textId="6368134A"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6" w:id="-961880575"/>
                <w14:textFill>
                  <w14:solidFill>
                    <w14:srgbClr w14:val="000000">
                      <w14:alpha w14:val="100000"/>
                    </w14:srgbClr>
                  </w14:solidFill>
                </w14:textFill>
              </w:rPr>
              <w:t>||  |</w:t>
            </w:r>
            <w:r w:rsidRPr="000727C3">
              <w:rPr>
                <w:rFonts w:ascii="Arial Narrow" w:hAnsi="Arial Narrow"/>
                <w:color w:val="000000"/>
                <w:spacing w:val="5"/>
                <w:sz w:val="20"/>
                <w:szCs w:val="20"/>
                <w:shd w:val="solid" w:color="000000" w:fill="000000"/>
                <w:fitText w:val="306" w:id="-961880575"/>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D6753E" w14:textId="4E418657"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74"/>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74"/>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5CA06B" w14:textId="3C02FBC5"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73"/>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73"/>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r>
      <w:tr w:rsidR="00302FB2" w:rsidRPr="00FE714A" w14:paraId="73A45373" w14:textId="77777777" w:rsidTr="00F81041">
        <w:tc>
          <w:tcPr>
            <w:tcW w:w="2263" w:type="dxa"/>
            <w:shd w:val="clear" w:color="auto" w:fill="auto"/>
            <w:vAlign w:val="center"/>
          </w:tcPr>
          <w:p w14:paraId="0AE3BF1D" w14:textId="77777777" w:rsidR="00302FB2" w:rsidRPr="00FE714A" w:rsidRDefault="00302FB2" w:rsidP="008D0D2E">
            <w:pPr>
              <w:pStyle w:val="TableText0"/>
              <w:keepNext w:val="0"/>
              <w:rPr>
                <w:szCs w:val="20"/>
              </w:rPr>
            </w:pPr>
            <w:r w:rsidRPr="00FE714A">
              <w:rPr>
                <w:szCs w:val="20"/>
              </w:rPr>
              <w:t>UPA (15 &amp; 30 mg)</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277108" w14:textId="03510930"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72"/>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72"/>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283446" w14:textId="014E2621"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71"/>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71"/>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A1846" w14:textId="6696936A"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70"/>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70"/>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323421" w14:textId="490CE16F"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6" w:id="-961880569"/>
                <w14:textFill>
                  <w14:solidFill>
                    <w14:srgbClr w14:val="000000">
                      <w14:alpha w14:val="100000"/>
                    </w14:srgbClr>
                  </w14:solidFill>
                </w14:textFill>
              </w:rPr>
              <w:t>||  |</w:t>
            </w:r>
            <w:r w:rsidRPr="000727C3">
              <w:rPr>
                <w:rFonts w:ascii="Arial Narrow" w:hAnsi="Arial Narrow"/>
                <w:color w:val="000000"/>
                <w:spacing w:val="5"/>
                <w:sz w:val="20"/>
                <w:szCs w:val="20"/>
                <w:shd w:val="solid" w:color="000000" w:fill="000000"/>
                <w:fitText w:val="306" w:id="-961880569"/>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6DC1C" w14:textId="0D6BB5CF"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68"/>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68"/>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36FD68" w14:textId="3305CA3F"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67"/>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67"/>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r>
      <w:tr w:rsidR="00302FB2" w:rsidRPr="00FE714A" w14:paraId="4701962D" w14:textId="77777777" w:rsidTr="00F81041">
        <w:tc>
          <w:tcPr>
            <w:tcW w:w="2263" w:type="dxa"/>
            <w:shd w:val="clear" w:color="auto" w:fill="auto"/>
            <w:vAlign w:val="center"/>
          </w:tcPr>
          <w:p w14:paraId="0222465C" w14:textId="77777777" w:rsidR="00302FB2" w:rsidRPr="00FE714A" w:rsidRDefault="00302FB2" w:rsidP="008D0D2E">
            <w:pPr>
              <w:pStyle w:val="TableText0"/>
              <w:keepNext w:val="0"/>
              <w:rPr>
                <w:szCs w:val="20"/>
              </w:rPr>
            </w:pPr>
            <w:r w:rsidRPr="00FE714A">
              <w:rPr>
                <w:szCs w:val="20"/>
              </w:rPr>
              <w:t xml:space="preserve">Total (pub) </w:t>
            </w:r>
            <w:r w:rsidRPr="00FE714A">
              <w:rPr>
                <w:szCs w:val="20"/>
                <w:vertAlign w:val="superscript"/>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F1FA54" w14:textId="206948A4"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6" w:id="-961880566"/>
                <w14:textFill>
                  <w14:solidFill>
                    <w14:srgbClr w14:val="000000">
                      <w14:alpha w14:val="100000"/>
                    </w14:srgbClr>
                  </w14:solidFill>
                </w14:textFill>
              </w:rPr>
              <w:t>||  |</w:t>
            </w:r>
            <w:r w:rsidRPr="000727C3">
              <w:rPr>
                <w:rFonts w:ascii="Arial Narrow" w:hAnsi="Arial Narrow"/>
                <w:color w:val="000000"/>
                <w:spacing w:val="5"/>
                <w:sz w:val="20"/>
                <w:szCs w:val="20"/>
                <w:shd w:val="solid" w:color="000000" w:fill="000000"/>
                <w:fitText w:val="306" w:id="-961880566"/>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1D7097" w14:textId="2EF03D0D"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65"/>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65"/>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751604" w14:textId="5EA75462"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6" w:id="-961880564"/>
                <w14:textFill>
                  <w14:solidFill>
                    <w14:srgbClr w14:val="000000">
                      <w14:alpha w14:val="100000"/>
                    </w14:srgbClr>
                  </w14:solidFill>
                </w14:textFill>
              </w:rPr>
              <w:t>||  |</w:t>
            </w:r>
            <w:r w:rsidRPr="000727C3">
              <w:rPr>
                <w:rFonts w:ascii="Arial Narrow" w:hAnsi="Arial Narrow"/>
                <w:color w:val="000000"/>
                <w:spacing w:val="5"/>
                <w:sz w:val="20"/>
                <w:szCs w:val="20"/>
                <w:shd w:val="solid" w:color="000000" w:fill="000000"/>
                <w:fitText w:val="306" w:id="-961880564"/>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DA6408" w14:textId="3E22C73C"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6" w:id="-961880563"/>
                <w14:textFill>
                  <w14:solidFill>
                    <w14:srgbClr w14:val="000000">
                      <w14:alpha w14:val="100000"/>
                    </w14:srgbClr>
                  </w14:solidFill>
                </w14:textFill>
              </w:rPr>
              <w:t>||  |</w:t>
            </w:r>
            <w:r w:rsidRPr="000727C3">
              <w:rPr>
                <w:rFonts w:ascii="Arial Narrow" w:hAnsi="Arial Narrow"/>
                <w:color w:val="000000"/>
                <w:spacing w:val="5"/>
                <w:sz w:val="20"/>
                <w:szCs w:val="20"/>
                <w:shd w:val="solid" w:color="000000" w:fill="000000"/>
                <w:fitText w:val="306" w:id="-961880563"/>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3C52CF" w14:textId="7ABD1C46"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5" w:id="-961880562"/>
                <w14:textFill>
                  <w14:solidFill>
                    <w14:srgbClr w14:val="000000">
                      <w14:alpha w14:val="100000"/>
                    </w14:srgbClr>
                  </w14:solidFill>
                </w14:textFill>
              </w:rPr>
              <w:t>||  |</w:t>
            </w:r>
            <w:r w:rsidRPr="000727C3">
              <w:rPr>
                <w:rFonts w:ascii="Arial Narrow" w:hAnsi="Arial Narrow"/>
                <w:color w:val="000000"/>
                <w:spacing w:val="4"/>
                <w:sz w:val="20"/>
                <w:szCs w:val="20"/>
                <w:shd w:val="solid" w:color="000000" w:fill="000000"/>
                <w:fitText w:val="305" w:id="-961880562"/>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41A91D" w14:textId="759F3E60" w:rsidR="00302FB2" w:rsidRPr="00992314" w:rsidRDefault="000727C3" w:rsidP="008D0D2E">
            <w:pPr>
              <w:rPr>
                <w:rFonts w:ascii="Arial Narrow" w:hAnsi="Arial Narrow"/>
                <w:sz w:val="20"/>
                <w:szCs w:val="20"/>
                <w:highlight w:val="lightGray"/>
              </w:rPr>
            </w:pPr>
            <w:r w:rsidRPr="000727C3">
              <w:rPr>
                <w:rFonts w:ascii="Arial Narrow" w:hAnsi="Arial Narrow"/>
                <w:color w:val="000000"/>
                <w:spacing w:val="8"/>
                <w:sz w:val="20"/>
                <w:szCs w:val="20"/>
                <w:shd w:val="solid" w:color="000000" w:fill="000000"/>
                <w:fitText w:val="306" w:id="-961880561"/>
                <w14:textFill>
                  <w14:solidFill>
                    <w14:srgbClr w14:val="000000">
                      <w14:alpha w14:val="100000"/>
                    </w14:srgbClr>
                  </w14:solidFill>
                </w14:textFill>
              </w:rPr>
              <w:t>||  |</w:t>
            </w:r>
            <w:r w:rsidRPr="000727C3">
              <w:rPr>
                <w:rFonts w:ascii="Arial Narrow" w:hAnsi="Arial Narrow"/>
                <w:color w:val="000000"/>
                <w:spacing w:val="5"/>
                <w:sz w:val="20"/>
                <w:szCs w:val="20"/>
                <w:shd w:val="solid" w:color="000000" w:fill="000000"/>
                <w:fitText w:val="306" w:id="-961880561"/>
                <w14:textFill>
                  <w14:solidFill>
                    <w14:srgbClr w14:val="000000">
                      <w14:alpha w14:val="100000"/>
                    </w14:srgbClr>
                  </w14:solidFill>
                </w14:textFill>
              </w:rPr>
              <w:t>|</w:t>
            </w:r>
            <w:r w:rsidR="00DD1583" w:rsidRPr="00DD1583">
              <w:rPr>
                <w:rFonts w:ascii="Arial Narrow" w:hAnsi="Arial Narrow"/>
                <w:sz w:val="20"/>
                <w:szCs w:val="20"/>
                <w:vertAlign w:val="superscript"/>
              </w:rPr>
              <w:t>20</w:t>
            </w:r>
          </w:p>
        </w:tc>
      </w:tr>
      <w:tr w:rsidR="00302FB2" w:rsidRPr="00FE714A" w14:paraId="2F0FA900" w14:textId="77777777" w:rsidTr="00F81041">
        <w:tc>
          <w:tcPr>
            <w:tcW w:w="9067" w:type="dxa"/>
            <w:gridSpan w:val="7"/>
            <w:tcBorders>
              <w:bottom w:val="single" w:sz="4" w:space="0" w:color="auto"/>
              <w:right w:val="single" w:sz="4" w:space="0" w:color="auto"/>
            </w:tcBorders>
            <w:shd w:val="clear" w:color="auto" w:fill="auto"/>
            <w:vAlign w:val="center"/>
          </w:tcPr>
          <w:p w14:paraId="22EB119E" w14:textId="77777777" w:rsidR="00302FB2" w:rsidRPr="00FE714A" w:rsidRDefault="00302FB2" w:rsidP="008D0D2E">
            <w:pPr>
              <w:pStyle w:val="TableText0"/>
              <w:keepNext w:val="0"/>
              <w:rPr>
                <w:rFonts w:cs="Arial"/>
                <w:szCs w:val="20"/>
                <w:highlight w:val="green"/>
              </w:rPr>
            </w:pPr>
            <w:r w:rsidRPr="00FE714A">
              <w:rPr>
                <w:rStyle w:val="CommentReference"/>
                <w:szCs w:val="20"/>
              </w:rPr>
              <w:t>Estimated financial implications for the PBS/RPBS and the health budget</w:t>
            </w:r>
          </w:p>
        </w:tc>
      </w:tr>
      <w:tr w:rsidR="00302FB2" w:rsidRPr="00FE714A" w14:paraId="58779C49" w14:textId="77777777" w:rsidTr="00F81041">
        <w:tc>
          <w:tcPr>
            <w:tcW w:w="2263" w:type="dxa"/>
            <w:tcBorders>
              <w:top w:val="single" w:sz="4" w:space="0" w:color="auto"/>
              <w:bottom w:val="single" w:sz="4" w:space="0" w:color="auto"/>
              <w:right w:val="single" w:sz="4" w:space="0" w:color="auto"/>
            </w:tcBorders>
            <w:shd w:val="clear" w:color="auto" w:fill="auto"/>
            <w:vAlign w:val="center"/>
          </w:tcPr>
          <w:p w14:paraId="06D32D3C" w14:textId="77777777" w:rsidR="00302FB2" w:rsidRPr="00FE714A" w:rsidRDefault="00302FB2" w:rsidP="008D0D2E">
            <w:pPr>
              <w:rPr>
                <w:rFonts w:ascii="Arial Narrow" w:hAnsi="Arial Narrow"/>
                <w:sz w:val="20"/>
                <w:szCs w:val="20"/>
              </w:rPr>
            </w:pPr>
            <w:r w:rsidRPr="00FE714A">
              <w:rPr>
                <w:rFonts w:ascii="Arial Narrow" w:hAnsi="Arial Narrow"/>
                <w:sz w:val="20"/>
                <w:szCs w:val="20"/>
              </w:rPr>
              <w:t>Net cost to PBS/RPBS / budget (pub)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7B0E2B" w14:textId="66AF45D1"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60"/>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60"/>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60"/>
                <w14:textFill>
                  <w14:solidFill>
                    <w14:srgbClr w14:val="000000">
                      <w14:alpha w14:val="100000"/>
                    </w14:srgbClr>
                  </w14:solidFill>
                </w14:textFill>
              </w:rPr>
              <w:t xml:space="preserve">　</w:t>
            </w:r>
            <w:r w:rsidR="00DD1583">
              <w:rPr>
                <w:rFonts w:ascii="Arial Narrow" w:hAnsi="Arial Narrow"/>
                <w:sz w:val="20"/>
                <w:szCs w:val="20"/>
                <w:vertAlign w:val="superscript"/>
              </w:rPr>
              <w:t>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DB6A61" w14:textId="3AC33039"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2" w:id="-961880576"/>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2" w:id="-961880576"/>
                <w14:textFill>
                  <w14:solidFill>
                    <w14:srgbClr w14:val="000000">
                      <w14:alpha w14:val="100000"/>
                    </w14:srgbClr>
                  </w14:solidFill>
                </w14:textFill>
              </w:rPr>
              <w:t>|</w:t>
            </w:r>
            <w:r w:rsidRPr="000727C3">
              <w:rPr>
                <w:rFonts w:ascii="Arial Narrow" w:hAnsi="Arial Narrow" w:hint="eastAsia"/>
                <w:color w:val="000000"/>
                <w:spacing w:val="-3"/>
                <w:w w:val="15"/>
                <w:sz w:val="20"/>
                <w:szCs w:val="20"/>
                <w:shd w:val="solid" w:color="000000" w:fill="000000"/>
                <w:fitText w:val="62" w:id="-961880576"/>
                <w14:textFill>
                  <w14:solidFill>
                    <w14:srgbClr w14:val="000000">
                      <w14:alpha w14:val="100000"/>
                    </w14:srgbClr>
                  </w14:solidFill>
                </w14:textFill>
              </w:rPr>
              <w:t xml:space="preserve">　</w:t>
            </w:r>
            <w:r w:rsidR="00DD1583">
              <w:rPr>
                <w:rFonts w:ascii="Arial Narrow" w:hAnsi="Arial Narrow"/>
                <w:sz w:val="20"/>
                <w:szCs w:val="20"/>
                <w:vertAlign w:val="superscript"/>
              </w:rPr>
              <w:t>22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98CCE4C" w14:textId="434DBB9F"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75"/>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75"/>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75"/>
                <w14:textFill>
                  <w14:solidFill>
                    <w14:srgbClr w14:val="000000">
                      <w14:alpha w14:val="100000"/>
                    </w14:srgbClr>
                  </w14:solidFill>
                </w14:textFill>
              </w:rPr>
              <w:t xml:space="preserve">　</w:t>
            </w:r>
            <w:r w:rsidR="00DD1583">
              <w:rPr>
                <w:rFonts w:ascii="Arial Narrow" w:hAnsi="Arial Narrow"/>
                <w:sz w:val="20"/>
                <w:szCs w:val="20"/>
                <w:vertAlign w:val="superscript"/>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D32942" w14:textId="0D2F5994"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74"/>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74"/>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74"/>
                <w14:textFill>
                  <w14:solidFill>
                    <w14:srgbClr w14:val="000000">
                      <w14:alpha w14:val="100000"/>
                    </w14:srgbClr>
                  </w14:solidFill>
                </w14:textFill>
              </w:rPr>
              <w:t xml:space="preserve">　</w:t>
            </w:r>
            <w:r w:rsidR="00DD1583">
              <w:rPr>
                <w:rFonts w:ascii="Arial Narrow" w:hAnsi="Arial Narrow"/>
                <w:sz w:val="20"/>
                <w:szCs w:val="20"/>
                <w:vertAlign w:val="superscript"/>
              </w:rPr>
              <w:t>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E285D3" w14:textId="6505EDA2"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2" w:id="-961880573"/>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2" w:id="-961880573"/>
                <w14:textFill>
                  <w14:solidFill>
                    <w14:srgbClr w14:val="000000">
                      <w14:alpha w14:val="100000"/>
                    </w14:srgbClr>
                  </w14:solidFill>
                </w14:textFill>
              </w:rPr>
              <w:t>|</w:t>
            </w:r>
            <w:r w:rsidRPr="000727C3">
              <w:rPr>
                <w:rFonts w:ascii="Arial Narrow" w:hAnsi="Arial Narrow" w:hint="eastAsia"/>
                <w:color w:val="000000"/>
                <w:spacing w:val="-3"/>
                <w:w w:val="15"/>
                <w:sz w:val="20"/>
                <w:szCs w:val="20"/>
                <w:shd w:val="solid" w:color="000000" w:fill="000000"/>
                <w:fitText w:val="62" w:id="-961880573"/>
                <w14:textFill>
                  <w14:solidFill>
                    <w14:srgbClr w14:val="000000">
                      <w14:alpha w14:val="100000"/>
                    </w14:srgbClr>
                  </w14:solidFill>
                </w14:textFill>
              </w:rPr>
              <w:t xml:space="preserve">　</w:t>
            </w:r>
            <w:r w:rsidR="00DD1583">
              <w:rPr>
                <w:rFonts w:ascii="Arial Narrow" w:hAnsi="Arial Narrow"/>
                <w:sz w:val="20"/>
                <w:szCs w:val="20"/>
                <w:vertAlign w:val="superscript"/>
              </w:rPr>
              <w:t>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348FA7" w14:textId="18E0DBE1" w:rsidR="00302FB2" w:rsidRPr="005A4F1E" w:rsidRDefault="000727C3" w:rsidP="008D0D2E">
            <w:pPr>
              <w:jc w:val="center"/>
              <w:rPr>
                <w:rFonts w:ascii="Arial Narrow" w:hAnsi="Arial Narrow"/>
                <w:sz w:val="20"/>
                <w:szCs w:val="20"/>
                <w:highlight w:val="lightGray"/>
              </w:rPr>
            </w:pPr>
            <w:r w:rsidRPr="000727C3">
              <w:rPr>
                <w:rFonts w:ascii="Arial Narrow" w:hAnsi="Arial Narrow" w:hint="eastAsia"/>
                <w:color w:val="000000"/>
                <w:w w:val="15"/>
                <w:sz w:val="20"/>
                <w:szCs w:val="20"/>
                <w:shd w:val="solid" w:color="000000" w:fill="000000"/>
                <w:fitText w:val="63" w:id="-961880572"/>
                <w14:textFill>
                  <w14:solidFill>
                    <w14:srgbClr w14:val="000000">
                      <w14:alpha w14:val="100000"/>
                    </w14:srgbClr>
                  </w14:solidFill>
                </w14:textFill>
              </w:rPr>
              <w:t xml:space="preserve">　</w:t>
            </w:r>
            <w:r w:rsidRPr="000727C3">
              <w:rPr>
                <w:rFonts w:ascii="Arial Narrow" w:hAnsi="Arial Narrow"/>
                <w:color w:val="000000"/>
                <w:w w:val="15"/>
                <w:sz w:val="20"/>
                <w:szCs w:val="20"/>
                <w:shd w:val="solid" w:color="000000" w:fill="000000"/>
                <w:fitText w:val="63" w:id="-961880572"/>
                <w14:textFill>
                  <w14:solidFill>
                    <w14:srgbClr w14:val="000000">
                      <w14:alpha w14:val="100000"/>
                    </w14:srgbClr>
                  </w14:solidFill>
                </w14:textFill>
              </w:rPr>
              <w:t>|</w:t>
            </w:r>
            <w:r w:rsidRPr="000727C3">
              <w:rPr>
                <w:rFonts w:ascii="Arial Narrow" w:hAnsi="Arial Narrow" w:hint="eastAsia"/>
                <w:color w:val="000000"/>
                <w:spacing w:val="-2"/>
                <w:w w:val="15"/>
                <w:sz w:val="20"/>
                <w:szCs w:val="20"/>
                <w:shd w:val="solid" w:color="000000" w:fill="000000"/>
                <w:fitText w:val="63" w:id="-961880572"/>
                <w14:textFill>
                  <w14:solidFill>
                    <w14:srgbClr w14:val="000000">
                      <w14:alpha w14:val="100000"/>
                    </w14:srgbClr>
                  </w14:solidFill>
                </w14:textFill>
              </w:rPr>
              <w:t xml:space="preserve">　</w:t>
            </w:r>
            <w:r w:rsidR="005C6554" w:rsidRPr="005C6554">
              <w:rPr>
                <w:rFonts w:ascii="Arial Narrow" w:hAnsi="Arial Narrow"/>
                <w:sz w:val="20"/>
                <w:szCs w:val="20"/>
                <w:vertAlign w:val="superscript"/>
              </w:rPr>
              <w:t>14</w:t>
            </w:r>
          </w:p>
        </w:tc>
      </w:tr>
    </w:tbl>
    <w:p w14:paraId="4DAF0660" w14:textId="77777777" w:rsidR="00302FB2" w:rsidRPr="00FE714A" w:rsidRDefault="00302FB2" w:rsidP="008D0D2E">
      <w:pPr>
        <w:pStyle w:val="FooterTableFigure"/>
      </w:pPr>
      <w:r w:rsidRPr="00FE714A">
        <w:t>Source: Tables 4.2-1, 4.2-2, 4.2-6, 4.3-1, 4.3-4, 4.4-1, 4.5-1, 4.5-2, pp393-396, 398 &amp; 399 of the submission.</w:t>
      </w:r>
    </w:p>
    <w:p w14:paraId="4E9480E4" w14:textId="77777777" w:rsidR="00302FB2" w:rsidRPr="00FE714A" w:rsidRDefault="00302FB2" w:rsidP="008D0D2E">
      <w:pPr>
        <w:pStyle w:val="FooterTableFigure"/>
        <w:rPr>
          <w:snapToGrid/>
        </w:rPr>
      </w:pPr>
      <w:r w:rsidRPr="00FE714A">
        <w:rPr>
          <w:snapToGrid/>
        </w:rPr>
        <w:t xml:space="preserve">AD = atopic dermatitis; DPMQ = </w:t>
      </w:r>
      <w:r w:rsidRPr="00FE714A">
        <w:rPr>
          <w:sz w:val="19"/>
          <w:szCs w:val="19"/>
        </w:rPr>
        <w:t>dispensed price for maximum quantity;</w:t>
      </w:r>
      <w:r w:rsidRPr="00FE714A">
        <w:rPr>
          <w:snapToGrid/>
        </w:rPr>
        <w:t xml:space="preserve"> DUPI = dupilumab; </w:t>
      </w:r>
      <w:proofErr w:type="spellStart"/>
      <w:r w:rsidRPr="00FE714A">
        <w:rPr>
          <w:snapToGrid/>
        </w:rPr>
        <w:t>extd</w:t>
      </w:r>
      <w:proofErr w:type="spellEnd"/>
      <w:r w:rsidRPr="00FE714A">
        <w:rPr>
          <w:snapToGrid/>
        </w:rPr>
        <w:t xml:space="preserve"> = extended; LEB = lebrikizumab; PBS =</w:t>
      </w:r>
      <w:r w:rsidRPr="00FE714A">
        <w:t xml:space="preserve"> </w:t>
      </w:r>
      <w:r w:rsidRPr="00FE714A">
        <w:rPr>
          <w:snapToGrid/>
        </w:rPr>
        <w:t xml:space="preserve">Pharmaceutical Benefits Scheme; pt = patients; pub = published; RPBS = Repatriation Pharmaceutical Benefits Scheme; std = standard; </w:t>
      </w:r>
      <w:proofErr w:type="spellStart"/>
      <w:r w:rsidRPr="00FE714A">
        <w:rPr>
          <w:snapToGrid/>
        </w:rPr>
        <w:t>trt</w:t>
      </w:r>
      <w:proofErr w:type="spellEnd"/>
      <w:r w:rsidRPr="00FE714A">
        <w:rPr>
          <w:snapToGrid/>
        </w:rPr>
        <w:t xml:space="preserve"> = treatment UPA =</w:t>
      </w:r>
      <w:r w:rsidRPr="00FE714A">
        <w:t xml:space="preserve"> </w:t>
      </w:r>
      <w:r w:rsidRPr="00FE714A">
        <w:rPr>
          <w:snapToGrid/>
        </w:rPr>
        <w:t xml:space="preserve">upadacitinib; w/ = with; </w:t>
      </w:r>
      <w:proofErr w:type="spellStart"/>
      <w:r w:rsidRPr="00FE714A">
        <w:rPr>
          <w:snapToGrid/>
        </w:rPr>
        <w:t>Yr</w:t>
      </w:r>
      <w:proofErr w:type="spellEnd"/>
      <w:r w:rsidRPr="00FE714A">
        <w:rPr>
          <w:snapToGrid/>
        </w:rPr>
        <w:t xml:space="preserve"> = year</w:t>
      </w:r>
    </w:p>
    <w:p w14:paraId="322199DF" w14:textId="77777777" w:rsidR="00302FB2" w:rsidRPr="00FE714A" w:rsidRDefault="00302FB2" w:rsidP="008D0D2E">
      <w:pPr>
        <w:pStyle w:val="FooterTableFigure"/>
      </w:pPr>
      <w:r w:rsidRPr="00FE714A">
        <w:t xml:space="preserve">a multiplied by the proportion of: patients with severe AD (5.84% for adolescents; 5% for adults); patients with EASI ≥ 20 (95%); and patients uncontrolled on TCS (80%). </w:t>
      </w:r>
    </w:p>
    <w:p w14:paraId="4E18E131" w14:textId="2A92B508" w:rsidR="00302FB2" w:rsidRPr="00461053" w:rsidRDefault="00302FB2" w:rsidP="008D0D2E">
      <w:pPr>
        <w:pStyle w:val="FooterTableFigure"/>
      </w:pPr>
      <w:r w:rsidRPr="00FE714A">
        <w:t xml:space="preserve">b The DPMQ provided by the submission differed slightly to those calculated during the evaluation (using the ‘Mark-ups v43 - eff 1 Jul 23 external’ workbook). The financial estimates were not updated during the evaluation given the small difference in published prices, e.g., LEB 1 </w:t>
      </w:r>
      <w:r w:rsidRPr="00461053">
        <w:t>pen: $</w:t>
      </w:r>
      <w:r w:rsidR="000727C3" w:rsidRPr="000727C3">
        <w:rPr>
          <w:color w:val="000000"/>
          <w:spacing w:val="9"/>
          <w:shd w:val="solid" w:color="000000" w:fill="000000"/>
          <w:fitText w:val="281" w:id="-961880571"/>
          <w14:textFill>
            <w14:solidFill>
              <w14:srgbClr w14:val="000000">
                <w14:alpha w14:val="100000"/>
              </w14:srgbClr>
            </w14:solidFill>
          </w14:textFill>
        </w:rPr>
        <w:t>||  |</w:t>
      </w:r>
      <w:r w:rsidR="000727C3" w:rsidRPr="000727C3">
        <w:rPr>
          <w:color w:val="000000"/>
          <w:spacing w:val="1"/>
          <w:shd w:val="solid" w:color="000000" w:fill="000000"/>
          <w:fitText w:val="281" w:id="-961880571"/>
          <w14:textFill>
            <w14:solidFill>
              <w14:srgbClr w14:val="000000">
                <w14:alpha w14:val="100000"/>
              </w14:srgbClr>
            </w14:solidFill>
          </w14:textFill>
        </w:rPr>
        <w:t>|</w:t>
      </w:r>
      <w:r w:rsidRPr="00461053">
        <w:t>reported by the submission, compared to $</w:t>
      </w:r>
      <w:r w:rsidR="000727C3" w:rsidRPr="000727C3">
        <w:rPr>
          <w:color w:val="000000"/>
          <w:spacing w:val="9"/>
          <w:shd w:val="solid" w:color="000000" w:fill="000000"/>
          <w:fitText w:val="281" w:id="-961880570"/>
          <w14:textFill>
            <w14:solidFill>
              <w14:srgbClr w14:val="000000">
                <w14:alpha w14:val="100000"/>
              </w14:srgbClr>
            </w14:solidFill>
          </w14:textFill>
        </w:rPr>
        <w:t>||  |</w:t>
      </w:r>
      <w:r w:rsidR="000727C3" w:rsidRPr="000727C3">
        <w:rPr>
          <w:color w:val="000000"/>
          <w:spacing w:val="1"/>
          <w:shd w:val="solid" w:color="000000" w:fill="000000"/>
          <w:fitText w:val="281" w:id="-961880570"/>
          <w14:textFill>
            <w14:solidFill>
              <w14:srgbClr w14:val="000000">
                <w14:alpha w14:val="100000"/>
              </w14:srgbClr>
            </w14:solidFill>
          </w14:textFill>
        </w:rPr>
        <w:t>|</w:t>
      </w:r>
      <w:r w:rsidRPr="00461053">
        <w:t>calculated during the evaluation</w:t>
      </w:r>
      <w:r w:rsidR="00FE714A" w:rsidRPr="00461053">
        <w:t xml:space="preserve">. </w:t>
      </w:r>
      <w:r w:rsidRPr="00461053">
        <w:t xml:space="preserve"> </w:t>
      </w:r>
    </w:p>
    <w:p w14:paraId="5372EE78" w14:textId="77777777" w:rsidR="00325254" w:rsidRDefault="00302FB2" w:rsidP="008D0D2E">
      <w:pPr>
        <w:pStyle w:val="FooterTableFigure"/>
        <w:spacing w:after="0"/>
      </w:pPr>
      <w:r w:rsidRPr="00461053">
        <w:t>c The number of prescriptions for UPA (15 and 30 mg) varied (5 repeats for continuing</w:t>
      </w:r>
      <w:r w:rsidRPr="00FE714A">
        <w:t>; 3 repeats for continuing – dose change). The submission assumed 5 repeats for all UPA continuing patients and therefore the estimated net change in prescriptions may not be entirely accurate. Data from sheet ‘2e: scripts-market’ show that approximately 10% of total UPA services were dose changes.</w:t>
      </w:r>
    </w:p>
    <w:p w14:paraId="5369D0BE" w14:textId="61F3F394" w:rsidR="00325254" w:rsidRDefault="00325254" w:rsidP="008D0D2E">
      <w:pPr>
        <w:rPr>
          <w:rFonts w:ascii="Arial Narrow" w:eastAsiaTheme="minorEastAsia" w:hAnsi="Arial Narrow"/>
          <w:i/>
          <w:sz w:val="18"/>
          <w:szCs w:val="18"/>
        </w:rPr>
      </w:pPr>
      <w:bookmarkStart w:id="61" w:name="_Hlk165474539"/>
      <w:r w:rsidRPr="00325254">
        <w:rPr>
          <w:rFonts w:ascii="Arial Narrow" w:eastAsiaTheme="minorEastAsia" w:hAnsi="Arial Narrow"/>
          <w:i/>
          <w:sz w:val="18"/>
          <w:szCs w:val="18"/>
        </w:rPr>
        <w:t>The redacted values correspond to the following ranges</w:t>
      </w:r>
      <w:bookmarkEnd w:id="61"/>
      <w:r w:rsidRPr="00325254">
        <w:rPr>
          <w:rFonts w:ascii="Arial Narrow" w:eastAsiaTheme="minorEastAsia" w:hAnsi="Arial Narrow"/>
          <w:i/>
          <w:sz w:val="18"/>
          <w:szCs w:val="18"/>
        </w:rPr>
        <w:t xml:space="preserve">: </w:t>
      </w:r>
    </w:p>
    <w:p w14:paraId="4D27D9B4" w14:textId="58FC3F5A" w:rsidR="00325254" w:rsidRPr="00325254" w:rsidRDefault="00325254" w:rsidP="008D0D2E">
      <w:pPr>
        <w:rPr>
          <w:rFonts w:ascii="Arial Narrow" w:eastAsiaTheme="minorEastAsia" w:hAnsi="Arial Narrow"/>
          <w:i/>
          <w:sz w:val="18"/>
          <w:szCs w:val="18"/>
        </w:rPr>
      </w:pPr>
      <w:r w:rsidRPr="00325254">
        <w:rPr>
          <w:rFonts w:ascii="Arial Narrow" w:eastAsiaTheme="minorEastAsia" w:hAnsi="Arial Narrow"/>
          <w:i/>
          <w:sz w:val="18"/>
          <w:szCs w:val="18"/>
          <w:vertAlign w:val="superscript"/>
        </w:rPr>
        <w:t xml:space="preserve">1 </w:t>
      </w:r>
      <w:r w:rsidRPr="00325254">
        <w:rPr>
          <w:rFonts w:ascii="Arial Narrow" w:eastAsiaTheme="minorEastAsia" w:hAnsi="Arial Narrow"/>
          <w:i/>
          <w:sz w:val="18"/>
          <w:szCs w:val="18"/>
        </w:rPr>
        <w:t>100,000 to &lt; 200,000</w:t>
      </w:r>
    </w:p>
    <w:p w14:paraId="069E285F" w14:textId="5C7C534D" w:rsidR="00325254" w:rsidRDefault="00325254" w:rsidP="008D0D2E">
      <w:pPr>
        <w:rPr>
          <w:rFonts w:ascii="Arial Narrow" w:eastAsiaTheme="minorEastAsia" w:hAnsi="Arial Narrow"/>
          <w:i/>
          <w:sz w:val="18"/>
          <w:szCs w:val="18"/>
        </w:rPr>
      </w:pPr>
      <w:r w:rsidRPr="00325254">
        <w:rPr>
          <w:rFonts w:ascii="Arial Narrow" w:eastAsiaTheme="minorEastAsia" w:hAnsi="Arial Narrow"/>
          <w:i/>
          <w:sz w:val="18"/>
          <w:szCs w:val="18"/>
          <w:vertAlign w:val="superscript"/>
        </w:rPr>
        <w:t>2</w:t>
      </w:r>
      <w:r>
        <w:rPr>
          <w:rFonts w:ascii="Arial Narrow" w:eastAsiaTheme="minorEastAsia" w:hAnsi="Arial Narrow"/>
          <w:i/>
          <w:sz w:val="18"/>
          <w:szCs w:val="18"/>
        </w:rPr>
        <w:t xml:space="preserve"> </w:t>
      </w:r>
      <w:r w:rsidRPr="00325254">
        <w:rPr>
          <w:rFonts w:ascii="Arial Narrow" w:eastAsiaTheme="minorEastAsia" w:hAnsi="Arial Narrow"/>
          <w:i/>
          <w:sz w:val="18"/>
          <w:szCs w:val="18"/>
        </w:rPr>
        <w:t>1,000,000 to &lt; 2,000,000</w:t>
      </w:r>
    </w:p>
    <w:p w14:paraId="408A3AD9" w14:textId="3C406A82" w:rsidR="00325254" w:rsidRDefault="00325254" w:rsidP="008D0D2E">
      <w:pPr>
        <w:rPr>
          <w:rFonts w:ascii="Arial Narrow" w:eastAsiaTheme="minorEastAsia" w:hAnsi="Arial Narrow"/>
          <w:i/>
          <w:sz w:val="18"/>
          <w:szCs w:val="18"/>
        </w:rPr>
      </w:pPr>
      <w:r w:rsidRPr="00325254">
        <w:rPr>
          <w:rFonts w:ascii="Arial Narrow" w:eastAsiaTheme="minorEastAsia" w:hAnsi="Arial Narrow"/>
          <w:i/>
          <w:sz w:val="18"/>
          <w:szCs w:val="18"/>
          <w:vertAlign w:val="superscript"/>
        </w:rPr>
        <w:t>3</w:t>
      </w:r>
      <w:r>
        <w:rPr>
          <w:rFonts w:ascii="Arial Narrow" w:eastAsiaTheme="minorEastAsia" w:hAnsi="Arial Narrow"/>
          <w:i/>
          <w:sz w:val="18"/>
          <w:szCs w:val="18"/>
        </w:rPr>
        <w:t xml:space="preserve"> </w:t>
      </w:r>
      <w:r w:rsidRPr="00325254">
        <w:rPr>
          <w:rFonts w:ascii="Arial Narrow" w:eastAsiaTheme="minorEastAsia" w:hAnsi="Arial Narrow"/>
          <w:i/>
          <w:sz w:val="18"/>
          <w:szCs w:val="18"/>
        </w:rPr>
        <w:t>2,000,000 to &lt; 3,000,000</w:t>
      </w:r>
    </w:p>
    <w:p w14:paraId="2438DBE3" w14:textId="4038C20D" w:rsidR="00325254" w:rsidRDefault="00325254" w:rsidP="008D0D2E">
      <w:pPr>
        <w:rPr>
          <w:rFonts w:ascii="Arial Narrow" w:eastAsiaTheme="minorEastAsia" w:hAnsi="Arial Narrow"/>
          <w:i/>
          <w:sz w:val="18"/>
          <w:szCs w:val="18"/>
        </w:rPr>
      </w:pPr>
      <w:r w:rsidRPr="00325254">
        <w:rPr>
          <w:rFonts w:ascii="Arial Narrow" w:eastAsiaTheme="minorEastAsia" w:hAnsi="Arial Narrow"/>
          <w:i/>
          <w:sz w:val="18"/>
          <w:szCs w:val="18"/>
          <w:vertAlign w:val="superscript"/>
        </w:rPr>
        <w:t xml:space="preserve">4 </w:t>
      </w:r>
      <w:r w:rsidRPr="00325254">
        <w:rPr>
          <w:rFonts w:ascii="Arial Narrow" w:eastAsiaTheme="minorEastAsia" w:hAnsi="Arial Narrow"/>
          <w:i/>
          <w:sz w:val="18"/>
          <w:szCs w:val="18"/>
        </w:rPr>
        <w:t>80,000 to &lt; 90,000</w:t>
      </w:r>
    </w:p>
    <w:p w14:paraId="5F0B51AE" w14:textId="592DB48C" w:rsidR="00325254" w:rsidRDefault="00325254" w:rsidP="008D0D2E">
      <w:pPr>
        <w:rPr>
          <w:rFonts w:ascii="Arial Narrow" w:eastAsiaTheme="minorEastAsia" w:hAnsi="Arial Narrow"/>
          <w:i/>
          <w:sz w:val="18"/>
          <w:szCs w:val="18"/>
        </w:rPr>
      </w:pPr>
      <w:r w:rsidRPr="00325254">
        <w:rPr>
          <w:rFonts w:ascii="Arial Narrow" w:eastAsiaTheme="minorEastAsia" w:hAnsi="Arial Narrow"/>
          <w:i/>
          <w:sz w:val="18"/>
          <w:szCs w:val="18"/>
          <w:vertAlign w:val="superscript"/>
        </w:rPr>
        <w:t xml:space="preserve">5 </w:t>
      </w:r>
      <w:r w:rsidRPr="00325254">
        <w:rPr>
          <w:rFonts w:ascii="Arial Narrow" w:eastAsiaTheme="minorEastAsia" w:hAnsi="Arial Narrow"/>
          <w:i/>
          <w:sz w:val="18"/>
          <w:szCs w:val="18"/>
        </w:rPr>
        <w:t>10,000 to &lt; 20,000</w:t>
      </w:r>
    </w:p>
    <w:p w14:paraId="6A7450BE" w14:textId="2028429E" w:rsidR="00645C26" w:rsidRDefault="00645C26" w:rsidP="008D0D2E">
      <w:pPr>
        <w:rPr>
          <w:rFonts w:ascii="Arial Narrow" w:eastAsiaTheme="minorEastAsia" w:hAnsi="Arial Narrow"/>
          <w:i/>
          <w:sz w:val="18"/>
          <w:szCs w:val="18"/>
        </w:rPr>
      </w:pPr>
      <w:r w:rsidRPr="00645C26">
        <w:rPr>
          <w:rFonts w:ascii="Arial Narrow" w:eastAsiaTheme="minorEastAsia" w:hAnsi="Arial Narrow"/>
          <w:i/>
          <w:sz w:val="18"/>
          <w:szCs w:val="18"/>
          <w:vertAlign w:val="superscript"/>
        </w:rPr>
        <w:t>6</w:t>
      </w:r>
      <w:r>
        <w:rPr>
          <w:rFonts w:ascii="Arial Narrow" w:eastAsiaTheme="minorEastAsia" w:hAnsi="Arial Narrow"/>
          <w:i/>
          <w:sz w:val="18"/>
          <w:szCs w:val="18"/>
        </w:rPr>
        <w:t xml:space="preserve"> </w:t>
      </w:r>
      <w:r w:rsidRPr="00645C26">
        <w:rPr>
          <w:rFonts w:ascii="Arial Narrow" w:eastAsiaTheme="minorEastAsia" w:hAnsi="Arial Narrow"/>
          <w:i/>
          <w:sz w:val="18"/>
          <w:szCs w:val="18"/>
        </w:rPr>
        <w:t>90,000 to &lt; 100,000</w:t>
      </w:r>
    </w:p>
    <w:p w14:paraId="7EB14A5C" w14:textId="0E45CC9B" w:rsidR="00645C26" w:rsidRDefault="00645C26" w:rsidP="008D0D2E">
      <w:pPr>
        <w:rPr>
          <w:rFonts w:ascii="Arial Narrow" w:eastAsiaTheme="minorEastAsia" w:hAnsi="Arial Narrow"/>
          <w:i/>
          <w:sz w:val="18"/>
          <w:szCs w:val="18"/>
        </w:rPr>
      </w:pPr>
      <w:r w:rsidRPr="00645C26">
        <w:rPr>
          <w:rFonts w:ascii="Arial Narrow" w:eastAsiaTheme="minorEastAsia" w:hAnsi="Arial Narrow"/>
          <w:i/>
          <w:sz w:val="18"/>
          <w:szCs w:val="18"/>
          <w:vertAlign w:val="superscript"/>
        </w:rPr>
        <w:t>7</w:t>
      </w:r>
      <w:r>
        <w:rPr>
          <w:rFonts w:ascii="Arial Narrow" w:eastAsiaTheme="minorEastAsia" w:hAnsi="Arial Narrow"/>
          <w:i/>
          <w:sz w:val="18"/>
          <w:szCs w:val="18"/>
        </w:rPr>
        <w:t xml:space="preserve"> </w:t>
      </w:r>
      <w:r w:rsidRPr="00645C26">
        <w:rPr>
          <w:rFonts w:ascii="Arial Narrow" w:eastAsiaTheme="minorEastAsia" w:hAnsi="Arial Narrow"/>
          <w:i/>
          <w:sz w:val="18"/>
          <w:szCs w:val="18"/>
        </w:rPr>
        <w:t>500 to &lt; 5,000</w:t>
      </w:r>
    </w:p>
    <w:p w14:paraId="20B43CB2" w14:textId="425EEE04" w:rsidR="00645C26" w:rsidRDefault="00645C26" w:rsidP="008D0D2E">
      <w:pPr>
        <w:rPr>
          <w:rFonts w:ascii="Arial Narrow" w:eastAsiaTheme="minorEastAsia" w:hAnsi="Arial Narrow"/>
          <w:i/>
          <w:sz w:val="18"/>
          <w:szCs w:val="18"/>
        </w:rPr>
      </w:pPr>
      <w:r w:rsidRPr="00645C26">
        <w:rPr>
          <w:rFonts w:ascii="Arial Narrow" w:eastAsiaTheme="minorEastAsia" w:hAnsi="Arial Narrow"/>
          <w:i/>
          <w:sz w:val="18"/>
          <w:szCs w:val="18"/>
          <w:vertAlign w:val="superscript"/>
        </w:rPr>
        <w:t xml:space="preserve">8 </w:t>
      </w:r>
      <w:r w:rsidRPr="00645C26">
        <w:rPr>
          <w:rFonts w:ascii="Arial Narrow" w:eastAsiaTheme="minorEastAsia" w:hAnsi="Arial Narrow"/>
          <w:i/>
          <w:sz w:val="18"/>
          <w:szCs w:val="18"/>
        </w:rPr>
        <w:t>5,000 to &lt; 10,000</w:t>
      </w:r>
    </w:p>
    <w:p w14:paraId="6895514B" w14:textId="1994638B" w:rsidR="00325254" w:rsidRPr="00325254" w:rsidRDefault="00645C26" w:rsidP="008D0D2E">
      <w:pPr>
        <w:rPr>
          <w:rFonts w:ascii="Arial Narrow" w:eastAsiaTheme="minorEastAsia" w:hAnsi="Arial Narrow"/>
          <w:i/>
          <w:sz w:val="18"/>
          <w:szCs w:val="18"/>
        </w:rPr>
      </w:pPr>
      <w:r w:rsidRPr="00645C26">
        <w:rPr>
          <w:rFonts w:ascii="Arial Narrow" w:eastAsiaTheme="minorEastAsia" w:hAnsi="Arial Narrow"/>
          <w:i/>
          <w:sz w:val="18"/>
          <w:szCs w:val="18"/>
          <w:vertAlign w:val="superscript"/>
        </w:rPr>
        <w:t>9</w:t>
      </w:r>
      <w:r>
        <w:rPr>
          <w:rFonts w:ascii="Arial Narrow" w:eastAsiaTheme="minorEastAsia" w:hAnsi="Arial Narrow"/>
          <w:i/>
          <w:sz w:val="18"/>
          <w:szCs w:val="18"/>
        </w:rPr>
        <w:t xml:space="preserve"> </w:t>
      </w:r>
      <w:r w:rsidR="00325254" w:rsidRPr="00325254">
        <w:rPr>
          <w:rFonts w:ascii="Arial Narrow" w:eastAsiaTheme="minorEastAsia" w:hAnsi="Arial Narrow"/>
          <w:i/>
          <w:sz w:val="18"/>
          <w:szCs w:val="18"/>
        </w:rPr>
        <w:t>&lt; 500</w:t>
      </w:r>
    </w:p>
    <w:p w14:paraId="006F827C" w14:textId="5F2D2500" w:rsidR="00325254" w:rsidRDefault="004B5984" w:rsidP="008D0D2E">
      <w:pPr>
        <w:rPr>
          <w:rFonts w:ascii="Arial Narrow" w:eastAsiaTheme="minorEastAsia" w:hAnsi="Arial Narrow"/>
          <w:i/>
          <w:sz w:val="18"/>
          <w:szCs w:val="18"/>
        </w:rPr>
      </w:pPr>
      <w:r w:rsidRPr="004B5984">
        <w:rPr>
          <w:rFonts w:ascii="Arial Narrow" w:eastAsiaTheme="minorEastAsia" w:hAnsi="Arial Narrow"/>
          <w:i/>
          <w:sz w:val="18"/>
          <w:szCs w:val="18"/>
          <w:vertAlign w:val="superscript"/>
        </w:rPr>
        <w:t>10</w:t>
      </w:r>
      <w:r>
        <w:rPr>
          <w:rFonts w:ascii="Arial Narrow" w:eastAsiaTheme="minorEastAsia" w:hAnsi="Arial Narrow"/>
          <w:i/>
          <w:sz w:val="18"/>
          <w:szCs w:val="18"/>
        </w:rPr>
        <w:t xml:space="preserve"> </w:t>
      </w:r>
      <w:r w:rsidR="00325254" w:rsidRPr="00325254">
        <w:rPr>
          <w:rFonts w:ascii="Arial Narrow" w:eastAsiaTheme="minorEastAsia" w:hAnsi="Arial Narrow"/>
          <w:i/>
          <w:sz w:val="18"/>
          <w:szCs w:val="18"/>
        </w:rPr>
        <w:t>20,000 to &lt; 30,000</w:t>
      </w:r>
    </w:p>
    <w:p w14:paraId="2AAFEDAC" w14:textId="01F9B703" w:rsidR="004B5984" w:rsidRDefault="004B5984" w:rsidP="008D0D2E">
      <w:pPr>
        <w:rPr>
          <w:rFonts w:ascii="Arial Narrow" w:eastAsiaTheme="minorEastAsia" w:hAnsi="Arial Narrow"/>
          <w:i/>
          <w:sz w:val="18"/>
          <w:szCs w:val="18"/>
        </w:rPr>
      </w:pPr>
      <w:r w:rsidRPr="004B5984">
        <w:rPr>
          <w:rFonts w:ascii="Arial Narrow" w:eastAsiaTheme="minorEastAsia" w:hAnsi="Arial Narrow"/>
          <w:i/>
          <w:sz w:val="18"/>
          <w:szCs w:val="18"/>
          <w:vertAlign w:val="superscript"/>
        </w:rPr>
        <w:t xml:space="preserve">11 </w:t>
      </w:r>
      <w:r w:rsidRPr="004B5984">
        <w:rPr>
          <w:rFonts w:ascii="Arial Narrow" w:eastAsiaTheme="minorEastAsia" w:hAnsi="Arial Narrow"/>
          <w:i/>
          <w:sz w:val="18"/>
          <w:szCs w:val="18"/>
        </w:rPr>
        <w:t>70,000 to &lt; 80,000</w:t>
      </w:r>
    </w:p>
    <w:p w14:paraId="52EF1CF7" w14:textId="087CB243" w:rsidR="004B5984" w:rsidRDefault="004B5984" w:rsidP="008D0D2E">
      <w:pPr>
        <w:rPr>
          <w:rFonts w:ascii="Arial Narrow" w:eastAsiaTheme="minorEastAsia" w:hAnsi="Arial Narrow"/>
          <w:i/>
          <w:sz w:val="18"/>
          <w:szCs w:val="18"/>
        </w:rPr>
      </w:pPr>
      <w:r w:rsidRPr="004B5984">
        <w:rPr>
          <w:rFonts w:ascii="Arial Narrow" w:eastAsiaTheme="minorEastAsia" w:hAnsi="Arial Narrow"/>
          <w:i/>
          <w:sz w:val="18"/>
          <w:szCs w:val="18"/>
          <w:vertAlign w:val="superscript"/>
        </w:rPr>
        <w:t>12</w:t>
      </w:r>
      <w:r>
        <w:rPr>
          <w:rFonts w:ascii="Arial Narrow" w:eastAsiaTheme="minorEastAsia" w:hAnsi="Arial Narrow"/>
          <w:i/>
          <w:sz w:val="18"/>
          <w:szCs w:val="18"/>
        </w:rPr>
        <w:t xml:space="preserve"> </w:t>
      </w:r>
      <w:r w:rsidRPr="004B5984">
        <w:rPr>
          <w:rFonts w:ascii="Arial Narrow" w:eastAsiaTheme="minorEastAsia" w:hAnsi="Arial Narrow"/>
          <w:i/>
          <w:sz w:val="18"/>
          <w:szCs w:val="18"/>
        </w:rPr>
        <w:t>200,000 to &lt; 300,000</w:t>
      </w:r>
    </w:p>
    <w:p w14:paraId="368BBA06" w14:textId="4EB92D82" w:rsidR="005C6554" w:rsidRDefault="005C6554" w:rsidP="008D0D2E">
      <w:pPr>
        <w:rPr>
          <w:rFonts w:ascii="Arial Narrow" w:eastAsiaTheme="minorEastAsia" w:hAnsi="Arial Narrow"/>
          <w:i/>
          <w:sz w:val="18"/>
          <w:szCs w:val="18"/>
        </w:rPr>
      </w:pPr>
      <w:r w:rsidRPr="005C6554">
        <w:rPr>
          <w:rFonts w:ascii="Arial Narrow" w:eastAsiaTheme="minorEastAsia" w:hAnsi="Arial Narrow"/>
          <w:i/>
          <w:sz w:val="18"/>
          <w:szCs w:val="18"/>
          <w:vertAlign w:val="superscript"/>
        </w:rPr>
        <w:t>13</w:t>
      </w:r>
      <w:r>
        <w:rPr>
          <w:rFonts w:ascii="Arial Narrow" w:eastAsiaTheme="minorEastAsia" w:hAnsi="Arial Narrow"/>
          <w:i/>
          <w:sz w:val="18"/>
          <w:szCs w:val="18"/>
        </w:rPr>
        <w:t xml:space="preserve"> </w:t>
      </w:r>
      <w:r w:rsidRPr="005C6554">
        <w:rPr>
          <w:rFonts w:ascii="Arial Narrow" w:eastAsiaTheme="minorEastAsia" w:hAnsi="Arial Narrow"/>
          <w:i/>
          <w:sz w:val="18"/>
          <w:szCs w:val="18"/>
        </w:rPr>
        <w:t>$70 million to &lt; $80 million</w:t>
      </w:r>
    </w:p>
    <w:p w14:paraId="507B82DE" w14:textId="0CBAFE65" w:rsidR="005C6554" w:rsidRDefault="005C6554" w:rsidP="008D0D2E">
      <w:pPr>
        <w:rPr>
          <w:rFonts w:ascii="Arial Narrow" w:eastAsiaTheme="minorEastAsia" w:hAnsi="Arial Narrow"/>
          <w:i/>
          <w:sz w:val="18"/>
          <w:szCs w:val="18"/>
        </w:rPr>
      </w:pPr>
      <w:r w:rsidRPr="005C6554">
        <w:rPr>
          <w:rFonts w:ascii="Arial Narrow" w:eastAsiaTheme="minorEastAsia" w:hAnsi="Arial Narrow"/>
          <w:i/>
          <w:sz w:val="18"/>
          <w:szCs w:val="18"/>
          <w:vertAlign w:val="superscript"/>
        </w:rPr>
        <w:t>14</w:t>
      </w:r>
      <w:r w:rsidRPr="005C6554">
        <w:rPr>
          <w:rFonts w:ascii="Arial Narrow" w:eastAsiaTheme="minorEastAsia" w:hAnsi="Arial Narrow"/>
          <w:i/>
          <w:sz w:val="18"/>
          <w:szCs w:val="18"/>
        </w:rPr>
        <w:t xml:space="preserve"> $100 million to &lt; $200 million</w:t>
      </w:r>
    </w:p>
    <w:p w14:paraId="60BB6377" w14:textId="0EBD9F6E" w:rsidR="00B01906" w:rsidRDefault="00B01906" w:rsidP="008D0D2E">
      <w:pPr>
        <w:rPr>
          <w:rFonts w:ascii="Arial Narrow" w:eastAsiaTheme="minorEastAsia" w:hAnsi="Arial Narrow"/>
          <w:i/>
          <w:sz w:val="18"/>
          <w:szCs w:val="18"/>
        </w:rPr>
      </w:pPr>
      <w:r w:rsidRPr="00B01906">
        <w:rPr>
          <w:rFonts w:ascii="Arial Narrow" w:eastAsiaTheme="minorEastAsia" w:hAnsi="Arial Narrow"/>
          <w:i/>
          <w:sz w:val="18"/>
          <w:szCs w:val="18"/>
          <w:vertAlign w:val="superscript"/>
        </w:rPr>
        <w:t>15</w:t>
      </w:r>
      <w:r>
        <w:rPr>
          <w:rFonts w:ascii="Arial Narrow" w:eastAsiaTheme="minorEastAsia" w:hAnsi="Arial Narrow"/>
          <w:i/>
          <w:sz w:val="18"/>
          <w:szCs w:val="18"/>
        </w:rPr>
        <w:t xml:space="preserve"> </w:t>
      </w:r>
      <w:r w:rsidRPr="00B01906">
        <w:rPr>
          <w:rFonts w:ascii="Arial Narrow" w:eastAsiaTheme="minorEastAsia" w:hAnsi="Arial Narrow"/>
          <w:i/>
          <w:sz w:val="18"/>
          <w:szCs w:val="18"/>
        </w:rPr>
        <w:t>$200 million to &lt; $300 million</w:t>
      </w:r>
    </w:p>
    <w:p w14:paraId="05C0225C" w14:textId="5DF8810D" w:rsidR="00B01906" w:rsidRPr="00B01906" w:rsidRDefault="00B01906" w:rsidP="00B01906">
      <w:pPr>
        <w:rPr>
          <w:rFonts w:ascii="Arial Narrow" w:eastAsiaTheme="minorEastAsia" w:hAnsi="Arial Narrow"/>
          <w:i/>
          <w:sz w:val="18"/>
          <w:szCs w:val="18"/>
        </w:rPr>
      </w:pPr>
      <w:r w:rsidRPr="00B01906">
        <w:rPr>
          <w:rFonts w:ascii="Arial Narrow" w:eastAsiaTheme="minorEastAsia" w:hAnsi="Arial Narrow"/>
          <w:i/>
          <w:sz w:val="18"/>
          <w:szCs w:val="18"/>
          <w:vertAlign w:val="superscript"/>
        </w:rPr>
        <w:t>16</w:t>
      </w:r>
      <w:r>
        <w:rPr>
          <w:rFonts w:ascii="Arial Narrow" w:eastAsiaTheme="minorEastAsia" w:hAnsi="Arial Narrow"/>
          <w:i/>
          <w:sz w:val="18"/>
          <w:szCs w:val="18"/>
        </w:rPr>
        <w:t xml:space="preserve"> </w:t>
      </w:r>
      <w:r w:rsidRPr="00B01906">
        <w:rPr>
          <w:rFonts w:ascii="Arial Narrow" w:eastAsiaTheme="minorEastAsia" w:hAnsi="Arial Narrow"/>
          <w:i/>
          <w:sz w:val="18"/>
          <w:szCs w:val="18"/>
        </w:rPr>
        <w:t>$300 million to &lt; $400 million</w:t>
      </w:r>
    </w:p>
    <w:p w14:paraId="778F60FF" w14:textId="241DCF83" w:rsidR="00B01906" w:rsidRDefault="00B01906" w:rsidP="00B01906">
      <w:pPr>
        <w:rPr>
          <w:rFonts w:ascii="Arial Narrow" w:eastAsiaTheme="minorEastAsia" w:hAnsi="Arial Narrow"/>
          <w:i/>
          <w:sz w:val="18"/>
          <w:szCs w:val="18"/>
        </w:rPr>
      </w:pPr>
      <w:r w:rsidRPr="00B01906">
        <w:rPr>
          <w:rFonts w:ascii="Arial Narrow" w:eastAsiaTheme="minorEastAsia" w:hAnsi="Arial Narrow"/>
          <w:i/>
          <w:sz w:val="18"/>
          <w:szCs w:val="18"/>
          <w:vertAlign w:val="superscript"/>
        </w:rPr>
        <w:t>17</w:t>
      </w:r>
      <w:r>
        <w:rPr>
          <w:rFonts w:ascii="Arial Narrow" w:eastAsiaTheme="minorEastAsia" w:hAnsi="Arial Narrow"/>
          <w:i/>
          <w:sz w:val="18"/>
          <w:szCs w:val="18"/>
        </w:rPr>
        <w:t xml:space="preserve"> </w:t>
      </w:r>
      <w:r w:rsidRPr="00B01906">
        <w:rPr>
          <w:rFonts w:ascii="Arial Narrow" w:eastAsiaTheme="minorEastAsia" w:hAnsi="Arial Narrow"/>
          <w:i/>
          <w:sz w:val="18"/>
          <w:szCs w:val="18"/>
        </w:rPr>
        <w:t>$400 million to &lt; $500 million</w:t>
      </w:r>
    </w:p>
    <w:p w14:paraId="0E28D9D1" w14:textId="180840D0" w:rsidR="00992314" w:rsidRDefault="00992314" w:rsidP="008D0D2E">
      <w:pPr>
        <w:rPr>
          <w:rFonts w:ascii="Arial Narrow" w:eastAsiaTheme="minorEastAsia" w:hAnsi="Arial Narrow"/>
          <w:i/>
          <w:sz w:val="18"/>
          <w:szCs w:val="18"/>
        </w:rPr>
      </w:pPr>
      <w:r w:rsidRPr="00992314">
        <w:rPr>
          <w:rFonts w:ascii="Arial Narrow" w:eastAsiaTheme="minorEastAsia" w:hAnsi="Arial Narrow"/>
          <w:i/>
          <w:sz w:val="18"/>
          <w:szCs w:val="18"/>
          <w:vertAlign w:val="superscript"/>
        </w:rPr>
        <w:lastRenderedPageBreak/>
        <w:t>1</w:t>
      </w:r>
      <w:r w:rsidR="00B01906">
        <w:rPr>
          <w:rFonts w:ascii="Arial Narrow" w:eastAsiaTheme="minorEastAsia" w:hAnsi="Arial Narrow"/>
          <w:i/>
          <w:sz w:val="18"/>
          <w:szCs w:val="18"/>
          <w:vertAlign w:val="superscript"/>
        </w:rPr>
        <w:t>8</w:t>
      </w:r>
      <w:r>
        <w:rPr>
          <w:rFonts w:ascii="Arial Narrow" w:eastAsiaTheme="minorEastAsia" w:hAnsi="Arial Narrow"/>
          <w:i/>
          <w:sz w:val="18"/>
          <w:szCs w:val="18"/>
        </w:rPr>
        <w:t xml:space="preserve"> </w:t>
      </w:r>
      <w:r w:rsidRPr="00992314">
        <w:rPr>
          <w:rFonts w:ascii="Arial Narrow" w:eastAsiaTheme="minorEastAsia" w:hAnsi="Arial Narrow"/>
          <w:i/>
          <w:sz w:val="18"/>
          <w:szCs w:val="18"/>
        </w:rPr>
        <w:t>40,000 to &lt; 50,000</w:t>
      </w:r>
    </w:p>
    <w:p w14:paraId="50A1B432" w14:textId="6EECA498" w:rsidR="00992314" w:rsidRPr="00325254" w:rsidRDefault="00992314" w:rsidP="008D0D2E">
      <w:pPr>
        <w:rPr>
          <w:rFonts w:ascii="Arial Narrow" w:eastAsiaTheme="minorEastAsia" w:hAnsi="Arial Narrow"/>
          <w:i/>
          <w:sz w:val="18"/>
          <w:szCs w:val="18"/>
        </w:rPr>
      </w:pPr>
      <w:r w:rsidRPr="00992314">
        <w:rPr>
          <w:rFonts w:ascii="Arial Narrow" w:eastAsiaTheme="minorEastAsia" w:hAnsi="Arial Narrow"/>
          <w:i/>
          <w:sz w:val="18"/>
          <w:szCs w:val="18"/>
          <w:vertAlign w:val="superscript"/>
        </w:rPr>
        <w:t>1</w:t>
      </w:r>
      <w:r w:rsidR="00B01906">
        <w:rPr>
          <w:rFonts w:ascii="Arial Narrow" w:eastAsiaTheme="minorEastAsia" w:hAnsi="Arial Narrow"/>
          <w:i/>
          <w:sz w:val="18"/>
          <w:szCs w:val="18"/>
          <w:vertAlign w:val="superscript"/>
        </w:rPr>
        <w:t>9</w:t>
      </w:r>
      <w:r>
        <w:rPr>
          <w:rFonts w:ascii="Arial Narrow" w:eastAsiaTheme="minorEastAsia" w:hAnsi="Arial Narrow"/>
          <w:i/>
          <w:sz w:val="18"/>
          <w:szCs w:val="18"/>
        </w:rPr>
        <w:t xml:space="preserve"> </w:t>
      </w:r>
      <w:r w:rsidRPr="00325254">
        <w:rPr>
          <w:rFonts w:ascii="Arial Narrow" w:eastAsiaTheme="minorEastAsia" w:hAnsi="Arial Narrow"/>
          <w:i/>
          <w:sz w:val="18"/>
          <w:szCs w:val="18"/>
        </w:rPr>
        <w:t>60,000 to &lt; 70,000</w:t>
      </w:r>
    </w:p>
    <w:p w14:paraId="28FE3053" w14:textId="12EA95A9" w:rsidR="00661CC4" w:rsidRPr="00661CC4" w:rsidRDefault="00DD1583" w:rsidP="008D0D2E">
      <w:pPr>
        <w:rPr>
          <w:rFonts w:ascii="Arial Narrow" w:eastAsiaTheme="minorEastAsia" w:hAnsi="Arial Narrow"/>
          <w:i/>
          <w:sz w:val="18"/>
          <w:szCs w:val="18"/>
        </w:rPr>
      </w:pPr>
      <w:r>
        <w:rPr>
          <w:rFonts w:ascii="Arial Narrow" w:eastAsiaTheme="minorEastAsia" w:hAnsi="Arial Narrow"/>
          <w:i/>
          <w:sz w:val="18"/>
          <w:szCs w:val="18"/>
          <w:vertAlign w:val="superscript"/>
        </w:rPr>
        <w:t>20</w:t>
      </w:r>
      <w:r w:rsidR="00661CC4">
        <w:rPr>
          <w:rFonts w:ascii="Arial Narrow" w:eastAsiaTheme="minorEastAsia" w:hAnsi="Arial Narrow"/>
          <w:i/>
          <w:sz w:val="18"/>
          <w:szCs w:val="18"/>
        </w:rPr>
        <w:t xml:space="preserve"> </w:t>
      </w:r>
      <w:r w:rsidR="00661CC4" w:rsidRPr="00661CC4">
        <w:rPr>
          <w:rFonts w:ascii="Arial Narrow" w:eastAsiaTheme="minorEastAsia" w:hAnsi="Arial Narrow"/>
          <w:i/>
          <w:sz w:val="18"/>
          <w:szCs w:val="18"/>
        </w:rPr>
        <w:t>net cost saving</w:t>
      </w:r>
    </w:p>
    <w:p w14:paraId="3891B4FB" w14:textId="7FE1F5C7" w:rsidR="00661CC4" w:rsidRPr="00661CC4" w:rsidRDefault="00DD1583" w:rsidP="008D0D2E">
      <w:pPr>
        <w:rPr>
          <w:rFonts w:ascii="Arial Narrow" w:eastAsiaTheme="minorEastAsia" w:hAnsi="Arial Narrow"/>
          <w:i/>
          <w:sz w:val="18"/>
          <w:szCs w:val="18"/>
        </w:rPr>
      </w:pPr>
      <w:r>
        <w:rPr>
          <w:rFonts w:ascii="Arial Narrow" w:eastAsiaTheme="minorEastAsia" w:hAnsi="Arial Narrow"/>
          <w:i/>
          <w:sz w:val="18"/>
          <w:szCs w:val="18"/>
          <w:vertAlign w:val="superscript"/>
        </w:rPr>
        <w:t>21</w:t>
      </w:r>
      <w:r w:rsidR="00661CC4">
        <w:rPr>
          <w:rFonts w:ascii="Arial Narrow" w:eastAsiaTheme="minorEastAsia" w:hAnsi="Arial Narrow"/>
          <w:i/>
          <w:sz w:val="18"/>
          <w:szCs w:val="18"/>
        </w:rPr>
        <w:t xml:space="preserve"> </w:t>
      </w:r>
      <w:r w:rsidR="00661CC4" w:rsidRPr="00661CC4">
        <w:rPr>
          <w:rFonts w:ascii="Arial Narrow" w:eastAsiaTheme="minorEastAsia" w:hAnsi="Arial Narrow"/>
          <w:i/>
          <w:sz w:val="18"/>
          <w:szCs w:val="18"/>
        </w:rPr>
        <w:t>$20 million to &lt; $30 million</w:t>
      </w:r>
    </w:p>
    <w:p w14:paraId="2B8A2DF9" w14:textId="59A7653C" w:rsidR="00661CC4" w:rsidRPr="00661CC4" w:rsidRDefault="00DD1583" w:rsidP="008D0D2E">
      <w:pPr>
        <w:rPr>
          <w:rFonts w:ascii="Arial Narrow" w:eastAsiaTheme="minorEastAsia" w:hAnsi="Arial Narrow"/>
          <w:i/>
          <w:sz w:val="18"/>
          <w:szCs w:val="18"/>
        </w:rPr>
      </w:pPr>
      <w:r>
        <w:rPr>
          <w:rFonts w:ascii="Arial Narrow" w:eastAsiaTheme="minorEastAsia" w:hAnsi="Arial Narrow"/>
          <w:i/>
          <w:sz w:val="18"/>
          <w:szCs w:val="18"/>
          <w:vertAlign w:val="superscript"/>
        </w:rPr>
        <w:t>22</w:t>
      </w:r>
      <w:r w:rsidR="00661CC4">
        <w:rPr>
          <w:rFonts w:ascii="Arial Narrow" w:eastAsiaTheme="minorEastAsia" w:hAnsi="Arial Narrow"/>
          <w:i/>
          <w:sz w:val="18"/>
          <w:szCs w:val="18"/>
        </w:rPr>
        <w:t xml:space="preserve"> </w:t>
      </w:r>
      <w:r w:rsidR="00661CC4" w:rsidRPr="00661CC4">
        <w:rPr>
          <w:rFonts w:ascii="Arial Narrow" w:eastAsiaTheme="minorEastAsia" w:hAnsi="Arial Narrow"/>
          <w:i/>
          <w:sz w:val="18"/>
          <w:szCs w:val="18"/>
        </w:rPr>
        <w:t>$50 million to &lt; $60 million</w:t>
      </w:r>
    </w:p>
    <w:p w14:paraId="6F12627A" w14:textId="185E35D6" w:rsidR="00661CC4" w:rsidRPr="00661CC4" w:rsidRDefault="00DD1583" w:rsidP="008D0D2E">
      <w:pPr>
        <w:rPr>
          <w:rFonts w:ascii="Arial Narrow" w:eastAsiaTheme="minorEastAsia" w:hAnsi="Arial Narrow"/>
          <w:i/>
          <w:sz w:val="18"/>
          <w:szCs w:val="18"/>
        </w:rPr>
      </w:pPr>
      <w:r>
        <w:rPr>
          <w:rFonts w:ascii="Arial Narrow" w:eastAsiaTheme="minorEastAsia" w:hAnsi="Arial Narrow"/>
          <w:i/>
          <w:sz w:val="18"/>
          <w:szCs w:val="18"/>
          <w:vertAlign w:val="superscript"/>
        </w:rPr>
        <w:t>23</w:t>
      </w:r>
      <w:r w:rsidR="00661CC4">
        <w:rPr>
          <w:rFonts w:ascii="Arial Narrow" w:eastAsiaTheme="minorEastAsia" w:hAnsi="Arial Narrow"/>
          <w:i/>
          <w:sz w:val="18"/>
          <w:szCs w:val="18"/>
        </w:rPr>
        <w:t xml:space="preserve"> </w:t>
      </w:r>
      <w:r w:rsidR="00661CC4" w:rsidRPr="00661CC4">
        <w:rPr>
          <w:rFonts w:ascii="Arial Narrow" w:eastAsiaTheme="minorEastAsia" w:hAnsi="Arial Narrow"/>
          <w:i/>
          <w:sz w:val="18"/>
          <w:szCs w:val="18"/>
        </w:rPr>
        <w:t>$60 million to &lt; $70 million</w:t>
      </w:r>
    </w:p>
    <w:p w14:paraId="7B87936F" w14:textId="4F2CC9B7" w:rsidR="00661CC4" w:rsidRPr="00661CC4" w:rsidRDefault="00DD1583" w:rsidP="008D0D2E">
      <w:pPr>
        <w:rPr>
          <w:rFonts w:ascii="Arial Narrow" w:eastAsiaTheme="minorEastAsia" w:hAnsi="Arial Narrow"/>
          <w:i/>
          <w:sz w:val="18"/>
          <w:szCs w:val="18"/>
        </w:rPr>
      </w:pPr>
      <w:r>
        <w:rPr>
          <w:rFonts w:ascii="Arial Narrow" w:eastAsiaTheme="minorEastAsia" w:hAnsi="Arial Narrow"/>
          <w:i/>
          <w:sz w:val="18"/>
          <w:szCs w:val="18"/>
          <w:vertAlign w:val="superscript"/>
        </w:rPr>
        <w:t>24</w:t>
      </w:r>
      <w:r w:rsidR="00661CC4" w:rsidRPr="00661CC4">
        <w:rPr>
          <w:rFonts w:ascii="Arial Narrow" w:eastAsiaTheme="minorEastAsia" w:hAnsi="Arial Narrow"/>
          <w:i/>
          <w:sz w:val="18"/>
          <w:szCs w:val="18"/>
          <w:vertAlign w:val="superscript"/>
        </w:rPr>
        <w:t xml:space="preserve"> </w:t>
      </w:r>
      <w:r w:rsidR="00661CC4" w:rsidRPr="00661CC4">
        <w:rPr>
          <w:rFonts w:ascii="Arial Narrow" w:eastAsiaTheme="minorEastAsia" w:hAnsi="Arial Narrow"/>
          <w:i/>
          <w:sz w:val="18"/>
          <w:szCs w:val="18"/>
        </w:rPr>
        <w:t>$80 million to &lt; $90 million</w:t>
      </w:r>
    </w:p>
    <w:p w14:paraId="1B2FF347" w14:textId="75A75857" w:rsidR="00661CC4" w:rsidRPr="00661CC4" w:rsidRDefault="0092714E" w:rsidP="008D0D2E">
      <w:pPr>
        <w:rPr>
          <w:rFonts w:ascii="Arial Narrow" w:eastAsiaTheme="minorEastAsia" w:hAnsi="Arial Narrow"/>
          <w:i/>
          <w:sz w:val="18"/>
          <w:szCs w:val="18"/>
        </w:rPr>
      </w:pPr>
      <w:r>
        <w:rPr>
          <w:rFonts w:ascii="Arial Narrow" w:eastAsiaTheme="minorEastAsia" w:hAnsi="Arial Narrow"/>
          <w:i/>
          <w:sz w:val="18"/>
          <w:szCs w:val="18"/>
          <w:vertAlign w:val="superscript"/>
        </w:rPr>
        <w:t>25</w:t>
      </w:r>
      <w:r w:rsidR="00661CC4">
        <w:rPr>
          <w:rFonts w:ascii="Arial Narrow" w:eastAsiaTheme="minorEastAsia" w:hAnsi="Arial Narrow"/>
          <w:i/>
          <w:sz w:val="18"/>
          <w:szCs w:val="18"/>
        </w:rPr>
        <w:t xml:space="preserve"> </w:t>
      </w:r>
      <w:r w:rsidR="00661CC4" w:rsidRPr="00661CC4">
        <w:rPr>
          <w:rFonts w:ascii="Arial Narrow" w:eastAsiaTheme="minorEastAsia" w:hAnsi="Arial Narrow"/>
          <w:i/>
          <w:sz w:val="18"/>
          <w:szCs w:val="18"/>
        </w:rPr>
        <w:t>$90 million to &lt; $100 million</w:t>
      </w:r>
    </w:p>
    <w:p w14:paraId="2B840532" w14:textId="4F2C9B20" w:rsidR="00302FB2" w:rsidRPr="00FE714A" w:rsidRDefault="00302FB2" w:rsidP="008D0D2E">
      <w:pPr>
        <w:spacing w:after="120"/>
      </w:pPr>
    </w:p>
    <w:p w14:paraId="50C080BA" w14:textId="77777777" w:rsidR="00302FB2" w:rsidRPr="00FE714A" w:rsidRDefault="00302FB2" w:rsidP="00302FB2">
      <w:pPr>
        <w:pStyle w:val="3-BodyText"/>
        <w:rPr>
          <w:iCs/>
        </w:rPr>
      </w:pPr>
      <w:r w:rsidRPr="00FE714A">
        <w:rPr>
          <w:iCs/>
        </w:rPr>
        <w:t xml:space="preserve">The following points were noted regarding the submission’s financial model: </w:t>
      </w:r>
    </w:p>
    <w:p w14:paraId="435053B1" w14:textId="5615FCFD" w:rsidR="00E719C8" w:rsidRPr="00FE714A" w:rsidRDefault="00E719C8" w:rsidP="00A2503D">
      <w:pPr>
        <w:pStyle w:val="ListParagraph"/>
        <w:numPr>
          <w:ilvl w:val="0"/>
          <w:numId w:val="8"/>
        </w:numPr>
        <w:ind w:left="1080"/>
        <w:rPr>
          <w:iCs/>
        </w:rPr>
      </w:pPr>
      <w:r w:rsidRPr="00FE714A">
        <w:rPr>
          <w:rFonts w:eastAsia="SimSun"/>
          <w:bCs/>
          <w:iCs/>
        </w:rPr>
        <w:t>DUSC considered that the prevalence rates may be underestimated, but data informing prevalence for Australia are limited.</w:t>
      </w:r>
    </w:p>
    <w:p w14:paraId="0DAB6FAA" w14:textId="1FC1A2F7" w:rsidR="00302FB2" w:rsidRPr="00FE714A" w:rsidRDefault="00302FB2" w:rsidP="00A2503D">
      <w:pPr>
        <w:pStyle w:val="ListParagraph"/>
        <w:numPr>
          <w:ilvl w:val="0"/>
          <w:numId w:val="8"/>
        </w:numPr>
        <w:ind w:left="1080"/>
        <w:rPr>
          <w:iCs/>
        </w:rPr>
      </w:pPr>
      <w:r w:rsidRPr="00FE714A">
        <w:rPr>
          <w:iCs/>
        </w:rPr>
        <w:t>The response rates used were inconsistent with previous PBAC advice (for UPA) and inconsistent with the submission’s claim of non-inferiority of LEB vs DUPI</w:t>
      </w:r>
      <w:r w:rsidR="00876678" w:rsidRPr="00FE714A">
        <w:rPr>
          <w:iCs/>
        </w:rPr>
        <w:t>.</w:t>
      </w:r>
      <w:r w:rsidRPr="00FE714A">
        <w:rPr>
          <w:iCs/>
        </w:rPr>
        <w:t xml:space="preserve"> </w:t>
      </w:r>
      <w:r w:rsidR="00876678" w:rsidRPr="00FE714A">
        <w:rPr>
          <w:iCs/>
        </w:rPr>
        <w:t>T</w:t>
      </w:r>
      <w:r w:rsidRPr="00FE714A">
        <w:rPr>
          <w:iCs/>
        </w:rPr>
        <w:t>he use of an inflated response rate for LEB (80.5%) result</w:t>
      </w:r>
      <w:r w:rsidR="00876678" w:rsidRPr="00FE714A">
        <w:rPr>
          <w:iCs/>
        </w:rPr>
        <w:t>ed</w:t>
      </w:r>
      <w:r w:rsidRPr="00FE714A">
        <w:rPr>
          <w:iCs/>
        </w:rPr>
        <w:t xml:space="preserve"> in </w:t>
      </w:r>
      <w:r w:rsidR="00B46856" w:rsidRPr="00FE714A">
        <w:rPr>
          <w:iCs/>
        </w:rPr>
        <w:t xml:space="preserve">a higher proportion of patients continuing LEB than DUPI </w:t>
      </w:r>
      <w:r w:rsidRPr="00FE714A">
        <w:rPr>
          <w:iCs/>
        </w:rPr>
        <w:t>and</w:t>
      </w:r>
      <w:r w:rsidR="00B46856" w:rsidRPr="00FE714A">
        <w:rPr>
          <w:iCs/>
        </w:rPr>
        <w:t xml:space="preserve"> hence resulted in an</w:t>
      </w:r>
      <w:r w:rsidRPr="00FE714A">
        <w:rPr>
          <w:iCs/>
        </w:rPr>
        <w:t xml:space="preserve"> overestimation of the net financial impact of listing LEB. </w:t>
      </w:r>
    </w:p>
    <w:p w14:paraId="4928274E" w14:textId="1DE0F18B" w:rsidR="00876678" w:rsidRPr="00FE714A" w:rsidRDefault="00302FB2" w:rsidP="00A2503D">
      <w:pPr>
        <w:pStyle w:val="ListParagraph"/>
        <w:numPr>
          <w:ilvl w:val="0"/>
          <w:numId w:val="8"/>
        </w:numPr>
        <w:ind w:left="1080"/>
        <w:rPr>
          <w:bCs/>
          <w:iCs/>
        </w:rPr>
      </w:pPr>
      <w:r w:rsidRPr="00FE714A">
        <w:rPr>
          <w:iCs/>
        </w:rPr>
        <w:t xml:space="preserve">The uptake rate of advanced systemic therapies was a source of </w:t>
      </w:r>
      <w:r w:rsidRPr="00FE714A">
        <w:rPr>
          <w:bCs/>
          <w:iCs/>
        </w:rPr>
        <w:t>uncertainty</w:t>
      </w:r>
      <w:r w:rsidR="00FE714A">
        <w:rPr>
          <w:bCs/>
          <w:iCs/>
        </w:rPr>
        <w:t xml:space="preserve">. </w:t>
      </w:r>
      <w:r w:rsidR="00876678" w:rsidRPr="00FE714A">
        <w:rPr>
          <w:bCs/>
          <w:iCs/>
        </w:rPr>
        <w:t xml:space="preserve">DUSC considered the cumulative uptake from </w:t>
      </w:r>
      <w:proofErr w:type="spellStart"/>
      <w:r w:rsidR="00876678" w:rsidRPr="00FE714A">
        <w:rPr>
          <w:bCs/>
          <w:iCs/>
        </w:rPr>
        <w:t>Yr</w:t>
      </w:r>
      <w:proofErr w:type="spellEnd"/>
      <w:r w:rsidR="00876678" w:rsidRPr="00FE714A">
        <w:rPr>
          <w:bCs/>
          <w:iCs/>
        </w:rPr>
        <w:t xml:space="preserve"> -2 to </w:t>
      </w:r>
      <w:proofErr w:type="spellStart"/>
      <w:r w:rsidR="00876678" w:rsidRPr="00FE714A">
        <w:rPr>
          <w:bCs/>
          <w:iCs/>
        </w:rPr>
        <w:t>Yr</w:t>
      </w:r>
      <w:proofErr w:type="spellEnd"/>
      <w:r w:rsidR="00876678" w:rsidRPr="00FE714A">
        <w:rPr>
          <w:bCs/>
          <w:iCs/>
        </w:rPr>
        <w:t xml:space="preserve"> 6 (97%) to be overestimated, noting that access to specialists, remoteness and socioeconomic status would impact on uptake. </w:t>
      </w:r>
    </w:p>
    <w:p w14:paraId="087EB0FF" w14:textId="242F42A0" w:rsidR="00302FB2" w:rsidRPr="00FE714A" w:rsidRDefault="00302FB2" w:rsidP="00535158">
      <w:pPr>
        <w:pStyle w:val="3-BodyText"/>
      </w:pPr>
      <w:r w:rsidRPr="00FE714A">
        <w:rPr>
          <w:iCs/>
        </w:rPr>
        <w:t>Overall</w:t>
      </w:r>
      <w:r w:rsidRPr="00FE714A">
        <w:t xml:space="preserve">, the </w:t>
      </w:r>
      <w:r w:rsidR="00535158" w:rsidRPr="00FE714A">
        <w:t xml:space="preserve">PBAC considered the </w:t>
      </w:r>
      <w:r w:rsidRPr="00FE714A">
        <w:t>financial impact estimated by the submission w</w:t>
      </w:r>
      <w:r w:rsidR="00535158" w:rsidRPr="00FE714A">
        <w:t>as</w:t>
      </w:r>
      <w:r w:rsidRPr="00FE714A">
        <w:t xml:space="preserve"> likely </w:t>
      </w:r>
      <w:r w:rsidR="00535158" w:rsidRPr="00FE714A">
        <w:t xml:space="preserve">highly </w:t>
      </w:r>
      <w:r w:rsidRPr="00FE714A">
        <w:t>overestimated, due to the overestimation of continuing patient</w:t>
      </w:r>
      <w:r w:rsidR="00535158" w:rsidRPr="00FE714A">
        <w:t>s</w:t>
      </w:r>
      <w:r w:rsidRPr="00FE714A">
        <w:t xml:space="preserve"> </w:t>
      </w:r>
      <w:r w:rsidR="00B46856" w:rsidRPr="00FE714A">
        <w:t xml:space="preserve">for LEB compared with DUPI, </w:t>
      </w:r>
      <w:r w:rsidR="00876678" w:rsidRPr="00FE714A">
        <w:t>and overestimated uptake rates</w:t>
      </w:r>
      <w:r w:rsidRPr="00FE714A">
        <w:t xml:space="preserve">. </w:t>
      </w:r>
      <w:r w:rsidR="00535158" w:rsidRPr="00FE714A">
        <w:t xml:space="preserve">The submission’s estimates also included a net cost for additional doses for extended induction, however the PBAC noted that there should be no additional cost for additional doses as the cost-minimised price for LEB should account for these additional doses. </w:t>
      </w:r>
    </w:p>
    <w:p w14:paraId="45A2C5F6" w14:textId="77777777" w:rsidR="004779D9" w:rsidRPr="00FE714A" w:rsidRDefault="004779D9" w:rsidP="00606FBA">
      <w:pPr>
        <w:pStyle w:val="4-SubsectionHeading"/>
      </w:pPr>
      <w:r w:rsidRPr="00FE714A">
        <w:t>Quality Use of Medicines</w:t>
      </w:r>
      <w:bookmarkEnd w:id="55"/>
    </w:p>
    <w:p w14:paraId="10914044" w14:textId="7F95287F" w:rsidR="004779D9" w:rsidRPr="00FE714A" w:rsidRDefault="004779D9" w:rsidP="00606FBA">
      <w:pPr>
        <w:pStyle w:val="3-BodyText"/>
      </w:pPr>
      <w:r w:rsidRPr="00FE714A">
        <w:t>The sponsor plan</w:t>
      </w:r>
      <w:r w:rsidR="00BD0BAC" w:rsidRPr="00FE714A">
        <w:t>s</w:t>
      </w:r>
      <w:r w:rsidRPr="00FE714A">
        <w:t xml:space="preserve"> to implement a range of activities to support the quality use of medicines in the treatment of AD, and the appropriate use of LEB, in accordance with the registered indication and proposed PBS listing. These activities include, but are not limited to, </w:t>
      </w:r>
      <w:r w:rsidR="002C5AAA" w:rsidRPr="00FE714A">
        <w:t>health care providers</w:t>
      </w:r>
      <w:r w:rsidRPr="00FE714A">
        <w:t xml:space="preserve"> and patient resources to support treatment initiation; and educational meetings or symposia held in conjunction with relevant national events. </w:t>
      </w:r>
    </w:p>
    <w:p w14:paraId="2F5B38A3" w14:textId="77777777" w:rsidR="004779D9" w:rsidRPr="00FE714A" w:rsidRDefault="004779D9" w:rsidP="00606FBA">
      <w:pPr>
        <w:pStyle w:val="4-SubsectionHeading"/>
      </w:pPr>
      <w:bookmarkStart w:id="62" w:name="_Toc155860027"/>
      <w:r w:rsidRPr="00FE714A">
        <w:t>Financial Management – Risk Sharing Arrangements</w:t>
      </w:r>
      <w:bookmarkEnd w:id="62"/>
    </w:p>
    <w:p w14:paraId="543E3FB5" w14:textId="7B0860AF" w:rsidR="00F95F57" w:rsidRPr="00FE714A" w:rsidRDefault="004779D9" w:rsidP="00F95F57">
      <w:pPr>
        <w:pStyle w:val="3-BodyText"/>
      </w:pPr>
      <w:r w:rsidRPr="00FE714A">
        <w:t>The submission noted that there is a currently a</w:t>
      </w:r>
      <w:r w:rsidR="001D39C0" w:rsidRPr="00FE714A">
        <w:t>n</w:t>
      </w:r>
      <w:r w:rsidRPr="00FE714A">
        <w:t xml:space="preserve"> RSA in place for DUPI and UPA. The submission argued that the estimates used to inform the RSA and agreed expenditure caps have significantly underestimated actual use and that without revision, the current RSA subsidisation caps are anticipated to result in an average selling price that is commercially unviable for LEB.</w:t>
      </w:r>
      <w:r w:rsidR="001D39C0" w:rsidRPr="00FE714A">
        <w:t xml:space="preserve"> </w:t>
      </w:r>
      <w:r w:rsidR="00F95F57" w:rsidRPr="00FE714A">
        <w:t xml:space="preserve">The ESC noted that as there is no change in indication this, in and of itself, is not a justification for increasing the RSA caps. The pre-PBAC </w:t>
      </w:r>
      <w:r w:rsidR="00F95F57" w:rsidRPr="00FE714A">
        <w:lastRenderedPageBreak/>
        <w:t xml:space="preserve">response further stated that a PBAC recommendation for substantial uplift to the existing RSA caps and/or a substantial reduction in the required rebate of expenditure above the cap, will be necessary to ensure commercial viability and enable </w:t>
      </w:r>
      <w:r w:rsidR="00257D7F" w:rsidRPr="00FE714A">
        <w:t>the sponsor</w:t>
      </w:r>
      <w:r w:rsidR="00F95F57" w:rsidRPr="00FE714A">
        <w:t xml:space="preserve"> to proceed with listing </w:t>
      </w:r>
      <w:r w:rsidR="00B46856" w:rsidRPr="00FE714A">
        <w:t>LEB</w:t>
      </w:r>
      <w:r w:rsidR="00F95F57" w:rsidRPr="00FE714A">
        <w:t xml:space="preserve"> on the PBS. </w:t>
      </w:r>
    </w:p>
    <w:p w14:paraId="2AC8A3EE" w14:textId="4FE5EB94" w:rsidR="00F95F57" w:rsidRPr="00FE714A" w:rsidRDefault="00F95F57" w:rsidP="00F95F57">
      <w:pPr>
        <w:pStyle w:val="ExecSumBodyText"/>
        <w:numPr>
          <w:ilvl w:val="1"/>
          <w:numId w:val="1"/>
        </w:numPr>
      </w:pPr>
      <w:r w:rsidRPr="00FE714A">
        <w:t xml:space="preserve">The </w:t>
      </w:r>
      <w:r w:rsidR="001D33EB" w:rsidRPr="00FE714A">
        <w:t xml:space="preserve">PBAC </w:t>
      </w:r>
      <w:r w:rsidRPr="00FE714A">
        <w:t>recalled its advice provided at the November 2024 meeting that “renegotiation of any Deed arrangements was ultimately a matter for the Commonwealth”, however the PBAC provided advice for consideration at time of negotiation of any future RSA (paragraph 6.1, Review of cost-effectiveness of AD drugs PSD, November 2023 PBAC meeting). The PBAC also recalled its advice regarding the cost-effectiveness and subsidisation caps for DUPI and UPA “that any renegotiation of the Deed arrangements increasing the cap would also need to consider a substantially lower price to be consistent with the basis of the Committee’s original recommendation” (paragraph 6.18</w:t>
      </w:r>
      <w:r w:rsidR="00631EEF">
        <w:t>,</w:t>
      </w:r>
      <w:r w:rsidRPr="00FE714A">
        <w:t xml:space="preserve"> Review of cost-effectiveness of AD drugs PSD, November 2023 PBAC meeting). Overall, the PBAC considered dupilumab would likely be cost-effective with a price reduction in the order of </w:t>
      </w:r>
      <w:r w:rsidRPr="00B4796E">
        <w:t>50</w:t>
      </w:r>
      <w:r w:rsidRPr="00FE714A">
        <w:t>% (paragraph 6.14</w:t>
      </w:r>
      <w:r w:rsidR="00631EEF">
        <w:t>,</w:t>
      </w:r>
      <w:r w:rsidRPr="00FE714A">
        <w:t xml:space="preserve"> Review of cost-effectiveness of AD drugs PSD, November 2023 PBAC meeting).</w:t>
      </w:r>
    </w:p>
    <w:p w14:paraId="4B82D724" w14:textId="06AE70E6" w:rsidR="004779D9" w:rsidRPr="00FE714A" w:rsidRDefault="004779D9" w:rsidP="00B85913">
      <w:pPr>
        <w:pStyle w:val="3-BodyText"/>
      </w:pPr>
      <w:r w:rsidRPr="00FE714A">
        <w:t>The sponsor proposed that the subsidisation caps are increased to $</w:t>
      </w:r>
      <w:r w:rsidR="000727C3" w:rsidRPr="000727C3">
        <w:rPr>
          <w:color w:val="000000"/>
          <w:w w:val="60"/>
          <w:shd w:val="solid" w:color="000000" w:fill="000000"/>
          <w:fitText w:val="468" w:id="-961880569"/>
          <w14:textFill>
            <w14:solidFill>
              <w14:srgbClr w14:val="000000">
                <w14:alpha w14:val="100000"/>
              </w14:srgbClr>
            </w14:solidFill>
          </w14:textFill>
        </w:rPr>
        <w:t>|||  ||</w:t>
      </w:r>
      <w:r w:rsidR="000727C3" w:rsidRPr="000727C3">
        <w:rPr>
          <w:color w:val="000000"/>
          <w:spacing w:val="4"/>
          <w:w w:val="60"/>
          <w:shd w:val="solid" w:color="000000" w:fill="000000"/>
          <w:fitText w:val="468" w:id="-961880569"/>
          <w14:textFill>
            <w14:solidFill>
              <w14:srgbClr w14:val="000000">
                <w14:alpha w14:val="100000"/>
              </w14:srgbClr>
            </w14:solidFill>
          </w14:textFill>
        </w:rPr>
        <w:t>|</w:t>
      </w:r>
      <w:r w:rsidRPr="00FE714A">
        <w:t xml:space="preserve"> million in the first year of listing of lebrikizumab (2024) and to $</w:t>
      </w:r>
      <w:r w:rsidR="000727C3" w:rsidRPr="008B26E3">
        <w:rPr>
          <w:color w:val="000000"/>
          <w:w w:val="15"/>
          <w:shd w:val="solid" w:color="000000" w:fill="000000"/>
          <w:fitText w:val="-20" w:id="-961880568"/>
          <w14:textFill>
            <w14:solidFill>
              <w14:srgbClr w14:val="000000">
                <w14:alpha w14:val="100000"/>
              </w14:srgbClr>
            </w14:solidFill>
          </w14:textFill>
        </w:rPr>
        <w:t xml:space="preserve">|  </w:t>
      </w:r>
      <w:r w:rsidR="000727C3" w:rsidRPr="008B26E3">
        <w:rPr>
          <w:color w:val="000000"/>
          <w:spacing w:val="-69"/>
          <w:w w:val="15"/>
          <w:shd w:val="solid" w:color="000000" w:fill="000000"/>
          <w:fitText w:val="-20" w:id="-961880568"/>
          <w14:textFill>
            <w14:solidFill>
              <w14:srgbClr w14:val="000000">
                <w14:alpha w14:val="100000"/>
              </w14:srgbClr>
            </w14:solidFill>
          </w14:textFill>
        </w:rPr>
        <w:t>|</w:t>
      </w:r>
      <w:r w:rsidRPr="00FE714A">
        <w:t xml:space="preserve"> million in Year 6</w:t>
      </w:r>
      <w:r w:rsidR="00F95F57" w:rsidRPr="00FE714A">
        <w:t xml:space="preserve"> (</w:t>
      </w:r>
      <w:r w:rsidRPr="00FE714A">
        <w:t>based on the published prices</w:t>
      </w:r>
      <w:r w:rsidR="00F95F57" w:rsidRPr="00FE714A">
        <w:t>)</w:t>
      </w:r>
      <w:r w:rsidRPr="00FE714A">
        <w:t>.</w:t>
      </w:r>
    </w:p>
    <w:p w14:paraId="50018AAE" w14:textId="66A49754" w:rsidR="00250D6F" w:rsidRPr="00FE714A" w:rsidRDefault="00250D6F" w:rsidP="00B85913">
      <w:pPr>
        <w:pStyle w:val="3-BodyText"/>
      </w:pPr>
      <w:r w:rsidRPr="00FE714A">
        <w:t xml:space="preserve">The uptake rate used by the submission for the analysis of their proposed subsidisation caps was a source of uncertainty, which had the potential to have a sizable impact on the resulting estimates. </w:t>
      </w:r>
      <w:r w:rsidR="00175410" w:rsidRPr="00FE714A">
        <w:t>I</w:t>
      </w:r>
      <w:r w:rsidR="0010630B" w:rsidRPr="00FE714A">
        <w:t>n July 2022 and July 2023, the sponsor for DUPI submitted Category 3 submissions requesting an increase in the financial caps for the current RSA to reflect the higher than estimated use of DUPI for severe chronic AD</w:t>
      </w:r>
      <w:r w:rsidR="007708A9" w:rsidRPr="00FE714A">
        <w:t xml:space="preserve">, and </w:t>
      </w:r>
      <w:r w:rsidRPr="00FE714A">
        <w:t xml:space="preserve">an increase to the current caps was recently recommended by the PBAC </w:t>
      </w:r>
      <w:r w:rsidR="00AC32A9" w:rsidRPr="00FE714A">
        <w:t xml:space="preserve">to account for the proportion of patients with AD of the hand/face only </w:t>
      </w:r>
      <w:r w:rsidRPr="00FE714A">
        <w:t>(paragraph</w:t>
      </w:r>
      <w:r w:rsidR="00AC32A9" w:rsidRPr="00FE714A">
        <w:t>s 6.4 and</w:t>
      </w:r>
      <w:r w:rsidRPr="00FE714A">
        <w:t xml:space="preserve"> 6.7, DUPI PSD, July 2023 PBAC meeting).</w:t>
      </w:r>
    </w:p>
    <w:p w14:paraId="3A8ACA35" w14:textId="428B5F69" w:rsidR="00A82C0E" w:rsidRPr="00FE714A" w:rsidRDefault="00A82C0E" w:rsidP="00A82C0E">
      <w:pPr>
        <w:pStyle w:val="ExecSumBodyText"/>
        <w:numPr>
          <w:ilvl w:val="1"/>
          <w:numId w:val="1"/>
        </w:numPr>
      </w:pPr>
      <w:bookmarkStart w:id="63" w:name="_Ref162250310"/>
      <w:r w:rsidRPr="00FE714A">
        <w:t xml:space="preserve">The PBAC recalled its advice that when UPA was recommended: </w:t>
      </w:r>
      <w:r w:rsidRPr="00FE714A">
        <w:rPr>
          <w:iCs/>
        </w:rPr>
        <w:t>“</w:t>
      </w:r>
      <w:r w:rsidR="00D55DA2" w:rsidRPr="00FE714A">
        <w:t>a small increase in the financial caps may be reasonable given the different mechanism of action and route of administration of UPA and DUPI may lead to differences in tolerability and response resulting in sequential use being appropriate in some patients…</w:t>
      </w:r>
      <w:r w:rsidRPr="00FE714A">
        <w:rPr>
          <w:iCs/>
        </w:rPr>
        <w:t>The PBAC considered that an increase in the caps of a magnitude greater than this would need to be supported by clinical evidence and an assessment of the cost-effectiveness of sequential use“</w:t>
      </w:r>
      <w:r w:rsidR="00D55DA2" w:rsidRPr="00FE714A">
        <w:rPr>
          <w:iCs/>
        </w:rPr>
        <w:t xml:space="preserve"> (paragraph 7.16</w:t>
      </w:r>
      <w:r w:rsidR="00F54D47">
        <w:rPr>
          <w:iCs/>
        </w:rPr>
        <w:t>,</w:t>
      </w:r>
      <w:r w:rsidR="00D55DA2" w:rsidRPr="00FE714A">
        <w:rPr>
          <w:iCs/>
        </w:rPr>
        <w:t xml:space="preserve"> </w:t>
      </w:r>
      <w:r w:rsidR="000A613E">
        <w:rPr>
          <w:iCs/>
        </w:rPr>
        <w:t>UPA</w:t>
      </w:r>
      <w:r w:rsidR="000A613E" w:rsidRPr="00FE714A">
        <w:rPr>
          <w:iCs/>
        </w:rPr>
        <w:t xml:space="preserve"> </w:t>
      </w:r>
      <w:r w:rsidR="00D55DA2" w:rsidRPr="00FE714A">
        <w:rPr>
          <w:iCs/>
        </w:rPr>
        <w:t>PSD, July 2021 PBAC meeting).</w:t>
      </w:r>
      <w:r w:rsidRPr="00FE714A">
        <w:rPr>
          <w:iCs/>
        </w:rPr>
        <w:t xml:space="preserve"> The PBAC noted that no evidence regarding sequential use was presented. </w:t>
      </w:r>
      <w:r w:rsidRPr="00FE714A">
        <w:t xml:space="preserve">The PBAC considered that allowing </w:t>
      </w:r>
      <w:r w:rsidR="00D55DA2" w:rsidRPr="00FE714A">
        <w:t xml:space="preserve">sequential use or </w:t>
      </w:r>
      <w:r w:rsidRPr="00FE714A">
        <w:t xml:space="preserve">switching between </w:t>
      </w:r>
      <w:r w:rsidR="00D55DA2" w:rsidRPr="00FE714A">
        <w:t>DUPI/UPA and LEB</w:t>
      </w:r>
      <w:r w:rsidRPr="00FE714A">
        <w:t xml:space="preserve"> is unlikely to substantially increase the </w:t>
      </w:r>
      <w:r w:rsidR="00D55DA2" w:rsidRPr="00FE714A">
        <w:t xml:space="preserve">overall </w:t>
      </w:r>
      <w:r w:rsidRPr="00FE714A">
        <w:t>uptake of treatments for severe AD as the number of patients ceasing treatment for DUPI/UPA has been relatively low</w:t>
      </w:r>
      <w:r w:rsidR="00D55DA2" w:rsidRPr="00FE714A">
        <w:t xml:space="preserve"> and LEB does not provide a different</w:t>
      </w:r>
      <w:r w:rsidR="00A3753B" w:rsidRPr="00FE714A">
        <w:t xml:space="preserve"> </w:t>
      </w:r>
      <w:r w:rsidR="00D55DA2" w:rsidRPr="00FE714A">
        <w:t>route of administration</w:t>
      </w:r>
      <w:r w:rsidRPr="00FE714A">
        <w:t xml:space="preserve">. </w:t>
      </w:r>
      <w:r w:rsidR="00FB3119" w:rsidRPr="00FE714A">
        <w:t>Therefore,</w:t>
      </w:r>
      <w:r w:rsidRPr="00FE714A">
        <w:t xml:space="preserve"> the PBAC considered that no increase to the RSA caps was justified on the basis of switching or sequential use of DUPI/UPA and LEB.</w:t>
      </w:r>
      <w:bookmarkEnd w:id="63"/>
    </w:p>
    <w:p w14:paraId="74A43298" w14:textId="780B749D" w:rsidR="00A82C0E" w:rsidRPr="00FE714A" w:rsidRDefault="00A82C0E" w:rsidP="00A82C0E">
      <w:pPr>
        <w:pStyle w:val="ExecSumBodyText"/>
        <w:numPr>
          <w:ilvl w:val="1"/>
          <w:numId w:val="1"/>
        </w:numPr>
      </w:pPr>
      <w:r w:rsidRPr="00FE714A">
        <w:lastRenderedPageBreak/>
        <w:t>The PBAC noted the pre-PBAC response stated that</w:t>
      </w:r>
      <w:r w:rsidR="00B94F95" w:rsidRPr="00FE714A">
        <w:t xml:space="preserve"> the sponsor is willing to adjust the cost-minimisation </w:t>
      </w:r>
      <w:r w:rsidR="0085385B" w:rsidRPr="00FE714A">
        <w:t>approach</w:t>
      </w:r>
      <w:r w:rsidR="00B94F95" w:rsidRPr="00FE714A">
        <w:t xml:space="preserve"> </w:t>
      </w:r>
      <w:r w:rsidR="008730A2" w:rsidRPr="00FE714A">
        <w:t xml:space="preserve">to include additional doses for extended induction </w:t>
      </w:r>
      <w:r w:rsidR="00B94F95" w:rsidRPr="00FE714A">
        <w:t>on the condition that the proposed extended induction response rate (80.5%) for LEB is accepted in the financial estimates, and that the additional responders are included in the RSA. The PBAC recalled its previous advice when UPA was recommended: “The sponsor requested that if the RSA in place for DUPI was to include UPA that the financial caps should be increased to reflect the superior response of UPA 30 mg (and the higher proportion of patients who remain on treatment)</w:t>
      </w:r>
      <w:r w:rsidR="008730A2" w:rsidRPr="00FE714A">
        <w:t xml:space="preserve">… </w:t>
      </w:r>
      <w:r w:rsidR="00B94F95" w:rsidRPr="00FE714A">
        <w:t xml:space="preserve">the PBAC did not accept the claim of superior efficacy of UPA 30 mg and </w:t>
      </w:r>
      <w:r w:rsidR="00B94F95" w:rsidRPr="00FE714A">
        <w:rPr>
          <w:iCs/>
        </w:rPr>
        <w:t>therefore considered that increasing the caps in this way was not justified</w:t>
      </w:r>
      <w:r w:rsidR="00D55DA2" w:rsidRPr="00FE714A">
        <w:rPr>
          <w:iCs/>
        </w:rPr>
        <w:t>” (paragraph 7.15</w:t>
      </w:r>
      <w:r w:rsidR="00F54D47">
        <w:rPr>
          <w:iCs/>
        </w:rPr>
        <w:t>,</w:t>
      </w:r>
      <w:r w:rsidR="00D55DA2" w:rsidRPr="00FE714A">
        <w:rPr>
          <w:iCs/>
        </w:rPr>
        <w:t xml:space="preserve"> upadacitinib PSD, July 2021 PBAC meeting).</w:t>
      </w:r>
      <w:r w:rsidR="00B94F95" w:rsidRPr="00FE714A">
        <w:rPr>
          <w:iCs/>
        </w:rPr>
        <w:t xml:space="preserve"> The PBAC noted that no claim of superior efficacy for LEB had been proposed in the submission and considered that an increase to the financial estimates and caps, on the basis of </w:t>
      </w:r>
      <w:r w:rsidR="001D33EB" w:rsidRPr="00FE714A">
        <w:rPr>
          <w:iCs/>
        </w:rPr>
        <w:t>a CMA</w:t>
      </w:r>
      <w:r w:rsidR="00B94F95" w:rsidRPr="00FE714A">
        <w:rPr>
          <w:iCs/>
        </w:rPr>
        <w:t>, was not supported.</w:t>
      </w:r>
    </w:p>
    <w:p w14:paraId="5B506ECB" w14:textId="5415C4B4" w:rsidR="00F95F57" w:rsidRPr="00FE714A" w:rsidRDefault="00F95F57" w:rsidP="00F95F57">
      <w:pPr>
        <w:pStyle w:val="ExecSumBodyText"/>
        <w:numPr>
          <w:ilvl w:val="1"/>
          <w:numId w:val="1"/>
        </w:numPr>
      </w:pPr>
      <w:r w:rsidRPr="00FE714A">
        <w:t>The pre-PBAC also noted the sponsor’s concern regarding the level of rebate required for expenditure over the RSA caps in this indication.</w:t>
      </w:r>
      <w:r w:rsidR="00AC32A9" w:rsidRPr="00FE714A">
        <w:t xml:space="preserve"> </w:t>
      </w:r>
      <w:r w:rsidR="00C62DDF" w:rsidRPr="00FE714A">
        <w:t xml:space="preserve">The sponsor proposed a significant reduction in the rebate of expenditure over the caps. </w:t>
      </w:r>
      <w:r w:rsidR="00AC32A9" w:rsidRPr="00FE714A">
        <w:t xml:space="preserve">The PBAC considered that the </w:t>
      </w:r>
      <w:r w:rsidR="00E423BF" w:rsidRPr="00FE714A">
        <w:t xml:space="preserve">renegotiation of the </w:t>
      </w:r>
      <w:r w:rsidR="00AC32A9" w:rsidRPr="00FE714A">
        <w:t>level of rebate required was also ultimately a matter for the Commonwealth, and could be considered at the time of negotiation of any future RSA.</w:t>
      </w:r>
    </w:p>
    <w:p w14:paraId="0E5E05A7" w14:textId="77777777" w:rsidR="009A786D" w:rsidRPr="00FE714A" w:rsidRDefault="009A786D" w:rsidP="00F95F57">
      <w:pPr>
        <w:pStyle w:val="ExecSumBodyText"/>
        <w:ind w:firstLine="0"/>
        <w:rPr>
          <w:i/>
          <w:iCs/>
        </w:rPr>
      </w:pPr>
      <w:r w:rsidRPr="00FE714A">
        <w:rPr>
          <w:i/>
          <w:iCs/>
        </w:rPr>
        <w:t>For more detail on PBAC’s view, see section 7 PBAC outcome.</w:t>
      </w:r>
    </w:p>
    <w:p w14:paraId="4EC82CB5" w14:textId="77777777" w:rsidR="00302FB2" w:rsidRPr="00FE714A" w:rsidRDefault="00302FB2" w:rsidP="008F2D1E">
      <w:pPr>
        <w:pStyle w:val="2-SectionHeading"/>
        <w:numPr>
          <w:ilvl w:val="0"/>
          <w:numId w:val="1"/>
        </w:numPr>
      </w:pPr>
      <w:bookmarkStart w:id="64" w:name="_Hlk76381249"/>
      <w:bookmarkStart w:id="65" w:name="_Hlk76377955"/>
      <w:r w:rsidRPr="00FE714A">
        <w:t>PBAC Outcome</w:t>
      </w:r>
    </w:p>
    <w:p w14:paraId="2C40CD9D" w14:textId="49095DE8" w:rsidR="00AC7BD2" w:rsidRPr="00FE714A" w:rsidRDefault="00302FB2" w:rsidP="008D5BF2">
      <w:pPr>
        <w:pStyle w:val="ExecSumBodyText"/>
        <w:numPr>
          <w:ilvl w:val="1"/>
          <w:numId w:val="1"/>
        </w:numPr>
      </w:pPr>
      <w:bookmarkStart w:id="66" w:name="_Hlk162260438"/>
      <w:r w:rsidRPr="00FE714A">
        <w:t xml:space="preserve">The PBAC recommended the listing of </w:t>
      </w:r>
      <w:r w:rsidR="00B145D1" w:rsidRPr="00FE714A">
        <w:t xml:space="preserve">lebrikizumab </w:t>
      </w:r>
      <w:r w:rsidR="006B0B29">
        <w:t xml:space="preserve">(LEB) </w:t>
      </w:r>
      <w:r w:rsidR="00B145D1" w:rsidRPr="00FE714A">
        <w:t>for adult and adolescent patients (12 years of age and older) with severe atopic dermatitis</w:t>
      </w:r>
      <w:r w:rsidRPr="00FE714A">
        <w:t xml:space="preserve">. </w:t>
      </w:r>
      <w:r w:rsidR="00AC7BD2" w:rsidRPr="00FE714A">
        <w:t xml:space="preserve">The PBAC acknowledged the clinical need for additional systemic treatments for severe AD and considered that </w:t>
      </w:r>
      <w:r w:rsidR="006B0B29">
        <w:t>LEB</w:t>
      </w:r>
      <w:r w:rsidR="00AC7BD2" w:rsidRPr="00FE714A">
        <w:t xml:space="preserve"> provides an overall clinical benefit similar to the primary comparator dupilumab </w:t>
      </w:r>
      <w:r w:rsidR="00CF6E69">
        <w:t xml:space="preserve">(DUPI) </w:t>
      </w:r>
      <w:r w:rsidR="00AC7BD2" w:rsidRPr="00FE714A">
        <w:t>and the additional comparator upadacitinib</w:t>
      </w:r>
      <w:r w:rsidR="00CF6E69">
        <w:t xml:space="preserve"> (UPA)</w:t>
      </w:r>
      <w:r w:rsidR="00AC7BD2" w:rsidRPr="00FE714A">
        <w:t xml:space="preserve">. </w:t>
      </w:r>
      <w:r w:rsidR="008D5BF2" w:rsidRPr="00FE714A">
        <w:t>The PBAC</w:t>
      </w:r>
      <w:r w:rsidR="00582690" w:rsidRPr="00FE714A">
        <w:t>’s</w:t>
      </w:r>
      <w:r w:rsidR="008D5BF2" w:rsidRPr="00FE714A">
        <w:t xml:space="preserve"> recommend</w:t>
      </w:r>
      <w:r w:rsidR="00582690" w:rsidRPr="00FE714A">
        <w:t>ation for listing was based on, among other matters, its assessment that the cost effectiveness of</w:t>
      </w:r>
      <w:r w:rsidR="008D5BF2" w:rsidRPr="00FE714A">
        <w:t xml:space="preserve"> </w:t>
      </w:r>
      <w:r w:rsidR="006B0B29">
        <w:t>LEB</w:t>
      </w:r>
      <w:r w:rsidR="008D5BF2" w:rsidRPr="00FE714A">
        <w:t xml:space="preserve"> </w:t>
      </w:r>
      <w:r w:rsidR="00582690" w:rsidRPr="00FE714A">
        <w:t xml:space="preserve">would be acceptable if it were </w:t>
      </w:r>
      <w:r w:rsidR="008D5BF2" w:rsidRPr="00FE714A">
        <w:t>cost-minimis</w:t>
      </w:r>
      <w:r w:rsidR="00AC7BD2" w:rsidRPr="00FE714A">
        <w:t>ed</w:t>
      </w:r>
      <w:r w:rsidR="008D5BF2" w:rsidRPr="00FE714A">
        <w:t xml:space="preserve"> to </w:t>
      </w:r>
      <w:r w:rsidR="000F3022" w:rsidRPr="00FE714A">
        <w:rPr>
          <w:lang w:eastAsia="en-US"/>
        </w:rPr>
        <w:t>the lowest cost alternative therapy</w:t>
      </w:r>
      <w:r w:rsidR="008F4754" w:rsidRPr="00FE714A">
        <w:rPr>
          <w:lang w:eastAsia="en-US"/>
        </w:rPr>
        <w:t xml:space="preserve"> of </w:t>
      </w:r>
      <w:r w:rsidR="006B0B29">
        <w:rPr>
          <w:lang w:eastAsia="en-US"/>
        </w:rPr>
        <w:t xml:space="preserve">DUPI </w:t>
      </w:r>
      <w:r w:rsidR="008F4754" w:rsidRPr="00FE714A">
        <w:rPr>
          <w:lang w:eastAsia="en-US"/>
        </w:rPr>
        <w:t xml:space="preserve">or </w:t>
      </w:r>
      <w:r w:rsidR="006B0B29">
        <w:rPr>
          <w:lang w:eastAsia="en-US"/>
        </w:rPr>
        <w:t>UPA</w:t>
      </w:r>
      <w:r w:rsidR="008D5BF2" w:rsidRPr="00FE714A">
        <w:t xml:space="preserve">. </w:t>
      </w:r>
    </w:p>
    <w:bookmarkEnd w:id="66"/>
    <w:p w14:paraId="17CD32C5" w14:textId="618F514A" w:rsidR="00AB2D56" w:rsidRPr="00FE714A" w:rsidRDefault="008D5BF2" w:rsidP="008C6F26">
      <w:pPr>
        <w:pStyle w:val="ExecSumBodyText"/>
        <w:widowControl w:val="0"/>
        <w:numPr>
          <w:ilvl w:val="1"/>
          <w:numId w:val="1"/>
        </w:numPr>
      </w:pPr>
      <w:r w:rsidRPr="00FE714A">
        <w:t xml:space="preserve">The PBAC considered that inclusion of an extended induction period, as proposed for the LEB restrictions, was reasonable, but the additional doses </w:t>
      </w:r>
      <w:r w:rsidR="00AB2D56" w:rsidRPr="00FE714A">
        <w:t xml:space="preserve">for a proportion of ‘slow responders’ </w:t>
      </w:r>
      <w:r w:rsidRPr="00FE714A">
        <w:t xml:space="preserve">would need to be accounted for in the calculation of </w:t>
      </w:r>
      <w:proofErr w:type="spellStart"/>
      <w:r w:rsidRPr="00FE714A">
        <w:t>equi</w:t>
      </w:r>
      <w:proofErr w:type="spellEnd"/>
      <w:r w:rsidRPr="00FE714A">
        <w:t>-effective doses applied in the cost-minimisation approach.</w:t>
      </w:r>
      <w:r w:rsidR="002F11D5" w:rsidRPr="00FE714A">
        <w:t xml:space="preserve"> </w:t>
      </w:r>
      <w:r w:rsidR="00AC7BD2" w:rsidRPr="00FE714A">
        <w:t xml:space="preserve">The PBAC considered the </w:t>
      </w:r>
      <w:proofErr w:type="spellStart"/>
      <w:r w:rsidR="00AC7BD2" w:rsidRPr="00FE714A">
        <w:t>equi</w:t>
      </w:r>
      <w:proofErr w:type="spellEnd"/>
      <w:r w:rsidR="00AC7BD2" w:rsidRPr="00FE714A">
        <w:t>-effective doses</w:t>
      </w:r>
      <w:r w:rsidR="00E2402A" w:rsidRPr="00FE714A">
        <w:t>, assuming equivalent drug costs over a two-year period</w:t>
      </w:r>
      <w:r w:rsidR="00AC7BD2" w:rsidRPr="00FE714A">
        <w:t xml:space="preserve"> are:</w:t>
      </w:r>
      <w:r w:rsidR="00AB2D56" w:rsidRPr="00FE714A">
        <w:t xml:space="preserve"> </w:t>
      </w:r>
    </w:p>
    <w:p w14:paraId="66AC6FDD" w14:textId="257BC1F9" w:rsidR="00AC7BD2" w:rsidRPr="00FE714A" w:rsidRDefault="00AB2D56" w:rsidP="00AB2D56">
      <w:pPr>
        <w:pStyle w:val="ExecSumBodyText"/>
        <w:widowControl w:val="0"/>
        <w:ind w:firstLine="0"/>
      </w:pPr>
      <w:r w:rsidRPr="00FE714A">
        <w:t>For adults and adolescents ≥ 60 kg:</w:t>
      </w:r>
    </w:p>
    <w:p w14:paraId="3DE1C860" w14:textId="6A85991A" w:rsidR="00AC7BD2" w:rsidRPr="00FE714A" w:rsidRDefault="00D962F6" w:rsidP="00E113B7">
      <w:pPr>
        <w:pStyle w:val="ExecSumBodyText"/>
        <w:widowControl w:val="0"/>
        <w:numPr>
          <w:ilvl w:val="0"/>
          <w:numId w:val="12"/>
        </w:numPr>
        <w:ind w:left="1134"/>
      </w:pPr>
      <w:r w:rsidRPr="00FE714A">
        <w:t xml:space="preserve">For ‘slow responders’ requiring extended induction (34.48% of patients) - </w:t>
      </w:r>
      <w:r w:rsidR="00AB2D56" w:rsidRPr="00FE714A">
        <w:t>LEB 500</w:t>
      </w:r>
      <w:r w:rsidR="00E113B7">
        <w:t> </w:t>
      </w:r>
      <w:r w:rsidR="00AB2D56" w:rsidRPr="00FE714A">
        <w:t xml:space="preserve">mg at </w:t>
      </w:r>
      <w:r w:rsidR="00E2402A" w:rsidRPr="00FE714A">
        <w:t>w</w:t>
      </w:r>
      <w:r w:rsidR="00AB2D56" w:rsidRPr="00FE714A">
        <w:t xml:space="preserve">eek 0 and 2, </w:t>
      </w:r>
      <w:r w:rsidRPr="00FE714A">
        <w:t xml:space="preserve">followed by </w:t>
      </w:r>
      <w:r w:rsidR="00AB2D56" w:rsidRPr="00FE714A">
        <w:t>LEB 250 mg Q2W until week 2</w:t>
      </w:r>
      <w:r w:rsidR="00CF6E69">
        <w:t>4</w:t>
      </w:r>
      <w:r w:rsidR="00AB2D56" w:rsidRPr="00FE714A">
        <w:t xml:space="preserve">, followed by a maintenance dose of LEB 250 mg Q4W; and </w:t>
      </w:r>
      <w:r w:rsidRPr="00FE714A">
        <w:t xml:space="preserve">for week 16 responders (65.52% of patients) - </w:t>
      </w:r>
      <w:r w:rsidR="00AB2D56" w:rsidRPr="00FE714A">
        <w:t xml:space="preserve">LEB </w:t>
      </w:r>
      <w:r w:rsidRPr="00FE714A">
        <w:t xml:space="preserve">500 mg at </w:t>
      </w:r>
      <w:r w:rsidR="00E2402A" w:rsidRPr="00FE714A">
        <w:t>w</w:t>
      </w:r>
      <w:r w:rsidRPr="00FE714A">
        <w:t xml:space="preserve">eek 0 and 2, followed by </w:t>
      </w:r>
      <w:r w:rsidR="00AB2D56" w:rsidRPr="00FE714A">
        <w:t>25</w:t>
      </w:r>
      <w:r w:rsidR="00FE714A">
        <w:t>0 mg</w:t>
      </w:r>
      <w:r w:rsidR="00AB2D56" w:rsidRPr="00FE714A">
        <w:t xml:space="preserve"> Q2W until week </w:t>
      </w:r>
      <w:r w:rsidR="00E2402A" w:rsidRPr="00FE714A">
        <w:t>16</w:t>
      </w:r>
      <w:r w:rsidR="00AB2D56" w:rsidRPr="00FE714A">
        <w:t xml:space="preserve">, </w:t>
      </w:r>
      <w:r w:rsidR="00AB2D56" w:rsidRPr="00FE714A">
        <w:lastRenderedPageBreak/>
        <w:t>followed by a maintenance dose of LEB 25</w:t>
      </w:r>
      <w:r w:rsidR="00FE714A">
        <w:t>0 mg</w:t>
      </w:r>
      <w:r w:rsidR="00AB2D56" w:rsidRPr="00FE714A">
        <w:t xml:space="preserve"> Q4W and</w:t>
      </w:r>
    </w:p>
    <w:p w14:paraId="748E070D" w14:textId="351627DC" w:rsidR="00D962F6" w:rsidRPr="00FE714A" w:rsidRDefault="00D962F6" w:rsidP="00E113B7">
      <w:pPr>
        <w:pStyle w:val="ExecSumBodyText"/>
        <w:widowControl w:val="0"/>
        <w:numPr>
          <w:ilvl w:val="0"/>
          <w:numId w:val="12"/>
        </w:numPr>
        <w:ind w:left="1134"/>
      </w:pPr>
      <w:r w:rsidRPr="00FE714A">
        <w:t xml:space="preserve">DUPI 600 mg </w:t>
      </w:r>
      <w:r w:rsidR="00E2402A" w:rsidRPr="00FE714A">
        <w:t>at week 0, followed by</w:t>
      </w:r>
      <w:r w:rsidRPr="00FE714A">
        <w:t xml:space="preserve"> </w:t>
      </w:r>
      <w:r w:rsidR="00E2402A" w:rsidRPr="00FE714A">
        <w:t xml:space="preserve">a maintenance dose of </w:t>
      </w:r>
      <w:r w:rsidRPr="00FE714A">
        <w:t xml:space="preserve">300 mg </w:t>
      </w:r>
      <w:r w:rsidR="00E2402A" w:rsidRPr="00FE714A">
        <w:t>Q2W.</w:t>
      </w:r>
    </w:p>
    <w:p w14:paraId="65C60765" w14:textId="14CB9035" w:rsidR="00E2402A" w:rsidRPr="00FE714A" w:rsidRDefault="00E2402A" w:rsidP="00E2402A">
      <w:pPr>
        <w:pStyle w:val="ExecSumBodyText"/>
        <w:widowControl w:val="0"/>
        <w:ind w:left="1440"/>
      </w:pPr>
      <w:r w:rsidRPr="00FE714A">
        <w:t>For adolescents &lt; 60 kg:</w:t>
      </w:r>
    </w:p>
    <w:p w14:paraId="638D815C" w14:textId="5D29CF19" w:rsidR="00E2402A" w:rsidRPr="00FE714A" w:rsidRDefault="00E2402A" w:rsidP="00E113B7">
      <w:pPr>
        <w:pStyle w:val="ExecSumBodyText"/>
        <w:widowControl w:val="0"/>
        <w:numPr>
          <w:ilvl w:val="0"/>
          <w:numId w:val="12"/>
        </w:numPr>
        <w:ind w:left="1134"/>
      </w:pPr>
      <w:r w:rsidRPr="00FE714A">
        <w:t>For ‘slow responders’ requiring extended induction (34.48% of patients) - LEB 500</w:t>
      </w:r>
      <w:r w:rsidR="00E113B7">
        <w:t> </w:t>
      </w:r>
      <w:r w:rsidRPr="00FE714A">
        <w:t>mg at week 0 and 2, followed by LEB 250 mg Q2W until week 2</w:t>
      </w:r>
      <w:r w:rsidR="00CF6E69">
        <w:t>4</w:t>
      </w:r>
      <w:r w:rsidRPr="00FE714A">
        <w:t xml:space="preserve">, followed by a maintenance dose of LEB 250 mg Q4W; and for week 16 responders (65.52% of patients) </w:t>
      </w:r>
      <w:r w:rsidR="00E113B7">
        <w:t>–</w:t>
      </w:r>
      <w:r w:rsidRPr="00FE714A">
        <w:t xml:space="preserve"> LEB 500 mg at week 0 and 2, followed by 25</w:t>
      </w:r>
      <w:r w:rsidR="00FE714A">
        <w:t>0 mg</w:t>
      </w:r>
      <w:r w:rsidRPr="00FE714A">
        <w:t xml:space="preserve"> Q2W until week 16, followed by a maintenance dose of LEB 25</w:t>
      </w:r>
      <w:r w:rsidR="00FE714A">
        <w:t>0 mg</w:t>
      </w:r>
      <w:r w:rsidRPr="00FE714A">
        <w:t xml:space="preserve"> Q4W; and</w:t>
      </w:r>
    </w:p>
    <w:p w14:paraId="2885F933" w14:textId="5708064D" w:rsidR="00E2402A" w:rsidRPr="00FE714A" w:rsidRDefault="00E2402A" w:rsidP="00E113B7">
      <w:pPr>
        <w:pStyle w:val="ExecSumBodyText"/>
        <w:widowControl w:val="0"/>
        <w:numPr>
          <w:ilvl w:val="0"/>
          <w:numId w:val="12"/>
        </w:numPr>
        <w:ind w:left="1134"/>
      </w:pPr>
      <w:r w:rsidRPr="00FE714A">
        <w:t>DUPI 400 mg at week 0, followed by a maintenance dose of 200 mg Q2W.</w:t>
      </w:r>
    </w:p>
    <w:p w14:paraId="0332B23D" w14:textId="39623663" w:rsidR="00AF6D20" w:rsidRPr="00FE714A" w:rsidRDefault="00AF6D20" w:rsidP="00302FB2">
      <w:pPr>
        <w:widowControl w:val="0"/>
        <w:numPr>
          <w:ilvl w:val="1"/>
          <w:numId w:val="1"/>
        </w:numPr>
        <w:spacing w:after="120"/>
        <w:rPr>
          <w:rFonts w:asciiTheme="minorHAnsi" w:hAnsiTheme="minorHAnsi"/>
          <w:snapToGrid w:val="0"/>
        </w:rPr>
      </w:pPr>
      <w:r w:rsidRPr="00FE714A">
        <w:rPr>
          <w:rFonts w:asciiTheme="minorHAnsi" w:hAnsiTheme="minorHAnsi"/>
          <w:snapToGrid w:val="0"/>
        </w:rPr>
        <w:t xml:space="preserve">The PBAC noted the previously determined </w:t>
      </w:r>
      <w:proofErr w:type="spellStart"/>
      <w:r w:rsidRPr="00FE714A">
        <w:rPr>
          <w:rFonts w:asciiTheme="minorHAnsi" w:hAnsiTheme="minorHAnsi"/>
          <w:snapToGrid w:val="0"/>
        </w:rPr>
        <w:t>equi</w:t>
      </w:r>
      <w:proofErr w:type="spellEnd"/>
      <w:r w:rsidRPr="00FE714A">
        <w:rPr>
          <w:rFonts w:asciiTheme="minorHAnsi" w:hAnsiTheme="minorHAnsi"/>
          <w:snapToGrid w:val="0"/>
        </w:rPr>
        <w:t xml:space="preserve">-effective doses for UPA and DUPI could be used to inform </w:t>
      </w:r>
      <w:proofErr w:type="spellStart"/>
      <w:r w:rsidRPr="00FE714A">
        <w:rPr>
          <w:rFonts w:asciiTheme="minorHAnsi" w:hAnsiTheme="minorHAnsi"/>
          <w:snapToGrid w:val="0"/>
        </w:rPr>
        <w:t>equi</w:t>
      </w:r>
      <w:proofErr w:type="spellEnd"/>
      <w:r w:rsidRPr="00FE714A">
        <w:rPr>
          <w:rFonts w:asciiTheme="minorHAnsi" w:hAnsiTheme="minorHAnsi"/>
          <w:snapToGrid w:val="0"/>
        </w:rPr>
        <w:t>-effective doses for LEB and UPA</w:t>
      </w:r>
      <w:r w:rsidR="003B685B" w:rsidRPr="00FE714A">
        <w:rPr>
          <w:rFonts w:asciiTheme="minorHAnsi" w:hAnsiTheme="minorHAnsi"/>
          <w:snapToGrid w:val="0"/>
        </w:rPr>
        <w:t xml:space="preserve"> for the purpose of determining the lowest cost alternative therapy</w:t>
      </w:r>
      <w:r w:rsidR="00B46856" w:rsidRPr="00FE714A">
        <w:rPr>
          <w:rFonts w:asciiTheme="minorHAnsi" w:hAnsiTheme="minorHAnsi"/>
          <w:snapToGrid w:val="0"/>
        </w:rPr>
        <w:t xml:space="preserve"> (</w:t>
      </w:r>
      <w:r w:rsidR="007C4C8E" w:rsidRPr="00FE714A">
        <w:rPr>
          <w:rFonts w:asciiTheme="minorHAnsi" w:hAnsiTheme="minorHAnsi"/>
          <w:snapToGrid w:val="0"/>
        </w:rPr>
        <w:t>paragraph 7.12, UPA PSD, July 2021 PBAC Meeting)</w:t>
      </w:r>
      <w:r w:rsidRPr="00FE714A">
        <w:rPr>
          <w:rFonts w:asciiTheme="minorHAnsi" w:hAnsiTheme="minorHAnsi"/>
          <w:snapToGrid w:val="0"/>
        </w:rPr>
        <w:t>.</w:t>
      </w:r>
    </w:p>
    <w:p w14:paraId="6E641717" w14:textId="46DB87A1" w:rsidR="00302FB2" w:rsidRPr="00FE714A" w:rsidRDefault="00E2402A" w:rsidP="00302FB2">
      <w:pPr>
        <w:widowControl w:val="0"/>
        <w:numPr>
          <w:ilvl w:val="1"/>
          <w:numId w:val="1"/>
        </w:numPr>
        <w:spacing w:after="120"/>
        <w:rPr>
          <w:rFonts w:asciiTheme="minorHAnsi" w:hAnsiTheme="minorHAnsi"/>
          <w:snapToGrid w:val="0"/>
        </w:rPr>
      </w:pPr>
      <w:r w:rsidRPr="00FE714A">
        <w:rPr>
          <w:rFonts w:asciiTheme="minorHAnsi" w:hAnsiTheme="minorHAnsi"/>
          <w:bCs/>
          <w:snapToGrid w:val="0"/>
        </w:rPr>
        <w:t xml:space="preserve">The PBAC noted that consumer comments from individuals and organisations described the unmet need for individuals with AD who do not respond to current available treatment options, or experience side effects from available treatments. The comments noted that </w:t>
      </w:r>
      <w:r w:rsidR="006B0B29">
        <w:rPr>
          <w:rFonts w:asciiTheme="minorHAnsi" w:hAnsiTheme="minorHAnsi"/>
          <w:bCs/>
          <w:snapToGrid w:val="0"/>
        </w:rPr>
        <w:t xml:space="preserve">LEB </w:t>
      </w:r>
      <w:r w:rsidRPr="00FE714A">
        <w:rPr>
          <w:rFonts w:asciiTheme="minorHAnsi" w:hAnsiTheme="minorHAnsi"/>
          <w:bCs/>
          <w:snapToGrid w:val="0"/>
        </w:rPr>
        <w:t xml:space="preserve">may have fewer ocular side effects than </w:t>
      </w:r>
      <w:r w:rsidR="006B0B29">
        <w:rPr>
          <w:rFonts w:asciiTheme="minorHAnsi" w:hAnsiTheme="minorHAnsi"/>
          <w:bCs/>
          <w:snapToGrid w:val="0"/>
        </w:rPr>
        <w:t>DUPI</w:t>
      </w:r>
      <w:r w:rsidRPr="00FE714A">
        <w:rPr>
          <w:rFonts w:asciiTheme="minorHAnsi" w:hAnsiTheme="minorHAnsi"/>
          <w:bCs/>
          <w:snapToGrid w:val="0"/>
        </w:rPr>
        <w:t xml:space="preserve"> and the benefits of monthly </w:t>
      </w:r>
      <w:r w:rsidR="006B0B29">
        <w:rPr>
          <w:rFonts w:asciiTheme="minorHAnsi" w:hAnsiTheme="minorHAnsi"/>
          <w:bCs/>
          <w:snapToGrid w:val="0"/>
        </w:rPr>
        <w:t>LEB</w:t>
      </w:r>
      <w:r w:rsidRPr="00FE714A">
        <w:rPr>
          <w:rFonts w:asciiTheme="minorHAnsi" w:hAnsiTheme="minorHAnsi"/>
          <w:bCs/>
          <w:snapToGrid w:val="0"/>
        </w:rPr>
        <w:t xml:space="preserve"> injections, as opposed to fortnightly injections. </w:t>
      </w:r>
      <w:r w:rsidRPr="00FE714A">
        <w:rPr>
          <w:rFonts w:asciiTheme="minorHAnsi" w:hAnsiTheme="minorHAnsi"/>
          <w:snapToGrid w:val="0"/>
        </w:rPr>
        <w:t xml:space="preserve">The PBAC noted that </w:t>
      </w:r>
      <w:r w:rsidR="006B0B29">
        <w:rPr>
          <w:rFonts w:asciiTheme="minorHAnsi" w:hAnsiTheme="minorHAnsi"/>
          <w:snapToGrid w:val="0"/>
        </w:rPr>
        <w:t>LEB</w:t>
      </w:r>
      <w:r w:rsidRPr="00FE714A">
        <w:rPr>
          <w:rFonts w:asciiTheme="minorHAnsi" w:hAnsiTheme="minorHAnsi"/>
          <w:snapToGrid w:val="0"/>
        </w:rPr>
        <w:t xml:space="preserve"> has a mechanism of action somewhat different to </w:t>
      </w:r>
      <w:r w:rsidR="006B0B29">
        <w:rPr>
          <w:rFonts w:asciiTheme="minorHAnsi" w:hAnsiTheme="minorHAnsi"/>
          <w:snapToGrid w:val="0"/>
        </w:rPr>
        <w:t>DUPI</w:t>
      </w:r>
      <w:r w:rsidRPr="00FE714A">
        <w:rPr>
          <w:rFonts w:asciiTheme="minorHAnsi" w:hAnsiTheme="minorHAnsi"/>
          <w:snapToGrid w:val="0"/>
        </w:rPr>
        <w:t xml:space="preserve"> as it </w:t>
      </w:r>
      <w:r w:rsidR="000C1773" w:rsidRPr="00FE714A">
        <w:rPr>
          <w:rFonts w:asciiTheme="minorHAnsi" w:hAnsiTheme="minorHAnsi"/>
          <w:snapToGrid w:val="0"/>
        </w:rPr>
        <w:t xml:space="preserve">blocks IL-13 alone, whereas </w:t>
      </w:r>
      <w:r w:rsidR="006B0B29">
        <w:rPr>
          <w:rFonts w:asciiTheme="minorHAnsi" w:hAnsiTheme="minorHAnsi"/>
          <w:snapToGrid w:val="0"/>
        </w:rPr>
        <w:t>DUPI</w:t>
      </w:r>
      <w:r w:rsidR="000C1773" w:rsidRPr="00FE714A">
        <w:rPr>
          <w:rFonts w:asciiTheme="minorHAnsi" w:hAnsiTheme="minorHAnsi"/>
          <w:snapToGrid w:val="0"/>
        </w:rPr>
        <w:t xml:space="preserve"> blocks both IL-4 and IL-13. The PBAC considered it would be beneficial for patients who have failed to achieve an adequate response to topical therapy to have access to an alternative treatment for severe AD. </w:t>
      </w:r>
    </w:p>
    <w:p w14:paraId="73E3BB52" w14:textId="27FAD49D" w:rsidR="00A02C9E" w:rsidRPr="00FE714A" w:rsidRDefault="000C1773" w:rsidP="007061D6">
      <w:pPr>
        <w:pStyle w:val="ExecSumBodyText"/>
        <w:widowControl w:val="0"/>
        <w:numPr>
          <w:ilvl w:val="1"/>
          <w:numId w:val="1"/>
        </w:numPr>
        <w:snapToGrid w:val="0"/>
        <w:rPr>
          <w:rFonts w:ascii="Calibri" w:hAnsi="Calibri"/>
        </w:rPr>
      </w:pPr>
      <w:r w:rsidRPr="00FE714A">
        <w:t>The PBAC noted that the proposed restrictions for LEB were consistent with those for DUPI and UPA</w:t>
      </w:r>
      <w:r w:rsidR="007C4C8E" w:rsidRPr="00FE714A">
        <w:t xml:space="preserve"> </w:t>
      </w:r>
      <w:r w:rsidRPr="00FE714A">
        <w:t>in severe AD, with regards to eligibility and continuing criteria</w:t>
      </w:r>
      <w:r w:rsidR="002F11D5" w:rsidRPr="00FE714A">
        <w:t xml:space="preserve"> and considered this was appropriate</w:t>
      </w:r>
      <w:r w:rsidRPr="00FE714A">
        <w:t>.</w:t>
      </w:r>
      <w:r w:rsidRPr="00FE714A">
        <w:rPr>
          <w:i/>
          <w:iCs/>
        </w:rPr>
        <w:t xml:space="preserve"> </w:t>
      </w:r>
      <w:r w:rsidRPr="00FE714A">
        <w:t>The submission additionally requested a listing for an extended induction period (balance of supply) for patients deemed to have achieved a less than adequate response to LEB (‘slow responder’) after 16 weeks. The proposed extended induction supply would provide an additional eight weeks of induction treatment at Q2W dosing</w:t>
      </w:r>
      <w:r w:rsidR="00CF6E69">
        <w:t>, with response assessed between 24-28 weeks</w:t>
      </w:r>
      <w:r w:rsidRPr="00FE714A">
        <w:t xml:space="preserve">. The PBAC noted that this approach is not consistent with </w:t>
      </w:r>
      <w:proofErr w:type="spellStart"/>
      <w:r w:rsidRPr="00FE714A">
        <w:t>induct</w:t>
      </w:r>
      <w:r w:rsidR="00E113B7">
        <w:t>I</w:t>
      </w:r>
      <w:r w:rsidRPr="00FE714A">
        <w:t>on</w:t>
      </w:r>
      <w:proofErr w:type="spellEnd"/>
      <w:r w:rsidRPr="00FE714A">
        <w:t xml:space="preserve"> and assessment of response for DUPI and UPA, but noted that it was consistent with the clinical data presented for LEB. The PBAC also noted that, in general, clinical practice </w:t>
      </w:r>
      <w:r w:rsidR="002F11D5" w:rsidRPr="00FE714A">
        <w:t xml:space="preserve">in a variety of indications, </w:t>
      </w:r>
      <w:r w:rsidRPr="00FE714A">
        <w:t xml:space="preserve">is moving towards a more extended induction period for assessment of response. The PBAC noted that there was potentially a higher cost associated with this approach as </w:t>
      </w:r>
      <w:r w:rsidR="00F9080B" w:rsidRPr="00FE714A">
        <w:t>non-responders and ‘slow responders’ receive additional doses compared with patients who respond by 16 weeks</w:t>
      </w:r>
      <w:r w:rsidRPr="00FE714A">
        <w:t xml:space="preserve">. The PBAC considered that inclusion of the extended induction period, as proposed for the LEB restrictions, was reasonable, but the additional doses would need to be accounted for in the calculation of </w:t>
      </w:r>
      <w:proofErr w:type="spellStart"/>
      <w:r w:rsidRPr="00FE714A">
        <w:t>equi</w:t>
      </w:r>
      <w:proofErr w:type="spellEnd"/>
      <w:r w:rsidRPr="00FE714A">
        <w:t>-effective doses applied in the cost-minimisation approach.</w:t>
      </w:r>
      <w:r w:rsidR="00A02C9E" w:rsidRPr="00FE714A">
        <w:t xml:space="preserve"> </w:t>
      </w:r>
    </w:p>
    <w:p w14:paraId="52C54F79" w14:textId="410DC091" w:rsidR="000C1773" w:rsidRPr="00FE714A" w:rsidRDefault="000C1773" w:rsidP="007061D6">
      <w:pPr>
        <w:pStyle w:val="ExecSumBodyText"/>
        <w:widowControl w:val="0"/>
        <w:numPr>
          <w:ilvl w:val="1"/>
          <w:numId w:val="1"/>
        </w:numPr>
        <w:snapToGrid w:val="0"/>
        <w:rPr>
          <w:rFonts w:ascii="Calibri" w:hAnsi="Calibri"/>
        </w:rPr>
      </w:pPr>
      <w:r w:rsidRPr="00FE714A">
        <w:t xml:space="preserve">The </w:t>
      </w:r>
      <w:r w:rsidR="00F9080B" w:rsidRPr="00FE714A">
        <w:t xml:space="preserve">PBAC noted that the </w:t>
      </w:r>
      <w:r w:rsidRPr="00FE714A">
        <w:t xml:space="preserve">requested listing does not prevent the use of sequential </w:t>
      </w:r>
      <w:r w:rsidRPr="00FE714A">
        <w:lastRenderedPageBreak/>
        <w:t>treatment (i.e., patients who do not respond to DUPI would be eligible for LEB and vice versa). The PBAC noted that switching</w:t>
      </w:r>
      <w:r w:rsidR="00F9080B" w:rsidRPr="00FE714A">
        <w:t xml:space="preserve"> and sequential use</w:t>
      </w:r>
      <w:r w:rsidRPr="00FE714A">
        <w:t xml:space="preserve"> </w:t>
      </w:r>
      <w:r w:rsidR="00F9080B" w:rsidRPr="00FE714A">
        <w:t>are</w:t>
      </w:r>
      <w:r w:rsidRPr="00FE714A">
        <w:t xml:space="preserve"> currently allowed between DUPI and UPA, and considered that allowing sequential treatment with an additional treatment (DUPI and/or UPA and LEB) was reasonable. The PBAC considered that allowing sequential treatment and switching between treatments is unlikely to substantially increase the uptake of treatments for severe AD as the number of patients ceasing treatment </w:t>
      </w:r>
      <w:r w:rsidR="00D45E6B" w:rsidRPr="00FE714A">
        <w:t xml:space="preserve">with </w:t>
      </w:r>
      <w:r w:rsidRPr="00FE714A">
        <w:t xml:space="preserve">DUPI/UPA has been relatively low. The PBAC noted that the pre-PBAC response also considered that the impact of sequential use </w:t>
      </w:r>
      <w:r w:rsidRPr="00FE714A">
        <w:rPr>
          <w:rFonts w:ascii="Calibri" w:hAnsi="Calibri"/>
        </w:rPr>
        <w:t>on uptake was likely to be minimal.</w:t>
      </w:r>
    </w:p>
    <w:p w14:paraId="1B296EFD" w14:textId="50FA47C8" w:rsidR="00B145D1" w:rsidRPr="00FE714A" w:rsidRDefault="00B145D1" w:rsidP="00302FB2">
      <w:pPr>
        <w:widowControl w:val="0"/>
        <w:numPr>
          <w:ilvl w:val="1"/>
          <w:numId w:val="1"/>
        </w:numPr>
        <w:spacing w:after="120"/>
        <w:rPr>
          <w:rFonts w:asciiTheme="minorHAnsi" w:hAnsiTheme="minorHAnsi"/>
          <w:snapToGrid w:val="0"/>
        </w:rPr>
      </w:pPr>
      <w:r w:rsidRPr="00FE714A">
        <w:t>The PBAC noted the submission nominated DUPI 300 mg SC Q2W as the main comparator and UPA (15 mg and 30 mg, taken once daily orally) as a secondary comparator UPA. The PBAC recalled that UPA was recommended for severe AD on a cost-minimisation basis to DUPI, following its July 2021 meeting. The PBAC considered that the nominated comparators were appropriate.</w:t>
      </w:r>
    </w:p>
    <w:p w14:paraId="4C9D4DC0" w14:textId="6BA3E631" w:rsidR="00302FB2" w:rsidRPr="00FE714A" w:rsidRDefault="00C661E8" w:rsidP="00302FB2">
      <w:pPr>
        <w:widowControl w:val="0"/>
        <w:numPr>
          <w:ilvl w:val="1"/>
          <w:numId w:val="1"/>
        </w:numPr>
        <w:spacing w:after="120"/>
        <w:rPr>
          <w:rFonts w:asciiTheme="minorHAnsi" w:hAnsiTheme="minorHAnsi"/>
          <w:snapToGrid w:val="0"/>
        </w:rPr>
      </w:pPr>
      <w:r w:rsidRPr="00FE714A">
        <w:t xml:space="preserve">The PBAC noted that no head-to-head trials comparing LEB and DUPI were available, so an indirect treatment comparison (using placebo as the common comparator) was presented to support the submission’s claim of non-inferior efficacy. The PBAC noted that the indirect comparison included nine RCTs of DUPI compared with placebo and seven RCTs of LEB compared with placebo. The PBAC </w:t>
      </w:r>
      <w:r w:rsidR="00EC26F3" w:rsidRPr="00FE714A">
        <w:t xml:space="preserve">noted that there were uncertainties associated with the indirect comparison presented because: the trials </w:t>
      </w:r>
      <w:r w:rsidR="00867BAA" w:rsidRPr="00FE714A">
        <w:t xml:space="preserve">used </w:t>
      </w:r>
      <w:r w:rsidR="00EC26F3" w:rsidRPr="00FE714A">
        <w:t xml:space="preserve">a mix of monotherapy and TCS combination </w:t>
      </w:r>
      <w:r w:rsidR="00712026" w:rsidRPr="00FE714A">
        <w:t>therapy</w:t>
      </w:r>
      <w:r w:rsidR="00EC26F3" w:rsidRPr="00FE714A">
        <w:t xml:space="preserve">; the comparison was based on post hoc analyses of the severe subgroup; the comparison did not include all available LEB trials; there was no comparison presented specifically for adolescents; and no non-inferiority margin was specified. </w:t>
      </w:r>
      <w:r w:rsidR="000742EC" w:rsidRPr="00FE714A">
        <w:t>The PBAC noted that i</w:t>
      </w:r>
      <w:r w:rsidR="00295271" w:rsidRPr="00FE714A">
        <w:t xml:space="preserve">n the indirect comparison, there was no statistically significant difference between LEB and DUPI for the proportions of severe AD patients who achieved the composite outcome nor its individual components (EASI 50 or DLQI ≥ 4-point improvement). </w:t>
      </w:r>
      <w:r w:rsidR="00EC26F3" w:rsidRPr="00FE714A">
        <w:t xml:space="preserve">The PBAC noted that the 95% confidence intervals were wide, indicating a substantial degree of uncertainty associated with the estimates. However, the PBAC </w:t>
      </w:r>
      <w:r w:rsidR="00295271" w:rsidRPr="00FE714A">
        <w:t>considered</w:t>
      </w:r>
      <w:r w:rsidR="00EC26F3" w:rsidRPr="00FE714A">
        <w:t xml:space="preserve"> that LEB appeared </w:t>
      </w:r>
      <w:r w:rsidR="00295271" w:rsidRPr="00FE714A">
        <w:t>similar to DUPI</w:t>
      </w:r>
      <w:r w:rsidR="00867BAA" w:rsidRPr="00FE714A">
        <w:t xml:space="preserve">, including for </w:t>
      </w:r>
      <w:r w:rsidR="00295271" w:rsidRPr="00FE714A">
        <w:t xml:space="preserve">the comparison of the composite responder outcome (EASI 50 + DLQI </w:t>
      </w:r>
      <w:r w:rsidR="00295271" w:rsidRPr="00FE714A">
        <w:rPr>
          <w:rFonts w:cs="Calibri"/>
        </w:rPr>
        <w:t>≥</w:t>
      </w:r>
      <w:r w:rsidR="00295271" w:rsidRPr="00FE714A">
        <w:t>4 point improvement at week 16 (RR 0.99 (95%CI: 0.50, 1.96))</w:t>
      </w:r>
      <w:r w:rsidR="00867BAA" w:rsidRPr="00FE714A">
        <w:t>,</w:t>
      </w:r>
      <w:r w:rsidR="000742EC" w:rsidRPr="00FE714A">
        <w:t xml:space="preserve"> and considered that the claim of non-inferiority with DUPI was reasonable</w:t>
      </w:r>
      <w:r w:rsidR="00FE714A">
        <w:t xml:space="preserve">. </w:t>
      </w:r>
    </w:p>
    <w:p w14:paraId="79729B90" w14:textId="1D6C8C4B" w:rsidR="009B4062" w:rsidRPr="00FE714A" w:rsidRDefault="00295271" w:rsidP="009C1AC4">
      <w:pPr>
        <w:pStyle w:val="3-BodyText"/>
      </w:pPr>
      <w:r w:rsidRPr="00FE714A">
        <w:t>T</w:t>
      </w:r>
      <w:r w:rsidR="009B4062" w:rsidRPr="00FE714A">
        <w:t>h</w:t>
      </w:r>
      <w:r w:rsidRPr="00FE714A">
        <w:t xml:space="preserve">e PBAC noted that the submission also presented </w:t>
      </w:r>
      <w:r w:rsidR="009B4062" w:rsidRPr="00FE714A">
        <w:t xml:space="preserve">indirect comparisons of LEB </w:t>
      </w:r>
      <w:r w:rsidR="009C1AC4" w:rsidRPr="00FE714A">
        <w:t>with UP</w:t>
      </w:r>
      <w:r w:rsidR="00E33DD3">
        <w:t>A</w:t>
      </w:r>
      <w:r w:rsidR="009C1AC4" w:rsidRPr="00FE714A">
        <w:t xml:space="preserve"> 15 mg and UPA 30 mg</w:t>
      </w:r>
      <w:r w:rsidR="009B4062" w:rsidRPr="00FE714A">
        <w:t xml:space="preserve"> (using placebo as the common comparator) for the composite outcome (EASI50 and DLQI ≥ 4-point improvement at Week 16). While the results of the comparison with UPA 15 mg </w:t>
      </w:r>
      <w:r w:rsidR="00712026" w:rsidRPr="00FE714A">
        <w:t xml:space="preserve">showed no </w:t>
      </w:r>
      <w:r w:rsidR="009B4062" w:rsidRPr="00FE714A">
        <w:t xml:space="preserve">statistically significant difference, </w:t>
      </w:r>
      <w:r w:rsidR="00712026" w:rsidRPr="00FE714A">
        <w:t>there was a statistically significant difference in favour of</w:t>
      </w:r>
      <w:r w:rsidR="009B4062" w:rsidRPr="00FE714A">
        <w:t xml:space="preserve"> UPA 30</w:t>
      </w:r>
      <w:r w:rsidR="00712026" w:rsidRPr="00FE714A">
        <w:t xml:space="preserve"> </w:t>
      </w:r>
      <w:r w:rsidR="009B4062" w:rsidRPr="00FE714A">
        <w:t>mg.</w:t>
      </w:r>
      <w:r w:rsidR="000742EC" w:rsidRPr="00FE714A">
        <w:t xml:space="preserve"> The PBAC </w:t>
      </w:r>
      <w:r w:rsidR="009C1AC4" w:rsidRPr="00FE714A">
        <w:t>recalled</w:t>
      </w:r>
      <w:r w:rsidR="000742EC" w:rsidRPr="00FE714A">
        <w:t xml:space="preserve"> it previously</w:t>
      </w:r>
      <w:r w:rsidR="009C1AC4" w:rsidRPr="00FE714A">
        <w:t xml:space="preserve"> did not accept the claim of superior efficacy for UPA 30 mg compared with DUPI, though acknowledged that it may have a faster onset of response, offset by an increase in treatment related adverse events (paragraph 7.11</w:t>
      </w:r>
      <w:r w:rsidR="00E113B7">
        <w:t>,</w:t>
      </w:r>
      <w:r w:rsidR="009C1AC4" w:rsidRPr="00FE714A">
        <w:t xml:space="preserve"> upadacitinib PSD, July 2021 PBA meeting).</w:t>
      </w:r>
      <w:r w:rsidR="000742EC" w:rsidRPr="00FE714A">
        <w:t xml:space="preserve"> Overall, the PBAC considered that </w:t>
      </w:r>
      <w:r w:rsidR="009C1AC4" w:rsidRPr="00FE714A">
        <w:t xml:space="preserve">the claim of non-inferior efficacy for LEB compared with UPA 15 mg and 30 mg was reasonable. </w:t>
      </w:r>
    </w:p>
    <w:p w14:paraId="6D86C2EA" w14:textId="6A921D36" w:rsidR="00295271" w:rsidRPr="00FE714A" w:rsidRDefault="009C1AC4" w:rsidP="00302FB2">
      <w:pPr>
        <w:widowControl w:val="0"/>
        <w:numPr>
          <w:ilvl w:val="1"/>
          <w:numId w:val="1"/>
        </w:numPr>
        <w:spacing w:after="120"/>
        <w:rPr>
          <w:rFonts w:asciiTheme="minorHAnsi" w:hAnsiTheme="minorHAnsi"/>
          <w:snapToGrid w:val="0"/>
        </w:rPr>
      </w:pPr>
      <w:r w:rsidRPr="00FE714A">
        <w:rPr>
          <w:rFonts w:asciiTheme="minorHAnsi" w:hAnsiTheme="minorHAnsi"/>
          <w:snapToGrid w:val="0"/>
        </w:rPr>
        <w:lastRenderedPageBreak/>
        <w:t xml:space="preserve">The PBAC noted that </w:t>
      </w:r>
      <w:r w:rsidR="007C4C8E" w:rsidRPr="00FE714A">
        <w:rPr>
          <w:rFonts w:asciiTheme="minorHAnsi" w:hAnsiTheme="minorHAnsi"/>
          <w:snapToGrid w:val="0"/>
        </w:rPr>
        <w:t xml:space="preserve">overall </w:t>
      </w:r>
      <w:r w:rsidRPr="00FE714A">
        <w:rPr>
          <w:rFonts w:asciiTheme="minorHAnsi" w:hAnsiTheme="minorHAnsi"/>
          <w:snapToGrid w:val="0"/>
        </w:rPr>
        <w:t xml:space="preserve">safety results </w:t>
      </w:r>
      <w:r w:rsidR="007C4C8E" w:rsidRPr="00FE714A">
        <w:rPr>
          <w:rFonts w:asciiTheme="minorHAnsi" w:hAnsiTheme="minorHAnsi"/>
          <w:snapToGrid w:val="0"/>
        </w:rPr>
        <w:t xml:space="preserve">(SAEs, any AEs and AEs leading to discontinuations) </w:t>
      </w:r>
      <w:r w:rsidRPr="00FE714A">
        <w:rPr>
          <w:rFonts w:asciiTheme="minorHAnsi" w:hAnsiTheme="minorHAnsi"/>
          <w:snapToGrid w:val="0"/>
        </w:rPr>
        <w:t>were not significantly different in the indirect treatment comparisons of LEB versus DUPI (all trials pooled)</w:t>
      </w:r>
      <w:r w:rsidR="00FE714A">
        <w:rPr>
          <w:rFonts w:asciiTheme="minorHAnsi" w:hAnsiTheme="minorHAnsi"/>
          <w:snapToGrid w:val="0"/>
        </w:rPr>
        <w:t xml:space="preserve">. </w:t>
      </w:r>
      <w:r w:rsidR="0035091B" w:rsidRPr="00FE714A">
        <w:t>The PBAC noted that p</w:t>
      </w:r>
      <w:r w:rsidR="007C4C8E" w:rsidRPr="00FE714A">
        <w:t xml:space="preserve">atients enrolled in the LEB arms of the included trials had a higher risk of experiencing conjunctivitis clusters compared to patients enrolled in the placebo arms (pooled RR=3.67, 95%CI: 2.36, 5.70; pooled RD=0.08, 95%CI: 0.04, 0.12). </w:t>
      </w:r>
      <w:r w:rsidR="0035091B" w:rsidRPr="00FE714A">
        <w:t>However, t</w:t>
      </w:r>
      <w:r w:rsidR="007C4C8E" w:rsidRPr="00FE714A">
        <w:t>his was also observed with DUPI</w:t>
      </w:r>
      <w:r w:rsidR="0035091B" w:rsidRPr="00FE714A">
        <w:t>.</w:t>
      </w:r>
      <w:r w:rsidR="007C4C8E" w:rsidRPr="00FE714A">
        <w:t xml:space="preserve"> </w:t>
      </w:r>
      <w:r w:rsidRPr="00FE714A">
        <w:t xml:space="preserve">Overall, the PBAC considered the submission’s claim of non-inferiority </w:t>
      </w:r>
      <w:r w:rsidR="0035091B" w:rsidRPr="00FE714A">
        <w:t xml:space="preserve">to DUPI </w:t>
      </w:r>
      <w:r w:rsidRPr="00FE714A">
        <w:t>was reasonable and plausible given the similarity in the mechanism of action.</w:t>
      </w:r>
    </w:p>
    <w:p w14:paraId="02DDFB3D" w14:textId="58FD10D9" w:rsidR="002D4038" w:rsidRDefault="009C1AC4" w:rsidP="002D4038">
      <w:pPr>
        <w:pStyle w:val="3-BodyText"/>
        <w:rPr>
          <w:b/>
          <w:bCs/>
        </w:rPr>
      </w:pPr>
      <w:r w:rsidRPr="00FE714A">
        <w:rPr>
          <w:snapToGrid/>
        </w:rPr>
        <w:t>The submission presented a CMA which compared LEB 250 mg for adult and adolescent patients aged 12 years and over, with DUPI 300 mg for adult patients and DUPI 200 mg for adolescent patients weighing &lt;60 kg, over a two-year time horizon</w:t>
      </w:r>
      <w:r w:rsidR="0035091B" w:rsidRPr="00FE714A">
        <w:rPr>
          <w:snapToGrid/>
        </w:rPr>
        <w:t xml:space="preserve"> (including a 16 week induction period)</w:t>
      </w:r>
      <w:r w:rsidR="00DA7EF7" w:rsidRPr="00FE714A">
        <w:rPr>
          <w:snapToGrid/>
        </w:rPr>
        <w:t>, with no cost-offsets</w:t>
      </w:r>
      <w:r w:rsidRPr="00FE714A">
        <w:rPr>
          <w:snapToGrid/>
        </w:rPr>
        <w:t xml:space="preserve">. The PBAC noted that this </w:t>
      </w:r>
      <w:r w:rsidR="008F4754" w:rsidRPr="00FE714A">
        <w:rPr>
          <w:snapToGrid/>
        </w:rPr>
        <w:t xml:space="preserve">approach </w:t>
      </w:r>
      <w:r w:rsidRPr="00FE714A">
        <w:rPr>
          <w:snapToGrid/>
        </w:rPr>
        <w:t xml:space="preserve">was consistent with the CMA </w:t>
      </w:r>
      <w:r w:rsidR="008F4754" w:rsidRPr="00FE714A">
        <w:rPr>
          <w:snapToGrid/>
        </w:rPr>
        <w:t>it had previously accepted for</w:t>
      </w:r>
      <w:r w:rsidRPr="00FE714A">
        <w:rPr>
          <w:snapToGrid/>
        </w:rPr>
        <w:t xml:space="preserve"> UPA </w:t>
      </w:r>
      <w:r w:rsidR="008F4754" w:rsidRPr="00FE714A">
        <w:rPr>
          <w:snapToGrid/>
        </w:rPr>
        <w:t xml:space="preserve">versus </w:t>
      </w:r>
      <w:r w:rsidRPr="00FE714A">
        <w:rPr>
          <w:snapToGrid/>
        </w:rPr>
        <w:t xml:space="preserve">DUPI (paragraph 6.52, UPA PSD, July 2021 PBAC meeting). </w:t>
      </w:r>
      <w:r w:rsidR="00DA7EF7" w:rsidRPr="00FE714A">
        <w:rPr>
          <w:snapToGrid/>
        </w:rPr>
        <w:t xml:space="preserve">The PBAC noted that the </w:t>
      </w:r>
      <w:r w:rsidR="008F4754" w:rsidRPr="00FE714A">
        <w:rPr>
          <w:snapToGrid/>
        </w:rPr>
        <w:t xml:space="preserve">LEB </w:t>
      </w:r>
      <w:proofErr w:type="spellStart"/>
      <w:r w:rsidR="00DA7EF7" w:rsidRPr="00FE714A">
        <w:rPr>
          <w:snapToGrid/>
        </w:rPr>
        <w:t>equi</w:t>
      </w:r>
      <w:proofErr w:type="spellEnd"/>
      <w:r w:rsidR="00DA7EF7" w:rsidRPr="00FE714A">
        <w:rPr>
          <w:snapToGrid/>
        </w:rPr>
        <w:t xml:space="preserve">-effective dose proposed in the submission did not include additional doses for patients who were slow responders and required additional doses during the induction phase. The </w:t>
      </w:r>
      <w:r w:rsidR="00712026" w:rsidRPr="00FE714A">
        <w:rPr>
          <w:snapToGrid/>
        </w:rPr>
        <w:t>PBAC</w:t>
      </w:r>
      <w:r w:rsidR="00AB13B7" w:rsidRPr="00FE714A">
        <w:rPr>
          <w:snapToGrid/>
        </w:rPr>
        <w:t xml:space="preserve"> </w:t>
      </w:r>
      <w:r w:rsidR="00DA7EF7" w:rsidRPr="00FE714A">
        <w:rPr>
          <w:snapToGrid/>
        </w:rPr>
        <w:t>considered this was inappropriate and would lead to an underestimate of the number of LEB doses used over two years. The PBAC noted that the evaluation conducted a weighted CMA that accounted for additional doses in slow responders (34.48% of patients), who were assumed to use LEB 250</w:t>
      </w:r>
      <w:r w:rsidR="00712026" w:rsidRPr="00FE714A">
        <w:rPr>
          <w:snapToGrid/>
        </w:rPr>
        <w:t xml:space="preserve"> </w:t>
      </w:r>
      <w:r w:rsidR="00DA7EF7" w:rsidRPr="00FE714A">
        <w:rPr>
          <w:snapToGrid/>
        </w:rPr>
        <w:t>mg Q2W until week 2</w:t>
      </w:r>
      <w:r w:rsidR="00CF6E69">
        <w:rPr>
          <w:snapToGrid/>
        </w:rPr>
        <w:t>4</w:t>
      </w:r>
      <w:r w:rsidR="00DA7EF7" w:rsidRPr="00FE714A">
        <w:rPr>
          <w:snapToGrid/>
        </w:rPr>
        <w:t xml:space="preserve">, </w:t>
      </w:r>
      <w:r w:rsidR="00C73F96" w:rsidRPr="00FE714A">
        <w:rPr>
          <w:snapToGrid/>
        </w:rPr>
        <w:t>followed by</w:t>
      </w:r>
      <w:r w:rsidR="00DA7EF7" w:rsidRPr="00FE714A">
        <w:rPr>
          <w:snapToGrid/>
        </w:rPr>
        <w:t xml:space="preserve"> a maintenance dose of LEB 250</w:t>
      </w:r>
      <w:r w:rsidR="00712026" w:rsidRPr="00FE714A">
        <w:rPr>
          <w:snapToGrid/>
        </w:rPr>
        <w:t xml:space="preserve"> </w:t>
      </w:r>
      <w:r w:rsidR="00DA7EF7" w:rsidRPr="00FE714A">
        <w:rPr>
          <w:snapToGrid/>
        </w:rPr>
        <w:t xml:space="preserve">mg Q4W. The PBAC </w:t>
      </w:r>
      <w:r w:rsidR="00F64B5F" w:rsidRPr="00FE714A">
        <w:rPr>
          <w:snapToGrid/>
        </w:rPr>
        <w:t xml:space="preserve">considered that the approach to estimating the proportion of slow responders was reasonable and that the CMA approach </w:t>
      </w:r>
      <w:r w:rsidR="00F702C6" w:rsidRPr="00FE714A">
        <w:rPr>
          <w:snapToGrid/>
        </w:rPr>
        <w:t>proposed in the evaluation</w:t>
      </w:r>
      <w:r w:rsidR="00712026" w:rsidRPr="00FE714A">
        <w:rPr>
          <w:snapToGrid/>
        </w:rPr>
        <w:t xml:space="preserve"> accounting for slow responders</w:t>
      </w:r>
      <w:r w:rsidR="00F702C6" w:rsidRPr="00FE714A">
        <w:rPr>
          <w:snapToGrid/>
        </w:rPr>
        <w:t xml:space="preserve"> (as </w:t>
      </w:r>
      <w:r w:rsidR="00F64B5F" w:rsidRPr="00FE714A">
        <w:rPr>
          <w:snapToGrid/>
        </w:rPr>
        <w:t xml:space="preserve">presented in </w:t>
      </w:r>
      <w:r w:rsidR="00F64B5F" w:rsidRPr="00FE714A">
        <w:rPr>
          <w:snapToGrid/>
        </w:rPr>
        <w:fldChar w:fldCharType="begin" w:fldLock="1"/>
      </w:r>
      <w:r w:rsidR="00F64B5F" w:rsidRPr="00FE714A">
        <w:rPr>
          <w:snapToGrid/>
        </w:rPr>
        <w:instrText xml:space="preserve"> REF _Ref155570540 \h </w:instrText>
      </w:r>
      <w:r w:rsidR="00E423BF" w:rsidRPr="00FE714A">
        <w:instrText xml:space="preserve"> \* MERGEFORMAT </w:instrText>
      </w:r>
      <w:r w:rsidR="00F64B5F" w:rsidRPr="00FE714A">
        <w:rPr>
          <w:snapToGrid/>
        </w:rPr>
      </w:r>
      <w:r w:rsidR="00F64B5F" w:rsidRPr="00FE714A">
        <w:rPr>
          <w:snapToGrid/>
        </w:rPr>
        <w:fldChar w:fldCharType="separate"/>
      </w:r>
      <w:r w:rsidR="00B3585E" w:rsidRPr="00B3585E">
        <w:rPr>
          <w:snapToGrid/>
        </w:rPr>
        <w:t>Table 17</w:t>
      </w:r>
      <w:r w:rsidR="00F64B5F" w:rsidRPr="00FE714A">
        <w:rPr>
          <w:snapToGrid/>
        </w:rPr>
        <w:fldChar w:fldCharType="end"/>
      </w:r>
      <w:r w:rsidR="00F702C6" w:rsidRPr="00FE714A">
        <w:rPr>
          <w:snapToGrid/>
        </w:rPr>
        <w:t>)</w:t>
      </w:r>
      <w:r w:rsidR="00F64B5F" w:rsidRPr="00FE714A">
        <w:rPr>
          <w:snapToGrid/>
        </w:rPr>
        <w:t xml:space="preserve"> was appropriate</w:t>
      </w:r>
      <w:r w:rsidR="00E24F9A" w:rsidRPr="00FE714A">
        <w:rPr>
          <w:snapToGrid/>
        </w:rPr>
        <w:t xml:space="preserve">. </w:t>
      </w:r>
    </w:p>
    <w:p w14:paraId="25864D07" w14:textId="3752E9BE" w:rsidR="00FD11C3" w:rsidRPr="002D4038" w:rsidRDefault="00FD11C3" w:rsidP="002D4038">
      <w:pPr>
        <w:pStyle w:val="3-BodyText"/>
        <w:rPr>
          <w:b/>
          <w:bCs/>
        </w:rPr>
      </w:pPr>
      <w:r>
        <w:t>The PBAC noted that the pre-PBAC response stated that the sponsor is willing to adjust the cost-minimisation approach to include additional doses for extended induction on the condition that the proposed extended induction response rate (80.5%) for LEB is accepted in the financial estimates, and that the additional responders are included in the RSA. The PBAC considered that, if the clinical claim is a higher response rate that would be associated with an increased financial impact, a cost utility analysis would be the appropriate approach for the economic analysis.</w:t>
      </w:r>
    </w:p>
    <w:p w14:paraId="224F2429" w14:textId="1C3A8DA1" w:rsidR="008F4754" w:rsidRPr="00FE714A" w:rsidRDefault="008F4754" w:rsidP="00E423BF">
      <w:pPr>
        <w:pStyle w:val="3-BodyText"/>
        <w:rPr>
          <w:b/>
          <w:bCs/>
        </w:rPr>
      </w:pPr>
      <w:r w:rsidRPr="00FE714A">
        <w:t xml:space="preserve">The PBAC considered the cost of LEB should also be no greater than the cost of </w:t>
      </w:r>
      <w:r w:rsidR="00AF6D20" w:rsidRPr="00FE714A">
        <w:t xml:space="preserve">UPA over a two year time </w:t>
      </w:r>
      <w:r w:rsidR="00240BA1" w:rsidRPr="00FE714A">
        <w:t>horizon</w:t>
      </w:r>
      <w:r w:rsidR="00AF6D20" w:rsidRPr="00FE714A">
        <w:t xml:space="preserve"> informed by the previously accepted CMA for UPA versus DUPI</w:t>
      </w:r>
      <w:r w:rsidR="0035091B" w:rsidRPr="00FE714A">
        <w:t xml:space="preserve"> (paragraph 7.12, UPA PSD, July 2021 PBAC meeting)</w:t>
      </w:r>
      <w:r w:rsidRPr="00FE714A">
        <w:t>.</w:t>
      </w:r>
    </w:p>
    <w:p w14:paraId="0E91BF98" w14:textId="77777777" w:rsidR="002D4038" w:rsidRDefault="00F702C6" w:rsidP="002D4038">
      <w:pPr>
        <w:pStyle w:val="3-BodyText"/>
      </w:pPr>
      <w:r w:rsidRPr="00FE714A">
        <w:rPr>
          <w:rFonts w:eastAsia="SimSun" w:cs="Cordia New"/>
          <w:szCs w:val="28"/>
          <w:lang w:eastAsia="zh-CN" w:bidi="th-TH"/>
        </w:rPr>
        <w:t xml:space="preserve">The </w:t>
      </w:r>
      <w:r w:rsidR="00712026" w:rsidRPr="00FE714A">
        <w:rPr>
          <w:rFonts w:eastAsia="SimSun" w:cs="Cordia New"/>
          <w:szCs w:val="28"/>
          <w:lang w:eastAsia="zh-CN" w:bidi="th-TH"/>
        </w:rPr>
        <w:t xml:space="preserve">PBAC noted the </w:t>
      </w:r>
      <w:r w:rsidRPr="00FE714A">
        <w:rPr>
          <w:rFonts w:eastAsia="SimSun" w:cs="Cordia New"/>
          <w:szCs w:val="28"/>
          <w:lang w:eastAsia="zh-CN" w:bidi="th-TH"/>
        </w:rPr>
        <w:t xml:space="preserve">submission presented financial estimates based on an epidemiological approach, using </w:t>
      </w:r>
      <w:r w:rsidRPr="00FE714A">
        <w:t xml:space="preserve">PBS sample data to inform the uptake of advanced systemic therapies. DUSC considered that a market-share approach, with growth factored in, would be more appropriate than an epidemiological approach. The PBAC noted that there are </w:t>
      </w:r>
      <w:r w:rsidR="00DD790E" w:rsidRPr="00FE714A">
        <w:t xml:space="preserve">almost three years of utilisation data available and considered that the epidemiological approach </w:t>
      </w:r>
      <w:r w:rsidR="00AF6D20" w:rsidRPr="00FE714A">
        <w:t xml:space="preserve">presented </w:t>
      </w:r>
      <w:r w:rsidR="00DD790E" w:rsidRPr="00FE714A">
        <w:t xml:space="preserve">in the submission introduced additional </w:t>
      </w:r>
      <w:r w:rsidR="00DD790E" w:rsidRPr="00FE714A">
        <w:lastRenderedPageBreak/>
        <w:t xml:space="preserve">uncertainty. </w:t>
      </w:r>
      <w:r w:rsidR="00DD790E" w:rsidRPr="00FE714A">
        <w:rPr>
          <w:iCs/>
        </w:rPr>
        <w:t>Overall</w:t>
      </w:r>
      <w:r w:rsidR="00DD790E" w:rsidRPr="00FE714A">
        <w:t xml:space="preserve">, the PBAC considered the financial impact estimated by the submission was highly uncertain and likely to be substantially overestimated, due to the </w:t>
      </w:r>
      <w:r w:rsidR="00C540F9">
        <w:t>assumption of</w:t>
      </w:r>
      <w:r w:rsidR="00C540F9" w:rsidRPr="00FE714A">
        <w:t xml:space="preserve"> </w:t>
      </w:r>
      <w:r w:rsidR="0035091B" w:rsidRPr="00FE714A">
        <w:t>higher</w:t>
      </w:r>
      <w:r w:rsidR="00DD790E" w:rsidRPr="00FE714A">
        <w:t xml:space="preserve"> </w:t>
      </w:r>
      <w:r w:rsidR="0035091B" w:rsidRPr="00FE714A">
        <w:t>rates of continuation for LEB compared to DUPI,</w:t>
      </w:r>
      <w:r w:rsidR="00DD790E" w:rsidRPr="00FE714A">
        <w:t xml:space="preserve"> and overestimated uptake rates. The submission’s estimates also included a net cost for additional doses for extended induction</w:t>
      </w:r>
      <w:r w:rsidR="00FB3119">
        <w:t>.</w:t>
      </w:r>
      <w:r w:rsidR="00FB3119" w:rsidRPr="00FE714A">
        <w:t xml:space="preserve"> </w:t>
      </w:r>
      <w:r w:rsidR="00FB3119">
        <w:t xml:space="preserve">However, </w:t>
      </w:r>
      <w:r w:rsidR="00DD790E" w:rsidRPr="00FE714A">
        <w:t xml:space="preserve">the PBAC noted that there should be no additional cost for extended induction doses as the cost-minimised price for LEB should account for these additional doses. </w:t>
      </w:r>
    </w:p>
    <w:p w14:paraId="690E5CC8" w14:textId="0DC6615C" w:rsidR="00EC7A6F" w:rsidRPr="00FE714A" w:rsidRDefault="00EC7A6F" w:rsidP="002D4038">
      <w:pPr>
        <w:pStyle w:val="3-BodyText"/>
      </w:pPr>
      <w:r w:rsidRPr="00FE714A">
        <w:t xml:space="preserve">The submission noted that there </w:t>
      </w:r>
      <w:r w:rsidR="00E423BF" w:rsidRPr="00FE714A">
        <w:t>is an RSA with</w:t>
      </w:r>
      <w:r w:rsidRPr="00FE714A">
        <w:t xml:space="preserve"> </w:t>
      </w:r>
      <w:r w:rsidR="00E423BF" w:rsidRPr="00FE714A">
        <w:t>subsidisation</w:t>
      </w:r>
      <w:r w:rsidRPr="00FE714A">
        <w:t xml:space="preserve"> caps in place for DUPI and UPA for severe AD</w:t>
      </w:r>
      <w:r w:rsidR="00E423BF" w:rsidRPr="00FE714A">
        <w:t>,</w:t>
      </w:r>
      <w:r w:rsidRPr="00FE714A">
        <w:t xml:space="preserve"> and </w:t>
      </w:r>
      <w:r w:rsidR="00384AD7" w:rsidRPr="00FE714A">
        <w:t xml:space="preserve">noted </w:t>
      </w:r>
      <w:r w:rsidRPr="00FE714A">
        <w:t xml:space="preserve">that LEB would need to join these arrangements. </w:t>
      </w:r>
      <w:r w:rsidR="00DD790E" w:rsidRPr="00FE714A">
        <w:t xml:space="preserve">The submission argued that the estimates used to inform the RSA and agreed caps have significantly underestimated actual use and that without revision, the current RSA subsidisation caps are anticipated to result in an average selling price that is commercially unviable for LEB. </w:t>
      </w:r>
      <w:r w:rsidR="00F702C6" w:rsidRPr="00FE714A">
        <w:t xml:space="preserve">The sponsor stated that the intent of the financial estimates </w:t>
      </w:r>
      <w:r w:rsidR="00E423BF" w:rsidRPr="00FE714A">
        <w:t xml:space="preserve">provided in the submission </w:t>
      </w:r>
      <w:r w:rsidR="00F702C6" w:rsidRPr="00FE714A">
        <w:t xml:space="preserve">was </w:t>
      </w:r>
      <w:r w:rsidR="00F702C6" w:rsidRPr="002D4038">
        <w:rPr>
          <w:rFonts w:eastAsia="SimSun" w:cs="Cordia New"/>
          <w:szCs w:val="28"/>
          <w:lang w:eastAsia="zh-CN" w:bidi="th-TH"/>
        </w:rPr>
        <w:t>to provide more certain data to determine the eligible population as well as uptake of advanced systemic therapies</w:t>
      </w:r>
      <w:r w:rsidR="00E423BF" w:rsidRPr="002D4038">
        <w:rPr>
          <w:rFonts w:eastAsia="SimSun" w:cs="Cordia New"/>
          <w:szCs w:val="28"/>
          <w:lang w:eastAsia="zh-CN" w:bidi="th-TH"/>
        </w:rPr>
        <w:t>,</w:t>
      </w:r>
      <w:r w:rsidR="00F702C6" w:rsidRPr="002D4038">
        <w:rPr>
          <w:rFonts w:eastAsia="SimSun" w:cs="Cordia New"/>
          <w:szCs w:val="28"/>
          <w:lang w:eastAsia="zh-CN" w:bidi="th-TH"/>
        </w:rPr>
        <w:t xml:space="preserve"> to provide a basis to revise the RSA expenditure caps.</w:t>
      </w:r>
      <w:r w:rsidR="00F702C6" w:rsidRPr="00FE714A">
        <w:t xml:space="preserve"> </w:t>
      </w:r>
      <w:r w:rsidR="00DD790E" w:rsidRPr="00FE714A">
        <w:t xml:space="preserve">The PBAC considered that the financial estimates presented </w:t>
      </w:r>
      <w:r w:rsidR="00E423BF" w:rsidRPr="00FE714A">
        <w:t xml:space="preserve">in the submission </w:t>
      </w:r>
      <w:r w:rsidR="00DD790E" w:rsidRPr="00FE714A">
        <w:t>were not useful for this purpose as the approach did not provide a reliable basis for estimation of the utilisation and costs for the sever</w:t>
      </w:r>
      <w:r w:rsidRPr="00FE714A">
        <w:t>e</w:t>
      </w:r>
      <w:r w:rsidR="00DD790E" w:rsidRPr="00FE714A">
        <w:t xml:space="preserve"> AD market. </w:t>
      </w:r>
    </w:p>
    <w:p w14:paraId="692AB513" w14:textId="3886BD84" w:rsidR="00302FB2" w:rsidRPr="00FE714A" w:rsidRDefault="00EC7A6F" w:rsidP="00E423BF">
      <w:pPr>
        <w:pStyle w:val="3-BodyText"/>
      </w:pPr>
      <w:r w:rsidRPr="00FE714A">
        <w:t xml:space="preserve">The PBAC also recalled its advice provided at the November </w:t>
      </w:r>
      <w:r w:rsidR="00753C40" w:rsidRPr="00FE714A">
        <w:t>202</w:t>
      </w:r>
      <w:r w:rsidR="00753C40">
        <w:t>3</w:t>
      </w:r>
      <w:r w:rsidR="00753C40" w:rsidRPr="00FE714A">
        <w:t xml:space="preserve"> </w:t>
      </w:r>
      <w:r w:rsidRPr="00FE714A">
        <w:t>meeting that “renegotiation of any Deed arrangements was ultimately a matter for the Commonwealth</w:t>
      </w:r>
      <w:r w:rsidR="00FB3119" w:rsidRPr="00FE714A">
        <w:t>”</w:t>
      </w:r>
      <w:r w:rsidR="00FB3119">
        <w:t>.</w:t>
      </w:r>
      <w:r w:rsidR="00FB3119" w:rsidRPr="00FE714A">
        <w:t xml:space="preserve"> </w:t>
      </w:r>
      <w:r w:rsidR="00FB3119">
        <w:t xml:space="preserve">However, </w:t>
      </w:r>
      <w:r w:rsidRPr="00FE714A">
        <w:t xml:space="preserve">the PBAC provided advice for consideration at </w:t>
      </w:r>
      <w:r w:rsidR="00630DD4">
        <w:t xml:space="preserve">the </w:t>
      </w:r>
      <w:r w:rsidRPr="00FE714A">
        <w:t>time of negotiation of any future RSA (paragraph 6.1, Review of cost-effectiveness of AD drugs PSD, November 2023 PBAC meeting). The PBAC also recalled its advice regarding the cost-effectiveness and subsidisation caps for DUPI and UPA “that any renegotiation of the Deed arrangements increasing the cap would also need to consider a substantially lower price to be consistent with the basis of the Committee’s original recommendation” (paragraph 6.18</w:t>
      </w:r>
      <w:r w:rsidR="00E113B7">
        <w:t>,</w:t>
      </w:r>
      <w:r w:rsidRPr="00FE714A">
        <w:t xml:space="preserve"> Review of cost-effectiveness of AD drugs PSD, November 2023 PBAC meeting). Overall, the PBAC considered dupilumab would likely be cost-effective with a price reduction in the order of 50% (paragraph 6.14</w:t>
      </w:r>
      <w:r w:rsidR="00E113B7">
        <w:t>,</w:t>
      </w:r>
      <w:r w:rsidRPr="00FE714A">
        <w:t xml:space="preserve"> Review of cost-effectiveness of AD drugs PSD, November 2023 PBAC meeting). The PBAC considered that this advice was also relevant to the LEB price </w:t>
      </w:r>
      <w:r w:rsidR="00E423BF" w:rsidRPr="00FE714A">
        <w:t xml:space="preserve">that would be </w:t>
      </w:r>
      <w:r w:rsidRPr="00FE714A">
        <w:t xml:space="preserve">considered cost-effective in the context of </w:t>
      </w:r>
      <w:r w:rsidR="00E423BF" w:rsidRPr="00FE714A">
        <w:t>a</w:t>
      </w:r>
      <w:r w:rsidR="00A2503D" w:rsidRPr="00FE714A">
        <w:t>ny</w:t>
      </w:r>
      <w:r w:rsidR="00E423BF" w:rsidRPr="00FE714A">
        <w:t xml:space="preserve"> substantial </w:t>
      </w:r>
      <w:r w:rsidRPr="00FE714A">
        <w:t>renegotiation of the Deed arrangements.</w:t>
      </w:r>
      <w:r w:rsidR="00E423BF" w:rsidRPr="00FE714A">
        <w:t xml:space="preserve"> The pre-PBAC </w:t>
      </w:r>
      <w:r w:rsidR="00A2503D" w:rsidRPr="00FE714A">
        <w:t xml:space="preserve">response </w:t>
      </w:r>
      <w:r w:rsidR="00E423BF" w:rsidRPr="00FE714A">
        <w:t>also noted the sponsor’s concern regarding the level of rebate required for expenditure over the RSA caps in this indication. The PBAC considered that renegotiation of the level of rebate required was also ultimately a matter for the Commonwealth, and could be considered at the time of negotiation of any future RSA.</w:t>
      </w:r>
    </w:p>
    <w:p w14:paraId="697E4DAC" w14:textId="54A31691" w:rsidR="00302FB2" w:rsidRPr="00FE714A" w:rsidRDefault="00302FB2" w:rsidP="00E423BF">
      <w:pPr>
        <w:widowControl w:val="0"/>
        <w:numPr>
          <w:ilvl w:val="1"/>
          <w:numId w:val="1"/>
        </w:numPr>
        <w:spacing w:after="120"/>
        <w:rPr>
          <w:rFonts w:asciiTheme="minorHAnsi" w:hAnsiTheme="minorHAnsi"/>
          <w:bCs/>
          <w:snapToGrid w:val="0"/>
        </w:rPr>
      </w:pPr>
      <w:r w:rsidRPr="00FE714A">
        <w:rPr>
          <w:rFonts w:asciiTheme="minorHAnsi" w:hAnsiTheme="minorHAnsi"/>
          <w:bCs/>
          <w:snapToGrid w:val="0"/>
        </w:rPr>
        <w:t xml:space="preserve">The PBAC recommended that </w:t>
      </w:r>
      <w:r w:rsidR="00E423BF" w:rsidRPr="00FE714A">
        <w:rPr>
          <w:rFonts w:asciiTheme="minorHAnsi" w:hAnsiTheme="minorHAnsi"/>
          <w:bCs/>
          <w:snapToGrid w:val="0"/>
        </w:rPr>
        <w:t>LEB</w:t>
      </w:r>
      <w:r w:rsidRPr="00FE714A">
        <w:rPr>
          <w:rFonts w:asciiTheme="minorHAnsi" w:hAnsiTheme="minorHAnsi"/>
          <w:bCs/>
          <w:snapToGrid w:val="0"/>
        </w:rPr>
        <w:t xml:space="preserve"> should </w:t>
      </w:r>
      <w:r w:rsidR="00E423BF" w:rsidRPr="00FE714A">
        <w:rPr>
          <w:rFonts w:asciiTheme="minorHAnsi" w:hAnsiTheme="minorHAnsi"/>
          <w:bCs/>
          <w:snapToGrid w:val="0"/>
        </w:rPr>
        <w:t xml:space="preserve">not </w:t>
      </w:r>
      <w:r w:rsidRPr="00FE714A">
        <w:rPr>
          <w:rFonts w:asciiTheme="minorHAnsi" w:hAnsiTheme="minorHAnsi"/>
          <w:bCs/>
          <w:snapToGrid w:val="0"/>
        </w:rPr>
        <w:t xml:space="preserve">be treated as interchangeable on an individual patient basis with </w:t>
      </w:r>
      <w:r w:rsidR="00E423BF" w:rsidRPr="00FE714A">
        <w:rPr>
          <w:rFonts w:asciiTheme="minorHAnsi" w:hAnsiTheme="minorHAnsi"/>
          <w:bCs/>
          <w:snapToGrid w:val="0"/>
        </w:rPr>
        <w:t>DUPI or UPA</w:t>
      </w:r>
      <w:r w:rsidRPr="00FE714A">
        <w:rPr>
          <w:rFonts w:asciiTheme="minorHAnsi" w:hAnsiTheme="minorHAnsi"/>
          <w:bCs/>
          <w:snapToGrid w:val="0"/>
        </w:rPr>
        <w:t xml:space="preserve">. </w:t>
      </w:r>
    </w:p>
    <w:p w14:paraId="55289D4A" w14:textId="65A01719" w:rsidR="00302FB2" w:rsidRPr="00FE714A" w:rsidRDefault="00302FB2" w:rsidP="00302FB2">
      <w:pPr>
        <w:widowControl w:val="0"/>
        <w:numPr>
          <w:ilvl w:val="1"/>
          <w:numId w:val="1"/>
        </w:numPr>
        <w:spacing w:after="120"/>
        <w:rPr>
          <w:rFonts w:asciiTheme="minorHAnsi" w:hAnsiTheme="minorHAnsi"/>
          <w:bCs/>
          <w:snapToGrid w:val="0"/>
        </w:rPr>
      </w:pPr>
      <w:r w:rsidRPr="00FE714A">
        <w:rPr>
          <w:rFonts w:asciiTheme="minorHAnsi" w:hAnsiTheme="minorHAnsi"/>
          <w:bCs/>
          <w:snapToGrid w:val="0"/>
        </w:rPr>
        <w:t xml:space="preserve">The PBAC advised that </w:t>
      </w:r>
      <w:r w:rsidR="00E423BF" w:rsidRPr="00FE714A">
        <w:rPr>
          <w:rFonts w:asciiTheme="minorHAnsi" w:hAnsiTheme="minorHAnsi"/>
          <w:bCs/>
          <w:snapToGrid w:val="0"/>
        </w:rPr>
        <w:t>LEB</w:t>
      </w:r>
      <w:r w:rsidRPr="00FE714A">
        <w:rPr>
          <w:rFonts w:asciiTheme="minorHAnsi" w:hAnsiTheme="minorHAnsi"/>
          <w:bCs/>
          <w:snapToGrid w:val="0"/>
        </w:rPr>
        <w:t xml:space="preserve"> is not suitable for prescribing by nurse practitioners. </w:t>
      </w:r>
    </w:p>
    <w:p w14:paraId="12270B09" w14:textId="2C98DCDF" w:rsidR="00302FB2" w:rsidRPr="00FE714A" w:rsidRDefault="00302FB2" w:rsidP="00302FB2">
      <w:pPr>
        <w:widowControl w:val="0"/>
        <w:numPr>
          <w:ilvl w:val="1"/>
          <w:numId w:val="1"/>
        </w:numPr>
        <w:spacing w:after="120"/>
        <w:rPr>
          <w:rFonts w:asciiTheme="minorHAnsi" w:hAnsiTheme="minorHAnsi"/>
          <w:bCs/>
          <w:snapToGrid w:val="0"/>
        </w:rPr>
      </w:pPr>
      <w:r w:rsidRPr="00FE714A">
        <w:rPr>
          <w:rFonts w:asciiTheme="minorHAnsi" w:hAnsiTheme="minorHAnsi"/>
          <w:bCs/>
          <w:snapToGrid w:val="0"/>
        </w:rPr>
        <w:lastRenderedPageBreak/>
        <w:t>The PBAC recommended that the Early Supply Rule should apply</w:t>
      </w:r>
      <w:r w:rsidR="00E423BF" w:rsidRPr="00FE714A">
        <w:rPr>
          <w:rFonts w:asciiTheme="minorHAnsi" w:hAnsiTheme="minorHAnsi"/>
          <w:bCs/>
          <w:snapToGrid w:val="0"/>
        </w:rPr>
        <w:t xml:space="preserve"> for continuing treatment</w:t>
      </w:r>
      <w:r w:rsidR="00A2503D" w:rsidRPr="00FE714A">
        <w:rPr>
          <w:rFonts w:asciiTheme="minorHAnsi" w:hAnsiTheme="minorHAnsi"/>
          <w:bCs/>
          <w:snapToGrid w:val="0"/>
        </w:rPr>
        <w:t xml:space="preserve"> only</w:t>
      </w:r>
      <w:r w:rsidRPr="00FE714A">
        <w:rPr>
          <w:rFonts w:asciiTheme="minorHAnsi" w:hAnsiTheme="minorHAnsi"/>
          <w:bCs/>
          <w:snapToGrid w:val="0"/>
        </w:rPr>
        <w:t xml:space="preserve">. </w:t>
      </w:r>
    </w:p>
    <w:p w14:paraId="0761F3FA" w14:textId="4A17CEBB" w:rsidR="00302FB2" w:rsidRPr="00FE714A" w:rsidRDefault="00302FB2" w:rsidP="004F6E2D">
      <w:pPr>
        <w:widowControl w:val="0"/>
        <w:numPr>
          <w:ilvl w:val="1"/>
          <w:numId w:val="1"/>
        </w:numPr>
        <w:spacing w:after="120"/>
        <w:rPr>
          <w:bCs/>
        </w:rPr>
      </w:pPr>
      <w:bookmarkStart w:id="67" w:name="_Hlk162961413"/>
      <w:r w:rsidRPr="00FE714A">
        <w:rPr>
          <w:rFonts w:asciiTheme="minorHAnsi" w:hAnsiTheme="minorHAnsi"/>
          <w:bCs/>
          <w:snapToGrid w:val="0"/>
        </w:rPr>
        <w:t>The PBAC noted th</w:t>
      </w:r>
      <w:r w:rsidR="004F6E2D" w:rsidRPr="00FE714A">
        <w:rPr>
          <w:rFonts w:asciiTheme="minorHAnsi" w:hAnsiTheme="minorHAnsi"/>
          <w:bCs/>
          <w:snapToGrid w:val="0"/>
        </w:rPr>
        <w:t>at</w:t>
      </w:r>
      <w:r w:rsidRPr="00FE714A">
        <w:rPr>
          <w:rFonts w:asciiTheme="minorHAnsi" w:hAnsiTheme="minorHAnsi"/>
          <w:bCs/>
          <w:snapToGrid w:val="0"/>
        </w:rPr>
        <w:t xml:space="preserve"> </w:t>
      </w:r>
      <w:r w:rsidR="00C540F9">
        <w:rPr>
          <w:rFonts w:asciiTheme="minorHAnsi" w:hAnsiTheme="minorHAnsi"/>
          <w:bCs/>
          <w:snapToGrid w:val="0"/>
        </w:rPr>
        <w:t>the administrative advice that includes links to EASI and PGA scores is not consistent between the listings for UPA and DUPI and considered these should be aligned for UPA, DUPI and LEB. N</w:t>
      </w:r>
      <w:r w:rsidR="004F6E2D" w:rsidRPr="00FE714A">
        <w:rPr>
          <w:rFonts w:asciiTheme="minorHAnsi" w:hAnsiTheme="minorHAnsi"/>
          <w:bCs/>
          <w:snapToGrid w:val="0"/>
        </w:rPr>
        <w:t>o</w:t>
      </w:r>
      <w:r w:rsidR="00C540F9">
        <w:rPr>
          <w:rFonts w:asciiTheme="minorHAnsi" w:hAnsiTheme="minorHAnsi"/>
          <w:bCs/>
          <w:snapToGrid w:val="0"/>
        </w:rPr>
        <w:t xml:space="preserve"> other</w:t>
      </w:r>
      <w:r w:rsidR="004F6E2D" w:rsidRPr="00FE714A">
        <w:rPr>
          <w:rFonts w:asciiTheme="minorHAnsi" w:hAnsiTheme="minorHAnsi"/>
          <w:bCs/>
          <w:snapToGrid w:val="0"/>
        </w:rPr>
        <w:t xml:space="preserve"> </w:t>
      </w:r>
      <w:r w:rsidRPr="00FE714A">
        <w:rPr>
          <w:rFonts w:asciiTheme="minorHAnsi" w:hAnsiTheme="minorHAnsi"/>
          <w:bCs/>
          <w:snapToGrid w:val="0"/>
        </w:rPr>
        <w:t>flow-on restriction changes</w:t>
      </w:r>
      <w:r w:rsidR="004F6E2D" w:rsidRPr="00FE714A">
        <w:rPr>
          <w:rFonts w:asciiTheme="minorHAnsi" w:hAnsiTheme="minorHAnsi"/>
          <w:bCs/>
          <w:snapToGrid w:val="0"/>
        </w:rPr>
        <w:t xml:space="preserve"> to DUPI or UPA were identified resulting from the listing for LEB.</w:t>
      </w:r>
    </w:p>
    <w:bookmarkEnd w:id="67"/>
    <w:p w14:paraId="0891A6FE" w14:textId="6FAFF9F4" w:rsidR="00302FB2" w:rsidRPr="00FE714A" w:rsidRDefault="00302FB2" w:rsidP="002F11D5">
      <w:pPr>
        <w:widowControl w:val="0"/>
        <w:numPr>
          <w:ilvl w:val="1"/>
          <w:numId w:val="1"/>
        </w:numPr>
        <w:spacing w:after="120"/>
        <w:rPr>
          <w:rFonts w:asciiTheme="minorHAnsi" w:hAnsiTheme="minorHAnsi"/>
          <w:bCs/>
          <w:snapToGrid w:val="0"/>
        </w:rPr>
      </w:pPr>
      <w:r w:rsidRPr="00FE714A">
        <w:rPr>
          <w:rFonts w:asciiTheme="minorHAnsi" w:hAnsiTheme="minorHAnsi"/>
          <w:bCs/>
          <w:snapToGrid w:val="0"/>
        </w:rPr>
        <w:t xml:space="preserve">The PBAC noted that its recommendation was on a cost-minimisation basis and advised that, because </w:t>
      </w:r>
      <w:r w:rsidR="002F11D5" w:rsidRPr="00FE714A">
        <w:rPr>
          <w:rFonts w:asciiTheme="minorHAnsi" w:hAnsiTheme="minorHAnsi"/>
          <w:bCs/>
          <w:snapToGrid w:val="0"/>
        </w:rPr>
        <w:t>LEB</w:t>
      </w:r>
      <w:r w:rsidRPr="00FE714A">
        <w:rPr>
          <w:rFonts w:asciiTheme="minorHAnsi" w:hAnsiTheme="minorHAnsi"/>
          <w:bCs/>
          <w:snapToGrid w:val="0"/>
        </w:rPr>
        <w:t xml:space="preserve"> is not expected to provide a substantial and clinically relevant improvement in efficacy, or reduction of toxicity, over </w:t>
      </w:r>
      <w:r w:rsidR="002F11D5" w:rsidRPr="00FE714A">
        <w:rPr>
          <w:rFonts w:asciiTheme="minorHAnsi" w:hAnsiTheme="minorHAnsi"/>
          <w:bCs/>
          <w:snapToGrid w:val="0"/>
        </w:rPr>
        <w:t>DUPI</w:t>
      </w:r>
      <w:r w:rsidRPr="00FE714A">
        <w:rPr>
          <w:rFonts w:asciiTheme="minorHAnsi" w:hAnsiTheme="minorHAnsi"/>
          <w:bCs/>
          <w:snapToGrid w:val="0"/>
        </w:rPr>
        <w:t xml:space="preserve">, or not expected to address a high and urgent unmet clinical need given the presence of an alternative therapy, the criteria prescribed by the </w:t>
      </w:r>
      <w:r w:rsidRPr="00E113B7">
        <w:rPr>
          <w:rFonts w:asciiTheme="minorHAnsi" w:hAnsiTheme="minorHAnsi"/>
          <w:bCs/>
          <w:i/>
          <w:iCs/>
          <w:snapToGrid w:val="0"/>
        </w:rPr>
        <w:t xml:space="preserve">National Health (Pharmaceuticals and Vaccines – Cost Recovery) Regulations 2022 </w:t>
      </w:r>
      <w:r w:rsidRPr="00FE714A">
        <w:rPr>
          <w:rFonts w:asciiTheme="minorHAnsi" w:hAnsiTheme="minorHAnsi"/>
          <w:bCs/>
          <w:snapToGrid w:val="0"/>
        </w:rPr>
        <w:t>for Pricing Pathway A were not met.</w:t>
      </w:r>
    </w:p>
    <w:p w14:paraId="370A7495" w14:textId="66951A3E" w:rsidR="00302FB2" w:rsidRPr="00FE714A" w:rsidRDefault="00302FB2" w:rsidP="002F11D5">
      <w:pPr>
        <w:widowControl w:val="0"/>
        <w:numPr>
          <w:ilvl w:val="1"/>
          <w:numId w:val="1"/>
        </w:numPr>
        <w:spacing w:after="120"/>
        <w:rPr>
          <w:rFonts w:asciiTheme="minorHAnsi" w:hAnsiTheme="minorHAnsi"/>
          <w:bCs/>
          <w:snapToGrid w:val="0"/>
        </w:rPr>
      </w:pPr>
      <w:r w:rsidRPr="00FE714A">
        <w:rPr>
          <w:rFonts w:asciiTheme="minorHAnsi" w:hAnsiTheme="minorHAnsi"/>
          <w:bCs/>
          <w:snapToGrid w:val="0"/>
        </w:rPr>
        <w:t>The PBAC noted that this submission is not eligible for an Independent Review</w:t>
      </w:r>
      <w:r w:rsidR="002F11D5" w:rsidRPr="00FE714A">
        <w:rPr>
          <w:rFonts w:asciiTheme="minorHAnsi" w:hAnsiTheme="minorHAnsi"/>
          <w:bCs/>
          <w:snapToGrid w:val="0"/>
        </w:rPr>
        <w:t xml:space="preserve"> as it is a positive recommendation</w:t>
      </w:r>
      <w:r w:rsidRPr="00FE714A">
        <w:rPr>
          <w:rFonts w:asciiTheme="minorHAnsi" w:hAnsiTheme="minorHAnsi"/>
          <w:bCs/>
          <w:snapToGrid w:val="0"/>
        </w:rPr>
        <w:t xml:space="preserve">. </w:t>
      </w:r>
    </w:p>
    <w:p w14:paraId="272743CF" w14:textId="77777777" w:rsidR="00302FB2" w:rsidRPr="00FE714A" w:rsidRDefault="00302FB2" w:rsidP="00302FB2">
      <w:pPr>
        <w:spacing w:before="240"/>
        <w:rPr>
          <w:rFonts w:asciiTheme="minorHAnsi" w:hAnsiTheme="minorHAnsi"/>
          <w:b/>
          <w:bCs/>
          <w:snapToGrid w:val="0"/>
        </w:rPr>
      </w:pPr>
      <w:r w:rsidRPr="00FE714A">
        <w:rPr>
          <w:rFonts w:asciiTheme="minorHAnsi" w:hAnsiTheme="minorHAnsi"/>
          <w:b/>
          <w:bCs/>
          <w:snapToGrid w:val="0"/>
        </w:rPr>
        <w:t>Outcome:</w:t>
      </w:r>
    </w:p>
    <w:p w14:paraId="7B8222E6" w14:textId="3B82360F" w:rsidR="00A2503D" w:rsidRPr="00601CE9" w:rsidRDefault="00302FB2" w:rsidP="00601CE9">
      <w:pPr>
        <w:rPr>
          <w:rFonts w:asciiTheme="minorHAnsi" w:hAnsiTheme="minorHAnsi"/>
          <w:bCs/>
          <w:snapToGrid w:val="0"/>
        </w:rPr>
      </w:pPr>
      <w:r w:rsidRPr="00FE714A">
        <w:rPr>
          <w:rFonts w:asciiTheme="minorHAnsi" w:hAnsiTheme="minorHAnsi"/>
          <w:bCs/>
          <w:snapToGrid w:val="0"/>
        </w:rPr>
        <w:t>Recommended</w:t>
      </w:r>
      <w:r w:rsidR="0035091B" w:rsidRPr="00FE714A">
        <w:t xml:space="preserve"> </w:t>
      </w:r>
    </w:p>
    <w:bookmarkEnd w:id="64"/>
    <w:p w14:paraId="1EA8B297" w14:textId="77777777" w:rsidR="00302FB2" w:rsidRPr="00FE714A" w:rsidRDefault="00302FB2" w:rsidP="008F2D1E">
      <w:pPr>
        <w:pStyle w:val="2-SectionHeading"/>
        <w:numPr>
          <w:ilvl w:val="0"/>
          <w:numId w:val="1"/>
        </w:numPr>
        <w:rPr>
          <w:b w:val="0"/>
          <w:bCs/>
          <w:iCs/>
        </w:rPr>
      </w:pPr>
      <w:r w:rsidRPr="00FE714A">
        <w:rPr>
          <w:bCs/>
        </w:rPr>
        <w:t>Recommended listing</w:t>
      </w:r>
    </w:p>
    <w:p w14:paraId="31E9FBE1" w14:textId="7DEA7301" w:rsidR="00375F20" w:rsidRPr="001E7DE5" w:rsidRDefault="00302FB2" w:rsidP="001E7DE5">
      <w:pPr>
        <w:spacing w:after="120"/>
        <w:rPr>
          <w:b/>
          <w:caps/>
          <w:sz w:val="32"/>
        </w:rPr>
      </w:pPr>
      <w:r w:rsidRPr="00FE714A">
        <w:t>Add new item</w:t>
      </w:r>
      <w:r w:rsidR="00A2503D" w:rsidRPr="00FE714A">
        <w:t>:</w:t>
      </w:r>
      <w:r w:rsidRPr="00FE714A">
        <w:t xml:space="preserve"> </w:t>
      </w:r>
      <w:bookmarkEnd w:id="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2"/>
        <w:gridCol w:w="1111"/>
        <w:gridCol w:w="833"/>
        <w:gridCol w:w="972"/>
        <w:gridCol w:w="694"/>
        <w:gridCol w:w="1365"/>
      </w:tblGrid>
      <w:tr w:rsidR="00375F20" w:rsidRPr="00FE714A" w14:paraId="47E46E67" w14:textId="77777777" w:rsidTr="001E7DE5">
        <w:trPr>
          <w:cantSplit/>
          <w:trHeight w:val="471"/>
        </w:trPr>
        <w:tc>
          <w:tcPr>
            <w:tcW w:w="2241" w:type="pct"/>
          </w:tcPr>
          <w:p w14:paraId="7870C7C4" w14:textId="77777777" w:rsidR="00375F20" w:rsidRPr="00FE714A" w:rsidRDefault="00375F20" w:rsidP="0086433D">
            <w:pPr>
              <w:widowControl w:val="0"/>
              <w:ind w:left="-57"/>
              <w:rPr>
                <w:rFonts w:ascii="Arial Narrow" w:hAnsi="Arial Narrow"/>
                <w:b/>
                <w:bCs/>
                <w:sz w:val="20"/>
                <w:szCs w:val="20"/>
                <w:lang w:eastAsia="en-GB"/>
              </w:rPr>
            </w:pPr>
            <w:bookmarkStart w:id="68" w:name="_Hlk120119014"/>
            <w:bookmarkStart w:id="69" w:name="_Hlk120287728"/>
            <w:bookmarkStart w:id="70" w:name="_Hlk99100090"/>
            <w:r w:rsidRPr="00FE714A">
              <w:rPr>
                <w:rFonts w:ascii="Arial Narrow" w:hAnsi="Arial Narrow"/>
                <w:b/>
                <w:bCs/>
                <w:sz w:val="20"/>
                <w:szCs w:val="20"/>
                <w:lang w:eastAsia="en-GB"/>
              </w:rPr>
              <w:t>MEDICINAL PRODUCT</w:t>
            </w:r>
          </w:p>
          <w:p w14:paraId="19ACB306" w14:textId="77777777" w:rsidR="00375F20" w:rsidRPr="00FE714A" w:rsidRDefault="00375F20" w:rsidP="0086433D">
            <w:pPr>
              <w:widowControl w:val="0"/>
              <w:ind w:left="-57"/>
              <w:rPr>
                <w:rFonts w:ascii="Arial Narrow" w:hAnsi="Arial Narrow"/>
                <w:b/>
                <w:sz w:val="20"/>
                <w:szCs w:val="20"/>
                <w:lang w:eastAsia="en-GB"/>
              </w:rPr>
            </w:pPr>
            <w:r w:rsidRPr="00FE714A">
              <w:rPr>
                <w:rFonts w:ascii="Arial Narrow" w:hAnsi="Arial Narrow"/>
                <w:b/>
                <w:bCs/>
                <w:sz w:val="20"/>
                <w:szCs w:val="20"/>
                <w:lang w:eastAsia="en-GB"/>
              </w:rPr>
              <w:t>medicinal product pack</w:t>
            </w:r>
          </w:p>
        </w:tc>
        <w:tc>
          <w:tcPr>
            <w:tcW w:w="616" w:type="pct"/>
          </w:tcPr>
          <w:p w14:paraId="115CBABC"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PBS item code</w:t>
            </w:r>
          </w:p>
        </w:tc>
        <w:tc>
          <w:tcPr>
            <w:tcW w:w="462" w:type="pct"/>
          </w:tcPr>
          <w:p w14:paraId="2D7471B3"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Max. qty packs</w:t>
            </w:r>
          </w:p>
        </w:tc>
        <w:tc>
          <w:tcPr>
            <w:tcW w:w="539" w:type="pct"/>
          </w:tcPr>
          <w:p w14:paraId="673AAABB"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Max. qty units</w:t>
            </w:r>
          </w:p>
        </w:tc>
        <w:tc>
          <w:tcPr>
            <w:tcW w:w="385" w:type="pct"/>
          </w:tcPr>
          <w:p w14:paraId="50B4A572"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№.of</w:t>
            </w:r>
          </w:p>
          <w:p w14:paraId="3D3BD444" w14:textId="77777777" w:rsidR="00375F20" w:rsidRPr="00FE714A" w:rsidRDefault="00375F20" w:rsidP="0086433D">
            <w:pPr>
              <w:widowControl w:val="0"/>
              <w:ind w:left="-108"/>
              <w:jc w:val="center"/>
              <w:rPr>
                <w:rFonts w:ascii="Arial Narrow" w:hAnsi="Arial Narrow"/>
                <w:b/>
                <w:sz w:val="20"/>
                <w:szCs w:val="20"/>
                <w:lang w:eastAsia="en-GB"/>
              </w:rPr>
            </w:pPr>
            <w:proofErr w:type="spellStart"/>
            <w:r w:rsidRPr="00FE714A">
              <w:rPr>
                <w:rFonts w:ascii="Arial Narrow" w:hAnsi="Arial Narrow"/>
                <w:b/>
                <w:sz w:val="20"/>
                <w:szCs w:val="20"/>
                <w:lang w:eastAsia="en-GB"/>
              </w:rPr>
              <w:t>Rpts</w:t>
            </w:r>
            <w:proofErr w:type="spellEnd"/>
          </w:p>
        </w:tc>
        <w:tc>
          <w:tcPr>
            <w:tcW w:w="757" w:type="pct"/>
          </w:tcPr>
          <w:p w14:paraId="3B4B03FA" w14:textId="77777777" w:rsidR="00375F20" w:rsidRPr="00FE714A" w:rsidRDefault="00375F20" w:rsidP="001E7DE5">
            <w:pPr>
              <w:widowControl w:val="0"/>
              <w:jc w:val="left"/>
              <w:rPr>
                <w:rFonts w:ascii="Arial Narrow" w:hAnsi="Arial Narrow"/>
                <w:b/>
                <w:sz w:val="20"/>
                <w:szCs w:val="20"/>
                <w:lang w:eastAsia="en-GB"/>
              </w:rPr>
            </w:pPr>
            <w:r w:rsidRPr="00FE714A">
              <w:rPr>
                <w:rFonts w:ascii="Arial Narrow" w:hAnsi="Arial Narrow"/>
                <w:b/>
                <w:sz w:val="20"/>
                <w:szCs w:val="20"/>
                <w:lang w:eastAsia="en-GB"/>
              </w:rPr>
              <w:t>Available brands and manufacturer</w:t>
            </w:r>
          </w:p>
        </w:tc>
      </w:tr>
      <w:tr w:rsidR="00375F20" w:rsidRPr="00FE714A" w14:paraId="5189EFB9" w14:textId="77777777" w:rsidTr="001E7DE5">
        <w:trPr>
          <w:cantSplit/>
          <w:trHeight w:val="224"/>
        </w:trPr>
        <w:tc>
          <w:tcPr>
            <w:tcW w:w="5000" w:type="pct"/>
            <w:gridSpan w:val="6"/>
          </w:tcPr>
          <w:p w14:paraId="216C446E" w14:textId="77777777" w:rsidR="00375F20" w:rsidRPr="00FE714A" w:rsidRDefault="00375F20" w:rsidP="0086433D">
            <w:pPr>
              <w:widowControl w:val="0"/>
              <w:ind w:left="-57"/>
              <w:rPr>
                <w:rFonts w:ascii="Arial Narrow" w:hAnsi="Arial Narrow"/>
                <w:sz w:val="20"/>
                <w:szCs w:val="20"/>
                <w:lang w:eastAsia="en-GB"/>
              </w:rPr>
            </w:pPr>
            <w:r w:rsidRPr="00FE714A">
              <w:rPr>
                <w:rFonts w:ascii="Arial Narrow" w:hAnsi="Arial Narrow"/>
                <w:sz w:val="20"/>
                <w:szCs w:val="20"/>
                <w:lang w:eastAsia="en-GB"/>
              </w:rPr>
              <w:t>LEBRIKIZUMAB</w:t>
            </w:r>
          </w:p>
        </w:tc>
      </w:tr>
      <w:tr w:rsidR="00375F20" w:rsidRPr="00FE714A" w14:paraId="26BF9792" w14:textId="77777777" w:rsidTr="001E7DE5">
        <w:trPr>
          <w:cantSplit/>
          <w:trHeight w:val="279"/>
        </w:trPr>
        <w:tc>
          <w:tcPr>
            <w:tcW w:w="2241" w:type="pct"/>
          </w:tcPr>
          <w:p w14:paraId="33BE7C27" w14:textId="77777777" w:rsidR="00375F20" w:rsidRPr="00FE714A" w:rsidRDefault="00375F20" w:rsidP="0086433D">
            <w:pPr>
              <w:widowControl w:val="0"/>
              <w:ind w:left="-57"/>
              <w:rPr>
                <w:rFonts w:ascii="Arial Narrow" w:hAnsi="Arial Narrow"/>
                <w:sz w:val="20"/>
                <w:szCs w:val="20"/>
                <w:lang w:eastAsia="en-GB"/>
              </w:rPr>
            </w:pPr>
            <w:r w:rsidRPr="00FE714A">
              <w:rPr>
                <w:rFonts w:ascii="Arial Narrow" w:hAnsi="Arial Narrow"/>
                <w:sz w:val="20"/>
                <w:szCs w:val="20"/>
                <w:lang w:eastAsia="en-GB"/>
              </w:rPr>
              <w:t>lebrikizumab 250 mg/2 mL injection, 2 mL pen device</w:t>
            </w:r>
          </w:p>
        </w:tc>
        <w:tc>
          <w:tcPr>
            <w:tcW w:w="616" w:type="pct"/>
          </w:tcPr>
          <w:p w14:paraId="2DADA5E2" w14:textId="77777777"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 xml:space="preserve">New </w:t>
            </w:r>
          </w:p>
          <w:p w14:paraId="79C18E0A" w14:textId="77777777" w:rsidR="00375F20" w:rsidRPr="00FE714A" w:rsidRDefault="00375F20" w:rsidP="0086433D">
            <w:pPr>
              <w:widowControl w:val="0"/>
              <w:jc w:val="center"/>
              <w:rPr>
                <w:rFonts w:ascii="Arial Narrow" w:hAnsi="Arial Narrow"/>
                <w:sz w:val="20"/>
                <w:szCs w:val="20"/>
                <w:vertAlign w:val="subscript"/>
                <w:lang w:eastAsia="en-GB"/>
              </w:rPr>
            </w:pPr>
            <w:r w:rsidRPr="00FE714A">
              <w:rPr>
                <w:rFonts w:ascii="Arial Narrow" w:hAnsi="Arial Narrow"/>
                <w:sz w:val="20"/>
                <w:szCs w:val="20"/>
                <w:vertAlign w:val="subscript"/>
                <w:lang w:eastAsia="en-GB"/>
              </w:rPr>
              <w:t>MP</w:t>
            </w:r>
          </w:p>
        </w:tc>
        <w:tc>
          <w:tcPr>
            <w:tcW w:w="462" w:type="pct"/>
          </w:tcPr>
          <w:p w14:paraId="117305A7" w14:textId="6A594C51"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4</w:t>
            </w:r>
          </w:p>
        </w:tc>
        <w:tc>
          <w:tcPr>
            <w:tcW w:w="539" w:type="pct"/>
          </w:tcPr>
          <w:p w14:paraId="04ACA06D" w14:textId="081791A3"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4</w:t>
            </w:r>
          </w:p>
        </w:tc>
        <w:tc>
          <w:tcPr>
            <w:tcW w:w="385" w:type="pct"/>
          </w:tcPr>
          <w:p w14:paraId="6D933762" w14:textId="2695EFAE"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2</w:t>
            </w:r>
          </w:p>
        </w:tc>
        <w:tc>
          <w:tcPr>
            <w:tcW w:w="757" w:type="pct"/>
          </w:tcPr>
          <w:p w14:paraId="43C096DF" w14:textId="77777777" w:rsidR="00375F20" w:rsidRPr="00FE714A" w:rsidRDefault="00375F20" w:rsidP="001E7DE5">
            <w:pPr>
              <w:widowControl w:val="0"/>
              <w:jc w:val="left"/>
              <w:rPr>
                <w:rFonts w:ascii="Arial Narrow" w:hAnsi="Arial Narrow"/>
                <w:sz w:val="20"/>
                <w:szCs w:val="20"/>
                <w:lang w:eastAsia="en-GB"/>
              </w:rPr>
            </w:pPr>
            <w:proofErr w:type="spellStart"/>
            <w:r w:rsidRPr="00FE714A">
              <w:rPr>
                <w:rFonts w:ascii="Arial Narrow" w:hAnsi="Arial Narrow"/>
                <w:sz w:val="20"/>
                <w:szCs w:val="20"/>
                <w:lang w:eastAsia="en-GB"/>
              </w:rPr>
              <w:t>Ebglyss</w:t>
            </w:r>
            <w:proofErr w:type="spellEnd"/>
          </w:p>
          <w:p w14:paraId="4E68D4FC" w14:textId="77777777" w:rsidR="00375F20" w:rsidRPr="00FE714A" w:rsidRDefault="00375F20" w:rsidP="001E7DE5">
            <w:pPr>
              <w:widowControl w:val="0"/>
              <w:jc w:val="left"/>
              <w:rPr>
                <w:rFonts w:ascii="Arial Narrow" w:hAnsi="Arial Narrow"/>
                <w:sz w:val="20"/>
                <w:szCs w:val="20"/>
                <w:lang w:eastAsia="en-GB"/>
              </w:rPr>
            </w:pPr>
            <w:r w:rsidRPr="00FE714A">
              <w:rPr>
                <w:rFonts w:ascii="Arial Narrow" w:hAnsi="Arial Narrow"/>
                <w:sz w:val="20"/>
                <w:szCs w:val="20"/>
                <w:lang w:eastAsia="en-GB"/>
              </w:rPr>
              <w:t>Eli Lilly Australia Pty Ltd</w:t>
            </w:r>
          </w:p>
        </w:tc>
      </w:tr>
      <w:bookmarkEnd w:id="68"/>
      <w:tr w:rsidR="00375F20" w:rsidRPr="00FE714A" w14:paraId="26452AEE"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1F269595" w14:textId="77777777" w:rsidR="00375F20" w:rsidRPr="00FE714A" w:rsidRDefault="00375F20" w:rsidP="0086433D">
            <w:pPr>
              <w:widowControl w:val="0"/>
              <w:rPr>
                <w:rFonts w:ascii="Arial Narrow" w:hAnsi="Arial Narrow"/>
                <w:sz w:val="20"/>
                <w:szCs w:val="20"/>
                <w:lang w:eastAsia="en-GB"/>
              </w:rPr>
            </w:pPr>
          </w:p>
        </w:tc>
      </w:tr>
      <w:bookmarkEnd w:id="69"/>
      <w:tr w:rsidR="009E02B0" w:rsidRPr="00FE714A" w14:paraId="4DF07A9A"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687AE6AD" w14:textId="77777777" w:rsidR="009E02B0" w:rsidRPr="00FE714A" w:rsidRDefault="009E02B0"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sz w:val="20"/>
                <w:szCs w:val="20"/>
                <w:lang w:eastAsia="en-GB"/>
              </w:rPr>
              <w:t xml:space="preserve">Category / Program:   </w:t>
            </w:r>
            <w:r w:rsidRPr="00FE714A">
              <w:rPr>
                <w:rFonts w:ascii="Arial Narrow" w:hAnsi="Arial Narrow"/>
                <w:sz w:val="20"/>
                <w:szCs w:val="20"/>
                <w:lang w:eastAsia="en-GB"/>
              </w:rPr>
              <w:t>GENERAL – General Schedule (Code GE)</w:t>
            </w:r>
          </w:p>
        </w:tc>
      </w:tr>
      <w:tr w:rsidR="009E02B0" w:rsidRPr="00FE714A" w14:paraId="2FEEE9A4"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0C8A47BE" w14:textId="77777777" w:rsidR="009E02B0" w:rsidRPr="00FE714A" w:rsidRDefault="009E02B0" w:rsidP="0086433D">
            <w:pPr>
              <w:rPr>
                <w:rFonts w:ascii="Arial Narrow" w:hAnsi="Arial Narrow"/>
                <w:b/>
                <w:sz w:val="20"/>
                <w:szCs w:val="20"/>
              </w:rPr>
            </w:pPr>
            <w:r w:rsidRPr="00FE714A">
              <w:rPr>
                <w:rFonts w:ascii="Arial Narrow" w:hAnsi="Arial Narrow"/>
                <w:b/>
                <w:sz w:val="20"/>
                <w:szCs w:val="20"/>
              </w:rPr>
              <w:t xml:space="preserve">Restriction Type – assessment time by Services Australia – Method of obtaining authority approval (if Authority Required): </w:t>
            </w:r>
            <w:r w:rsidRPr="00FE714A">
              <w:rPr>
                <w:rFonts w:ascii="Arial Narrow" w:eastAsia="Calibri" w:hAnsi="Arial Narrow"/>
                <w:color w:val="2B579A"/>
                <w:sz w:val="20"/>
                <w:szCs w:val="20"/>
                <w:shd w:val="clear" w:color="auto" w:fill="E6E6E6"/>
              </w:rPr>
              <w:fldChar w:fldCharType="begin" w:fldLock="1">
                <w:ffData>
                  <w:name w:val="Check3"/>
                  <w:enabled/>
                  <w:calcOnExit w:val="0"/>
                  <w:checkBox>
                    <w:sizeAuto/>
                    <w:default w:val="1"/>
                  </w:checkBox>
                </w:ffData>
              </w:fldChar>
            </w:r>
            <w:r w:rsidRPr="00FE714A">
              <w:rPr>
                <w:rFonts w:ascii="Arial Narrow" w:eastAsia="Calibri" w:hAnsi="Arial Narrow"/>
                <w:sz w:val="20"/>
                <w:szCs w:val="20"/>
              </w:rPr>
              <w:instrText xml:space="preserve"> FORMCHECKBOX </w:instrText>
            </w:r>
            <w:r w:rsidR="008B26E3">
              <w:rPr>
                <w:rFonts w:ascii="Arial Narrow" w:eastAsia="Calibri" w:hAnsi="Arial Narrow"/>
                <w:color w:val="2B579A"/>
                <w:sz w:val="20"/>
                <w:szCs w:val="20"/>
                <w:shd w:val="clear" w:color="auto" w:fill="E6E6E6"/>
              </w:rPr>
            </w:r>
            <w:r w:rsidR="008B26E3">
              <w:rPr>
                <w:rFonts w:ascii="Arial Narrow" w:eastAsia="Calibri" w:hAnsi="Arial Narrow"/>
                <w:color w:val="2B579A"/>
                <w:sz w:val="20"/>
                <w:szCs w:val="20"/>
                <w:shd w:val="clear" w:color="auto" w:fill="E6E6E6"/>
              </w:rPr>
              <w:fldChar w:fldCharType="separate"/>
            </w:r>
            <w:r w:rsidRPr="00FE714A">
              <w:rPr>
                <w:rFonts w:ascii="Arial Narrow" w:eastAsia="Calibri" w:hAnsi="Arial Narrow"/>
                <w:color w:val="2B579A"/>
                <w:sz w:val="20"/>
                <w:szCs w:val="20"/>
                <w:shd w:val="clear" w:color="auto" w:fill="E6E6E6"/>
              </w:rPr>
              <w:fldChar w:fldCharType="end"/>
            </w:r>
            <w:r w:rsidRPr="00FE714A">
              <w:rPr>
                <w:rFonts w:ascii="Arial Narrow" w:eastAsia="Calibri" w:hAnsi="Arial Narrow"/>
                <w:sz w:val="20"/>
                <w:szCs w:val="20"/>
              </w:rPr>
              <w:t>Authority Required – immediate/real time assessment by Services Australia (telephone/online application avenues)</w:t>
            </w:r>
          </w:p>
        </w:tc>
      </w:tr>
      <w:tr w:rsidR="009E02B0" w:rsidRPr="00FE714A" w14:paraId="138E1B97"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5CCBDA9A" w14:textId="77777777" w:rsidR="009E02B0" w:rsidRPr="00FE714A" w:rsidRDefault="009E02B0"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sz w:val="20"/>
                <w:szCs w:val="20"/>
              </w:rPr>
              <w:t>Prescriber type:</w:t>
            </w:r>
            <w:r w:rsidRPr="00FE714A">
              <w:rPr>
                <w:rFonts w:ascii="Arial Narrow" w:hAnsi="Arial Narrow"/>
                <w:sz w:val="20"/>
                <w:szCs w:val="20"/>
              </w:rPr>
              <w:t xml:space="preserve">  </w:t>
            </w:r>
            <w:r w:rsidRPr="00FE714A">
              <w:rPr>
                <w:rFonts w:ascii="Arial Narrow" w:hAnsi="Arial Narrow"/>
                <w:color w:val="2B579A"/>
                <w:sz w:val="20"/>
                <w:szCs w:val="20"/>
                <w:shd w:val="clear" w:color="auto" w:fill="E6E6E6"/>
              </w:rPr>
              <w:fldChar w:fldCharType="begin" w:fldLock="1">
                <w:ffData>
                  <w:name w:val=""/>
                  <w:enabled/>
                  <w:calcOnExit w:val="0"/>
                  <w:checkBox>
                    <w:sizeAuto/>
                    <w:default w:val="1"/>
                  </w:checkBox>
                </w:ffData>
              </w:fldChar>
            </w:r>
            <w:r w:rsidRPr="00FE714A">
              <w:rPr>
                <w:rFonts w:ascii="Arial Narrow" w:hAnsi="Arial Narrow"/>
                <w:sz w:val="20"/>
                <w:szCs w:val="20"/>
              </w:rPr>
              <w:instrText xml:space="preserve"> FORMCHECKBOX </w:instrText>
            </w:r>
            <w:r w:rsidR="008B26E3">
              <w:rPr>
                <w:rFonts w:ascii="Arial Narrow" w:hAnsi="Arial Narrow"/>
                <w:color w:val="2B579A"/>
                <w:sz w:val="20"/>
                <w:szCs w:val="20"/>
                <w:shd w:val="clear" w:color="auto" w:fill="E6E6E6"/>
              </w:rPr>
            </w:r>
            <w:r w:rsidR="008B26E3">
              <w:rPr>
                <w:rFonts w:ascii="Arial Narrow" w:hAnsi="Arial Narrow"/>
                <w:color w:val="2B579A"/>
                <w:sz w:val="20"/>
                <w:szCs w:val="20"/>
                <w:shd w:val="clear" w:color="auto" w:fill="E6E6E6"/>
              </w:rPr>
              <w:fldChar w:fldCharType="separate"/>
            </w:r>
            <w:r w:rsidRPr="00FE714A">
              <w:rPr>
                <w:rFonts w:ascii="Arial Narrow" w:hAnsi="Arial Narrow"/>
                <w:color w:val="2B579A"/>
                <w:sz w:val="20"/>
                <w:szCs w:val="20"/>
                <w:shd w:val="clear" w:color="auto" w:fill="E6E6E6"/>
              </w:rPr>
              <w:fldChar w:fldCharType="end"/>
            </w:r>
            <w:r w:rsidRPr="00FE714A">
              <w:rPr>
                <w:rFonts w:ascii="Arial Narrow" w:hAnsi="Arial Narrow"/>
                <w:sz w:val="20"/>
                <w:szCs w:val="20"/>
              </w:rPr>
              <w:t xml:space="preserve">Medical Practitioners  </w:t>
            </w:r>
          </w:p>
        </w:tc>
      </w:tr>
      <w:tr w:rsidR="009E02B0" w:rsidRPr="00FE714A" w14:paraId="453986CE"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24865B54" w14:textId="77777777" w:rsidR="009E02B0" w:rsidRPr="00FE714A" w:rsidRDefault="009E02B0" w:rsidP="0086433D">
            <w:pPr>
              <w:widowControl w:val="0"/>
              <w:textAlignment w:val="baseline"/>
              <w:rPr>
                <w:rFonts w:ascii="Arial Narrow" w:hAnsi="Arial Narrow"/>
                <w:sz w:val="20"/>
                <w:szCs w:val="20"/>
              </w:rPr>
            </w:pPr>
            <w:r w:rsidRPr="00FE714A">
              <w:rPr>
                <w:rFonts w:ascii="Arial Narrow" w:hAnsi="Arial Narrow"/>
                <w:b/>
                <w:bCs/>
                <w:sz w:val="20"/>
                <w:szCs w:val="20"/>
                <w:bdr w:val="none" w:sz="0" w:space="0" w:color="auto" w:frame="1"/>
              </w:rPr>
              <w:t>Administrative Advice:</w:t>
            </w:r>
          </w:p>
          <w:p w14:paraId="516A6A39" w14:textId="77777777" w:rsidR="009E02B0" w:rsidRPr="00FE714A" w:rsidRDefault="009E02B0" w:rsidP="0086433D">
            <w:pPr>
              <w:widowControl w:val="0"/>
              <w:rPr>
                <w:rFonts w:ascii="Arial Narrow" w:hAnsi="Arial Narrow"/>
                <w:sz w:val="20"/>
                <w:szCs w:val="20"/>
              </w:rPr>
            </w:pPr>
            <w:r w:rsidRPr="00FE714A">
              <w:rPr>
                <w:rFonts w:ascii="Arial Narrow" w:hAnsi="Arial Narrow"/>
                <w:sz w:val="20"/>
                <w:szCs w:val="20"/>
              </w:rPr>
              <w:t xml:space="preserve">The </w:t>
            </w:r>
            <w:bookmarkStart w:id="71" w:name="_Hlk153960836"/>
            <w:r w:rsidRPr="00FE714A">
              <w:rPr>
                <w:rFonts w:ascii="Arial Narrow" w:hAnsi="Arial Narrow"/>
                <w:sz w:val="20"/>
                <w:szCs w:val="20"/>
              </w:rPr>
              <w:t>Eczema Area and Severity Index (EASI)</w:t>
            </w:r>
            <w:bookmarkEnd w:id="71"/>
            <w:r w:rsidRPr="00FE714A">
              <w:rPr>
                <w:rFonts w:ascii="Arial Narrow" w:hAnsi="Arial Narrow"/>
                <w:sz w:val="20"/>
                <w:szCs w:val="20"/>
              </w:rPr>
              <w:t xml:space="preserve"> referenced in this restriction is that described in the following literature publications:</w:t>
            </w:r>
          </w:p>
          <w:p w14:paraId="7A79FC32" w14:textId="77777777" w:rsidR="009E02B0" w:rsidRPr="00FE714A" w:rsidRDefault="009E02B0" w:rsidP="0086433D">
            <w:pPr>
              <w:widowControl w:val="0"/>
              <w:rPr>
                <w:rFonts w:ascii="Arial Narrow" w:hAnsi="Arial Narrow"/>
                <w:sz w:val="20"/>
                <w:szCs w:val="20"/>
              </w:rPr>
            </w:pPr>
            <w:r w:rsidRPr="00FE714A">
              <w:rPr>
                <w:rFonts w:ascii="Arial Narrow" w:hAnsi="Arial Narrow"/>
                <w:sz w:val="20"/>
                <w:szCs w:val="20"/>
              </w:rPr>
              <w:t>Chalmers JR et al. Report from the third international consensus meeting to harmonise core outcome measures for atopic eczema/dermatitis clinical trials (HOME).</w:t>
            </w:r>
            <w:r w:rsidRPr="00FE714A">
              <w:rPr>
                <w:rFonts w:ascii="Arial Narrow" w:hAnsi="Arial Narrow"/>
                <w:i/>
                <w:iCs/>
                <w:sz w:val="20"/>
                <w:szCs w:val="20"/>
              </w:rPr>
              <w:t> British Journal of Dermatology</w:t>
            </w:r>
            <w:r w:rsidRPr="00FE714A">
              <w:rPr>
                <w:rFonts w:ascii="Arial Narrow" w:hAnsi="Arial Narrow"/>
                <w:sz w:val="20"/>
                <w:szCs w:val="20"/>
              </w:rPr>
              <w:t> 2014 December;171(6):1318-25.</w:t>
            </w:r>
          </w:p>
          <w:p w14:paraId="34CD1528" w14:textId="77777777" w:rsidR="009E02B0" w:rsidRPr="00FE714A" w:rsidRDefault="009E02B0" w:rsidP="0086433D">
            <w:pPr>
              <w:widowControl w:val="0"/>
              <w:rPr>
                <w:rFonts w:ascii="Arial Narrow" w:hAnsi="Arial Narrow"/>
                <w:sz w:val="20"/>
                <w:szCs w:val="20"/>
              </w:rPr>
            </w:pPr>
            <w:r w:rsidRPr="00FE714A">
              <w:rPr>
                <w:rFonts w:ascii="Arial Narrow" w:hAnsi="Arial Narrow"/>
                <w:sz w:val="20"/>
                <w:szCs w:val="20"/>
              </w:rPr>
              <w:t>Schmitt J et al. HOME initiative collaborators. The Harmonising Outcome Measures for Eczema (HOME) statement to assess clinical signs of atopic eczema in trials. </w:t>
            </w:r>
            <w:r w:rsidRPr="00FE714A">
              <w:rPr>
                <w:rFonts w:ascii="Arial Narrow" w:hAnsi="Arial Narrow"/>
                <w:i/>
                <w:iCs/>
                <w:sz w:val="20"/>
                <w:szCs w:val="20"/>
              </w:rPr>
              <w:t>The Journal of Allergy and Clinical Immunology </w:t>
            </w:r>
            <w:r w:rsidRPr="00FE714A">
              <w:rPr>
                <w:rFonts w:ascii="Arial Narrow" w:hAnsi="Arial Narrow"/>
                <w:sz w:val="20"/>
                <w:szCs w:val="20"/>
              </w:rPr>
              <w:t>2014 October;134(4):800-7</w:t>
            </w:r>
          </w:p>
          <w:p w14:paraId="3AB17746" w14:textId="77777777" w:rsidR="009E02B0" w:rsidRPr="00FE714A" w:rsidRDefault="009E02B0" w:rsidP="0086433D">
            <w:pPr>
              <w:widowControl w:val="0"/>
              <w:rPr>
                <w:rFonts w:ascii="Arial Narrow" w:hAnsi="Arial Narrow"/>
                <w:color w:val="FF00FF"/>
                <w:sz w:val="20"/>
                <w:szCs w:val="20"/>
              </w:rPr>
            </w:pPr>
            <w:r w:rsidRPr="00FE714A">
              <w:rPr>
                <w:rFonts w:ascii="Arial Narrow" w:hAnsi="Arial Narrow"/>
                <w:sz w:val="20"/>
                <w:szCs w:val="20"/>
              </w:rPr>
              <w:t xml:space="preserve"> </w:t>
            </w:r>
          </w:p>
        </w:tc>
      </w:tr>
      <w:tr w:rsidR="009E02B0" w:rsidRPr="00FE714A" w14:paraId="1FC24918"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3B2DC493" w14:textId="77777777" w:rsidR="009E02B0" w:rsidRPr="00FE714A" w:rsidRDefault="009E02B0" w:rsidP="0086433D">
            <w:pPr>
              <w:widowControl w:val="0"/>
              <w:textAlignment w:val="baseline"/>
              <w:rPr>
                <w:rFonts w:ascii="Arial Narrow" w:hAnsi="Arial Narrow"/>
                <w:sz w:val="20"/>
                <w:szCs w:val="20"/>
              </w:rPr>
            </w:pPr>
            <w:r w:rsidRPr="00FE714A">
              <w:rPr>
                <w:rFonts w:ascii="Arial Narrow" w:hAnsi="Arial Narrow"/>
                <w:b/>
                <w:bCs/>
                <w:sz w:val="20"/>
                <w:szCs w:val="20"/>
                <w:bdr w:val="none" w:sz="0" w:space="0" w:color="auto" w:frame="1"/>
              </w:rPr>
              <w:t>Administrative Advice:</w:t>
            </w:r>
          </w:p>
          <w:p w14:paraId="65DB0E59" w14:textId="77777777" w:rsidR="009E02B0" w:rsidRPr="00FE714A" w:rsidRDefault="009E02B0" w:rsidP="0086433D">
            <w:pPr>
              <w:widowControl w:val="0"/>
              <w:textAlignment w:val="baseline"/>
              <w:rPr>
                <w:rFonts w:ascii="Arial Narrow" w:hAnsi="Arial Narrow"/>
                <w:sz w:val="20"/>
                <w:szCs w:val="20"/>
              </w:rPr>
            </w:pPr>
            <w:r w:rsidRPr="00FE714A">
              <w:rPr>
                <w:rFonts w:ascii="Arial Narrow" w:hAnsi="Arial Narrow"/>
                <w:sz w:val="20"/>
                <w:szCs w:val="20"/>
              </w:rPr>
              <w:t xml:space="preserve">Instructions on the use of the Dermatology Life Quality Index and copyright details can be found here:, </w:t>
            </w:r>
            <w:hyperlink r:id="rId11" w:history="1">
              <w:r w:rsidRPr="00FE714A">
                <w:rPr>
                  <w:rStyle w:val="Hyperlink"/>
                  <w:rFonts w:ascii="Arial Narrow" w:hAnsi="Arial Narrow"/>
                  <w:sz w:val="20"/>
                  <w:szCs w:val="20"/>
                </w:rPr>
                <w:t>https://www.cardiff.ac.uk/medicine/resources/quality-of-life-questionnaires/dermatology-life-quality-index</w:t>
              </w:r>
            </w:hyperlink>
            <w:r w:rsidRPr="00FE714A">
              <w:rPr>
                <w:rFonts w:ascii="Arial Narrow" w:hAnsi="Arial Narrow"/>
                <w:sz w:val="20"/>
                <w:szCs w:val="20"/>
              </w:rPr>
              <w:t xml:space="preserve">  </w:t>
            </w:r>
          </w:p>
        </w:tc>
      </w:tr>
      <w:tr w:rsidR="009E02B0" w:rsidRPr="00FE714A" w14:paraId="79EADB03"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22AF325F" w14:textId="77777777" w:rsidR="009E02B0" w:rsidRPr="00FE714A" w:rsidRDefault="009E02B0"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bCs/>
                <w:sz w:val="20"/>
                <w:szCs w:val="20"/>
                <w:bdr w:val="none" w:sz="0" w:space="0" w:color="auto" w:frame="1"/>
              </w:rPr>
              <w:lastRenderedPageBreak/>
              <w:t>Administrative Advice:</w:t>
            </w:r>
          </w:p>
          <w:p w14:paraId="362C1C03" w14:textId="77777777" w:rsidR="009E02B0" w:rsidRPr="00FE714A" w:rsidRDefault="009E02B0" w:rsidP="0086433D">
            <w:pPr>
              <w:widowControl w:val="0"/>
              <w:textAlignment w:val="baseline"/>
              <w:rPr>
                <w:rFonts w:ascii="Arial Narrow" w:hAnsi="Arial Narrow"/>
                <w:sz w:val="20"/>
                <w:szCs w:val="20"/>
                <w:bdr w:val="none" w:sz="0" w:space="0" w:color="auto" w:frame="1"/>
              </w:rPr>
            </w:pPr>
            <w:r w:rsidRPr="00FE714A">
              <w:rPr>
                <w:rFonts w:ascii="Arial Narrow" w:hAnsi="Arial Narrow"/>
                <w:sz w:val="20"/>
                <w:szCs w:val="20"/>
                <w:bdr w:val="none" w:sz="0" w:space="0" w:color="auto" w:frame="1"/>
              </w:rPr>
              <w:t>The Physician's Global Assessment (5-point scale) referenced in this restriction is that described in the following literature publication:</w:t>
            </w:r>
          </w:p>
          <w:p w14:paraId="553B6D17" w14:textId="77777777" w:rsidR="009E02B0" w:rsidRPr="00FE714A" w:rsidRDefault="009E02B0" w:rsidP="0086433D">
            <w:pPr>
              <w:widowControl w:val="0"/>
              <w:textAlignment w:val="baseline"/>
              <w:rPr>
                <w:rFonts w:ascii="Arial Narrow" w:hAnsi="Arial Narrow"/>
                <w:sz w:val="20"/>
                <w:szCs w:val="20"/>
                <w:bdr w:val="none" w:sz="0" w:space="0" w:color="auto" w:frame="1"/>
              </w:rPr>
            </w:pPr>
            <w:proofErr w:type="spellStart"/>
            <w:r w:rsidRPr="00FE714A">
              <w:rPr>
                <w:rFonts w:ascii="Arial Narrow" w:hAnsi="Arial Narrow"/>
                <w:sz w:val="20"/>
                <w:szCs w:val="20"/>
                <w:bdr w:val="none" w:sz="0" w:space="0" w:color="auto" w:frame="1"/>
              </w:rPr>
              <w:t>Fatumura</w:t>
            </w:r>
            <w:proofErr w:type="spellEnd"/>
            <w:r w:rsidRPr="00FE714A">
              <w:rPr>
                <w:rFonts w:ascii="Arial Narrow" w:hAnsi="Arial Narrow"/>
                <w:sz w:val="20"/>
                <w:szCs w:val="20"/>
                <w:bdr w:val="none" w:sz="0" w:space="0" w:color="auto" w:frame="1"/>
              </w:rPr>
              <w:t xml:space="preserve"> M et al. A systematic review of Investigator Global Assessment (IGA) in atopic dermatitis (AD trials: Many options, no standards </w:t>
            </w:r>
            <w:r w:rsidRPr="00FE714A">
              <w:rPr>
                <w:rFonts w:ascii="Arial Narrow" w:hAnsi="Arial Narrow"/>
                <w:i/>
                <w:iCs/>
                <w:sz w:val="20"/>
                <w:szCs w:val="20"/>
                <w:bdr w:val="none" w:sz="0" w:space="0" w:color="auto" w:frame="1"/>
              </w:rPr>
              <w:t>Journal of the American Academy of Dermatology</w:t>
            </w:r>
            <w:r w:rsidRPr="00FE714A">
              <w:rPr>
                <w:rFonts w:ascii="Arial Narrow" w:hAnsi="Arial Narrow"/>
                <w:sz w:val="20"/>
                <w:szCs w:val="20"/>
                <w:bdr w:val="none" w:sz="0" w:space="0" w:color="auto" w:frame="1"/>
              </w:rPr>
              <w:t xml:space="preserve"> 2016; </w:t>
            </w:r>
            <w:r w:rsidRPr="00FE714A">
              <w:rPr>
                <w:rFonts w:ascii="Arial Narrow" w:hAnsi="Arial Narrow"/>
                <w:strike/>
                <w:sz w:val="20"/>
                <w:szCs w:val="20"/>
                <w:bdr w:val="none" w:sz="0" w:space="0" w:color="auto" w:frame="1"/>
              </w:rPr>
              <w:t>6</w:t>
            </w:r>
            <w:r w:rsidRPr="00FE714A">
              <w:rPr>
                <w:rFonts w:ascii="Arial Narrow" w:hAnsi="Arial Narrow"/>
                <w:i/>
                <w:iCs/>
                <w:sz w:val="20"/>
                <w:szCs w:val="20"/>
                <w:bdr w:val="none" w:sz="0" w:space="0" w:color="auto" w:frame="1"/>
              </w:rPr>
              <w:t>7</w:t>
            </w:r>
            <w:r w:rsidRPr="00FE714A">
              <w:rPr>
                <w:rFonts w:ascii="Arial Narrow" w:hAnsi="Arial Narrow"/>
                <w:sz w:val="20"/>
                <w:szCs w:val="20"/>
                <w:bdr w:val="none" w:sz="0" w:space="0" w:color="auto" w:frame="1"/>
              </w:rPr>
              <w:t xml:space="preserve">4(2): 288-94 </w:t>
            </w:r>
          </w:p>
          <w:p w14:paraId="63D4E890" w14:textId="77777777" w:rsidR="009E02B0" w:rsidRPr="00FE714A" w:rsidRDefault="009E02B0" w:rsidP="0086433D">
            <w:pPr>
              <w:widowControl w:val="0"/>
              <w:textAlignment w:val="baseline"/>
              <w:rPr>
                <w:rFonts w:ascii="Arial Narrow" w:hAnsi="Arial Narrow"/>
                <w:sz w:val="20"/>
                <w:szCs w:val="20"/>
                <w:bdr w:val="none" w:sz="0" w:space="0" w:color="auto" w:frame="1"/>
              </w:rPr>
            </w:pPr>
            <w:r w:rsidRPr="00FE714A">
              <w:rPr>
                <w:rFonts w:ascii="Arial Narrow" w:hAnsi="Arial Narrow"/>
                <w:sz w:val="20"/>
                <w:szCs w:val="20"/>
                <w:bdr w:val="none" w:sz="0" w:space="0" w:color="auto" w:frame="1"/>
              </w:rPr>
              <w:t>The overall appearance of dermatitis lesions is rated as 4 (severe) if the lesions are best described as featuring: deep/dark red erythema, with marked and extensive induration/papulation; excoriation and oozing/crusting are present.</w:t>
            </w:r>
          </w:p>
        </w:tc>
      </w:tr>
      <w:tr w:rsidR="009E02B0" w:rsidRPr="00FE714A" w14:paraId="7A143139"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62E625DD" w14:textId="77777777" w:rsidR="009E02B0" w:rsidRPr="00FE714A" w:rsidRDefault="009E02B0" w:rsidP="0086433D">
            <w:pPr>
              <w:widowControl w:val="0"/>
              <w:textAlignment w:val="baseline"/>
              <w:rPr>
                <w:rFonts w:ascii="Arial Narrow" w:hAnsi="Arial Narrow"/>
                <w:sz w:val="20"/>
                <w:szCs w:val="20"/>
              </w:rPr>
            </w:pPr>
            <w:r w:rsidRPr="00FE714A">
              <w:rPr>
                <w:rFonts w:ascii="Arial Narrow" w:hAnsi="Arial Narrow"/>
                <w:b/>
                <w:bCs/>
                <w:sz w:val="20"/>
                <w:szCs w:val="20"/>
                <w:bdr w:val="none" w:sz="0" w:space="0" w:color="auto" w:frame="1"/>
              </w:rPr>
              <w:t>Administrative Advice:</w:t>
            </w:r>
          </w:p>
          <w:p w14:paraId="32477304" w14:textId="77777777" w:rsidR="009E02B0" w:rsidRPr="00FE714A" w:rsidRDefault="009E02B0" w:rsidP="0086433D">
            <w:pPr>
              <w:widowControl w:val="0"/>
              <w:rPr>
                <w:rFonts w:ascii="Arial Narrow" w:hAnsi="Arial Narrow"/>
                <w:b/>
                <w:bCs/>
                <w:sz w:val="20"/>
                <w:szCs w:val="20"/>
              </w:rPr>
            </w:pPr>
            <w:r w:rsidRPr="00FE714A">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9E02B0" w:rsidRPr="00FE714A" w14:paraId="316F911E"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06DEEE7B" w14:textId="77777777" w:rsidR="009E02B0" w:rsidRPr="00FE714A" w:rsidRDefault="009E02B0" w:rsidP="0086433D">
            <w:pPr>
              <w:widowControl w:val="0"/>
              <w:rPr>
                <w:rFonts w:ascii="Arial Narrow" w:hAnsi="Arial Narrow"/>
                <w:b/>
                <w:bCs/>
                <w:sz w:val="20"/>
                <w:szCs w:val="20"/>
              </w:rPr>
            </w:pPr>
            <w:r w:rsidRPr="00FE714A">
              <w:rPr>
                <w:rFonts w:ascii="Arial Narrow" w:hAnsi="Arial Narrow"/>
                <w:b/>
                <w:bCs/>
                <w:sz w:val="20"/>
                <w:szCs w:val="20"/>
                <w:bdr w:val="none" w:sz="0" w:space="0" w:color="auto" w:frame="1"/>
              </w:rPr>
              <w:t xml:space="preserve">Administrative Advice: </w:t>
            </w:r>
            <w:r w:rsidRPr="00FE714A">
              <w:rPr>
                <w:rFonts w:ascii="Arial Narrow" w:hAnsi="Arial Narrow"/>
                <w:sz w:val="20"/>
                <w:szCs w:val="20"/>
              </w:rPr>
              <w:t>No increase in the maximum quantity or number of units may be authorised.</w:t>
            </w:r>
          </w:p>
        </w:tc>
      </w:tr>
      <w:tr w:rsidR="009E02B0" w:rsidRPr="00FE714A" w14:paraId="6538F27C"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1C00C958" w14:textId="77777777" w:rsidR="009E02B0" w:rsidRPr="00FE714A" w:rsidRDefault="009E02B0" w:rsidP="0086433D">
            <w:pPr>
              <w:widowControl w:val="0"/>
              <w:rPr>
                <w:rFonts w:ascii="Arial Narrow" w:hAnsi="Arial Narrow"/>
                <w:b/>
                <w:bCs/>
                <w:sz w:val="20"/>
                <w:szCs w:val="20"/>
              </w:rPr>
            </w:pPr>
            <w:r w:rsidRPr="00FE714A">
              <w:rPr>
                <w:rFonts w:ascii="Arial Narrow" w:hAnsi="Arial Narrow"/>
                <w:b/>
                <w:bCs/>
                <w:sz w:val="20"/>
                <w:szCs w:val="20"/>
                <w:bdr w:val="none" w:sz="0" w:space="0" w:color="auto" w:frame="1"/>
              </w:rPr>
              <w:t xml:space="preserve">Administrative Advice: </w:t>
            </w:r>
            <w:r w:rsidRPr="00FE714A">
              <w:rPr>
                <w:rFonts w:ascii="Arial Narrow" w:hAnsi="Arial Narrow"/>
                <w:sz w:val="20"/>
                <w:szCs w:val="20"/>
              </w:rPr>
              <w:t>No increase in the maximum number of repeats may be authorised.</w:t>
            </w:r>
          </w:p>
        </w:tc>
      </w:tr>
      <w:tr w:rsidR="009E02B0" w:rsidRPr="00FE714A" w14:paraId="18C0AD37"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6DCAD0FF" w14:textId="77777777" w:rsidR="009E02B0" w:rsidRPr="00FE714A" w:rsidRDefault="009E02B0" w:rsidP="0086433D">
            <w:pPr>
              <w:widowControl w:val="0"/>
              <w:rPr>
                <w:rFonts w:ascii="Arial Narrow" w:hAnsi="Arial Narrow"/>
                <w:b/>
                <w:bCs/>
                <w:sz w:val="20"/>
                <w:szCs w:val="20"/>
              </w:rPr>
            </w:pPr>
            <w:r w:rsidRPr="00FE714A">
              <w:rPr>
                <w:rFonts w:ascii="Arial Narrow" w:hAnsi="Arial Narrow"/>
                <w:b/>
                <w:bCs/>
                <w:sz w:val="20"/>
                <w:szCs w:val="20"/>
                <w:bdr w:val="none" w:sz="0" w:space="0" w:color="auto" w:frame="1"/>
              </w:rPr>
              <w:t xml:space="preserve">Administrative Advice: </w:t>
            </w:r>
            <w:r w:rsidRPr="00FE714A">
              <w:rPr>
                <w:rFonts w:ascii="Arial Narrow" w:hAnsi="Arial Narrow"/>
                <w:sz w:val="20"/>
                <w:szCs w:val="20"/>
              </w:rPr>
              <w:t>Special Pricing Arrangements apply.</w:t>
            </w:r>
          </w:p>
        </w:tc>
      </w:tr>
    </w:tbl>
    <w:tbl>
      <w:tblPr>
        <w:tblStyle w:val="HealthConsult1"/>
        <w:tblW w:w="5000" w:type="pct"/>
        <w:tblLook w:val="04A0" w:firstRow="1" w:lastRow="0" w:firstColumn="1" w:lastColumn="0" w:noHBand="0" w:noVBand="1"/>
      </w:tblPr>
      <w:tblGrid>
        <w:gridCol w:w="9017"/>
      </w:tblGrid>
      <w:tr w:rsidR="00375F20" w:rsidRPr="00FE714A" w14:paraId="5357CFF2" w14:textId="77777777" w:rsidTr="001E7DE5">
        <w:trPr>
          <w:trHeight w:val="423"/>
        </w:trPr>
        <w:tc>
          <w:tcPr>
            <w:tcW w:w="5000" w:type="pct"/>
            <w:tcBorders>
              <w:top w:val="single" w:sz="4" w:space="0" w:color="auto"/>
              <w:left w:val="single" w:sz="4" w:space="0" w:color="auto"/>
              <w:right w:val="single" w:sz="4" w:space="0" w:color="auto"/>
            </w:tcBorders>
          </w:tcPr>
          <w:bookmarkEnd w:id="70"/>
          <w:p w14:paraId="32C1E415" w14:textId="77777777" w:rsidR="00375F20" w:rsidRPr="00FE714A" w:rsidRDefault="00375F20" w:rsidP="0086433D">
            <w:pPr>
              <w:widowControl w:val="0"/>
              <w:ind w:left="-57"/>
              <w:textAlignment w:val="baseline"/>
              <w:rPr>
                <w:rFonts w:ascii="Arial Narrow" w:hAnsi="Arial Narrow"/>
                <w:b/>
                <w:sz w:val="20"/>
                <w:szCs w:val="20"/>
                <w:lang w:eastAsia="en-GB"/>
              </w:rPr>
            </w:pPr>
            <w:r w:rsidRPr="00FE714A">
              <w:rPr>
                <w:rFonts w:ascii="Arial Narrow" w:hAnsi="Arial Narrow"/>
                <w:b/>
                <w:sz w:val="20"/>
                <w:szCs w:val="20"/>
                <w:lang w:eastAsia="en-GB"/>
              </w:rPr>
              <w:t>Variant of Restriction Summary 12498 / Treatment of Concept: 12497:  Authority Required</w:t>
            </w:r>
          </w:p>
        </w:tc>
      </w:tr>
      <w:tr w:rsidR="009E02B0" w:rsidRPr="00FE714A" w14:paraId="64FF6390" w14:textId="77777777" w:rsidTr="001E7DE5">
        <w:tc>
          <w:tcPr>
            <w:tcW w:w="5000" w:type="pct"/>
            <w:hideMark/>
          </w:tcPr>
          <w:p w14:paraId="7C83BD3A"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 xml:space="preserve">Indication: </w:t>
            </w:r>
            <w:r w:rsidRPr="00FE714A">
              <w:rPr>
                <w:rFonts w:ascii="Arial Narrow" w:hAnsi="Arial Narrow"/>
                <w:sz w:val="20"/>
                <w:szCs w:val="20"/>
              </w:rPr>
              <w:t>Chronic severe atopic dermatitis</w:t>
            </w:r>
          </w:p>
        </w:tc>
      </w:tr>
      <w:tr w:rsidR="009E02B0" w:rsidRPr="00FE714A" w14:paraId="049FF201" w14:textId="77777777" w:rsidTr="001E7DE5">
        <w:tc>
          <w:tcPr>
            <w:tcW w:w="5000" w:type="pct"/>
          </w:tcPr>
          <w:p w14:paraId="4A504626" w14:textId="77777777" w:rsidR="009E02B0" w:rsidRPr="00FE714A" w:rsidRDefault="009E02B0" w:rsidP="0086433D">
            <w:pPr>
              <w:widowControl w:val="0"/>
              <w:ind w:left="-57"/>
              <w:textAlignment w:val="baseline"/>
              <w:rPr>
                <w:rFonts w:ascii="Arial Narrow" w:hAnsi="Arial Narrow"/>
                <w:b/>
                <w:bCs/>
                <w:sz w:val="20"/>
                <w:szCs w:val="20"/>
                <w:bdr w:val="none" w:sz="0" w:space="0" w:color="auto" w:frame="1"/>
              </w:rPr>
            </w:pPr>
          </w:p>
        </w:tc>
      </w:tr>
      <w:tr w:rsidR="009E02B0" w:rsidRPr="00FE714A" w14:paraId="16ED0F25" w14:textId="77777777" w:rsidTr="001E7DE5">
        <w:tc>
          <w:tcPr>
            <w:tcW w:w="5000" w:type="pct"/>
            <w:hideMark/>
          </w:tcPr>
          <w:p w14:paraId="1DCB2F94"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 xml:space="preserve">Treatment Phase: </w:t>
            </w:r>
            <w:r w:rsidRPr="00FE714A">
              <w:rPr>
                <w:rFonts w:ascii="Arial Narrow" w:hAnsi="Arial Narrow"/>
                <w:sz w:val="20"/>
                <w:szCs w:val="20"/>
                <w:bdr w:val="none" w:sz="0" w:space="0" w:color="auto" w:frame="1"/>
              </w:rPr>
              <w:t>Initial treatment of the whole body</w:t>
            </w:r>
          </w:p>
        </w:tc>
      </w:tr>
      <w:tr w:rsidR="009E02B0" w:rsidRPr="00FE714A" w14:paraId="3EBCE99B" w14:textId="77777777" w:rsidTr="001E7DE5">
        <w:tc>
          <w:tcPr>
            <w:tcW w:w="5000" w:type="pct"/>
          </w:tcPr>
          <w:p w14:paraId="5B32964D" w14:textId="77777777" w:rsidR="009E02B0" w:rsidRPr="00FE714A" w:rsidRDefault="009E02B0" w:rsidP="0086433D">
            <w:pPr>
              <w:widowControl w:val="0"/>
              <w:ind w:left="-57"/>
              <w:textAlignment w:val="baseline"/>
              <w:rPr>
                <w:rFonts w:ascii="Arial Narrow" w:hAnsi="Arial Narrow"/>
                <w:b/>
                <w:bCs/>
                <w:sz w:val="20"/>
                <w:szCs w:val="20"/>
                <w:bdr w:val="none" w:sz="0" w:space="0" w:color="auto" w:frame="1"/>
              </w:rPr>
            </w:pPr>
          </w:p>
        </w:tc>
      </w:tr>
      <w:tr w:rsidR="009E02B0" w:rsidRPr="00FE714A" w14:paraId="55B8B9D3" w14:textId="77777777" w:rsidTr="001E7DE5">
        <w:tc>
          <w:tcPr>
            <w:tcW w:w="5000" w:type="pct"/>
            <w:hideMark/>
          </w:tcPr>
          <w:p w14:paraId="61A36DD0"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E02B0" w:rsidRPr="00FE714A" w14:paraId="588875D3" w14:textId="77777777" w:rsidTr="001E7DE5">
        <w:tc>
          <w:tcPr>
            <w:tcW w:w="5000" w:type="pct"/>
            <w:hideMark/>
          </w:tcPr>
          <w:p w14:paraId="4B3F5ABA"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sz w:val="20"/>
                <w:szCs w:val="20"/>
              </w:rPr>
              <w:t>Patient must have a Physicians Global Assessment (PGA) (5-point scale) baseline score of at least 4 as evidence of severe disease despite treatment with daily topical therapy (corticosteroid of medium to high potency/calcineurin inhibitor), for at least 28 day</w:t>
            </w:r>
          </w:p>
        </w:tc>
      </w:tr>
      <w:tr w:rsidR="009E02B0" w:rsidRPr="00FE714A" w14:paraId="62BBE8D5" w14:textId="77777777" w:rsidTr="001E7DE5">
        <w:tc>
          <w:tcPr>
            <w:tcW w:w="5000" w:type="pct"/>
            <w:hideMark/>
          </w:tcPr>
          <w:p w14:paraId="20CFE61F"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E02B0" w:rsidRPr="00FE714A" w14:paraId="763C2AF7" w14:textId="77777777" w:rsidTr="001E7DE5">
        <w:tc>
          <w:tcPr>
            <w:tcW w:w="5000" w:type="pct"/>
            <w:hideMark/>
          </w:tcPr>
          <w:p w14:paraId="7C6CD534"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E02B0" w:rsidRPr="00FE714A" w14:paraId="6E1F04F8" w14:textId="77777777" w:rsidTr="001E7DE5">
        <w:tc>
          <w:tcPr>
            <w:tcW w:w="5000" w:type="pct"/>
            <w:hideMark/>
          </w:tcPr>
          <w:p w14:paraId="7F68AF6E"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sz w:val="20"/>
                <w:szCs w:val="20"/>
              </w:rPr>
              <w:t>Patient must have an Eczema Area and Severity Index (EASI) baseline score of at least 20 despite treatment with daily topical therapy (corticosteroid of medium to high potency/calcineurin inhibitor), for at least 28 days</w:t>
            </w:r>
          </w:p>
        </w:tc>
      </w:tr>
      <w:tr w:rsidR="009E02B0" w:rsidRPr="00FE714A" w14:paraId="65FE059B" w14:textId="77777777" w:rsidTr="001E7DE5">
        <w:tc>
          <w:tcPr>
            <w:tcW w:w="5000" w:type="pct"/>
            <w:hideMark/>
          </w:tcPr>
          <w:p w14:paraId="475A15AA"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E02B0" w:rsidRPr="00FE714A" w14:paraId="6E00A89D" w14:textId="77777777" w:rsidTr="001E7DE5">
        <w:tc>
          <w:tcPr>
            <w:tcW w:w="5000" w:type="pct"/>
            <w:hideMark/>
          </w:tcPr>
          <w:p w14:paraId="2B65732F"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E02B0" w:rsidRPr="00FE714A" w14:paraId="1B455DFE" w14:textId="77777777" w:rsidTr="001E7DE5">
        <w:tc>
          <w:tcPr>
            <w:tcW w:w="5000" w:type="pct"/>
            <w:hideMark/>
          </w:tcPr>
          <w:p w14:paraId="14C31690"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sz w:val="20"/>
                <w:szCs w:val="20"/>
              </w:rPr>
              <w:t>Patient must have an age appropriate Dermatology Life Quality Index (DLQI) baseline score (of any value) measured following treatment with daily topical therapy (corticosteroid of medium to high potency/calcineurin inhibitor), for at least 28 days</w:t>
            </w:r>
          </w:p>
        </w:tc>
      </w:tr>
      <w:tr w:rsidR="009E02B0" w:rsidRPr="00FE714A" w14:paraId="23D49A0B" w14:textId="77777777" w:rsidTr="001E7DE5">
        <w:tc>
          <w:tcPr>
            <w:tcW w:w="5000" w:type="pct"/>
            <w:hideMark/>
          </w:tcPr>
          <w:p w14:paraId="0A4C152A"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E02B0" w:rsidRPr="00FE714A" w14:paraId="236B6ADD" w14:textId="77777777" w:rsidTr="001E7DE5">
        <w:tc>
          <w:tcPr>
            <w:tcW w:w="5000" w:type="pct"/>
            <w:hideMark/>
          </w:tcPr>
          <w:p w14:paraId="0E1053CC"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E02B0" w:rsidRPr="00FE714A" w14:paraId="2FE25604" w14:textId="77777777" w:rsidTr="001E7DE5">
        <w:tc>
          <w:tcPr>
            <w:tcW w:w="5000" w:type="pct"/>
            <w:hideMark/>
          </w:tcPr>
          <w:p w14:paraId="7DEE0929"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sz w:val="20"/>
                <w:szCs w:val="20"/>
              </w:rPr>
              <w:t>The condition must have had lesions for at least 6 months from the time of the initial diagnosis of chronic severe atopic dermatitis affecting either of: (</w:t>
            </w:r>
            <w:proofErr w:type="spellStart"/>
            <w:r w:rsidRPr="00FE714A">
              <w:rPr>
                <w:rFonts w:ascii="Arial Narrow" w:hAnsi="Arial Narrow"/>
                <w:sz w:val="20"/>
                <w:szCs w:val="20"/>
              </w:rPr>
              <w:t>i</w:t>
            </w:r>
            <w:proofErr w:type="spellEnd"/>
            <w:r w:rsidRPr="00FE714A">
              <w:rPr>
                <w:rFonts w:ascii="Arial Narrow" w:hAnsi="Arial Narrow"/>
                <w:sz w:val="20"/>
                <w:szCs w:val="20"/>
              </w:rPr>
              <w:t>) the whole body, (ii) face/hands</w:t>
            </w:r>
          </w:p>
        </w:tc>
      </w:tr>
      <w:tr w:rsidR="009E02B0" w:rsidRPr="00FE714A" w14:paraId="36B81DF5" w14:textId="77777777" w:rsidTr="001E7DE5">
        <w:tc>
          <w:tcPr>
            <w:tcW w:w="5000" w:type="pct"/>
            <w:hideMark/>
          </w:tcPr>
          <w:p w14:paraId="3D13ABF1"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E02B0" w:rsidRPr="00FE714A" w14:paraId="2ACB7009" w14:textId="77777777" w:rsidTr="001E7DE5">
        <w:tc>
          <w:tcPr>
            <w:tcW w:w="5000" w:type="pct"/>
            <w:hideMark/>
          </w:tcPr>
          <w:p w14:paraId="5F49BC58"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E02B0" w:rsidRPr="00FE714A" w14:paraId="792218D7" w14:textId="77777777" w:rsidTr="001E7DE5">
        <w:tc>
          <w:tcPr>
            <w:tcW w:w="5000" w:type="pct"/>
            <w:hideMark/>
          </w:tcPr>
          <w:p w14:paraId="7722479C"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sz w:val="20"/>
                <w:szCs w:val="20"/>
              </w:rPr>
              <w:t>Patient must not have experienced an inadequate response to this biological medicine in this PBS indication</w:t>
            </w:r>
          </w:p>
        </w:tc>
      </w:tr>
      <w:tr w:rsidR="009E02B0" w:rsidRPr="00FE714A" w14:paraId="3850CD3C" w14:textId="77777777" w:rsidTr="001E7DE5">
        <w:tc>
          <w:tcPr>
            <w:tcW w:w="5000" w:type="pct"/>
            <w:hideMark/>
          </w:tcPr>
          <w:p w14:paraId="5E532F77"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E02B0" w:rsidRPr="00FE714A" w14:paraId="3F9FC42A" w14:textId="77777777" w:rsidTr="001E7DE5">
        <w:tc>
          <w:tcPr>
            <w:tcW w:w="5000" w:type="pct"/>
            <w:hideMark/>
          </w:tcPr>
          <w:p w14:paraId="00EDD8B8"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Treatment criteria:</w:t>
            </w:r>
          </w:p>
        </w:tc>
      </w:tr>
      <w:tr w:rsidR="009E02B0" w:rsidRPr="00FE714A" w14:paraId="198A3F3C" w14:textId="77777777" w:rsidTr="001E7DE5">
        <w:tc>
          <w:tcPr>
            <w:tcW w:w="5000" w:type="pct"/>
            <w:hideMark/>
          </w:tcPr>
          <w:p w14:paraId="6C65D431"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sz w:val="20"/>
                <w:szCs w:val="20"/>
              </w:rPr>
              <w:t>Must be treated by a dermatologist; or</w:t>
            </w:r>
          </w:p>
        </w:tc>
      </w:tr>
      <w:tr w:rsidR="009E02B0" w:rsidRPr="00FE714A" w14:paraId="4A62EBA6" w14:textId="77777777" w:rsidTr="001E7DE5">
        <w:tc>
          <w:tcPr>
            <w:tcW w:w="5000" w:type="pct"/>
            <w:hideMark/>
          </w:tcPr>
          <w:p w14:paraId="49869084"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sz w:val="20"/>
                <w:szCs w:val="20"/>
              </w:rPr>
              <w:t>Must be treated by a clinical immunologist</w:t>
            </w:r>
          </w:p>
        </w:tc>
      </w:tr>
      <w:tr w:rsidR="009E02B0" w:rsidRPr="00FE714A" w14:paraId="56E1DBF0" w14:textId="77777777" w:rsidTr="001E7DE5">
        <w:tc>
          <w:tcPr>
            <w:tcW w:w="5000" w:type="pct"/>
          </w:tcPr>
          <w:p w14:paraId="54EE593A" w14:textId="77777777" w:rsidR="009E02B0" w:rsidRPr="00FE714A" w:rsidRDefault="009E02B0" w:rsidP="0086433D">
            <w:pPr>
              <w:widowControl w:val="0"/>
              <w:ind w:left="-57"/>
              <w:rPr>
                <w:rFonts w:ascii="Arial Narrow" w:hAnsi="Arial Narrow"/>
                <w:b/>
                <w:bCs/>
                <w:sz w:val="20"/>
                <w:szCs w:val="20"/>
              </w:rPr>
            </w:pPr>
            <w:r w:rsidRPr="00FE714A">
              <w:rPr>
                <w:rFonts w:ascii="Arial Narrow" w:hAnsi="Arial Narrow"/>
                <w:b/>
                <w:bCs/>
                <w:sz w:val="20"/>
                <w:szCs w:val="20"/>
              </w:rPr>
              <w:t>And</w:t>
            </w:r>
          </w:p>
        </w:tc>
      </w:tr>
      <w:tr w:rsidR="009E02B0" w:rsidRPr="00FE714A" w14:paraId="49C30867" w14:textId="77777777" w:rsidTr="001E7DE5">
        <w:tc>
          <w:tcPr>
            <w:tcW w:w="5000" w:type="pct"/>
          </w:tcPr>
          <w:p w14:paraId="16BF739D"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Treatment criteria:</w:t>
            </w:r>
          </w:p>
        </w:tc>
      </w:tr>
      <w:tr w:rsidR="009E02B0" w:rsidRPr="00FE714A" w14:paraId="69D1A598" w14:textId="77777777" w:rsidTr="001E7DE5">
        <w:tc>
          <w:tcPr>
            <w:tcW w:w="5000" w:type="pct"/>
          </w:tcPr>
          <w:p w14:paraId="32906DD0" w14:textId="77777777" w:rsidR="009E02B0" w:rsidRPr="00FE714A" w:rsidRDefault="009E02B0" w:rsidP="0086433D">
            <w:pPr>
              <w:widowControl w:val="0"/>
              <w:ind w:left="-57"/>
              <w:rPr>
                <w:rFonts w:ascii="Arial Narrow" w:hAnsi="Arial Narrow"/>
                <w:strike/>
                <w:sz w:val="20"/>
                <w:szCs w:val="20"/>
              </w:rPr>
            </w:pPr>
            <w:r w:rsidRPr="00FE714A">
              <w:rPr>
                <w:rFonts w:ascii="Arial Narrow" w:hAnsi="Arial Narrow"/>
                <w:sz w:val="20"/>
                <w:szCs w:val="20"/>
              </w:rPr>
              <w:t>The treatment must be the sole PBS-subsidised biological medicine for this PBS indication</w:t>
            </w:r>
          </w:p>
        </w:tc>
      </w:tr>
      <w:tr w:rsidR="009E02B0" w:rsidRPr="00FE714A" w14:paraId="4A88DF14" w14:textId="77777777" w:rsidTr="001E7DE5">
        <w:tc>
          <w:tcPr>
            <w:tcW w:w="5000" w:type="pct"/>
          </w:tcPr>
          <w:p w14:paraId="399CAC40" w14:textId="77777777" w:rsidR="009E02B0" w:rsidRPr="00FE714A" w:rsidRDefault="009E02B0" w:rsidP="0086433D">
            <w:pPr>
              <w:widowControl w:val="0"/>
              <w:ind w:left="-57"/>
              <w:rPr>
                <w:rFonts w:ascii="Arial Narrow" w:hAnsi="Arial Narrow"/>
                <w:b/>
                <w:bCs/>
                <w:sz w:val="20"/>
                <w:szCs w:val="20"/>
              </w:rPr>
            </w:pPr>
            <w:r w:rsidRPr="00FE714A">
              <w:rPr>
                <w:rFonts w:ascii="Arial Narrow" w:hAnsi="Arial Narrow"/>
                <w:b/>
                <w:bCs/>
                <w:sz w:val="20"/>
                <w:szCs w:val="20"/>
              </w:rPr>
              <w:t>AND</w:t>
            </w:r>
          </w:p>
        </w:tc>
      </w:tr>
      <w:tr w:rsidR="009E02B0" w:rsidRPr="00FE714A" w14:paraId="594A3F48" w14:textId="77777777" w:rsidTr="001E7DE5">
        <w:tc>
          <w:tcPr>
            <w:tcW w:w="5000" w:type="pct"/>
          </w:tcPr>
          <w:p w14:paraId="3C1A5561"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Population criteria:</w:t>
            </w:r>
          </w:p>
        </w:tc>
      </w:tr>
      <w:tr w:rsidR="009E02B0" w:rsidRPr="00FE714A" w14:paraId="53382303" w14:textId="77777777" w:rsidTr="001E7DE5">
        <w:tc>
          <w:tcPr>
            <w:tcW w:w="5000" w:type="pct"/>
          </w:tcPr>
          <w:p w14:paraId="62B84B93" w14:textId="77777777" w:rsidR="009E02B0" w:rsidRPr="00FE714A" w:rsidRDefault="009E02B0" w:rsidP="0086433D">
            <w:pPr>
              <w:widowControl w:val="0"/>
              <w:ind w:left="-57"/>
              <w:rPr>
                <w:rFonts w:ascii="Arial Narrow" w:hAnsi="Arial Narrow"/>
                <w:sz w:val="20"/>
                <w:szCs w:val="20"/>
              </w:rPr>
            </w:pPr>
            <w:r w:rsidRPr="00FE714A">
              <w:rPr>
                <w:rFonts w:ascii="Arial Narrow" w:hAnsi="Arial Narrow"/>
                <w:sz w:val="20"/>
                <w:szCs w:val="20"/>
              </w:rPr>
              <w:t>Patient must be 12 years of age or older</w:t>
            </w:r>
          </w:p>
        </w:tc>
      </w:tr>
      <w:tr w:rsidR="009E02B0" w:rsidRPr="00FE714A" w14:paraId="4497E450" w14:textId="77777777" w:rsidTr="001E7DE5">
        <w:tc>
          <w:tcPr>
            <w:tcW w:w="5000" w:type="pct"/>
          </w:tcPr>
          <w:p w14:paraId="5122F182" w14:textId="77777777" w:rsidR="009E02B0" w:rsidRPr="00FE714A" w:rsidRDefault="009E02B0" w:rsidP="0086433D">
            <w:pPr>
              <w:widowControl w:val="0"/>
              <w:ind w:left="-57"/>
              <w:rPr>
                <w:rFonts w:ascii="Arial Narrow" w:hAnsi="Arial Narrow"/>
                <w:i/>
                <w:iCs/>
                <w:sz w:val="20"/>
                <w:szCs w:val="20"/>
              </w:rPr>
            </w:pPr>
          </w:p>
        </w:tc>
      </w:tr>
      <w:tr w:rsidR="009E02B0" w:rsidRPr="00FE714A" w14:paraId="50E64085" w14:textId="77777777" w:rsidTr="001E7DE5">
        <w:tc>
          <w:tcPr>
            <w:tcW w:w="5000" w:type="pct"/>
            <w:hideMark/>
          </w:tcPr>
          <w:p w14:paraId="3199708A"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Prescribing Instructions:</w:t>
            </w:r>
          </w:p>
          <w:p w14:paraId="667F3B7E" w14:textId="77777777" w:rsidR="009E02B0" w:rsidRPr="00FE714A" w:rsidRDefault="009E02B0" w:rsidP="0086433D">
            <w:pPr>
              <w:widowControl w:val="0"/>
              <w:ind w:left="-57"/>
              <w:textAlignment w:val="baseline"/>
              <w:rPr>
                <w:rFonts w:ascii="Arial Narrow" w:hAnsi="Arial Narrow"/>
                <w:sz w:val="20"/>
                <w:szCs w:val="20"/>
              </w:rPr>
            </w:pPr>
            <w:r w:rsidRPr="00FE714A">
              <w:rPr>
                <w:sz w:val="20"/>
                <w:szCs w:val="20"/>
                <w:lang w:eastAsia="en-GB"/>
              </w:rPr>
              <w:t xml:space="preserve"> </w:t>
            </w:r>
            <w:r w:rsidRPr="00FE714A">
              <w:rPr>
                <w:rFonts w:ascii="Arial Narrow" w:hAnsi="Arial Narrow"/>
                <w:sz w:val="20"/>
                <w:szCs w:val="20"/>
              </w:rPr>
              <w:t>State each of the qualifying (</w:t>
            </w:r>
            <w:proofErr w:type="spellStart"/>
            <w:r w:rsidRPr="00FE714A">
              <w:rPr>
                <w:rFonts w:ascii="Arial Narrow" w:hAnsi="Arial Narrow"/>
                <w:sz w:val="20"/>
                <w:szCs w:val="20"/>
              </w:rPr>
              <w:t>i</w:t>
            </w:r>
            <w:proofErr w:type="spellEnd"/>
            <w:r w:rsidRPr="00FE714A">
              <w:rPr>
                <w:rFonts w:ascii="Arial Narrow" w:hAnsi="Arial Narrow"/>
                <w:sz w:val="20"/>
                <w:szCs w:val="20"/>
              </w:rPr>
              <w:t>) PGA, (ii) EASI and (iii) DLQI scores in the authority application.</w:t>
            </w:r>
          </w:p>
          <w:p w14:paraId="3A1A370D"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sz w:val="20"/>
                <w:szCs w:val="20"/>
              </w:rPr>
              <w:lastRenderedPageBreak/>
              <w:t>Acceptable scores can be:</w:t>
            </w:r>
          </w:p>
          <w:p w14:paraId="1ABEC53E"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sz w:val="20"/>
                <w:szCs w:val="20"/>
              </w:rPr>
              <w:t>(a) current scores; or</w:t>
            </w:r>
          </w:p>
          <w:p w14:paraId="23A194FF"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sz w:val="20"/>
                <w:szCs w:val="20"/>
              </w:rPr>
              <w:t>(b) past scores, including those previously quoted in a PBS authority application for another drug listed for this indication.</w:t>
            </w:r>
          </w:p>
          <w:p w14:paraId="08DDBA54" w14:textId="77777777" w:rsidR="009E02B0" w:rsidRPr="00FE714A" w:rsidRDefault="009E02B0" w:rsidP="0086433D">
            <w:pPr>
              <w:widowControl w:val="0"/>
              <w:ind w:left="-57"/>
              <w:textAlignment w:val="baseline"/>
              <w:rPr>
                <w:rFonts w:ascii="Arial Narrow" w:hAnsi="Arial Narrow"/>
                <w:sz w:val="20"/>
                <w:szCs w:val="20"/>
              </w:rPr>
            </w:pPr>
          </w:p>
          <w:p w14:paraId="3D41EB21"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sz w:val="20"/>
                <w:szCs w:val="20"/>
              </w:rP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24E616D3" w14:textId="77777777" w:rsidR="009E02B0" w:rsidRPr="00FE714A" w:rsidRDefault="009E02B0" w:rsidP="0086433D">
            <w:pPr>
              <w:widowControl w:val="0"/>
              <w:textAlignment w:val="baseline"/>
              <w:rPr>
                <w:rFonts w:ascii="Arial Narrow" w:hAnsi="Arial Narrow"/>
                <w:sz w:val="20"/>
                <w:szCs w:val="20"/>
              </w:rPr>
            </w:pPr>
          </w:p>
          <w:p w14:paraId="2A065B38"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sz w:val="20"/>
                <w:szCs w:val="20"/>
              </w:rPr>
              <w:t>Document the details of the medium to high potency topical corticosteroids (or calcineurin inhibitors) initially trialled in the patient's medical records.</w:t>
            </w:r>
          </w:p>
        </w:tc>
      </w:tr>
      <w:tr w:rsidR="009E02B0" w:rsidRPr="00FE714A" w14:paraId="1A990DB6" w14:textId="77777777" w:rsidTr="001E7DE5">
        <w:tc>
          <w:tcPr>
            <w:tcW w:w="5000" w:type="pct"/>
          </w:tcPr>
          <w:p w14:paraId="1637F242" w14:textId="77777777" w:rsidR="009E02B0" w:rsidRPr="00FE714A" w:rsidRDefault="009E02B0"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lastRenderedPageBreak/>
              <w:t>Prescribing Instructions:</w:t>
            </w:r>
          </w:p>
          <w:p w14:paraId="7B55833F" w14:textId="77777777" w:rsidR="009E02B0" w:rsidRPr="00FE714A" w:rsidRDefault="009E02B0" w:rsidP="0086433D">
            <w:pPr>
              <w:widowControl w:val="0"/>
              <w:ind w:left="-57"/>
              <w:textAlignment w:val="baseline"/>
              <w:rPr>
                <w:rFonts w:ascii="Arial Narrow" w:hAnsi="Arial Narrow"/>
                <w:sz w:val="20"/>
                <w:szCs w:val="20"/>
                <w:bdr w:val="none" w:sz="0" w:space="0" w:color="auto" w:frame="1"/>
              </w:rPr>
            </w:pPr>
            <w:r w:rsidRPr="00FE714A">
              <w:rPr>
                <w:rFonts w:ascii="Arial Narrow" w:hAnsi="Arial Narrow" w:cs="Calibri"/>
                <w:sz w:val="20"/>
                <w:szCs w:val="20"/>
              </w:rPr>
              <w:t xml:space="preserve">At the time of assessment of response, i.e., within 16 weeks of initial treatment, if adequate response </w:t>
            </w:r>
            <w:r w:rsidRPr="00FE714A">
              <w:rPr>
                <w:rFonts w:ascii="Arial Narrow" w:hAnsi="Arial Narrow"/>
                <w:sz w:val="20"/>
                <w:szCs w:val="20"/>
              </w:rPr>
              <w:t xml:space="preserve">hasn’t been achieved, the prescriber can apply for an extended induction treatment (up to further 8 weeks of therapy) where there has been a partial response and the prescriber considers that extended induction doses could result </w:t>
            </w:r>
            <w:r w:rsidRPr="00FE714A">
              <w:rPr>
                <w:rFonts w:ascii="Arial Narrow" w:hAnsi="Arial Narrow" w:cs="Calibri"/>
                <w:sz w:val="20"/>
                <w:szCs w:val="20"/>
              </w:rPr>
              <w:t xml:space="preserve">in achieving adequate response. </w:t>
            </w:r>
          </w:p>
        </w:tc>
      </w:tr>
      <w:tr w:rsidR="00375F20" w:rsidRPr="00FE714A" w14:paraId="7DC4A778" w14:textId="77777777" w:rsidTr="001E7DE5">
        <w:trPr>
          <w:trHeight w:val="64"/>
        </w:trPr>
        <w:tc>
          <w:tcPr>
            <w:tcW w:w="5000" w:type="pct"/>
          </w:tcPr>
          <w:p w14:paraId="7CAFC279" w14:textId="77777777" w:rsidR="00375F20" w:rsidRPr="00FE714A" w:rsidRDefault="00375F20" w:rsidP="0086433D">
            <w:pPr>
              <w:widowControl w:val="0"/>
              <w:ind w:left="-57"/>
              <w:textAlignment w:val="baseline"/>
              <w:rPr>
                <w:rFonts w:ascii="Arial Narrow" w:hAnsi="Arial Narrow"/>
                <w:b/>
                <w:bCs/>
                <w:sz w:val="20"/>
                <w:szCs w:val="20"/>
                <w:bdr w:val="none" w:sz="0" w:space="0" w:color="auto" w:frame="1"/>
              </w:rPr>
            </w:pPr>
          </w:p>
        </w:tc>
      </w:tr>
      <w:tr w:rsidR="00375F20" w:rsidRPr="00FE714A" w14:paraId="17A2A360" w14:textId="77777777" w:rsidTr="001E7DE5">
        <w:tc>
          <w:tcPr>
            <w:tcW w:w="5000" w:type="pct"/>
          </w:tcPr>
          <w:p w14:paraId="7C59AF2F" w14:textId="77777777" w:rsidR="00375F20" w:rsidRPr="00FE714A" w:rsidRDefault="00375F20"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bCs/>
                <w:sz w:val="20"/>
                <w:szCs w:val="20"/>
                <w:bdr w:val="none" w:sz="0" w:space="0" w:color="auto" w:frame="1"/>
              </w:rPr>
              <w:t xml:space="preserve">Variant of Restriction Summary 12506 / </w:t>
            </w:r>
            <w:proofErr w:type="spellStart"/>
            <w:r w:rsidRPr="00FE714A">
              <w:rPr>
                <w:rFonts w:ascii="Arial Narrow" w:hAnsi="Arial Narrow"/>
                <w:b/>
                <w:bCs/>
                <w:sz w:val="20"/>
                <w:szCs w:val="20"/>
                <w:bdr w:val="none" w:sz="0" w:space="0" w:color="auto" w:frame="1"/>
              </w:rPr>
              <w:t>ToC</w:t>
            </w:r>
            <w:proofErr w:type="spellEnd"/>
            <w:r w:rsidRPr="00FE714A">
              <w:rPr>
                <w:rFonts w:ascii="Arial Narrow" w:hAnsi="Arial Narrow"/>
                <w:b/>
                <w:bCs/>
                <w:sz w:val="20"/>
                <w:szCs w:val="20"/>
                <w:bdr w:val="none" w:sz="0" w:space="0" w:color="auto" w:frame="1"/>
              </w:rPr>
              <w:t>: 12507: Authority Required</w:t>
            </w:r>
          </w:p>
        </w:tc>
      </w:tr>
      <w:tr w:rsidR="009F5637" w:rsidRPr="00FE714A" w14:paraId="6F1282AA" w14:textId="77777777" w:rsidTr="001E7DE5">
        <w:tc>
          <w:tcPr>
            <w:tcW w:w="5000" w:type="pct"/>
            <w:hideMark/>
          </w:tcPr>
          <w:p w14:paraId="380D3E0E"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 xml:space="preserve">Indication: </w:t>
            </w:r>
            <w:r w:rsidRPr="00FE714A">
              <w:rPr>
                <w:rFonts w:ascii="Arial Narrow" w:hAnsi="Arial Narrow"/>
                <w:sz w:val="20"/>
                <w:szCs w:val="20"/>
              </w:rPr>
              <w:t>Chronic severe atopic dermatitis</w:t>
            </w:r>
          </w:p>
        </w:tc>
      </w:tr>
      <w:tr w:rsidR="009F5637" w:rsidRPr="00FE714A" w14:paraId="641A7A96" w14:textId="77777777" w:rsidTr="001E7DE5">
        <w:tc>
          <w:tcPr>
            <w:tcW w:w="5000" w:type="pct"/>
          </w:tcPr>
          <w:p w14:paraId="08313DBF" w14:textId="77777777" w:rsidR="009F5637" w:rsidRPr="00FE714A" w:rsidRDefault="009F5637" w:rsidP="0086433D">
            <w:pPr>
              <w:widowControl w:val="0"/>
              <w:ind w:left="-57"/>
              <w:textAlignment w:val="baseline"/>
              <w:rPr>
                <w:rFonts w:ascii="Arial Narrow" w:hAnsi="Arial Narrow"/>
                <w:b/>
                <w:bCs/>
                <w:sz w:val="20"/>
                <w:szCs w:val="20"/>
                <w:bdr w:val="none" w:sz="0" w:space="0" w:color="auto" w:frame="1"/>
              </w:rPr>
            </w:pPr>
          </w:p>
        </w:tc>
      </w:tr>
      <w:tr w:rsidR="009F5637" w:rsidRPr="00FE714A" w14:paraId="368BFB78" w14:textId="77777777" w:rsidTr="001E7DE5">
        <w:tc>
          <w:tcPr>
            <w:tcW w:w="5000" w:type="pct"/>
            <w:hideMark/>
          </w:tcPr>
          <w:p w14:paraId="6447EE40"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 xml:space="preserve">Treatment Phase: </w:t>
            </w:r>
            <w:r w:rsidRPr="00FE714A">
              <w:rPr>
                <w:rFonts w:ascii="Arial Narrow" w:hAnsi="Arial Narrow"/>
                <w:sz w:val="20"/>
                <w:szCs w:val="20"/>
              </w:rPr>
              <w:t>Initial treatment of the face and/or hands</w:t>
            </w:r>
          </w:p>
        </w:tc>
      </w:tr>
      <w:tr w:rsidR="009F5637" w:rsidRPr="00FE714A" w14:paraId="407CEE34" w14:textId="77777777" w:rsidTr="001E7DE5">
        <w:trPr>
          <w:trHeight w:val="53"/>
        </w:trPr>
        <w:tc>
          <w:tcPr>
            <w:tcW w:w="5000" w:type="pct"/>
          </w:tcPr>
          <w:p w14:paraId="7B427B31" w14:textId="77777777" w:rsidR="009F5637" w:rsidRPr="00FE714A" w:rsidRDefault="009F5637" w:rsidP="0086433D">
            <w:pPr>
              <w:widowControl w:val="0"/>
              <w:rPr>
                <w:rFonts w:ascii="Arial Narrow" w:hAnsi="Arial Narrow"/>
                <w:b/>
                <w:bCs/>
                <w:sz w:val="20"/>
                <w:szCs w:val="20"/>
              </w:rPr>
            </w:pPr>
          </w:p>
        </w:tc>
      </w:tr>
      <w:tr w:rsidR="009F5637" w:rsidRPr="00FE714A" w14:paraId="543E7381" w14:textId="77777777" w:rsidTr="001E7DE5">
        <w:tc>
          <w:tcPr>
            <w:tcW w:w="5000" w:type="pct"/>
            <w:hideMark/>
          </w:tcPr>
          <w:p w14:paraId="6FDEDFD9"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47B07E1C" w14:textId="77777777" w:rsidTr="001E7DE5">
        <w:tc>
          <w:tcPr>
            <w:tcW w:w="5000" w:type="pct"/>
            <w:hideMark/>
          </w:tcPr>
          <w:p w14:paraId="49B88AC5"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 xml:space="preserve">The condition must have at least 2 of the following Eczema Area and Severity Index (EASI) symptom sub-scores for erythema, oedema/papulation, excoriation, </w:t>
            </w:r>
            <w:proofErr w:type="spellStart"/>
            <w:r w:rsidRPr="00FE714A">
              <w:rPr>
                <w:rFonts w:ascii="Arial Narrow" w:hAnsi="Arial Narrow"/>
                <w:sz w:val="20"/>
                <w:szCs w:val="20"/>
              </w:rPr>
              <w:t>lichenification</w:t>
            </w:r>
            <w:proofErr w:type="spellEnd"/>
            <w:r w:rsidRPr="00FE714A">
              <w:rPr>
                <w:rFonts w:ascii="Arial Narrow" w:hAnsi="Arial Narrow"/>
                <w:sz w:val="20"/>
                <w:szCs w:val="20"/>
              </w:rPr>
              <w:t xml:space="preserve"> rated as severe despite treatment with daily topical therapy (corticosteroid of medium to high potency/calcineurin inhibitor), for at least 28 days; or</w:t>
            </w:r>
          </w:p>
        </w:tc>
      </w:tr>
      <w:tr w:rsidR="009F5637" w:rsidRPr="00FE714A" w14:paraId="195339B6" w14:textId="77777777" w:rsidTr="001E7DE5">
        <w:tc>
          <w:tcPr>
            <w:tcW w:w="5000" w:type="pct"/>
            <w:hideMark/>
          </w:tcPr>
          <w:p w14:paraId="0F71BC58"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The condition must have affected at least 30% of the face/hands surface area despite treatment with daily topical therapy (corticosteroid of medium to high potency/calcineurin inhibitor), for at least 28 days</w:t>
            </w:r>
          </w:p>
        </w:tc>
      </w:tr>
      <w:tr w:rsidR="009F5637" w:rsidRPr="00FE714A" w14:paraId="08AB249C" w14:textId="77777777" w:rsidTr="001E7DE5">
        <w:tc>
          <w:tcPr>
            <w:tcW w:w="5000" w:type="pct"/>
            <w:hideMark/>
          </w:tcPr>
          <w:p w14:paraId="45E8A267"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17D41F8B" w14:textId="77777777" w:rsidTr="001E7DE5">
        <w:tc>
          <w:tcPr>
            <w:tcW w:w="5000" w:type="pct"/>
            <w:hideMark/>
          </w:tcPr>
          <w:p w14:paraId="566C67BA"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21EE9C79" w14:textId="77777777" w:rsidTr="001E7DE5">
        <w:tc>
          <w:tcPr>
            <w:tcW w:w="5000" w:type="pct"/>
            <w:hideMark/>
          </w:tcPr>
          <w:p w14:paraId="61BCC56C"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Patient must have an age appropriate Dermatology Life Quality Index (DLQI) baseline score (of any value) measured following treatment with daily topical therapy (corticosteroid of medium to high potency/calcineurin inhibitor), for at least 28 days</w:t>
            </w:r>
          </w:p>
        </w:tc>
      </w:tr>
      <w:tr w:rsidR="009F5637" w:rsidRPr="00FE714A" w14:paraId="33681C76" w14:textId="77777777" w:rsidTr="001E7DE5">
        <w:tc>
          <w:tcPr>
            <w:tcW w:w="5000" w:type="pct"/>
            <w:hideMark/>
          </w:tcPr>
          <w:p w14:paraId="3DE5C94B"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6BC6890B" w14:textId="77777777" w:rsidTr="001E7DE5">
        <w:tc>
          <w:tcPr>
            <w:tcW w:w="5000" w:type="pct"/>
            <w:hideMark/>
          </w:tcPr>
          <w:p w14:paraId="1918E99A"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4EA5672A" w14:textId="77777777" w:rsidTr="001E7DE5">
        <w:tc>
          <w:tcPr>
            <w:tcW w:w="5000" w:type="pct"/>
            <w:hideMark/>
          </w:tcPr>
          <w:p w14:paraId="00516BE9"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The condition must have had lesions for at least 6 months from the time of the initial diagnosis of chronic severe atopic dermatitis affecting either of: (</w:t>
            </w:r>
            <w:proofErr w:type="spellStart"/>
            <w:r w:rsidRPr="00FE714A">
              <w:rPr>
                <w:rFonts w:ascii="Arial Narrow" w:hAnsi="Arial Narrow"/>
                <w:sz w:val="20"/>
                <w:szCs w:val="20"/>
              </w:rPr>
              <w:t>i</w:t>
            </w:r>
            <w:proofErr w:type="spellEnd"/>
            <w:r w:rsidRPr="00FE714A">
              <w:rPr>
                <w:rFonts w:ascii="Arial Narrow" w:hAnsi="Arial Narrow"/>
                <w:sz w:val="20"/>
                <w:szCs w:val="20"/>
              </w:rPr>
              <w:t>) the whole body, (ii) face/hands</w:t>
            </w:r>
          </w:p>
        </w:tc>
      </w:tr>
      <w:tr w:rsidR="009F5637" w:rsidRPr="00FE714A" w14:paraId="798600F6" w14:textId="77777777" w:rsidTr="001E7DE5">
        <w:tc>
          <w:tcPr>
            <w:tcW w:w="5000" w:type="pct"/>
            <w:hideMark/>
          </w:tcPr>
          <w:p w14:paraId="01AD89A4"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22176209" w14:textId="77777777" w:rsidTr="001E7DE5">
        <w:tc>
          <w:tcPr>
            <w:tcW w:w="5000" w:type="pct"/>
            <w:hideMark/>
          </w:tcPr>
          <w:p w14:paraId="3AB73920" w14:textId="77777777" w:rsidR="009F5637" w:rsidRPr="00FE714A" w:rsidRDefault="009F5637" w:rsidP="0086433D">
            <w:pPr>
              <w:widowControl w:val="0"/>
              <w:ind w:left="-57"/>
              <w:textAlignment w:val="baseline"/>
              <w:rPr>
                <w:rFonts w:ascii="Arial Narrow" w:hAnsi="Arial Narrow"/>
                <w:i/>
                <w:iCs/>
                <w:sz w:val="20"/>
                <w:szCs w:val="20"/>
              </w:rPr>
            </w:pPr>
            <w:r w:rsidRPr="00FE714A">
              <w:rPr>
                <w:rFonts w:ascii="Arial Narrow" w:hAnsi="Arial Narrow"/>
                <w:b/>
                <w:bCs/>
                <w:i/>
                <w:iCs/>
                <w:sz w:val="20"/>
                <w:szCs w:val="20"/>
                <w:bdr w:val="none" w:sz="0" w:space="0" w:color="auto" w:frame="1"/>
              </w:rPr>
              <w:t>Clinical criteria:</w:t>
            </w:r>
          </w:p>
        </w:tc>
      </w:tr>
      <w:tr w:rsidR="009F5637" w:rsidRPr="00FE714A" w14:paraId="307F9C8E" w14:textId="77777777" w:rsidTr="001E7DE5">
        <w:tc>
          <w:tcPr>
            <w:tcW w:w="5000" w:type="pct"/>
            <w:hideMark/>
          </w:tcPr>
          <w:p w14:paraId="2B853644"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The treatment must be the sole PBS-subsidised biological medicine for this PBS indication</w:t>
            </w:r>
          </w:p>
        </w:tc>
      </w:tr>
      <w:tr w:rsidR="009F5637" w:rsidRPr="00FE714A" w14:paraId="6336FDDF" w14:textId="77777777" w:rsidTr="001E7DE5">
        <w:tc>
          <w:tcPr>
            <w:tcW w:w="5000" w:type="pct"/>
          </w:tcPr>
          <w:p w14:paraId="34315281" w14:textId="77777777" w:rsidR="009F5637" w:rsidRPr="00FE714A" w:rsidRDefault="009F5637" w:rsidP="0086433D">
            <w:pPr>
              <w:widowControl w:val="0"/>
              <w:ind w:left="-57"/>
              <w:rPr>
                <w:rFonts w:ascii="Arial Narrow" w:hAnsi="Arial Narrow"/>
                <w:i/>
                <w:iCs/>
                <w:sz w:val="20"/>
                <w:szCs w:val="20"/>
              </w:rPr>
            </w:pPr>
            <w:r w:rsidRPr="00FE714A">
              <w:rPr>
                <w:rFonts w:ascii="Arial Narrow" w:hAnsi="Arial Narrow"/>
                <w:b/>
                <w:bCs/>
                <w:sz w:val="20"/>
                <w:szCs w:val="20"/>
                <w:bdr w:val="none" w:sz="0" w:space="0" w:color="auto" w:frame="1"/>
              </w:rPr>
              <w:t>AND</w:t>
            </w:r>
          </w:p>
        </w:tc>
      </w:tr>
      <w:tr w:rsidR="009F5637" w:rsidRPr="00FE714A" w14:paraId="62DE19E4" w14:textId="77777777" w:rsidTr="001E7DE5">
        <w:tc>
          <w:tcPr>
            <w:tcW w:w="5000" w:type="pct"/>
            <w:hideMark/>
          </w:tcPr>
          <w:p w14:paraId="28370C42"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7551106F" w14:textId="77777777" w:rsidTr="001E7DE5">
        <w:tc>
          <w:tcPr>
            <w:tcW w:w="5000" w:type="pct"/>
            <w:hideMark/>
          </w:tcPr>
          <w:p w14:paraId="5F3E5509"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Patient must not have experienced an inadequate response to this biological medicine in this PBS indication</w:t>
            </w:r>
          </w:p>
        </w:tc>
      </w:tr>
      <w:tr w:rsidR="009F5637" w:rsidRPr="00FE714A" w14:paraId="39F40615" w14:textId="77777777" w:rsidTr="001E7DE5">
        <w:tc>
          <w:tcPr>
            <w:tcW w:w="5000" w:type="pct"/>
            <w:hideMark/>
          </w:tcPr>
          <w:p w14:paraId="3FBFBE4A"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3B48CEC8" w14:textId="77777777" w:rsidTr="001E7DE5">
        <w:tc>
          <w:tcPr>
            <w:tcW w:w="5000" w:type="pct"/>
            <w:hideMark/>
          </w:tcPr>
          <w:p w14:paraId="72F1A4B6"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Treatment criteria:</w:t>
            </w:r>
          </w:p>
        </w:tc>
      </w:tr>
      <w:tr w:rsidR="009F5637" w:rsidRPr="00FE714A" w14:paraId="251DB9DE" w14:textId="77777777" w:rsidTr="001E7DE5">
        <w:tc>
          <w:tcPr>
            <w:tcW w:w="5000" w:type="pct"/>
            <w:hideMark/>
          </w:tcPr>
          <w:p w14:paraId="520BADF7"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Must be treated by a dermatologist; or</w:t>
            </w:r>
          </w:p>
        </w:tc>
      </w:tr>
      <w:tr w:rsidR="009F5637" w:rsidRPr="00FE714A" w14:paraId="29D7A560" w14:textId="77777777" w:rsidTr="001E7DE5">
        <w:tc>
          <w:tcPr>
            <w:tcW w:w="5000" w:type="pct"/>
            <w:hideMark/>
          </w:tcPr>
          <w:p w14:paraId="6EFAE2B1"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Must be treated by a clinical immunologist</w:t>
            </w:r>
          </w:p>
        </w:tc>
      </w:tr>
      <w:tr w:rsidR="009F5637" w:rsidRPr="00FE714A" w14:paraId="1FD73677" w14:textId="77777777" w:rsidTr="001E7DE5">
        <w:tc>
          <w:tcPr>
            <w:tcW w:w="5000" w:type="pct"/>
          </w:tcPr>
          <w:p w14:paraId="287B5E23"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rPr>
              <w:t>AND</w:t>
            </w:r>
          </w:p>
        </w:tc>
      </w:tr>
      <w:tr w:rsidR="009F5637" w:rsidRPr="00FE714A" w14:paraId="71188E79" w14:textId="77777777" w:rsidTr="001E7DE5">
        <w:tc>
          <w:tcPr>
            <w:tcW w:w="5000" w:type="pct"/>
          </w:tcPr>
          <w:p w14:paraId="2B40D42D" w14:textId="77777777" w:rsidR="009F5637" w:rsidRPr="00FE714A" w:rsidRDefault="009F5637" w:rsidP="0086433D">
            <w:pPr>
              <w:widowControl w:val="0"/>
              <w:ind w:left="-57"/>
              <w:rPr>
                <w:rFonts w:ascii="Arial Narrow" w:hAnsi="Arial Narrow"/>
                <w:b/>
                <w:bCs/>
                <w:sz w:val="20"/>
                <w:szCs w:val="20"/>
              </w:rPr>
            </w:pPr>
            <w:r w:rsidRPr="00FE714A">
              <w:rPr>
                <w:rFonts w:ascii="Arial Narrow" w:hAnsi="Arial Narrow"/>
                <w:b/>
                <w:bCs/>
                <w:sz w:val="20"/>
                <w:szCs w:val="20"/>
                <w:bdr w:val="none" w:sz="0" w:space="0" w:color="auto" w:frame="1"/>
              </w:rPr>
              <w:t>Population criteria:</w:t>
            </w:r>
          </w:p>
        </w:tc>
      </w:tr>
      <w:tr w:rsidR="009F5637" w:rsidRPr="00FE714A" w14:paraId="65B3534D" w14:textId="77777777" w:rsidTr="001E7DE5">
        <w:tc>
          <w:tcPr>
            <w:tcW w:w="5000" w:type="pct"/>
          </w:tcPr>
          <w:p w14:paraId="70F0ECA4"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Patient must be 12 years of age or older</w:t>
            </w:r>
          </w:p>
        </w:tc>
      </w:tr>
      <w:tr w:rsidR="009F5637" w:rsidRPr="00FE714A" w14:paraId="026997D2" w14:textId="77777777" w:rsidTr="001E7DE5">
        <w:tc>
          <w:tcPr>
            <w:tcW w:w="5000" w:type="pct"/>
          </w:tcPr>
          <w:p w14:paraId="3EB00982" w14:textId="77777777" w:rsidR="009F5637" w:rsidRPr="00FE714A" w:rsidRDefault="009F5637" w:rsidP="0086433D">
            <w:pPr>
              <w:widowControl w:val="0"/>
              <w:ind w:left="-57"/>
              <w:rPr>
                <w:rFonts w:ascii="Arial Narrow" w:hAnsi="Arial Narrow"/>
                <w:sz w:val="20"/>
                <w:szCs w:val="20"/>
              </w:rPr>
            </w:pPr>
          </w:p>
        </w:tc>
      </w:tr>
      <w:tr w:rsidR="009F5637" w:rsidRPr="00FE714A" w14:paraId="42BE0409" w14:textId="77777777" w:rsidTr="001E7DE5">
        <w:tc>
          <w:tcPr>
            <w:tcW w:w="5000" w:type="pct"/>
            <w:hideMark/>
          </w:tcPr>
          <w:p w14:paraId="23210F34"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Prescribing Instructions:</w:t>
            </w:r>
          </w:p>
          <w:p w14:paraId="4650F3EA" w14:textId="461A1CEE"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State each of the 4 Eczema Area and Severity Index (EASI) symptom sub-score ratings (0 = none, 1 = mild, 2 = moderate, 3 = severe) for:</w:t>
            </w:r>
          </w:p>
          <w:p w14:paraId="2AAA306D"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w:t>
            </w:r>
            <w:proofErr w:type="spellStart"/>
            <w:r w:rsidRPr="00FE714A">
              <w:rPr>
                <w:rFonts w:ascii="Arial Narrow" w:hAnsi="Arial Narrow"/>
                <w:sz w:val="20"/>
                <w:szCs w:val="20"/>
              </w:rPr>
              <w:t>i</w:t>
            </w:r>
            <w:proofErr w:type="spellEnd"/>
            <w:r w:rsidRPr="00FE714A">
              <w:rPr>
                <w:rFonts w:ascii="Arial Narrow" w:hAnsi="Arial Narrow"/>
                <w:sz w:val="20"/>
                <w:szCs w:val="20"/>
              </w:rPr>
              <w:t>) erythema,</w:t>
            </w:r>
          </w:p>
          <w:p w14:paraId="5E1085F6"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(ii) oedema/papulation,</w:t>
            </w:r>
          </w:p>
          <w:p w14:paraId="3AF00955"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lastRenderedPageBreak/>
              <w:t>(iii) excoriation,</w:t>
            </w:r>
          </w:p>
          <w:p w14:paraId="25A2C8FD"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 xml:space="preserve">(iv) </w:t>
            </w:r>
            <w:proofErr w:type="spellStart"/>
            <w:r w:rsidRPr="00FE714A">
              <w:rPr>
                <w:rFonts w:ascii="Arial Narrow" w:hAnsi="Arial Narrow"/>
                <w:sz w:val="20"/>
                <w:szCs w:val="20"/>
              </w:rPr>
              <w:t>lichenification</w:t>
            </w:r>
            <w:proofErr w:type="spellEnd"/>
          </w:p>
          <w:p w14:paraId="710553D8"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Acceptable scores can be:</w:t>
            </w:r>
          </w:p>
          <w:p w14:paraId="746E7FAD"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(a) current scores; or</w:t>
            </w:r>
          </w:p>
          <w:p w14:paraId="4E24F394"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(b) past scores, including those previously quoted in a PBS authority application for another drug listed for this indication.</w:t>
            </w:r>
          </w:p>
          <w:p w14:paraId="7AA1459C"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State the percentage face/hand surface area affected by the condition (must be at least 30%) where EASI symptom sub-scores are not provided. This percentage surface area can also be stated in addition to the EASI symptom sub-scores.</w:t>
            </w:r>
          </w:p>
          <w:p w14:paraId="17F87181"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The EASI/percentage surface area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312710D8"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Document the details of the medium to high potency topical corticosteroids (or calcineurin inhibitors) initially trialled are in the patient's medical records.</w:t>
            </w:r>
          </w:p>
        </w:tc>
      </w:tr>
      <w:tr w:rsidR="009F5637" w:rsidRPr="00FE714A" w14:paraId="3260EC2A" w14:textId="77777777" w:rsidTr="001E7DE5">
        <w:tc>
          <w:tcPr>
            <w:tcW w:w="5000" w:type="pct"/>
          </w:tcPr>
          <w:p w14:paraId="396ED222"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lastRenderedPageBreak/>
              <w:t>Prescribing Instructions:</w:t>
            </w:r>
          </w:p>
          <w:p w14:paraId="6B804195" w14:textId="77777777" w:rsidR="009F5637" w:rsidRPr="00FE714A" w:rsidRDefault="009F5637" w:rsidP="0086433D">
            <w:pPr>
              <w:widowControl w:val="0"/>
              <w:ind w:left="-57"/>
              <w:textAlignment w:val="baseline"/>
              <w:rPr>
                <w:rFonts w:ascii="Arial Narrow" w:hAnsi="Arial Narrow"/>
                <w:b/>
                <w:bCs/>
                <w:sz w:val="20"/>
                <w:szCs w:val="20"/>
                <w:bdr w:val="none" w:sz="0" w:space="0" w:color="auto" w:frame="1"/>
              </w:rPr>
            </w:pPr>
            <w:r w:rsidRPr="00FE714A">
              <w:rPr>
                <w:rFonts w:ascii="Arial Narrow" w:hAnsi="Arial Narrow" w:cs="Calibri"/>
                <w:sz w:val="20"/>
                <w:szCs w:val="20"/>
              </w:rPr>
              <w:t xml:space="preserve">At the time of assessment of response, i.e., within 16 weeks of initial treatment, if adequate response </w:t>
            </w:r>
            <w:r w:rsidRPr="00FE714A">
              <w:rPr>
                <w:rFonts w:ascii="Arial Narrow" w:hAnsi="Arial Narrow"/>
                <w:sz w:val="20"/>
                <w:szCs w:val="20"/>
              </w:rPr>
              <w:t xml:space="preserve">hasn’t been achieved, the prescriber can apply for an extended induction treatment (up to further 8 weeks of therapy) where there has been a partial response and the prescriber considers that extended induction doses could result </w:t>
            </w:r>
            <w:r w:rsidRPr="00FE714A">
              <w:rPr>
                <w:rFonts w:ascii="Arial Narrow" w:hAnsi="Arial Narrow" w:cs="Calibri"/>
                <w:sz w:val="20"/>
                <w:szCs w:val="20"/>
              </w:rPr>
              <w:t>in achieving adequate response.</w:t>
            </w:r>
          </w:p>
        </w:tc>
      </w:tr>
      <w:tr w:rsidR="00375F20" w:rsidRPr="00FE714A" w14:paraId="6CA6900C" w14:textId="77777777" w:rsidTr="001E7DE5">
        <w:tc>
          <w:tcPr>
            <w:tcW w:w="5000" w:type="pct"/>
          </w:tcPr>
          <w:p w14:paraId="4B50C4A0" w14:textId="77777777" w:rsidR="00375F20" w:rsidRPr="00FE714A" w:rsidRDefault="00375F20" w:rsidP="0086433D">
            <w:pPr>
              <w:widowControl w:val="0"/>
              <w:textAlignment w:val="baseline"/>
              <w:rPr>
                <w:rFonts w:ascii="Arial Narrow" w:hAnsi="Arial Narrow"/>
                <w:b/>
                <w:bCs/>
                <w:sz w:val="20"/>
                <w:szCs w:val="20"/>
                <w:bdr w:val="none" w:sz="0" w:space="0" w:color="auto" w:frame="1"/>
              </w:rPr>
            </w:pPr>
          </w:p>
          <w:p w14:paraId="7493FEE5" w14:textId="77777777" w:rsidR="00375F20" w:rsidRPr="00FE714A" w:rsidRDefault="00375F20" w:rsidP="0086433D">
            <w:pPr>
              <w:widowControl w:val="0"/>
              <w:textAlignment w:val="baseline"/>
              <w:rPr>
                <w:rFonts w:ascii="Arial Narrow" w:hAnsi="Arial Narrow"/>
                <w:b/>
                <w:bCs/>
                <w:sz w:val="20"/>
                <w:szCs w:val="20"/>
                <w:bdr w:val="none" w:sz="0" w:space="0" w:color="auto" w:frame="1"/>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1124"/>
        <w:gridCol w:w="843"/>
        <w:gridCol w:w="983"/>
        <w:gridCol w:w="702"/>
        <w:gridCol w:w="1264"/>
      </w:tblGrid>
      <w:tr w:rsidR="00375F20" w:rsidRPr="00FE714A" w14:paraId="58B9851F" w14:textId="77777777" w:rsidTr="001E7DE5">
        <w:trPr>
          <w:cantSplit/>
          <w:trHeight w:val="471"/>
        </w:trPr>
        <w:tc>
          <w:tcPr>
            <w:tcW w:w="2276" w:type="pct"/>
          </w:tcPr>
          <w:p w14:paraId="4CF11C1D" w14:textId="77777777" w:rsidR="00375F20" w:rsidRPr="00FE714A" w:rsidRDefault="00375F20" w:rsidP="0086433D">
            <w:pPr>
              <w:widowControl w:val="0"/>
              <w:ind w:left="-57"/>
              <w:rPr>
                <w:rFonts w:ascii="Arial Narrow" w:hAnsi="Arial Narrow"/>
                <w:b/>
                <w:bCs/>
                <w:sz w:val="20"/>
                <w:szCs w:val="20"/>
                <w:lang w:eastAsia="en-GB"/>
              </w:rPr>
            </w:pPr>
            <w:r w:rsidRPr="00FE714A">
              <w:rPr>
                <w:rFonts w:ascii="Arial Narrow" w:hAnsi="Arial Narrow"/>
                <w:b/>
                <w:bCs/>
                <w:sz w:val="20"/>
                <w:szCs w:val="20"/>
                <w:lang w:eastAsia="en-GB"/>
              </w:rPr>
              <w:t>MEDICINAL PRODUCT</w:t>
            </w:r>
          </w:p>
          <w:p w14:paraId="58D052D6" w14:textId="77777777" w:rsidR="00375F20" w:rsidRPr="00FE714A" w:rsidRDefault="00375F20" w:rsidP="0086433D">
            <w:pPr>
              <w:widowControl w:val="0"/>
              <w:ind w:left="-57"/>
              <w:rPr>
                <w:rFonts w:ascii="Arial Narrow" w:hAnsi="Arial Narrow"/>
                <w:b/>
                <w:sz w:val="20"/>
                <w:szCs w:val="20"/>
                <w:lang w:eastAsia="en-GB"/>
              </w:rPr>
            </w:pPr>
            <w:r w:rsidRPr="00FE714A">
              <w:rPr>
                <w:rFonts w:ascii="Arial Narrow" w:hAnsi="Arial Narrow"/>
                <w:b/>
                <w:bCs/>
                <w:sz w:val="20"/>
                <w:szCs w:val="20"/>
                <w:lang w:eastAsia="en-GB"/>
              </w:rPr>
              <w:t>medicinal product pack</w:t>
            </w:r>
          </w:p>
        </w:tc>
        <w:tc>
          <w:tcPr>
            <w:tcW w:w="625" w:type="pct"/>
          </w:tcPr>
          <w:p w14:paraId="4B06AE76"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PBS item code</w:t>
            </w:r>
          </w:p>
        </w:tc>
        <w:tc>
          <w:tcPr>
            <w:tcW w:w="469" w:type="pct"/>
          </w:tcPr>
          <w:p w14:paraId="5A5FD316"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Max. qty packs</w:t>
            </w:r>
          </w:p>
        </w:tc>
        <w:tc>
          <w:tcPr>
            <w:tcW w:w="547" w:type="pct"/>
          </w:tcPr>
          <w:p w14:paraId="2931D440"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Max. qty units</w:t>
            </w:r>
          </w:p>
        </w:tc>
        <w:tc>
          <w:tcPr>
            <w:tcW w:w="391" w:type="pct"/>
          </w:tcPr>
          <w:p w14:paraId="77A86C3F"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№.of</w:t>
            </w:r>
          </w:p>
          <w:p w14:paraId="134D944A" w14:textId="77777777" w:rsidR="00375F20" w:rsidRPr="00FE714A" w:rsidRDefault="00375F20" w:rsidP="0086433D">
            <w:pPr>
              <w:widowControl w:val="0"/>
              <w:ind w:left="-108"/>
              <w:jc w:val="center"/>
              <w:rPr>
                <w:rFonts w:ascii="Arial Narrow" w:hAnsi="Arial Narrow"/>
                <w:b/>
                <w:sz w:val="20"/>
                <w:szCs w:val="20"/>
                <w:lang w:eastAsia="en-GB"/>
              </w:rPr>
            </w:pPr>
            <w:proofErr w:type="spellStart"/>
            <w:r w:rsidRPr="00FE714A">
              <w:rPr>
                <w:rFonts w:ascii="Arial Narrow" w:hAnsi="Arial Narrow"/>
                <w:b/>
                <w:sz w:val="20"/>
                <w:szCs w:val="20"/>
                <w:lang w:eastAsia="en-GB"/>
              </w:rPr>
              <w:t>Rpts</w:t>
            </w:r>
            <w:proofErr w:type="spellEnd"/>
          </w:p>
        </w:tc>
        <w:tc>
          <w:tcPr>
            <w:tcW w:w="692" w:type="pct"/>
          </w:tcPr>
          <w:p w14:paraId="223EA7D6" w14:textId="77777777" w:rsidR="00375F20" w:rsidRPr="00FE714A" w:rsidRDefault="00375F20" w:rsidP="0086433D">
            <w:pPr>
              <w:widowControl w:val="0"/>
              <w:rPr>
                <w:rFonts w:ascii="Arial Narrow" w:hAnsi="Arial Narrow"/>
                <w:b/>
                <w:sz w:val="20"/>
                <w:szCs w:val="20"/>
                <w:lang w:eastAsia="en-GB"/>
              </w:rPr>
            </w:pPr>
            <w:r w:rsidRPr="00FE714A">
              <w:rPr>
                <w:rFonts w:ascii="Arial Narrow" w:hAnsi="Arial Narrow"/>
                <w:b/>
                <w:sz w:val="20"/>
                <w:szCs w:val="20"/>
                <w:lang w:eastAsia="en-GB"/>
              </w:rPr>
              <w:t>Available brands and manufacturer</w:t>
            </w:r>
          </w:p>
        </w:tc>
      </w:tr>
      <w:tr w:rsidR="00375F20" w:rsidRPr="00FE714A" w14:paraId="67CC6856" w14:textId="77777777" w:rsidTr="001E7DE5">
        <w:trPr>
          <w:cantSplit/>
          <w:trHeight w:val="224"/>
        </w:trPr>
        <w:tc>
          <w:tcPr>
            <w:tcW w:w="5000" w:type="pct"/>
            <w:gridSpan w:val="6"/>
          </w:tcPr>
          <w:p w14:paraId="6034E1EF" w14:textId="77777777" w:rsidR="00375F20" w:rsidRPr="00FE714A" w:rsidRDefault="00375F20" w:rsidP="0086433D">
            <w:pPr>
              <w:widowControl w:val="0"/>
              <w:ind w:left="-57"/>
              <w:rPr>
                <w:rFonts w:ascii="Arial Narrow" w:hAnsi="Arial Narrow"/>
                <w:sz w:val="20"/>
                <w:szCs w:val="20"/>
                <w:lang w:eastAsia="en-GB"/>
              </w:rPr>
            </w:pPr>
            <w:r w:rsidRPr="00FE714A">
              <w:rPr>
                <w:rFonts w:ascii="Arial Narrow" w:hAnsi="Arial Narrow"/>
                <w:sz w:val="20"/>
                <w:szCs w:val="20"/>
                <w:lang w:eastAsia="en-GB"/>
              </w:rPr>
              <w:t>LEBRIKIZUMAB</w:t>
            </w:r>
          </w:p>
        </w:tc>
      </w:tr>
      <w:tr w:rsidR="00375F20" w:rsidRPr="00FE714A" w14:paraId="0B0212F7" w14:textId="77777777" w:rsidTr="001E7DE5">
        <w:trPr>
          <w:cantSplit/>
          <w:trHeight w:val="279"/>
        </w:trPr>
        <w:tc>
          <w:tcPr>
            <w:tcW w:w="2276" w:type="pct"/>
          </w:tcPr>
          <w:p w14:paraId="27CB9544" w14:textId="77777777" w:rsidR="00375F20" w:rsidRPr="00FE714A" w:rsidRDefault="00375F20" w:rsidP="0086433D">
            <w:pPr>
              <w:widowControl w:val="0"/>
              <w:ind w:left="-57"/>
              <w:rPr>
                <w:rFonts w:ascii="Arial Narrow" w:hAnsi="Arial Narrow"/>
                <w:sz w:val="20"/>
                <w:szCs w:val="20"/>
                <w:lang w:eastAsia="en-GB"/>
              </w:rPr>
            </w:pPr>
            <w:r w:rsidRPr="00FE714A">
              <w:rPr>
                <w:rFonts w:ascii="Arial Narrow" w:hAnsi="Arial Narrow"/>
                <w:sz w:val="20"/>
                <w:szCs w:val="20"/>
                <w:lang w:eastAsia="en-GB"/>
              </w:rPr>
              <w:t>lebrikizumab 250 mg/2 mL injection, 2 mL pen device</w:t>
            </w:r>
          </w:p>
        </w:tc>
        <w:tc>
          <w:tcPr>
            <w:tcW w:w="625" w:type="pct"/>
          </w:tcPr>
          <w:p w14:paraId="482A2C5E" w14:textId="77777777"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 xml:space="preserve">New </w:t>
            </w:r>
          </w:p>
          <w:p w14:paraId="14F4E3C0" w14:textId="77777777" w:rsidR="00375F20" w:rsidRPr="00FE714A" w:rsidRDefault="00375F20" w:rsidP="0086433D">
            <w:pPr>
              <w:widowControl w:val="0"/>
              <w:jc w:val="center"/>
              <w:rPr>
                <w:rFonts w:ascii="Arial Narrow" w:hAnsi="Arial Narrow"/>
                <w:sz w:val="20"/>
                <w:szCs w:val="20"/>
                <w:vertAlign w:val="subscript"/>
                <w:lang w:eastAsia="en-GB"/>
              </w:rPr>
            </w:pPr>
            <w:r w:rsidRPr="00FE714A">
              <w:rPr>
                <w:rFonts w:ascii="Arial Narrow" w:hAnsi="Arial Narrow"/>
                <w:sz w:val="20"/>
                <w:szCs w:val="20"/>
                <w:vertAlign w:val="subscript"/>
                <w:lang w:eastAsia="en-GB"/>
              </w:rPr>
              <w:t>MP</w:t>
            </w:r>
          </w:p>
        </w:tc>
        <w:tc>
          <w:tcPr>
            <w:tcW w:w="469" w:type="pct"/>
          </w:tcPr>
          <w:p w14:paraId="11D1E8D0" w14:textId="77777777"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2</w:t>
            </w:r>
          </w:p>
        </w:tc>
        <w:tc>
          <w:tcPr>
            <w:tcW w:w="547" w:type="pct"/>
          </w:tcPr>
          <w:p w14:paraId="3CDD1F8C" w14:textId="77777777"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2</w:t>
            </w:r>
          </w:p>
        </w:tc>
        <w:tc>
          <w:tcPr>
            <w:tcW w:w="391" w:type="pct"/>
          </w:tcPr>
          <w:p w14:paraId="0A10093E" w14:textId="77777777"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1</w:t>
            </w:r>
          </w:p>
        </w:tc>
        <w:tc>
          <w:tcPr>
            <w:tcW w:w="692" w:type="pct"/>
          </w:tcPr>
          <w:p w14:paraId="243F38A9" w14:textId="77777777" w:rsidR="00375F20" w:rsidRPr="00FE714A" w:rsidRDefault="00375F20" w:rsidP="0086433D">
            <w:pPr>
              <w:widowControl w:val="0"/>
              <w:rPr>
                <w:rFonts w:ascii="Arial Narrow" w:hAnsi="Arial Narrow"/>
                <w:sz w:val="20"/>
                <w:szCs w:val="20"/>
                <w:lang w:eastAsia="en-GB"/>
              </w:rPr>
            </w:pPr>
            <w:proofErr w:type="spellStart"/>
            <w:r w:rsidRPr="00FE714A">
              <w:rPr>
                <w:rFonts w:ascii="Arial Narrow" w:hAnsi="Arial Narrow"/>
                <w:sz w:val="20"/>
                <w:szCs w:val="20"/>
                <w:lang w:eastAsia="en-GB"/>
              </w:rPr>
              <w:t>Ebglyss</w:t>
            </w:r>
            <w:proofErr w:type="spellEnd"/>
          </w:p>
          <w:p w14:paraId="286D7A85" w14:textId="77777777" w:rsidR="00375F20" w:rsidRPr="00FE714A" w:rsidRDefault="00375F20" w:rsidP="0086433D">
            <w:pPr>
              <w:widowControl w:val="0"/>
              <w:rPr>
                <w:rFonts w:ascii="Arial Narrow" w:hAnsi="Arial Narrow"/>
                <w:sz w:val="20"/>
                <w:szCs w:val="20"/>
                <w:lang w:eastAsia="en-GB"/>
              </w:rPr>
            </w:pPr>
            <w:r w:rsidRPr="00FE714A">
              <w:rPr>
                <w:rFonts w:ascii="Arial Narrow" w:hAnsi="Arial Narrow"/>
                <w:sz w:val="20"/>
                <w:szCs w:val="20"/>
                <w:lang w:eastAsia="en-GB"/>
              </w:rPr>
              <w:t>Eli Lilly Australia Pty Ltd</w:t>
            </w:r>
          </w:p>
        </w:tc>
      </w:tr>
      <w:tr w:rsidR="00375F20" w:rsidRPr="00FE714A" w14:paraId="793AE8C6" w14:textId="77777777" w:rsidTr="001E7DE5">
        <w:trPr>
          <w:cantSplit/>
          <w:trHeight w:val="279"/>
        </w:trPr>
        <w:tc>
          <w:tcPr>
            <w:tcW w:w="5000" w:type="pct"/>
            <w:gridSpan w:val="6"/>
          </w:tcPr>
          <w:p w14:paraId="699E4E9E" w14:textId="77777777" w:rsidR="00375F20" w:rsidRPr="00FE714A" w:rsidRDefault="00375F20" w:rsidP="0086433D">
            <w:pPr>
              <w:widowControl w:val="0"/>
              <w:rPr>
                <w:rFonts w:ascii="Arial Narrow" w:hAnsi="Arial Narrow"/>
                <w:sz w:val="20"/>
                <w:szCs w:val="20"/>
                <w:lang w:eastAsia="en-GB"/>
              </w:rPr>
            </w:pPr>
          </w:p>
        </w:tc>
      </w:tr>
      <w:tr w:rsidR="009F5637" w:rsidRPr="00FE714A" w14:paraId="3D4DD212"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43480753" w14:textId="77777777" w:rsidR="009F5637" w:rsidRPr="00FE714A" w:rsidRDefault="009F5637" w:rsidP="0086433D">
            <w:pPr>
              <w:widowControl w:val="0"/>
              <w:textAlignment w:val="baseline"/>
              <w:rPr>
                <w:rFonts w:ascii="Arial Narrow" w:hAnsi="Arial Narrow"/>
                <w:b/>
                <w:bCs/>
                <w:sz w:val="20"/>
                <w:szCs w:val="20"/>
                <w:bdr w:val="none" w:sz="0" w:space="0" w:color="auto" w:frame="1"/>
              </w:rPr>
            </w:pPr>
            <w:bookmarkStart w:id="72" w:name="_Hlk153888006"/>
            <w:r w:rsidRPr="00FE714A">
              <w:rPr>
                <w:rFonts w:ascii="Arial Narrow" w:hAnsi="Arial Narrow"/>
                <w:b/>
                <w:sz w:val="20"/>
                <w:szCs w:val="20"/>
                <w:lang w:eastAsia="en-GB"/>
              </w:rPr>
              <w:t xml:space="preserve">Category / Program:   </w:t>
            </w:r>
            <w:r w:rsidRPr="00FE714A">
              <w:rPr>
                <w:rFonts w:ascii="Arial Narrow" w:hAnsi="Arial Narrow"/>
                <w:sz w:val="20"/>
                <w:szCs w:val="20"/>
                <w:lang w:eastAsia="en-GB"/>
              </w:rPr>
              <w:t>GENERAL – General Schedule (Code GE)</w:t>
            </w:r>
          </w:p>
        </w:tc>
      </w:tr>
      <w:tr w:rsidR="009F5637" w:rsidRPr="00FE714A" w14:paraId="4BD29CCD"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00F82C92" w14:textId="77777777" w:rsidR="009F5637" w:rsidRPr="00FE714A" w:rsidRDefault="009F5637" w:rsidP="0086433D">
            <w:pPr>
              <w:rPr>
                <w:rFonts w:ascii="Arial Narrow" w:hAnsi="Arial Narrow"/>
                <w:b/>
                <w:sz w:val="20"/>
                <w:szCs w:val="20"/>
              </w:rPr>
            </w:pPr>
            <w:r w:rsidRPr="00FE714A">
              <w:rPr>
                <w:rFonts w:ascii="Arial Narrow" w:hAnsi="Arial Narrow"/>
                <w:b/>
                <w:sz w:val="20"/>
                <w:szCs w:val="20"/>
              </w:rPr>
              <w:t xml:space="preserve">Restriction Type – assessment time by Services Australia – Method of obtaining authority approval (if Authority Required): </w:t>
            </w:r>
            <w:r w:rsidRPr="00FE714A">
              <w:rPr>
                <w:rFonts w:ascii="Arial Narrow" w:eastAsia="Calibri" w:hAnsi="Arial Narrow"/>
                <w:color w:val="2B579A"/>
                <w:sz w:val="20"/>
                <w:szCs w:val="20"/>
                <w:shd w:val="clear" w:color="auto" w:fill="E6E6E6"/>
              </w:rPr>
              <w:fldChar w:fldCharType="begin" w:fldLock="1">
                <w:ffData>
                  <w:name w:val="Check3"/>
                  <w:enabled/>
                  <w:calcOnExit w:val="0"/>
                  <w:checkBox>
                    <w:sizeAuto/>
                    <w:default w:val="1"/>
                  </w:checkBox>
                </w:ffData>
              </w:fldChar>
            </w:r>
            <w:r w:rsidRPr="00FE714A">
              <w:rPr>
                <w:rFonts w:ascii="Arial Narrow" w:eastAsia="Calibri" w:hAnsi="Arial Narrow"/>
                <w:sz w:val="20"/>
                <w:szCs w:val="20"/>
              </w:rPr>
              <w:instrText xml:space="preserve"> FORMCHECKBOX </w:instrText>
            </w:r>
            <w:r w:rsidR="008B26E3">
              <w:rPr>
                <w:rFonts w:ascii="Arial Narrow" w:eastAsia="Calibri" w:hAnsi="Arial Narrow"/>
                <w:color w:val="2B579A"/>
                <w:sz w:val="20"/>
                <w:szCs w:val="20"/>
                <w:shd w:val="clear" w:color="auto" w:fill="E6E6E6"/>
              </w:rPr>
            </w:r>
            <w:r w:rsidR="008B26E3">
              <w:rPr>
                <w:rFonts w:ascii="Arial Narrow" w:eastAsia="Calibri" w:hAnsi="Arial Narrow"/>
                <w:color w:val="2B579A"/>
                <w:sz w:val="20"/>
                <w:szCs w:val="20"/>
                <w:shd w:val="clear" w:color="auto" w:fill="E6E6E6"/>
              </w:rPr>
              <w:fldChar w:fldCharType="separate"/>
            </w:r>
            <w:r w:rsidRPr="00FE714A">
              <w:rPr>
                <w:rFonts w:ascii="Arial Narrow" w:eastAsia="Calibri" w:hAnsi="Arial Narrow"/>
                <w:color w:val="2B579A"/>
                <w:sz w:val="20"/>
                <w:szCs w:val="20"/>
                <w:shd w:val="clear" w:color="auto" w:fill="E6E6E6"/>
              </w:rPr>
              <w:fldChar w:fldCharType="end"/>
            </w:r>
            <w:r w:rsidRPr="00FE714A">
              <w:rPr>
                <w:rFonts w:ascii="Arial Narrow" w:eastAsia="Calibri" w:hAnsi="Arial Narrow"/>
                <w:sz w:val="20"/>
                <w:szCs w:val="20"/>
              </w:rPr>
              <w:t>Authority Required – immediate/real time assessment by Services Australia (telephone/online application avenues)</w:t>
            </w:r>
          </w:p>
        </w:tc>
      </w:tr>
      <w:tr w:rsidR="009F5637" w:rsidRPr="00FE714A" w14:paraId="3D985BA5"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5E715A0C" w14:textId="77777777" w:rsidR="009F5637" w:rsidRPr="00FE714A" w:rsidRDefault="009F5637"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sz w:val="20"/>
                <w:szCs w:val="20"/>
              </w:rPr>
              <w:t>Prescriber type:</w:t>
            </w:r>
            <w:r w:rsidRPr="00FE714A">
              <w:rPr>
                <w:rFonts w:ascii="Arial Narrow" w:hAnsi="Arial Narrow"/>
                <w:sz w:val="20"/>
                <w:szCs w:val="20"/>
              </w:rPr>
              <w:t xml:space="preserve">  </w:t>
            </w:r>
            <w:r w:rsidRPr="00FE714A">
              <w:rPr>
                <w:rFonts w:ascii="Arial Narrow" w:hAnsi="Arial Narrow"/>
                <w:color w:val="2B579A"/>
                <w:sz w:val="20"/>
                <w:szCs w:val="20"/>
                <w:shd w:val="clear" w:color="auto" w:fill="E6E6E6"/>
              </w:rPr>
              <w:fldChar w:fldCharType="begin" w:fldLock="1">
                <w:ffData>
                  <w:name w:val=""/>
                  <w:enabled/>
                  <w:calcOnExit w:val="0"/>
                  <w:checkBox>
                    <w:sizeAuto/>
                    <w:default w:val="1"/>
                  </w:checkBox>
                </w:ffData>
              </w:fldChar>
            </w:r>
            <w:r w:rsidRPr="00FE714A">
              <w:rPr>
                <w:rFonts w:ascii="Arial Narrow" w:hAnsi="Arial Narrow"/>
                <w:sz w:val="20"/>
                <w:szCs w:val="20"/>
              </w:rPr>
              <w:instrText xml:space="preserve"> FORMCHECKBOX </w:instrText>
            </w:r>
            <w:r w:rsidR="008B26E3">
              <w:rPr>
                <w:rFonts w:ascii="Arial Narrow" w:hAnsi="Arial Narrow"/>
                <w:color w:val="2B579A"/>
                <w:sz w:val="20"/>
                <w:szCs w:val="20"/>
                <w:shd w:val="clear" w:color="auto" w:fill="E6E6E6"/>
              </w:rPr>
            </w:r>
            <w:r w:rsidR="008B26E3">
              <w:rPr>
                <w:rFonts w:ascii="Arial Narrow" w:hAnsi="Arial Narrow"/>
                <w:color w:val="2B579A"/>
                <w:sz w:val="20"/>
                <w:szCs w:val="20"/>
                <w:shd w:val="clear" w:color="auto" w:fill="E6E6E6"/>
              </w:rPr>
              <w:fldChar w:fldCharType="separate"/>
            </w:r>
            <w:r w:rsidRPr="00FE714A">
              <w:rPr>
                <w:rFonts w:ascii="Arial Narrow" w:hAnsi="Arial Narrow"/>
                <w:color w:val="2B579A"/>
                <w:sz w:val="20"/>
                <w:szCs w:val="20"/>
                <w:shd w:val="clear" w:color="auto" w:fill="E6E6E6"/>
              </w:rPr>
              <w:fldChar w:fldCharType="end"/>
            </w:r>
            <w:r w:rsidRPr="00FE714A">
              <w:rPr>
                <w:rFonts w:ascii="Arial Narrow" w:hAnsi="Arial Narrow"/>
                <w:sz w:val="20"/>
                <w:szCs w:val="20"/>
              </w:rPr>
              <w:t xml:space="preserve">Medical Practitioners  </w:t>
            </w:r>
          </w:p>
        </w:tc>
      </w:tr>
      <w:tr w:rsidR="009F5637" w:rsidRPr="00FE714A" w14:paraId="1A59DF0A"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2C3515EB" w14:textId="77777777" w:rsidR="009F5637" w:rsidRPr="00FE714A" w:rsidRDefault="009F5637" w:rsidP="0086433D">
            <w:pPr>
              <w:widowControl w:val="0"/>
              <w:textAlignment w:val="baseline"/>
              <w:rPr>
                <w:rFonts w:ascii="Arial Narrow" w:hAnsi="Arial Narrow"/>
                <w:sz w:val="20"/>
                <w:szCs w:val="20"/>
              </w:rPr>
            </w:pPr>
            <w:r w:rsidRPr="00FE714A">
              <w:rPr>
                <w:rFonts w:ascii="Arial Narrow" w:hAnsi="Arial Narrow"/>
                <w:b/>
                <w:bCs/>
                <w:sz w:val="20"/>
                <w:szCs w:val="20"/>
                <w:bdr w:val="none" w:sz="0" w:space="0" w:color="auto" w:frame="1"/>
              </w:rPr>
              <w:t>Administrative Advice:</w:t>
            </w:r>
          </w:p>
          <w:p w14:paraId="0B969C56" w14:textId="77777777" w:rsidR="009F5637" w:rsidRPr="00FE714A" w:rsidRDefault="009F5637" w:rsidP="0086433D">
            <w:pPr>
              <w:widowControl w:val="0"/>
              <w:rPr>
                <w:rFonts w:ascii="Arial Narrow" w:hAnsi="Arial Narrow"/>
                <w:sz w:val="20"/>
                <w:szCs w:val="20"/>
              </w:rPr>
            </w:pPr>
            <w:r w:rsidRPr="00FE714A">
              <w:rPr>
                <w:rFonts w:ascii="Arial Narrow" w:hAnsi="Arial Narrow"/>
                <w:sz w:val="20"/>
                <w:szCs w:val="20"/>
              </w:rPr>
              <w:t>The Eczema Area and Severity Index (EASI) referenced in this restriction is that described in the following literature publications:</w:t>
            </w:r>
          </w:p>
          <w:p w14:paraId="2BF8390E" w14:textId="77777777" w:rsidR="009F5637" w:rsidRPr="00FE714A" w:rsidRDefault="009F5637" w:rsidP="0086433D">
            <w:pPr>
              <w:widowControl w:val="0"/>
              <w:rPr>
                <w:rFonts w:ascii="Arial Narrow" w:hAnsi="Arial Narrow"/>
                <w:sz w:val="20"/>
                <w:szCs w:val="20"/>
              </w:rPr>
            </w:pPr>
            <w:r w:rsidRPr="00FE714A">
              <w:rPr>
                <w:rFonts w:ascii="Arial Narrow" w:hAnsi="Arial Narrow"/>
                <w:sz w:val="20"/>
                <w:szCs w:val="20"/>
              </w:rPr>
              <w:t>Chalmers JR et al. Report from the third international consensus meeting to harmonise core outcome measures for atopic eczema/dermatitis clinical trials (HOME).</w:t>
            </w:r>
            <w:r w:rsidRPr="00FE714A">
              <w:rPr>
                <w:rFonts w:ascii="Arial Narrow" w:hAnsi="Arial Narrow"/>
                <w:i/>
                <w:iCs/>
                <w:sz w:val="20"/>
                <w:szCs w:val="20"/>
              </w:rPr>
              <w:t> British Journal of Dermatology</w:t>
            </w:r>
            <w:r w:rsidRPr="00FE714A">
              <w:rPr>
                <w:rFonts w:ascii="Arial Narrow" w:hAnsi="Arial Narrow"/>
                <w:sz w:val="20"/>
                <w:szCs w:val="20"/>
              </w:rPr>
              <w:t> 2014 December;171(6):1318-25.</w:t>
            </w:r>
          </w:p>
          <w:p w14:paraId="6CB18F32" w14:textId="77777777" w:rsidR="009F5637" w:rsidRPr="00FE714A" w:rsidRDefault="009F5637" w:rsidP="0086433D">
            <w:pPr>
              <w:widowControl w:val="0"/>
              <w:rPr>
                <w:rFonts w:ascii="Arial Narrow" w:hAnsi="Arial Narrow"/>
                <w:sz w:val="20"/>
                <w:szCs w:val="20"/>
              </w:rPr>
            </w:pPr>
            <w:r w:rsidRPr="00FE714A">
              <w:rPr>
                <w:rFonts w:ascii="Arial Narrow" w:hAnsi="Arial Narrow"/>
                <w:sz w:val="20"/>
                <w:szCs w:val="20"/>
              </w:rPr>
              <w:t>Schmitt J et al. HOME initiative collaborators. The Harmonising Outcome Measures for Eczema (HOME) statement to assess clinical signs of atopic eczema in trials. </w:t>
            </w:r>
            <w:r w:rsidRPr="00FE714A">
              <w:rPr>
                <w:rFonts w:ascii="Arial Narrow" w:hAnsi="Arial Narrow"/>
                <w:i/>
                <w:iCs/>
                <w:sz w:val="20"/>
                <w:szCs w:val="20"/>
              </w:rPr>
              <w:t>The Journal of Allergy and Clinical Immunology </w:t>
            </w:r>
            <w:r w:rsidRPr="00FE714A">
              <w:rPr>
                <w:rFonts w:ascii="Arial Narrow" w:hAnsi="Arial Narrow"/>
                <w:sz w:val="20"/>
                <w:szCs w:val="20"/>
              </w:rPr>
              <w:t>2014 October;134(4):800-7</w:t>
            </w:r>
          </w:p>
          <w:p w14:paraId="72CF6B72" w14:textId="77777777" w:rsidR="009F5637" w:rsidRPr="00FE714A" w:rsidRDefault="009F5637" w:rsidP="0086433D">
            <w:pPr>
              <w:widowControl w:val="0"/>
              <w:rPr>
                <w:rFonts w:ascii="Arial Narrow" w:hAnsi="Arial Narrow"/>
                <w:color w:val="FF00FF"/>
                <w:sz w:val="20"/>
                <w:szCs w:val="20"/>
              </w:rPr>
            </w:pPr>
            <w:r w:rsidRPr="00FE714A">
              <w:rPr>
                <w:rFonts w:ascii="Arial Narrow" w:hAnsi="Arial Narrow"/>
                <w:sz w:val="20"/>
                <w:szCs w:val="20"/>
              </w:rPr>
              <w:t xml:space="preserve"> </w:t>
            </w:r>
          </w:p>
        </w:tc>
      </w:tr>
      <w:tr w:rsidR="009F5637" w:rsidRPr="00FE714A" w14:paraId="12C6CBFE"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164A9BB3" w14:textId="77777777" w:rsidR="009F5637" w:rsidRPr="00FE714A" w:rsidRDefault="009F5637" w:rsidP="0086433D">
            <w:pPr>
              <w:widowControl w:val="0"/>
              <w:textAlignment w:val="baseline"/>
              <w:rPr>
                <w:rFonts w:ascii="Arial Narrow" w:hAnsi="Arial Narrow"/>
                <w:sz w:val="20"/>
                <w:szCs w:val="20"/>
              </w:rPr>
            </w:pPr>
            <w:r w:rsidRPr="00FE714A">
              <w:rPr>
                <w:rFonts w:ascii="Arial Narrow" w:hAnsi="Arial Narrow"/>
                <w:b/>
                <w:bCs/>
                <w:sz w:val="20"/>
                <w:szCs w:val="20"/>
                <w:bdr w:val="none" w:sz="0" w:space="0" w:color="auto" w:frame="1"/>
              </w:rPr>
              <w:t>Administrative Advice:</w:t>
            </w:r>
          </w:p>
          <w:p w14:paraId="4743E576" w14:textId="77777777" w:rsidR="009F5637" w:rsidRPr="00FE714A" w:rsidRDefault="009F5637" w:rsidP="0086433D">
            <w:pPr>
              <w:widowControl w:val="0"/>
              <w:textAlignment w:val="baseline"/>
              <w:rPr>
                <w:rFonts w:ascii="Arial Narrow" w:hAnsi="Arial Narrow"/>
                <w:sz w:val="20"/>
                <w:szCs w:val="20"/>
              </w:rPr>
            </w:pPr>
            <w:r w:rsidRPr="00FE714A">
              <w:rPr>
                <w:rFonts w:ascii="Arial Narrow" w:hAnsi="Arial Narrow"/>
                <w:sz w:val="20"/>
                <w:szCs w:val="20"/>
              </w:rPr>
              <w:t xml:space="preserve">Instructions on the use of the Dermatology Life Quality Index and copyright details can be found here:, </w:t>
            </w:r>
            <w:hyperlink r:id="rId12" w:history="1">
              <w:r w:rsidRPr="00FE714A">
                <w:rPr>
                  <w:rStyle w:val="Hyperlink"/>
                  <w:rFonts w:ascii="Arial Narrow" w:hAnsi="Arial Narrow"/>
                  <w:sz w:val="20"/>
                  <w:szCs w:val="20"/>
                </w:rPr>
                <w:t>https://www.cardiff.ac.uk/medicine/resources/quality-of-life-questionnaires/dermatology-life-quality-index</w:t>
              </w:r>
            </w:hyperlink>
            <w:r w:rsidRPr="00FE714A">
              <w:rPr>
                <w:rFonts w:ascii="Arial Narrow" w:hAnsi="Arial Narrow"/>
                <w:sz w:val="20"/>
                <w:szCs w:val="20"/>
              </w:rPr>
              <w:t xml:space="preserve">  </w:t>
            </w:r>
          </w:p>
        </w:tc>
      </w:tr>
      <w:tr w:rsidR="009F5637" w:rsidRPr="00FE714A" w14:paraId="23EA3D11"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260FB5B0" w14:textId="77777777" w:rsidR="009F5637" w:rsidRPr="00FE714A" w:rsidRDefault="009F5637"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bCs/>
                <w:sz w:val="20"/>
                <w:szCs w:val="20"/>
                <w:bdr w:val="none" w:sz="0" w:space="0" w:color="auto" w:frame="1"/>
              </w:rPr>
              <w:t>Administrative Advice:</w:t>
            </w:r>
          </w:p>
          <w:p w14:paraId="43B9E473" w14:textId="77777777" w:rsidR="009F5637" w:rsidRPr="00FE714A" w:rsidRDefault="009F5637" w:rsidP="0086433D">
            <w:pPr>
              <w:widowControl w:val="0"/>
              <w:textAlignment w:val="baseline"/>
              <w:rPr>
                <w:rFonts w:ascii="Arial Narrow" w:hAnsi="Arial Narrow"/>
                <w:sz w:val="20"/>
                <w:szCs w:val="20"/>
                <w:bdr w:val="none" w:sz="0" w:space="0" w:color="auto" w:frame="1"/>
              </w:rPr>
            </w:pPr>
            <w:r w:rsidRPr="00FE714A">
              <w:rPr>
                <w:rFonts w:ascii="Arial Narrow" w:hAnsi="Arial Narrow"/>
                <w:sz w:val="20"/>
                <w:szCs w:val="20"/>
                <w:bdr w:val="none" w:sz="0" w:space="0" w:color="auto" w:frame="1"/>
              </w:rPr>
              <w:t>The Physician's Global Assessment (5-point scale) referenced in this restriction is that described in the following literature publication:</w:t>
            </w:r>
          </w:p>
          <w:p w14:paraId="4D7DDC81" w14:textId="77777777" w:rsidR="009F5637" w:rsidRPr="00FE714A" w:rsidRDefault="009F5637" w:rsidP="0086433D">
            <w:pPr>
              <w:widowControl w:val="0"/>
              <w:textAlignment w:val="baseline"/>
              <w:rPr>
                <w:rFonts w:ascii="Arial Narrow" w:hAnsi="Arial Narrow"/>
                <w:sz w:val="20"/>
                <w:szCs w:val="20"/>
                <w:bdr w:val="none" w:sz="0" w:space="0" w:color="auto" w:frame="1"/>
              </w:rPr>
            </w:pPr>
            <w:proofErr w:type="spellStart"/>
            <w:r w:rsidRPr="00FE714A">
              <w:rPr>
                <w:rFonts w:ascii="Arial Narrow" w:hAnsi="Arial Narrow"/>
                <w:sz w:val="20"/>
                <w:szCs w:val="20"/>
                <w:bdr w:val="none" w:sz="0" w:space="0" w:color="auto" w:frame="1"/>
              </w:rPr>
              <w:t>Fatumura</w:t>
            </w:r>
            <w:proofErr w:type="spellEnd"/>
            <w:r w:rsidRPr="00FE714A">
              <w:rPr>
                <w:rFonts w:ascii="Arial Narrow" w:hAnsi="Arial Narrow"/>
                <w:sz w:val="20"/>
                <w:szCs w:val="20"/>
                <w:bdr w:val="none" w:sz="0" w:space="0" w:color="auto" w:frame="1"/>
              </w:rPr>
              <w:t xml:space="preserve"> M et al. A systematic review of Investigator Global Assessment (IGA) in atopic dermatitis (AD trials: Many options, no standards </w:t>
            </w:r>
            <w:r w:rsidRPr="00FE714A">
              <w:rPr>
                <w:rFonts w:ascii="Arial Narrow" w:hAnsi="Arial Narrow"/>
                <w:i/>
                <w:iCs/>
                <w:sz w:val="20"/>
                <w:szCs w:val="20"/>
                <w:bdr w:val="none" w:sz="0" w:space="0" w:color="auto" w:frame="1"/>
              </w:rPr>
              <w:t>Journal of the American Academy of Dermatology</w:t>
            </w:r>
            <w:r w:rsidRPr="00FE714A">
              <w:rPr>
                <w:rFonts w:ascii="Arial Narrow" w:hAnsi="Arial Narrow"/>
                <w:sz w:val="20"/>
                <w:szCs w:val="20"/>
                <w:bdr w:val="none" w:sz="0" w:space="0" w:color="auto" w:frame="1"/>
              </w:rPr>
              <w:t xml:space="preserve"> 2016; </w:t>
            </w:r>
            <w:r w:rsidRPr="00FE714A">
              <w:rPr>
                <w:rFonts w:ascii="Arial Narrow" w:hAnsi="Arial Narrow"/>
                <w:strike/>
                <w:sz w:val="20"/>
                <w:szCs w:val="20"/>
                <w:bdr w:val="none" w:sz="0" w:space="0" w:color="auto" w:frame="1"/>
              </w:rPr>
              <w:t>6</w:t>
            </w:r>
            <w:r w:rsidRPr="00FE714A">
              <w:rPr>
                <w:rFonts w:ascii="Arial Narrow" w:hAnsi="Arial Narrow"/>
                <w:i/>
                <w:iCs/>
                <w:sz w:val="20"/>
                <w:szCs w:val="20"/>
                <w:bdr w:val="none" w:sz="0" w:space="0" w:color="auto" w:frame="1"/>
              </w:rPr>
              <w:t>7</w:t>
            </w:r>
            <w:r w:rsidRPr="00FE714A">
              <w:rPr>
                <w:rFonts w:ascii="Arial Narrow" w:hAnsi="Arial Narrow"/>
                <w:sz w:val="20"/>
                <w:szCs w:val="20"/>
                <w:bdr w:val="none" w:sz="0" w:space="0" w:color="auto" w:frame="1"/>
              </w:rPr>
              <w:t xml:space="preserve">4(2): 288-94 </w:t>
            </w:r>
          </w:p>
          <w:p w14:paraId="70811AB3" w14:textId="77777777" w:rsidR="009F5637" w:rsidRPr="00FE714A" w:rsidRDefault="009F5637" w:rsidP="0086433D">
            <w:pPr>
              <w:widowControl w:val="0"/>
              <w:rPr>
                <w:rFonts w:ascii="Arial Narrow" w:hAnsi="Arial Narrow"/>
                <w:b/>
                <w:bCs/>
                <w:sz w:val="20"/>
                <w:szCs w:val="20"/>
              </w:rPr>
            </w:pPr>
            <w:r w:rsidRPr="00FE714A">
              <w:rPr>
                <w:rFonts w:ascii="Arial Narrow" w:hAnsi="Arial Narrow"/>
                <w:sz w:val="20"/>
                <w:szCs w:val="20"/>
                <w:bdr w:val="none" w:sz="0" w:space="0" w:color="auto" w:frame="1"/>
              </w:rPr>
              <w:t>The overall appearance of dermatitis lesions is rated as 4 (severe) if the lesions are best described as featuring: deep/dark red erythema, with marked and extensive induration/papulation; excoriation and oozing/crusting are present.</w:t>
            </w:r>
          </w:p>
        </w:tc>
      </w:tr>
      <w:tr w:rsidR="009F5637" w:rsidRPr="00FE714A" w14:paraId="55C472B8"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31990509" w14:textId="77777777" w:rsidR="009F5637" w:rsidRPr="00FE714A" w:rsidRDefault="009F5637" w:rsidP="0003485F">
            <w:pPr>
              <w:widowControl w:val="0"/>
              <w:textAlignment w:val="baseline"/>
              <w:rPr>
                <w:rFonts w:ascii="Arial Narrow" w:hAnsi="Arial Narrow"/>
                <w:sz w:val="20"/>
                <w:szCs w:val="20"/>
              </w:rPr>
            </w:pPr>
            <w:r w:rsidRPr="00FE714A">
              <w:rPr>
                <w:rFonts w:ascii="Arial Narrow" w:hAnsi="Arial Narrow"/>
                <w:b/>
                <w:bCs/>
                <w:sz w:val="20"/>
                <w:szCs w:val="20"/>
                <w:bdr w:val="none" w:sz="0" w:space="0" w:color="auto" w:frame="1"/>
              </w:rPr>
              <w:t>Administrative Advice:</w:t>
            </w:r>
          </w:p>
          <w:p w14:paraId="491F6DCF" w14:textId="56630A2D" w:rsidR="009F5637" w:rsidRPr="00FE714A" w:rsidRDefault="009F5637" w:rsidP="0003485F">
            <w:pPr>
              <w:widowControl w:val="0"/>
              <w:textAlignment w:val="baseline"/>
              <w:rPr>
                <w:rFonts w:ascii="Arial Narrow" w:hAnsi="Arial Narrow"/>
                <w:b/>
                <w:bCs/>
                <w:sz w:val="20"/>
                <w:szCs w:val="20"/>
                <w:bdr w:val="none" w:sz="0" w:space="0" w:color="auto" w:frame="1"/>
              </w:rPr>
            </w:pPr>
            <w:r w:rsidRPr="00FE714A">
              <w:rPr>
                <w:rFonts w:ascii="Arial Narrow" w:hAnsi="Arial Narrow"/>
                <w:sz w:val="20"/>
                <w:szCs w:val="20"/>
              </w:rPr>
              <w:t xml:space="preserve">Applications for authorisation under this restriction may be made in real time using the Online PBS Authorities system (see </w:t>
            </w:r>
            <w:r w:rsidRPr="00FE714A">
              <w:rPr>
                <w:rFonts w:ascii="Arial Narrow" w:hAnsi="Arial Narrow"/>
                <w:sz w:val="20"/>
                <w:szCs w:val="20"/>
              </w:rPr>
              <w:lastRenderedPageBreak/>
              <w:t>www.servicesaustralia.gov.au/HPOS) or by telephone by contacting Services Australia on 1800 888 333.</w:t>
            </w:r>
          </w:p>
        </w:tc>
      </w:tr>
      <w:tr w:rsidR="009F5637" w:rsidRPr="00FE714A" w14:paraId="35743DCB"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58865B95" w14:textId="77777777" w:rsidR="009F5637" w:rsidRPr="00FE714A" w:rsidRDefault="009F5637" w:rsidP="0086433D">
            <w:pPr>
              <w:widowControl w:val="0"/>
              <w:rPr>
                <w:rFonts w:ascii="Arial Narrow" w:hAnsi="Arial Narrow"/>
                <w:b/>
                <w:bCs/>
                <w:sz w:val="20"/>
                <w:szCs w:val="20"/>
              </w:rPr>
            </w:pPr>
            <w:r w:rsidRPr="00FE714A">
              <w:rPr>
                <w:rFonts w:ascii="Arial Narrow" w:hAnsi="Arial Narrow"/>
                <w:b/>
                <w:bCs/>
                <w:sz w:val="20"/>
                <w:szCs w:val="20"/>
                <w:bdr w:val="none" w:sz="0" w:space="0" w:color="auto" w:frame="1"/>
              </w:rPr>
              <w:lastRenderedPageBreak/>
              <w:t xml:space="preserve">Administrative Advice: </w:t>
            </w:r>
            <w:r w:rsidRPr="00FE714A">
              <w:rPr>
                <w:rFonts w:ascii="Arial Narrow" w:hAnsi="Arial Narrow"/>
                <w:sz w:val="20"/>
                <w:szCs w:val="20"/>
              </w:rPr>
              <w:t>No increase in the maximum quantity or number of units may be authorised.</w:t>
            </w:r>
          </w:p>
        </w:tc>
      </w:tr>
      <w:tr w:rsidR="009F5637" w:rsidRPr="00FE714A" w14:paraId="2CAB1E3A"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35C39EAD" w14:textId="77777777" w:rsidR="009F5637" w:rsidRPr="00FE714A" w:rsidRDefault="009F5637" w:rsidP="0086433D">
            <w:pPr>
              <w:widowControl w:val="0"/>
              <w:rPr>
                <w:rFonts w:ascii="Arial Narrow" w:hAnsi="Arial Narrow"/>
                <w:b/>
                <w:bCs/>
                <w:sz w:val="20"/>
                <w:szCs w:val="20"/>
              </w:rPr>
            </w:pPr>
            <w:r w:rsidRPr="00FE714A">
              <w:rPr>
                <w:rFonts w:ascii="Arial Narrow" w:hAnsi="Arial Narrow"/>
                <w:b/>
                <w:bCs/>
                <w:sz w:val="20"/>
                <w:szCs w:val="20"/>
                <w:bdr w:val="none" w:sz="0" w:space="0" w:color="auto" w:frame="1"/>
              </w:rPr>
              <w:t xml:space="preserve">Administrative Advice: </w:t>
            </w:r>
            <w:r w:rsidRPr="00FE714A">
              <w:rPr>
                <w:rFonts w:ascii="Arial Narrow" w:hAnsi="Arial Narrow"/>
                <w:sz w:val="20"/>
                <w:szCs w:val="20"/>
              </w:rPr>
              <w:t>No increase in the maximum number of repeats may be authorised.</w:t>
            </w:r>
          </w:p>
        </w:tc>
      </w:tr>
      <w:tr w:rsidR="009F5637" w:rsidRPr="00FE714A" w14:paraId="65CC3C3E" w14:textId="77777777" w:rsidTr="001E7DE5">
        <w:tblPrEx>
          <w:tblCellMar>
            <w:top w:w="15" w:type="dxa"/>
            <w:left w:w="15" w:type="dxa"/>
            <w:bottom w:w="15" w:type="dxa"/>
            <w:right w:w="15" w:type="dxa"/>
          </w:tblCellMar>
          <w:tblLook w:val="04A0" w:firstRow="1" w:lastRow="0" w:firstColumn="1" w:lastColumn="0" w:noHBand="0" w:noVBand="1"/>
        </w:tblPrEx>
        <w:tc>
          <w:tcPr>
            <w:tcW w:w="5000" w:type="pct"/>
            <w:gridSpan w:val="6"/>
          </w:tcPr>
          <w:p w14:paraId="08F623E8" w14:textId="77777777" w:rsidR="009F5637" w:rsidRPr="00FE714A" w:rsidRDefault="009F5637" w:rsidP="0086433D">
            <w:pPr>
              <w:widowControl w:val="0"/>
              <w:rPr>
                <w:rFonts w:ascii="Arial Narrow" w:hAnsi="Arial Narrow"/>
                <w:b/>
                <w:bCs/>
                <w:sz w:val="20"/>
                <w:szCs w:val="20"/>
              </w:rPr>
            </w:pPr>
            <w:r w:rsidRPr="00FE714A">
              <w:rPr>
                <w:rFonts w:ascii="Arial Narrow" w:hAnsi="Arial Narrow"/>
                <w:b/>
                <w:bCs/>
                <w:sz w:val="20"/>
                <w:szCs w:val="20"/>
                <w:bdr w:val="none" w:sz="0" w:space="0" w:color="auto" w:frame="1"/>
              </w:rPr>
              <w:t xml:space="preserve">Administrative Advice: </w:t>
            </w:r>
            <w:r w:rsidRPr="00FE714A">
              <w:rPr>
                <w:rFonts w:ascii="Arial Narrow" w:hAnsi="Arial Narrow"/>
                <w:sz w:val="20"/>
                <w:szCs w:val="20"/>
              </w:rPr>
              <w:t>Special Pricing Arrangements apply.</w:t>
            </w:r>
          </w:p>
        </w:tc>
      </w:tr>
    </w:tbl>
    <w:tbl>
      <w:tblPr>
        <w:tblStyle w:val="HealthConsult1"/>
        <w:tblW w:w="5000" w:type="pct"/>
        <w:tblLook w:val="04A0" w:firstRow="1" w:lastRow="0" w:firstColumn="1" w:lastColumn="0" w:noHBand="0" w:noVBand="1"/>
      </w:tblPr>
      <w:tblGrid>
        <w:gridCol w:w="9017"/>
      </w:tblGrid>
      <w:tr w:rsidR="00375F20" w:rsidRPr="00FE714A" w14:paraId="37EAF184" w14:textId="77777777" w:rsidTr="001E7DE5">
        <w:trPr>
          <w:trHeight w:val="423"/>
        </w:trPr>
        <w:tc>
          <w:tcPr>
            <w:tcW w:w="5000" w:type="pct"/>
            <w:tcBorders>
              <w:top w:val="single" w:sz="4" w:space="0" w:color="auto"/>
              <w:left w:val="single" w:sz="4" w:space="0" w:color="auto"/>
              <w:right w:val="single" w:sz="4" w:space="0" w:color="auto"/>
            </w:tcBorders>
          </w:tcPr>
          <w:bookmarkEnd w:id="72"/>
          <w:p w14:paraId="673002DE" w14:textId="77777777" w:rsidR="00375F20" w:rsidRPr="00FE714A" w:rsidRDefault="00375F20" w:rsidP="0086433D">
            <w:pPr>
              <w:widowControl w:val="0"/>
              <w:ind w:left="-57"/>
              <w:textAlignment w:val="baseline"/>
              <w:rPr>
                <w:rFonts w:ascii="Arial Narrow" w:hAnsi="Arial Narrow"/>
                <w:b/>
                <w:sz w:val="20"/>
                <w:szCs w:val="20"/>
                <w:lang w:eastAsia="en-GB"/>
              </w:rPr>
            </w:pPr>
            <w:r w:rsidRPr="00FE714A">
              <w:rPr>
                <w:rFonts w:ascii="Arial Narrow" w:hAnsi="Arial Narrow"/>
                <w:b/>
                <w:sz w:val="20"/>
                <w:szCs w:val="20"/>
                <w:lang w:eastAsia="en-GB"/>
              </w:rPr>
              <w:t>Restriction Summary new 1 / Treatment of Concept: new 2:  Authority Required</w:t>
            </w:r>
          </w:p>
        </w:tc>
      </w:tr>
      <w:tr w:rsidR="009F5637" w:rsidRPr="00FE714A" w14:paraId="7F7CC1C3" w14:textId="77777777" w:rsidTr="001E7DE5">
        <w:tc>
          <w:tcPr>
            <w:tcW w:w="5000" w:type="pct"/>
            <w:hideMark/>
          </w:tcPr>
          <w:p w14:paraId="752DF77F"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 xml:space="preserve">Indication: </w:t>
            </w:r>
            <w:r w:rsidRPr="00FE714A">
              <w:rPr>
                <w:rFonts w:ascii="Arial Narrow" w:hAnsi="Arial Narrow"/>
                <w:sz w:val="20"/>
                <w:szCs w:val="20"/>
              </w:rPr>
              <w:t>Chronic severe atopic dermatitis</w:t>
            </w:r>
          </w:p>
        </w:tc>
      </w:tr>
      <w:tr w:rsidR="009F5637" w:rsidRPr="00FE714A" w14:paraId="783B23C4" w14:textId="77777777" w:rsidTr="001E7DE5">
        <w:tc>
          <w:tcPr>
            <w:tcW w:w="5000" w:type="pct"/>
          </w:tcPr>
          <w:p w14:paraId="7029374B" w14:textId="77777777" w:rsidR="009F5637" w:rsidRPr="00FE714A" w:rsidRDefault="009F5637" w:rsidP="0086433D">
            <w:pPr>
              <w:widowControl w:val="0"/>
              <w:ind w:left="-57"/>
              <w:textAlignment w:val="baseline"/>
              <w:rPr>
                <w:rFonts w:ascii="Arial Narrow" w:hAnsi="Arial Narrow"/>
                <w:b/>
                <w:bCs/>
                <w:sz w:val="20"/>
                <w:szCs w:val="20"/>
                <w:bdr w:val="none" w:sz="0" w:space="0" w:color="auto" w:frame="1"/>
              </w:rPr>
            </w:pPr>
          </w:p>
        </w:tc>
      </w:tr>
      <w:tr w:rsidR="009F5637" w:rsidRPr="00FE714A" w14:paraId="3E3AFFA5" w14:textId="77777777" w:rsidTr="001E7DE5">
        <w:tc>
          <w:tcPr>
            <w:tcW w:w="5000" w:type="pct"/>
            <w:hideMark/>
          </w:tcPr>
          <w:p w14:paraId="6DE67C49" w14:textId="44E41138"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 xml:space="preserve">Treatment Phase: </w:t>
            </w:r>
            <w:r w:rsidRPr="00FE714A">
              <w:rPr>
                <w:rFonts w:ascii="Arial Narrow" w:hAnsi="Arial Narrow"/>
                <w:sz w:val="20"/>
                <w:szCs w:val="20"/>
                <w:bdr w:val="none" w:sz="0" w:space="0" w:color="auto" w:frame="1"/>
              </w:rPr>
              <w:t xml:space="preserve">Extended induction treatment (further 8 weeks of initial treatment of the whole body or </w:t>
            </w:r>
            <w:r w:rsidRPr="00FE714A">
              <w:rPr>
                <w:rFonts w:ascii="Arial Narrow" w:hAnsi="Arial Narrow"/>
                <w:sz w:val="20"/>
                <w:szCs w:val="20"/>
              </w:rPr>
              <w:t>the face and/or hands</w:t>
            </w:r>
            <w:r w:rsidRPr="00FE714A">
              <w:rPr>
                <w:rFonts w:ascii="Arial Narrow" w:hAnsi="Arial Narrow"/>
                <w:sz w:val="20"/>
                <w:szCs w:val="20"/>
                <w:bdr w:val="none" w:sz="0" w:space="0" w:color="auto" w:frame="1"/>
              </w:rPr>
              <w:t>)</w:t>
            </w:r>
            <w:r w:rsidRPr="00FE714A">
              <w:rPr>
                <w:rFonts w:ascii="Arial Narrow" w:hAnsi="Arial Narrow"/>
                <w:i/>
                <w:iCs/>
                <w:sz w:val="20"/>
                <w:szCs w:val="20"/>
                <w:bdr w:val="none" w:sz="0" w:space="0" w:color="auto" w:frame="1"/>
              </w:rPr>
              <w:t xml:space="preserve"> </w:t>
            </w:r>
          </w:p>
        </w:tc>
      </w:tr>
      <w:tr w:rsidR="009F5637" w:rsidRPr="00FE714A" w14:paraId="786CBF0D" w14:textId="77777777" w:rsidTr="001E7DE5">
        <w:tc>
          <w:tcPr>
            <w:tcW w:w="5000" w:type="pct"/>
          </w:tcPr>
          <w:p w14:paraId="3680709B" w14:textId="77777777" w:rsidR="009F5637" w:rsidRPr="00FE714A" w:rsidRDefault="009F5637" w:rsidP="0086433D">
            <w:pPr>
              <w:widowControl w:val="0"/>
              <w:ind w:left="-57"/>
              <w:textAlignment w:val="baseline"/>
              <w:rPr>
                <w:rFonts w:ascii="Arial Narrow" w:hAnsi="Arial Narrow"/>
                <w:b/>
                <w:bCs/>
                <w:sz w:val="20"/>
                <w:szCs w:val="20"/>
                <w:bdr w:val="none" w:sz="0" w:space="0" w:color="auto" w:frame="1"/>
              </w:rPr>
            </w:pPr>
          </w:p>
        </w:tc>
      </w:tr>
      <w:tr w:rsidR="009F5637" w:rsidRPr="00FE714A" w14:paraId="3C9D325F" w14:textId="77777777" w:rsidTr="001E7DE5">
        <w:tc>
          <w:tcPr>
            <w:tcW w:w="5000" w:type="pct"/>
            <w:hideMark/>
          </w:tcPr>
          <w:p w14:paraId="7BB07C4B"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4AE06E6F" w14:textId="77777777" w:rsidTr="001E7DE5">
        <w:tc>
          <w:tcPr>
            <w:tcW w:w="5000" w:type="pct"/>
            <w:hideMark/>
          </w:tcPr>
          <w:p w14:paraId="6BA598B6"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cs="Calibri"/>
                <w:sz w:val="20"/>
                <w:szCs w:val="20"/>
              </w:rPr>
              <w:t>Patient must have received PBS-subsidised treatment with this biological medicine for the treatment of chronic severe atopic dermatitis under the initial treatment phase of the whole body or</w:t>
            </w:r>
            <w:r w:rsidRPr="00FE714A">
              <w:rPr>
                <w:rFonts w:ascii="Arial Narrow" w:hAnsi="Arial Narrow"/>
                <w:sz w:val="20"/>
                <w:szCs w:val="20"/>
              </w:rPr>
              <w:t xml:space="preserve"> the face and/or hands</w:t>
            </w:r>
          </w:p>
        </w:tc>
      </w:tr>
      <w:tr w:rsidR="009F5637" w:rsidRPr="00FE714A" w14:paraId="57E9C21B" w14:textId="77777777" w:rsidTr="001E7DE5">
        <w:tc>
          <w:tcPr>
            <w:tcW w:w="5000" w:type="pct"/>
            <w:hideMark/>
          </w:tcPr>
          <w:p w14:paraId="643B744E"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3633206A" w14:textId="77777777" w:rsidTr="001E7DE5">
        <w:tc>
          <w:tcPr>
            <w:tcW w:w="5000" w:type="pct"/>
            <w:hideMark/>
          </w:tcPr>
          <w:p w14:paraId="4BA28E1F"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5C1A43B9" w14:textId="77777777" w:rsidTr="001E7DE5">
        <w:tc>
          <w:tcPr>
            <w:tcW w:w="5000" w:type="pct"/>
            <w:hideMark/>
          </w:tcPr>
          <w:p w14:paraId="6672C5C7" w14:textId="7A2CC976" w:rsidR="009F5637" w:rsidRPr="00FE714A" w:rsidRDefault="009F5637" w:rsidP="0086433D">
            <w:pPr>
              <w:widowControl w:val="0"/>
              <w:ind w:left="-57"/>
              <w:rPr>
                <w:rFonts w:ascii="Arial Narrow" w:hAnsi="Arial Narrow"/>
                <w:sz w:val="20"/>
                <w:szCs w:val="20"/>
              </w:rPr>
            </w:pPr>
            <w:r w:rsidRPr="00FE714A">
              <w:rPr>
                <w:rFonts w:ascii="Arial Narrow" w:hAnsi="Arial Narrow" w:cs="Calibri"/>
                <w:sz w:val="20"/>
                <w:szCs w:val="20"/>
              </w:rPr>
              <w:t>Patient must not be undergoing each of: (</w:t>
            </w:r>
            <w:proofErr w:type="spellStart"/>
            <w:r w:rsidRPr="00FE714A">
              <w:rPr>
                <w:rFonts w:ascii="Arial Narrow" w:hAnsi="Arial Narrow" w:cs="Calibri"/>
                <w:sz w:val="20"/>
                <w:szCs w:val="20"/>
              </w:rPr>
              <w:t>i</w:t>
            </w:r>
            <w:proofErr w:type="spellEnd"/>
            <w:r w:rsidRPr="00FE714A">
              <w:rPr>
                <w:rFonts w:ascii="Arial Narrow" w:hAnsi="Arial Narrow" w:cs="Calibri"/>
                <w:sz w:val="20"/>
                <w:szCs w:val="20"/>
              </w:rPr>
              <w:t>) commencing treatment through this treatment phase listing, (ii) treatment accessed through this treatment phase more than once;</w:t>
            </w:r>
          </w:p>
        </w:tc>
      </w:tr>
      <w:tr w:rsidR="009F5637" w:rsidRPr="00FE714A" w14:paraId="3FB48F2F" w14:textId="77777777" w:rsidTr="001E7DE5">
        <w:tc>
          <w:tcPr>
            <w:tcW w:w="5000" w:type="pct"/>
            <w:hideMark/>
          </w:tcPr>
          <w:p w14:paraId="34230CF3"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2926FE5D" w14:textId="77777777" w:rsidTr="001E7DE5">
        <w:tc>
          <w:tcPr>
            <w:tcW w:w="5000" w:type="pct"/>
            <w:hideMark/>
          </w:tcPr>
          <w:p w14:paraId="6714EF23"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15D36845" w14:textId="77777777" w:rsidTr="001E7DE5">
        <w:tc>
          <w:tcPr>
            <w:tcW w:w="5000" w:type="pct"/>
            <w:hideMark/>
          </w:tcPr>
          <w:p w14:paraId="054727ED" w14:textId="0CFE8A55" w:rsidR="009F5637" w:rsidRPr="00FE714A" w:rsidRDefault="009F5637" w:rsidP="0086433D">
            <w:pPr>
              <w:widowControl w:val="0"/>
              <w:ind w:left="-57"/>
              <w:rPr>
                <w:rFonts w:ascii="Arial Narrow" w:hAnsi="Arial Narrow"/>
                <w:sz w:val="20"/>
                <w:szCs w:val="20"/>
              </w:rPr>
            </w:pPr>
            <w:r w:rsidRPr="00FE714A">
              <w:rPr>
                <w:rFonts w:ascii="Arial Narrow" w:hAnsi="Arial Narrow" w:cs="Calibri"/>
                <w:sz w:val="20"/>
                <w:szCs w:val="20"/>
              </w:rPr>
              <w:t xml:space="preserve">Patient must not have achieved adequate response after 16 weeks of initial treatment with </w:t>
            </w:r>
            <w:r w:rsidRPr="00FE714A">
              <w:rPr>
                <w:rFonts w:ascii="Arial Narrow" w:hAnsi="Arial Narrow"/>
                <w:sz w:val="20"/>
                <w:szCs w:val="20"/>
              </w:rPr>
              <w:t>this drug in this PBS indication</w:t>
            </w:r>
            <w:r w:rsidRPr="00FE714A">
              <w:rPr>
                <w:rFonts w:ascii="Arial Narrow" w:hAnsi="Arial Narrow" w:cs="Calibri"/>
                <w:sz w:val="20"/>
                <w:szCs w:val="20"/>
              </w:rPr>
              <w:t>;</w:t>
            </w:r>
          </w:p>
        </w:tc>
      </w:tr>
      <w:tr w:rsidR="009F5637" w:rsidRPr="00EE45E7" w14:paraId="0621CFE3" w14:textId="77777777" w:rsidTr="001E7DE5">
        <w:tc>
          <w:tcPr>
            <w:tcW w:w="5000" w:type="pct"/>
            <w:hideMark/>
          </w:tcPr>
          <w:p w14:paraId="3027E8FC" w14:textId="77777777" w:rsidR="009F5637" w:rsidRPr="00EE45E7" w:rsidRDefault="009F5637" w:rsidP="0086433D">
            <w:pPr>
              <w:widowControl w:val="0"/>
              <w:ind w:left="-57"/>
              <w:rPr>
                <w:rFonts w:ascii="Arial Narrow" w:hAnsi="Arial Narrow"/>
                <w:sz w:val="20"/>
                <w:szCs w:val="20"/>
              </w:rPr>
            </w:pPr>
            <w:r w:rsidRPr="00EE45E7">
              <w:rPr>
                <w:rFonts w:ascii="Arial Narrow" w:hAnsi="Arial Narrow"/>
                <w:b/>
                <w:bCs/>
                <w:sz w:val="20"/>
                <w:szCs w:val="20"/>
                <w:bdr w:val="none" w:sz="0" w:space="0" w:color="auto" w:frame="1"/>
              </w:rPr>
              <w:t>AND</w:t>
            </w:r>
          </w:p>
        </w:tc>
      </w:tr>
      <w:tr w:rsidR="009F5637" w:rsidRPr="00FE714A" w14:paraId="72172456" w14:textId="77777777" w:rsidTr="001E7DE5">
        <w:tc>
          <w:tcPr>
            <w:tcW w:w="5000" w:type="pct"/>
            <w:hideMark/>
          </w:tcPr>
          <w:p w14:paraId="1FB807FC"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63AE72A8" w14:textId="77777777" w:rsidTr="001E7DE5">
        <w:tc>
          <w:tcPr>
            <w:tcW w:w="5000" w:type="pct"/>
            <w:hideMark/>
          </w:tcPr>
          <w:p w14:paraId="50D70382"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The treatment must be the sole PBS-subsidised biological medicine for this PBS indication</w:t>
            </w:r>
          </w:p>
        </w:tc>
      </w:tr>
      <w:tr w:rsidR="009F5637" w:rsidRPr="00FE714A" w14:paraId="0D4131C7" w14:textId="77777777" w:rsidTr="001E7DE5">
        <w:tc>
          <w:tcPr>
            <w:tcW w:w="5000" w:type="pct"/>
            <w:hideMark/>
          </w:tcPr>
          <w:p w14:paraId="3D73599A"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1FA07380" w14:textId="77777777" w:rsidTr="001E7DE5">
        <w:tc>
          <w:tcPr>
            <w:tcW w:w="5000" w:type="pct"/>
            <w:hideMark/>
          </w:tcPr>
          <w:p w14:paraId="64E77C82"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Treatment criteria:</w:t>
            </w:r>
          </w:p>
        </w:tc>
      </w:tr>
      <w:tr w:rsidR="009F5637" w:rsidRPr="00FE714A" w14:paraId="387C7AD0" w14:textId="77777777" w:rsidTr="001E7DE5">
        <w:tc>
          <w:tcPr>
            <w:tcW w:w="5000" w:type="pct"/>
            <w:hideMark/>
          </w:tcPr>
          <w:p w14:paraId="4AC31153"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Must be treated by a dermatologist; or</w:t>
            </w:r>
          </w:p>
        </w:tc>
      </w:tr>
      <w:tr w:rsidR="009F5637" w:rsidRPr="00FE714A" w14:paraId="511FF8E7" w14:textId="77777777" w:rsidTr="001E7DE5">
        <w:tc>
          <w:tcPr>
            <w:tcW w:w="5000" w:type="pct"/>
            <w:hideMark/>
          </w:tcPr>
          <w:p w14:paraId="48F098BA"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Must be treated by a clinical immunologist</w:t>
            </w:r>
          </w:p>
        </w:tc>
      </w:tr>
      <w:tr w:rsidR="009F5637" w:rsidRPr="00FE714A" w14:paraId="0FC14EEE" w14:textId="77777777" w:rsidTr="001E7DE5">
        <w:tc>
          <w:tcPr>
            <w:tcW w:w="5000" w:type="pct"/>
          </w:tcPr>
          <w:p w14:paraId="5AFBFA61" w14:textId="77777777" w:rsidR="009F5637" w:rsidRPr="00FE714A" w:rsidRDefault="009F5637" w:rsidP="0086433D">
            <w:pPr>
              <w:widowControl w:val="0"/>
              <w:ind w:left="-57"/>
              <w:rPr>
                <w:rFonts w:ascii="Arial Narrow" w:hAnsi="Arial Narrow"/>
                <w:b/>
                <w:bCs/>
                <w:sz w:val="20"/>
                <w:szCs w:val="20"/>
              </w:rPr>
            </w:pPr>
            <w:r w:rsidRPr="00FE714A">
              <w:rPr>
                <w:rFonts w:ascii="Arial Narrow" w:hAnsi="Arial Narrow"/>
                <w:b/>
                <w:bCs/>
                <w:sz w:val="20"/>
                <w:szCs w:val="20"/>
              </w:rPr>
              <w:t>AND</w:t>
            </w:r>
          </w:p>
        </w:tc>
      </w:tr>
      <w:tr w:rsidR="009F5637" w:rsidRPr="00FE714A" w14:paraId="37BEFAF2" w14:textId="77777777" w:rsidTr="001E7DE5">
        <w:tc>
          <w:tcPr>
            <w:tcW w:w="5000" w:type="pct"/>
          </w:tcPr>
          <w:p w14:paraId="7387B1DA"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Population criteria:</w:t>
            </w:r>
          </w:p>
        </w:tc>
      </w:tr>
      <w:tr w:rsidR="009F5637" w:rsidRPr="00FE714A" w14:paraId="0172D662" w14:textId="77777777" w:rsidTr="001E7DE5">
        <w:tc>
          <w:tcPr>
            <w:tcW w:w="5000" w:type="pct"/>
          </w:tcPr>
          <w:p w14:paraId="0F9FD31E"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Patient must be 12 years of age or older</w:t>
            </w:r>
          </w:p>
        </w:tc>
      </w:tr>
      <w:tr w:rsidR="009F5637" w:rsidRPr="00FE714A" w14:paraId="3D71FDDE" w14:textId="77777777" w:rsidTr="001E7DE5">
        <w:tc>
          <w:tcPr>
            <w:tcW w:w="5000" w:type="pct"/>
          </w:tcPr>
          <w:p w14:paraId="171C8DA0" w14:textId="77777777" w:rsidR="009F5637" w:rsidRPr="00FE714A" w:rsidRDefault="009F5637" w:rsidP="0086433D">
            <w:pPr>
              <w:widowControl w:val="0"/>
              <w:ind w:left="-57"/>
              <w:rPr>
                <w:rFonts w:ascii="Arial Narrow" w:hAnsi="Arial Narrow"/>
                <w:i/>
                <w:iCs/>
                <w:sz w:val="20"/>
                <w:szCs w:val="20"/>
              </w:rPr>
            </w:pPr>
          </w:p>
        </w:tc>
      </w:tr>
      <w:tr w:rsidR="009F5637" w:rsidRPr="00FE714A" w14:paraId="779392F7" w14:textId="77777777" w:rsidTr="001E7DE5">
        <w:tc>
          <w:tcPr>
            <w:tcW w:w="5000" w:type="pct"/>
            <w:hideMark/>
          </w:tcPr>
          <w:p w14:paraId="0E8DC381"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Prescribing Instructions:</w:t>
            </w:r>
          </w:p>
          <w:p w14:paraId="4D84B7FF" w14:textId="77777777" w:rsidR="009F5637" w:rsidRPr="00FE714A" w:rsidRDefault="009F5637" w:rsidP="0086433D">
            <w:pPr>
              <w:widowControl w:val="0"/>
              <w:ind w:left="-57"/>
              <w:textAlignment w:val="baseline"/>
              <w:rPr>
                <w:rFonts w:ascii="Arial Narrow" w:hAnsi="Arial Narrow" w:cs="Calibri"/>
                <w:sz w:val="20"/>
                <w:szCs w:val="20"/>
              </w:rPr>
            </w:pPr>
            <w:r w:rsidRPr="00FE714A">
              <w:rPr>
                <w:rFonts w:ascii="Arial Narrow" w:hAnsi="Arial Narrow"/>
                <w:sz w:val="20"/>
                <w:szCs w:val="20"/>
              </w:rPr>
              <w:t xml:space="preserve">Prescriber must only apply for this treatment phase if the patient has had a partial response to treatment and the prescriber considers that further induction treatment (further 8 weeks of therapy) with this drug is likely to result </w:t>
            </w:r>
            <w:r w:rsidRPr="00FE714A">
              <w:rPr>
                <w:rFonts w:ascii="Arial Narrow" w:hAnsi="Arial Narrow" w:cs="Calibri"/>
                <w:sz w:val="20"/>
                <w:szCs w:val="20"/>
              </w:rPr>
              <w:t xml:space="preserve">in an adequate response. </w:t>
            </w:r>
          </w:p>
        </w:tc>
      </w:tr>
      <w:tr w:rsidR="009F5637" w:rsidRPr="00FE714A" w14:paraId="02C7D8CB" w14:textId="77777777" w:rsidTr="001E7DE5">
        <w:tc>
          <w:tcPr>
            <w:tcW w:w="5000" w:type="pct"/>
          </w:tcPr>
          <w:p w14:paraId="2C8B17DA"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Prescribing Instructions:</w:t>
            </w:r>
          </w:p>
          <w:p w14:paraId="6F1ED9E3" w14:textId="77777777" w:rsidR="009F5637" w:rsidRPr="00FE714A" w:rsidRDefault="009F5637" w:rsidP="0086433D">
            <w:pPr>
              <w:rPr>
                <w:rFonts w:ascii="Arial Narrow" w:hAnsi="Arial Narrow"/>
                <w:sz w:val="20"/>
                <w:szCs w:val="20"/>
              </w:rPr>
            </w:pPr>
            <w:r w:rsidRPr="00FE714A">
              <w:rPr>
                <w:rFonts w:ascii="Arial Narrow" w:hAnsi="Arial Narrow"/>
                <w:sz w:val="20"/>
                <w:szCs w:val="20"/>
              </w:rPr>
              <w:t>For the purposes of this restriction, an adequate response to treatment of whole body is defined as:</w:t>
            </w:r>
          </w:p>
          <w:p w14:paraId="0D99D58D" w14:textId="77777777" w:rsidR="009F5637" w:rsidRPr="00FE714A" w:rsidRDefault="009F5637" w:rsidP="0086433D">
            <w:pPr>
              <w:rPr>
                <w:rFonts w:ascii="Arial Narrow" w:hAnsi="Arial Narrow"/>
                <w:sz w:val="20"/>
                <w:szCs w:val="20"/>
              </w:rPr>
            </w:pPr>
            <w:r w:rsidRPr="00FE714A">
              <w:rPr>
                <w:rFonts w:ascii="Arial Narrow" w:hAnsi="Arial Narrow"/>
                <w:sz w:val="20"/>
                <w:szCs w:val="20"/>
              </w:rPr>
              <w:t>(a) An improvement/maintenance in the Eczema Area and Severity Index (EASI) score of at least 50% compared to baseline; and</w:t>
            </w:r>
          </w:p>
          <w:p w14:paraId="61A22DE7" w14:textId="77777777" w:rsidR="009F5637" w:rsidRPr="00FE714A" w:rsidRDefault="009F5637" w:rsidP="0086433D">
            <w:pPr>
              <w:rPr>
                <w:rFonts w:ascii="Arial Narrow" w:hAnsi="Arial Narrow"/>
                <w:sz w:val="20"/>
                <w:szCs w:val="20"/>
              </w:rPr>
            </w:pPr>
            <w:r w:rsidRPr="00FE714A">
              <w:rPr>
                <w:rFonts w:ascii="Arial Narrow" w:hAnsi="Arial Narrow"/>
                <w:sz w:val="20"/>
                <w:szCs w:val="20"/>
              </w:rPr>
              <w:t>(b) An improvement/maintenance in Dermatology Life Quality Index (DLQI) score of at least 4 points compared to baseline</w:t>
            </w:r>
          </w:p>
          <w:p w14:paraId="25C7F327" w14:textId="77777777" w:rsidR="009F5637" w:rsidRPr="00FE714A" w:rsidRDefault="009F5637" w:rsidP="0086433D">
            <w:pPr>
              <w:widowControl w:val="0"/>
              <w:textAlignment w:val="baseline"/>
              <w:rPr>
                <w:rFonts w:ascii="Arial Narrow" w:hAnsi="Arial Narrow"/>
                <w:b/>
                <w:bCs/>
                <w:i/>
                <w:iCs/>
                <w:sz w:val="20"/>
                <w:szCs w:val="20"/>
                <w:bdr w:val="none" w:sz="0" w:space="0" w:color="auto" w:frame="1"/>
              </w:rPr>
            </w:pPr>
            <w:r w:rsidRPr="00FE714A">
              <w:rPr>
                <w:rFonts w:ascii="Arial Narrow" w:hAnsi="Arial Narrow"/>
                <w:sz w:val="20"/>
                <w:szCs w:val="20"/>
              </w:rPr>
              <w:t>State each of the current EASI and DLQI scores for this authority application</w:t>
            </w:r>
            <w:r w:rsidRPr="00FE714A">
              <w:rPr>
                <w:rFonts w:ascii="Arial Narrow" w:hAnsi="Arial Narrow"/>
                <w:color w:val="333333"/>
                <w:sz w:val="20"/>
                <w:szCs w:val="20"/>
              </w:rPr>
              <w:t>.</w:t>
            </w:r>
          </w:p>
        </w:tc>
      </w:tr>
      <w:tr w:rsidR="009F5637" w:rsidRPr="00FE714A" w14:paraId="68EE5425" w14:textId="77777777" w:rsidTr="001E7DE5">
        <w:tc>
          <w:tcPr>
            <w:tcW w:w="5000" w:type="pct"/>
          </w:tcPr>
          <w:p w14:paraId="2F638E86"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Prescribing Instructions:</w:t>
            </w:r>
          </w:p>
          <w:p w14:paraId="195F6547"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For the purposes of this restriction, an adequate response to treatment of the face/hands is defined as:</w:t>
            </w:r>
          </w:p>
          <w:p w14:paraId="7BBD09EA"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(a) (</w:t>
            </w:r>
            <w:proofErr w:type="spellStart"/>
            <w:r w:rsidRPr="00FE714A">
              <w:rPr>
                <w:rFonts w:ascii="Arial Narrow" w:hAnsi="Arial Narrow"/>
                <w:sz w:val="20"/>
                <w:szCs w:val="20"/>
              </w:rPr>
              <w:t>i</w:t>
            </w:r>
            <w:proofErr w:type="spellEnd"/>
            <w:r w:rsidRPr="00FE714A">
              <w:rPr>
                <w:rFonts w:ascii="Arial Narrow" w:hAnsi="Arial Narrow"/>
                <w:sz w:val="20"/>
                <w:szCs w:val="20"/>
              </w:rPr>
              <w:t xml:space="preserve">) A rating of either mild (1) to none (0) on at least 3 of the assessments of erythema, oedema/papulation, excoriation and </w:t>
            </w:r>
            <w:proofErr w:type="spellStart"/>
            <w:r w:rsidRPr="00FE714A">
              <w:rPr>
                <w:rFonts w:ascii="Arial Narrow" w:hAnsi="Arial Narrow"/>
                <w:sz w:val="20"/>
                <w:szCs w:val="20"/>
              </w:rPr>
              <w:t>lichenification</w:t>
            </w:r>
            <w:proofErr w:type="spellEnd"/>
            <w:r w:rsidRPr="00FE714A">
              <w:rPr>
                <w:rFonts w:ascii="Arial Narrow" w:hAnsi="Arial Narrow"/>
                <w:sz w:val="20"/>
                <w:szCs w:val="20"/>
              </w:rPr>
              <w:t xml:space="preserve"> mentioned in the Eczema Area and Severity Index (EASI); or</w:t>
            </w:r>
          </w:p>
          <w:p w14:paraId="1E324DE5"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(ii) At least a 75% reduction in the skin area affected by this condition compared to baseline; and</w:t>
            </w:r>
          </w:p>
          <w:p w14:paraId="0AE315A6"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(b) An improvement in Dermatology Life Quality Index (DLQI) score of at least 4 points compared to baseline</w:t>
            </w:r>
          </w:p>
          <w:p w14:paraId="44C23169"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Document each qualifying response measure in the patient's medical records for PBS compliance auditing purposes</w:t>
            </w:r>
          </w:p>
        </w:tc>
      </w:tr>
      <w:tr w:rsidR="009F5637" w:rsidRPr="00FE714A" w14:paraId="56EEE8E6" w14:textId="77777777" w:rsidTr="001E7DE5">
        <w:tc>
          <w:tcPr>
            <w:tcW w:w="5000" w:type="pct"/>
          </w:tcPr>
          <w:p w14:paraId="78D8025F"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Prescribing Instructions:</w:t>
            </w:r>
          </w:p>
          <w:p w14:paraId="11DFEF60" w14:textId="7AE11FCC" w:rsidR="009F5637" w:rsidRPr="00FE714A" w:rsidRDefault="009F5637" w:rsidP="0086433D">
            <w:pPr>
              <w:widowControl w:val="0"/>
              <w:ind w:left="-57"/>
              <w:textAlignment w:val="baseline"/>
              <w:rPr>
                <w:rFonts w:ascii="Arial Narrow" w:hAnsi="Arial Narrow"/>
                <w:sz w:val="20"/>
                <w:szCs w:val="20"/>
                <w:bdr w:val="none" w:sz="0" w:space="0" w:color="auto" w:frame="1"/>
              </w:rPr>
            </w:pPr>
            <w:r w:rsidRPr="00FE714A">
              <w:rPr>
                <w:rFonts w:ascii="Arial Narrow" w:hAnsi="Arial Narrow"/>
                <w:sz w:val="20"/>
                <w:szCs w:val="20"/>
                <w:bdr w:val="none" w:sz="0" w:space="0" w:color="auto" w:frame="1"/>
              </w:rPr>
              <w:t>A second assessment of response must be conducted between 24 to 28 weeks from the first administered dose of this drug to determine the patient’s eligibility for continuing treatment. Where an assessment is not undertaken, the patient will not be eligible for ongoing treatment.</w:t>
            </w:r>
          </w:p>
        </w:tc>
      </w:tr>
    </w:tbl>
    <w:p w14:paraId="2669B425" w14:textId="77777777" w:rsidR="00375F20" w:rsidRPr="00FE714A" w:rsidRDefault="00375F20" w:rsidP="00375F20">
      <w:pPr>
        <w:spacing w:after="120"/>
        <w:rPr>
          <w:rFonts w:asciiTheme="minorHAnsi" w:hAnsiTheme="minorHAnsi" w:cstheme="minorHAnsi"/>
          <w:color w:val="365F91" w:themeColor="accent1" w:themeShade="BF"/>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7"/>
        <w:gridCol w:w="1134"/>
        <w:gridCol w:w="851"/>
        <w:gridCol w:w="992"/>
        <w:gridCol w:w="709"/>
        <w:gridCol w:w="1254"/>
      </w:tblGrid>
      <w:tr w:rsidR="00375F20" w:rsidRPr="00FE714A" w14:paraId="445D58B7" w14:textId="77777777" w:rsidTr="001E7DE5">
        <w:trPr>
          <w:cantSplit/>
          <w:trHeight w:val="471"/>
        </w:trPr>
        <w:tc>
          <w:tcPr>
            <w:tcW w:w="4127" w:type="dxa"/>
          </w:tcPr>
          <w:p w14:paraId="4030BB32" w14:textId="77777777" w:rsidR="00375F20" w:rsidRPr="00FE714A" w:rsidRDefault="00375F20" w:rsidP="0086433D">
            <w:pPr>
              <w:widowControl w:val="0"/>
              <w:ind w:left="-57"/>
              <w:rPr>
                <w:rFonts w:ascii="Arial Narrow" w:hAnsi="Arial Narrow"/>
                <w:b/>
                <w:bCs/>
                <w:sz w:val="20"/>
                <w:szCs w:val="20"/>
                <w:lang w:eastAsia="en-GB"/>
              </w:rPr>
            </w:pPr>
            <w:r w:rsidRPr="00FE714A">
              <w:rPr>
                <w:rFonts w:ascii="Arial Narrow" w:hAnsi="Arial Narrow"/>
                <w:b/>
                <w:bCs/>
                <w:sz w:val="20"/>
                <w:szCs w:val="20"/>
                <w:lang w:eastAsia="en-GB"/>
              </w:rPr>
              <w:t>MEDICINAL PRODUCT</w:t>
            </w:r>
          </w:p>
          <w:p w14:paraId="288A3925" w14:textId="77777777" w:rsidR="00375F20" w:rsidRPr="00FE714A" w:rsidRDefault="00375F20" w:rsidP="0086433D">
            <w:pPr>
              <w:widowControl w:val="0"/>
              <w:ind w:left="-57"/>
              <w:rPr>
                <w:rFonts w:ascii="Arial Narrow" w:hAnsi="Arial Narrow"/>
                <w:b/>
                <w:sz w:val="20"/>
                <w:szCs w:val="20"/>
                <w:lang w:eastAsia="en-GB"/>
              </w:rPr>
            </w:pPr>
            <w:r w:rsidRPr="00FE714A">
              <w:rPr>
                <w:rFonts w:ascii="Arial Narrow" w:hAnsi="Arial Narrow"/>
                <w:b/>
                <w:bCs/>
                <w:sz w:val="20"/>
                <w:szCs w:val="20"/>
                <w:lang w:eastAsia="en-GB"/>
              </w:rPr>
              <w:t>medicinal product pack</w:t>
            </w:r>
          </w:p>
        </w:tc>
        <w:tc>
          <w:tcPr>
            <w:tcW w:w="1134" w:type="dxa"/>
          </w:tcPr>
          <w:p w14:paraId="59BEFAF6"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PBS item code</w:t>
            </w:r>
          </w:p>
        </w:tc>
        <w:tc>
          <w:tcPr>
            <w:tcW w:w="851" w:type="dxa"/>
          </w:tcPr>
          <w:p w14:paraId="0EAE83E4"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Max. qty packs</w:t>
            </w:r>
          </w:p>
        </w:tc>
        <w:tc>
          <w:tcPr>
            <w:tcW w:w="992" w:type="dxa"/>
          </w:tcPr>
          <w:p w14:paraId="5806711B"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Max. qty units</w:t>
            </w:r>
          </w:p>
        </w:tc>
        <w:tc>
          <w:tcPr>
            <w:tcW w:w="709" w:type="dxa"/>
          </w:tcPr>
          <w:p w14:paraId="0A2E0A41" w14:textId="77777777" w:rsidR="00375F20" w:rsidRPr="00FE714A" w:rsidRDefault="00375F20" w:rsidP="0086433D">
            <w:pPr>
              <w:widowControl w:val="0"/>
              <w:ind w:left="-108"/>
              <w:jc w:val="center"/>
              <w:rPr>
                <w:rFonts w:ascii="Arial Narrow" w:hAnsi="Arial Narrow"/>
                <w:b/>
                <w:sz w:val="20"/>
                <w:szCs w:val="20"/>
                <w:lang w:eastAsia="en-GB"/>
              </w:rPr>
            </w:pPr>
            <w:r w:rsidRPr="00FE714A">
              <w:rPr>
                <w:rFonts w:ascii="Arial Narrow" w:hAnsi="Arial Narrow"/>
                <w:b/>
                <w:sz w:val="20"/>
                <w:szCs w:val="20"/>
                <w:lang w:eastAsia="en-GB"/>
              </w:rPr>
              <w:t>№.of</w:t>
            </w:r>
          </w:p>
          <w:p w14:paraId="234C133E" w14:textId="77777777" w:rsidR="00375F20" w:rsidRPr="00FE714A" w:rsidRDefault="00375F20" w:rsidP="0086433D">
            <w:pPr>
              <w:widowControl w:val="0"/>
              <w:ind w:left="-108"/>
              <w:jc w:val="center"/>
              <w:rPr>
                <w:rFonts w:ascii="Arial Narrow" w:hAnsi="Arial Narrow"/>
                <w:b/>
                <w:sz w:val="20"/>
                <w:szCs w:val="20"/>
                <w:lang w:eastAsia="en-GB"/>
              </w:rPr>
            </w:pPr>
            <w:proofErr w:type="spellStart"/>
            <w:r w:rsidRPr="00FE714A">
              <w:rPr>
                <w:rFonts w:ascii="Arial Narrow" w:hAnsi="Arial Narrow"/>
                <w:b/>
                <w:sz w:val="20"/>
                <w:szCs w:val="20"/>
                <w:lang w:eastAsia="en-GB"/>
              </w:rPr>
              <w:t>Rpts</w:t>
            </w:r>
            <w:proofErr w:type="spellEnd"/>
          </w:p>
        </w:tc>
        <w:tc>
          <w:tcPr>
            <w:tcW w:w="1254" w:type="dxa"/>
          </w:tcPr>
          <w:p w14:paraId="388AEAC5" w14:textId="77777777" w:rsidR="00375F20" w:rsidRPr="00FE714A" w:rsidRDefault="00375F20" w:rsidP="0086433D">
            <w:pPr>
              <w:widowControl w:val="0"/>
              <w:rPr>
                <w:rFonts w:ascii="Arial Narrow" w:hAnsi="Arial Narrow"/>
                <w:b/>
                <w:sz w:val="20"/>
                <w:szCs w:val="20"/>
                <w:lang w:eastAsia="en-GB"/>
              </w:rPr>
            </w:pPr>
            <w:r w:rsidRPr="00FE714A">
              <w:rPr>
                <w:rFonts w:ascii="Arial Narrow" w:hAnsi="Arial Narrow"/>
                <w:b/>
                <w:sz w:val="20"/>
                <w:szCs w:val="20"/>
                <w:lang w:eastAsia="en-GB"/>
              </w:rPr>
              <w:t>Available brands and manufacturer</w:t>
            </w:r>
          </w:p>
        </w:tc>
      </w:tr>
      <w:tr w:rsidR="00375F20" w:rsidRPr="00FE714A" w14:paraId="30BFD437" w14:textId="77777777" w:rsidTr="001E7DE5">
        <w:trPr>
          <w:cantSplit/>
          <w:trHeight w:val="224"/>
        </w:trPr>
        <w:tc>
          <w:tcPr>
            <w:tcW w:w="9067" w:type="dxa"/>
            <w:gridSpan w:val="6"/>
          </w:tcPr>
          <w:p w14:paraId="4C213374" w14:textId="77777777" w:rsidR="00375F20" w:rsidRPr="00FE714A" w:rsidRDefault="00375F20" w:rsidP="0086433D">
            <w:pPr>
              <w:widowControl w:val="0"/>
              <w:ind w:left="-57"/>
              <w:rPr>
                <w:rFonts w:ascii="Arial Narrow" w:hAnsi="Arial Narrow"/>
                <w:sz w:val="20"/>
                <w:szCs w:val="20"/>
                <w:lang w:eastAsia="en-GB"/>
              </w:rPr>
            </w:pPr>
            <w:r w:rsidRPr="00FE714A">
              <w:rPr>
                <w:rFonts w:ascii="Arial Narrow" w:hAnsi="Arial Narrow"/>
                <w:sz w:val="20"/>
                <w:szCs w:val="20"/>
                <w:lang w:eastAsia="en-GB"/>
              </w:rPr>
              <w:t>LEBRIKIZUMAB</w:t>
            </w:r>
          </w:p>
        </w:tc>
      </w:tr>
      <w:tr w:rsidR="00375F20" w:rsidRPr="00FE714A" w14:paraId="0F084695" w14:textId="77777777" w:rsidTr="001E7DE5">
        <w:trPr>
          <w:cantSplit/>
          <w:trHeight w:val="279"/>
        </w:trPr>
        <w:tc>
          <w:tcPr>
            <w:tcW w:w="4127" w:type="dxa"/>
          </w:tcPr>
          <w:p w14:paraId="4A3D0B1C" w14:textId="77777777" w:rsidR="00375F20" w:rsidRPr="00FE714A" w:rsidRDefault="00375F20" w:rsidP="0086433D">
            <w:pPr>
              <w:widowControl w:val="0"/>
              <w:ind w:left="-57"/>
              <w:rPr>
                <w:rFonts w:ascii="Arial Narrow" w:hAnsi="Arial Narrow"/>
                <w:sz w:val="20"/>
                <w:szCs w:val="20"/>
                <w:lang w:eastAsia="en-GB"/>
              </w:rPr>
            </w:pPr>
            <w:r w:rsidRPr="00FE714A">
              <w:rPr>
                <w:rFonts w:ascii="Arial Narrow" w:hAnsi="Arial Narrow"/>
                <w:sz w:val="20"/>
                <w:szCs w:val="20"/>
                <w:lang w:eastAsia="en-GB"/>
              </w:rPr>
              <w:t>lebrikizumab 250 mg/2 mL injection, 2 mL pen device</w:t>
            </w:r>
          </w:p>
        </w:tc>
        <w:tc>
          <w:tcPr>
            <w:tcW w:w="1134" w:type="dxa"/>
          </w:tcPr>
          <w:p w14:paraId="22E015CD" w14:textId="77777777"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 xml:space="preserve">New </w:t>
            </w:r>
          </w:p>
          <w:p w14:paraId="09B13124" w14:textId="77777777" w:rsidR="00375F20" w:rsidRPr="00FE714A" w:rsidRDefault="00375F20" w:rsidP="0086433D">
            <w:pPr>
              <w:widowControl w:val="0"/>
              <w:jc w:val="center"/>
              <w:rPr>
                <w:rFonts w:ascii="Arial Narrow" w:hAnsi="Arial Narrow"/>
                <w:sz w:val="20"/>
                <w:szCs w:val="20"/>
                <w:vertAlign w:val="subscript"/>
                <w:lang w:eastAsia="en-GB"/>
              </w:rPr>
            </w:pPr>
            <w:r w:rsidRPr="00FE714A">
              <w:rPr>
                <w:rFonts w:ascii="Arial Narrow" w:hAnsi="Arial Narrow"/>
                <w:sz w:val="20"/>
                <w:szCs w:val="20"/>
                <w:vertAlign w:val="subscript"/>
                <w:lang w:eastAsia="en-GB"/>
              </w:rPr>
              <w:t>MP</w:t>
            </w:r>
          </w:p>
        </w:tc>
        <w:tc>
          <w:tcPr>
            <w:tcW w:w="851" w:type="dxa"/>
          </w:tcPr>
          <w:p w14:paraId="6DB6F97B" w14:textId="77777777"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1</w:t>
            </w:r>
          </w:p>
        </w:tc>
        <w:tc>
          <w:tcPr>
            <w:tcW w:w="992" w:type="dxa"/>
          </w:tcPr>
          <w:p w14:paraId="1F8DE7DC" w14:textId="77777777"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1</w:t>
            </w:r>
          </w:p>
        </w:tc>
        <w:tc>
          <w:tcPr>
            <w:tcW w:w="709" w:type="dxa"/>
          </w:tcPr>
          <w:p w14:paraId="2204A649" w14:textId="77777777" w:rsidR="00375F20" w:rsidRPr="00FE714A" w:rsidRDefault="00375F20" w:rsidP="0086433D">
            <w:pPr>
              <w:widowControl w:val="0"/>
              <w:jc w:val="center"/>
              <w:rPr>
                <w:rFonts w:ascii="Arial Narrow" w:hAnsi="Arial Narrow"/>
                <w:sz w:val="20"/>
                <w:szCs w:val="20"/>
                <w:lang w:eastAsia="en-GB"/>
              </w:rPr>
            </w:pPr>
            <w:r w:rsidRPr="00FE714A">
              <w:rPr>
                <w:rFonts w:ascii="Arial Narrow" w:hAnsi="Arial Narrow"/>
                <w:sz w:val="20"/>
                <w:szCs w:val="20"/>
                <w:lang w:eastAsia="en-GB"/>
              </w:rPr>
              <w:t>5</w:t>
            </w:r>
          </w:p>
        </w:tc>
        <w:tc>
          <w:tcPr>
            <w:tcW w:w="1254" w:type="dxa"/>
          </w:tcPr>
          <w:p w14:paraId="276BFD50" w14:textId="77777777" w:rsidR="00375F20" w:rsidRPr="00FE714A" w:rsidRDefault="00375F20" w:rsidP="0086433D">
            <w:pPr>
              <w:widowControl w:val="0"/>
              <w:rPr>
                <w:rFonts w:ascii="Arial Narrow" w:hAnsi="Arial Narrow"/>
                <w:sz w:val="20"/>
                <w:szCs w:val="20"/>
                <w:lang w:eastAsia="en-GB"/>
              </w:rPr>
            </w:pPr>
            <w:proofErr w:type="spellStart"/>
            <w:r w:rsidRPr="00FE714A">
              <w:rPr>
                <w:rFonts w:ascii="Arial Narrow" w:hAnsi="Arial Narrow"/>
                <w:sz w:val="20"/>
                <w:szCs w:val="20"/>
                <w:lang w:eastAsia="en-GB"/>
              </w:rPr>
              <w:t>Ebglyss</w:t>
            </w:r>
            <w:proofErr w:type="spellEnd"/>
          </w:p>
          <w:p w14:paraId="74E1A1C7" w14:textId="77777777" w:rsidR="00375F20" w:rsidRPr="00FE714A" w:rsidRDefault="00375F20" w:rsidP="0086433D">
            <w:pPr>
              <w:widowControl w:val="0"/>
              <w:rPr>
                <w:rFonts w:ascii="Arial Narrow" w:hAnsi="Arial Narrow"/>
                <w:sz w:val="20"/>
                <w:szCs w:val="20"/>
                <w:lang w:eastAsia="en-GB"/>
              </w:rPr>
            </w:pPr>
            <w:r w:rsidRPr="00FE714A">
              <w:rPr>
                <w:rFonts w:ascii="Arial Narrow" w:hAnsi="Arial Narrow"/>
                <w:sz w:val="20"/>
                <w:szCs w:val="20"/>
                <w:lang w:eastAsia="en-GB"/>
              </w:rPr>
              <w:t>Eli Lilly Australia Pty Ltd</w:t>
            </w:r>
          </w:p>
        </w:tc>
      </w:tr>
      <w:tr w:rsidR="00375F20" w:rsidRPr="00FE714A" w14:paraId="4E118199" w14:textId="77777777" w:rsidTr="001E7DE5">
        <w:trPr>
          <w:cantSplit/>
          <w:trHeight w:val="279"/>
        </w:trPr>
        <w:tc>
          <w:tcPr>
            <w:tcW w:w="9067" w:type="dxa"/>
            <w:gridSpan w:val="6"/>
          </w:tcPr>
          <w:p w14:paraId="4B887C33" w14:textId="77777777" w:rsidR="00375F20" w:rsidRPr="00FE714A" w:rsidRDefault="00375F20" w:rsidP="0086433D">
            <w:pPr>
              <w:widowControl w:val="0"/>
              <w:rPr>
                <w:rFonts w:ascii="Arial Narrow" w:hAnsi="Arial Narrow"/>
                <w:sz w:val="20"/>
                <w:szCs w:val="20"/>
                <w:lang w:eastAsia="en-GB"/>
              </w:rPr>
            </w:pPr>
          </w:p>
        </w:tc>
      </w:tr>
      <w:tr w:rsidR="009F5637" w:rsidRPr="00FE714A" w14:paraId="585D81FA" w14:textId="77777777" w:rsidTr="001E7DE5">
        <w:tblPrEx>
          <w:tblCellMar>
            <w:top w:w="15" w:type="dxa"/>
            <w:left w:w="15" w:type="dxa"/>
            <w:bottom w:w="15" w:type="dxa"/>
            <w:right w:w="15" w:type="dxa"/>
          </w:tblCellMar>
          <w:tblLook w:val="04A0" w:firstRow="1" w:lastRow="0" w:firstColumn="1" w:lastColumn="0" w:noHBand="0" w:noVBand="1"/>
        </w:tblPrEx>
        <w:tc>
          <w:tcPr>
            <w:tcW w:w="9067" w:type="dxa"/>
            <w:gridSpan w:val="6"/>
          </w:tcPr>
          <w:p w14:paraId="2E8FA945" w14:textId="77777777" w:rsidR="009F5637" w:rsidRPr="00FE714A" w:rsidRDefault="009F5637"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sz w:val="20"/>
                <w:szCs w:val="20"/>
                <w:lang w:eastAsia="en-GB"/>
              </w:rPr>
              <w:t xml:space="preserve">Category / Program:   </w:t>
            </w:r>
            <w:r w:rsidRPr="00FE714A">
              <w:rPr>
                <w:rFonts w:ascii="Arial Narrow" w:hAnsi="Arial Narrow"/>
                <w:sz w:val="20"/>
                <w:szCs w:val="20"/>
                <w:lang w:eastAsia="en-GB"/>
              </w:rPr>
              <w:t>GENERAL – General Schedule (Code GE)</w:t>
            </w:r>
          </w:p>
        </w:tc>
      </w:tr>
      <w:tr w:rsidR="009F5637" w:rsidRPr="00FE714A" w14:paraId="6C7C0FA0" w14:textId="77777777" w:rsidTr="001E7DE5">
        <w:tblPrEx>
          <w:tblCellMar>
            <w:top w:w="15" w:type="dxa"/>
            <w:left w:w="15" w:type="dxa"/>
            <w:bottom w:w="15" w:type="dxa"/>
            <w:right w:w="15" w:type="dxa"/>
          </w:tblCellMar>
          <w:tblLook w:val="04A0" w:firstRow="1" w:lastRow="0" w:firstColumn="1" w:lastColumn="0" w:noHBand="0" w:noVBand="1"/>
        </w:tblPrEx>
        <w:tc>
          <w:tcPr>
            <w:tcW w:w="9067" w:type="dxa"/>
            <w:gridSpan w:val="6"/>
          </w:tcPr>
          <w:p w14:paraId="1D5BF96A" w14:textId="77777777" w:rsidR="009F5637" w:rsidRPr="00FE714A" w:rsidRDefault="009F5637" w:rsidP="0086433D">
            <w:pPr>
              <w:rPr>
                <w:rFonts w:ascii="Arial Narrow" w:hAnsi="Arial Narrow"/>
                <w:b/>
                <w:sz w:val="20"/>
                <w:szCs w:val="20"/>
              </w:rPr>
            </w:pPr>
            <w:r w:rsidRPr="00FE714A">
              <w:rPr>
                <w:rFonts w:ascii="Arial Narrow" w:hAnsi="Arial Narrow"/>
                <w:b/>
                <w:sz w:val="20"/>
                <w:szCs w:val="20"/>
              </w:rPr>
              <w:t xml:space="preserve">Restriction Type – assessment time by Services Australia – Method of obtaining authority approval (if Authority Required): </w:t>
            </w:r>
            <w:r w:rsidRPr="00FE714A">
              <w:rPr>
                <w:rFonts w:ascii="Arial Narrow" w:eastAsia="Calibri" w:hAnsi="Arial Narrow"/>
                <w:color w:val="2B579A"/>
                <w:sz w:val="20"/>
                <w:szCs w:val="20"/>
                <w:shd w:val="clear" w:color="auto" w:fill="E6E6E6"/>
              </w:rPr>
              <w:fldChar w:fldCharType="begin" w:fldLock="1">
                <w:ffData>
                  <w:name w:val="Check3"/>
                  <w:enabled/>
                  <w:calcOnExit w:val="0"/>
                  <w:checkBox>
                    <w:sizeAuto/>
                    <w:default w:val="1"/>
                  </w:checkBox>
                </w:ffData>
              </w:fldChar>
            </w:r>
            <w:r w:rsidRPr="00FE714A">
              <w:rPr>
                <w:rFonts w:ascii="Arial Narrow" w:eastAsia="Calibri" w:hAnsi="Arial Narrow"/>
                <w:sz w:val="20"/>
                <w:szCs w:val="20"/>
              </w:rPr>
              <w:instrText xml:space="preserve"> FORMCHECKBOX </w:instrText>
            </w:r>
            <w:r w:rsidR="008B26E3">
              <w:rPr>
                <w:rFonts w:ascii="Arial Narrow" w:eastAsia="Calibri" w:hAnsi="Arial Narrow"/>
                <w:color w:val="2B579A"/>
                <w:sz w:val="20"/>
                <w:szCs w:val="20"/>
                <w:shd w:val="clear" w:color="auto" w:fill="E6E6E6"/>
              </w:rPr>
            </w:r>
            <w:r w:rsidR="008B26E3">
              <w:rPr>
                <w:rFonts w:ascii="Arial Narrow" w:eastAsia="Calibri" w:hAnsi="Arial Narrow"/>
                <w:color w:val="2B579A"/>
                <w:sz w:val="20"/>
                <w:szCs w:val="20"/>
                <w:shd w:val="clear" w:color="auto" w:fill="E6E6E6"/>
              </w:rPr>
              <w:fldChar w:fldCharType="separate"/>
            </w:r>
            <w:r w:rsidRPr="00FE714A">
              <w:rPr>
                <w:rFonts w:ascii="Arial Narrow" w:eastAsia="Calibri" w:hAnsi="Arial Narrow"/>
                <w:color w:val="2B579A"/>
                <w:sz w:val="20"/>
                <w:szCs w:val="20"/>
                <w:shd w:val="clear" w:color="auto" w:fill="E6E6E6"/>
              </w:rPr>
              <w:fldChar w:fldCharType="end"/>
            </w:r>
            <w:r w:rsidRPr="00FE714A">
              <w:rPr>
                <w:rFonts w:ascii="Arial Narrow" w:eastAsia="Calibri" w:hAnsi="Arial Narrow"/>
                <w:sz w:val="20"/>
                <w:szCs w:val="20"/>
              </w:rPr>
              <w:t>Authority Required – immediate/real time assessment by Services Australia (telephone/online application avenues)</w:t>
            </w:r>
          </w:p>
        </w:tc>
      </w:tr>
      <w:tr w:rsidR="009F5637" w:rsidRPr="00FE714A" w14:paraId="075DBF2C" w14:textId="77777777" w:rsidTr="001E7DE5">
        <w:tblPrEx>
          <w:tblCellMar>
            <w:top w:w="15" w:type="dxa"/>
            <w:left w:w="15" w:type="dxa"/>
            <w:bottom w:w="15" w:type="dxa"/>
            <w:right w:w="15" w:type="dxa"/>
          </w:tblCellMar>
          <w:tblLook w:val="04A0" w:firstRow="1" w:lastRow="0" w:firstColumn="1" w:lastColumn="0" w:noHBand="0" w:noVBand="1"/>
        </w:tblPrEx>
        <w:tc>
          <w:tcPr>
            <w:tcW w:w="9067" w:type="dxa"/>
            <w:gridSpan w:val="6"/>
          </w:tcPr>
          <w:p w14:paraId="6A66DDF4" w14:textId="77777777" w:rsidR="009F5637" w:rsidRPr="00FE714A" w:rsidRDefault="009F5637"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sz w:val="20"/>
                <w:szCs w:val="20"/>
              </w:rPr>
              <w:t>Prescriber type:</w:t>
            </w:r>
            <w:r w:rsidRPr="00FE714A">
              <w:rPr>
                <w:rFonts w:ascii="Arial Narrow" w:hAnsi="Arial Narrow"/>
                <w:sz w:val="20"/>
                <w:szCs w:val="20"/>
              </w:rPr>
              <w:t xml:space="preserve">  </w:t>
            </w:r>
            <w:r w:rsidRPr="00FE714A">
              <w:rPr>
                <w:rFonts w:ascii="Arial Narrow" w:hAnsi="Arial Narrow"/>
                <w:color w:val="2B579A"/>
                <w:sz w:val="20"/>
                <w:szCs w:val="20"/>
                <w:shd w:val="clear" w:color="auto" w:fill="E6E6E6"/>
              </w:rPr>
              <w:fldChar w:fldCharType="begin" w:fldLock="1">
                <w:ffData>
                  <w:name w:val=""/>
                  <w:enabled/>
                  <w:calcOnExit w:val="0"/>
                  <w:checkBox>
                    <w:sizeAuto/>
                    <w:default w:val="1"/>
                  </w:checkBox>
                </w:ffData>
              </w:fldChar>
            </w:r>
            <w:r w:rsidRPr="00FE714A">
              <w:rPr>
                <w:rFonts w:ascii="Arial Narrow" w:hAnsi="Arial Narrow"/>
                <w:sz w:val="20"/>
                <w:szCs w:val="20"/>
              </w:rPr>
              <w:instrText xml:space="preserve"> FORMCHECKBOX </w:instrText>
            </w:r>
            <w:r w:rsidR="008B26E3">
              <w:rPr>
                <w:rFonts w:ascii="Arial Narrow" w:hAnsi="Arial Narrow"/>
                <w:color w:val="2B579A"/>
                <w:sz w:val="20"/>
                <w:szCs w:val="20"/>
                <w:shd w:val="clear" w:color="auto" w:fill="E6E6E6"/>
              </w:rPr>
            </w:r>
            <w:r w:rsidR="008B26E3">
              <w:rPr>
                <w:rFonts w:ascii="Arial Narrow" w:hAnsi="Arial Narrow"/>
                <w:color w:val="2B579A"/>
                <w:sz w:val="20"/>
                <w:szCs w:val="20"/>
                <w:shd w:val="clear" w:color="auto" w:fill="E6E6E6"/>
              </w:rPr>
              <w:fldChar w:fldCharType="separate"/>
            </w:r>
            <w:r w:rsidRPr="00FE714A">
              <w:rPr>
                <w:rFonts w:ascii="Arial Narrow" w:hAnsi="Arial Narrow"/>
                <w:color w:val="2B579A"/>
                <w:sz w:val="20"/>
                <w:szCs w:val="20"/>
                <w:shd w:val="clear" w:color="auto" w:fill="E6E6E6"/>
              </w:rPr>
              <w:fldChar w:fldCharType="end"/>
            </w:r>
            <w:r w:rsidRPr="00FE714A">
              <w:rPr>
                <w:rFonts w:ascii="Arial Narrow" w:hAnsi="Arial Narrow"/>
                <w:sz w:val="20"/>
                <w:szCs w:val="20"/>
              </w:rPr>
              <w:t xml:space="preserve">Medical Practitioners  </w:t>
            </w:r>
          </w:p>
        </w:tc>
      </w:tr>
      <w:tr w:rsidR="009F5637" w:rsidRPr="00FE714A" w14:paraId="78E999E5" w14:textId="77777777" w:rsidTr="001E7DE5">
        <w:tblPrEx>
          <w:tblCellMar>
            <w:top w:w="15" w:type="dxa"/>
            <w:left w:w="15" w:type="dxa"/>
            <w:bottom w:w="15" w:type="dxa"/>
            <w:right w:w="15" w:type="dxa"/>
          </w:tblCellMar>
          <w:tblLook w:val="04A0" w:firstRow="1" w:lastRow="0" w:firstColumn="1" w:lastColumn="0" w:noHBand="0" w:noVBand="1"/>
        </w:tblPrEx>
        <w:tc>
          <w:tcPr>
            <w:tcW w:w="9067" w:type="dxa"/>
            <w:gridSpan w:val="6"/>
          </w:tcPr>
          <w:p w14:paraId="55D43748" w14:textId="77777777" w:rsidR="009F5637" w:rsidRPr="00FE714A" w:rsidRDefault="009F5637" w:rsidP="0086433D">
            <w:pPr>
              <w:widowControl w:val="0"/>
              <w:textAlignment w:val="baseline"/>
              <w:rPr>
                <w:rFonts w:ascii="Arial Narrow" w:hAnsi="Arial Narrow"/>
                <w:sz w:val="20"/>
                <w:szCs w:val="20"/>
              </w:rPr>
            </w:pPr>
            <w:r w:rsidRPr="00FE714A">
              <w:rPr>
                <w:rFonts w:ascii="Arial Narrow" w:hAnsi="Arial Narrow"/>
                <w:b/>
                <w:bCs/>
                <w:sz w:val="20"/>
                <w:szCs w:val="20"/>
                <w:bdr w:val="none" w:sz="0" w:space="0" w:color="auto" w:frame="1"/>
              </w:rPr>
              <w:t>Administrative Advice:</w:t>
            </w:r>
          </w:p>
          <w:p w14:paraId="4959975A" w14:textId="77777777" w:rsidR="009F5637" w:rsidRPr="00FE714A" w:rsidRDefault="009F5637" w:rsidP="0086433D">
            <w:pPr>
              <w:widowControl w:val="0"/>
              <w:rPr>
                <w:rFonts w:ascii="Arial Narrow" w:hAnsi="Arial Narrow"/>
                <w:sz w:val="20"/>
                <w:szCs w:val="20"/>
              </w:rPr>
            </w:pPr>
            <w:r w:rsidRPr="00FE714A">
              <w:rPr>
                <w:rFonts w:ascii="Arial Narrow" w:hAnsi="Arial Narrow"/>
                <w:sz w:val="20"/>
                <w:szCs w:val="20"/>
              </w:rPr>
              <w:t>The Eczema Area and Severity Index (EASI) referenced in this restriction is that described in the following literature publications:</w:t>
            </w:r>
          </w:p>
          <w:p w14:paraId="0D103B81" w14:textId="77777777" w:rsidR="009F5637" w:rsidRPr="00FE714A" w:rsidRDefault="009F5637" w:rsidP="0086433D">
            <w:pPr>
              <w:widowControl w:val="0"/>
              <w:rPr>
                <w:rFonts w:ascii="Arial Narrow" w:hAnsi="Arial Narrow"/>
                <w:sz w:val="20"/>
                <w:szCs w:val="20"/>
              </w:rPr>
            </w:pPr>
            <w:r w:rsidRPr="00FE714A">
              <w:rPr>
                <w:rFonts w:ascii="Arial Narrow" w:hAnsi="Arial Narrow"/>
                <w:sz w:val="20"/>
                <w:szCs w:val="20"/>
              </w:rPr>
              <w:t>Chalmers JR et al. Report from the third international consensus meeting to harmonise core outcome measures for atopic eczema/dermatitis clinical trials (HOME).</w:t>
            </w:r>
            <w:r w:rsidRPr="00FE714A">
              <w:rPr>
                <w:rFonts w:ascii="Arial Narrow" w:hAnsi="Arial Narrow"/>
                <w:i/>
                <w:iCs/>
                <w:sz w:val="20"/>
                <w:szCs w:val="20"/>
              </w:rPr>
              <w:t> British Journal of Dermatology</w:t>
            </w:r>
            <w:r w:rsidRPr="00FE714A">
              <w:rPr>
                <w:rFonts w:ascii="Arial Narrow" w:hAnsi="Arial Narrow"/>
                <w:sz w:val="20"/>
                <w:szCs w:val="20"/>
              </w:rPr>
              <w:t> 2014 December;171(6):1318-25.</w:t>
            </w:r>
          </w:p>
          <w:p w14:paraId="42C7753E" w14:textId="77777777" w:rsidR="009F5637" w:rsidRPr="00FE714A" w:rsidRDefault="009F5637" w:rsidP="0086433D">
            <w:pPr>
              <w:widowControl w:val="0"/>
              <w:rPr>
                <w:rFonts w:ascii="Arial Narrow" w:hAnsi="Arial Narrow"/>
                <w:sz w:val="20"/>
                <w:szCs w:val="20"/>
              </w:rPr>
            </w:pPr>
            <w:r w:rsidRPr="00FE714A">
              <w:rPr>
                <w:rFonts w:ascii="Arial Narrow" w:hAnsi="Arial Narrow"/>
                <w:sz w:val="20"/>
                <w:szCs w:val="20"/>
              </w:rPr>
              <w:t>Schmitt J et al. HOME initiative collaborators. The Harmonising Outcome Measures for Eczema (HOME) statement to assess clinical signs of atopic eczema in trials. </w:t>
            </w:r>
            <w:r w:rsidRPr="00FE714A">
              <w:rPr>
                <w:rFonts w:ascii="Arial Narrow" w:hAnsi="Arial Narrow"/>
                <w:i/>
                <w:iCs/>
                <w:sz w:val="20"/>
                <w:szCs w:val="20"/>
              </w:rPr>
              <w:t>The Journal of Allergy and Clinical Immunology </w:t>
            </w:r>
            <w:r w:rsidRPr="00FE714A">
              <w:rPr>
                <w:rFonts w:ascii="Arial Narrow" w:hAnsi="Arial Narrow"/>
                <w:sz w:val="20"/>
                <w:szCs w:val="20"/>
              </w:rPr>
              <w:t>2014 October;134(4):800-7</w:t>
            </w:r>
          </w:p>
        </w:tc>
      </w:tr>
      <w:tr w:rsidR="009F5637" w:rsidRPr="00FE714A" w14:paraId="4D8D9DEF" w14:textId="77777777" w:rsidTr="001E7DE5">
        <w:tblPrEx>
          <w:tblCellMar>
            <w:top w:w="15" w:type="dxa"/>
            <w:left w:w="15" w:type="dxa"/>
            <w:bottom w:w="15" w:type="dxa"/>
            <w:right w:w="15" w:type="dxa"/>
          </w:tblCellMar>
          <w:tblLook w:val="04A0" w:firstRow="1" w:lastRow="0" w:firstColumn="1" w:lastColumn="0" w:noHBand="0" w:noVBand="1"/>
        </w:tblPrEx>
        <w:tc>
          <w:tcPr>
            <w:tcW w:w="9067" w:type="dxa"/>
            <w:gridSpan w:val="6"/>
          </w:tcPr>
          <w:p w14:paraId="62E26D0E" w14:textId="77777777" w:rsidR="009F5637" w:rsidRPr="00FE714A" w:rsidRDefault="009F5637" w:rsidP="0086433D">
            <w:pPr>
              <w:widowControl w:val="0"/>
              <w:textAlignment w:val="baseline"/>
              <w:rPr>
                <w:rFonts w:ascii="Arial Narrow" w:hAnsi="Arial Narrow"/>
                <w:sz w:val="20"/>
                <w:szCs w:val="20"/>
              </w:rPr>
            </w:pPr>
            <w:r w:rsidRPr="00FE714A">
              <w:rPr>
                <w:rFonts w:ascii="Arial Narrow" w:hAnsi="Arial Narrow"/>
                <w:b/>
                <w:bCs/>
                <w:sz w:val="20"/>
                <w:szCs w:val="20"/>
                <w:bdr w:val="none" w:sz="0" w:space="0" w:color="auto" w:frame="1"/>
              </w:rPr>
              <w:t>Administrative Advice:</w:t>
            </w:r>
          </w:p>
          <w:p w14:paraId="237EABB2" w14:textId="77777777" w:rsidR="009F5637" w:rsidRPr="00FE714A" w:rsidRDefault="009F5637" w:rsidP="0086433D">
            <w:pPr>
              <w:widowControl w:val="0"/>
              <w:textAlignment w:val="baseline"/>
              <w:rPr>
                <w:rFonts w:ascii="Arial Narrow" w:hAnsi="Arial Narrow"/>
                <w:sz w:val="20"/>
                <w:szCs w:val="20"/>
              </w:rPr>
            </w:pPr>
            <w:r w:rsidRPr="00FE714A">
              <w:rPr>
                <w:rFonts w:ascii="Arial Narrow" w:hAnsi="Arial Narrow"/>
                <w:sz w:val="20"/>
                <w:szCs w:val="20"/>
              </w:rPr>
              <w:t xml:space="preserve">Instructions on the use of the Dermatology Life Quality Index and copyright details can be found here:, </w:t>
            </w:r>
            <w:hyperlink r:id="rId13" w:history="1">
              <w:r w:rsidRPr="00FE714A">
                <w:rPr>
                  <w:rStyle w:val="Hyperlink"/>
                  <w:rFonts w:ascii="Arial Narrow" w:hAnsi="Arial Narrow"/>
                  <w:sz w:val="20"/>
                  <w:szCs w:val="20"/>
                </w:rPr>
                <w:t>https://www.cardiff.ac.uk/medicine/resources/quality-of-life-questionnaires/dermatology-life-quality-index</w:t>
              </w:r>
            </w:hyperlink>
            <w:r w:rsidRPr="00FE714A">
              <w:rPr>
                <w:rFonts w:ascii="Arial Narrow" w:hAnsi="Arial Narrow"/>
                <w:sz w:val="20"/>
                <w:szCs w:val="20"/>
              </w:rPr>
              <w:t xml:space="preserve">  </w:t>
            </w:r>
          </w:p>
        </w:tc>
      </w:tr>
      <w:tr w:rsidR="009F5637" w:rsidRPr="00FE714A" w14:paraId="38F256C1" w14:textId="77777777" w:rsidTr="001E7DE5">
        <w:tblPrEx>
          <w:tblCellMar>
            <w:top w:w="15" w:type="dxa"/>
            <w:left w:w="15" w:type="dxa"/>
            <w:bottom w:w="15" w:type="dxa"/>
            <w:right w:w="15" w:type="dxa"/>
          </w:tblCellMar>
          <w:tblLook w:val="04A0" w:firstRow="1" w:lastRow="0" w:firstColumn="1" w:lastColumn="0" w:noHBand="0" w:noVBand="1"/>
        </w:tblPrEx>
        <w:tc>
          <w:tcPr>
            <w:tcW w:w="9067" w:type="dxa"/>
            <w:gridSpan w:val="6"/>
          </w:tcPr>
          <w:p w14:paraId="2B759AA4" w14:textId="77777777" w:rsidR="009F5637" w:rsidRPr="00FE714A" w:rsidRDefault="009F5637"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bCs/>
                <w:sz w:val="20"/>
                <w:szCs w:val="20"/>
                <w:bdr w:val="none" w:sz="0" w:space="0" w:color="auto" w:frame="1"/>
              </w:rPr>
              <w:t>Administrative Advice:</w:t>
            </w:r>
          </w:p>
          <w:p w14:paraId="59BA5BBF" w14:textId="77777777" w:rsidR="009F5637" w:rsidRPr="00FE714A" w:rsidRDefault="009F5637" w:rsidP="0086433D">
            <w:pPr>
              <w:widowControl w:val="0"/>
              <w:textAlignment w:val="baseline"/>
              <w:rPr>
                <w:rFonts w:ascii="Arial Narrow" w:hAnsi="Arial Narrow"/>
                <w:sz w:val="20"/>
                <w:szCs w:val="20"/>
                <w:bdr w:val="none" w:sz="0" w:space="0" w:color="auto" w:frame="1"/>
              </w:rPr>
            </w:pPr>
            <w:r w:rsidRPr="00FE714A">
              <w:rPr>
                <w:rFonts w:ascii="Arial Narrow" w:hAnsi="Arial Narrow"/>
                <w:sz w:val="20"/>
                <w:szCs w:val="20"/>
                <w:bdr w:val="none" w:sz="0" w:space="0" w:color="auto" w:frame="1"/>
              </w:rPr>
              <w:t>The Physician's Global Assessment (5-point scale) referenced in this restriction is that described in the following literature publication:</w:t>
            </w:r>
          </w:p>
          <w:p w14:paraId="5D5E83E1" w14:textId="77777777" w:rsidR="009F5637" w:rsidRPr="00FE714A" w:rsidRDefault="009F5637" w:rsidP="0086433D">
            <w:pPr>
              <w:widowControl w:val="0"/>
              <w:textAlignment w:val="baseline"/>
              <w:rPr>
                <w:rFonts w:ascii="Arial Narrow" w:hAnsi="Arial Narrow"/>
                <w:sz w:val="20"/>
                <w:szCs w:val="20"/>
                <w:bdr w:val="none" w:sz="0" w:space="0" w:color="auto" w:frame="1"/>
              </w:rPr>
            </w:pPr>
            <w:proofErr w:type="spellStart"/>
            <w:r w:rsidRPr="00FE714A">
              <w:rPr>
                <w:rFonts w:ascii="Arial Narrow" w:hAnsi="Arial Narrow"/>
                <w:sz w:val="20"/>
                <w:szCs w:val="20"/>
                <w:bdr w:val="none" w:sz="0" w:space="0" w:color="auto" w:frame="1"/>
              </w:rPr>
              <w:t>Fatumura</w:t>
            </w:r>
            <w:proofErr w:type="spellEnd"/>
            <w:r w:rsidRPr="00FE714A">
              <w:rPr>
                <w:rFonts w:ascii="Arial Narrow" w:hAnsi="Arial Narrow"/>
                <w:sz w:val="20"/>
                <w:szCs w:val="20"/>
                <w:bdr w:val="none" w:sz="0" w:space="0" w:color="auto" w:frame="1"/>
              </w:rPr>
              <w:t xml:space="preserve"> M et al. </w:t>
            </w:r>
            <w:r w:rsidRPr="00FE714A">
              <w:rPr>
                <w:rFonts w:ascii="Arial Narrow" w:hAnsi="Arial Narrow"/>
                <w:i/>
                <w:iCs/>
                <w:sz w:val="20"/>
                <w:szCs w:val="20"/>
                <w:bdr w:val="none" w:sz="0" w:space="0" w:color="auto" w:frame="1"/>
              </w:rPr>
              <w:t>Journal of the American Academy of Dermatology</w:t>
            </w:r>
            <w:r w:rsidRPr="00FE714A">
              <w:rPr>
                <w:rFonts w:ascii="Arial Narrow" w:hAnsi="Arial Narrow"/>
                <w:sz w:val="20"/>
                <w:szCs w:val="20"/>
                <w:bdr w:val="none" w:sz="0" w:space="0" w:color="auto" w:frame="1"/>
              </w:rPr>
              <w:t xml:space="preserve"> 2016; 64(2): 288-94 </w:t>
            </w:r>
          </w:p>
          <w:p w14:paraId="0DF6323F" w14:textId="77777777" w:rsidR="009F5637" w:rsidRPr="00FE714A" w:rsidRDefault="009F5637" w:rsidP="0086433D">
            <w:pPr>
              <w:widowControl w:val="0"/>
              <w:rPr>
                <w:rFonts w:ascii="Arial Narrow" w:hAnsi="Arial Narrow"/>
                <w:b/>
                <w:bCs/>
                <w:sz w:val="20"/>
                <w:szCs w:val="20"/>
              </w:rPr>
            </w:pPr>
            <w:r w:rsidRPr="00FE714A">
              <w:rPr>
                <w:rFonts w:ascii="Arial Narrow" w:hAnsi="Arial Narrow"/>
                <w:sz w:val="20"/>
                <w:szCs w:val="20"/>
                <w:bdr w:val="none" w:sz="0" w:space="0" w:color="auto" w:frame="1"/>
              </w:rPr>
              <w:t>The overall appearance of dermatitis lesions is rated as 4 (severe) if the lesions are best described as featuring: deep/dark red erythema, with marked and extensive induration/papulation; excoriation and oozing/crusting are present.</w:t>
            </w:r>
          </w:p>
        </w:tc>
      </w:tr>
      <w:tr w:rsidR="009F5637" w:rsidRPr="00FE714A" w14:paraId="3E57BBF7" w14:textId="77777777" w:rsidTr="001E7DE5">
        <w:tblPrEx>
          <w:tblCellMar>
            <w:top w:w="15" w:type="dxa"/>
            <w:left w:w="15" w:type="dxa"/>
            <w:bottom w:w="15" w:type="dxa"/>
            <w:right w:w="15" w:type="dxa"/>
          </w:tblCellMar>
          <w:tblLook w:val="04A0" w:firstRow="1" w:lastRow="0" w:firstColumn="1" w:lastColumn="0" w:noHBand="0" w:noVBand="1"/>
        </w:tblPrEx>
        <w:tc>
          <w:tcPr>
            <w:tcW w:w="9067" w:type="dxa"/>
            <w:gridSpan w:val="6"/>
          </w:tcPr>
          <w:p w14:paraId="6F4B317C" w14:textId="77777777" w:rsidR="009F5637" w:rsidRPr="00FE714A" w:rsidRDefault="009F5637" w:rsidP="0003485F">
            <w:pPr>
              <w:widowControl w:val="0"/>
              <w:textAlignment w:val="baseline"/>
              <w:rPr>
                <w:rFonts w:ascii="Arial Narrow" w:hAnsi="Arial Narrow"/>
                <w:sz w:val="20"/>
                <w:szCs w:val="20"/>
              </w:rPr>
            </w:pPr>
            <w:r w:rsidRPr="00FE714A">
              <w:rPr>
                <w:rFonts w:ascii="Arial Narrow" w:hAnsi="Arial Narrow"/>
                <w:b/>
                <w:bCs/>
                <w:sz w:val="20"/>
                <w:szCs w:val="20"/>
                <w:bdr w:val="none" w:sz="0" w:space="0" w:color="auto" w:frame="1"/>
              </w:rPr>
              <w:t>Administrative Advice:</w:t>
            </w:r>
          </w:p>
          <w:p w14:paraId="0CFC1900" w14:textId="32B6525E" w:rsidR="009F5637" w:rsidRPr="00FE714A" w:rsidRDefault="009F5637" w:rsidP="0003485F">
            <w:pPr>
              <w:widowControl w:val="0"/>
              <w:textAlignment w:val="baseline"/>
              <w:rPr>
                <w:rFonts w:ascii="Arial Narrow" w:hAnsi="Arial Narrow"/>
                <w:b/>
                <w:bCs/>
                <w:sz w:val="20"/>
                <w:szCs w:val="20"/>
                <w:bdr w:val="none" w:sz="0" w:space="0" w:color="auto" w:frame="1"/>
              </w:rPr>
            </w:pPr>
            <w:r w:rsidRPr="00FE714A">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tc>
      </w:tr>
      <w:tr w:rsidR="009F5637" w:rsidRPr="00FE714A" w14:paraId="342BECF4" w14:textId="77777777" w:rsidTr="001E7DE5">
        <w:tblPrEx>
          <w:tblCellMar>
            <w:top w:w="15" w:type="dxa"/>
            <w:left w:w="15" w:type="dxa"/>
            <w:bottom w:w="15" w:type="dxa"/>
            <w:right w:w="15" w:type="dxa"/>
          </w:tblCellMar>
          <w:tblLook w:val="04A0" w:firstRow="1" w:lastRow="0" w:firstColumn="1" w:lastColumn="0" w:noHBand="0" w:noVBand="1"/>
        </w:tblPrEx>
        <w:tc>
          <w:tcPr>
            <w:tcW w:w="9067" w:type="dxa"/>
            <w:gridSpan w:val="6"/>
          </w:tcPr>
          <w:p w14:paraId="242B8221" w14:textId="77777777" w:rsidR="009F5637" w:rsidRPr="00FE714A" w:rsidRDefault="009F5637" w:rsidP="0086433D">
            <w:pPr>
              <w:widowControl w:val="0"/>
              <w:rPr>
                <w:rFonts w:ascii="Arial Narrow" w:hAnsi="Arial Narrow"/>
                <w:b/>
                <w:bCs/>
                <w:sz w:val="20"/>
                <w:szCs w:val="20"/>
              </w:rPr>
            </w:pPr>
            <w:r w:rsidRPr="00FE714A">
              <w:rPr>
                <w:rFonts w:ascii="Arial Narrow" w:hAnsi="Arial Narrow"/>
                <w:b/>
                <w:bCs/>
                <w:sz w:val="20"/>
                <w:szCs w:val="20"/>
                <w:bdr w:val="none" w:sz="0" w:space="0" w:color="auto" w:frame="1"/>
              </w:rPr>
              <w:t xml:space="preserve">Administrative Advice: </w:t>
            </w:r>
            <w:r w:rsidRPr="00FE714A">
              <w:rPr>
                <w:rFonts w:ascii="Arial Narrow" w:hAnsi="Arial Narrow"/>
                <w:sz w:val="20"/>
                <w:szCs w:val="20"/>
              </w:rPr>
              <w:t>No increase in the maximum quantity or number of units may be authorised.</w:t>
            </w:r>
          </w:p>
        </w:tc>
      </w:tr>
      <w:tr w:rsidR="009F5637" w:rsidRPr="00FE714A" w14:paraId="5A860E45" w14:textId="77777777" w:rsidTr="001E7DE5">
        <w:tblPrEx>
          <w:tblCellMar>
            <w:top w:w="15" w:type="dxa"/>
            <w:left w:w="15" w:type="dxa"/>
            <w:bottom w:w="15" w:type="dxa"/>
            <w:right w:w="15" w:type="dxa"/>
          </w:tblCellMar>
          <w:tblLook w:val="04A0" w:firstRow="1" w:lastRow="0" w:firstColumn="1" w:lastColumn="0" w:noHBand="0" w:noVBand="1"/>
        </w:tblPrEx>
        <w:tc>
          <w:tcPr>
            <w:tcW w:w="9067" w:type="dxa"/>
            <w:gridSpan w:val="6"/>
          </w:tcPr>
          <w:p w14:paraId="365AF56C" w14:textId="77777777" w:rsidR="009F5637" w:rsidRPr="00FE714A" w:rsidRDefault="009F5637" w:rsidP="0086433D">
            <w:pPr>
              <w:widowControl w:val="0"/>
              <w:rPr>
                <w:rFonts w:ascii="Arial Narrow" w:hAnsi="Arial Narrow"/>
                <w:b/>
                <w:bCs/>
                <w:sz w:val="20"/>
                <w:szCs w:val="20"/>
              </w:rPr>
            </w:pPr>
            <w:r w:rsidRPr="00FE714A">
              <w:rPr>
                <w:rFonts w:ascii="Arial Narrow" w:hAnsi="Arial Narrow"/>
                <w:b/>
                <w:bCs/>
                <w:sz w:val="20"/>
                <w:szCs w:val="20"/>
                <w:bdr w:val="none" w:sz="0" w:space="0" w:color="auto" w:frame="1"/>
              </w:rPr>
              <w:t xml:space="preserve">Administrative Advice: </w:t>
            </w:r>
            <w:r w:rsidRPr="00FE714A">
              <w:rPr>
                <w:rFonts w:ascii="Arial Narrow" w:hAnsi="Arial Narrow"/>
                <w:sz w:val="20"/>
                <w:szCs w:val="20"/>
              </w:rPr>
              <w:t>No increase in the maximum number of repeats may be authorised.</w:t>
            </w:r>
          </w:p>
        </w:tc>
      </w:tr>
      <w:tr w:rsidR="009F5637" w:rsidRPr="00FE714A" w14:paraId="7CDF49DF" w14:textId="77777777" w:rsidTr="001E7DE5">
        <w:tblPrEx>
          <w:tblCellMar>
            <w:top w:w="15" w:type="dxa"/>
            <w:left w:w="15" w:type="dxa"/>
            <w:bottom w:w="15" w:type="dxa"/>
            <w:right w:w="15" w:type="dxa"/>
          </w:tblCellMar>
          <w:tblLook w:val="04A0" w:firstRow="1" w:lastRow="0" w:firstColumn="1" w:lastColumn="0" w:noHBand="0" w:noVBand="1"/>
        </w:tblPrEx>
        <w:tc>
          <w:tcPr>
            <w:tcW w:w="9067" w:type="dxa"/>
            <w:gridSpan w:val="6"/>
          </w:tcPr>
          <w:p w14:paraId="3D04D154" w14:textId="77777777" w:rsidR="009F5637" w:rsidRPr="00FE714A" w:rsidRDefault="009F5637" w:rsidP="0086433D">
            <w:pPr>
              <w:widowControl w:val="0"/>
              <w:rPr>
                <w:rFonts w:ascii="Arial Narrow" w:hAnsi="Arial Narrow"/>
                <w:b/>
                <w:bCs/>
                <w:sz w:val="20"/>
                <w:szCs w:val="20"/>
              </w:rPr>
            </w:pPr>
            <w:r w:rsidRPr="00FE714A">
              <w:rPr>
                <w:rFonts w:ascii="Arial Narrow" w:hAnsi="Arial Narrow"/>
                <w:b/>
                <w:bCs/>
                <w:sz w:val="20"/>
                <w:szCs w:val="20"/>
                <w:bdr w:val="none" w:sz="0" w:space="0" w:color="auto" w:frame="1"/>
              </w:rPr>
              <w:t xml:space="preserve">Administrative Advice: </w:t>
            </w:r>
            <w:r w:rsidRPr="00FE714A">
              <w:rPr>
                <w:rFonts w:ascii="Arial Narrow" w:hAnsi="Arial Narrow"/>
                <w:sz w:val="20"/>
                <w:szCs w:val="20"/>
              </w:rPr>
              <w:t>Special Pricing Arrangements apply.</w:t>
            </w:r>
          </w:p>
        </w:tc>
      </w:tr>
    </w:tbl>
    <w:tbl>
      <w:tblPr>
        <w:tblStyle w:val="HealthConsult1"/>
        <w:tblW w:w="9067" w:type="dxa"/>
        <w:tblLook w:val="04A0" w:firstRow="1" w:lastRow="0" w:firstColumn="1" w:lastColumn="0" w:noHBand="0" w:noVBand="1"/>
      </w:tblPr>
      <w:tblGrid>
        <w:gridCol w:w="9067"/>
      </w:tblGrid>
      <w:tr w:rsidR="00375F20" w:rsidRPr="00FE714A" w14:paraId="37827CE7" w14:textId="77777777" w:rsidTr="001E7DE5">
        <w:tc>
          <w:tcPr>
            <w:tcW w:w="9067" w:type="dxa"/>
          </w:tcPr>
          <w:p w14:paraId="1D21DF5C" w14:textId="77777777" w:rsidR="00375F20" w:rsidRPr="00FE714A" w:rsidRDefault="00375F20"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sz w:val="20"/>
                <w:szCs w:val="20"/>
                <w:lang w:eastAsia="en-GB"/>
              </w:rPr>
              <w:t xml:space="preserve">Variant of </w:t>
            </w:r>
            <w:r w:rsidRPr="00FE714A">
              <w:rPr>
                <w:rFonts w:ascii="Arial Narrow" w:hAnsi="Arial Narrow"/>
                <w:b/>
                <w:bCs/>
                <w:sz w:val="20"/>
                <w:szCs w:val="20"/>
                <w:bdr w:val="none" w:sz="0" w:space="0" w:color="auto" w:frame="1"/>
              </w:rPr>
              <w:t xml:space="preserve">Restriction Summary 11374 / </w:t>
            </w:r>
            <w:proofErr w:type="spellStart"/>
            <w:r w:rsidRPr="00FE714A">
              <w:rPr>
                <w:rFonts w:ascii="Arial Narrow" w:hAnsi="Arial Narrow"/>
                <w:b/>
                <w:bCs/>
                <w:sz w:val="20"/>
                <w:szCs w:val="20"/>
                <w:bdr w:val="none" w:sz="0" w:space="0" w:color="auto" w:frame="1"/>
              </w:rPr>
              <w:t>ToC</w:t>
            </w:r>
            <w:proofErr w:type="spellEnd"/>
            <w:r w:rsidRPr="00FE714A">
              <w:rPr>
                <w:rFonts w:ascii="Arial Narrow" w:hAnsi="Arial Narrow"/>
                <w:b/>
                <w:bCs/>
                <w:sz w:val="20"/>
                <w:szCs w:val="20"/>
                <w:bdr w:val="none" w:sz="0" w:space="0" w:color="auto" w:frame="1"/>
              </w:rPr>
              <w:t>: 11374: Authority Required</w:t>
            </w:r>
          </w:p>
        </w:tc>
      </w:tr>
      <w:tr w:rsidR="009F5637" w:rsidRPr="00FE714A" w14:paraId="0E4AE2FC" w14:textId="77777777" w:rsidTr="001E7DE5">
        <w:tc>
          <w:tcPr>
            <w:tcW w:w="9067" w:type="dxa"/>
            <w:hideMark/>
          </w:tcPr>
          <w:p w14:paraId="73513AD5"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 xml:space="preserve">Indication: </w:t>
            </w:r>
            <w:r w:rsidRPr="00FE714A">
              <w:rPr>
                <w:rFonts w:ascii="Arial Narrow" w:hAnsi="Arial Narrow"/>
                <w:sz w:val="20"/>
                <w:szCs w:val="20"/>
              </w:rPr>
              <w:t>Chronic severe atopic dermatitis</w:t>
            </w:r>
          </w:p>
        </w:tc>
      </w:tr>
      <w:tr w:rsidR="009F5637" w:rsidRPr="00FE714A" w14:paraId="1EBC5F88" w14:textId="77777777" w:rsidTr="001E7DE5">
        <w:tc>
          <w:tcPr>
            <w:tcW w:w="9067" w:type="dxa"/>
          </w:tcPr>
          <w:p w14:paraId="1B72D0AE" w14:textId="77777777" w:rsidR="009F5637" w:rsidRPr="00FE714A" w:rsidRDefault="009F5637" w:rsidP="0086433D">
            <w:pPr>
              <w:widowControl w:val="0"/>
              <w:ind w:left="-57"/>
              <w:textAlignment w:val="baseline"/>
              <w:rPr>
                <w:rFonts w:ascii="Arial Narrow" w:hAnsi="Arial Narrow"/>
                <w:b/>
                <w:bCs/>
                <w:sz w:val="20"/>
                <w:szCs w:val="20"/>
                <w:bdr w:val="none" w:sz="0" w:space="0" w:color="auto" w:frame="1"/>
              </w:rPr>
            </w:pPr>
          </w:p>
        </w:tc>
      </w:tr>
      <w:tr w:rsidR="009F5637" w:rsidRPr="00FE714A" w14:paraId="4BD164F7" w14:textId="77777777" w:rsidTr="001E7DE5">
        <w:tc>
          <w:tcPr>
            <w:tcW w:w="9067" w:type="dxa"/>
            <w:hideMark/>
          </w:tcPr>
          <w:p w14:paraId="75795C28"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 xml:space="preserve">Treatment Phase: </w:t>
            </w:r>
            <w:r w:rsidRPr="00FE714A">
              <w:rPr>
                <w:rFonts w:ascii="Arial Narrow" w:hAnsi="Arial Narrow"/>
                <w:sz w:val="20"/>
                <w:szCs w:val="20"/>
              </w:rPr>
              <w:t>Continuing or resuming treatment of the whole body</w:t>
            </w:r>
          </w:p>
        </w:tc>
      </w:tr>
      <w:tr w:rsidR="009F5637" w:rsidRPr="00FE714A" w14:paraId="1433E571" w14:textId="77777777" w:rsidTr="001E7DE5">
        <w:tc>
          <w:tcPr>
            <w:tcW w:w="9067" w:type="dxa"/>
          </w:tcPr>
          <w:p w14:paraId="1C2A0CA5" w14:textId="77777777" w:rsidR="009F5637" w:rsidRPr="00FE714A" w:rsidRDefault="009F5637" w:rsidP="0086433D">
            <w:pPr>
              <w:widowControl w:val="0"/>
              <w:ind w:left="-57"/>
              <w:textAlignment w:val="baseline"/>
              <w:rPr>
                <w:rFonts w:ascii="Arial Narrow" w:hAnsi="Arial Narrow"/>
                <w:b/>
                <w:bCs/>
                <w:sz w:val="20"/>
                <w:szCs w:val="20"/>
                <w:bdr w:val="none" w:sz="0" w:space="0" w:color="auto" w:frame="1"/>
              </w:rPr>
            </w:pPr>
          </w:p>
        </w:tc>
      </w:tr>
      <w:tr w:rsidR="009F5637" w:rsidRPr="00FE714A" w14:paraId="0939EE87" w14:textId="77777777" w:rsidTr="001E7DE5">
        <w:tc>
          <w:tcPr>
            <w:tcW w:w="9067" w:type="dxa"/>
            <w:hideMark/>
          </w:tcPr>
          <w:p w14:paraId="66E563FE"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71705D76" w14:textId="77777777" w:rsidTr="001E7DE5">
        <w:tc>
          <w:tcPr>
            <w:tcW w:w="9067" w:type="dxa"/>
            <w:hideMark/>
          </w:tcPr>
          <w:p w14:paraId="7057C012"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Patient must have received PBS-subsidised treatment with this biological medicine for the treatment of chronic severe atopic dermatitis affecting the whole body</w:t>
            </w:r>
          </w:p>
        </w:tc>
      </w:tr>
      <w:tr w:rsidR="009F5637" w:rsidRPr="00FE714A" w14:paraId="273E3990" w14:textId="77777777" w:rsidTr="001E7DE5">
        <w:tc>
          <w:tcPr>
            <w:tcW w:w="9067" w:type="dxa"/>
            <w:hideMark/>
          </w:tcPr>
          <w:p w14:paraId="677C510C"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690CDB69" w14:textId="77777777" w:rsidTr="001E7DE5">
        <w:tc>
          <w:tcPr>
            <w:tcW w:w="9067" w:type="dxa"/>
            <w:hideMark/>
          </w:tcPr>
          <w:p w14:paraId="589F0EEF"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377BA74F" w14:textId="77777777" w:rsidTr="001E7DE5">
        <w:tc>
          <w:tcPr>
            <w:tcW w:w="9067" w:type="dxa"/>
            <w:hideMark/>
          </w:tcPr>
          <w:p w14:paraId="141CFF52"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 xml:space="preserve">Patient must have achieved an adequate response </w:t>
            </w:r>
            <w:r w:rsidRPr="00FE714A">
              <w:rPr>
                <w:rFonts w:ascii="Arial Narrow" w:hAnsi="Arial Narrow" w:cs="Calibri"/>
                <w:sz w:val="20"/>
                <w:szCs w:val="20"/>
              </w:rPr>
              <w:t>prior to this first continuing treatment authority application</w:t>
            </w:r>
            <w:r w:rsidRPr="00FE714A">
              <w:rPr>
                <w:rFonts w:ascii="Arial Narrow" w:hAnsi="Arial Narrow"/>
                <w:sz w:val="20"/>
                <w:szCs w:val="20"/>
              </w:rPr>
              <w:t>; or</w:t>
            </w:r>
          </w:p>
        </w:tc>
      </w:tr>
      <w:tr w:rsidR="009F5637" w:rsidRPr="00FE714A" w14:paraId="7EDDEFFC" w14:textId="77777777" w:rsidTr="001E7DE5">
        <w:tc>
          <w:tcPr>
            <w:tcW w:w="9067" w:type="dxa"/>
            <w:hideMark/>
          </w:tcPr>
          <w:p w14:paraId="0FCE77FD"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 xml:space="preserve">Patient must have maintained an adequate response to their most recent course of PBS-subsidised treatment with this </w:t>
            </w:r>
            <w:r w:rsidRPr="00FE714A">
              <w:rPr>
                <w:rFonts w:ascii="Arial Narrow" w:hAnsi="Arial Narrow"/>
                <w:sz w:val="20"/>
                <w:szCs w:val="20"/>
              </w:rPr>
              <w:lastRenderedPageBreak/>
              <w:t>biological medicine for this PBS indication if this is the second or subsequent Continuing treatment authority application; or</w:t>
            </w:r>
          </w:p>
        </w:tc>
      </w:tr>
      <w:tr w:rsidR="009F5637" w:rsidRPr="00FE714A" w14:paraId="2E125D47" w14:textId="77777777" w:rsidTr="001E7DE5">
        <w:tc>
          <w:tcPr>
            <w:tcW w:w="9067" w:type="dxa"/>
            <w:hideMark/>
          </w:tcPr>
          <w:p w14:paraId="4C45D53D"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lastRenderedPageBreak/>
              <w:t>Patient must have temporarily ceased treatment for reasons other than lack of response (e.g. family planning, vaccination with live vaccines, adverse-effect investigation), thereby being unable to achieve/maintain an adequate response immediately prior to this authority application</w:t>
            </w:r>
          </w:p>
        </w:tc>
      </w:tr>
      <w:tr w:rsidR="009F5637" w:rsidRPr="00FE714A" w14:paraId="17E5E1F0" w14:textId="77777777" w:rsidTr="001E7DE5">
        <w:tc>
          <w:tcPr>
            <w:tcW w:w="9067" w:type="dxa"/>
            <w:hideMark/>
          </w:tcPr>
          <w:p w14:paraId="0B10A064"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64F10BB1" w14:textId="77777777" w:rsidTr="001E7DE5">
        <w:tc>
          <w:tcPr>
            <w:tcW w:w="9067" w:type="dxa"/>
            <w:hideMark/>
          </w:tcPr>
          <w:p w14:paraId="12F1E529"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31BF58BE" w14:textId="77777777" w:rsidTr="001E7DE5">
        <w:tc>
          <w:tcPr>
            <w:tcW w:w="9067" w:type="dxa"/>
            <w:hideMark/>
          </w:tcPr>
          <w:p w14:paraId="3E67DE13"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The treatment must be the sole PBS-subsidised biological medicine for this PBS indication</w:t>
            </w:r>
          </w:p>
        </w:tc>
      </w:tr>
      <w:tr w:rsidR="009F5637" w:rsidRPr="00FE714A" w14:paraId="58D8674F" w14:textId="77777777" w:rsidTr="001E7DE5">
        <w:tc>
          <w:tcPr>
            <w:tcW w:w="9067" w:type="dxa"/>
            <w:hideMark/>
          </w:tcPr>
          <w:p w14:paraId="1557800E"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025312CE" w14:textId="77777777" w:rsidTr="001E7DE5">
        <w:tc>
          <w:tcPr>
            <w:tcW w:w="9067" w:type="dxa"/>
            <w:hideMark/>
          </w:tcPr>
          <w:p w14:paraId="7FD0A4E6"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Treatment criteria:</w:t>
            </w:r>
          </w:p>
        </w:tc>
      </w:tr>
      <w:tr w:rsidR="009F5637" w:rsidRPr="00FE714A" w14:paraId="0689AD82" w14:textId="77777777" w:rsidTr="001E7DE5">
        <w:tc>
          <w:tcPr>
            <w:tcW w:w="9067" w:type="dxa"/>
            <w:hideMark/>
          </w:tcPr>
          <w:p w14:paraId="080D6FE1"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Must be treated by a dermatologist; or</w:t>
            </w:r>
          </w:p>
        </w:tc>
      </w:tr>
      <w:tr w:rsidR="009F5637" w:rsidRPr="00FE714A" w14:paraId="0F540D9C" w14:textId="77777777" w:rsidTr="001E7DE5">
        <w:tc>
          <w:tcPr>
            <w:tcW w:w="9067" w:type="dxa"/>
            <w:hideMark/>
          </w:tcPr>
          <w:p w14:paraId="181C4371"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Must be treated by a clinical immunologist</w:t>
            </w:r>
          </w:p>
        </w:tc>
      </w:tr>
      <w:tr w:rsidR="009F5637" w:rsidRPr="00FE714A" w14:paraId="2FEB8994" w14:textId="77777777" w:rsidTr="001E7DE5">
        <w:tc>
          <w:tcPr>
            <w:tcW w:w="9067" w:type="dxa"/>
          </w:tcPr>
          <w:p w14:paraId="1E6BFD92" w14:textId="77777777" w:rsidR="009F5637" w:rsidRPr="00FE714A" w:rsidRDefault="009F5637" w:rsidP="0086433D">
            <w:pPr>
              <w:widowControl w:val="0"/>
              <w:ind w:left="-57"/>
              <w:rPr>
                <w:rFonts w:ascii="Arial Narrow" w:hAnsi="Arial Narrow"/>
                <w:sz w:val="20"/>
                <w:szCs w:val="20"/>
              </w:rPr>
            </w:pPr>
          </w:p>
        </w:tc>
      </w:tr>
      <w:tr w:rsidR="009F5637" w:rsidRPr="00FE714A" w14:paraId="664015FE" w14:textId="77777777" w:rsidTr="001E7DE5">
        <w:tc>
          <w:tcPr>
            <w:tcW w:w="9067" w:type="dxa"/>
            <w:hideMark/>
          </w:tcPr>
          <w:p w14:paraId="7CC3159C"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Prescribing Instructions:</w:t>
            </w:r>
          </w:p>
          <w:p w14:paraId="63210013" w14:textId="77777777" w:rsidR="009F5637" w:rsidRPr="00FE714A" w:rsidRDefault="009F5637" w:rsidP="0086433D">
            <w:pPr>
              <w:rPr>
                <w:rFonts w:ascii="Arial Narrow" w:hAnsi="Arial Narrow"/>
                <w:sz w:val="20"/>
                <w:szCs w:val="20"/>
              </w:rPr>
            </w:pPr>
            <w:r w:rsidRPr="00FE714A">
              <w:rPr>
                <w:rFonts w:ascii="Arial Narrow" w:hAnsi="Arial Narrow"/>
                <w:sz w:val="20"/>
                <w:szCs w:val="20"/>
              </w:rPr>
              <w:t xml:space="preserve">For the purposes of this restriction, an adequate response to treatment </w:t>
            </w:r>
            <w:r w:rsidRPr="00EE45E7">
              <w:rPr>
                <w:rFonts w:ascii="Arial Narrow" w:hAnsi="Arial Narrow"/>
                <w:sz w:val="20"/>
                <w:szCs w:val="20"/>
              </w:rPr>
              <w:t xml:space="preserve">of the whole body is </w:t>
            </w:r>
            <w:r w:rsidRPr="00FE714A">
              <w:rPr>
                <w:rFonts w:ascii="Arial Narrow" w:hAnsi="Arial Narrow"/>
                <w:sz w:val="20"/>
                <w:szCs w:val="20"/>
              </w:rPr>
              <w:t>defined as:</w:t>
            </w:r>
          </w:p>
          <w:p w14:paraId="040CC33B" w14:textId="77777777" w:rsidR="009F5637" w:rsidRPr="00FE714A" w:rsidRDefault="009F5637" w:rsidP="0086433D">
            <w:pPr>
              <w:rPr>
                <w:rFonts w:ascii="Arial Narrow" w:hAnsi="Arial Narrow"/>
                <w:sz w:val="20"/>
                <w:szCs w:val="20"/>
              </w:rPr>
            </w:pPr>
            <w:r w:rsidRPr="00FE714A">
              <w:rPr>
                <w:rFonts w:ascii="Arial Narrow" w:hAnsi="Arial Narrow"/>
                <w:sz w:val="20"/>
                <w:szCs w:val="20"/>
              </w:rPr>
              <w:t>(a) An improvement/maintenance in the Eczema Area and Severity Index (EASI) score of at least 50% compared to baseline; and</w:t>
            </w:r>
          </w:p>
          <w:p w14:paraId="78AA583E" w14:textId="77777777" w:rsidR="009F5637" w:rsidRPr="00FE714A" w:rsidRDefault="009F5637" w:rsidP="0086433D">
            <w:pPr>
              <w:rPr>
                <w:rFonts w:ascii="Arial Narrow" w:hAnsi="Arial Narrow"/>
                <w:sz w:val="20"/>
                <w:szCs w:val="20"/>
              </w:rPr>
            </w:pPr>
            <w:r w:rsidRPr="00FE714A">
              <w:rPr>
                <w:rFonts w:ascii="Arial Narrow" w:hAnsi="Arial Narrow"/>
                <w:sz w:val="20"/>
                <w:szCs w:val="20"/>
              </w:rPr>
              <w:t>(b) An improvement/maintenance in Dermatology Life Quality Index (DLQI) score of at least 4 points compared to baseline</w:t>
            </w:r>
          </w:p>
          <w:p w14:paraId="3A082A00" w14:textId="77777777" w:rsidR="009F5637" w:rsidRPr="00FE714A" w:rsidRDefault="009F5637" w:rsidP="0086433D">
            <w:pPr>
              <w:widowControl w:val="0"/>
              <w:ind w:left="-57"/>
              <w:textAlignment w:val="baseline"/>
              <w:rPr>
                <w:rFonts w:ascii="Arial Narrow" w:hAnsi="Arial Narrow"/>
                <w:sz w:val="20"/>
                <w:szCs w:val="20"/>
              </w:rPr>
            </w:pPr>
            <w:r w:rsidRPr="00A36B99">
              <w:rPr>
                <w:rFonts w:ascii="Arial Narrow" w:hAnsi="Arial Narrow"/>
                <w:sz w:val="20"/>
                <w:szCs w:val="20"/>
              </w:rPr>
              <w:t>State each of the current EASI and DLQI scores for this authority application</w:t>
            </w:r>
            <w:r w:rsidRPr="00A36B99">
              <w:rPr>
                <w:rFonts w:ascii="Arial Narrow" w:hAnsi="Arial Narrow"/>
                <w:color w:val="333333"/>
                <w:sz w:val="20"/>
                <w:szCs w:val="20"/>
              </w:rPr>
              <w:t>.</w:t>
            </w:r>
          </w:p>
        </w:tc>
      </w:tr>
      <w:tr w:rsidR="00375F20" w:rsidRPr="00FE714A" w14:paraId="51ACE036" w14:textId="77777777" w:rsidTr="001E7DE5">
        <w:trPr>
          <w:trHeight w:val="423"/>
        </w:trPr>
        <w:tc>
          <w:tcPr>
            <w:tcW w:w="9067" w:type="dxa"/>
          </w:tcPr>
          <w:p w14:paraId="4398A2DD" w14:textId="77777777" w:rsidR="00375F20" w:rsidRPr="00FE714A" w:rsidRDefault="00375F20" w:rsidP="0086433D">
            <w:pPr>
              <w:widowControl w:val="0"/>
              <w:ind w:left="-57"/>
              <w:textAlignment w:val="baseline"/>
              <w:rPr>
                <w:rFonts w:ascii="Arial Narrow" w:hAnsi="Arial Narrow"/>
                <w:b/>
                <w:bCs/>
                <w:sz w:val="20"/>
                <w:szCs w:val="20"/>
                <w:bdr w:val="none" w:sz="0" w:space="0" w:color="auto" w:frame="1"/>
              </w:rPr>
            </w:pPr>
          </w:p>
        </w:tc>
      </w:tr>
      <w:tr w:rsidR="00375F20" w:rsidRPr="00FE714A" w14:paraId="6F3CEB71" w14:textId="77777777" w:rsidTr="001E7DE5">
        <w:tc>
          <w:tcPr>
            <w:tcW w:w="9067" w:type="dxa"/>
          </w:tcPr>
          <w:p w14:paraId="70224EFB" w14:textId="77777777" w:rsidR="00375F20" w:rsidRPr="00FE714A" w:rsidRDefault="00375F20" w:rsidP="0086433D">
            <w:pPr>
              <w:widowControl w:val="0"/>
              <w:textAlignment w:val="baseline"/>
              <w:rPr>
                <w:rFonts w:ascii="Arial Narrow" w:hAnsi="Arial Narrow"/>
                <w:b/>
                <w:bCs/>
                <w:sz w:val="20"/>
                <w:szCs w:val="20"/>
                <w:bdr w:val="none" w:sz="0" w:space="0" w:color="auto" w:frame="1"/>
              </w:rPr>
            </w:pPr>
            <w:r w:rsidRPr="00FE714A">
              <w:rPr>
                <w:rFonts w:ascii="Arial Narrow" w:hAnsi="Arial Narrow"/>
                <w:b/>
                <w:bCs/>
                <w:sz w:val="20"/>
                <w:szCs w:val="20"/>
                <w:bdr w:val="none" w:sz="0" w:space="0" w:color="auto" w:frame="1"/>
              </w:rPr>
              <w:t xml:space="preserve">Variant of Restriction Summary 11377 / </w:t>
            </w:r>
            <w:proofErr w:type="spellStart"/>
            <w:r w:rsidRPr="00FE714A">
              <w:rPr>
                <w:rFonts w:ascii="Arial Narrow" w:hAnsi="Arial Narrow"/>
                <w:b/>
                <w:bCs/>
                <w:sz w:val="20"/>
                <w:szCs w:val="20"/>
                <w:bdr w:val="none" w:sz="0" w:space="0" w:color="auto" w:frame="1"/>
              </w:rPr>
              <w:t>ToC</w:t>
            </w:r>
            <w:proofErr w:type="spellEnd"/>
            <w:r w:rsidRPr="00FE714A">
              <w:rPr>
                <w:rFonts w:ascii="Arial Narrow" w:hAnsi="Arial Narrow"/>
                <w:b/>
                <w:bCs/>
                <w:sz w:val="20"/>
                <w:szCs w:val="20"/>
                <w:bdr w:val="none" w:sz="0" w:space="0" w:color="auto" w:frame="1"/>
              </w:rPr>
              <w:t>: 11377: Authority Required</w:t>
            </w:r>
          </w:p>
        </w:tc>
      </w:tr>
      <w:tr w:rsidR="009F5637" w:rsidRPr="00FE714A" w14:paraId="6FCC68CD" w14:textId="77777777" w:rsidTr="001E7DE5">
        <w:tc>
          <w:tcPr>
            <w:tcW w:w="9067" w:type="dxa"/>
            <w:hideMark/>
          </w:tcPr>
          <w:p w14:paraId="0917C425"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 xml:space="preserve">Indication: </w:t>
            </w:r>
            <w:r w:rsidRPr="00FE714A">
              <w:rPr>
                <w:rFonts w:ascii="Arial Narrow" w:hAnsi="Arial Narrow"/>
                <w:sz w:val="20"/>
                <w:szCs w:val="20"/>
              </w:rPr>
              <w:t>Chronic severe atopic dermatitis</w:t>
            </w:r>
          </w:p>
        </w:tc>
      </w:tr>
      <w:tr w:rsidR="009F5637" w:rsidRPr="00FE714A" w14:paraId="3D68A6B0" w14:textId="77777777" w:rsidTr="001E7DE5">
        <w:tc>
          <w:tcPr>
            <w:tcW w:w="9067" w:type="dxa"/>
          </w:tcPr>
          <w:p w14:paraId="3B656F39" w14:textId="77777777" w:rsidR="009F5637" w:rsidRPr="00FE714A" w:rsidRDefault="009F5637" w:rsidP="0086433D">
            <w:pPr>
              <w:widowControl w:val="0"/>
              <w:ind w:left="-57"/>
              <w:textAlignment w:val="baseline"/>
              <w:rPr>
                <w:rFonts w:ascii="Arial Narrow" w:hAnsi="Arial Narrow"/>
                <w:b/>
                <w:bCs/>
                <w:sz w:val="20"/>
                <w:szCs w:val="20"/>
                <w:bdr w:val="none" w:sz="0" w:space="0" w:color="auto" w:frame="1"/>
              </w:rPr>
            </w:pPr>
          </w:p>
        </w:tc>
      </w:tr>
      <w:tr w:rsidR="009F5637" w:rsidRPr="00FE714A" w14:paraId="4AEFB3B6" w14:textId="77777777" w:rsidTr="001E7DE5">
        <w:tc>
          <w:tcPr>
            <w:tcW w:w="9067" w:type="dxa"/>
            <w:hideMark/>
          </w:tcPr>
          <w:p w14:paraId="1E1FF466"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 xml:space="preserve">Treatment Phase: </w:t>
            </w:r>
            <w:r w:rsidRPr="00FE714A">
              <w:rPr>
                <w:rFonts w:ascii="Arial Narrow" w:hAnsi="Arial Narrow"/>
                <w:sz w:val="20"/>
                <w:szCs w:val="20"/>
              </w:rPr>
              <w:t>Continuing or resuming treatment of the face and/or hands</w:t>
            </w:r>
          </w:p>
        </w:tc>
      </w:tr>
      <w:tr w:rsidR="009F5637" w:rsidRPr="00FE714A" w14:paraId="7EADD229" w14:textId="77777777" w:rsidTr="001E7DE5">
        <w:trPr>
          <w:trHeight w:val="53"/>
        </w:trPr>
        <w:tc>
          <w:tcPr>
            <w:tcW w:w="9067" w:type="dxa"/>
          </w:tcPr>
          <w:p w14:paraId="495FE3AA" w14:textId="77777777" w:rsidR="009F5637" w:rsidRPr="00FE714A" w:rsidRDefault="009F5637" w:rsidP="0086433D">
            <w:pPr>
              <w:widowControl w:val="0"/>
              <w:ind w:left="-57"/>
              <w:rPr>
                <w:rFonts w:ascii="Arial Narrow" w:hAnsi="Arial Narrow"/>
                <w:b/>
                <w:bCs/>
                <w:sz w:val="20"/>
                <w:szCs w:val="20"/>
              </w:rPr>
            </w:pPr>
          </w:p>
        </w:tc>
      </w:tr>
      <w:tr w:rsidR="009F5637" w:rsidRPr="00FE714A" w14:paraId="0B133D04" w14:textId="77777777" w:rsidTr="001E7DE5">
        <w:tc>
          <w:tcPr>
            <w:tcW w:w="9067" w:type="dxa"/>
            <w:hideMark/>
          </w:tcPr>
          <w:p w14:paraId="41CA5B09"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06021870" w14:textId="77777777" w:rsidTr="001E7DE5">
        <w:tc>
          <w:tcPr>
            <w:tcW w:w="9067" w:type="dxa"/>
            <w:hideMark/>
          </w:tcPr>
          <w:p w14:paraId="53F2004B"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Patient must have received PBS-subsidised treatment with this biological medicine for the treatment of chronic severe atopic dermatitis affecting the face/hands</w:t>
            </w:r>
          </w:p>
        </w:tc>
      </w:tr>
      <w:tr w:rsidR="009F5637" w:rsidRPr="00FE714A" w14:paraId="60C082AE" w14:textId="77777777" w:rsidTr="001E7DE5">
        <w:tc>
          <w:tcPr>
            <w:tcW w:w="9067" w:type="dxa"/>
            <w:hideMark/>
          </w:tcPr>
          <w:p w14:paraId="00E15D2F"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24647864" w14:textId="77777777" w:rsidTr="001E7DE5">
        <w:tc>
          <w:tcPr>
            <w:tcW w:w="9067" w:type="dxa"/>
            <w:hideMark/>
          </w:tcPr>
          <w:p w14:paraId="54643C27"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0ADFC26F" w14:textId="77777777" w:rsidTr="001E7DE5">
        <w:tc>
          <w:tcPr>
            <w:tcW w:w="9067" w:type="dxa"/>
            <w:hideMark/>
          </w:tcPr>
          <w:p w14:paraId="589FF0A5"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 xml:space="preserve">Patient must have achieved an adequate response prior </w:t>
            </w:r>
            <w:r w:rsidRPr="00FE714A">
              <w:rPr>
                <w:rFonts w:ascii="Arial Narrow" w:hAnsi="Arial Narrow" w:cs="Calibri"/>
                <w:sz w:val="20"/>
                <w:szCs w:val="20"/>
              </w:rPr>
              <w:t>to this first continuing treatment authority application</w:t>
            </w:r>
            <w:r w:rsidRPr="00FE714A">
              <w:rPr>
                <w:rFonts w:ascii="Arial Narrow" w:hAnsi="Arial Narrow"/>
                <w:sz w:val="20"/>
                <w:szCs w:val="20"/>
              </w:rPr>
              <w:t>; or</w:t>
            </w:r>
          </w:p>
        </w:tc>
      </w:tr>
      <w:tr w:rsidR="009F5637" w:rsidRPr="00FE714A" w14:paraId="5FFAAADB" w14:textId="77777777" w:rsidTr="001E7DE5">
        <w:tc>
          <w:tcPr>
            <w:tcW w:w="9067" w:type="dxa"/>
            <w:hideMark/>
          </w:tcPr>
          <w:p w14:paraId="4C547ADF"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Patient must have maintained an adequate response to their most recent course of PBS-subsidised treatment with this biological medicine for this PBS indication if this is the second or subsequent Continuing treatment authority application; or</w:t>
            </w:r>
          </w:p>
        </w:tc>
      </w:tr>
      <w:tr w:rsidR="009F5637" w:rsidRPr="00FE714A" w14:paraId="7A3223FE" w14:textId="77777777" w:rsidTr="001E7DE5">
        <w:tc>
          <w:tcPr>
            <w:tcW w:w="9067" w:type="dxa"/>
            <w:hideMark/>
          </w:tcPr>
          <w:p w14:paraId="050A60D9"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Patient must have temporarily ceased treatment for reasons other than lack of response (e.g. family planning, vaccination with live vaccines, adverse-effect investigation), thereby being unable to achieve/maintain an adequate response immediately prior to this authority application</w:t>
            </w:r>
          </w:p>
        </w:tc>
      </w:tr>
      <w:tr w:rsidR="009F5637" w:rsidRPr="00FE714A" w14:paraId="1BC90C98" w14:textId="77777777" w:rsidTr="001E7DE5">
        <w:tc>
          <w:tcPr>
            <w:tcW w:w="9067" w:type="dxa"/>
            <w:hideMark/>
          </w:tcPr>
          <w:p w14:paraId="23F57CFF"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74B5AEFE" w14:textId="77777777" w:rsidTr="001E7DE5">
        <w:tc>
          <w:tcPr>
            <w:tcW w:w="9067" w:type="dxa"/>
            <w:hideMark/>
          </w:tcPr>
          <w:p w14:paraId="6F7849D7"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Clinical criteria:</w:t>
            </w:r>
          </w:p>
        </w:tc>
      </w:tr>
      <w:tr w:rsidR="009F5637" w:rsidRPr="00FE714A" w14:paraId="5FCFAF5C" w14:textId="77777777" w:rsidTr="001E7DE5">
        <w:tc>
          <w:tcPr>
            <w:tcW w:w="9067" w:type="dxa"/>
            <w:hideMark/>
          </w:tcPr>
          <w:p w14:paraId="27B181DC"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The treatment must be the sole PBS-subsidised biological medicine for this PBS indication</w:t>
            </w:r>
          </w:p>
        </w:tc>
      </w:tr>
      <w:tr w:rsidR="009F5637" w:rsidRPr="00FE714A" w14:paraId="3EDF7F08" w14:textId="77777777" w:rsidTr="001E7DE5">
        <w:tc>
          <w:tcPr>
            <w:tcW w:w="9067" w:type="dxa"/>
            <w:hideMark/>
          </w:tcPr>
          <w:p w14:paraId="089B0A1C"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b/>
                <w:bCs/>
                <w:sz w:val="20"/>
                <w:szCs w:val="20"/>
                <w:bdr w:val="none" w:sz="0" w:space="0" w:color="auto" w:frame="1"/>
              </w:rPr>
              <w:t>AND</w:t>
            </w:r>
          </w:p>
        </w:tc>
      </w:tr>
      <w:tr w:rsidR="009F5637" w:rsidRPr="00FE714A" w14:paraId="4D0E8A86" w14:textId="77777777" w:rsidTr="001E7DE5">
        <w:tc>
          <w:tcPr>
            <w:tcW w:w="9067" w:type="dxa"/>
            <w:hideMark/>
          </w:tcPr>
          <w:p w14:paraId="23B40AC9"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Treatment criteria:</w:t>
            </w:r>
          </w:p>
        </w:tc>
      </w:tr>
      <w:tr w:rsidR="009F5637" w:rsidRPr="00FE714A" w14:paraId="64C9D5B1" w14:textId="77777777" w:rsidTr="001E7DE5">
        <w:tc>
          <w:tcPr>
            <w:tcW w:w="9067" w:type="dxa"/>
            <w:hideMark/>
          </w:tcPr>
          <w:p w14:paraId="0CCE6372"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Must be treated by a dermatologist; or</w:t>
            </w:r>
          </w:p>
        </w:tc>
      </w:tr>
      <w:tr w:rsidR="009F5637" w:rsidRPr="00FE714A" w14:paraId="04B34610" w14:textId="77777777" w:rsidTr="001E7DE5">
        <w:tc>
          <w:tcPr>
            <w:tcW w:w="9067" w:type="dxa"/>
            <w:hideMark/>
          </w:tcPr>
          <w:p w14:paraId="640DE912" w14:textId="77777777" w:rsidR="009F5637" w:rsidRPr="00FE714A" w:rsidRDefault="009F5637" w:rsidP="0086433D">
            <w:pPr>
              <w:widowControl w:val="0"/>
              <w:ind w:left="-57"/>
              <w:rPr>
                <w:rFonts w:ascii="Arial Narrow" w:hAnsi="Arial Narrow"/>
                <w:sz w:val="20"/>
                <w:szCs w:val="20"/>
              </w:rPr>
            </w:pPr>
            <w:r w:rsidRPr="00FE714A">
              <w:rPr>
                <w:rFonts w:ascii="Arial Narrow" w:hAnsi="Arial Narrow"/>
                <w:sz w:val="20"/>
                <w:szCs w:val="20"/>
              </w:rPr>
              <w:t>Must be treated by a clinical immunologist</w:t>
            </w:r>
          </w:p>
        </w:tc>
      </w:tr>
      <w:tr w:rsidR="009F5637" w:rsidRPr="00FE714A" w:rsidDel="00527502" w14:paraId="397A7289" w14:textId="77777777" w:rsidTr="001E7DE5">
        <w:tc>
          <w:tcPr>
            <w:tcW w:w="9067" w:type="dxa"/>
          </w:tcPr>
          <w:p w14:paraId="724418DB" w14:textId="77777777" w:rsidR="009F5637" w:rsidRPr="00FE714A" w:rsidDel="00527502" w:rsidRDefault="009F5637" w:rsidP="0086433D">
            <w:pPr>
              <w:widowControl w:val="0"/>
              <w:ind w:left="-57"/>
              <w:rPr>
                <w:rFonts w:ascii="Arial Narrow" w:hAnsi="Arial Narrow"/>
                <w:sz w:val="20"/>
                <w:szCs w:val="20"/>
              </w:rPr>
            </w:pPr>
          </w:p>
        </w:tc>
      </w:tr>
      <w:tr w:rsidR="009F5637" w:rsidRPr="00FE714A" w14:paraId="6F3EFC4D" w14:textId="77777777" w:rsidTr="001E7DE5">
        <w:tc>
          <w:tcPr>
            <w:tcW w:w="9067" w:type="dxa"/>
            <w:hideMark/>
          </w:tcPr>
          <w:p w14:paraId="7A93E933"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b/>
                <w:bCs/>
                <w:sz w:val="20"/>
                <w:szCs w:val="20"/>
                <w:bdr w:val="none" w:sz="0" w:space="0" w:color="auto" w:frame="1"/>
              </w:rPr>
              <w:t>Prescribing Instructions:</w:t>
            </w:r>
          </w:p>
          <w:p w14:paraId="1766519A"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For the purposes of this restriction, an adequate response to treatment of the face/hands is defined as:</w:t>
            </w:r>
          </w:p>
          <w:p w14:paraId="4B552F07"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(a) (</w:t>
            </w:r>
            <w:proofErr w:type="spellStart"/>
            <w:r w:rsidRPr="00FE714A">
              <w:rPr>
                <w:rFonts w:ascii="Arial Narrow" w:hAnsi="Arial Narrow"/>
                <w:sz w:val="20"/>
                <w:szCs w:val="20"/>
              </w:rPr>
              <w:t>i</w:t>
            </w:r>
            <w:proofErr w:type="spellEnd"/>
            <w:r w:rsidRPr="00FE714A">
              <w:rPr>
                <w:rFonts w:ascii="Arial Narrow" w:hAnsi="Arial Narrow"/>
                <w:sz w:val="20"/>
                <w:szCs w:val="20"/>
              </w:rPr>
              <w:t xml:space="preserve">) A rating of either mild (1) to none (0) on at least 3 of the assessments of erythema, oedema/papulation, excoriation and </w:t>
            </w:r>
            <w:proofErr w:type="spellStart"/>
            <w:r w:rsidRPr="00FE714A">
              <w:rPr>
                <w:rFonts w:ascii="Arial Narrow" w:hAnsi="Arial Narrow"/>
                <w:sz w:val="20"/>
                <w:szCs w:val="20"/>
              </w:rPr>
              <w:t>lichenification</w:t>
            </w:r>
            <w:proofErr w:type="spellEnd"/>
            <w:r w:rsidRPr="00FE714A">
              <w:rPr>
                <w:rFonts w:ascii="Arial Narrow" w:hAnsi="Arial Narrow"/>
                <w:sz w:val="20"/>
                <w:szCs w:val="20"/>
              </w:rPr>
              <w:t xml:space="preserve"> mentioned in the Eczema Area and Severity Index (EASI); or</w:t>
            </w:r>
          </w:p>
          <w:p w14:paraId="1DF9EE38"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(ii) At least a 75% reduction in the skin area affected by this condition compared to baseline; and</w:t>
            </w:r>
          </w:p>
          <w:p w14:paraId="1834A98C" w14:textId="77777777" w:rsidR="009F5637" w:rsidRPr="00FE714A" w:rsidRDefault="009F5637" w:rsidP="0086433D">
            <w:pPr>
              <w:widowControl w:val="0"/>
              <w:ind w:left="-57"/>
              <w:textAlignment w:val="baseline"/>
              <w:rPr>
                <w:rFonts w:ascii="Arial Narrow" w:hAnsi="Arial Narrow"/>
                <w:sz w:val="20"/>
                <w:szCs w:val="20"/>
              </w:rPr>
            </w:pPr>
            <w:r w:rsidRPr="00FE714A">
              <w:rPr>
                <w:rFonts w:ascii="Arial Narrow" w:hAnsi="Arial Narrow"/>
                <w:sz w:val="20"/>
                <w:szCs w:val="20"/>
              </w:rPr>
              <w:t>(b) An improvement in Dermatology Life Quality Index (DLQI) score of at least 4 points compared to baseline</w:t>
            </w:r>
          </w:p>
          <w:p w14:paraId="3759131C" w14:textId="3BAE2709" w:rsidR="009F5637" w:rsidRPr="00FE714A" w:rsidRDefault="009F5637" w:rsidP="0003485F">
            <w:pPr>
              <w:widowControl w:val="0"/>
              <w:ind w:left="-57"/>
              <w:textAlignment w:val="baseline"/>
              <w:rPr>
                <w:rFonts w:ascii="Arial Narrow" w:hAnsi="Arial Narrow"/>
                <w:sz w:val="20"/>
                <w:szCs w:val="20"/>
              </w:rPr>
            </w:pPr>
            <w:r w:rsidRPr="00FE714A">
              <w:rPr>
                <w:rFonts w:ascii="Arial Narrow" w:hAnsi="Arial Narrow"/>
                <w:sz w:val="20"/>
                <w:szCs w:val="20"/>
              </w:rPr>
              <w:t xml:space="preserve">State the current EASI </w:t>
            </w:r>
            <w:r>
              <w:rPr>
                <w:rFonts w:ascii="Arial Narrow" w:hAnsi="Arial Narrow"/>
                <w:sz w:val="20"/>
                <w:szCs w:val="20"/>
              </w:rPr>
              <w:t xml:space="preserve">ratings </w:t>
            </w:r>
            <w:r w:rsidRPr="00FE714A">
              <w:rPr>
                <w:rFonts w:ascii="Arial Narrow" w:hAnsi="Arial Narrow"/>
                <w:sz w:val="20"/>
                <w:szCs w:val="20"/>
              </w:rPr>
              <w:t xml:space="preserve">or the percentage of face/hand surface area affected by the condition. </w:t>
            </w:r>
            <w:r>
              <w:rPr>
                <w:rFonts w:ascii="Arial Narrow" w:hAnsi="Arial Narrow"/>
                <w:sz w:val="20"/>
                <w:szCs w:val="20"/>
              </w:rPr>
              <w:t>A</w:t>
            </w:r>
            <w:r w:rsidRPr="00FE714A">
              <w:rPr>
                <w:rFonts w:ascii="Arial Narrow" w:hAnsi="Arial Narrow"/>
                <w:sz w:val="20"/>
                <w:szCs w:val="20"/>
              </w:rPr>
              <w:t>lso state the DLQI score for this authority application</w:t>
            </w:r>
            <w:r w:rsidRPr="00FE714A">
              <w:rPr>
                <w:rFonts w:ascii="Arial Narrow" w:hAnsi="Arial Narrow"/>
                <w:color w:val="333333"/>
                <w:sz w:val="20"/>
                <w:szCs w:val="20"/>
              </w:rPr>
              <w:t>.</w:t>
            </w:r>
          </w:p>
        </w:tc>
      </w:tr>
      <w:bookmarkEnd w:id="1"/>
      <w:bookmarkEnd w:id="2"/>
      <w:bookmarkEnd w:id="3"/>
      <w:bookmarkEnd w:id="4"/>
      <w:bookmarkEnd w:id="5"/>
    </w:tbl>
    <w:p w14:paraId="56E0E879" w14:textId="77777777" w:rsidR="00A36B99" w:rsidRDefault="00A36B99" w:rsidP="00EE45E7">
      <w:pPr>
        <w:pStyle w:val="ListParagraph"/>
      </w:pPr>
    </w:p>
    <w:p w14:paraId="72F0C8A4" w14:textId="1F6CD280" w:rsidR="00EE45E7" w:rsidRDefault="00EE45E7" w:rsidP="001215CB">
      <w:pPr>
        <w:pStyle w:val="ListParagraph"/>
        <w:keepNext/>
        <w:keepLines/>
      </w:pPr>
      <w:r>
        <w:lastRenderedPageBreak/>
        <w:t>Flow on changes to UPA and DUPI for atopic dermatitis:</w:t>
      </w:r>
    </w:p>
    <w:p w14:paraId="1A4E20CF" w14:textId="77777777" w:rsidR="00EE45E7" w:rsidRDefault="00EE45E7" w:rsidP="001215CB">
      <w:pPr>
        <w:keepNext/>
        <w:keepLines/>
        <w:jc w:val="left"/>
        <w:rPr>
          <w:snapToGrid w:val="0"/>
        </w:rPr>
      </w:pPr>
      <w:r>
        <w:rPr>
          <w:snapToGrid w:val="0"/>
        </w:rPr>
        <w:t xml:space="preserve">Align the administrative advice of access EASI and PGA scores between the listings for UPA, DUPI and LEB. That includes amending the current AA in dupilumab (PBS item codes </w:t>
      </w:r>
      <w:r w:rsidRPr="007050CF">
        <w:rPr>
          <w:snapToGrid w:val="0"/>
        </w:rPr>
        <w:br/>
        <w:t>12291X</w:t>
      </w:r>
      <w:r>
        <w:rPr>
          <w:snapToGrid w:val="0"/>
        </w:rPr>
        <w:t xml:space="preserve"> and </w:t>
      </w:r>
      <w:r w:rsidRPr="007050CF">
        <w:rPr>
          <w:snapToGrid w:val="0"/>
        </w:rPr>
        <w:t>12292Y</w:t>
      </w:r>
      <w:r>
        <w:rPr>
          <w:snapToGrid w:val="0"/>
        </w:rPr>
        <w:t xml:space="preserve">) to: </w:t>
      </w:r>
    </w:p>
    <w:p w14:paraId="424D67F6" w14:textId="77777777" w:rsidR="00EE45E7" w:rsidRDefault="00EE45E7" w:rsidP="00EE45E7">
      <w:pPr>
        <w:jc w:val="left"/>
        <w:rPr>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7"/>
      </w:tblGrid>
      <w:tr w:rsidR="009F5637" w:rsidRPr="00FE714A" w14:paraId="1D799FA7" w14:textId="77777777" w:rsidTr="009F5637">
        <w:tc>
          <w:tcPr>
            <w:tcW w:w="9067" w:type="dxa"/>
          </w:tcPr>
          <w:p w14:paraId="4C72EE36" w14:textId="77777777" w:rsidR="009F5637" w:rsidRDefault="009F5637" w:rsidP="00EE0B87">
            <w:pPr>
              <w:widowControl w:val="0"/>
              <w:textAlignment w:val="baseline"/>
              <w:rPr>
                <w:rFonts w:ascii="Arial Narrow" w:hAnsi="Arial Narrow"/>
                <w:b/>
                <w:bCs/>
                <w:sz w:val="20"/>
                <w:szCs w:val="20"/>
                <w:bdr w:val="none" w:sz="0" w:space="0" w:color="auto" w:frame="1"/>
              </w:rPr>
            </w:pPr>
            <w:r w:rsidRPr="00FE714A">
              <w:rPr>
                <w:rFonts w:ascii="Arial Narrow" w:hAnsi="Arial Narrow"/>
                <w:b/>
                <w:bCs/>
                <w:sz w:val="20"/>
                <w:szCs w:val="20"/>
                <w:bdr w:val="none" w:sz="0" w:space="0" w:color="auto" w:frame="1"/>
              </w:rPr>
              <w:t>Administrative Advice:</w:t>
            </w:r>
          </w:p>
          <w:p w14:paraId="70296A13" w14:textId="77777777" w:rsidR="009F5637" w:rsidRPr="007050CF" w:rsidRDefault="009F5637" w:rsidP="00EE0B87">
            <w:pPr>
              <w:widowControl w:val="0"/>
              <w:textAlignment w:val="baseline"/>
              <w:rPr>
                <w:rFonts w:ascii="Arial Narrow" w:hAnsi="Arial Narrow"/>
                <w:strike/>
                <w:sz w:val="20"/>
                <w:szCs w:val="20"/>
              </w:rPr>
            </w:pPr>
            <w:r w:rsidRPr="007050CF">
              <w:rPr>
                <w:rFonts w:ascii="Arial Narrow" w:hAnsi="Arial Narrow"/>
                <w:strike/>
                <w:sz w:val="20"/>
                <w:szCs w:val="20"/>
              </w:rPr>
              <w:t>Instructions on the use of the Eczema Area and Severity Index and copyright details can be found here:</w:t>
            </w:r>
          </w:p>
          <w:p w14:paraId="7FD760A5" w14:textId="77777777" w:rsidR="009F5637" w:rsidRPr="007050CF" w:rsidRDefault="009F5637" w:rsidP="00EE0B87">
            <w:pPr>
              <w:widowControl w:val="0"/>
              <w:textAlignment w:val="baseline"/>
              <w:rPr>
                <w:rFonts w:ascii="Arial Narrow" w:hAnsi="Arial Narrow"/>
                <w:strike/>
                <w:sz w:val="20"/>
                <w:szCs w:val="20"/>
              </w:rPr>
            </w:pPr>
            <w:r w:rsidRPr="007050CF">
              <w:rPr>
                <w:rFonts w:ascii="Arial Narrow" w:hAnsi="Arial Narrow"/>
                <w:strike/>
                <w:sz w:val="20"/>
                <w:szCs w:val="20"/>
              </w:rPr>
              <w:t>https://www.dupixent.co.uk/-/media/EMS/Conditions/Dermatology/Brands/Dupixent-UK/global/1051-EASI-Leaflet-v6-webready.pdf</w:t>
            </w:r>
          </w:p>
          <w:p w14:paraId="04A3A2FD" w14:textId="77777777" w:rsidR="009F5637" w:rsidRPr="00FE714A" w:rsidRDefault="009F5637" w:rsidP="00EE0B87">
            <w:pPr>
              <w:widowControl w:val="0"/>
              <w:textAlignment w:val="baseline"/>
              <w:rPr>
                <w:rFonts w:ascii="Arial Narrow" w:hAnsi="Arial Narrow"/>
                <w:sz w:val="20"/>
                <w:szCs w:val="20"/>
              </w:rPr>
            </w:pPr>
          </w:p>
          <w:p w14:paraId="14B07FEE" w14:textId="77777777" w:rsidR="009F5637" w:rsidRPr="00C60058" w:rsidRDefault="009F5637" w:rsidP="00EE0B87">
            <w:pPr>
              <w:widowControl w:val="0"/>
              <w:rPr>
                <w:rFonts w:ascii="Arial Narrow" w:hAnsi="Arial Narrow"/>
                <w:i/>
                <w:iCs/>
                <w:sz w:val="20"/>
                <w:szCs w:val="20"/>
              </w:rPr>
            </w:pPr>
            <w:r w:rsidRPr="00C60058">
              <w:rPr>
                <w:rFonts w:ascii="Arial Narrow" w:hAnsi="Arial Narrow"/>
                <w:i/>
                <w:iCs/>
                <w:sz w:val="20"/>
                <w:szCs w:val="20"/>
              </w:rPr>
              <w:t>The Eczema Area and Severity Index (EASI) referenced in this restriction is that described in the following literature publications:</w:t>
            </w:r>
          </w:p>
          <w:p w14:paraId="522893E5" w14:textId="77777777" w:rsidR="009F5637" w:rsidRPr="00C60058" w:rsidRDefault="009F5637" w:rsidP="00EE0B87">
            <w:pPr>
              <w:widowControl w:val="0"/>
              <w:rPr>
                <w:rFonts w:ascii="Arial Narrow" w:hAnsi="Arial Narrow"/>
                <w:i/>
                <w:iCs/>
                <w:sz w:val="20"/>
                <w:szCs w:val="20"/>
              </w:rPr>
            </w:pPr>
            <w:r w:rsidRPr="00C60058">
              <w:rPr>
                <w:rFonts w:ascii="Arial Narrow" w:hAnsi="Arial Narrow"/>
                <w:i/>
                <w:iCs/>
                <w:sz w:val="20"/>
                <w:szCs w:val="20"/>
              </w:rPr>
              <w:t>Chalmers JR et al. Report from the third international consensus meeting to harmonise core outcome measures for atopic eczema/dermatitis clinical trials (HOME). British Journal of Dermatology 2014 December;171(6):1318-25.</w:t>
            </w:r>
          </w:p>
          <w:p w14:paraId="79BE8823" w14:textId="77777777" w:rsidR="009F5637" w:rsidRPr="00FE714A" w:rsidRDefault="009F5637" w:rsidP="00EE0B87">
            <w:pPr>
              <w:widowControl w:val="0"/>
              <w:rPr>
                <w:rFonts w:ascii="Arial Narrow" w:hAnsi="Arial Narrow"/>
                <w:sz w:val="20"/>
                <w:szCs w:val="20"/>
              </w:rPr>
            </w:pPr>
            <w:r w:rsidRPr="00C60058">
              <w:rPr>
                <w:rFonts w:ascii="Arial Narrow" w:hAnsi="Arial Narrow"/>
                <w:i/>
                <w:iCs/>
                <w:sz w:val="20"/>
                <w:szCs w:val="20"/>
              </w:rPr>
              <w:t>Schmitt J et al. HOME initiative collaborators. The Harmonising Outcome Measures for Eczema (HOME) statement to assess clinical signs of atopic eczema in trials. The Journal of Allergy and Clinical Immunology 2014 October;134(4):800-7</w:t>
            </w:r>
          </w:p>
        </w:tc>
      </w:tr>
      <w:tr w:rsidR="009F5637" w:rsidRPr="00FE714A" w14:paraId="75BA19E2" w14:textId="77777777" w:rsidTr="009F5637">
        <w:trPr>
          <w:trHeight w:val="1897"/>
        </w:trPr>
        <w:tc>
          <w:tcPr>
            <w:tcW w:w="9067" w:type="dxa"/>
          </w:tcPr>
          <w:p w14:paraId="2240BABC" w14:textId="77777777" w:rsidR="009F5637" w:rsidRDefault="009F5637" w:rsidP="00EE0B87">
            <w:pPr>
              <w:widowControl w:val="0"/>
              <w:textAlignment w:val="baseline"/>
              <w:rPr>
                <w:rFonts w:ascii="Arial Narrow" w:hAnsi="Arial Narrow"/>
                <w:b/>
                <w:bCs/>
                <w:sz w:val="20"/>
                <w:szCs w:val="20"/>
                <w:bdr w:val="none" w:sz="0" w:space="0" w:color="auto" w:frame="1"/>
              </w:rPr>
            </w:pPr>
            <w:r w:rsidRPr="00FE714A">
              <w:rPr>
                <w:rFonts w:ascii="Arial Narrow" w:hAnsi="Arial Narrow"/>
                <w:b/>
                <w:bCs/>
                <w:sz w:val="20"/>
                <w:szCs w:val="20"/>
                <w:bdr w:val="none" w:sz="0" w:space="0" w:color="auto" w:frame="1"/>
              </w:rPr>
              <w:t>Administrative Advice:</w:t>
            </w:r>
          </w:p>
          <w:p w14:paraId="2848864E" w14:textId="77777777" w:rsidR="009F5637" w:rsidRDefault="009F5637" w:rsidP="00EE0B87">
            <w:pPr>
              <w:widowControl w:val="0"/>
              <w:textAlignment w:val="baseline"/>
              <w:rPr>
                <w:rFonts w:ascii="Arial Narrow" w:hAnsi="Arial Narrow"/>
                <w:strike/>
                <w:sz w:val="20"/>
                <w:szCs w:val="20"/>
                <w:bdr w:val="none" w:sz="0" w:space="0" w:color="auto" w:frame="1"/>
              </w:rPr>
            </w:pPr>
            <w:r w:rsidRPr="007050CF">
              <w:rPr>
                <w:rFonts w:ascii="Arial Narrow" w:hAnsi="Arial Narrow"/>
                <w:strike/>
                <w:sz w:val="20"/>
                <w:szCs w:val="20"/>
                <w:bdr w:val="none" w:sz="0" w:space="0" w:color="auto" w:frame="1"/>
              </w:rPr>
              <w:t xml:space="preserve">Instructions on the use of the Physician's Global Assessment (5-point scale) can be obtained from Sanofi Medical Information on 1800 818 806 or </w:t>
            </w:r>
            <w:hyperlink r:id="rId14" w:history="1">
              <w:r w:rsidRPr="00530DD5">
                <w:rPr>
                  <w:rStyle w:val="Hyperlink"/>
                  <w:rFonts w:ascii="Arial Narrow" w:hAnsi="Arial Narrow"/>
                  <w:strike/>
                  <w:sz w:val="20"/>
                  <w:szCs w:val="20"/>
                  <w:bdr w:val="none" w:sz="0" w:space="0" w:color="auto" w:frame="1"/>
                </w:rPr>
                <w:t>MedInfo.Australia@sanofi.com</w:t>
              </w:r>
            </w:hyperlink>
          </w:p>
          <w:p w14:paraId="0155272C" w14:textId="77777777" w:rsidR="009F5637" w:rsidRPr="007050CF" w:rsidRDefault="009F5637" w:rsidP="00EE0B87">
            <w:pPr>
              <w:widowControl w:val="0"/>
              <w:textAlignment w:val="baseline"/>
              <w:rPr>
                <w:rFonts w:ascii="Arial Narrow" w:hAnsi="Arial Narrow"/>
                <w:strike/>
                <w:sz w:val="20"/>
                <w:szCs w:val="20"/>
                <w:bdr w:val="none" w:sz="0" w:space="0" w:color="auto" w:frame="1"/>
              </w:rPr>
            </w:pPr>
          </w:p>
          <w:p w14:paraId="3ACC6561" w14:textId="77777777" w:rsidR="009F5637" w:rsidRPr="00C60058" w:rsidRDefault="009F5637" w:rsidP="00EE0B87">
            <w:pPr>
              <w:widowControl w:val="0"/>
              <w:textAlignment w:val="baseline"/>
              <w:rPr>
                <w:rFonts w:ascii="Arial Narrow" w:hAnsi="Arial Narrow"/>
                <w:i/>
                <w:iCs/>
                <w:sz w:val="20"/>
                <w:szCs w:val="20"/>
                <w:bdr w:val="none" w:sz="0" w:space="0" w:color="auto" w:frame="1"/>
              </w:rPr>
            </w:pPr>
            <w:r w:rsidRPr="00C60058">
              <w:rPr>
                <w:rFonts w:ascii="Arial Narrow" w:hAnsi="Arial Narrow"/>
                <w:i/>
                <w:iCs/>
                <w:sz w:val="20"/>
                <w:szCs w:val="20"/>
                <w:bdr w:val="none" w:sz="0" w:space="0" w:color="auto" w:frame="1"/>
              </w:rPr>
              <w:t>The Physician's Global Assessment (5-point scale) referenced in this restriction is that described in the following literature publication:</w:t>
            </w:r>
          </w:p>
          <w:p w14:paraId="4E59FC07" w14:textId="77777777" w:rsidR="009F5637" w:rsidRPr="00C60058" w:rsidRDefault="009F5637" w:rsidP="00EE0B87">
            <w:pPr>
              <w:widowControl w:val="0"/>
              <w:textAlignment w:val="baseline"/>
              <w:rPr>
                <w:rFonts w:ascii="Arial Narrow" w:hAnsi="Arial Narrow"/>
                <w:i/>
                <w:iCs/>
                <w:sz w:val="20"/>
                <w:szCs w:val="20"/>
                <w:bdr w:val="none" w:sz="0" w:space="0" w:color="auto" w:frame="1"/>
              </w:rPr>
            </w:pPr>
            <w:proofErr w:type="spellStart"/>
            <w:r w:rsidRPr="00C60058">
              <w:rPr>
                <w:rFonts w:ascii="Arial Narrow" w:hAnsi="Arial Narrow"/>
                <w:i/>
                <w:iCs/>
                <w:sz w:val="20"/>
                <w:szCs w:val="20"/>
                <w:bdr w:val="none" w:sz="0" w:space="0" w:color="auto" w:frame="1"/>
              </w:rPr>
              <w:t>Fatumura</w:t>
            </w:r>
            <w:proofErr w:type="spellEnd"/>
            <w:r w:rsidRPr="00C60058">
              <w:rPr>
                <w:rFonts w:ascii="Arial Narrow" w:hAnsi="Arial Narrow"/>
                <w:i/>
                <w:iCs/>
                <w:sz w:val="20"/>
                <w:szCs w:val="20"/>
                <w:bdr w:val="none" w:sz="0" w:space="0" w:color="auto" w:frame="1"/>
              </w:rPr>
              <w:t xml:space="preserve"> M et al. Journal of the American Academy of Dermatology 2016; 64(2): 288-94 </w:t>
            </w:r>
          </w:p>
          <w:p w14:paraId="6D2669EA" w14:textId="77777777" w:rsidR="009F5637" w:rsidRPr="00FE714A" w:rsidRDefault="009F5637" w:rsidP="00EE0B87">
            <w:pPr>
              <w:widowControl w:val="0"/>
              <w:rPr>
                <w:rFonts w:ascii="Arial Narrow" w:hAnsi="Arial Narrow"/>
                <w:b/>
                <w:bCs/>
                <w:sz w:val="20"/>
                <w:szCs w:val="20"/>
              </w:rPr>
            </w:pPr>
            <w:r w:rsidRPr="00C60058">
              <w:rPr>
                <w:rFonts w:ascii="Arial Narrow" w:hAnsi="Arial Narrow"/>
                <w:i/>
                <w:iCs/>
                <w:sz w:val="20"/>
                <w:szCs w:val="20"/>
                <w:bdr w:val="none" w:sz="0" w:space="0" w:color="auto" w:frame="1"/>
              </w:rPr>
              <w:t>The overall appearance of dermatitis lesions is rated as 4 (severe) if the lesions are best described as featuring: deep/dark red erythema, with marked and extensive induration/papulation; excoriation and oozing/crusting are present.</w:t>
            </w:r>
          </w:p>
        </w:tc>
      </w:tr>
    </w:tbl>
    <w:p w14:paraId="76BDFD22" w14:textId="604222D5" w:rsidR="00153E3D" w:rsidRPr="00153E3D" w:rsidRDefault="00601CE9" w:rsidP="00E113B7">
      <w:pPr>
        <w:jc w:val="left"/>
        <w:rPr>
          <w:b/>
          <w:i/>
        </w:rPr>
      </w:pPr>
      <w:r w:rsidRPr="00BB6D30">
        <w:rPr>
          <w:rFonts w:asciiTheme="minorHAnsi" w:hAnsiTheme="minorHAnsi"/>
          <w:b/>
          <w:bCs/>
          <w:i/>
          <w:szCs w:val="22"/>
        </w:rPr>
        <w:t>Th</w:t>
      </w:r>
      <w:r w:rsidR="00613B05">
        <w:rPr>
          <w:rFonts w:asciiTheme="minorHAnsi" w:hAnsiTheme="minorHAnsi"/>
          <w:b/>
          <w:bCs/>
          <w:i/>
          <w:szCs w:val="22"/>
        </w:rPr>
        <w:t>ese</w:t>
      </w:r>
      <w:r w:rsidRPr="00BB6D30">
        <w:rPr>
          <w:rFonts w:asciiTheme="minorHAnsi" w:hAnsiTheme="minorHAnsi"/>
          <w:b/>
          <w:bCs/>
          <w:i/>
          <w:szCs w:val="22"/>
        </w:rPr>
        <w:t xml:space="preserve"> restriction</w:t>
      </w:r>
      <w:r w:rsidR="00613B05">
        <w:rPr>
          <w:rFonts w:asciiTheme="minorHAnsi" w:hAnsiTheme="minorHAnsi"/>
          <w:b/>
          <w:bCs/>
          <w:i/>
          <w:szCs w:val="22"/>
        </w:rPr>
        <w:t>s</w:t>
      </w:r>
      <w:r w:rsidRPr="00BB6D30">
        <w:rPr>
          <w:rFonts w:asciiTheme="minorHAnsi" w:hAnsiTheme="minorHAnsi"/>
          <w:b/>
          <w:bCs/>
          <w:i/>
          <w:szCs w:val="22"/>
        </w:rPr>
        <w:t xml:space="preserve"> may be subject to further review. Should there be any changes made to the restriction the sponsor will be informed</w:t>
      </w:r>
      <w:r w:rsidRPr="007F262A">
        <w:rPr>
          <w:rFonts w:asciiTheme="minorHAnsi" w:hAnsiTheme="minorHAnsi"/>
          <w:szCs w:val="22"/>
        </w:rPr>
        <w:t>.</w:t>
      </w:r>
      <w:bookmarkStart w:id="73" w:name="_Hlk164850980"/>
    </w:p>
    <w:p w14:paraId="71A4E8FA" w14:textId="77777777" w:rsidR="00153E3D" w:rsidRPr="00153E3D" w:rsidRDefault="00153E3D" w:rsidP="008F2D1E">
      <w:pPr>
        <w:pStyle w:val="2-SectionHeading"/>
        <w:numPr>
          <w:ilvl w:val="0"/>
          <w:numId w:val="1"/>
        </w:numPr>
        <w:rPr>
          <w:b w:val="0"/>
        </w:rPr>
      </w:pPr>
      <w:r w:rsidRPr="00153E3D">
        <w:t>Context for Decision</w:t>
      </w:r>
    </w:p>
    <w:p w14:paraId="5E8AA0C0" w14:textId="77777777" w:rsidR="00153E3D" w:rsidRPr="00153E3D" w:rsidRDefault="00153E3D" w:rsidP="00153E3D">
      <w:pPr>
        <w:spacing w:after="120" w:line="259" w:lineRule="auto"/>
        <w:ind w:left="709"/>
        <w:rPr>
          <w:rFonts w:eastAsia="Calibri"/>
          <w:bCs/>
          <w:sz w:val="22"/>
          <w:szCs w:val="22"/>
          <w:lang w:val="en-GB" w:eastAsia="en-US"/>
        </w:rPr>
      </w:pPr>
      <w:r w:rsidRPr="00153E3D">
        <w:rPr>
          <w:rFonts w:eastAsia="Calibri"/>
          <w:bCs/>
          <w:sz w:val="22"/>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745CF2E" w14:textId="77777777" w:rsidR="00153E3D" w:rsidRPr="00153E3D" w:rsidRDefault="00153E3D" w:rsidP="008F2D1E">
      <w:pPr>
        <w:pStyle w:val="2-SectionHeading"/>
        <w:numPr>
          <w:ilvl w:val="0"/>
          <w:numId w:val="1"/>
        </w:numPr>
        <w:rPr>
          <w:b w:val="0"/>
        </w:rPr>
      </w:pPr>
      <w:r w:rsidRPr="00153E3D">
        <w:t>Sponsor’s Comment</w:t>
      </w:r>
    </w:p>
    <w:p w14:paraId="6A03BF4A" w14:textId="625F45E8" w:rsidR="00153E3D" w:rsidRPr="00FE714A" w:rsidRDefault="00153E3D" w:rsidP="00E113B7">
      <w:pPr>
        <w:spacing w:after="120" w:line="259" w:lineRule="auto"/>
        <w:ind w:left="709"/>
        <w:rPr>
          <w:rFonts w:asciiTheme="minorHAnsi" w:hAnsiTheme="minorHAnsi"/>
          <w:b/>
          <w:snapToGrid w:val="0"/>
          <w:sz w:val="32"/>
          <w:szCs w:val="32"/>
        </w:rPr>
      </w:pPr>
      <w:r w:rsidRPr="00153E3D">
        <w:rPr>
          <w:rFonts w:eastAsia="Calibri"/>
          <w:bCs/>
          <w:sz w:val="22"/>
          <w:szCs w:val="22"/>
          <w:lang w:eastAsia="en-US"/>
        </w:rPr>
        <w:t>The sponsor had no comment.</w:t>
      </w:r>
      <w:bookmarkEnd w:id="73"/>
    </w:p>
    <w:sectPr w:rsidR="00153E3D" w:rsidRPr="00FE714A" w:rsidSect="00E34318">
      <w:headerReference w:type="default" r:id="rId15"/>
      <w:footerReference w:type="defaul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A4332" w14:textId="77777777" w:rsidR="00D01F68" w:rsidRDefault="00D01F68" w:rsidP="00124A51">
      <w:r>
        <w:separator/>
      </w:r>
    </w:p>
    <w:p w14:paraId="52B0A3FD" w14:textId="77777777" w:rsidR="00D01F68" w:rsidRDefault="00D01F68"/>
  </w:endnote>
  <w:endnote w:type="continuationSeparator" w:id="0">
    <w:p w14:paraId="7811E3BA" w14:textId="77777777" w:rsidR="00D01F68" w:rsidRDefault="00D01F68" w:rsidP="00124A51">
      <w:r>
        <w:continuationSeparator/>
      </w:r>
    </w:p>
    <w:p w14:paraId="615A60D0" w14:textId="77777777" w:rsidR="00D01F68" w:rsidRDefault="00D01F68"/>
  </w:endnote>
  <w:endnote w:type="continuationNotice" w:id="1">
    <w:p w14:paraId="4C6B298E" w14:textId="77777777" w:rsidR="00D01F68" w:rsidRDefault="00D01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688F7040" w:rsidR="00D843F2" w:rsidRPr="009A786D" w:rsidRDefault="008B26E3"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D843F2" w:rsidRPr="009A786D">
          <w:rPr>
            <w:b/>
            <w:bCs/>
          </w:rPr>
          <w:fldChar w:fldCharType="begin"/>
        </w:r>
        <w:r w:rsidR="00D843F2" w:rsidRPr="009A786D">
          <w:rPr>
            <w:b/>
            <w:bCs/>
          </w:rPr>
          <w:instrText xml:space="preserve"> PAGE   \* MERGEFORMAT </w:instrText>
        </w:r>
        <w:r w:rsidR="00D843F2" w:rsidRPr="009A786D">
          <w:rPr>
            <w:b/>
            <w:bCs/>
          </w:rPr>
          <w:fldChar w:fldCharType="separate"/>
        </w:r>
        <w:r w:rsidR="00D843F2" w:rsidRPr="009A786D">
          <w:rPr>
            <w:b/>
            <w:bCs/>
            <w:noProof/>
          </w:rPr>
          <w:t>2</w:t>
        </w:r>
        <w:r w:rsidR="00D843F2" w:rsidRPr="009A786D">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F6C2" w14:textId="77777777" w:rsidR="00D01F68" w:rsidRDefault="00D01F68" w:rsidP="00124A51">
      <w:r>
        <w:separator/>
      </w:r>
    </w:p>
    <w:p w14:paraId="54E22DEB" w14:textId="77777777" w:rsidR="00D01F68" w:rsidRDefault="00D01F68"/>
  </w:footnote>
  <w:footnote w:type="continuationSeparator" w:id="0">
    <w:p w14:paraId="518EEEE9" w14:textId="77777777" w:rsidR="00D01F68" w:rsidRDefault="00D01F68" w:rsidP="00124A51">
      <w:r>
        <w:continuationSeparator/>
      </w:r>
    </w:p>
    <w:p w14:paraId="73703A55" w14:textId="77777777" w:rsidR="00D01F68" w:rsidRDefault="00D01F68"/>
  </w:footnote>
  <w:footnote w:type="continuationNotice" w:id="1">
    <w:p w14:paraId="06173075" w14:textId="77777777" w:rsidR="00D01F68" w:rsidRDefault="00D01F68"/>
  </w:footnote>
  <w:footnote w:id="2">
    <w:p w14:paraId="6475AD6D" w14:textId="77777777" w:rsidR="004779D9" w:rsidRDefault="004779D9" w:rsidP="0009170B">
      <w:pPr>
        <w:pStyle w:val="FootnoteText"/>
      </w:pPr>
      <w:r>
        <w:rPr>
          <w:rStyle w:val="FootnoteReference"/>
        </w:rPr>
        <w:footnoteRef/>
      </w:r>
      <w:r>
        <w:t xml:space="preserve"> </w:t>
      </w:r>
      <w:r w:rsidRPr="00880E5F">
        <w:rPr>
          <w:sz w:val="18"/>
          <w:szCs w:val="18"/>
        </w:rPr>
        <w:t xml:space="preserve">Indirect comparison working group (2008) Report of the Indirect Comparisons Working Group to the Pharmaceutical Benefits Advisory Committee: assessing indirect comparisons. </w:t>
      </w:r>
      <w:hyperlink r:id="rId1" w:history="1">
        <w:r w:rsidRPr="00880E5F">
          <w:rPr>
            <w:rStyle w:val="Hyperlink"/>
            <w:sz w:val="18"/>
            <w:szCs w:val="18"/>
          </w:rPr>
          <w:t>https://www.pbs.gov.au/industry/useful-resources/pbac-technical-working-groups-archive/indirect-comparisons-working-group-report-2008.pdf</w:t>
        </w:r>
      </w:hyperlink>
      <w:r w:rsidRPr="00880E5F">
        <w:rPr>
          <w:sz w:val="18"/>
          <w:szCs w:val="18"/>
        </w:rPr>
        <w:t xml:space="preserve"> </w:t>
      </w:r>
    </w:p>
  </w:footnote>
  <w:footnote w:id="3">
    <w:p w14:paraId="47F9D2BD" w14:textId="77777777" w:rsidR="00E73ED0" w:rsidRDefault="00E73ED0" w:rsidP="00E73ED0">
      <w:pPr>
        <w:pStyle w:val="FootnoteText"/>
      </w:pPr>
      <w:r>
        <w:rPr>
          <w:rStyle w:val="FootnoteReference"/>
        </w:rPr>
        <w:footnoteRef/>
      </w:r>
      <w:r>
        <w:t xml:space="preserve"> </w:t>
      </w:r>
      <w:r w:rsidRPr="004935E3">
        <w:rPr>
          <w:sz w:val="18"/>
          <w:szCs w:val="18"/>
        </w:rPr>
        <w:t>Guttman-</w:t>
      </w:r>
      <w:proofErr w:type="spellStart"/>
      <w:r w:rsidRPr="004935E3">
        <w:rPr>
          <w:sz w:val="18"/>
          <w:szCs w:val="18"/>
        </w:rPr>
        <w:t>Yassky</w:t>
      </w:r>
      <w:proofErr w:type="spellEnd"/>
      <w:r w:rsidRPr="004935E3">
        <w:rPr>
          <w:sz w:val="18"/>
          <w:szCs w:val="18"/>
        </w:rPr>
        <w:t xml:space="preserve"> E, et al. Efficacy and Safety of Lebrikizumab is Maintained to Two Years in Patients with Moderate-to-Severe Atopic dermatitis. Fall Clinical Dermatology Conference. </w:t>
      </w:r>
      <w:hyperlink r:id="rId2" w:history="1">
        <w:r w:rsidRPr="004935E3">
          <w:rPr>
            <w:rStyle w:val="Hyperlink"/>
            <w:sz w:val="18"/>
            <w:szCs w:val="18"/>
          </w:rPr>
          <w:t>https://jofskin.org/index.php/skin/article/view/2382/1916</w:t>
        </w:r>
      </w:hyperlink>
      <w:r>
        <w:rPr>
          <w:sz w:val="18"/>
          <w:szCs w:val="18"/>
        </w:rPr>
        <w:t xml:space="preserve"> </w:t>
      </w:r>
    </w:p>
  </w:footnote>
  <w:footnote w:id="4">
    <w:p w14:paraId="56166710" w14:textId="77777777" w:rsidR="00E73ED0" w:rsidRDefault="00E73ED0" w:rsidP="00E73ED0">
      <w:pPr>
        <w:pStyle w:val="FootnoteText"/>
      </w:pPr>
      <w:r>
        <w:rPr>
          <w:rStyle w:val="FootnoteReference"/>
        </w:rPr>
        <w:footnoteRef/>
      </w:r>
      <w:r>
        <w:t xml:space="preserve"> </w:t>
      </w:r>
      <w:r w:rsidRPr="009A61F3">
        <w:rPr>
          <w:sz w:val="18"/>
          <w:szCs w:val="18"/>
        </w:rPr>
        <w:t xml:space="preserve">However, it was unclear what the average </w:t>
      </w:r>
      <w:r>
        <w:rPr>
          <w:sz w:val="18"/>
          <w:szCs w:val="18"/>
        </w:rPr>
        <w:t>length of exposure was.</w:t>
      </w:r>
      <w:r w:rsidRPr="009A61F3">
        <w:rPr>
          <w:sz w:val="18"/>
          <w:szCs w:val="18"/>
        </w:rPr>
        <w:t xml:space="preserve"> </w:t>
      </w:r>
    </w:p>
  </w:footnote>
  <w:footnote w:id="5">
    <w:p w14:paraId="0AFA9CFB" w14:textId="66AB0E03" w:rsidR="004779D9" w:rsidRDefault="004779D9">
      <w:pPr>
        <w:pStyle w:val="FootnoteText"/>
      </w:pPr>
      <w:r w:rsidRPr="00595967">
        <w:rPr>
          <w:rStyle w:val="FootnoteReference"/>
        </w:rPr>
        <w:footnoteRef/>
      </w:r>
      <w:r w:rsidRPr="00595967">
        <w:rPr>
          <w:sz w:val="18"/>
          <w:szCs w:val="18"/>
        </w:rPr>
        <w:t xml:space="preserve"> The DPMQ provided by the submission was based on an </w:t>
      </w:r>
      <w:r w:rsidRPr="00461053">
        <w:rPr>
          <w:sz w:val="18"/>
          <w:szCs w:val="18"/>
        </w:rPr>
        <w:t>AEMP of $</w:t>
      </w:r>
      <w:r w:rsidR="000727C3" w:rsidRPr="0064162E">
        <w:rPr>
          <w:color w:val="000000"/>
          <w:w w:val="83"/>
          <w:sz w:val="18"/>
          <w:szCs w:val="18"/>
          <w:shd w:val="solid" w:color="000000" w:fill="000000"/>
          <w:fitText w:val="344" w:id="-961880567"/>
          <w14:textFill>
            <w14:solidFill>
              <w14:srgbClr w14:val="000000">
                <w14:alpha w14:val="100000"/>
              </w14:srgbClr>
            </w14:solidFill>
          </w14:textFill>
        </w:rPr>
        <w:t>||  |</w:t>
      </w:r>
      <w:r w:rsidR="000727C3" w:rsidRPr="0064162E">
        <w:rPr>
          <w:color w:val="000000"/>
          <w:spacing w:val="1"/>
          <w:w w:val="83"/>
          <w:sz w:val="18"/>
          <w:szCs w:val="18"/>
          <w:shd w:val="solid" w:color="000000" w:fill="000000"/>
          <w:fitText w:val="344" w:id="-961880567"/>
          <w14:textFill>
            <w14:solidFill>
              <w14:srgbClr w14:val="000000">
                <w14:alpha w14:val="100000"/>
              </w14:srgbClr>
            </w14:solidFill>
          </w14:textFill>
        </w:rPr>
        <w:t>|</w:t>
      </w:r>
      <w:r w:rsidRPr="00461053">
        <w:rPr>
          <w:sz w:val="18"/>
          <w:szCs w:val="18"/>
        </w:rPr>
        <w:t>, and was calculated to be $</w:t>
      </w:r>
      <w:r w:rsidR="000727C3" w:rsidRPr="00F2003B">
        <w:rPr>
          <w:color w:val="000000"/>
          <w:w w:val="76"/>
          <w:sz w:val="18"/>
          <w:szCs w:val="18"/>
          <w:shd w:val="solid" w:color="000000" w:fill="000000"/>
          <w:fitText w:val="356" w:id="-961880566"/>
          <w14:textFill>
            <w14:solidFill>
              <w14:srgbClr w14:val="000000">
                <w14:alpha w14:val="100000"/>
              </w14:srgbClr>
            </w14:solidFill>
          </w14:textFill>
        </w:rPr>
        <w:t>||  |</w:t>
      </w:r>
      <w:r w:rsidR="000727C3" w:rsidRPr="00F2003B">
        <w:rPr>
          <w:color w:val="000000"/>
          <w:spacing w:val="45"/>
          <w:w w:val="76"/>
          <w:sz w:val="18"/>
          <w:szCs w:val="18"/>
          <w:shd w:val="solid" w:color="000000" w:fill="000000"/>
          <w:fitText w:val="356" w:id="-961880566"/>
          <w14:textFill>
            <w14:solidFill>
              <w14:srgbClr w14:val="000000">
                <w14:alpha w14:val="100000"/>
              </w14:srgbClr>
            </w14:solidFill>
          </w14:textFill>
        </w:rPr>
        <w:t>|</w:t>
      </w:r>
      <w:r w:rsidRPr="00461053">
        <w:rPr>
          <w:sz w:val="18"/>
          <w:szCs w:val="18"/>
        </w:rPr>
        <w:t>, $</w:t>
      </w:r>
      <w:r w:rsidR="000727C3" w:rsidRPr="0064162E">
        <w:rPr>
          <w:color w:val="000000"/>
          <w:w w:val="83"/>
          <w:sz w:val="18"/>
          <w:szCs w:val="18"/>
          <w:shd w:val="solid" w:color="000000" w:fill="000000"/>
          <w:fitText w:val="344" w:id="-961880565"/>
          <w14:textFill>
            <w14:solidFill>
              <w14:srgbClr w14:val="000000">
                <w14:alpha w14:val="100000"/>
              </w14:srgbClr>
            </w14:solidFill>
          </w14:textFill>
        </w:rPr>
        <w:t>||  |</w:t>
      </w:r>
      <w:r w:rsidR="000727C3" w:rsidRPr="0064162E">
        <w:rPr>
          <w:color w:val="000000"/>
          <w:spacing w:val="1"/>
          <w:w w:val="83"/>
          <w:sz w:val="18"/>
          <w:szCs w:val="18"/>
          <w:shd w:val="solid" w:color="000000" w:fill="000000"/>
          <w:fitText w:val="344" w:id="-961880565"/>
          <w14:textFill>
            <w14:solidFill>
              <w14:srgbClr w14:val="000000">
                <w14:alpha w14:val="100000"/>
              </w14:srgbClr>
            </w14:solidFill>
          </w14:textFill>
        </w:rPr>
        <w:t>|</w:t>
      </w:r>
      <w:r w:rsidRPr="00461053">
        <w:rPr>
          <w:sz w:val="18"/>
          <w:szCs w:val="18"/>
        </w:rPr>
        <w:t>, and $</w:t>
      </w:r>
      <w:r w:rsidR="000727C3" w:rsidRPr="00F2003B">
        <w:rPr>
          <w:color w:val="000000"/>
          <w:w w:val="76"/>
          <w:sz w:val="18"/>
          <w:szCs w:val="18"/>
          <w:shd w:val="solid" w:color="000000" w:fill="000000"/>
          <w:fitText w:val="356" w:id="-961880564"/>
          <w14:textFill>
            <w14:solidFill>
              <w14:srgbClr w14:val="000000">
                <w14:alpha w14:val="100000"/>
              </w14:srgbClr>
            </w14:solidFill>
          </w14:textFill>
        </w:rPr>
        <w:t>||  |</w:t>
      </w:r>
      <w:r w:rsidR="000727C3" w:rsidRPr="00F2003B">
        <w:rPr>
          <w:color w:val="000000"/>
          <w:spacing w:val="45"/>
          <w:w w:val="76"/>
          <w:sz w:val="18"/>
          <w:szCs w:val="18"/>
          <w:shd w:val="solid" w:color="000000" w:fill="000000"/>
          <w:fitText w:val="356" w:id="-961880564"/>
          <w14:textFill>
            <w14:solidFill>
              <w14:srgbClr w14:val="000000">
                <w14:alpha w14:val="100000"/>
              </w14:srgbClr>
            </w14:solidFill>
          </w14:textFill>
        </w:rPr>
        <w:t>|</w:t>
      </w:r>
      <w:r w:rsidRPr="00461053">
        <w:rPr>
          <w:sz w:val="18"/>
          <w:szCs w:val="18"/>
        </w:rPr>
        <w:t>for 4 (initial), 2 (balance of supply) and 1 (continuing) unit(s), respectively. However, this DPMQ differed slightly to those calculated during the evaluation (using the ‘Mark-ups v43 - eff 1 Jul 23 external’ workbook). e.g., The DPMQ for 1 unit was $</w:t>
      </w:r>
      <w:r w:rsidR="000727C3" w:rsidRPr="00F2003B">
        <w:rPr>
          <w:color w:val="000000"/>
          <w:w w:val="76"/>
          <w:sz w:val="18"/>
          <w:szCs w:val="18"/>
          <w:shd w:val="solid" w:color="000000" w:fill="000000"/>
          <w:fitText w:val="356" w:id="-961880563"/>
          <w14:textFill>
            <w14:solidFill>
              <w14:srgbClr w14:val="000000">
                <w14:alpha w14:val="100000"/>
              </w14:srgbClr>
            </w14:solidFill>
          </w14:textFill>
        </w:rPr>
        <w:t>||  |</w:t>
      </w:r>
      <w:r w:rsidR="000727C3" w:rsidRPr="00F2003B">
        <w:rPr>
          <w:color w:val="000000"/>
          <w:spacing w:val="45"/>
          <w:w w:val="76"/>
          <w:sz w:val="18"/>
          <w:szCs w:val="18"/>
          <w:shd w:val="solid" w:color="000000" w:fill="000000"/>
          <w:fitText w:val="356" w:id="-961880563"/>
          <w14:textFill>
            <w14:solidFill>
              <w14:srgbClr w14:val="000000">
                <w14:alpha w14:val="100000"/>
              </w14:srgbClr>
            </w14:solidFill>
          </w14:textFill>
        </w:rPr>
        <w:t>|</w:t>
      </w:r>
      <w:r w:rsidRPr="00461053">
        <w:rPr>
          <w:sz w:val="18"/>
          <w:szCs w:val="18"/>
        </w:rPr>
        <w:t>, compared to $</w:t>
      </w:r>
      <w:r w:rsidR="000727C3" w:rsidRPr="0064162E">
        <w:rPr>
          <w:color w:val="000000"/>
          <w:w w:val="83"/>
          <w:sz w:val="18"/>
          <w:szCs w:val="18"/>
          <w:shd w:val="solid" w:color="000000" w:fill="000000"/>
          <w:fitText w:val="343" w:id="-961880562"/>
          <w14:textFill>
            <w14:solidFill>
              <w14:srgbClr w14:val="000000">
                <w14:alpha w14:val="100000"/>
              </w14:srgbClr>
            </w14:solidFill>
          </w14:textFill>
        </w:rPr>
        <w:t>||  ||</w:t>
      </w:r>
      <w:r w:rsidRPr="00461053">
        <w:rPr>
          <w:sz w:val="18"/>
          <w:szCs w:val="18"/>
        </w:rPr>
        <w:t>calculated during the evaluation</w:t>
      </w:r>
      <w:r w:rsidRPr="0059596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1A4DECE9" w:rsidR="00D843F2" w:rsidRPr="00F1304A" w:rsidRDefault="00153E3D" w:rsidP="00D822E2">
    <w:pPr>
      <w:pStyle w:val="Header"/>
      <w:rPr>
        <w:i/>
        <w:color w:val="808080"/>
      </w:rPr>
    </w:pPr>
    <w:r>
      <w:rPr>
        <w:rFonts w:asciiTheme="minorHAnsi" w:hAnsiTheme="minorHAnsi"/>
        <w:i/>
        <w:color w:val="808080"/>
      </w:rPr>
      <w:t>Public Summary Document</w:t>
    </w:r>
    <w:r w:rsidRPr="00056684">
      <w:rPr>
        <w:rFonts w:asciiTheme="minorHAnsi" w:hAnsiTheme="minorHAnsi"/>
        <w:i/>
        <w:color w:val="808080"/>
      </w:rPr>
      <w:t xml:space="preserve"> </w:t>
    </w:r>
    <w:r w:rsidR="009A786D" w:rsidRPr="00F1304A">
      <w:rPr>
        <w:i/>
        <w:color w:val="808080"/>
      </w:rPr>
      <w:t xml:space="preserve">- </w:t>
    </w:r>
    <w:r w:rsidR="00054B30" w:rsidRPr="00F1304A">
      <w:rPr>
        <w:i/>
        <w:color w:val="808080"/>
      </w:rPr>
      <w:t>March 2024</w:t>
    </w:r>
    <w:r w:rsidR="00D843F2" w:rsidRPr="00F1304A">
      <w:rPr>
        <w:i/>
        <w:color w:val="808080"/>
      </w:rPr>
      <w:t xml:space="preserve"> PBAC Meeting</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BC648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FB27E95"/>
    <w:multiLevelType w:val="hybridMultilevel"/>
    <w:tmpl w:val="2924C190"/>
    <w:lvl w:ilvl="0" w:tplc="E376DBF6">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5C1840"/>
    <w:multiLevelType w:val="hybridMultilevel"/>
    <w:tmpl w:val="1FA2D20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2376C72"/>
    <w:multiLevelType w:val="hybridMultilevel"/>
    <w:tmpl w:val="3454CEF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960826"/>
    <w:multiLevelType w:val="hybridMultilevel"/>
    <w:tmpl w:val="A4282D7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D5E1E"/>
    <w:multiLevelType w:val="hybridMultilevel"/>
    <w:tmpl w:val="9CC49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6AFA3C06"/>
    <w:multiLevelType w:val="hybridMultilevel"/>
    <w:tmpl w:val="9D38F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44532C"/>
    <w:multiLevelType w:val="hybridMultilevel"/>
    <w:tmpl w:val="F87C3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20721185">
    <w:abstractNumId w:val="10"/>
  </w:num>
  <w:num w:numId="2" w16cid:durableId="1853255295">
    <w:abstractNumId w:val="5"/>
  </w:num>
  <w:num w:numId="3" w16cid:durableId="2059820547">
    <w:abstractNumId w:val="0"/>
  </w:num>
  <w:num w:numId="4" w16cid:durableId="2020890734">
    <w:abstractNumId w:val="10"/>
  </w:num>
  <w:num w:numId="5" w16cid:durableId="2081635130">
    <w:abstractNumId w:val="3"/>
  </w:num>
  <w:num w:numId="6" w16cid:durableId="1803620491">
    <w:abstractNumId w:val="7"/>
  </w:num>
  <w:num w:numId="7" w16cid:durableId="1143620427">
    <w:abstractNumId w:val="6"/>
  </w:num>
  <w:num w:numId="8" w16cid:durableId="1202747812">
    <w:abstractNumId w:val="9"/>
  </w:num>
  <w:num w:numId="9" w16cid:durableId="1291473379">
    <w:abstractNumId w:val="2"/>
  </w:num>
  <w:num w:numId="10" w16cid:durableId="1239513138">
    <w:abstractNumId w:val="8"/>
  </w:num>
  <w:num w:numId="11" w16cid:durableId="1561863254">
    <w:abstractNumId w:val="1"/>
  </w:num>
  <w:num w:numId="12" w16cid:durableId="1024791294">
    <w:abstractNumId w:val="4"/>
  </w:num>
  <w:num w:numId="13" w16cid:durableId="19152345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8257495">
    <w:abstractNumId w:val="10"/>
  </w:num>
  <w:num w:numId="15" w16cid:durableId="1853832012">
    <w:abstractNumId w:val="10"/>
  </w:num>
  <w:num w:numId="16" w16cid:durableId="203639399">
    <w:abstractNumId w:val="10"/>
  </w:num>
  <w:num w:numId="17" w16cid:durableId="111093473">
    <w:abstractNumId w:val="10"/>
  </w:num>
  <w:num w:numId="18" w16cid:durableId="1539199990">
    <w:abstractNumId w:val="10"/>
  </w:num>
  <w:num w:numId="19" w16cid:durableId="189754919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906"/>
    <w:rsid w:val="0000103F"/>
    <w:rsid w:val="0000110B"/>
    <w:rsid w:val="000012C9"/>
    <w:rsid w:val="0000175F"/>
    <w:rsid w:val="00001D92"/>
    <w:rsid w:val="000020FA"/>
    <w:rsid w:val="000025A0"/>
    <w:rsid w:val="0000310D"/>
    <w:rsid w:val="00003499"/>
    <w:rsid w:val="000039B2"/>
    <w:rsid w:val="000039B7"/>
    <w:rsid w:val="00003B39"/>
    <w:rsid w:val="0000402D"/>
    <w:rsid w:val="00004ED3"/>
    <w:rsid w:val="00005589"/>
    <w:rsid w:val="000055DE"/>
    <w:rsid w:val="000056B9"/>
    <w:rsid w:val="00005775"/>
    <w:rsid w:val="00005A34"/>
    <w:rsid w:val="00005B77"/>
    <w:rsid w:val="0000628F"/>
    <w:rsid w:val="0000639A"/>
    <w:rsid w:val="00006577"/>
    <w:rsid w:val="000065DB"/>
    <w:rsid w:val="00007EE3"/>
    <w:rsid w:val="00010AD6"/>
    <w:rsid w:val="00011026"/>
    <w:rsid w:val="0001123F"/>
    <w:rsid w:val="0001128F"/>
    <w:rsid w:val="00011675"/>
    <w:rsid w:val="00011B0A"/>
    <w:rsid w:val="00012066"/>
    <w:rsid w:val="00012825"/>
    <w:rsid w:val="00012D9E"/>
    <w:rsid w:val="00012F54"/>
    <w:rsid w:val="00013247"/>
    <w:rsid w:val="00013C43"/>
    <w:rsid w:val="00014401"/>
    <w:rsid w:val="00015023"/>
    <w:rsid w:val="00015392"/>
    <w:rsid w:val="0001578A"/>
    <w:rsid w:val="00015886"/>
    <w:rsid w:val="00015ECD"/>
    <w:rsid w:val="00016016"/>
    <w:rsid w:val="000161DA"/>
    <w:rsid w:val="000162EF"/>
    <w:rsid w:val="00016809"/>
    <w:rsid w:val="000169E7"/>
    <w:rsid w:val="000170D0"/>
    <w:rsid w:val="000207C9"/>
    <w:rsid w:val="000209DA"/>
    <w:rsid w:val="0002142F"/>
    <w:rsid w:val="000219AF"/>
    <w:rsid w:val="000221EE"/>
    <w:rsid w:val="0002225F"/>
    <w:rsid w:val="00022A1A"/>
    <w:rsid w:val="00022C99"/>
    <w:rsid w:val="00022D5D"/>
    <w:rsid w:val="000236BE"/>
    <w:rsid w:val="000236F3"/>
    <w:rsid w:val="00023763"/>
    <w:rsid w:val="0002377D"/>
    <w:rsid w:val="00023E65"/>
    <w:rsid w:val="0002428E"/>
    <w:rsid w:val="00024298"/>
    <w:rsid w:val="00024CE5"/>
    <w:rsid w:val="00024EB5"/>
    <w:rsid w:val="000254D6"/>
    <w:rsid w:val="000255F1"/>
    <w:rsid w:val="0002586C"/>
    <w:rsid w:val="00025A13"/>
    <w:rsid w:val="00025B7B"/>
    <w:rsid w:val="00026DF6"/>
    <w:rsid w:val="0002745C"/>
    <w:rsid w:val="000274B8"/>
    <w:rsid w:val="00027A75"/>
    <w:rsid w:val="00027FD6"/>
    <w:rsid w:val="000301FE"/>
    <w:rsid w:val="0003037B"/>
    <w:rsid w:val="0003060C"/>
    <w:rsid w:val="000307EF"/>
    <w:rsid w:val="0003087B"/>
    <w:rsid w:val="00030BEB"/>
    <w:rsid w:val="00030E62"/>
    <w:rsid w:val="00031280"/>
    <w:rsid w:val="0003130B"/>
    <w:rsid w:val="000335CF"/>
    <w:rsid w:val="000337E2"/>
    <w:rsid w:val="00033863"/>
    <w:rsid w:val="0003485F"/>
    <w:rsid w:val="00034FD2"/>
    <w:rsid w:val="000352F1"/>
    <w:rsid w:val="00035AE4"/>
    <w:rsid w:val="00035DC0"/>
    <w:rsid w:val="00035FFF"/>
    <w:rsid w:val="0003678D"/>
    <w:rsid w:val="0003679D"/>
    <w:rsid w:val="00036829"/>
    <w:rsid w:val="00036880"/>
    <w:rsid w:val="00037565"/>
    <w:rsid w:val="0003779E"/>
    <w:rsid w:val="000377A6"/>
    <w:rsid w:val="00037896"/>
    <w:rsid w:val="00040009"/>
    <w:rsid w:val="00040160"/>
    <w:rsid w:val="00040895"/>
    <w:rsid w:val="00040C8B"/>
    <w:rsid w:val="000410A0"/>
    <w:rsid w:val="0004187C"/>
    <w:rsid w:val="00042685"/>
    <w:rsid w:val="00043183"/>
    <w:rsid w:val="000435EE"/>
    <w:rsid w:val="00043687"/>
    <w:rsid w:val="00043ABB"/>
    <w:rsid w:val="00043C37"/>
    <w:rsid w:val="000440F3"/>
    <w:rsid w:val="00044149"/>
    <w:rsid w:val="00045017"/>
    <w:rsid w:val="000458E4"/>
    <w:rsid w:val="00045A06"/>
    <w:rsid w:val="00045A2B"/>
    <w:rsid w:val="00045B9A"/>
    <w:rsid w:val="00046971"/>
    <w:rsid w:val="0004698F"/>
    <w:rsid w:val="00046A94"/>
    <w:rsid w:val="00046D64"/>
    <w:rsid w:val="00046DB5"/>
    <w:rsid w:val="00047063"/>
    <w:rsid w:val="0004709B"/>
    <w:rsid w:val="000478DD"/>
    <w:rsid w:val="00047C5C"/>
    <w:rsid w:val="00047DC4"/>
    <w:rsid w:val="0005061E"/>
    <w:rsid w:val="000508C2"/>
    <w:rsid w:val="0005093A"/>
    <w:rsid w:val="00050C8E"/>
    <w:rsid w:val="000511B5"/>
    <w:rsid w:val="00051934"/>
    <w:rsid w:val="00051B14"/>
    <w:rsid w:val="00052CD8"/>
    <w:rsid w:val="00053282"/>
    <w:rsid w:val="000539D0"/>
    <w:rsid w:val="00053C86"/>
    <w:rsid w:val="00053D47"/>
    <w:rsid w:val="00053D4B"/>
    <w:rsid w:val="00053E9C"/>
    <w:rsid w:val="00053F3D"/>
    <w:rsid w:val="00054621"/>
    <w:rsid w:val="00054656"/>
    <w:rsid w:val="000546D7"/>
    <w:rsid w:val="000548F1"/>
    <w:rsid w:val="00054A8D"/>
    <w:rsid w:val="00054B30"/>
    <w:rsid w:val="00054C7A"/>
    <w:rsid w:val="00054DBB"/>
    <w:rsid w:val="0005505B"/>
    <w:rsid w:val="0005551C"/>
    <w:rsid w:val="00055778"/>
    <w:rsid w:val="00055F4F"/>
    <w:rsid w:val="00056364"/>
    <w:rsid w:val="0005646C"/>
    <w:rsid w:val="000569E9"/>
    <w:rsid w:val="00056D22"/>
    <w:rsid w:val="00056ECF"/>
    <w:rsid w:val="0005711B"/>
    <w:rsid w:val="000571F1"/>
    <w:rsid w:val="00057B38"/>
    <w:rsid w:val="00057BC0"/>
    <w:rsid w:val="00057DC8"/>
    <w:rsid w:val="000602C6"/>
    <w:rsid w:val="00060321"/>
    <w:rsid w:val="000604DF"/>
    <w:rsid w:val="000607C6"/>
    <w:rsid w:val="00060C64"/>
    <w:rsid w:val="00060CF9"/>
    <w:rsid w:val="00060EB5"/>
    <w:rsid w:val="000611E0"/>
    <w:rsid w:val="000612A0"/>
    <w:rsid w:val="00061FF7"/>
    <w:rsid w:val="00062F9D"/>
    <w:rsid w:val="00063416"/>
    <w:rsid w:val="00064515"/>
    <w:rsid w:val="00064BD7"/>
    <w:rsid w:val="00065082"/>
    <w:rsid w:val="000653B5"/>
    <w:rsid w:val="0006547F"/>
    <w:rsid w:val="000655AE"/>
    <w:rsid w:val="00065986"/>
    <w:rsid w:val="0006625F"/>
    <w:rsid w:val="00066360"/>
    <w:rsid w:val="000663DF"/>
    <w:rsid w:val="000663E0"/>
    <w:rsid w:val="0006695D"/>
    <w:rsid w:val="00066AF8"/>
    <w:rsid w:val="00066F58"/>
    <w:rsid w:val="00067AF7"/>
    <w:rsid w:val="00070023"/>
    <w:rsid w:val="00070167"/>
    <w:rsid w:val="0007088E"/>
    <w:rsid w:val="000709D1"/>
    <w:rsid w:val="00070A6A"/>
    <w:rsid w:val="00070F82"/>
    <w:rsid w:val="00070FB2"/>
    <w:rsid w:val="0007109A"/>
    <w:rsid w:val="00071248"/>
    <w:rsid w:val="00071339"/>
    <w:rsid w:val="000720B9"/>
    <w:rsid w:val="000722CB"/>
    <w:rsid w:val="000727C3"/>
    <w:rsid w:val="0007318C"/>
    <w:rsid w:val="000735FC"/>
    <w:rsid w:val="000737F7"/>
    <w:rsid w:val="0007380B"/>
    <w:rsid w:val="000738E3"/>
    <w:rsid w:val="00073C43"/>
    <w:rsid w:val="0007401D"/>
    <w:rsid w:val="0007411C"/>
    <w:rsid w:val="000741D9"/>
    <w:rsid w:val="00074232"/>
    <w:rsid w:val="000742EC"/>
    <w:rsid w:val="00074364"/>
    <w:rsid w:val="000747A6"/>
    <w:rsid w:val="0007499C"/>
    <w:rsid w:val="0007527F"/>
    <w:rsid w:val="00075C59"/>
    <w:rsid w:val="0007612C"/>
    <w:rsid w:val="0007672F"/>
    <w:rsid w:val="0007696B"/>
    <w:rsid w:val="00076B54"/>
    <w:rsid w:val="00076F71"/>
    <w:rsid w:val="0007726D"/>
    <w:rsid w:val="000774A0"/>
    <w:rsid w:val="000774F0"/>
    <w:rsid w:val="00077514"/>
    <w:rsid w:val="00080063"/>
    <w:rsid w:val="00080909"/>
    <w:rsid w:val="00080E36"/>
    <w:rsid w:val="0008127C"/>
    <w:rsid w:val="000812CA"/>
    <w:rsid w:val="00081D42"/>
    <w:rsid w:val="00081E63"/>
    <w:rsid w:val="0008253F"/>
    <w:rsid w:val="0008258D"/>
    <w:rsid w:val="00082840"/>
    <w:rsid w:val="000828A4"/>
    <w:rsid w:val="000831AF"/>
    <w:rsid w:val="00083231"/>
    <w:rsid w:val="00083E99"/>
    <w:rsid w:val="00084BF4"/>
    <w:rsid w:val="00084FA8"/>
    <w:rsid w:val="000856AA"/>
    <w:rsid w:val="000856B3"/>
    <w:rsid w:val="000856C5"/>
    <w:rsid w:val="00085A1E"/>
    <w:rsid w:val="00085AA2"/>
    <w:rsid w:val="00085C31"/>
    <w:rsid w:val="00085F75"/>
    <w:rsid w:val="0008654D"/>
    <w:rsid w:val="0008657B"/>
    <w:rsid w:val="00086876"/>
    <w:rsid w:val="00086916"/>
    <w:rsid w:val="00086AF1"/>
    <w:rsid w:val="00086CAC"/>
    <w:rsid w:val="0008734D"/>
    <w:rsid w:val="000874F5"/>
    <w:rsid w:val="000902D9"/>
    <w:rsid w:val="000905D3"/>
    <w:rsid w:val="000906A3"/>
    <w:rsid w:val="0009079E"/>
    <w:rsid w:val="00090AA3"/>
    <w:rsid w:val="00090C7E"/>
    <w:rsid w:val="0009110A"/>
    <w:rsid w:val="000911AC"/>
    <w:rsid w:val="0009127E"/>
    <w:rsid w:val="00091833"/>
    <w:rsid w:val="00091C43"/>
    <w:rsid w:val="00091D30"/>
    <w:rsid w:val="0009232F"/>
    <w:rsid w:val="00092600"/>
    <w:rsid w:val="0009262B"/>
    <w:rsid w:val="000929B0"/>
    <w:rsid w:val="000932D3"/>
    <w:rsid w:val="00093310"/>
    <w:rsid w:val="000939AF"/>
    <w:rsid w:val="0009445C"/>
    <w:rsid w:val="00095200"/>
    <w:rsid w:val="000955A6"/>
    <w:rsid w:val="000955D6"/>
    <w:rsid w:val="00095838"/>
    <w:rsid w:val="00095FE5"/>
    <w:rsid w:val="000961F3"/>
    <w:rsid w:val="00096284"/>
    <w:rsid w:val="00096B75"/>
    <w:rsid w:val="00096F0C"/>
    <w:rsid w:val="0009739F"/>
    <w:rsid w:val="0009761B"/>
    <w:rsid w:val="00097B2A"/>
    <w:rsid w:val="00097FB5"/>
    <w:rsid w:val="000A050A"/>
    <w:rsid w:val="000A05A6"/>
    <w:rsid w:val="000A0C56"/>
    <w:rsid w:val="000A0FB2"/>
    <w:rsid w:val="000A10FA"/>
    <w:rsid w:val="000A162D"/>
    <w:rsid w:val="000A18E0"/>
    <w:rsid w:val="000A1BC0"/>
    <w:rsid w:val="000A214A"/>
    <w:rsid w:val="000A22D9"/>
    <w:rsid w:val="000A2474"/>
    <w:rsid w:val="000A2F9E"/>
    <w:rsid w:val="000A31BE"/>
    <w:rsid w:val="000A3233"/>
    <w:rsid w:val="000A33FE"/>
    <w:rsid w:val="000A34BF"/>
    <w:rsid w:val="000A3D64"/>
    <w:rsid w:val="000A3E47"/>
    <w:rsid w:val="000A4144"/>
    <w:rsid w:val="000A4C31"/>
    <w:rsid w:val="000A522B"/>
    <w:rsid w:val="000A5686"/>
    <w:rsid w:val="000A5751"/>
    <w:rsid w:val="000A588D"/>
    <w:rsid w:val="000A6039"/>
    <w:rsid w:val="000A613E"/>
    <w:rsid w:val="000A7453"/>
    <w:rsid w:val="000A757D"/>
    <w:rsid w:val="000A7A23"/>
    <w:rsid w:val="000A7D08"/>
    <w:rsid w:val="000A7D86"/>
    <w:rsid w:val="000B0121"/>
    <w:rsid w:val="000B0670"/>
    <w:rsid w:val="000B0D17"/>
    <w:rsid w:val="000B0E75"/>
    <w:rsid w:val="000B0FAA"/>
    <w:rsid w:val="000B137F"/>
    <w:rsid w:val="000B1A1A"/>
    <w:rsid w:val="000B1A64"/>
    <w:rsid w:val="000B1BDC"/>
    <w:rsid w:val="000B2718"/>
    <w:rsid w:val="000B29EE"/>
    <w:rsid w:val="000B2AC3"/>
    <w:rsid w:val="000B2DCB"/>
    <w:rsid w:val="000B3C2B"/>
    <w:rsid w:val="000B49C2"/>
    <w:rsid w:val="000B5AE5"/>
    <w:rsid w:val="000B5CE0"/>
    <w:rsid w:val="000B5EFE"/>
    <w:rsid w:val="000B66E3"/>
    <w:rsid w:val="000B6B0D"/>
    <w:rsid w:val="000B6B1B"/>
    <w:rsid w:val="000B6CAC"/>
    <w:rsid w:val="000B6D15"/>
    <w:rsid w:val="000B6EFB"/>
    <w:rsid w:val="000B7612"/>
    <w:rsid w:val="000B78AE"/>
    <w:rsid w:val="000B7CEA"/>
    <w:rsid w:val="000C0353"/>
    <w:rsid w:val="000C093F"/>
    <w:rsid w:val="000C0B4F"/>
    <w:rsid w:val="000C0BB0"/>
    <w:rsid w:val="000C1773"/>
    <w:rsid w:val="000C1DB2"/>
    <w:rsid w:val="000C1FCE"/>
    <w:rsid w:val="000C2626"/>
    <w:rsid w:val="000C2662"/>
    <w:rsid w:val="000C274F"/>
    <w:rsid w:val="000C27CA"/>
    <w:rsid w:val="000C2C22"/>
    <w:rsid w:val="000C2CA6"/>
    <w:rsid w:val="000C3402"/>
    <w:rsid w:val="000C3DF9"/>
    <w:rsid w:val="000C43BD"/>
    <w:rsid w:val="000C4CCA"/>
    <w:rsid w:val="000C4CF2"/>
    <w:rsid w:val="000C504B"/>
    <w:rsid w:val="000C511E"/>
    <w:rsid w:val="000C6124"/>
    <w:rsid w:val="000C6713"/>
    <w:rsid w:val="000C698B"/>
    <w:rsid w:val="000C6E4C"/>
    <w:rsid w:val="000C7466"/>
    <w:rsid w:val="000D032C"/>
    <w:rsid w:val="000D05C1"/>
    <w:rsid w:val="000D07C8"/>
    <w:rsid w:val="000D1266"/>
    <w:rsid w:val="000D15CB"/>
    <w:rsid w:val="000D1953"/>
    <w:rsid w:val="000D1BFC"/>
    <w:rsid w:val="000D1D5D"/>
    <w:rsid w:val="000D2429"/>
    <w:rsid w:val="000D281A"/>
    <w:rsid w:val="000D2848"/>
    <w:rsid w:val="000D2849"/>
    <w:rsid w:val="000D326A"/>
    <w:rsid w:val="000D3445"/>
    <w:rsid w:val="000D3E8A"/>
    <w:rsid w:val="000D40DC"/>
    <w:rsid w:val="000D4B0B"/>
    <w:rsid w:val="000D50A8"/>
    <w:rsid w:val="000D51DA"/>
    <w:rsid w:val="000D51FB"/>
    <w:rsid w:val="000D53EF"/>
    <w:rsid w:val="000D5BF1"/>
    <w:rsid w:val="000D6D8E"/>
    <w:rsid w:val="000D6DCB"/>
    <w:rsid w:val="000D6EFA"/>
    <w:rsid w:val="000D71E9"/>
    <w:rsid w:val="000D7C2E"/>
    <w:rsid w:val="000D7CBC"/>
    <w:rsid w:val="000D7D37"/>
    <w:rsid w:val="000E03EC"/>
    <w:rsid w:val="000E0543"/>
    <w:rsid w:val="000E0640"/>
    <w:rsid w:val="000E0B68"/>
    <w:rsid w:val="000E135D"/>
    <w:rsid w:val="000E1B9F"/>
    <w:rsid w:val="000E20AB"/>
    <w:rsid w:val="000E2519"/>
    <w:rsid w:val="000E2521"/>
    <w:rsid w:val="000E2606"/>
    <w:rsid w:val="000E2763"/>
    <w:rsid w:val="000E2BF8"/>
    <w:rsid w:val="000E2FB6"/>
    <w:rsid w:val="000E4E48"/>
    <w:rsid w:val="000E4FBA"/>
    <w:rsid w:val="000E542C"/>
    <w:rsid w:val="000E54AC"/>
    <w:rsid w:val="000E56F2"/>
    <w:rsid w:val="000E5A99"/>
    <w:rsid w:val="000E609A"/>
    <w:rsid w:val="000E766A"/>
    <w:rsid w:val="000F00BA"/>
    <w:rsid w:val="000F05BD"/>
    <w:rsid w:val="000F0714"/>
    <w:rsid w:val="000F1235"/>
    <w:rsid w:val="000F1813"/>
    <w:rsid w:val="000F19E3"/>
    <w:rsid w:val="000F1D68"/>
    <w:rsid w:val="000F25B0"/>
    <w:rsid w:val="000F2AF8"/>
    <w:rsid w:val="000F3022"/>
    <w:rsid w:val="000F316A"/>
    <w:rsid w:val="000F3210"/>
    <w:rsid w:val="000F3687"/>
    <w:rsid w:val="000F3866"/>
    <w:rsid w:val="000F3C74"/>
    <w:rsid w:val="000F3EB2"/>
    <w:rsid w:val="000F3FAD"/>
    <w:rsid w:val="000F42B4"/>
    <w:rsid w:val="000F4390"/>
    <w:rsid w:val="000F4511"/>
    <w:rsid w:val="000F4BB8"/>
    <w:rsid w:val="000F4DE1"/>
    <w:rsid w:val="000F4FA9"/>
    <w:rsid w:val="000F5166"/>
    <w:rsid w:val="000F53FB"/>
    <w:rsid w:val="000F64E4"/>
    <w:rsid w:val="000F66F9"/>
    <w:rsid w:val="000F6A7F"/>
    <w:rsid w:val="000F6ABF"/>
    <w:rsid w:val="000F6B94"/>
    <w:rsid w:val="000F6C79"/>
    <w:rsid w:val="000F6D9F"/>
    <w:rsid w:val="000F6FDC"/>
    <w:rsid w:val="000F7127"/>
    <w:rsid w:val="000F7265"/>
    <w:rsid w:val="000F7378"/>
    <w:rsid w:val="000F7B54"/>
    <w:rsid w:val="001000B3"/>
    <w:rsid w:val="00100482"/>
    <w:rsid w:val="00100488"/>
    <w:rsid w:val="001006CE"/>
    <w:rsid w:val="001007C5"/>
    <w:rsid w:val="00100DC9"/>
    <w:rsid w:val="00100E3F"/>
    <w:rsid w:val="00100F8A"/>
    <w:rsid w:val="00101BFF"/>
    <w:rsid w:val="00101D40"/>
    <w:rsid w:val="00101D6E"/>
    <w:rsid w:val="001021B7"/>
    <w:rsid w:val="001029D0"/>
    <w:rsid w:val="0010373D"/>
    <w:rsid w:val="001038BB"/>
    <w:rsid w:val="00103E09"/>
    <w:rsid w:val="00103E27"/>
    <w:rsid w:val="00103FAD"/>
    <w:rsid w:val="00104023"/>
    <w:rsid w:val="0010447A"/>
    <w:rsid w:val="0010452E"/>
    <w:rsid w:val="001046A1"/>
    <w:rsid w:val="00104B26"/>
    <w:rsid w:val="00104BC8"/>
    <w:rsid w:val="00104C0F"/>
    <w:rsid w:val="00105304"/>
    <w:rsid w:val="00105308"/>
    <w:rsid w:val="00105AE2"/>
    <w:rsid w:val="001060C6"/>
    <w:rsid w:val="0010630B"/>
    <w:rsid w:val="0010658F"/>
    <w:rsid w:val="001069BC"/>
    <w:rsid w:val="00106B80"/>
    <w:rsid w:val="001070DE"/>
    <w:rsid w:val="001075F6"/>
    <w:rsid w:val="0010766A"/>
    <w:rsid w:val="00107848"/>
    <w:rsid w:val="00107928"/>
    <w:rsid w:val="0011032E"/>
    <w:rsid w:val="0011128E"/>
    <w:rsid w:val="0011137B"/>
    <w:rsid w:val="00111546"/>
    <w:rsid w:val="00111631"/>
    <w:rsid w:val="00111754"/>
    <w:rsid w:val="00111D5B"/>
    <w:rsid w:val="0011297C"/>
    <w:rsid w:val="00113292"/>
    <w:rsid w:val="0011348B"/>
    <w:rsid w:val="00113CB3"/>
    <w:rsid w:val="0011451C"/>
    <w:rsid w:val="00114653"/>
    <w:rsid w:val="001146B3"/>
    <w:rsid w:val="00114875"/>
    <w:rsid w:val="00114B12"/>
    <w:rsid w:val="00115007"/>
    <w:rsid w:val="00115387"/>
    <w:rsid w:val="00115982"/>
    <w:rsid w:val="00115BE3"/>
    <w:rsid w:val="00116193"/>
    <w:rsid w:val="001163A5"/>
    <w:rsid w:val="001165E3"/>
    <w:rsid w:val="00116C53"/>
    <w:rsid w:val="00117619"/>
    <w:rsid w:val="00117C27"/>
    <w:rsid w:val="00117ED6"/>
    <w:rsid w:val="00117FA8"/>
    <w:rsid w:val="00120AB4"/>
    <w:rsid w:val="00120E3A"/>
    <w:rsid w:val="001213D7"/>
    <w:rsid w:val="001215CB"/>
    <w:rsid w:val="00121799"/>
    <w:rsid w:val="00121877"/>
    <w:rsid w:val="0012198A"/>
    <w:rsid w:val="001222FC"/>
    <w:rsid w:val="00122E80"/>
    <w:rsid w:val="00123476"/>
    <w:rsid w:val="00123849"/>
    <w:rsid w:val="00123902"/>
    <w:rsid w:val="00123A76"/>
    <w:rsid w:val="00123D37"/>
    <w:rsid w:val="00123F02"/>
    <w:rsid w:val="00123FF8"/>
    <w:rsid w:val="00124393"/>
    <w:rsid w:val="00124A51"/>
    <w:rsid w:val="00124F52"/>
    <w:rsid w:val="00125274"/>
    <w:rsid w:val="00125635"/>
    <w:rsid w:val="0012596A"/>
    <w:rsid w:val="00125988"/>
    <w:rsid w:val="00125ECD"/>
    <w:rsid w:val="0012615F"/>
    <w:rsid w:val="0012641F"/>
    <w:rsid w:val="00126432"/>
    <w:rsid w:val="00126476"/>
    <w:rsid w:val="00126621"/>
    <w:rsid w:val="00126B1D"/>
    <w:rsid w:val="00126BB1"/>
    <w:rsid w:val="0012729E"/>
    <w:rsid w:val="00127CB1"/>
    <w:rsid w:val="001301CB"/>
    <w:rsid w:val="001301E9"/>
    <w:rsid w:val="00130494"/>
    <w:rsid w:val="00130B1B"/>
    <w:rsid w:val="00130E34"/>
    <w:rsid w:val="00130F23"/>
    <w:rsid w:val="001310FE"/>
    <w:rsid w:val="0013162E"/>
    <w:rsid w:val="00131D82"/>
    <w:rsid w:val="00132B22"/>
    <w:rsid w:val="001330D1"/>
    <w:rsid w:val="00133579"/>
    <w:rsid w:val="001336AE"/>
    <w:rsid w:val="00133D36"/>
    <w:rsid w:val="00134579"/>
    <w:rsid w:val="001349DB"/>
    <w:rsid w:val="00134D8E"/>
    <w:rsid w:val="00134DE7"/>
    <w:rsid w:val="00135035"/>
    <w:rsid w:val="00135E8B"/>
    <w:rsid w:val="00135FC9"/>
    <w:rsid w:val="001361E2"/>
    <w:rsid w:val="00136920"/>
    <w:rsid w:val="00137645"/>
    <w:rsid w:val="00137F3E"/>
    <w:rsid w:val="0014015A"/>
    <w:rsid w:val="001402B3"/>
    <w:rsid w:val="001405E4"/>
    <w:rsid w:val="00140E99"/>
    <w:rsid w:val="00140FB8"/>
    <w:rsid w:val="0014119A"/>
    <w:rsid w:val="001411BD"/>
    <w:rsid w:val="00142655"/>
    <w:rsid w:val="00142C53"/>
    <w:rsid w:val="00142D24"/>
    <w:rsid w:val="00142E8D"/>
    <w:rsid w:val="001430F2"/>
    <w:rsid w:val="00143601"/>
    <w:rsid w:val="00143F0F"/>
    <w:rsid w:val="00143F2A"/>
    <w:rsid w:val="00143F52"/>
    <w:rsid w:val="00143F67"/>
    <w:rsid w:val="00144113"/>
    <w:rsid w:val="0014486F"/>
    <w:rsid w:val="001448D1"/>
    <w:rsid w:val="00144AA8"/>
    <w:rsid w:val="00145234"/>
    <w:rsid w:val="00145540"/>
    <w:rsid w:val="001456B0"/>
    <w:rsid w:val="00145746"/>
    <w:rsid w:val="0014588B"/>
    <w:rsid w:val="00145947"/>
    <w:rsid w:val="00145ADC"/>
    <w:rsid w:val="001464C5"/>
    <w:rsid w:val="00146CE1"/>
    <w:rsid w:val="00146F93"/>
    <w:rsid w:val="0014740B"/>
    <w:rsid w:val="00147894"/>
    <w:rsid w:val="00147C17"/>
    <w:rsid w:val="00150272"/>
    <w:rsid w:val="00151331"/>
    <w:rsid w:val="00151E69"/>
    <w:rsid w:val="001528EA"/>
    <w:rsid w:val="00152C48"/>
    <w:rsid w:val="00152D02"/>
    <w:rsid w:val="00152DE4"/>
    <w:rsid w:val="00152E21"/>
    <w:rsid w:val="00153038"/>
    <w:rsid w:val="00153460"/>
    <w:rsid w:val="001534C7"/>
    <w:rsid w:val="00153A6E"/>
    <w:rsid w:val="00153E3D"/>
    <w:rsid w:val="00154061"/>
    <w:rsid w:val="001547AB"/>
    <w:rsid w:val="0015487C"/>
    <w:rsid w:val="001548F3"/>
    <w:rsid w:val="001549CF"/>
    <w:rsid w:val="00154DED"/>
    <w:rsid w:val="00154ECC"/>
    <w:rsid w:val="00155DC1"/>
    <w:rsid w:val="001560B5"/>
    <w:rsid w:val="00156135"/>
    <w:rsid w:val="00156533"/>
    <w:rsid w:val="0015667B"/>
    <w:rsid w:val="00156972"/>
    <w:rsid w:val="00156E7D"/>
    <w:rsid w:val="00156F8F"/>
    <w:rsid w:val="00157130"/>
    <w:rsid w:val="0015737A"/>
    <w:rsid w:val="001576B1"/>
    <w:rsid w:val="00157CC1"/>
    <w:rsid w:val="00157DA3"/>
    <w:rsid w:val="00157DD3"/>
    <w:rsid w:val="0016047B"/>
    <w:rsid w:val="00160A4C"/>
    <w:rsid w:val="00160A6E"/>
    <w:rsid w:val="00160AB8"/>
    <w:rsid w:val="00160BDA"/>
    <w:rsid w:val="00160C25"/>
    <w:rsid w:val="00161AD8"/>
    <w:rsid w:val="00161ADE"/>
    <w:rsid w:val="00161CFF"/>
    <w:rsid w:val="001627BC"/>
    <w:rsid w:val="001628C6"/>
    <w:rsid w:val="00162913"/>
    <w:rsid w:val="00163074"/>
    <w:rsid w:val="00163B67"/>
    <w:rsid w:val="00163EFF"/>
    <w:rsid w:val="00163F66"/>
    <w:rsid w:val="0016478E"/>
    <w:rsid w:val="00165682"/>
    <w:rsid w:val="0016584A"/>
    <w:rsid w:val="00165B81"/>
    <w:rsid w:val="00165BBF"/>
    <w:rsid w:val="00165EC4"/>
    <w:rsid w:val="00165EDE"/>
    <w:rsid w:val="001661FB"/>
    <w:rsid w:val="00166652"/>
    <w:rsid w:val="00166E1D"/>
    <w:rsid w:val="001671A0"/>
    <w:rsid w:val="0016767F"/>
    <w:rsid w:val="00167B26"/>
    <w:rsid w:val="001700A2"/>
    <w:rsid w:val="001701DA"/>
    <w:rsid w:val="0017112A"/>
    <w:rsid w:val="001719DD"/>
    <w:rsid w:val="00171BFE"/>
    <w:rsid w:val="00171C72"/>
    <w:rsid w:val="00171FDA"/>
    <w:rsid w:val="0017243F"/>
    <w:rsid w:val="00172CBB"/>
    <w:rsid w:val="00173405"/>
    <w:rsid w:val="00173565"/>
    <w:rsid w:val="00173B07"/>
    <w:rsid w:val="00173DA9"/>
    <w:rsid w:val="001740DE"/>
    <w:rsid w:val="00174811"/>
    <w:rsid w:val="0017484E"/>
    <w:rsid w:val="001748C1"/>
    <w:rsid w:val="00174B5D"/>
    <w:rsid w:val="00175063"/>
    <w:rsid w:val="001750EC"/>
    <w:rsid w:val="00175162"/>
    <w:rsid w:val="001751FA"/>
    <w:rsid w:val="00175410"/>
    <w:rsid w:val="001755EC"/>
    <w:rsid w:val="00175911"/>
    <w:rsid w:val="0017600B"/>
    <w:rsid w:val="00176BBF"/>
    <w:rsid w:val="001772B5"/>
    <w:rsid w:val="00177B23"/>
    <w:rsid w:val="00177C5F"/>
    <w:rsid w:val="001804B3"/>
    <w:rsid w:val="001804D5"/>
    <w:rsid w:val="001808FE"/>
    <w:rsid w:val="00181189"/>
    <w:rsid w:val="00181404"/>
    <w:rsid w:val="001814FB"/>
    <w:rsid w:val="00181ACF"/>
    <w:rsid w:val="00181C10"/>
    <w:rsid w:val="00181D9C"/>
    <w:rsid w:val="00182137"/>
    <w:rsid w:val="00182859"/>
    <w:rsid w:val="00182A03"/>
    <w:rsid w:val="00183193"/>
    <w:rsid w:val="00183438"/>
    <w:rsid w:val="001837FF"/>
    <w:rsid w:val="00183F4B"/>
    <w:rsid w:val="00184B0E"/>
    <w:rsid w:val="001850CD"/>
    <w:rsid w:val="0018520B"/>
    <w:rsid w:val="00185489"/>
    <w:rsid w:val="001856E8"/>
    <w:rsid w:val="00185B9F"/>
    <w:rsid w:val="00185C0F"/>
    <w:rsid w:val="00185D39"/>
    <w:rsid w:val="00186962"/>
    <w:rsid w:val="001869DA"/>
    <w:rsid w:val="001870FB"/>
    <w:rsid w:val="0018752F"/>
    <w:rsid w:val="001876AE"/>
    <w:rsid w:val="00187A3A"/>
    <w:rsid w:val="00187B36"/>
    <w:rsid w:val="00190692"/>
    <w:rsid w:val="00190ECB"/>
    <w:rsid w:val="00191549"/>
    <w:rsid w:val="0019179B"/>
    <w:rsid w:val="00191DB1"/>
    <w:rsid w:val="00191F1F"/>
    <w:rsid w:val="00191F2C"/>
    <w:rsid w:val="001928BF"/>
    <w:rsid w:val="0019316B"/>
    <w:rsid w:val="001933BC"/>
    <w:rsid w:val="00193838"/>
    <w:rsid w:val="00193D65"/>
    <w:rsid w:val="00193ECB"/>
    <w:rsid w:val="00194175"/>
    <w:rsid w:val="001945E5"/>
    <w:rsid w:val="00194922"/>
    <w:rsid w:val="00194AD8"/>
    <w:rsid w:val="00195222"/>
    <w:rsid w:val="00195452"/>
    <w:rsid w:val="00195912"/>
    <w:rsid w:val="0019614E"/>
    <w:rsid w:val="00197172"/>
    <w:rsid w:val="001975D8"/>
    <w:rsid w:val="0019764A"/>
    <w:rsid w:val="00197BDD"/>
    <w:rsid w:val="001A0285"/>
    <w:rsid w:val="001A02D5"/>
    <w:rsid w:val="001A0A12"/>
    <w:rsid w:val="001A0A98"/>
    <w:rsid w:val="001A0E3C"/>
    <w:rsid w:val="001A1333"/>
    <w:rsid w:val="001A178E"/>
    <w:rsid w:val="001A19E6"/>
    <w:rsid w:val="001A22E1"/>
    <w:rsid w:val="001A2529"/>
    <w:rsid w:val="001A26D2"/>
    <w:rsid w:val="001A26E1"/>
    <w:rsid w:val="001A2910"/>
    <w:rsid w:val="001A29FA"/>
    <w:rsid w:val="001A329E"/>
    <w:rsid w:val="001A36B6"/>
    <w:rsid w:val="001A4295"/>
    <w:rsid w:val="001A43FA"/>
    <w:rsid w:val="001A45A0"/>
    <w:rsid w:val="001A47C5"/>
    <w:rsid w:val="001A4E60"/>
    <w:rsid w:val="001A59FB"/>
    <w:rsid w:val="001A5E9E"/>
    <w:rsid w:val="001A619F"/>
    <w:rsid w:val="001A61F4"/>
    <w:rsid w:val="001A6354"/>
    <w:rsid w:val="001A6366"/>
    <w:rsid w:val="001A6C22"/>
    <w:rsid w:val="001A6E6C"/>
    <w:rsid w:val="001A6EF3"/>
    <w:rsid w:val="001A7923"/>
    <w:rsid w:val="001A7AE8"/>
    <w:rsid w:val="001A7DCD"/>
    <w:rsid w:val="001B057A"/>
    <w:rsid w:val="001B0F46"/>
    <w:rsid w:val="001B1047"/>
    <w:rsid w:val="001B1A15"/>
    <w:rsid w:val="001B1BF0"/>
    <w:rsid w:val="001B1CB0"/>
    <w:rsid w:val="001B204E"/>
    <w:rsid w:val="001B2140"/>
    <w:rsid w:val="001B2372"/>
    <w:rsid w:val="001B2702"/>
    <w:rsid w:val="001B3299"/>
    <w:rsid w:val="001B3443"/>
    <w:rsid w:val="001B358B"/>
    <w:rsid w:val="001B3A00"/>
    <w:rsid w:val="001B3BE2"/>
    <w:rsid w:val="001B3BF2"/>
    <w:rsid w:val="001B3E38"/>
    <w:rsid w:val="001B4244"/>
    <w:rsid w:val="001B46B8"/>
    <w:rsid w:val="001B4D20"/>
    <w:rsid w:val="001B5014"/>
    <w:rsid w:val="001B5B24"/>
    <w:rsid w:val="001B6647"/>
    <w:rsid w:val="001B6D24"/>
    <w:rsid w:val="001B777C"/>
    <w:rsid w:val="001B7F84"/>
    <w:rsid w:val="001C08F3"/>
    <w:rsid w:val="001C0960"/>
    <w:rsid w:val="001C19CB"/>
    <w:rsid w:val="001C1A2F"/>
    <w:rsid w:val="001C2A9B"/>
    <w:rsid w:val="001C2F0B"/>
    <w:rsid w:val="001C3782"/>
    <w:rsid w:val="001C3979"/>
    <w:rsid w:val="001C3A60"/>
    <w:rsid w:val="001C3DD6"/>
    <w:rsid w:val="001C4299"/>
    <w:rsid w:val="001C45A3"/>
    <w:rsid w:val="001C4874"/>
    <w:rsid w:val="001C496D"/>
    <w:rsid w:val="001C4A9A"/>
    <w:rsid w:val="001C4D62"/>
    <w:rsid w:val="001C5202"/>
    <w:rsid w:val="001C5F94"/>
    <w:rsid w:val="001C6E66"/>
    <w:rsid w:val="001C6F3D"/>
    <w:rsid w:val="001C76B0"/>
    <w:rsid w:val="001C77C1"/>
    <w:rsid w:val="001C7BA8"/>
    <w:rsid w:val="001C7E6D"/>
    <w:rsid w:val="001D00AD"/>
    <w:rsid w:val="001D0173"/>
    <w:rsid w:val="001D0534"/>
    <w:rsid w:val="001D0637"/>
    <w:rsid w:val="001D1100"/>
    <w:rsid w:val="001D1391"/>
    <w:rsid w:val="001D14C1"/>
    <w:rsid w:val="001D15B6"/>
    <w:rsid w:val="001D1706"/>
    <w:rsid w:val="001D25D7"/>
    <w:rsid w:val="001D2634"/>
    <w:rsid w:val="001D280C"/>
    <w:rsid w:val="001D2962"/>
    <w:rsid w:val="001D2CDA"/>
    <w:rsid w:val="001D2DF3"/>
    <w:rsid w:val="001D33EB"/>
    <w:rsid w:val="001D377C"/>
    <w:rsid w:val="001D39C0"/>
    <w:rsid w:val="001D4451"/>
    <w:rsid w:val="001D45E4"/>
    <w:rsid w:val="001D4876"/>
    <w:rsid w:val="001D4DE2"/>
    <w:rsid w:val="001D4F98"/>
    <w:rsid w:val="001D50B2"/>
    <w:rsid w:val="001D5681"/>
    <w:rsid w:val="001D569F"/>
    <w:rsid w:val="001D5D18"/>
    <w:rsid w:val="001D5D55"/>
    <w:rsid w:val="001D5D56"/>
    <w:rsid w:val="001D5F37"/>
    <w:rsid w:val="001D62AB"/>
    <w:rsid w:val="001D6B64"/>
    <w:rsid w:val="001D71F4"/>
    <w:rsid w:val="001D7218"/>
    <w:rsid w:val="001D74C0"/>
    <w:rsid w:val="001D74D3"/>
    <w:rsid w:val="001D75B7"/>
    <w:rsid w:val="001D7645"/>
    <w:rsid w:val="001D77BB"/>
    <w:rsid w:val="001E020A"/>
    <w:rsid w:val="001E0741"/>
    <w:rsid w:val="001E143A"/>
    <w:rsid w:val="001E1E86"/>
    <w:rsid w:val="001E238E"/>
    <w:rsid w:val="001E2483"/>
    <w:rsid w:val="001E2B03"/>
    <w:rsid w:val="001E2B1E"/>
    <w:rsid w:val="001E2BB6"/>
    <w:rsid w:val="001E2CFF"/>
    <w:rsid w:val="001E2F24"/>
    <w:rsid w:val="001E30D4"/>
    <w:rsid w:val="001E3132"/>
    <w:rsid w:val="001E34DF"/>
    <w:rsid w:val="001E4A73"/>
    <w:rsid w:val="001E4BBD"/>
    <w:rsid w:val="001E5240"/>
    <w:rsid w:val="001E5243"/>
    <w:rsid w:val="001E52EB"/>
    <w:rsid w:val="001E55E9"/>
    <w:rsid w:val="001E58C2"/>
    <w:rsid w:val="001E61D2"/>
    <w:rsid w:val="001E740C"/>
    <w:rsid w:val="001E77D3"/>
    <w:rsid w:val="001E7DE5"/>
    <w:rsid w:val="001F0132"/>
    <w:rsid w:val="001F0A25"/>
    <w:rsid w:val="001F1235"/>
    <w:rsid w:val="001F1CB3"/>
    <w:rsid w:val="001F2261"/>
    <w:rsid w:val="001F24F8"/>
    <w:rsid w:val="001F29DC"/>
    <w:rsid w:val="001F2F91"/>
    <w:rsid w:val="001F38B5"/>
    <w:rsid w:val="001F3F93"/>
    <w:rsid w:val="001F4081"/>
    <w:rsid w:val="001F43C4"/>
    <w:rsid w:val="001F477C"/>
    <w:rsid w:val="001F50C1"/>
    <w:rsid w:val="001F5319"/>
    <w:rsid w:val="001F5467"/>
    <w:rsid w:val="001F610F"/>
    <w:rsid w:val="001F6397"/>
    <w:rsid w:val="001F64E1"/>
    <w:rsid w:val="001F6624"/>
    <w:rsid w:val="001F6CB1"/>
    <w:rsid w:val="001F7246"/>
    <w:rsid w:val="001F7361"/>
    <w:rsid w:val="002003A9"/>
    <w:rsid w:val="00200C8D"/>
    <w:rsid w:val="00200D09"/>
    <w:rsid w:val="00200E99"/>
    <w:rsid w:val="002011B0"/>
    <w:rsid w:val="002018D7"/>
    <w:rsid w:val="00201B4D"/>
    <w:rsid w:val="00202862"/>
    <w:rsid w:val="00202B84"/>
    <w:rsid w:val="002030AA"/>
    <w:rsid w:val="00203181"/>
    <w:rsid w:val="0020366D"/>
    <w:rsid w:val="00203783"/>
    <w:rsid w:val="0020385F"/>
    <w:rsid w:val="002039FE"/>
    <w:rsid w:val="00203E51"/>
    <w:rsid w:val="0020414A"/>
    <w:rsid w:val="00204862"/>
    <w:rsid w:val="00204986"/>
    <w:rsid w:val="00204B75"/>
    <w:rsid w:val="00204C98"/>
    <w:rsid w:val="00204E56"/>
    <w:rsid w:val="002068A0"/>
    <w:rsid w:val="00206FDF"/>
    <w:rsid w:val="00207021"/>
    <w:rsid w:val="002072BE"/>
    <w:rsid w:val="0020732F"/>
    <w:rsid w:val="002073A4"/>
    <w:rsid w:val="00207720"/>
    <w:rsid w:val="00207B4B"/>
    <w:rsid w:val="00207D00"/>
    <w:rsid w:val="00207EC9"/>
    <w:rsid w:val="00210064"/>
    <w:rsid w:val="0021017E"/>
    <w:rsid w:val="002105C1"/>
    <w:rsid w:val="00210850"/>
    <w:rsid w:val="002109DC"/>
    <w:rsid w:val="00210AEF"/>
    <w:rsid w:val="00210B39"/>
    <w:rsid w:val="00210B40"/>
    <w:rsid w:val="00211122"/>
    <w:rsid w:val="0021112B"/>
    <w:rsid w:val="002114C4"/>
    <w:rsid w:val="002116FD"/>
    <w:rsid w:val="00211844"/>
    <w:rsid w:val="0021207A"/>
    <w:rsid w:val="00212257"/>
    <w:rsid w:val="00212692"/>
    <w:rsid w:val="00212E06"/>
    <w:rsid w:val="00213610"/>
    <w:rsid w:val="00213EF5"/>
    <w:rsid w:val="00213FFD"/>
    <w:rsid w:val="00214324"/>
    <w:rsid w:val="00214641"/>
    <w:rsid w:val="0021482C"/>
    <w:rsid w:val="00214E33"/>
    <w:rsid w:val="00215355"/>
    <w:rsid w:val="002157E5"/>
    <w:rsid w:val="00215D0C"/>
    <w:rsid w:val="002163AD"/>
    <w:rsid w:val="002163C2"/>
    <w:rsid w:val="00216A7B"/>
    <w:rsid w:val="00216BF5"/>
    <w:rsid w:val="00216D73"/>
    <w:rsid w:val="00217087"/>
    <w:rsid w:val="002177A0"/>
    <w:rsid w:val="002204FC"/>
    <w:rsid w:val="002214A9"/>
    <w:rsid w:val="00221653"/>
    <w:rsid w:val="00221734"/>
    <w:rsid w:val="00222E15"/>
    <w:rsid w:val="00223360"/>
    <w:rsid w:val="00223512"/>
    <w:rsid w:val="00223B49"/>
    <w:rsid w:val="00223D5A"/>
    <w:rsid w:val="00223DAB"/>
    <w:rsid w:val="002240C3"/>
    <w:rsid w:val="002242AD"/>
    <w:rsid w:val="00224465"/>
    <w:rsid w:val="00224747"/>
    <w:rsid w:val="002249AA"/>
    <w:rsid w:val="00224DD4"/>
    <w:rsid w:val="002251A8"/>
    <w:rsid w:val="00225726"/>
    <w:rsid w:val="0022592D"/>
    <w:rsid w:val="00225C03"/>
    <w:rsid w:val="00226264"/>
    <w:rsid w:val="00226511"/>
    <w:rsid w:val="002268B9"/>
    <w:rsid w:val="00226968"/>
    <w:rsid w:val="00226DA8"/>
    <w:rsid w:val="00226F27"/>
    <w:rsid w:val="002278A0"/>
    <w:rsid w:val="00227D0B"/>
    <w:rsid w:val="0023033B"/>
    <w:rsid w:val="00230799"/>
    <w:rsid w:val="002307B8"/>
    <w:rsid w:val="0023090C"/>
    <w:rsid w:val="002309CC"/>
    <w:rsid w:val="00230CFC"/>
    <w:rsid w:val="00230F32"/>
    <w:rsid w:val="002310EE"/>
    <w:rsid w:val="00231BA9"/>
    <w:rsid w:val="00231E0A"/>
    <w:rsid w:val="0023209F"/>
    <w:rsid w:val="0023230D"/>
    <w:rsid w:val="002339CC"/>
    <w:rsid w:val="00233C01"/>
    <w:rsid w:val="0023413C"/>
    <w:rsid w:val="00234491"/>
    <w:rsid w:val="002346F0"/>
    <w:rsid w:val="00234BAA"/>
    <w:rsid w:val="00234C29"/>
    <w:rsid w:val="002357DA"/>
    <w:rsid w:val="00235A38"/>
    <w:rsid w:val="0023629D"/>
    <w:rsid w:val="00236C8A"/>
    <w:rsid w:val="00236F45"/>
    <w:rsid w:val="00237255"/>
    <w:rsid w:val="0023756B"/>
    <w:rsid w:val="002375A8"/>
    <w:rsid w:val="0024009B"/>
    <w:rsid w:val="002400F1"/>
    <w:rsid w:val="002401F3"/>
    <w:rsid w:val="002402FE"/>
    <w:rsid w:val="002406C0"/>
    <w:rsid w:val="00240A71"/>
    <w:rsid w:val="00240BA1"/>
    <w:rsid w:val="00240E97"/>
    <w:rsid w:val="002410CF"/>
    <w:rsid w:val="00241356"/>
    <w:rsid w:val="00241A47"/>
    <w:rsid w:val="002424AF"/>
    <w:rsid w:val="002426F9"/>
    <w:rsid w:val="00242B64"/>
    <w:rsid w:val="00242F00"/>
    <w:rsid w:val="00243000"/>
    <w:rsid w:val="002439DC"/>
    <w:rsid w:val="00243B97"/>
    <w:rsid w:val="00243CB6"/>
    <w:rsid w:val="002441D2"/>
    <w:rsid w:val="00244B1D"/>
    <w:rsid w:val="00244C83"/>
    <w:rsid w:val="00244C8A"/>
    <w:rsid w:val="00244DC8"/>
    <w:rsid w:val="00245083"/>
    <w:rsid w:val="002458BA"/>
    <w:rsid w:val="00245CE9"/>
    <w:rsid w:val="0024636C"/>
    <w:rsid w:val="00246AE4"/>
    <w:rsid w:val="002470AD"/>
    <w:rsid w:val="0024729C"/>
    <w:rsid w:val="00247326"/>
    <w:rsid w:val="00247581"/>
    <w:rsid w:val="00247925"/>
    <w:rsid w:val="00247E47"/>
    <w:rsid w:val="00247F5E"/>
    <w:rsid w:val="002503BC"/>
    <w:rsid w:val="00250419"/>
    <w:rsid w:val="002506F9"/>
    <w:rsid w:val="00250737"/>
    <w:rsid w:val="00250C1D"/>
    <w:rsid w:val="00250D6F"/>
    <w:rsid w:val="00251006"/>
    <w:rsid w:val="002511DE"/>
    <w:rsid w:val="002519FC"/>
    <w:rsid w:val="00251C25"/>
    <w:rsid w:val="0025221D"/>
    <w:rsid w:val="002524D5"/>
    <w:rsid w:val="0025251E"/>
    <w:rsid w:val="00252AE5"/>
    <w:rsid w:val="002530FD"/>
    <w:rsid w:val="0025321B"/>
    <w:rsid w:val="00253909"/>
    <w:rsid w:val="00253B1D"/>
    <w:rsid w:val="00253E31"/>
    <w:rsid w:val="0025437E"/>
    <w:rsid w:val="002548FD"/>
    <w:rsid w:val="00254D83"/>
    <w:rsid w:val="00254DCF"/>
    <w:rsid w:val="0025534B"/>
    <w:rsid w:val="002553AF"/>
    <w:rsid w:val="00255618"/>
    <w:rsid w:val="002556EF"/>
    <w:rsid w:val="00255BB7"/>
    <w:rsid w:val="00255C60"/>
    <w:rsid w:val="00255D37"/>
    <w:rsid w:val="0025684F"/>
    <w:rsid w:val="00256F18"/>
    <w:rsid w:val="00257085"/>
    <w:rsid w:val="00257541"/>
    <w:rsid w:val="00257748"/>
    <w:rsid w:val="00257A39"/>
    <w:rsid w:val="00257AC4"/>
    <w:rsid w:val="00257AFB"/>
    <w:rsid w:val="00257BBE"/>
    <w:rsid w:val="00257CE1"/>
    <w:rsid w:val="00257D7F"/>
    <w:rsid w:val="00257E45"/>
    <w:rsid w:val="00260041"/>
    <w:rsid w:val="00260A63"/>
    <w:rsid w:val="002611C4"/>
    <w:rsid w:val="00261A17"/>
    <w:rsid w:val="00261B77"/>
    <w:rsid w:val="00261EEF"/>
    <w:rsid w:val="00261FB8"/>
    <w:rsid w:val="00262A1A"/>
    <w:rsid w:val="00262A87"/>
    <w:rsid w:val="002635AB"/>
    <w:rsid w:val="00263836"/>
    <w:rsid w:val="00263A12"/>
    <w:rsid w:val="00263C82"/>
    <w:rsid w:val="00263D05"/>
    <w:rsid w:val="00263E7C"/>
    <w:rsid w:val="00264057"/>
    <w:rsid w:val="002641E8"/>
    <w:rsid w:val="002644ED"/>
    <w:rsid w:val="00264D26"/>
    <w:rsid w:val="002650AC"/>
    <w:rsid w:val="002651FE"/>
    <w:rsid w:val="002658CE"/>
    <w:rsid w:val="002663A4"/>
    <w:rsid w:val="00266E71"/>
    <w:rsid w:val="00267097"/>
    <w:rsid w:val="0026730F"/>
    <w:rsid w:val="00267642"/>
    <w:rsid w:val="00267AEA"/>
    <w:rsid w:val="00267F56"/>
    <w:rsid w:val="002700E6"/>
    <w:rsid w:val="00270B2F"/>
    <w:rsid w:val="00271B00"/>
    <w:rsid w:val="0027294B"/>
    <w:rsid w:val="002729F0"/>
    <w:rsid w:val="00272DE0"/>
    <w:rsid w:val="00272FE7"/>
    <w:rsid w:val="00273A7F"/>
    <w:rsid w:val="00273EB4"/>
    <w:rsid w:val="00274682"/>
    <w:rsid w:val="00274D55"/>
    <w:rsid w:val="00275158"/>
    <w:rsid w:val="00275262"/>
    <w:rsid w:val="00275A0A"/>
    <w:rsid w:val="00275C5A"/>
    <w:rsid w:val="00275D45"/>
    <w:rsid w:val="00275DA5"/>
    <w:rsid w:val="00276068"/>
    <w:rsid w:val="002761A9"/>
    <w:rsid w:val="002765B6"/>
    <w:rsid w:val="00276BA2"/>
    <w:rsid w:val="00276C29"/>
    <w:rsid w:val="002779F4"/>
    <w:rsid w:val="00277CB1"/>
    <w:rsid w:val="00277D28"/>
    <w:rsid w:val="00277EE7"/>
    <w:rsid w:val="002804F5"/>
    <w:rsid w:val="0028074E"/>
    <w:rsid w:val="002809E7"/>
    <w:rsid w:val="00281009"/>
    <w:rsid w:val="00281014"/>
    <w:rsid w:val="00281544"/>
    <w:rsid w:val="00281ECD"/>
    <w:rsid w:val="00282D2C"/>
    <w:rsid w:val="0028319E"/>
    <w:rsid w:val="00283D9A"/>
    <w:rsid w:val="00283E18"/>
    <w:rsid w:val="002842B1"/>
    <w:rsid w:val="00284E2D"/>
    <w:rsid w:val="002850AD"/>
    <w:rsid w:val="00285405"/>
    <w:rsid w:val="00285504"/>
    <w:rsid w:val="00285BCE"/>
    <w:rsid w:val="00285C7F"/>
    <w:rsid w:val="002863E2"/>
    <w:rsid w:val="0028665D"/>
    <w:rsid w:val="002868EB"/>
    <w:rsid w:val="00286FFF"/>
    <w:rsid w:val="00287A54"/>
    <w:rsid w:val="00287FFE"/>
    <w:rsid w:val="00290134"/>
    <w:rsid w:val="002905E3"/>
    <w:rsid w:val="0029072A"/>
    <w:rsid w:val="00290FB0"/>
    <w:rsid w:val="0029138B"/>
    <w:rsid w:val="00291433"/>
    <w:rsid w:val="00291623"/>
    <w:rsid w:val="00291699"/>
    <w:rsid w:val="00292440"/>
    <w:rsid w:val="00292998"/>
    <w:rsid w:val="00292B36"/>
    <w:rsid w:val="00293E87"/>
    <w:rsid w:val="00294460"/>
    <w:rsid w:val="0029511A"/>
    <w:rsid w:val="00295271"/>
    <w:rsid w:val="0029598B"/>
    <w:rsid w:val="00295A25"/>
    <w:rsid w:val="00295CA7"/>
    <w:rsid w:val="00295CC1"/>
    <w:rsid w:val="00296361"/>
    <w:rsid w:val="00296ECD"/>
    <w:rsid w:val="00297845"/>
    <w:rsid w:val="00297BA8"/>
    <w:rsid w:val="002A021F"/>
    <w:rsid w:val="002A0A33"/>
    <w:rsid w:val="002A0D07"/>
    <w:rsid w:val="002A0D7F"/>
    <w:rsid w:val="002A10BF"/>
    <w:rsid w:val="002A14AB"/>
    <w:rsid w:val="002A1BAF"/>
    <w:rsid w:val="002A1F5B"/>
    <w:rsid w:val="002A2A7B"/>
    <w:rsid w:val="002A2ADE"/>
    <w:rsid w:val="002A2D4A"/>
    <w:rsid w:val="002A2F50"/>
    <w:rsid w:val="002A38D0"/>
    <w:rsid w:val="002A3C77"/>
    <w:rsid w:val="002A3DEC"/>
    <w:rsid w:val="002A4141"/>
    <w:rsid w:val="002A4F28"/>
    <w:rsid w:val="002A5207"/>
    <w:rsid w:val="002A5616"/>
    <w:rsid w:val="002A619B"/>
    <w:rsid w:val="002A66BC"/>
    <w:rsid w:val="002A6CA8"/>
    <w:rsid w:val="002A775B"/>
    <w:rsid w:val="002A7943"/>
    <w:rsid w:val="002B0228"/>
    <w:rsid w:val="002B05A1"/>
    <w:rsid w:val="002B05C8"/>
    <w:rsid w:val="002B0844"/>
    <w:rsid w:val="002B09A4"/>
    <w:rsid w:val="002B0B5C"/>
    <w:rsid w:val="002B1C1F"/>
    <w:rsid w:val="002B1DCF"/>
    <w:rsid w:val="002B1E08"/>
    <w:rsid w:val="002B1FAC"/>
    <w:rsid w:val="002B21FD"/>
    <w:rsid w:val="002B2B8C"/>
    <w:rsid w:val="002B3502"/>
    <w:rsid w:val="002B39BF"/>
    <w:rsid w:val="002B3E1D"/>
    <w:rsid w:val="002B3E6F"/>
    <w:rsid w:val="002B432F"/>
    <w:rsid w:val="002B51B0"/>
    <w:rsid w:val="002B5421"/>
    <w:rsid w:val="002B54B9"/>
    <w:rsid w:val="002B62B3"/>
    <w:rsid w:val="002B6754"/>
    <w:rsid w:val="002B6CCE"/>
    <w:rsid w:val="002B6DF5"/>
    <w:rsid w:val="002B7AC9"/>
    <w:rsid w:val="002C0C38"/>
    <w:rsid w:val="002C12EC"/>
    <w:rsid w:val="002C1916"/>
    <w:rsid w:val="002C19BE"/>
    <w:rsid w:val="002C2510"/>
    <w:rsid w:val="002C25ED"/>
    <w:rsid w:val="002C2775"/>
    <w:rsid w:val="002C27C1"/>
    <w:rsid w:val="002C2DB6"/>
    <w:rsid w:val="002C328F"/>
    <w:rsid w:val="002C32DD"/>
    <w:rsid w:val="002C36E3"/>
    <w:rsid w:val="002C4EA3"/>
    <w:rsid w:val="002C5099"/>
    <w:rsid w:val="002C51E7"/>
    <w:rsid w:val="002C5889"/>
    <w:rsid w:val="002C5AAA"/>
    <w:rsid w:val="002C5C06"/>
    <w:rsid w:val="002C5ECC"/>
    <w:rsid w:val="002C6204"/>
    <w:rsid w:val="002C625A"/>
    <w:rsid w:val="002C6781"/>
    <w:rsid w:val="002C68B5"/>
    <w:rsid w:val="002C6D49"/>
    <w:rsid w:val="002C6E86"/>
    <w:rsid w:val="002C71CE"/>
    <w:rsid w:val="002C7546"/>
    <w:rsid w:val="002C7BF9"/>
    <w:rsid w:val="002D042A"/>
    <w:rsid w:val="002D08F8"/>
    <w:rsid w:val="002D0920"/>
    <w:rsid w:val="002D0BCA"/>
    <w:rsid w:val="002D1101"/>
    <w:rsid w:val="002D128C"/>
    <w:rsid w:val="002D18A1"/>
    <w:rsid w:val="002D1B43"/>
    <w:rsid w:val="002D2B92"/>
    <w:rsid w:val="002D2DFB"/>
    <w:rsid w:val="002D346F"/>
    <w:rsid w:val="002D3E81"/>
    <w:rsid w:val="002D3E82"/>
    <w:rsid w:val="002D4038"/>
    <w:rsid w:val="002D4413"/>
    <w:rsid w:val="002D445E"/>
    <w:rsid w:val="002D54BC"/>
    <w:rsid w:val="002D577C"/>
    <w:rsid w:val="002D5876"/>
    <w:rsid w:val="002D5B4E"/>
    <w:rsid w:val="002D62C6"/>
    <w:rsid w:val="002D66CA"/>
    <w:rsid w:val="002D66EE"/>
    <w:rsid w:val="002D6EB2"/>
    <w:rsid w:val="002D6FB2"/>
    <w:rsid w:val="002D7213"/>
    <w:rsid w:val="002D7688"/>
    <w:rsid w:val="002D7832"/>
    <w:rsid w:val="002E01C9"/>
    <w:rsid w:val="002E04B5"/>
    <w:rsid w:val="002E071A"/>
    <w:rsid w:val="002E077A"/>
    <w:rsid w:val="002E1071"/>
    <w:rsid w:val="002E12BA"/>
    <w:rsid w:val="002E133D"/>
    <w:rsid w:val="002E15B9"/>
    <w:rsid w:val="002E19D8"/>
    <w:rsid w:val="002E1E4B"/>
    <w:rsid w:val="002E1F2C"/>
    <w:rsid w:val="002E2096"/>
    <w:rsid w:val="002E2106"/>
    <w:rsid w:val="002E2158"/>
    <w:rsid w:val="002E2468"/>
    <w:rsid w:val="002E2612"/>
    <w:rsid w:val="002E263D"/>
    <w:rsid w:val="002E269A"/>
    <w:rsid w:val="002E339D"/>
    <w:rsid w:val="002E4265"/>
    <w:rsid w:val="002E436B"/>
    <w:rsid w:val="002E4E35"/>
    <w:rsid w:val="002E4E3B"/>
    <w:rsid w:val="002E4F02"/>
    <w:rsid w:val="002E501E"/>
    <w:rsid w:val="002E5B8B"/>
    <w:rsid w:val="002E69BF"/>
    <w:rsid w:val="002E7722"/>
    <w:rsid w:val="002E7CC4"/>
    <w:rsid w:val="002E7D1F"/>
    <w:rsid w:val="002F02B9"/>
    <w:rsid w:val="002F07BA"/>
    <w:rsid w:val="002F0DA9"/>
    <w:rsid w:val="002F0DE6"/>
    <w:rsid w:val="002F1014"/>
    <w:rsid w:val="002F11D5"/>
    <w:rsid w:val="002F13B6"/>
    <w:rsid w:val="002F19F4"/>
    <w:rsid w:val="002F1E3B"/>
    <w:rsid w:val="002F1F3B"/>
    <w:rsid w:val="002F2BA4"/>
    <w:rsid w:val="002F2C2B"/>
    <w:rsid w:val="002F2E41"/>
    <w:rsid w:val="002F31A2"/>
    <w:rsid w:val="002F36CE"/>
    <w:rsid w:val="002F4120"/>
    <w:rsid w:val="002F41B7"/>
    <w:rsid w:val="002F4491"/>
    <w:rsid w:val="002F4494"/>
    <w:rsid w:val="002F4512"/>
    <w:rsid w:val="002F49D6"/>
    <w:rsid w:val="002F4D64"/>
    <w:rsid w:val="002F4FDF"/>
    <w:rsid w:val="002F5474"/>
    <w:rsid w:val="002F62AF"/>
    <w:rsid w:val="002F643C"/>
    <w:rsid w:val="002F6CBE"/>
    <w:rsid w:val="002F6E9E"/>
    <w:rsid w:val="002F71BB"/>
    <w:rsid w:val="002F71C0"/>
    <w:rsid w:val="002F74F1"/>
    <w:rsid w:val="002F756D"/>
    <w:rsid w:val="003000B9"/>
    <w:rsid w:val="00300460"/>
    <w:rsid w:val="003008C2"/>
    <w:rsid w:val="003008D5"/>
    <w:rsid w:val="00300A9D"/>
    <w:rsid w:val="00300D94"/>
    <w:rsid w:val="00301017"/>
    <w:rsid w:val="00301421"/>
    <w:rsid w:val="00301457"/>
    <w:rsid w:val="0030155F"/>
    <w:rsid w:val="00301ACC"/>
    <w:rsid w:val="00301C93"/>
    <w:rsid w:val="00301F98"/>
    <w:rsid w:val="003023B4"/>
    <w:rsid w:val="00302446"/>
    <w:rsid w:val="003024AC"/>
    <w:rsid w:val="00302681"/>
    <w:rsid w:val="00302D21"/>
    <w:rsid w:val="00302FB2"/>
    <w:rsid w:val="0030303A"/>
    <w:rsid w:val="00303399"/>
    <w:rsid w:val="00303A20"/>
    <w:rsid w:val="00303D60"/>
    <w:rsid w:val="0030460D"/>
    <w:rsid w:val="00305050"/>
    <w:rsid w:val="0030505A"/>
    <w:rsid w:val="0030582A"/>
    <w:rsid w:val="0030587B"/>
    <w:rsid w:val="00306169"/>
    <w:rsid w:val="003063B4"/>
    <w:rsid w:val="00306805"/>
    <w:rsid w:val="00306D98"/>
    <w:rsid w:val="00306DFB"/>
    <w:rsid w:val="00307178"/>
    <w:rsid w:val="003072E5"/>
    <w:rsid w:val="0030786C"/>
    <w:rsid w:val="00310038"/>
    <w:rsid w:val="0031031A"/>
    <w:rsid w:val="00310443"/>
    <w:rsid w:val="00310747"/>
    <w:rsid w:val="00310981"/>
    <w:rsid w:val="00310A36"/>
    <w:rsid w:val="00310C3C"/>
    <w:rsid w:val="003118BB"/>
    <w:rsid w:val="00311D9B"/>
    <w:rsid w:val="003124D9"/>
    <w:rsid w:val="00312594"/>
    <w:rsid w:val="00312602"/>
    <w:rsid w:val="00313224"/>
    <w:rsid w:val="00313A46"/>
    <w:rsid w:val="00314093"/>
    <w:rsid w:val="00314795"/>
    <w:rsid w:val="00314813"/>
    <w:rsid w:val="00315463"/>
    <w:rsid w:val="00315498"/>
    <w:rsid w:val="00315BCF"/>
    <w:rsid w:val="00315D17"/>
    <w:rsid w:val="00316005"/>
    <w:rsid w:val="003162DD"/>
    <w:rsid w:val="00316474"/>
    <w:rsid w:val="00317B37"/>
    <w:rsid w:val="0032094B"/>
    <w:rsid w:val="00320C5D"/>
    <w:rsid w:val="00320C85"/>
    <w:rsid w:val="0032109D"/>
    <w:rsid w:val="003210DC"/>
    <w:rsid w:val="00321675"/>
    <w:rsid w:val="00321A45"/>
    <w:rsid w:val="00321B33"/>
    <w:rsid w:val="00322107"/>
    <w:rsid w:val="003222F7"/>
    <w:rsid w:val="00322355"/>
    <w:rsid w:val="00322846"/>
    <w:rsid w:val="00322F5A"/>
    <w:rsid w:val="00323536"/>
    <w:rsid w:val="00323761"/>
    <w:rsid w:val="003239AC"/>
    <w:rsid w:val="003239AE"/>
    <w:rsid w:val="00323D19"/>
    <w:rsid w:val="00324992"/>
    <w:rsid w:val="00325254"/>
    <w:rsid w:val="00325688"/>
    <w:rsid w:val="003256D2"/>
    <w:rsid w:val="003258D7"/>
    <w:rsid w:val="00325A3D"/>
    <w:rsid w:val="0032696B"/>
    <w:rsid w:val="00326995"/>
    <w:rsid w:val="00326DA7"/>
    <w:rsid w:val="003270AF"/>
    <w:rsid w:val="003270E4"/>
    <w:rsid w:val="00327A5C"/>
    <w:rsid w:val="00327A5D"/>
    <w:rsid w:val="00330DAA"/>
    <w:rsid w:val="00330E6D"/>
    <w:rsid w:val="00330F5C"/>
    <w:rsid w:val="00331E71"/>
    <w:rsid w:val="00332202"/>
    <w:rsid w:val="00332523"/>
    <w:rsid w:val="00332EA8"/>
    <w:rsid w:val="00333610"/>
    <w:rsid w:val="003336C7"/>
    <w:rsid w:val="00333784"/>
    <w:rsid w:val="003338E6"/>
    <w:rsid w:val="00333C1D"/>
    <w:rsid w:val="00334429"/>
    <w:rsid w:val="003347D1"/>
    <w:rsid w:val="00334BD6"/>
    <w:rsid w:val="003355B5"/>
    <w:rsid w:val="00335835"/>
    <w:rsid w:val="0033598B"/>
    <w:rsid w:val="00335D5C"/>
    <w:rsid w:val="003366C9"/>
    <w:rsid w:val="0033670E"/>
    <w:rsid w:val="00336EC9"/>
    <w:rsid w:val="003371B0"/>
    <w:rsid w:val="00337351"/>
    <w:rsid w:val="00337362"/>
    <w:rsid w:val="00337474"/>
    <w:rsid w:val="00337535"/>
    <w:rsid w:val="00337573"/>
    <w:rsid w:val="003403D6"/>
    <w:rsid w:val="003403E9"/>
    <w:rsid w:val="00340A7C"/>
    <w:rsid w:val="00340DF1"/>
    <w:rsid w:val="00340E36"/>
    <w:rsid w:val="00340F83"/>
    <w:rsid w:val="00341450"/>
    <w:rsid w:val="00341C79"/>
    <w:rsid w:val="0034230A"/>
    <w:rsid w:val="0034254C"/>
    <w:rsid w:val="003446D0"/>
    <w:rsid w:val="003447E2"/>
    <w:rsid w:val="00345A27"/>
    <w:rsid w:val="00345CF7"/>
    <w:rsid w:val="00345E87"/>
    <w:rsid w:val="003465DF"/>
    <w:rsid w:val="00346CA2"/>
    <w:rsid w:val="00346E5D"/>
    <w:rsid w:val="00347497"/>
    <w:rsid w:val="00347531"/>
    <w:rsid w:val="003478D7"/>
    <w:rsid w:val="00350059"/>
    <w:rsid w:val="0035091B"/>
    <w:rsid w:val="00350ACB"/>
    <w:rsid w:val="00350DB7"/>
    <w:rsid w:val="0035153C"/>
    <w:rsid w:val="003517F9"/>
    <w:rsid w:val="0035188B"/>
    <w:rsid w:val="00351B1D"/>
    <w:rsid w:val="00351BA1"/>
    <w:rsid w:val="00351BA9"/>
    <w:rsid w:val="00352077"/>
    <w:rsid w:val="0035262A"/>
    <w:rsid w:val="00352B28"/>
    <w:rsid w:val="00353721"/>
    <w:rsid w:val="00354873"/>
    <w:rsid w:val="00354B10"/>
    <w:rsid w:val="00354D09"/>
    <w:rsid w:val="00354D85"/>
    <w:rsid w:val="00354F64"/>
    <w:rsid w:val="003554FF"/>
    <w:rsid w:val="00355540"/>
    <w:rsid w:val="003556D6"/>
    <w:rsid w:val="003557B9"/>
    <w:rsid w:val="00355AD2"/>
    <w:rsid w:val="00355F52"/>
    <w:rsid w:val="0035620E"/>
    <w:rsid w:val="00356963"/>
    <w:rsid w:val="00356FA1"/>
    <w:rsid w:val="00357114"/>
    <w:rsid w:val="0035730E"/>
    <w:rsid w:val="003575BE"/>
    <w:rsid w:val="00357D29"/>
    <w:rsid w:val="00357EB7"/>
    <w:rsid w:val="00360345"/>
    <w:rsid w:val="0036065D"/>
    <w:rsid w:val="003609D4"/>
    <w:rsid w:val="00360CCC"/>
    <w:rsid w:val="0036133E"/>
    <w:rsid w:val="003614BB"/>
    <w:rsid w:val="00361A05"/>
    <w:rsid w:val="00361E36"/>
    <w:rsid w:val="00361EB3"/>
    <w:rsid w:val="00362400"/>
    <w:rsid w:val="003624C4"/>
    <w:rsid w:val="00362583"/>
    <w:rsid w:val="00362845"/>
    <w:rsid w:val="00362B7D"/>
    <w:rsid w:val="00362D99"/>
    <w:rsid w:val="00362F3B"/>
    <w:rsid w:val="003633B9"/>
    <w:rsid w:val="00363525"/>
    <w:rsid w:val="003635FF"/>
    <w:rsid w:val="0036388F"/>
    <w:rsid w:val="00363B00"/>
    <w:rsid w:val="00363DF7"/>
    <w:rsid w:val="00363DFE"/>
    <w:rsid w:val="00363EB3"/>
    <w:rsid w:val="00363F60"/>
    <w:rsid w:val="003641D8"/>
    <w:rsid w:val="0036449C"/>
    <w:rsid w:val="003649A8"/>
    <w:rsid w:val="00364F99"/>
    <w:rsid w:val="0036527D"/>
    <w:rsid w:val="003654AC"/>
    <w:rsid w:val="003654E7"/>
    <w:rsid w:val="00365ACD"/>
    <w:rsid w:val="00365AE8"/>
    <w:rsid w:val="00367161"/>
    <w:rsid w:val="00367392"/>
    <w:rsid w:val="00370A84"/>
    <w:rsid w:val="003710CF"/>
    <w:rsid w:val="003712C4"/>
    <w:rsid w:val="00371892"/>
    <w:rsid w:val="0037195D"/>
    <w:rsid w:val="0037358A"/>
    <w:rsid w:val="003737B0"/>
    <w:rsid w:val="003742CD"/>
    <w:rsid w:val="003750F6"/>
    <w:rsid w:val="003752DB"/>
    <w:rsid w:val="00375BF3"/>
    <w:rsid w:val="00375F20"/>
    <w:rsid w:val="003760FC"/>
    <w:rsid w:val="0037617F"/>
    <w:rsid w:val="00376209"/>
    <w:rsid w:val="00376667"/>
    <w:rsid w:val="003772DF"/>
    <w:rsid w:val="0037731C"/>
    <w:rsid w:val="00377466"/>
    <w:rsid w:val="00377593"/>
    <w:rsid w:val="00377CF7"/>
    <w:rsid w:val="00380832"/>
    <w:rsid w:val="00380C27"/>
    <w:rsid w:val="00380E01"/>
    <w:rsid w:val="003818AE"/>
    <w:rsid w:val="0038247E"/>
    <w:rsid w:val="00382577"/>
    <w:rsid w:val="003826AC"/>
    <w:rsid w:val="00382CB6"/>
    <w:rsid w:val="003830E7"/>
    <w:rsid w:val="0038365C"/>
    <w:rsid w:val="0038369B"/>
    <w:rsid w:val="00383B78"/>
    <w:rsid w:val="00383BAA"/>
    <w:rsid w:val="00383CEF"/>
    <w:rsid w:val="00384AD7"/>
    <w:rsid w:val="00384BAF"/>
    <w:rsid w:val="00384BC4"/>
    <w:rsid w:val="00384DE6"/>
    <w:rsid w:val="00385A9D"/>
    <w:rsid w:val="00385FE3"/>
    <w:rsid w:val="003867DA"/>
    <w:rsid w:val="00386B8D"/>
    <w:rsid w:val="00386F54"/>
    <w:rsid w:val="00387121"/>
    <w:rsid w:val="00387418"/>
    <w:rsid w:val="0038759C"/>
    <w:rsid w:val="00387C22"/>
    <w:rsid w:val="00387E86"/>
    <w:rsid w:val="003902B1"/>
    <w:rsid w:val="003904D8"/>
    <w:rsid w:val="003906E5"/>
    <w:rsid w:val="003909F2"/>
    <w:rsid w:val="00391386"/>
    <w:rsid w:val="0039179C"/>
    <w:rsid w:val="00391875"/>
    <w:rsid w:val="00391AA9"/>
    <w:rsid w:val="00391B32"/>
    <w:rsid w:val="00392306"/>
    <w:rsid w:val="0039271F"/>
    <w:rsid w:val="00392E38"/>
    <w:rsid w:val="00393098"/>
    <w:rsid w:val="0039474A"/>
    <w:rsid w:val="0039504C"/>
    <w:rsid w:val="0039536B"/>
    <w:rsid w:val="0039576A"/>
    <w:rsid w:val="00395CEE"/>
    <w:rsid w:val="00395E21"/>
    <w:rsid w:val="00395FB1"/>
    <w:rsid w:val="00396582"/>
    <w:rsid w:val="0039687F"/>
    <w:rsid w:val="00396896"/>
    <w:rsid w:val="00396926"/>
    <w:rsid w:val="00396FD0"/>
    <w:rsid w:val="00397DD4"/>
    <w:rsid w:val="00397E3B"/>
    <w:rsid w:val="003A0127"/>
    <w:rsid w:val="003A016B"/>
    <w:rsid w:val="003A04E9"/>
    <w:rsid w:val="003A0591"/>
    <w:rsid w:val="003A05E6"/>
    <w:rsid w:val="003A09AC"/>
    <w:rsid w:val="003A0AC1"/>
    <w:rsid w:val="003A153D"/>
    <w:rsid w:val="003A1621"/>
    <w:rsid w:val="003A1810"/>
    <w:rsid w:val="003A1A7A"/>
    <w:rsid w:val="003A1DB1"/>
    <w:rsid w:val="003A1F7A"/>
    <w:rsid w:val="003A2392"/>
    <w:rsid w:val="003A2831"/>
    <w:rsid w:val="003A2D43"/>
    <w:rsid w:val="003A30A7"/>
    <w:rsid w:val="003A3BC9"/>
    <w:rsid w:val="003A3CB6"/>
    <w:rsid w:val="003A3ED1"/>
    <w:rsid w:val="003A42BF"/>
    <w:rsid w:val="003A4308"/>
    <w:rsid w:val="003A44DB"/>
    <w:rsid w:val="003A4A5A"/>
    <w:rsid w:val="003A4BD3"/>
    <w:rsid w:val="003A4C14"/>
    <w:rsid w:val="003A5A01"/>
    <w:rsid w:val="003A6C8F"/>
    <w:rsid w:val="003A6EDA"/>
    <w:rsid w:val="003A71B1"/>
    <w:rsid w:val="003A74D2"/>
    <w:rsid w:val="003A7789"/>
    <w:rsid w:val="003A7A7C"/>
    <w:rsid w:val="003B027E"/>
    <w:rsid w:val="003B03AA"/>
    <w:rsid w:val="003B03B6"/>
    <w:rsid w:val="003B063A"/>
    <w:rsid w:val="003B1AD6"/>
    <w:rsid w:val="003B1D17"/>
    <w:rsid w:val="003B1E55"/>
    <w:rsid w:val="003B22E2"/>
    <w:rsid w:val="003B292A"/>
    <w:rsid w:val="003B350C"/>
    <w:rsid w:val="003B37C4"/>
    <w:rsid w:val="003B3971"/>
    <w:rsid w:val="003B4630"/>
    <w:rsid w:val="003B47F2"/>
    <w:rsid w:val="003B4BB4"/>
    <w:rsid w:val="003B55D1"/>
    <w:rsid w:val="003B5828"/>
    <w:rsid w:val="003B5B61"/>
    <w:rsid w:val="003B5C69"/>
    <w:rsid w:val="003B5F99"/>
    <w:rsid w:val="003B685B"/>
    <w:rsid w:val="003B6A2C"/>
    <w:rsid w:val="003B6AE4"/>
    <w:rsid w:val="003B6F43"/>
    <w:rsid w:val="003B7173"/>
    <w:rsid w:val="003B7423"/>
    <w:rsid w:val="003B7452"/>
    <w:rsid w:val="003B7505"/>
    <w:rsid w:val="003B7D19"/>
    <w:rsid w:val="003C0001"/>
    <w:rsid w:val="003C0330"/>
    <w:rsid w:val="003C0A93"/>
    <w:rsid w:val="003C0B48"/>
    <w:rsid w:val="003C0DA5"/>
    <w:rsid w:val="003C12D2"/>
    <w:rsid w:val="003C143A"/>
    <w:rsid w:val="003C14BF"/>
    <w:rsid w:val="003C1654"/>
    <w:rsid w:val="003C1D4E"/>
    <w:rsid w:val="003C1F50"/>
    <w:rsid w:val="003C22FF"/>
    <w:rsid w:val="003C2384"/>
    <w:rsid w:val="003C27A3"/>
    <w:rsid w:val="003C27D7"/>
    <w:rsid w:val="003C2CAA"/>
    <w:rsid w:val="003C2DD2"/>
    <w:rsid w:val="003C2E86"/>
    <w:rsid w:val="003C3820"/>
    <w:rsid w:val="003C39FD"/>
    <w:rsid w:val="003C41F1"/>
    <w:rsid w:val="003C4FCD"/>
    <w:rsid w:val="003C5542"/>
    <w:rsid w:val="003C5E4F"/>
    <w:rsid w:val="003C6685"/>
    <w:rsid w:val="003C7271"/>
    <w:rsid w:val="003C760A"/>
    <w:rsid w:val="003C76ED"/>
    <w:rsid w:val="003C7953"/>
    <w:rsid w:val="003C7C15"/>
    <w:rsid w:val="003C7D19"/>
    <w:rsid w:val="003C7D2F"/>
    <w:rsid w:val="003D03EE"/>
    <w:rsid w:val="003D0454"/>
    <w:rsid w:val="003D08A9"/>
    <w:rsid w:val="003D0C5A"/>
    <w:rsid w:val="003D0CAF"/>
    <w:rsid w:val="003D1828"/>
    <w:rsid w:val="003D1D5A"/>
    <w:rsid w:val="003D1DE4"/>
    <w:rsid w:val="003D1E9A"/>
    <w:rsid w:val="003D21C1"/>
    <w:rsid w:val="003D21D2"/>
    <w:rsid w:val="003D2319"/>
    <w:rsid w:val="003D23B2"/>
    <w:rsid w:val="003D2422"/>
    <w:rsid w:val="003D27B8"/>
    <w:rsid w:val="003D2DA4"/>
    <w:rsid w:val="003D2F81"/>
    <w:rsid w:val="003D30C8"/>
    <w:rsid w:val="003D3377"/>
    <w:rsid w:val="003D35A4"/>
    <w:rsid w:val="003D361B"/>
    <w:rsid w:val="003D399F"/>
    <w:rsid w:val="003D39A1"/>
    <w:rsid w:val="003D3ACE"/>
    <w:rsid w:val="003D3FBF"/>
    <w:rsid w:val="003D4A30"/>
    <w:rsid w:val="003D4A6C"/>
    <w:rsid w:val="003D4AA7"/>
    <w:rsid w:val="003D5763"/>
    <w:rsid w:val="003D6676"/>
    <w:rsid w:val="003D6918"/>
    <w:rsid w:val="003D721B"/>
    <w:rsid w:val="003D7452"/>
    <w:rsid w:val="003D79BB"/>
    <w:rsid w:val="003D7C98"/>
    <w:rsid w:val="003D7D9D"/>
    <w:rsid w:val="003E01EC"/>
    <w:rsid w:val="003E0543"/>
    <w:rsid w:val="003E07B6"/>
    <w:rsid w:val="003E0DFC"/>
    <w:rsid w:val="003E1FF3"/>
    <w:rsid w:val="003E2268"/>
    <w:rsid w:val="003E3ED2"/>
    <w:rsid w:val="003E3FBA"/>
    <w:rsid w:val="003E4255"/>
    <w:rsid w:val="003E4910"/>
    <w:rsid w:val="003E4FDC"/>
    <w:rsid w:val="003E51E9"/>
    <w:rsid w:val="003E5603"/>
    <w:rsid w:val="003E67A6"/>
    <w:rsid w:val="003E69E9"/>
    <w:rsid w:val="003E6B33"/>
    <w:rsid w:val="003E71A3"/>
    <w:rsid w:val="003E7341"/>
    <w:rsid w:val="003E748C"/>
    <w:rsid w:val="003E749E"/>
    <w:rsid w:val="003E7BDC"/>
    <w:rsid w:val="003E7C1B"/>
    <w:rsid w:val="003E7DF5"/>
    <w:rsid w:val="003F048B"/>
    <w:rsid w:val="003F0720"/>
    <w:rsid w:val="003F092C"/>
    <w:rsid w:val="003F0A23"/>
    <w:rsid w:val="003F0B1E"/>
    <w:rsid w:val="003F15B3"/>
    <w:rsid w:val="003F1F67"/>
    <w:rsid w:val="003F202C"/>
    <w:rsid w:val="003F2196"/>
    <w:rsid w:val="003F26F2"/>
    <w:rsid w:val="003F29B6"/>
    <w:rsid w:val="003F2CC7"/>
    <w:rsid w:val="003F3922"/>
    <w:rsid w:val="003F39D4"/>
    <w:rsid w:val="003F3E1C"/>
    <w:rsid w:val="003F4156"/>
    <w:rsid w:val="003F41D9"/>
    <w:rsid w:val="003F43F3"/>
    <w:rsid w:val="003F5070"/>
    <w:rsid w:val="003F5ADF"/>
    <w:rsid w:val="003F5F98"/>
    <w:rsid w:val="003F61EB"/>
    <w:rsid w:val="003F62C0"/>
    <w:rsid w:val="003F63F8"/>
    <w:rsid w:val="003F67F5"/>
    <w:rsid w:val="003F71BD"/>
    <w:rsid w:val="003F7C12"/>
    <w:rsid w:val="003F7F64"/>
    <w:rsid w:val="0040065F"/>
    <w:rsid w:val="00400806"/>
    <w:rsid w:val="00400B29"/>
    <w:rsid w:val="00401005"/>
    <w:rsid w:val="004014F5"/>
    <w:rsid w:val="00401CCC"/>
    <w:rsid w:val="00401EE1"/>
    <w:rsid w:val="00402812"/>
    <w:rsid w:val="00402B91"/>
    <w:rsid w:val="00402BBB"/>
    <w:rsid w:val="00403273"/>
    <w:rsid w:val="00403343"/>
    <w:rsid w:val="00403B5A"/>
    <w:rsid w:val="00404E32"/>
    <w:rsid w:val="00405014"/>
    <w:rsid w:val="0040504B"/>
    <w:rsid w:val="0040508E"/>
    <w:rsid w:val="0040579D"/>
    <w:rsid w:val="004059F4"/>
    <w:rsid w:val="0040637B"/>
    <w:rsid w:val="00407380"/>
    <w:rsid w:val="00407FE5"/>
    <w:rsid w:val="004101B0"/>
    <w:rsid w:val="004102AF"/>
    <w:rsid w:val="004102F3"/>
    <w:rsid w:val="00410326"/>
    <w:rsid w:val="00410708"/>
    <w:rsid w:val="00410EC7"/>
    <w:rsid w:val="00411B39"/>
    <w:rsid w:val="004121A3"/>
    <w:rsid w:val="004124D3"/>
    <w:rsid w:val="004127A7"/>
    <w:rsid w:val="00413285"/>
    <w:rsid w:val="00413A1E"/>
    <w:rsid w:val="0041407B"/>
    <w:rsid w:val="00414115"/>
    <w:rsid w:val="00414476"/>
    <w:rsid w:val="00414942"/>
    <w:rsid w:val="00414AD9"/>
    <w:rsid w:val="00414C2E"/>
    <w:rsid w:val="004151CF"/>
    <w:rsid w:val="00415E1B"/>
    <w:rsid w:val="00416364"/>
    <w:rsid w:val="004168AE"/>
    <w:rsid w:val="00416A5B"/>
    <w:rsid w:val="00416BE5"/>
    <w:rsid w:val="00417053"/>
    <w:rsid w:val="004172B8"/>
    <w:rsid w:val="004177F4"/>
    <w:rsid w:val="00417979"/>
    <w:rsid w:val="00417CC2"/>
    <w:rsid w:val="00417E16"/>
    <w:rsid w:val="0042047F"/>
    <w:rsid w:val="00420500"/>
    <w:rsid w:val="00420AA6"/>
    <w:rsid w:val="00420B9F"/>
    <w:rsid w:val="00421163"/>
    <w:rsid w:val="0042192C"/>
    <w:rsid w:val="00421B39"/>
    <w:rsid w:val="00421F57"/>
    <w:rsid w:val="00422260"/>
    <w:rsid w:val="0042273A"/>
    <w:rsid w:val="00423E3C"/>
    <w:rsid w:val="0042413F"/>
    <w:rsid w:val="004241CF"/>
    <w:rsid w:val="00424E1D"/>
    <w:rsid w:val="00425415"/>
    <w:rsid w:val="00425FD5"/>
    <w:rsid w:val="00426287"/>
    <w:rsid w:val="00426623"/>
    <w:rsid w:val="00427025"/>
    <w:rsid w:val="004273A6"/>
    <w:rsid w:val="004275B0"/>
    <w:rsid w:val="00427C81"/>
    <w:rsid w:val="00427E65"/>
    <w:rsid w:val="00430574"/>
    <w:rsid w:val="00430BAD"/>
    <w:rsid w:val="00430CF5"/>
    <w:rsid w:val="00431774"/>
    <w:rsid w:val="004319F8"/>
    <w:rsid w:val="00431DDC"/>
    <w:rsid w:val="00431E55"/>
    <w:rsid w:val="004321F6"/>
    <w:rsid w:val="00432B05"/>
    <w:rsid w:val="00433044"/>
    <w:rsid w:val="004336A0"/>
    <w:rsid w:val="00434088"/>
    <w:rsid w:val="00434372"/>
    <w:rsid w:val="0043441B"/>
    <w:rsid w:val="0043474D"/>
    <w:rsid w:val="004347F7"/>
    <w:rsid w:val="00434E07"/>
    <w:rsid w:val="00434EE8"/>
    <w:rsid w:val="00435188"/>
    <w:rsid w:val="0043522D"/>
    <w:rsid w:val="0043529A"/>
    <w:rsid w:val="00435735"/>
    <w:rsid w:val="00435D01"/>
    <w:rsid w:val="00436254"/>
    <w:rsid w:val="00436606"/>
    <w:rsid w:val="00436BF3"/>
    <w:rsid w:val="0043712E"/>
    <w:rsid w:val="004375B9"/>
    <w:rsid w:val="004376A2"/>
    <w:rsid w:val="004376C5"/>
    <w:rsid w:val="004378F7"/>
    <w:rsid w:val="004400B8"/>
    <w:rsid w:val="004402BC"/>
    <w:rsid w:val="00440391"/>
    <w:rsid w:val="00440E01"/>
    <w:rsid w:val="00440FAC"/>
    <w:rsid w:val="004412DD"/>
    <w:rsid w:val="00441338"/>
    <w:rsid w:val="004419DC"/>
    <w:rsid w:val="00441E0F"/>
    <w:rsid w:val="0044222A"/>
    <w:rsid w:val="004428D0"/>
    <w:rsid w:val="00442D61"/>
    <w:rsid w:val="00442E3E"/>
    <w:rsid w:val="004430E4"/>
    <w:rsid w:val="00443357"/>
    <w:rsid w:val="00443373"/>
    <w:rsid w:val="004433F8"/>
    <w:rsid w:val="00443BE4"/>
    <w:rsid w:val="00444185"/>
    <w:rsid w:val="004443A7"/>
    <w:rsid w:val="0044442C"/>
    <w:rsid w:val="00444469"/>
    <w:rsid w:val="0044455F"/>
    <w:rsid w:val="004446F7"/>
    <w:rsid w:val="00444B91"/>
    <w:rsid w:val="0044571E"/>
    <w:rsid w:val="00445941"/>
    <w:rsid w:val="004464EB"/>
    <w:rsid w:val="004468A6"/>
    <w:rsid w:val="004471D9"/>
    <w:rsid w:val="00447316"/>
    <w:rsid w:val="00447414"/>
    <w:rsid w:val="004475CB"/>
    <w:rsid w:val="00447879"/>
    <w:rsid w:val="00447C3F"/>
    <w:rsid w:val="00447D26"/>
    <w:rsid w:val="00447DFC"/>
    <w:rsid w:val="00447E44"/>
    <w:rsid w:val="00447F81"/>
    <w:rsid w:val="00450583"/>
    <w:rsid w:val="00451055"/>
    <w:rsid w:val="0045122F"/>
    <w:rsid w:val="00451DB6"/>
    <w:rsid w:val="004521E8"/>
    <w:rsid w:val="004522DD"/>
    <w:rsid w:val="004535A3"/>
    <w:rsid w:val="0045410B"/>
    <w:rsid w:val="004547BC"/>
    <w:rsid w:val="00455185"/>
    <w:rsid w:val="004556EA"/>
    <w:rsid w:val="00455D45"/>
    <w:rsid w:val="004563DE"/>
    <w:rsid w:val="00457316"/>
    <w:rsid w:val="004578CB"/>
    <w:rsid w:val="00460334"/>
    <w:rsid w:val="00460370"/>
    <w:rsid w:val="00460789"/>
    <w:rsid w:val="00460B88"/>
    <w:rsid w:val="00461053"/>
    <w:rsid w:val="0046158F"/>
    <w:rsid w:val="00461701"/>
    <w:rsid w:val="00461E91"/>
    <w:rsid w:val="0046263D"/>
    <w:rsid w:val="0046264A"/>
    <w:rsid w:val="00462762"/>
    <w:rsid w:val="00462D0E"/>
    <w:rsid w:val="004633A8"/>
    <w:rsid w:val="00463486"/>
    <w:rsid w:val="00463785"/>
    <w:rsid w:val="00464416"/>
    <w:rsid w:val="00464595"/>
    <w:rsid w:val="00464690"/>
    <w:rsid w:val="00464907"/>
    <w:rsid w:val="00464BB1"/>
    <w:rsid w:val="00464E64"/>
    <w:rsid w:val="0046503B"/>
    <w:rsid w:val="0046516C"/>
    <w:rsid w:val="004658B5"/>
    <w:rsid w:val="00465B65"/>
    <w:rsid w:val="0046619B"/>
    <w:rsid w:val="00466966"/>
    <w:rsid w:val="00466AFC"/>
    <w:rsid w:val="004673C8"/>
    <w:rsid w:val="00467B71"/>
    <w:rsid w:val="004701C8"/>
    <w:rsid w:val="004708A5"/>
    <w:rsid w:val="00470CC7"/>
    <w:rsid w:val="00470FDF"/>
    <w:rsid w:val="00471217"/>
    <w:rsid w:val="00471AD7"/>
    <w:rsid w:val="00471EA5"/>
    <w:rsid w:val="0047257F"/>
    <w:rsid w:val="00472699"/>
    <w:rsid w:val="004726AD"/>
    <w:rsid w:val="004727BC"/>
    <w:rsid w:val="00472A79"/>
    <w:rsid w:val="00472D95"/>
    <w:rsid w:val="00473C2C"/>
    <w:rsid w:val="00473D35"/>
    <w:rsid w:val="00473F19"/>
    <w:rsid w:val="004746BD"/>
    <w:rsid w:val="00474943"/>
    <w:rsid w:val="00474C13"/>
    <w:rsid w:val="00475A69"/>
    <w:rsid w:val="00475E22"/>
    <w:rsid w:val="00476854"/>
    <w:rsid w:val="0047688F"/>
    <w:rsid w:val="00476A6E"/>
    <w:rsid w:val="00476FA7"/>
    <w:rsid w:val="00477783"/>
    <w:rsid w:val="004779D9"/>
    <w:rsid w:val="0048088E"/>
    <w:rsid w:val="00480922"/>
    <w:rsid w:val="00480CF8"/>
    <w:rsid w:val="00480D2D"/>
    <w:rsid w:val="00480F03"/>
    <w:rsid w:val="00480F2B"/>
    <w:rsid w:val="00480F91"/>
    <w:rsid w:val="00481021"/>
    <w:rsid w:val="004818DD"/>
    <w:rsid w:val="00481BC3"/>
    <w:rsid w:val="004821FD"/>
    <w:rsid w:val="00482522"/>
    <w:rsid w:val="00482720"/>
    <w:rsid w:val="00482B5E"/>
    <w:rsid w:val="00482E1A"/>
    <w:rsid w:val="00482ECB"/>
    <w:rsid w:val="00483017"/>
    <w:rsid w:val="004835E7"/>
    <w:rsid w:val="004835F6"/>
    <w:rsid w:val="00483C88"/>
    <w:rsid w:val="00483D72"/>
    <w:rsid w:val="00483ED1"/>
    <w:rsid w:val="004849FC"/>
    <w:rsid w:val="00484E0B"/>
    <w:rsid w:val="00484EAB"/>
    <w:rsid w:val="0048501A"/>
    <w:rsid w:val="004857B3"/>
    <w:rsid w:val="004859E1"/>
    <w:rsid w:val="00486432"/>
    <w:rsid w:val="00486490"/>
    <w:rsid w:val="004867E2"/>
    <w:rsid w:val="004867FD"/>
    <w:rsid w:val="00487AAE"/>
    <w:rsid w:val="0049027D"/>
    <w:rsid w:val="00490AA8"/>
    <w:rsid w:val="00490B17"/>
    <w:rsid w:val="00490B5A"/>
    <w:rsid w:val="0049164C"/>
    <w:rsid w:val="00491B3A"/>
    <w:rsid w:val="00492390"/>
    <w:rsid w:val="00492CFD"/>
    <w:rsid w:val="00492D1F"/>
    <w:rsid w:val="00492EED"/>
    <w:rsid w:val="00492F2F"/>
    <w:rsid w:val="004935E3"/>
    <w:rsid w:val="004936C2"/>
    <w:rsid w:val="00493BBD"/>
    <w:rsid w:val="00494207"/>
    <w:rsid w:val="00494DD5"/>
    <w:rsid w:val="00494DF4"/>
    <w:rsid w:val="00494FB8"/>
    <w:rsid w:val="0049512D"/>
    <w:rsid w:val="00495621"/>
    <w:rsid w:val="00495C99"/>
    <w:rsid w:val="00495CB0"/>
    <w:rsid w:val="00495E66"/>
    <w:rsid w:val="004962D2"/>
    <w:rsid w:val="004967E2"/>
    <w:rsid w:val="00496CC1"/>
    <w:rsid w:val="00496D6A"/>
    <w:rsid w:val="00496DA7"/>
    <w:rsid w:val="004971FF"/>
    <w:rsid w:val="00497371"/>
    <w:rsid w:val="004978AD"/>
    <w:rsid w:val="004A043D"/>
    <w:rsid w:val="004A0DA1"/>
    <w:rsid w:val="004A0F1A"/>
    <w:rsid w:val="004A0F99"/>
    <w:rsid w:val="004A13D6"/>
    <w:rsid w:val="004A1E14"/>
    <w:rsid w:val="004A2183"/>
    <w:rsid w:val="004A2445"/>
    <w:rsid w:val="004A293B"/>
    <w:rsid w:val="004A2A11"/>
    <w:rsid w:val="004A31E3"/>
    <w:rsid w:val="004A3279"/>
    <w:rsid w:val="004A342D"/>
    <w:rsid w:val="004A399C"/>
    <w:rsid w:val="004A3C44"/>
    <w:rsid w:val="004A3CA3"/>
    <w:rsid w:val="004A40B4"/>
    <w:rsid w:val="004A4189"/>
    <w:rsid w:val="004A42C9"/>
    <w:rsid w:val="004A4C1B"/>
    <w:rsid w:val="004A4F13"/>
    <w:rsid w:val="004A52E9"/>
    <w:rsid w:val="004A5684"/>
    <w:rsid w:val="004A56AC"/>
    <w:rsid w:val="004A5C41"/>
    <w:rsid w:val="004A6040"/>
    <w:rsid w:val="004A63E4"/>
    <w:rsid w:val="004A6597"/>
    <w:rsid w:val="004A6C41"/>
    <w:rsid w:val="004A7848"/>
    <w:rsid w:val="004A793B"/>
    <w:rsid w:val="004B00FD"/>
    <w:rsid w:val="004B0301"/>
    <w:rsid w:val="004B05FA"/>
    <w:rsid w:val="004B07F4"/>
    <w:rsid w:val="004B0B34"/>
    <w:rsid w:val="004B0DD5"/>
    <w:rsid w:val="004B1275"/>
    <w:rsid w:val="004B1CB4"/>
    <w:rsid w:val="004B2AF0"/>
    <w:rsid w:val="004B2D2A"/>
    <w:rsid w:val="004B2F18"/>
    <w:rsid w:val="004B357D"/>
    <w:rsid w:val="004B3DDB"/>
    <w:rsid w:val="004B421A"/>
    <w:rsid w:val="004B44FD"/>
    <w:rsid w:val="004B48F8"/>
    <w:rsid w:val="004B4CF4"/>
    <w:rsid w:val="004B519E"/>
    <w:rsid w:val="004B52CD"/>
    <w:rsid w:val="004B55D4"/>
    <w:rsid w:val="004B5984"/>
    <w:rsid w:val="004B5C4C"/>
    <w:rsid w:val="004B5CFC"/>
    <w:rsid w:val="004B5F9A"/>
    <w:rsid w:val="004B6ACF"/>
    <w:rsid w:val="004B6B55"/>
    <w:rsid w:val="004B6F79"/>
    <w:rsid w:val="004B774D"/>
    <w:rsid w:val="004B77C7"/>
    <w:rsid w:val="004B7C87"/>
    <w:rsid w:val="004C0BC8"/>
    <w:rsid w:val="004C1606"/>
    <w:rsid w:val="004C179C"/>
    <w:rsid w:val="004C2410"/>
    <w:rsid w:val="004C2829"/>
    <w:rsid w:val="004C2AC2"/>
    <w:rsid w:val="004C2DAF"/>
    <w:rsid w:val="004C2FA6"/>
    <w:rsid w:val="004C361D"/>
    <w:rsid w:val="004C3913"/>
    <w:rsid w:val="004C392B"/>
    <w:rsid w:val="004C3A57"/>
    <w:rsid w:val="004C3C8B"/>
    <w:rsid w:val="004C43A9"/>
    <w:rsid w:val="004C496F"/>
    <w:rsid w:val="004C4AED"/>
    <w:rsid w:val="004C4C06"/>
    <w:rsid w:val="004C517E"/>
    <w:rsid w:val="004C5449"/>
    <w:rsid w:val="004C59E8"/>
    <w:rsid w:val="004C5CE9"/>
    <w:rsid w:val="004C6051"/>
    <w:rsid w:val="004C63D9"/>
    <w:rsid w:val="004C684B"/>
    <w:rsid w:val="004C6D2C"/>
    <w:rsid w:val="004C700C"/>
    <w:rsid w:val="004C785B"/>
    <w:rsid w:val="004D026F"/>
    <w:rsid w:val="004D0C58"/>
    <w:rsid w:val="004D0C60"/>
    <w:rsid w:val="004D1246"/>
    <w:rsid w:val="004D155B"/>
    <w:rsid w:val="004D15BF"/>
    <w:rsid w:val="004D2224"/>
    <w:rsid w:val="004D258A"/>
    <w:rsid w:val="004D2B6D"/>
    <w:rsid w:val="004D2C2D"/>
    <w:rsid w:val="004D348F"/>
    <w:rsid w:val="004D3714"/>
    <w:rsid w:val="004D4153"/>
    <w:rsid w:val="004D44D3"/>
    <w:rsid w:val="004D4B3F"/>
    <w:rsid w:val="004D4B51"/>
    <w:rsid w:val="004D573C"/>
    <w:rsid w:val="004D642B"/>
    <w:rsid w:val="004D69B5"/>
    <w:rsid w:val="004D6DEE"/>
    <w:rsid w:val="004D7227"/>
    <w:rsid w:val="004D7330"/>
    <w:rsid w:val="004D7A28"/>
    <w:rsid w:val="004D7B5E"/>
    <w:rsid w:val="004D7B64"/>
    <w:rsid w:val="004E01C0"/>
    <w:rsid w:val="004E0809"/>
    <w:rsid w:val="004E0972"/>
    <w:rsid w:val="004E0E29"/>
    <w:rsid w:val="004E0E54"/>
    <w:rsid w:val="004E0E7F"/>
    <w:rsid w:val="004E0EB8"/>
    <w:rsid w:val="004E11CB"/>
    <w:rsid w:val="004E13D5"/>
    <w:rsid w:val="004E18E9"/>
    <w:rsid w:val="004E19BC"/>
    <w:rsid w:val="004E295D"/>
    <w:rsid w:val="004E2ADC"/>
    <w:rsid w:val="004E2E9E"/>
    <w:rsid w:val="004E3796"/>
    <w:rsid w:val="004E3B76"/>
    <w:rsid w:val="004E43B2"/>
    <w:rsid w:val="004E4627"/>
    <w:rsid w:val="004E4F80"/>
    <w:rsid w:val="004E519A"/>
    <w:rsid w:val="004E52B9"/>
    <w:rsid w:val="004E5D40"/>
    <w:rsid w:val="004E601B"/>
    <w:rsid w:val="004E65FD"/>
    <w:rsid w:val="004E76A8"/>
    <w:rsid w:val="004E7926"/>
    <w:rsid w:val="004F0285"/>
    <w:rsid w:val="004F141F"/>
    <w:rsid w:val="004F174B"/>
    <w:rsid w:val="004F1A2A"/>
    <w:rsid w:val="004F1D02"/>
    <w:rsid w:val="004F23D8"/>
    <w:rsid w:val="004F2679"/>
    <w:rsid w:val="004F2EFC"/>
    <w:rsid w:val="004F2F21"/>
    <w:rsid w:val="004F356E"/>
    <w:rsid w:val="004F3DE5"/>
    <w:rsid w:val="004F4D27"/>
    <w:rsid w:val="004F4FAF"/>
    <w:rsid w:val="004F5272"/>
    <w:rsid w:val="004F5E26"/>
    <w:rsid w:val="004F6913"/>
    <w:rsid w:val="004F6E2D"/>
    <w:rsid w:val="004F7729"/>
    <w:rsid w:val="004F7865"/>
    <w:rsid w:val="004F7AEF"/>
    <w:rsid w:val="004F7EF7"/>
    <w:rsid w:val="00500056"/>
    <w:rsid w:val="00500109"/>
    <w:rsid w:val="005002BD"/>
    <w:rsid w:val="00500588"/>
    <w:rsid w:val="005010C9"/>
    <w:rsid w:val="00501425"/>
    <w:rsid w:val="0050174E"/>
    <w:rsid w:val="00501854"/>
    <w:rsid w:val="00501C57"/>
    <w:rsid w:val="00501D75"/>
    <w:rsid w:val="00501FC3"/>
    <w:rsid w:val="0050219B"/>
    <w:rsid w:val="00502213"/>
    <w:rsid w:val="00502A6D"/>
    <w:rsid w:val="00502C01"/>
    <w:rsid w:val="00502CD5"/>
    <w:rsid w:val="00502FBA"/>
    <w:rsid w:val="00503A73"/>
    <w:rsid w:val="00503F17"/>
    <w:rsid w:val="00503F3A"/>
    <w:rsid w:val="005042A3"/>
    <w:rsid w:val="0050476F"/>
    <w:rsid w:val="005053BC"/>
    <w:rsid w:val="00505C26"/>
    <w:rsid w:val="00506096"/>
    <w:rsid w:val="0050632A"/>
    <w:rsid w:val="005063DC"/>
    <w:rsid w:val="005063EA"/>
    <w:rsid w:val="00506574"/>
    <w:rsid w:val="0050685E"/>
    <w:rsid w:val="00506928"/>
    <w:rsid w:val="00506932"/>
    <w:rsid w:val="005072C4"/>
    <w:rsid w:val="005077EF"/>
    <w:rsid w:val="00507822"/>
    <w:rsid w:val="00507B95"/>
    <w:rsid w:val="005100AE"/>
    <w:rsid w:val="0051119B"/>
    <w:rsid w:val="005117F3"/>
    <w:rsid w:val="005119E0"/>
    <w:rsid w:val="00511A7F"/>
    <w:rsid w:val="00511AD5"/>
    <w:rsid w:val="00511DC7"/>
    <w:rsid w:val="00511E30"/>
    <w:rsid w:val="00511E8E"/>
    <w:rsid w:val="0051251B"/>
    <w:rsid w:val="00513196"/>
    <w:rsid w:val="00513644"/>
    <w:rsid w:val="00513B80"/>
    <w:rsid w:val="00513C3B"/>
    <w:rsid w:val="00513FC3"/>
    <w:rsid w:val="005142C5"/>
    <w:rsid w:val="00514652"/>
    <w:rsid w:val="00514F38"/>
    <w:rsid w:val="0051501B"/>
    <w:rsid w:val="00515216"/>
    <w:rsid w:val="005152B5"/>
    <w:rsid w:val="005153F0"/>
    <w:rsid w:val="00515886"/>
    <w:rsid w:val="005158DD"/>
    <w:rsid w:val="00515C26"/>
    <w:rsid w:val="00516590"/>
    <w:rsid w:val="0051689B"/>
    <w:rsid w:val="00516AAD"/>
    <w:rsid w:val="00517559"/>
    <w:rsid w:val="00517609"/>
    <w:rsid w:val="00520919"/>
    <w:rsid w:val="00520DDF"/>
    <w:rsid w:val="0052123C"/>
    <w:rsid w:val="005212FC"/>
    <w:rsid w:val="00521319"/>
    <w:rsid w:val="005213C7"/>
    <w:rsid w:val="005215B1"/>
    <w:rsid w:val="00521ACF"/>
    <w:rsid w:val="00521BA1"/>
    <w:rsid w:val="005227E9"/>
    <w:rsid w:val="0052292B"/>
    <w:rsid w:val="00522BC8"/>
    <w:rsid w:val="0052358E"/>
    <w:rsid w:val="0052386A"/>
    <w:rsid w:val="00523C28"/>
    <w:rsid w:val="00523F55"/>
    <w:rsid w:val="005245CD"/>
    <w:rsid w:val="005248FD"/>
    <w:rsid w:val="005249E4"/>
    <w:rsid w:val="00525E3F"/>
    <w:rsid w:val="00526737"/>
    <w:rsid w:val="00526952"/>
    <w:rsid w:val="005270D3"/>
    <w:rsid w:val="00527485"/>
    <w:rsid w:val="005275F8"/>
    <w:rsid w:val="00527A78"/>
    <w:rsid w:val="0053016C"/>
    <w:rsid w:val="005301E2"/>
    <w:rsid w:val="00530447"/>
    <w:rsid w:val="00531044"/>
    <w:rsid w:val="0053176B"/>
    <w:rsid w:val="00531900"/>
    <w:rsid w:val="00531DC5"/>
    <w:rsid w:val="0053269D"/>
    <w:rsid w:val="005328DD"/>
    <w:rsid w:val="00532A38"/>
    <w:rsid w:val="00532AC7"/>
    <w:rsid w:val="00532B42"/>
    <w:rsid w:val="00532CDE"/>
    <w:rsid w:val="00533772"/>
    <w:rsid w:val="00533969"/>
    <w:rsid w:val="00533DB0"/>
    <w:rsid w:val="00533EDF"/>
    <w:rsid w:val="005341B3"/>
    <w:rsid w:val="00534BA0"/>
    <w:rsid w:val="00535158"/>
    <w:rsid w:val="00535429"/>
    <w:rsid w:val="00535FE9"/>
    <w:rsid w:val="00536BB6"/>
    <w:rsid w:val="00536F42"/>
    <w:rsid w:val="00537182"/>
    <w:rsid w:val="0053722B"/>
    <w:rsid w:val="005405F5"/>
    <w:rsid w:val="00540DC0"/>
    <w:rsid w:val="00541657"/>
    <w:rsid w:val="00541EDD"/>
    <w:rsid w:val="0054212B"/>
    <w:rsid w:val="005421EA"/>
    <w:rsid w:val="005422B1"/>
    <w:rsid w:val="00542743"/>
    <w:rsid w:val="00542C2D"/>
    <w:rsid w:val="00542C56"/>
    <w:rsid w:val="00542EF8"/>
    <w:rsid w:val="0054392C"/>
    <w:rsid w:val="00543C64"/>
    <w:rsid w:val="00544480"/>
    <w:rsid w:val="00544556"/>
    <w:rsid w:val="005452E3"/>
    <w:rsid w:val="005464ED"/>
    <w:rsid w:val="005467FD"/>
    <w:rsid w:val="00546AA8"/>
    <w:rsid w:val="005478BD"/>
    <w:rsid w:val="005479E3"/>
    <w:rsid w:val="0055075C"/>
    <w:rsid w:val="00550B5E"/>
    <w:rsid w:val="00550DD3"/>
    <w:rsid w:val="00551985"/>
    <w:rsid w:val="00551E0B"/>
    <w:rsid w:val="00551E14"/>
    <w:rsid w:val="00552712"/>
    <w:rsid w:val="00552B8B"/>
    <w:rsid w:val="00552BD3"/>
    <w:rsid w:val="00552ECF"/>
    <w:rsid w:val="005530FA"/>
    <w:rsid w:val="005532A0"/>
    <w:rsid w:val="005532BD"/>
    <w:rsid w:val="00553507"/>
    <w:rsid w:val="005536FB"/>
    <w:rsid w:val="005540FA"/>
    <w:rsid w:val="0055435D"/>
    <w:rsid w:val="00554A82"/>
    <w:rsid w:val="00554E84"/>
    <w:rsid w:val="00554FBA"/>
    <w:rsid w:val="00555109"/>
    <w:rsid w:val="005552E5"/>
    <w:rsid w:val="005556B5"/>
    <w:rsid w:val="00555B90"/>
    <w:rsid w:val="00556164"/>
    <w:rsid w:val="00556366"/>
    <w:rsid w:val="00556425"/>
    <w:rsid w:val="00556606"/>
    <w:rsid w:val="0055687D"/>
    <w:rsid w:val="00556B35"/>
    <w:rsid w:val="0055741A"/>
    <w:rsid w:val="0056029F"/>
    <w:rsid w:val="005611B7"/>
    <w:rsid w:val="005618D4"/>
    <w:rsid w:val="0056228D"/>
    <w:rsid w:val="0056239E"/>
    <w:rsid w:val="005623BF"/>
    <w:rsid w:val="00562A34"/>
    <w:rsid w:val="00562AAC"/>
    <w:rsid w:val="0056305C"/>
    <w:rsid w:val="00563461"/>
    <w:rsid w:val="00563C92"/>
    <w:rsid w:val="00564766"/>
    <w:rsid w:val="00564867"/>
    <w:rsid w:val="005649B8"/>
    <w:rsid w:val="00564A69"/>
    <w:rsid w:val="00565668"/>
    <w:rsid w:val="005656F7"/>
    <w:rsid w:val="00565C79"/>
    <w:rsid w:val="00565DF0"/>
    <w:rsid w:val="00566049"/>
    <w:rsid w:val="0056696F"/>
    <w:rsid w:val="005673D0"/>
    <w:rsid w:val="00567667"/>
    <w:rsid w:val="005677DC"/>
    <w:rsid w:val="00567E30"/>
    <w:rsid w:val="005710B9"/>
    <w:rsid w:val="00571137"/>
    <w:rsid w:val="0057121B"/>
    <w:rsid w:val="00571727"/>
    <w:rsid w:val="00571778"/>
    <w:rsid w:val="00571EE4"/>
    <w:rsid w:val="00572269"/>
    <w:rsid w:val="00572381"/>
    <w:rsid w:val="005723F3"/>
    <w:rsid w:val="0057244A"/>
    <w:rsid w:val="00572543"/>
    <w:rsid w:val="00572F26"/>
    <w:rsid w:val="00573042"/>
    <w:rsid w:val="00573049"/>
    <w:rsid w:val="00573339"/>
    <w:rsid w:val="00573788"/>
    <w:rsid w:val="00573F7C"/>
    <w:rsid w:val="005740F9"/>
    <w:rsid w:val="005743BE"/>
    <w:rsid w:val="005747CF"/>
    <w:rsid w:val="00574A0F"/>
    <w:rsid w:val="005750C5"/>
    <w:rsid w:val="005752DE"/>
    <w:rsid w:val="00575D60"/>
    <w:rsid w:val="00575D8D"/>
    <w:rsid w:val="005765E6"/>
    <w:rsid w:val="00576886"/>
    <w:rsid w:val="00576972"/>
    <w:rsid w:val="00576B01"/>
    <w:rsid w:val="00576F87"/>
    <w:rsid w:val="00576FD6"/>
    <w:rsid w:val="00577248"/>
    <w:rsid w:val="005772F0"/>
    <w:rsid w:val="0057739D"/>
    <w:rsid w:val="005776AC"/>
    <w:rsid w:val="005776F5"/>
    <w:rsid w:val="00577CED"/>
    <w:rsid w:val="00577F84"/>
    <w:rsid w:val="00580F00"/>
    <w:rsid w:val="00581207"/>
    <w:rsid w:val="0058198B"/>
    <w:rsid w:val="00581B66"/>
    <w:rsid w:val="00581DB6"/>
    <w:rsid w:val="0058250D"/>
    <w:rsid w:val="00582591"/>
    <w:rsid w:val="00582690"/>
    <w:rsid w:val="00582B71"/>
    <w:rsid w:val="00583341"/>
    <w:rsid w:val="005835C7"/>
    <w:rsid w:val="00583699"/>
    <w:rsid w:val="0058397C"/>
    <w:rsid w:val="00583AF8"/>
    <w:rsid w:val="00584176"/>
    <w:rsid w:val="00584493"/>
    <w:rsid w:val="00585B26"/>
    <w:rsid w:val="00585CDD"/>
    <w:rsid w:val="00585DE8"/>
    <w:rsid w:val="00586003"/>
    <w:rsid w:val="00586184"/>
    <w:rsid w:val="00586506"/>
    <w:rsid w:val="00586A12"/>
    <w:rsid w:val="00586BF8"/>
    <w:rsid w:val="00586ECF"/>
    <w:rsid w:val="00587058"/>
    <w:rsid w:val="005913D7"/>
    <w:rsid w:val="00591827"/>
    <w:rsid w:val="00591957"/>
    <w:rsid w:val="00591F9B"/>
    <w:rsid w:val="005927D2"/>
    <w:rsid w:val="00593021"/>
    <w:rsid w:val="005939E7"/>
    <w:rsid w:val="00593A86"/>
    <w:rsid w:val="00593D98"/>
    <w:rsid w:val="005943CF"/>
    <w:rsid w:val="005949A5"/>
    <w:rsid w:val="00594C01"/>
    <w:rsid w:val="00594F14"/>
    <w:rsid w:val="00594F77"/>
    <w:rsid w:val="00595372"/>
    <w:rsid w:val="00595876"/>
    <w:rsid w:val="00595967"/>
    <w:rsid w:val="00595B2B"/>
    <w:rsid w:val="00596174"/>
    <w:rsid w:val="005969C0"/>
    <w:rsid w:val="00596BAC"/>
    <w:rsid w:val="00596EB4"/>
    <w:rsid w:val="00596F16"/>
    <w:rsid w:val="0059708B"/>
    <w:rsid w:val="00597423"/>
    <w:rsid w:val="00597AE3"/>
    <w:rsid w:val="00597BF9"/>
    <w:rsid w:val="00597D0D"/>
    <w:rsid w:val="005A047D"/>
    <w:rsid w:val="005A06E0"/>
    <w:rsid w:val="005A08FB"/>
    <w:rsid w:val="005A0C11"/>
    <w:rsid w:val="005A0FF8"/>
    <w:rsid w:val="005A1899"/>
    <w:rsid w:val="005A244B"/>
    <w:rsid w:val="005A2A5D"/>
    <w:rsid w:val="005A2E40"/>
    <w:rsid w:val="005A309A"/>
    <w:rsid w:val="005A373D"/>
    <w:rsid w:val="005A3840"/>
    <w:rsid w:val="005A4207"/>
    <w:rsid w:val="005A4499"/>
    <w:rsid w:val="005A4F1E"/>
    <w:rsid w:val="005A54BD"/>
    <w:rsid w:val="005A5682"/>
    <w:rsid w:val="005A5C5B"/>
    <w:rsid w:val="005A5D88"/>
    <w:rsid w:val="005A639D"/>
    <w:rsid w:val="005A66CF"/>
    <w:rsid w:val="005A678F"/>
    <w:rsid w:val="005A6852"/>
    <w:rsid w:val="005A7DAE"/>
    <w:rsid w:val="005A7FB0"/>
    <w:rsid w:val="005A7FB1"/>
    <w:rsid w:val="005B0875"/>
    <w:rsid w:val="005B0B58"/>
    <w:rsid w:val="005B0BB2"/>
    <w:rsid w:val="005B0D04"/>
    <w:rsid w:val="005B119B"/>
    <w:rsid w:val="005B1592"/>
    <w:rsid w:val="005B15F1"/>
    <w:rsid w:val="005B170F"/>
    <w:rsid w:val="005B1A0D"/>
    <w:rsid w:val="005B1D14"/>
    <w:rsid w:val="005B2756"/>
    <w:rsid w:val="005B2BEC"/>
    <w:rsid w:val="005B32DA"/>
    <w:rsid w:val="005B3425"/>
    <w:rsid w:val="005B3968"/>
    <w:rsid w:val="005B4578"/>
    <w:rsid w:val="005B4CC3"/>
    <w:rsid w:val="005B4E53"/>
    <w:rsid w:val="005B545A"/>
    <w:rsid w:val="005B5857"/>
    <w:rsid w:val="005B606D"/>
    <w:rsid w:val="005B66CE"/>
    <w:rsid w:val="005B6FDE"/>
    <w:rsid w:val="005B75F0"/>
    <w:rsid w:val="005B7798"/>
    <w:rsid w:val="005C045E"/>
    <w:rsid w:val="005C0864"/>
    <w:rsid w:val="005C08ED"/>
    <w:rsid w:val="005C11F8"/>
    <w:rsid w:val="005C12FA"/>
    <w:rsid w:val="005C19C4"/>
    <w:rsid w:val="005C1B83"/>
    <w:rsid w:val="005C25FF"/>
    <w:rsid w:val="005C26FE"/>
    <w:rsid w:val="005C281F"/>
    <w:rsid w:val="005C2AC7"/>
    <w:rsid w:val="005C2D55"/>
    <w:rsid w:val="005C2E29"/>
    <w:rsid w:val="005C3468"/>
    <w:rsid w:val="005C346B"/>
    <w:rsid w:val="005C38A5"/>
    <w:rsid w:val="005C3976"/>
    <w:rsid w:val="005C39D3"/>
    <w:rsid w:val="005C3C77"/>
    <w:rsid w:val="005C3E4A"/>
    <w:rsid w:val="005C4D84"/>
    <w:rsid w:val="005C5397"/>
    <w:rsid w:val="005C5ABA"/>
    <w:rsid w:val="005C5ABC"/>
    <w:rsid w:val="005C6554"/>
    <w:rsid w:val="005C6753"/>
    <w:rsid w:val="005C6E13"/>
    <w:rsid w:val="005C6F93"/>
    <w:rsid w:val="005C6FCC"/>
    <w:rsid w:val="005C73C5"/>
    <w:rsid w:val="005C782D"/>
    <w:rsid w:val="005C79B4"/>
    <w:rsid w:val="005C7EEA"/>
    <w:rsid w:val="005D0193"/>
    <w:rsid w:val="005D044D"/>
    <w:rsid w:val="005D06B6"/>
    <w:rsid w:val="005D08E2"/>
    <w:rsid w:val="005D0ABD"/>
    <w:rsid w:val="005D13FA"/>
    <w:rsid w:val="005D18AD"/>
    <w:rsid w:val="005D2373"/>
    <w:rsid w:val="005D250C"/>
    <w:rsid w:val="005D25C7"/>
    <w:rsid w:val="005D25CC"/>
    <w:rsid w:val="005D26B4"/>
    <w:rsid w:val="005D2B8F"/>
    <w:rsid w:val="005D2C57"/>
    <w:rsid w:val="005D3A69"/>
    <w:rsid w:val="005D4144"/>
    <w:rsid w:val="005D58B0"/>
    <w:rsid w:val="005D5BA2"/>
    <w:rsid w:val="005D60F8"/>
    <w:rsid w:val="005D6814"/>
    <w:rsid w:val="005D7E06"/>
    <w:rsid w:val="005E06AD"/>
    <w:rsid w:val="005E08AF"/>
    <w:rsid w:val="005E0BD2"/>
    <w:rsid w:val="005E101C"/>
    <w:rsid w:val="005E1995"/>
    <w:rsid w:val="005E1FC6"/>
    <w:rsid w:val="005E2199"/>
    <w:rsid w:val="005E32E5"/>
    <w:rsid w:val="005E3479"/>
    <w:rsid w:val="005E350F"/>
    <w:rsid w:val="005E3BFC"/>
    <w:rsid w:val="005E3FAE"/>
    <w:rsid w:val="005E416B"/>
    <w:rsid w:val="005E42AC"/>
    <w:rsid w:val="005E489C"/>
    <w:rsid w:val="005E4E91"/>
    <w:rsid w:val="005E50FA"/>
    <w:rsid w:val="005E5162"/>
    <w:rsid w:val="005E5585"/>
    <w:rsid w:val="005E58AB"/>
    <w:rsid w:val="005E62E6"/>
    <w:rsid w:val="005E6516"/>
    <w:rsid w:val="005E69F9"/>
    <w:rsid w:val="005E6B30"/>
    <w:rsid w:val="005E6CBC"/>
    <w:rsid w:val="005E6D18"/>
    <w:rsid w:val="005E6E2D"/>
    <w:rsid w:val="005E72FF"/>
    <w:rsid w:val="005E73C0"/>
    <w:rsid w:val="005E75BC"/>
    <w:rsid w:val="005E79D6"/>
    <w:rsid w:val="005E7D47"/>
    <w:rsid w:val="005E7E19"/>
    <w:rsid w:val="005F07ED"/>
    <w:rsid w:val="005F0B47"/>
    <w:rsid w:val="005F0B60"/>
    <w:rsid w:val="005F0BEC"/>
    <w:rsid w:val="005F0DEA"/>
    <w:rsid w:val="005F16F1"/>
    <w:rsid w:val="005F1881"/>
    <w:rsid w:val="005F208B"/>
    <w:rsid w:val="005F210E"/>
    <w:rsid w:val="005F2706"/>
    <w:rsid w:val="005F2A70"/>
    <w:rsid w:val="005F35D5"/>
    <w:rsid w:val="005F3A83"/>
    <w:rsid w:val="005F4197"/>
    <w:rsid w:val="005F4273"/>
    <w:rsid w:val="005F5512"/>
    <w:rsid w:val="005F5DA4"/>
    <w:rsid w:val="005F5F8D"/>
    <w:rsid w:val="005F60DD"/>
    <w:rsid w:val="005F653B"/>
    <w:rsid w:val="005F6A8F"/>
    <w:rsid w:val="005F6BB7"/>
    <w:rsid w:val="005F6D22"/>
    <w:rsid w:val="005F6FF6"/>
    <w:rsid w:val="005F71AD"/>
    <w:rsid w:val="005F7588"/>
    <w:rsid w:val="005F76A9"/>
    <w:rsid w:val="005F77B7"/>
    <w:rsid w:val="005F79F0"/>
    <w:rsid w:val="006009B6"/>
    <w:rsid w:val="00600C0C"/>
    <w:rsid w:val="00601060"/>
    <w:rsid w:val="00601CE9"/>
    <w:rsid w:val="00601E30"/>
    <w:rsid w:val="0060266B"/>
    <w:rsid w:val="0060359F"/>
    <w:rsid w:val="00603D2C"/>
    <w:rsid w:val="00603DB9"/>
    <w:rsid w:val="00604C8C"/>
    <w:rsid w:val="00605185"/>
    <w:rsid w:val="00605625"/>
    <w:rsid w:val="00606512"/>
    <w:rsid w:val="00606FBA"/>
    <w:rsid w:val="00607669"/>
    <w:rsid w:val="006076F4"/>
    <w:rsid w:val="006077CE"/>
    <w:rsid w:val="006079DC"/>
    <w:rsid w:val="00607AFD"/>
    <w:rsid w:val="00607D17"/>
    <w:rsid w:val="00607F90"/>
    <w:rsid w:val="00607FED"/>
    <w:rsid w:val="00610078"/>
    <w:rsid w:val="00610F58"/>
    <w:rsid w:val="006111C9"/>
    <w:rsid w:val="006115C9"/>
    <w:rsid w:val="006116D7"/>
    <w:rsid w:val="00611B12"/>
    <w:rsid w:val="0061251C"/>
    <w:rsid w:val="00612574"/>
    <w:rsid w:val="00612F54"/>
    <w:rsid w:val="00612F97"/>
    <w:rsid w:val="0061345D"/>
    <w:rsid w:val="00613972"/>
    <w:rsid w:val="00613B05"/>
    <w:rsid w:val="00614216"/>
    <w:rsid w:val="006144F7"/>
    <w:rsid w:val="006148AA"/>
    <w:rsid w:val="00614906"/>
    <w:rsid w:val="00614B90"/>
    <w:rsid w:val="00615194"/>
    <w:rsid w:val="006152F9"/>
    <w:rsid w:val="0061549B"/>
    <w:rsid w:val="006157F6"/>
    <w:rsid w:val="00615B6E"/>
    <w:rsid w:val="00616802"/>
    <w:rsid w:val="006169CF"/>
    <w:rsid w:val="00616B18"/>
    <w:rsid w:val="00616D3D"/>
    <w:rsid w:val="0061721B"/>
    <w:rsid w:val="0061790D"/>
    <w:rsid w:val="00617DEF"/>
    <w:rsid w:val="00617DFF"/>
    <w:rsid w:val="00617E12"/>
    <w:rsid w:val="00620780"/>
    <w:rsid w:val="006209A0"/>
    <w:rsid w:val="00620C25"/>
    <w:rsid w:val="00621153"/>
    <w:rsid w:val="00621283"/>
    <w:rsid w:val="00621477"/>
    <w:rsid w:val="00621635"/>
    <w:rsid w:val="00621ADA"/>
    <w:rsid w:val="00621DBC"/>
    <w:rsid w:val="00622904"/>
    <w:rsid w:val="00622925"/>
    <w:rsid w:val="00622FEE"/>
    <w:rsid w:val="006235BC"/>
    <w:rsid w:val="00623695"/>
    <w:rsid w:val="006237B3"/>
    <w:rsid w:val="00623B01"/>
    <w:rsid w:val="00623CCD"/>
    <w:rsid w:val="00623F5D"/>
    <w:rsid w:val="00623F7B"/>
    <w:rsid w:val="00624BD4"/>
    <w:rsid w:val="0062564C"/>
    <w:rsid w:val="0062620F"/>
    <w:rsid w:val="00626723"/>
    <w:rsid w:val="00626CAE"/>
    <w:rsid w:val="00626D8F"/>
    <w:rsid w:val="00627839"/>
    <w:rsid w:val="006302B2"/>
    <w:rsid w:val="00630735"/>
    <w:rsid w:val="006308D9"/>
    <w:rsid w:val="00630DD4"/>
    <w:rsid w:val="0063158F"/>
    <w:rsid w:val="006318AA"/>
    <w:rsid w:val="00631D6B"/>
    <w:rsid w:val="00631EEF"/>
    <w:rsid w:val="00631F8F"/>
    <w:rsid w:val="006320C3"/>
    <w:rsid w:val="00632183"/>
    <w:rsid w:val="006330A1"/>
    <w:rsid w:val="00633288"/>
    <w:rsid w:val="006332C6"/>
    <w:rsid w:val="0063336E"/>
    <w:rsid w:val="006334A9"/>
    <w:rsid w:val="0063408D"/>
    <w:rsid w:val="006343C1"/>
    <w:rsid w:val="00634502"/>
    <w:rsid w:val="0063479F"/>
    <w:rsid w:val="006347CA"/>
    <w:rsid w:val="00634C7C"/>
    <w:rsid w:val="00634D02"/>
    <w:rsid w:val="00635053"/>
    <w:rsid w:val="006353F0"/>
    <w:rsid w:val="006357B5"/>
    <w:rsid w:val="00635848"/>
    <w:rsid w:val="00635A92"/>
    <w:rsid w:val="006360DD"/>
    <w:rsid w:val="0063645F"/>
    <w:rsid w:val="006364A1"/>
    <w:rsid w:val="00636778"/>
    <w:rsid w:val="0063678E"/>
    <w:rsid w:val="00636A29"/>
    <w:rsid w:val="00637146"/>
    <w:rsid w:val="00637202"/>
    <w:rsid w:val="0063795E"/>
    <w:rsid w:val="00637BFD"/>
    <w:rsid w:val="00637C5C"/>
    <w:rsid w:val="00637E07"/>
    <w:rsid w:val="00637EF9"/>
    <w:rsid w:val="0064090C"/>
    <w:rsid w:val="00640E20"/>
    <w:rsid w:val="006412B3"/>
    <w:rsid w:val="0064162E"/>
    <w:rsid w:val="00641C2E"/>
    <w:rsid w:val="00641C4E"/>
    <w:rsid w:val="00641DA9"/>
    <w:rsid w:val="00641FB3"/>
    <w:rsid w:val="006422DD"/>
    <w:rsid w:val="00642ACE"/>
    <w:rsid w:val="0064312D"/>
    <w:rsid w:val="00643174"/>
    <w:rsid w:val="00643A99"/>
    <w:rsid w:val="006442EF"/>
    <w:rsid w:val="0064434C"/>
    <w:rsid w:val="006447B5"/>
    <w:rsid w:val="00644A6A"/>
    <w:rsid w:val="00644F78"/>
    <w:rsid w:val="00645195"/>
    <w:rsid w:val="00645369"/>
    <w:rsid w:val="0064553F"/>
    <w:rsid w:val="00645979"/>
    <w:rsid w:val="00645B54"/>
    <w:rsid w:val="00645C26"/>
    <w:rsid w:val="00646497"/>
    <w:rsid w:val="006471CC"/>
    <w:rsid w:val="006472FE"/>
    <w:rsid w:val="00647A29"/>
    <w:rsid w:val="0065001D"/>
    <w:rsid w:val="0065003F"/>
    <w:rsid w:val="0065079F"/>
    <w:rsid w:val="006512D6"/>
    <w:rsid w:val="00651E39"/>
    <w:rsid w:val="00651F52"/>
    <w:rsid w:val="0065234D"/>
    <w:rsid w:val="00652364"/>
    <w:rsid w:val="00652A28"/>
    <w:rsid w:val="0065379F"/>
    <w:rsid w:val="00653E28"/>
    <w:rsid w:val="00653F82"/>
    <w:rsid w:val="006547A9"/>
    <w:rsid w:val="00654E98"/>
    <w:rsid w:val="00655D85"/>
    <w:rsid w:val="00656188"/>
    <w:rsid w:val="00656462"/>
    <w:rsid w:val="00656565"/>
    <w:rsid w:val="00656825"/>
    <w:rsid w:val="0065715A"/>
    <w:rsid w:val="00657745"/>
    <w:rsid w:val="00657893"/>
    <w:rsid w:val="006578FB"/>
    <w:rsid w:val="00660413"/>
    <w:rsid w:val="0066042D"/>
    <w:rsid w:val="00660486"/>
    <w:rsid w:val="0066054A"/>
    <w:rsid w:val="00660770"/>
    <w:rsid w:val="006610F1"/>
    <w:rsid w:val="006611B3"/>
    <w:rsid w:val="0066174C"/>
    <w:rsid w:val="00661C6B"/>
    <w:rsid w:val="00661CC4"/>
    <w:rsid w:val="00662172"/>
    <w:rsid w:val="00662267"/>
    <w:rsid w:val="006622A5"/>
    <w:rsid w:val="00662999"/>
    <w:rsid w:val="00662D3E"/>
    <w:rsid w:val="00662D99"/>
    <w:rsid w:val="00662F33"/>
    <w:rsid w:val="00663223"/>
    <w:rsid w:val="00663277"/>
    <w:rsid w:val="006632B9"/>
    <w:rsid w:val="00663817"/>
    <w:rsid w:val="00663B32"/>
    <w:rsid w:val="006640B9"/>
    <w:rsid w:val="00664D76"/>
    <w:rsid w:val="00665926"/>
    <w:rsid w:val="00665A9B"/>
    <w:rsid w:val="00665BCB"/>
    <w:rsid w:val="00665CAC"/>
    <w:rsid w:val="00665D9B"/>
    <w:rsid w:val="00666EAC"/>
    <w:rsid w:val="00667503"/>
    <w:rsid w:val="00667BE3"/>
    <w:rsid w:val="006704EE"/>
    <w:rsid w:val="00670989"/>
    <w:rsid w:val="00670A6A"/>
    <w:rsid w:val="00670AF7"/>
    <w:rsid w:val="00670E42"/>
    <w:rsid w:val="00671004"/>
    <w:rsid w:val="00671060"/>
    <w:rsid w:val="0067108E"/>
    <w:rsid w:val="00671A95"/>
    <w:rsid w:val="00671EB2"/>
    <w:rsid w:val="00672646"/>
    <w:rsid w:val="00672D19"/>
    <w:rsid w:val="00673434"/>
    <w:rsid w:val="006737D7"/>
    <w:rsid w:val="00673CEE"/>
    <w:rsid w:val="00673F31"/>
    <w:rsid w:val="0067419D"/>
    <w:rsid w:val="00674BAB"/>
    <w:rsid w:val="00674E42"/>
    <w:rsid w:val="00675585"/>
    <w:rsid w:val="00675693"/>
    <w:rsid w:val="006756C3"/>
    <w:rsid w:val="00675BEE"/>
    <w:rsid w:val="00675F44"/>
    <w:rsid w:val="00675FA1"/>
    <w:rsid w:val="006760CA"/>
    <w:rsid w:val="006760EC"/>
    <w:rsid w:val="00676563"/>
    <w:rsid w:val="00676759"/>
    <w:rsid w:val="006768D5"/>
    <w:rsid w:val="00676AE9"/>
    <w:rsid w:val="00676B82"/>
    <w:rsid w:val="00677039"/>
    <w:rsid w:val="00677238"/>
    <w:rsid w:val="006772B8"/>
    <w:rsid w:val="0067766C"/>
    <w:rsid w:val="0068051B"/>
    <w:rsid w:val="0068069C"/>
    <w:rsid w:val="00680C61"/>
    <w:rsid w:val="00680DB6"/>
    <w:rsid w:val="006813F8"/>
    <w:rsid w:val="00681C3E"/>
    <w:rsid w:val="00682112"/>
    <w:rsid w:val="00682127"/>
    <w:rsid w:val="0068228F"/>
    <w:rsid w:val="006825A9"/>
    <w:rsid w:val="006829DA"/>
    <w:rsid w:val="00682BA6"/>
    <w:rsid w:val="00682D03"/>
    <w:rsid w:val="00683562"/>
    <w:rsid w:val="00683875"/>
    <w:rsid w:val="00683ABC"/>
    <w:rsid w:val="00683E56"/>
    <w:rsid w:val="00684B58"/>
    <w:rsid w:val="00684DCE"/>
    <w:rsid w:val="00684E3D"/>
    <w:rsid w:val="0068587C"/>
    <w:rsid w:val="00685FD1"/>
    <w:rsid w:val="0068601D"/>
    <w:rsid w:val="006862D8"/>
    <w:rsid w:val="006865C3"/>
    <w:rsid w:val="00686957"/>
    <w:rsid w:val="00686C9B"/>
    <w:rsid w:val="006872BA"/>
    <w:rsid w:val="00687646"/>
    <w:rsid w:val="00687BCB"/>
    <w:rsid w:val="00687BF0"/>
    <w:rsid w:val="00687F70"/>
    <w:rsid w:val="006906ED"/>
    <w:rsid w:val="00690795"/>
    <w:rsid w:val="006908EE"/>
    <w:rsid w:val="00690958"/>
    <w:rsid w:val="00690F64"/>
    <w:rsid w:val="00691648"/>
    <w:rsid w:val="006917D7"/>
    <w:rsid w:val="00691878"/>
    <w:rsid w:val="00691B32"/>
    <w:rsid w:val="00692F56"/>
    <w:rsid w:val="006930FC"/>
    <w:rsid w:val="00693734"/>
    <w:rsid w:val="00693DB0"/>
    <w:rsid w:val="00693EE2"/>
    <w:rsid w:val="0069410E"/>
    <w:rsid w:val="0069419B"/>
    <w:rsid w:val="0069433A"/>
    <w:rsid w:val="0069434C"/>
    <w:rsid w:val="00694B65"/>
    <w:rsid w:val="00694C03"/>
    <w:rsid w:val="00694F44"/>
    <w:rsid w:val="00695F32"/>
    <w:rsid w:val="00695F4C"/>
    <w:rsid w:val="00696099"/>
    <w:rsid w:val="006960A8"/>
    <w:rsid w:val="00696794"/>
    <w:rsid w:val="00696EF9"/>
    <w:rsid w:val="00696F51"/>
    <w:rsid w:val="006971C9"/>
    <w:rsid w:val="00697841"/>
    <w:rsid w:val="006979A5"/>
    <w:rsid w:val="00697A0A"/>
    <w:rsid w:val="006A016F"/>
    <w:rsid w:val="006A01FF"/>
    <w:rsid w:val="006A0DF7"/>
    <w:rsid w:val="006A0F54"/>
    <w:rsid w:val="006A10F0"/>
    <w:rsid w:val="006A1112"/>
    <w:rsid w:val="006A1549"/>
    <w:rsid w:val="006A1678"/>
    <w:rsid w:val="006A2085"/>
    <w:rsid w:val="006A21BA"/>
    <w:rsid w:val="006A229C"/>
    <w:rsid w:val="006A2C0E"/>
    <w:rsid w:val="006A389B"/>
    <w:rsid w:val="006A3E04"/>
    <w:rsid w:val="006A3E46"/>
    <w:rsid w:val="006A409D"/>
    <w:rsid w:val="006A4321"/>
    <w:rsid w:val="006A43D9"/>
    <w:rsid w:val="006A5258"/>
    <w:rsid w:val="006A5747"/>
    <w:rsid w:val="006A5F63"/>
    <w:rsid w:val="006A63E2"/>
    <w:rsid w:val="006A63E4"/>
    <w:rsid w:val="006A6559"/>
    <w:rsid w:val="006A6B99"/>
    <w:rsid w:val="006A6F1C"/>
    <w:rsid w:val="006A7C01"/>
    <w:rsid w:val="006A7E5F"/>
    <w:rsid w:val="006A7F74"/>
    <w:rsid w:val="006B0720"/>
    <w:rsid w:val="006B0B29"/>
    <w:rsid w:val="006B0F90"/>
    <w:rsid w:val="006B261B"/>
    <w:rsid w:val="006B2C90"/>
    <w:rsid w:val="006B312F"/>
    <w:rsid w:val="006B3170"/>
    <w:rsid w:val="006B35E6"/>
    <w:rsid w:val="006B408A"/>
    <w:rsid w:val="006B4123"/>
    <w:rsid w:val="006B465A"/>
    <w:rsid w:val="006B4759"/>
    <w:rsid w:val="006B481C"/>
    <w:rsid w:val="006B4A64"/>
    <w:rsid w:val="006B4B9B"/>
    <w:rsid w:val="006B4E1A"/>
    <w:rsid w:val="006B5C3E"/>
    <w:rsid w:val="006B6050"/>
    <w:rsid w:val="006B67B9"/>
    <w:rsid w:val="006B6802"/>
    <w:rsid w:val="006B69EC"/>
    <w:rsid w:val="006B6B81"/>
    <w:rsid w:val="006B6DD0"/>
    <w:rsid w:val="006B75D3"/>
    <w:rsid w:val="006B75D7"/>
    <w:rsid w:val="006B7609"/>
    <w:rsid w:val="006B7627"/>
    <w:rsid w:val="006B766A"/>
    <w:rsid w:val="006B784E"/>
    <w:rsid w:val="006B7E14"/>
    <w:rsid w:val="006C0399"/>
    <w:rsid w:val="006C0B87"/>
    <w:rsid w:val="006C0C09"/>
    <w:rsid w:val="006C2A8E"/>
    <w:rsid w:val="006C2C21"/>
    <w:rsid w:val="006C3050"/>
    <w:rsid w:val="006C3255"/>
    <w:rsid w:val="006C33C6"/>
    <w:rsid w:val="006C3F26"/>
    <w:rsid w:val="006C3F38"/>
    <w:rsid w:val="006C4C24"/>
    <w:rsid w:val="006C4CE1"/>
    <w:rsid w:val="006C4DF6"/>
    <w:rsid w:val="006C518E"/>
    <w:rsid w:val="006C5213"/>
    <w:rsid w:val="006C55D6"/>
    <w:rsid w:val="006C5A77"/>
    <w:rsid w:val="006C636B"/>
    <w:rsid w:val="006C636D"/>
    <w:rsid w:val="006C65CE"/>
    <w:rsid w:val="006C6ADA"/>
    <w:rsid w:val="006C7209"/>
    <w:rsid w:val="006C7223"/>
    <w:rsid w:val="006C7A2F"/>
    <w:rsid w:val="006C7CDB"/>
    <w:rsid w:val="006D03FC"/>
    <w:rsid w:val="006D0D17"/>
    <w:rsid w:val="006D0FCA"/>
    <w:rsid w:val="006D23B6"/>
    <w:rsid w:val="006D2A4F"/>
    <w:rsid w:val="006D2DD1"/>
    <w:rsid w:val="006D3C7D"/>
    <w:rsid w:val="006D421D"/>
    <w:rsid w:val="006D4525"/>
    <w:rsid w:val="006D45E2"/>
    <w:rsid w:val="006D4659"/>
    <w:rsid w:val="006D4A29"/>
    <w:rsid w:val="006D4CD4"/>
    <w:rsid w:val="006D5408"/>
    <w:rsid w:val="006D5966"/>
    <w:rsid w:val="006D5BC7"/>
    <w:rsid w:val="006D5D5F"/>
    <w:rsid w:val="006D5D6A"/>
    <w:rsid w:val="006D67A5"/>
    <w:rsid w:val="006D68FB"/>
    <w:rsid w:val="006D6B26"/>
    <w:rsid w:val="006D6C4F"/>
    <w:rsid w:val="006D6F91"/>
    <w:rsid w:val="006D752E"/>
    <w:rsid w:val="006D785D"/>
    <w:rsid w:val="006D7B6D"/>
    <w:rsid w:val="006D7C82"/>
    <w:rsid w:val="006E0019"/>
    <w:rsid w:val="006E0640"/>
    <w:rsid w:val="006E0B74"/>
    <w:rsid w:val="006E0EBA"/>
    <w:rsid w:val="006E118B"/>
    <w:rsid w:val="006E1290"/>
    <w:rsid w:val="006E18A4"/>
    <w:rsid w:val="006E1C91"/>
    <w:rsid w:val="006E1D1A"/>
    <w:rsid w:val="006E1D25"/>
    <w:rsid w:val="006E1D9F"/>
    <w:rsid w:val="006E20EC"/>
    <w:rsid w:val="006E2511"/>
    <w:rsid w:val="006E2868"/>
    <w:rsid w:val="006E2A41"/>
    <w:rsid w:val="006E3061"/>
    <w:rsid w:val="006E3109"/>
    <w:rsid w:val="006E4751"/>
    <w:rsid w:val="006E48AB"/>
    <w:rsid w:val="006E553D"/>
    <w:rsid w:val="006E5F72"/>
    <w:rsid w:val="006E68FA"/>
    <w:rsid w:val="006E697F"/>
    <w:rsid w:val="006E72FD"/>
    <w:rsid w:val="006E78E3"/>
    <w:rsid w:val="006E79C2"/>
    <w:rsid w:val="006E7F7D"/>
    <w:rsid w:val="006F00FE"/>
    <w:rsid w:val="006F0230"/>
    <w:rsid w:val="006F07E8"/>
    <w:rsid w:val="006F09BD"/>
    <w:rsid w:val="006F1129"/>
    <w:rsid w:val="006F1804"/>
    <w:rsid w:val="006F1817"/>
    <w:rsid w:val="006F1C3B"/>
    <w:rsid w:val="006F1E1F"/>
    <w:rsid w:val="006F20BD"/>
    <w:rsid w:val="006F2B0D"/>
    <w:rsid w:val="006F306C"/>
    <w:rsid w:val="006F321F"/>
    <w:rsid w:val="006F3750"/>
    <w:rsid w:val="006F3C56"/>
    <w:rsid w:val="006F3E5F"/>
    <w:rsid w:val="006F4345"/>
    <w:rsid w:val="006F51A5"/>
    <w:rsid w:val="006F51D3"/>
    <w:rsid w:val="006F52AF"/>
    <w:rsid w:val="006F561C"/>
    <w:rsid w:val="006F5BA6"/>
    <w:rsid w:val="006F63A5"/>
    <w:rsid w:val="006F6927"/>
    <w:rsid w:val="006F6A74"/>
    <w:rsid w:val="006F71BD"/>
    <w:rsid w:val="006F7549"/>
    <w:rsid w:val="006F76C8"/>
    <w:rsid w:val="0070035E"/>
    <w:rsid w:val="007006E8"/>
    <w:rsid w:val="00700AA0"/>
    <w:rsid w:val="00700F3C"/>
    <w:rsid w:val="0070101D"/>
    <w:rsid w:val="0070142B"/>
    <w:rsid w:val="00701650"/>
    <w:rsid w:val="00701867"/>
    <w:rsid w:val="00701FAC"/>
    <w:rsid w:val="0070276E"/>
    <w:rsid w:val="00702F8C"/>
    <w:rsid w:val="00702F8F"/>
    <w:rsid w:val="00703007"/>
    <w:rsid w:val="00703016"/>
    <w:rsid w:val="00703294"/>
    <w:rsid w:val="00703610"/>
    <w:rsid w:val="00703A42"/>
    <w:rsid w:val="00703AA5"/>
    <w:rsid w:val="00703ED7"/>
    <w:rsid w:val="0070473D"/>
    <w:rsid w:val="00704D44"/>
    <w:rsid w:val="00705B0E"/>
    <w:rsid w:val="0070688F"/>
    <w:rsid w:val="00706C00"/>
    <w:rsid w:val="0070745C"/>
    <w:rsid w:val="007075D1"/>
    <w:rsid w:val="00707663"/>
    <w:rsid w:val="007079FC"/>
    <w:rsid w:val="00707A61"/>
    <w:rsid w:val="00707CFE"/>
    <w:rsid w:val="007100E8"/>
    <w:rsid w:val="00710889"/>
    <w:rsid w:val="00710B58"/>
    <w:rsid w:val="00711603"/>
    <w:rsid w:val="0071170F"/>
    <w:rsid w:val="00711A36"/>
    <w:rsid w:val="00712026"/>
    <w:rsid w:val="007125D3"/>
    <w:rsid w:val="00712793"/>
    <w:rsid w:val="00713181"/>
    <w:rsid w:val="00713D09"/>
    <w:rsid w:val="007141C8"/>
    <w:rsid w:val="00714C26"/>
    <w:rsid w:val="0071529C"/>
    <w:rsid w:val="007158A7"/>
    <w:rsid w:val="00715A14"/>
    <w:rsid w:val="00715B66"/>
    <w:rsid w:val="00715EEF"/>
    <w:rsid w:val="007161DC"/>
    <w:rsid w:val="007168AB"/>
    <w:rsid w:val="007170DA"/>
    <w:rsid w:val="007172AD"/>
    <w:rsid w:val="00717546"/>
    <w:rsid w:val="007175DD"/>
    <w:rsid w:val="007204EB"/>
    <w:rsid w:val="00720801"/>
    <w:rsid w:val="00720908"/>
    <w:rsid w:val="0072168D"/>
    <w:rsid w:val="00721736"/>
    <w:rsid w:val="007227AB"/>
    <w:rsid w:val="00722B1B"/>
    <w:rsid w:val="00722C8D"/>
    <w:rsid w:val="00723762"/>
    <w:rsid w:val="00723934"/>
    <w:rsid w:val="00723A86"/>
    <w:rsid w:val="00723D5E"/>
    <w:rsid w:val="00724024"/>
    <w:rsid w:val="0072416F"/>
    <w:rsid w:val="00724851"/>
    <w:rsid w:val="00725CD7"/>
    <w:rsid w:val="007266D0"/>
    <w:rsid w:val="00726F61"/>
    <w:rsid w:val="00727B06"/>
    <w:rsid w:val="00727C94"/>
    <w:rsid w:val="007301B3"/>
    <w:rsid w:val="00730A30"/>
    <w:rsid w:val="00730DC2"/>
    <w:rsid w:val="00731278"/>
    <w:rsid w:val="007317AB"/>
    <w:rsid w:val="00731B0A"/>
    <w:rsid w:val="00731EAE"/>
    <w:rsid w:val="0073254E"/>
    <w:rsid w:val="007326F4"/>
    <w:rsid w:val="007327B0"/>
    <w:rsid w:val="00732A12"/>
    <w:rsid w:val="00732B96"/>
    <w:rsid w:val="00733073"/>
    <w:rsid w:val="007335AB"/>
    <w:rsid w:val="00734267"/>
    <w:rsid w:val="00734757"/>
    <w:rsid w:val="007347C3"/>
    <w:rsid w:val="0073480A"/>
    <w:rsid w:val="00734946"/>
    <w:rsid w:val="00734FF3"/>
    <w:rsid w:val="00735033"/>
    <w:rsid w:val="00735128"/>
    <w:rsid w:val="00735328"/>
    <w:rsid w:val="00735C1F"/>
    <w:rsid w:val="00735CB2"/>
    <w:rsid w:val="00736607"/>
    <w:rsid w:val="0073685B"/>
    <w:rsid w:val="00736B16"/>
    <w:rsid w:val="00736C90"/>
    <w:rsid w:val="007371C2"/>
    <w:rsid w:val="0073741C"/>
    <w:rsid w:val="00737872"/>
    <w:rsid w:val="00737EFB"/>
    <w:rsid w:val="00740906"/>
    <w:rsid w:val="00740B70"/>
    <w:rsid w:val="007411D4"/>
    <w:rsid w:val="007416BD"/>
    <w:rsid w:val="00741BDA"/>
    <w:rsid w:val="00741DC0"/>
    <w:rsid w:val="00742664"/>
    <w:rsid w:val="0074273E"/>
    <w:rsid w:val="00742BDF"/>
    <w:rsid w:val="007435AD"/>
    <w:rsid w:val="00743717"/>
    <w:rsid w:val="007438B3"/>
    <w:rsid w:val="00743F3E"/>
    <w:rsid w:val="00744201"/>
    <w:rsid w:val="007443E5"/>
    <w:rsid w:val="007449BF"/>
    <w:rsid w:val="00744AE5"/>
    <w:rsid w:val="00744BCF"/>
    <w:rsid w:val="00744F9C"/>
    <w:rsid w:val="007457CB"/>
    <w:rsid w:val="00745A14"/>
    <w:rsid w:val="00745CFA"/>
    <w:rsid w:val="007463FE"/>
    <w:rsid w:val="00746BC0"/>
    <w:rsid w:val="00746F22"/>
    <w:rsid w:val="00750001"/>
    <w:rsid w:val="00750919"/>
    <w:rsid w:val="00750978"/>
    <w:rsid w:val="007510B4"/>
    <w:rsid w:val="0075146C"/>
    <w:rsid w:val="007516A2"/>
    <w:rsid w:val="00752142"/>
    <w:rsid w:val="007523F9"/>
    <w:rsid w:val="0075262A"/>
    <w:rsid w:val="00752AFC"/>
    <w:rsid w:val="00753312"/>
    <w:rsid w:val="00753452"/>
    <w:rsid w:val="007534C7"/>
    <w:rsid w:val="0075357E"/>
    <w:rsid w:val="0075375D"/>
    <w:rsid w:val="00753B29"/>
    <w:rsid w:val="00753C40"/>
    <w:rsid w:val="007546EE"/>
    <w:rsid w:val="00754C95"/>
    <w:rsid w:val="00754F6B"/>
    <w:rsid w:val="00755492"/>
    <w:rsid w:val="00755D05"/>
    <w:rsid w:val="00755FA7"/>
    <w:rsid w:val="007565B9"/>
    <w:rsid w:val="00756DA0"/>
    <w:rsid w:val="007573E8"/>
    <w:rsid w:val="00757721"/>
    <w:rsid w:val="0075778C"/>
    <w:rsid w:val="00757863"/>
    <w:rsid w:val="00760C4E"/>
    <w:rsid w:val="00760EE2"/>
    <w:rsid w:val="00760F9E"/>
    <w:rsid w:val="007614C8"/>
    <w:rsid w:val="007616D8"/>
    <w:rsid w:val="007616E6"/>
    <w:rsid w:val="00762797"/>
    <w:rsid w:val="007627BE"/>
    <w:rsid w:val="007628E2"/>
    <w:rsid w:val="007633CF"/>
    <w:rsid w:val="00763556"/>
    <w:rsid w:val="00763565"/>
    <w:rsid w:val="00763ADB"/>
    <w:rsid w:val="00763AF9"/>
    <w:rsid w:val="00763C04"/>
    <w:rsid w:val="00763C0A"/>
    <w:rsid w:val="00764F03"/>
    <w:rsid w:val="00764F06"/>
    <w:rsid w:val="00764F3D"/>
    <w:rsid w:val="007659AF"/>
    <w:rsid w:val="007659CB"/>
    <w:rsid w:val="00765B1A"/>
    <w:rsid w:val="00765DC1"/>
    <w:rsid w:val="00765F94"/>
    <w:rsid w:val="0076611D"/>
    <w:rsid w:val="00766162"/>
    <w:rsid w:val="00766745"/>
    <w:rsid w:val="007671FF"/>
    <w:rsid w:val="007674A7"/>
    <w:rsid w:val="00767F7E"/>
    <w:rsid w:val="007703A5"/>
    <w:rsid w:val="00770617"/>
    <w:rsid w:val="007708A9"/>
    <w:rsid w:val="00770A93"/>
    <w:rsid w:val="00771BAB"/>
    <w:rsid w:val="00772073"/>
    <w:rsid w:val="0077230C"/>
    <w:rsid w:val="007724B3"/>
    <w:rsid w:val="007726B9"/>
    <w:rsid w:val="00772766"/>
    <w:rsid w:val="0077287D"/>
    <w:rsid w:val="0077305F"/>
    <w:rsid w:val="00773144"/>
    <w:rsid w:val="007735D6"/>
    <w:rsid w:val="00773991"/>
    <w:rsid w:val="00773F47"/>
    <w:rsid w:val="00774353"/>
    <w:rsid w:val="00774D12"/>
    <w:rsid w:val="00774E99"/>
    <w:rsid w:val="007757ED"/>
    <w:rsid w:val="00776163"/>
    <w:rsid w:val="00776302"/>
    <w:rsid w:val="0077673A"/>
    <w:rsid w:val="00776947"/>
    <w:rsid w:val="00776C68"/>
    <w:rsid w:val="00777335"/>
    <w:rsid w:val="007809F3"/>
    <w:rsid w:val="00780C0A"/>
    <w:rsid w:val="007813B4"/>
    <w:rsid w:val="007813DD"/>
    <w:rsid w:val="0078198B"/>
    <w:rsid w:val="00782168"/>
    <w:rsid w:val="00782A75"/>
    <w:rsid w:val="00783131"/>
    <w:rsid w:val="00783353"/>
    <w:rsid w:val="00783C83"/>
    <w:rsid w:val="007843F2"/>
    <w:rsid w:val="007846FA"/>
    <w:rsid w:val="00784B1E"/>
    <w:rsid w:val="00784D2A"/>
    <w:rsid w:val="00785285"/>
    <w:rsid w:val="007853E0"/>
    <w:rsid w:val="007856A1"/>
    <w:rsid w:val="00785A9F"/>
    <w:rsid w:val="00785C77"/>
    <w:rsid w:val="007867AC"/>
    <w:rsid w:val="007868C6"/>
    <w:rsid w:val="00786930"/>
    <w:rsid w:val="00787D58"/>
    <w:rsid w:val="00787DF7"/>
    <w:rsid w:val="007908C1"/>
    <w:rsid w:val="00790949"/>
    <w:rsid w:val="00790E70"/>
    <w:rsid w:val="00791402"/>
    <w:rsid w:val="00791793"/>
    <w:rsid w:val="007917A2"/>
    <w:rsid w:val="00792506"/>
    <w:rsid w:val="007925DF"/>
    <w:rsid w:val="00792B29"/>
    <w:rsid w:val="00792CD2"/>
    <w:rsid w:val="00793212"/>
    <w:rsid w:val="007933E1"/>
    <w:rsid w:val="007936DF"/>
    <w:rsid w:val="007937E7"/>
    <w:rsid w:val="007937EF"/>
    <w:rsid w:val="00793DDE"/>
    <w:rsid w:val="00793FBC"/>
    <w:rsid w:val="007940A2"/>
    <w:rsid w:val="0079447E"/>
    <w:rsid w:val="007966C3"/>
    <w:rsid w:val="007977A5"/>
    <w:rsid w:val="007978FD"/>
    <w:rsid w:val="00797BC7"/>
    <w:rsid w:val="00797CE9"/>
    <w:rsid w:val="007A0138"/>
    <w:rsid w:val="007A02ED"/>
    <w:rsid w:val="007A0859"/>
    <w:rsid w:val="007A08AA"/>
    <w:rsid w:val="007A0A12"/>
    <w:rsid w:val="007A0C0D"/>
    <w:rsid w:val="007A1221"/>
    <w:rsid w:val="007A132D"/>
    <w:rsid w:val="007A1345"/>
    <w:rsid w:val="007A2403"/>
    <w:rsid w:val="007A2DDB"/>
    <w:rsid w:val="007A310F"/>
    <w:rsid w:val="007A3688"/>
    <w:rsid w:val="007A37CF"/>
    <w:rsid w:val="007A39C0"/>
    <w:rsid w:val="007A3BDC"/>
    <w:rsid w:val="007A3D29"/>
    <w:rsid w:val="007A3FA0"/>
    <w:rsid w:val="007A40CB"/>
    <w:rsid w:val="007A5A31"/>
    <w:rsid w:val="007A5CC1"/>
    <w:rsid w:val="007A5DC1"/>
    <w:rsid w:val="007A667C"/>
    <w:rsid w:val="007A66CB"/>
    <w:rsid w:val="007A6757"/>
    <w:rsid w:val="007A70BA"/>
    <w:rsid w:val="007A78D4"/>
    <w:rsid w:val="007A7A3C"/>
    <w:rsid w:val="007A7BE3"/>
    <w:rsid w:val="007A7CD8"/>
    <w:rsid w:val="007B0D68"/>
    <w:rsid w:val="007B1F3E"/>
    <w:rsid w:val="007B2203"/>
    <w:rsid w:val="007B22AC"/>
    <w:rsid w:val="007B251D"/>
    <w:rsid w:val="007B2557"/>
    <w:rsid w:val="007B334A"/>
    <w:rsid w:val="007B3533"/>
    <w:rsid w:val="007B3E7D"/>
    <w:rsid w:val="007B4121"/>
    <w:rsid w:val="007B467B"/>
    <w:rsid w:val="007B4F58"/>
    <w:rsid w:val="007B5248"/>
    <w:rsid w:val="007B524C"/>
    <w:rsid w:val="007B528D"/>
    <w:rsid w:val="007B63CA"/>
    <w:rsid w:val="007B6795"/>
    <w:rsid w:val="007B77D1"/>
    <w:rsid w:val="007C013C"/>
    <w:rsid w:val="007C05B5"/>
    <w:rsid w:val="007C07C7"/>
    <w:rsid w:val="007C0A0F"/>
    <w:rsid w:val="007C147D"/>
    <w:rsid w:val="007C1A21"/>
    <w:rsid w:val="007C1CD9"/>
    <w:rsid w:val="007C1F14"/>
    <w:rsid w:val="007C218D"/>
    <w:rsid w:val="007C2365"/>
    <w:rsid w:val="007C261F"/>
    <w:rsid w:val="007C2E4B"/>
    <w:rsid w:val="007C32EF"/>
    <w:rsid w:val="007C361D"/>
    <w:rsid w:val="007C3C5A"/>
    <w:rsid w:val="007C3FF5"/>
    <w:rsid w:val="007C4B84"/>
    <w:rsid w:val="007C4C8E"/>
    <w:rsid w:val="007C5F54"/>
    <w:rsid w:val="007C68DE"/>
    <w:rsid w:val="007C6D20"/>
    <w:rsid w:val="007C70FF"/>
    <w:rsid w:val="007C7BD9"/>
    <w:rsid w:val="007C7C25"/>
    <w:rsid w:val="007D004F"/>
    <w:rsid w:val="007D035F"/>
    <w:rsid w:val="007D0483"/>
    <w:rsid w:val="007D0625"/>
    <w:rsid w:val="007D06B2"/>
    <w:rsid w:val="007D0B38"/>
    <w:rsid w:val="007D1362"/>
    <w:rsid w:val="007D13A4"/>
    <w:rsid w:val="007D1929"/>
    <w:rsid w:val="007D1C12"/>
    <w:rsid w:val="007D203E"/>
    <w:rsid w:val="007D2240"/>
    <w:rsid w:val="007D2CB4"/>
    <w:rsid w:val="007D3103"/>
    <w:rsid w:val="007D360C"/>
    <w:rsid w:val="007D37BA"/>
    <w:rsid w:val="007D452D"/>
    <w:rsid w:val="007D4579"/>
    <w:rsid w:val="007D47AF"/>
    <w:rsid w:val="007D51BE"/>
    <w:rsid w:val="007D5440"/>
    <w:rsid w:val="007D5FF2"/>
    <w:rsid w:val="007D6121"/>
    <w:rsid w:val="007D666B"/>
    <w:rsid w:val="007D6951"/>
    <w:rsid w:val="007D69EB"/>
    <w:rsid w:val="007D6AB4"/>
    <w:rsid w:val="007D70F5"/>
    <w:rsid w:val="007D71C3"/>
    <w:rsid w:val="007D7B4A"/>
    <w:rsid w:val="007D7CC5"/>
    <w:rsid w:val="007D7CD4"/>
    <w:rsid w:val="007D7FA1"/>
    <w:rsid w:val="007E02AB"/>
    <w:rsid w:val="007E06D6"/>
    <w:rsid w:val="007E0B60"/>
    <w:rsid w:val="007E128F"/>
    <w:rsid w:val="007E13C8"/>
    <w:rsid w:val="007E15F9"/>
    <w:rsid w:val="007E1B01"/>
    <w:rsid w:val="007E1BA4"/>
    <w:rsid w:val="007E1C0A"/>
    <w:rsid w:val="007E250A"/>
    <w:rsid w:val="007E37CC"/>
    <w:rsid w:val="007E37D3"/>
    <w:rsid w:val="007E3940"/>
    <w:rsid w:val="007E3A8A"/>
    <w:rsid w:val="007E3F92"/>
    <w:rsid w:val="007E407A"/>
    <w:rsid w:val="007E4366"/>
    <w:rsid w:val="007E4536"/>
    <w:rsid w:val="007E4EA5"/>
    <w:rsid w:val="007E5673"/>
    <w:rsid w:val="007E57DD"/>
    <w:rsid w:val="007E5BB1"/>
    <w:rsid w:val="007E5EA2"/>
    <w:rsid w:val="007E68EB"/>
    <w:rsid w:val="007E714E"/>
    <w:rsid w:val="007E78E9"/>
    <w:rsid w:val="007E7ACD"/>
    <w:rsid w:val="007E7F51"/>
    <w:rsid w:val="007F047B"/>
    <w:rsid w:val="007F0826"/>
    <w:rsid w:val="007F1017"/>
    <w:rsid w:val="007F18EA"/>
    <w:rsid w:val="007F1919"/>
    <w:rsid w:val="007F1BF5"/>
    <w:rsid w:val="007F1C95"/>
    <w:rsid w:val="007F1F89"/>
    <w:rsid w:val="007F241A"/>
    <w:rsid w:val="007F28CE"/>
    <w:rsid w:val="007F3B58"/>
    <w:rsid w:val="007F4249"/>
    <w:rsid w:val="007F4A3F"/>
    <w:rsid w:val="007F4A61"/>
    <w:rsid w:val="007F5255"/>
    <w:rsid w:val="007F5407"/>
    <w:rsid w:val="007F56CC"/>
    <w:rsid w:val="007F5C41"/>
    <w:rsid w:val="007F61C2"/>
    <w:rsid w:val="007F6796"/>
    <w:rsid w:val="007F6B6A"/>
    <w:rsid w:val="007F70AC"/>
    <w:rsid w:val="007F7B0F"/>
    <w:rsid w:val="00800223"/>
    <w:rsid w:val="008023D1"/>
    <w:rsid w:val="00803091"/>
    <w:rsid w:val="00803DEF"/>
    <w:rsid w:val="0080445E"/>
    <w:rsid w:val="00805142"/>
    <w:rsid w:val="008056E3"/>
    <w:rsid w:val="00805731"/>
    <w:rsid w:val="00805FCE"/>
    <w:rsid w:val="00806751"/>
    <w:rsid w:val="0080712A"/>
    <w:rsid w:val="008071C5"/>
    <w:rsid w:val="008073A4"/>
    <w:rsid w:val="00807A8B"/>
    <w:rsid w:val="00807E76"/>
    <w:rsid w:val="008101BF"/>
    <w:rsid w:val="008102C4"/>
    <w:rsid w:val="008103E4"/>
    <w:rsid w:val="00810629"/>
    <w:rsid w:val="00810CD4"/>
    <w:rsid w:val="00810D40"/>
    <w:rsid w:val="00811383"/>
    <w:rsid w:val="00811535"/>
    <w:rsid w:val="00811682"/>
    <w:rsid w:val="00811713"/>
    <w:rsid w:val="00812149"/>
    <w:rsid w:val="00812304"/>
    <w:rsid w:val="00812AAB"/>
    <w:rsid w:val="00812CAC"/>
    <w:rsid w:val="00812E6C"/>
    <w:rsid w:val="0081355B"/>
    <w:rsid w:val="008137C1"/>
    <w:rsid w:val="00814147"/>
    <w:rsid w:val="00814DBE"/>
    <w:rsid w:val="00815750"/>
    <w:rsid w:val="0081597A"/>
    <w:rsid w:val="00815A04"/>
    <w:rsid w:val="00815D4A"/>
    <w:rsid w:val="008160D6"/>
    <w:rsid w:val="00816277"/>
    <w:rsid w:val="00816361"/>
    <w:rsid w:val="008166EF"/>
    <w:rsid w:val="00816FEF"/>
    <w:rsid w:val="008177DF"/>
    <w:rsid w:val="00820A8C"/>
    <w:rsid w:val="00820CA2"/>
    <w:rsid w:val="00820DFA"/>
    <w:rsid w:val="0082128F"/>
    <w:rsid w:val="008215FB"/>
    <w:rsid w:val="00821831"/>
    <w:rsid w:val="00821D08"/>
    <w:rsid w:val="008220CC"/>
    <w:rsid w:val="00822139"/>
    <w:rsid w:val="008221EC"/>
    <w:rsid w:val="0082252C"/>
    <w:rsid w:val="00822F0F"/>
    <w:rsid w:val="00823174"/>
    <w:rsid w:val="008231B7"/>
    <w:rsid w:val="00823370"/>
    <w:rsid w:val="00823CF0"/>
    <w:rsid w:val="0082434E"/>
    <w:rsid w:val="0082445F"/>
    <w:rsid w:val="00824D0C"/>
    <w:rsid w:val="008250E5"/>
    <w:rsid w:val="008250F5"/>
    <w:rsid w:val="0082535B"/>
    <w:rsid w:val="00825751"/>
    <w:rsid w:val="00825CF9"/>
    <w:rsid w:val="008261CB"/>
    <w:rsid w:val="008264EB"/>
    <w:rsid w:val="008268CE"/>
    <w:rsid w:val="00826E64"/>
    <w:rsid w:val="00827858"/>
    <w:rsid w:val="00827B16"/>
    <w:rsid w:val="00827B61"/>
    <w:rsid w:val="00827C23"/>
    <w:rsid w:val="008308FC"/>
    <w:rsid w:val="00830980"/>
    <w:rsid w:val="00830A82"/>
    <w:rsid w:val="008319C3"/>
    <w:rsid w:val="00831E46"/>
    <w:rsid w:val="008320AC"/>
    <w:rsid w:val="0083225B"/>
    <w:rsid w:val="00832A99"/>
    <w:rsid w:val="00832CF9"/>
    <w:rsid w:val="00833227"/>
    <w:rsid w:val="00833B05"/>
    <w:rsid w:val="0083429D"/>
    <w:rsid w:val="00834E93"/>
    <w:rsid w:val="00835BBB"/>
    <w:rsid w:val="00835D7B"/>
    <w:rsid w:val="0083601F"/>
    <w:rsid w:val="008362B4"/>
    <w:rsid w:val="00836966"/>
    <w:rsid w:val="00836A13"/>
    <w:rsid w:val="00837901"/>
    <w:rsid w:val="00837A01"/>
    <w:rsid w:val="00837BC6"/>
    <w:rsid w:val="00840276"/>
    <w:rsid w:val="0084049B"/>
    <w:rsid w:val="008404CC"/>
    <w:rsid w:val="00840600"/>
    <w:rsid w:val="00840CA2"/>
    <w:rsid w:val="00840D52"/>
    <w:rsid w:val="00840DFA"/>
    <w:rsid w:val="0084138D"/>
    <w:rsid w:val="00841903"/>
    <w:rsid w:val="00841A3B"/>
    <w:rsid w:val="00842683"/>
    <w:rsid w:val="00842C88"/>
    <w:rsid w:val="008435A1"/>
    <w:rsid w:val="0084374F"/>
    <w:rsid w:val="008439CC"/>
    <w:rsid w:val="008439E3"/>
    <w:rsid w:val="00843C3F"/>
    <w:rsid w:val="00843D38"/>
    <w:rsid w:val="00844A22"/>
    <w:rsid w:val="00844A27"/>
    <w:rsid w:val="00844AAB"/>
    <w:rsid w:val="00844F43"/>
    <w:rsid w:val="008455C2"/>
    <w:rsid w:val="00845BD8"/>
    <w:rsid w:val="00846582"/>
    <w:rsid w:val="00846966"/>
    <w:rsid w:val="00846F0E"/>
    <w:rsid w:val="00847443"/>
    <w:rsid w:val="00847703"/>
    <w:rsid w:val="00847735"/>
    <w:rsid w:val="00847950"/>
    <w:rsid w:val="008479A6"/>
    <w:rsid w:val="00847B26"/>
    <w:rsid w:val="00847B2E"/>
    <w:rsid w:val="00847DF5"/>
    <w:rsid w:val="008507CA"/>
    <w:rsid w:val="008512DA"/>
    <w:rsid w:val="0085179D"/>
    <w:rsid w:val="00852514"/>
    <w:rsid w:val="008528B9"/>
    <w:rsid w:val="0085309D"/>
    <w:rsid w:val="008534C6"/>
    <w:rsid w:val="0085385B"/>
    <w:rsid w:val="00853FD2"/>
    <w:rsid w:val="00854C66"/>
    <w:rsid w:val="00854CCD"/>
    <w:rsid w:val="00854FF7"/>
    <w:rsid w:val="00855717"/>
    <w:rsid w:val="00855976"/>
    <w:rsid w:val="00855BE3"/>
    <w:rsid w:val="00855EE5"/>
    <w:rsid w:val="0085652B"/>
    <w:rsid w:val="00856576"/>
    <w:rsid w:val="00856897"/>
    <w:rsid w:val="00856E9A"/>
    <w:rsid w:val="00856ED9"/>
    <w:rsid w:val="00857768"/>
    <w:rsid w:val="00857BBE"/>
    <w:rsid w:val="00857CA1"/>
    <w:rsid w:val="008601EE"/>
    <w:rsid w:val="008601F9"/>
    <w:rsid w:val="00860741"/>
    <w:rsid w:val="0086075D"/>
    <w:rsid w:val="00860B54"/>
    <w:rsid w:val="00860DA0"/>
    <w:rsid w:val="00860F2F"/>
    <w:rsid w:val="00861F47"/>
    <w:rsid w:val="0086236A"/>
    <w:rsid w:val="00862502"/>
    <w:rsid w:val="0086275D"/>
    <w:rsid w:val="00862CC1"/>
    <w:rsid w:val="00862F95"/>
    <w:rsid w:val="0086371F"/>
    <w:rsid w:val="00863D5D"/>
    <w:rsid w:val="00863FD0"/>
    <w:rsid w:val="008642A7"/>
    <w:rsid w:val="008645E9"/>
    <w:rsid w:val="00864AA4"/>
    <w:rsid w:val="00864AB2"/>
    <w:rsid w:val="008654D0"/>
    <w:rsid w:val="008655BE"/>
    <w:rsid w:val="008660D4"/>
    <w:rsid w:val="00866A3A"/>
    <w:rsid w:val="00866BAA"/>
    <w:rsid w:val="00866D1D"/>
    <w:rsid w:val="0086734C"/>
    <w:rsid w:val="00867859"/>
    <w:rsid w:val="008679ED"/>
    <w:rsid w:val="00867BAA"/>
    <w:rsid w:val="00870A73"/>
    <w:rsid w:val="00870B80"/>
    <w:rsid w:val="008710CF"/>
    <w:rsid w:val="0087121A"/>
    <w:rsid w:val="0087128B"/>
    <w:rsid w:val="008717CE"/>
    <w:rsid w:val="00871FA9"/>
    <w:rsid w:val="008728E9"/>
    <w:rsid w:val="00872A0B"/>
    <w:rsid w:val="00872AEC"/>
    <w:rsid w:val="00872AFD"/>
    <w:rsid w:val="008730A2"/>
    <w:rsid w:val="00873950"/>
    <w:rsid w:val="00873F72"/>
    <w:rsid w:val="00874BBC"/>
    <w:rsid w:val="008761FC"/>
    <w:rsid w:val="00876678"/>
    <w:rsid w:val="00876910"/>
    <w:rsid w:val="00876D02"/>
    <w:rsid w:val="00876F87"/>
    <w:rsid w:val="00877155"/>
    <w:rsid w:val="0087732C"/>
    <w:rsid w:val="00877BA8"/>
    <w:rsid w:val="00877E95"/>
    <w:rsid w:val="008802B4"/>
    <w:rsid w:val="00880485"/>
    <w:rsid w:val="00880832"/>
    <w:rsid w:val="00880E5F"/>
    <w:rsid w:val="008813CE"/>
    <w:rsid w:val="0088175A"/>
    <w:rsid w:val="0088176B"/>
    <w:rsid w:val="008817D5"/>
    <w:rsid w:val="0088180C"/>
    <w:rsid w:val="00881C7C"/>
    <w:rsid w:val="00882874"/>
    <w:rsid w:val="00882E3C"/>
    <w:rsid w:val="0088308A"/>
    <w:rsid w:val="008836B1"/>
    <w:rsid w:val="00883787"/>
    <w:rsid w:val="00883F86"/>
    <w:rsid w:val="00884036"/>
    <w:rsid w:val="008855E4"/>
    <w:rsid w:val="00885B6C"/>
    <w:rsid w:val="00885B7E"/>
    <w:rsid w:val="00886C33"/>
    <w:rsid w:val="00886CD2"/>
    <w:rsid w:val="0088785D"/>
    <w:rsid w:val="00887AFB"/>
    <w:rsid w:val="00887C0A"/>
    <w:rsid w:val="00887C79"/>
    <w:rsid w:val="00887F06"/>
    <w:rsid w:val="00887F19"/>
    <w:rsid w:val="008900F4"/>
    <w:rsid w:val="00890CE1"/>
    <w:rsid w:val="00891019"/>
    <w:rsid w:val="00891796"/>
    <w:rsid w:val="00891E6F"/>
    <w:rsid w:val="00891F85"/>
    <w:rsid w:val="0089237E"/>
    <w:rsid w:val="0089263B"/>
    <w:rsid w:val="0089275D"/>
    <w:rsid w:val="00892A36"/>
    <w:rsid w:val="008930A4"/>
    <w:rsid w:val="00893239"/>
    <w:rsid w:val="00893BF0"/>
    <w:rsid w:val="00893F7B"/>
    <w:rsid w:val="00894489"/>
    <w:rsid w:val="00894541"/>
    <w:rsid w:val="008946E2"/>
    <w:rsid w:val="00894AA5"/>
    <w:rsid w:val="00894CD6"/>
    <w:rsid w:val="008957A9"/>
    <w:rsid w:val="008957AD"/>
    <w:rsid w:val="008963A5"/>
    <w:rsid w:val="00896C79"/>
    <w:rsid w:val="00896D5D"/>
    <w:rsid w:val="00897557"/>
    <w:rsid w:val="00897A8F"/>
    <w:rsid w:val="008A0069"/>
    <w:rsid w:val="008A0409"/>
    <w:rsid w:val="008A0411"/>
    <w:rsid w:val="008A04EB"/>
    <w:rsid w:val="008A15D3"/>
    <w:rsid w:val="008A1987"/>
    <w:rsid w:val="008A1B18"/>
    <w:rsid w:val="008A262E"/>
    <w:rsid w:val="008A2653"/>
    <w:rsid w:val="008A2777"/>
    <w:rsid w:val="008A2C5A"/>
    <w:rsid w:val="008A3158"/>
    <w:rsid w:val="008A32AC"/>
    <w:rsid w:val="008A3363"/>
    <w:rsid w:val="008A3371"/>
    <w:rsid w:val="008A3B58"/>
    <w:rsid w:val="008A3C3E"/>
    <w:rsid w:val="008A40F7"/>
    <w:rsid w:val="008A4A35"/>
    <w:rsid w:val="008A5AFF"/>
    <w:rsid w:val="008A666B"/>
    <w:rsid w:val="008A67BC"/>
    <w:rsid w:val="008A6D77"/>
    <w:rsid w:val="008A715C"/>
    <w:rsid w:val="008A79DE"/>
    <w:rsid w:val="008B004E"/>
    <w:rsid w:val="008B0C5D"/>
    <w:rsid w:val="008B0DAD"/>
    <w:rsid w:val="008B0DC6"/>
    <w:rsid w:val="008B13C8"/>
    <w:rsid w:val="008B1757"/>
    <w:rsid w:val="008B1979"/>
    <w:rsid w:val="008B1C33"/>
    <w:rsid w:val="008B26E3"/>
    <w:rsid w:val="008B2F43"/>
    <w:rsid w:val="008B33AE"/>
    <w:rsid w:val="008B3FA5"/>
    <w:rsid w:val="008B4316"/>
    <w:rsid w:val="008B4428"/>
    <w:rsid w:val="008B478D"/>
    <w:rsid w:val="008B4B6F"/>
    <w:rsid w:val="008B4BE5"/>
    <w:rsid w:val="008B4F10"/>
    <w:rsid w:val="008B5B02"/>
    <w:rsid w:val="008B5C17"/>
    <w:rsid w:val="008B65F9"/>
    <w:rsid w:val="008B6B82"/>
    <w:rsid w:val="008B6BCA"/>
    <w:rsid w:val="008B6E21"/>
    <w:rsid w:val="008B77E2"/>
    <w:rsid w:val="008B7992"/>
    <w:rsid w:val="008B7D7E"/>
    <w:rsid w:val="008B7DC0"/>
    <w:rsid w:val="008C0012"/>
    <w:rsid w:val="008C0719"/>
    <w:rsid w:val="008C0AEF"/>
    <w:rsid w:val="008C0E4E"/>
    <w:rsid w:val="008C1212"/>
    <w:rsid w:val="008C1A63"/>
    <w:rsid w:val="008C1B13"/>
    <w:rsid w:val="008C1B93"/>
    <w:rsid w:val="008C1C5E"/>
    <w:rsid w:val="008C1F39"/>
    <w:rsid w:val="008C201C"/>
    <w:rsid w:val="008C2493"/>
    <w:rsid w:val="008C28F6"/>
    <w:rsid w:val="008C31A1"/>
    <w:rsid w:val="008C3899"/>
    <w:rsid w:val="008C3AB2"/>
    <w:rsid w:val="008C3C11"/>
    <w:rsid w:val="008C3C6A"/>
    <w:rsid w:val="008C3F10"/>
    <w:rsid w:val="008C4C9D"/>
    <w:rsid w:val="008C51DA"/>
    <w:rsid w:val="008C54F2"/>
    <w:rsid w:val="008C5610"/>
    <w:rsid w:val="008C5739"/>
    <w:rsid w:val="008C5979"/>
    <w:rsid w:val="008C5A5B"/>
    <w:rsid w:val="008C6B3B"/>
    <w:rsid w:val="008C7282"/>
    <w:rsid w:val="008C73E6"/>
    <w:rsid w:val="008C76DC"/>
    <w:rsid w:val="008C79BB"/>
    <w:rsid w:val="008C7AFE"/>
    <w:rsid w:val="008C7CD8"/>
    <w:rsid w:val="008C7ECB"/>
    <w:rsid w:val="008D0AFA"/>
    <w:rsid w:val="008D0B47"/>
    <w:rsid w:val="008D0D2E"/>
    <w:rsid w:val="008D0FBE"/>
    <w:rsid w:val="008D15FA"/>
    <w:rsid w:val="008D1FD6"/>
    <w:rsid w:val="008D2363"/>
    <w:rsid w:val="008D2D4F"/>
    <w:rsid w:val="008D32D6"/>
    <w:rsid w:val="008D353F"/>
    <w:rsid w:val="008D36F9"/>
    <w:rsid w:val="008D3702"/>
    <w:rsid w:val="008D3B86"/>
    <w:rsid w:val="008D3BBC"/>
    <w:rsid w:val="008D3E6A"/>
    <w:rsid w:val="008D3EC5"/>
    <w:rsid w:val="008D42AB"/>
    <w:rsid w:val="008D43FD"/>
    <w:rsid w:val="008D4755"/>
    <w:rsid w:val="008D4C3D"/>
    <w:rsid w:val="008D5614"/>
    <w:rsid w:val="008D5BF2"/>
    <w:rsid w:val="008D5F20"/>
    <w:rsid w:val="008D61D5"/>
    <w:rsid w:val="008D64B6"/>
    <w:rsid w:val="008D6523"/>
    <w:rsid w:val="008D6B5E"/>
    <w:rsid w:val="008D6F1B"/>
    <w:rsid w:val="008D722A"/>
    <w:rsid w:val="008D743C"/>
    <w:rsid w:val="008E00BB"/>
    <w:rsid w:val="008E01F5"/>
    <w:rsid w:val="008E081C"/>
    <w:rsid w:val="008E0A5D"/>
    <w:rsid w:val="008E0D3C"/>
    <w:rsid w:val="008E14C0"/>
    <w:rsid w:val="008E18AC"/>
    <w:rsid w:val="008E1B9E"/>
    <w:rsid w:val="008E21E6"/>
    <w:rsid w:val="008E25DE"/>
    <w:rsid w:val="008E2AEC"/>
    <w:rsid w:val="008E2DB8"/>
    <w:rsid w:val="008E3252"/>
    <w:rsid w:val="008E3C88"/>
    <w:rsid w:val="008E4072"/>
    <w:rsid w:val="008E5516"/>
    <w:rsid w:val="008E55AB"/>
    <w:rsid w:val="008E6371"/>
    <w:rsid w:val="008E6413"/>
    <w:rsid w:val="008E6581"/>
    <w:rsid w:val="008E6E48"/>
    <w:rsid w:val="008E6F52"/>
    <w:rsid w:val="008E6FB3"/>
    <w:rsid w:val="008E707F"/>
    <w:rsid w:val="008E7137"/>
    <w:rsid w:val="008E72E9"/>
    <w:rsid w:val="008E793E"/>
    <w:rsid w:val="008F0641"/>
    <w:rsid w:val="008F070D"/>
    <w:rsid w:val="008F07DD"/>
    <w:rsid w:val="008F0C0F"/>
    <w:rsid w:val="008F0C51"/>
    <w:rsid w:val="008F0CCF"/>
    <w:rsid w:val="008F0DF6"/>
    <w:rsid w:val="008F0F18"/>
    <w:rsid w:val="008F120A"/>
    <w:rsid w:val="008F18CB"/>
    <w:rsid w:val="008F1DE6"/>
    <w:rsid w:val="008F1E66"/>
    <w:rsid w:val="008F244F"/>
    <w:rsid w:val="008F253A"/>
    <w:rsid w:val="008F2775"/>
    <w:rsid w:val="008F27E0"/>
    <w:rsid w:val="008F297A"/>
    <w:rsid w:val="008F2D1E"/>
    <w:rsid w:val="008F344A"/>
    <w:rsid w:val="008F4112"/>
    <w:rsid w:val="008F4754"/>
    <w:rsid w:val="008F48EB"/>
    <w:rsid w:val="008F4F0B"/>
    <w:rsid w:val="008F55D7"/>
    <w:rsid w:val="008F5798"/>
    <w:rsid w:val="008F5B0A"/>
    <w:rsid w:val="008F6664"/>
    <w:rsid w:val="008F71CB"/>
    <w:rsid w:val="008F7E1A"/>
    <w:rsid w:val="0090081B"/>
    <w:rsid w:val="00900D8A"/>
    <w:rsid w:val="00900FE0"/>
    <w:rsid w:val="00901345"/>
    <w:rsid w:val="009023C3"/>
    <w:rsid w:val="00902882"/>
    <w:rsid w:val="00902E0F"/>
    <w:rsid w:val="009038AF"/>
    <w:rsid w:val="009046C4"/>
    <w:rsid w:val="0090496C"/>
    <w:rsid w:val="009049E1"/>
    <w:rsid w:val="00904D1D"/>
    <w:rsid w:val="00904DBD"/>
    <w:rsid w:val="0090511C"/>
    <w:rsid w:val="00905BBE"/>
    <w:rsid w:val="009062A5"/>
    <w:rsid w:val="00906EAD"/>
    <w:rsid w:val="00906F7F"/>
    <w:rsid w:val="0090738F"/>
    <w:rsid w:val="009075A3"/>
    <w:rsid w:val="00907699"/>
    <w:rsid w:val="0090780D"/>
    <w:rsid w:val="0090792A"/>
    <w:rsid w:val="009103D9"/>
    <w:rsid w:val="00910457"/>
    <w:rsid w:val="0091050F"/>
    <w:rsid w:val="00910FA7"/>
    <w:rsid w:val="00910FB6"/>
    <w:rsid w:val="00911272"/>
    <w:rsid w:val="009112BF"/>
    <w:rsid w:val="00911339"/>
    <w:rsid w:val="009116F2"/>
    <w:rsid w:val="0091240E"/>
    <w:rsid w:val="009125D9"/>
    <w:rsid w:val="0091277A"/>
    <w:rsid w:val="009129A3"/>
    <w:rsid w:val="00912B5E"/>
    <w:rsid w:val="00912E0B"/>
    <w:rsid w:val="00913369"/>
    <w:rsid w:val="009135D6"/>
    <w:rsid w:val="00913FFC"/>
    <w:rsid w:val="00914181"/>
    <w:rsid w:val="00914C77"/>
    <w:rsid w:val="009155E9"/>
    <w:rsid w:val="009157D1"/>
    <w:rsid w:val="00916572"/>
    <w:rsid w:val="00916B09"/>
    <w:rsid w:val="009171C8"/>
    <w:rsid w:val="0091772A"/>
    <w:rsid w:val="00917881"/>
    <w:rsid w:val="00917D60"/>
    <w:rsid w:val="009201B1"/>
    <w:rsid w:val="00920A82"/>
    <w:rsid w:val="009213CB"/>
    <w:rsid w:val="0092146C"/>
    <w:rsid w:val="009215DB"/>
    <w:rsid w:val="00921ACB"/>
    <w:rsid w:val="00921B8C"/>
    <w:rsid w:val="00921BD9"/>
    <w:rsid w:val="0092255A"/>
    <w:rsid w:val="0092255B"/>
    <w:rsid w:val="0092369B"/>
    <w:rsid w:val="00923ECA"/>
    <w:rsid w:val="009260BA"/>
    <w:rsid w:val="0092623B"/>
    <w:rsid w:val="0092685B"/>
    <w:rsid w:val="0092714E"/>
    <w:rsid w:val="00927450"/>
    <w:rsid w:val="00927A89"/>
    <w:rsid w:val="00930158"/>
    <w:rsid w:val="009305AE"/>
    <w:rsid w:val="0093066A"/>
    <w:rsid w:val="009306A2"/>
    <w:rsid w:val="00930D44"/>
    <w:rsid w:val="00931146"/>
    <w:rsid w:val="009311DD"/>
    <w:rsid w:val="00931784"/>
    <w:rsid w:val="00931E86"/>
    <w:rsid w:val="00931FCF"/>
    <w:rsid w:val="00932203"/>
    <w:rsid w:val="009322D5"/>
    <w:rsid w:val="00932A03"/>
    <w:rsid w:val="00932E9C"/>
    <w:rsid w:val="0093344F"/>
    <w:rsid w:val="009337AE"/>
    <w:rsid w:val="0093417A"/>
    <w:rsid w:val="00934364"/>
    <w:rsid w:val="0093440F"/>
    <w:rsid w:val="00934988"/>
    <w:rsid w:val="0093536E"/>
    <w:rsid w:val="009354D3"/>
    <w:rsid w:val="00935AC0"/>
    <w:rsid w:val="00937089"/>
    <w:rsid w:val="0093789E"/>
    <w:rsid w:val="00937F4D"/>
    <w:rsid w:val="00941004"/>
    <w:rsid w:val="0094118D"/>
    <w:rsid w:val="00941F0E"/>
    <w:rsid w:val="009422B4"/>
    <w:rsid w:val="00942586"/>
    <w:rsid w:val="00942659"/>
    <w:rsid w:val="0094292D"/>
    <w:rsid w:val="00942E7E"/>
    <w:rsid w:val="009436FE"/>
    <w:rsid w:val="009437CD"/>
    <w:rsid w:val="00943F9C"/>
    <w:rsid w:val="00944291"/>
    <w:rsid w:val="0094435A"/>
    <w:rsid w:val="009447FA"/>
    <w:rsid w:val="00944F8A"/>
    <w:rsid w:val="009451C0"/>
    <w:rsid w:val="00945B8B"/>
    <w:rsid w:val="00945C74"/>
    <w:rsid w:val="00945E68"/>
    <w:rsid w:val="00946152"/>
    <w:rsid w:val="00947C5B"/>
    <w:rsid w:val="0095037F"/>
    <w:rsid w:val="00950457"/>
    <w:rsid w:val="009509F9"/>
    <w:rsid w:val="00950CBC"/>
    <w:rsid w:val="00950E17"/>
    <w:rsid w:val="009510A2"/>
    <w:rsid w:val="0095131E"/>
    <w:rsid w:val="00951451"/>
    <w:rsid w:val="0095198F"/>
    <w:rsid w:val="00951EBD"/>
    <w:rsid w:val="009521EC"/>
    <w:rsid w:val="00952AF4"/>
    <w:rsid w:val="00953177"/>
    <w:rsid w:val="00953257"/>
    <w:rsid w:val="0095474C"/>
    <w:rsid w:val="009549F5"/>
    <w:rsid w:val="00954E78"/>
    <w:rsid w:val="00955882"/>
    <w:rsid w:val="00956006"/>
    <w:rsid w:val="00956E81"/>
    <w:rsid w:val="00956F66"/>
    <w:rsid w:val="0095770F"/>
    <w:rsid w:val="009579AF"/>
    <w:rsid w:val="00957D92"/>
    <w:rsid w:val="009605EA"/>
    <w:rsid w:val="00960E06"/>
    <w:rsid w:val="00960EE1"/>
    <w:rsid w:val="00960F84"/>
    <w:rsid w:val="0096156F"/>
    <w:rsid w:val="00962CB9"/>
    <w:rsid w:val="00962DFB"/>
    <w:rsid w:val="00963195"/>
    <w:rsid w:val="00963442"/>
    <w:rsid w:val="00963533"/>
    <w:rsid w:val="0096391C"/>
    <w:rsid w:val="00963A13"/>
    <w:rsid w:val="00963E7D"/>
    <w:rsid w:val="00964312"/>
    <w:rsid w:val="00965459"/>
    <w:rsid w:val="00965B8A"/>
    <w:rsid w:val="00965B8E"/>
    <w:rsid w:val="00965F59"/>
    <w:rsid w:val="0096681D"/>
    <w:rsid w:val="00966A98"/>
    <w:rsid w:val="00966CCE"/>
    <w:rsid w:val="00966E24"/>
    <w:rsid w:val="00967AAA"/>
    <w:rsid w:val="00967E08"/>
    <w:rsid w:val="009701C4"/>
    <w:rsid w:val="00970444"/>
    <w:rsid w:val="009705A4"/>
    <w:rsid w:val="0097071F"/>
    <w:rsid w:val="009707A4"/>
    <w:rsid w:val="00970BB3"/>
    <w:rsid w:val="00971270"/>
    <w:rsid w:val="00971276"/>
    <w:rsid w:val="009717AC"/>
    <w:rsid w:val="00971EDC"/>
    <w:rsid w:val="00971FF3"/>
    <w:rsid w:val="0097207F"/>
    <w:rsid w:val="00972187"/>
    <w:rsid w:val="009722DC"/>
    <w:rsid w:val="00972EBC"/>
    <w:rsid w:val="00972F4A"/>
    <w:rsid w:val="00973121"/>
    <w:rsid w:val="00973391"/>
    <w:rsid w:val="00973999"/>
    <w:rsid w:val="00973A5F"/>
    <w:rsid w:val="0097429A"/>
    <w:rsid w:val="0097442E"/>
    <w:rsid w:val="00974457"/>
    <w:rsid w:val="00974795"/>
    <w:rsid w:val="00974884"/>
    <w:rsid w:val="00974A14"/>
    <w:rsid w:val="00974BAF"/>
    <w:rsid w:val="009751C1"/>
    <w:rsid w:val="00975CBF"/>
    <w:rsid w:val="00975D2D"/>
    <w:rsid w:val="009767A2"/>
    <w:rsid w:val="00976DF0"/>
    <w:rsid w:val="009770D5"/>
    <w:rsid w:val="009772DA"/>
    <w:rsid w:val="00977DF3"/>
    <w:rsid w:val="00980122"/>
    <w:rsid w:val="00980783"/>
    <w:rsid w:val="00980CF3"/>
    <w:rsid w:val="00980ECA"/>
    <w:rsid w:val="009811F1"/>
    <w:rsid w:val="009822A0"/>
    <w:rsid w:val="00982A7E"/>
    <w:rsid w:val="00982E2D"/>
    <w:rsid w:val="0098370B"/>
    <w:rsid w:val="009839DB"/>
    <w:rsid w:val="00983D48"/>
    <w:rsid w:val="00983E57"/>
    <w:rsid w:val="00983FEC"/>
    <w:rsid w:val="00984022"/>
    <w:rsid w:val="009840EF"/>
    <w:rsid w:val="00984395"/>
    <w:rsid w:val="009844BF"/>
    <w:rsid w:val="00984B22"/>
    <w:rsid w:val="00984E67"/>
    <w:rsid w:val="0098509A"/>
    <w:rsid w:val="009853BB"/>
    <w:rsid w:val="009858FB"/>
    <w:rsid w:val="00985DE2"/>
    <w:rsid w:val="00986118"/>
    <w:rsid w:val="0098675D"/>
    <w:rsid w:val="009875A4"/>
    <w:rsid w:val="00987BA4"/>
    <w:rsid w:val="009905CF"/>
    <w:rsid w:val="009905D7"/>
    <w:rsid w:val="00990CD9"/>
    <w:rsid w:val="009916D9"/>
    <w:rsid w:val="009919F5"/>
    <w:rsid w:val="00991DD5"/>
    <w:rsid w:val="00992314"/>
    <w:rsid w:val="009923FB"/>
    <w:rsid w:val="009926E0"/>
    <w:rsid w:val="00992851"/>
    <w:rsid w:val="009929D1"/>
    <w:rsid w:val="00993582"/>
    <w:rsid w:val="00993BE1"/>
    <w:rsid w:val="00993CEE"/>
    <w:rsid w:val="00994248"/>
    <w:rsid w:val="009942B0"/>
    <w:rsid w:val="0099451E"/>
    <w:rsid w:val="00994522"/>
    <w:rsid w:val="0099484E"/>
    <w:rsid w:val="0099509D"/>
    <w:rsid w:val="00995780"/>
    <w:rsid w:val="00995946"/>
    <w:rsid w:val="00995BA5"/>
    <w:rsid w:val="009960A1"/>
    <w:rsid w:val="009968E7"/>
    <w:rsid w:val="00996A87"/>
    <w:rsid w:val="00996B1A"/>
    <w:rsid w:val="00996F74"/>
    <w:rsid w:val="00997109"/>
    <w:rsid w:val="009976DF"/>
    <w:rsid w:val="0099791E"/>
    <w:rsid w:val="00997D4A"/>
    <w:rsid w:val="00997EF6"/>
    <w:rsid w:val="009A02C1"/>
    <w:rsid w:val="009A038B"/>
    <w:rsid w:val="009A0583"/>
    <w:rsid w:val="009A0588"/>
    <w:rsid w:val="009A0712"/>
    <w:rsid w:val="009A0C18"/>
    <w:rsid w:val="009A1370"/>
    <w:rsid w:val="009A17C5"/>
    <w:rsid w:val="009A18F6"/>
    <w:rsid w:val="009A1C21"/>
    <w:rsid w:val="009A1C97"/>
    <w:rsid w:val="009A1D2D"/>
    <w:rsid w:val="009A20AF"/>
    <w:rsid w:val="009A24EB"/>
    <w:rsid w:val="009A2638"/>
    <w:rsid w:val="009A29CA"/>
    <w:rsid w:val="009A2C0A"/>
    <w:rsid w:val="009A2DCC"/>
    <w:rsid w:val="009A3819"/>
    <w:rsid w:val="009A3EF4"/>
    <w:rsid w:val="009A4058"/>
    <w:rsid w:val="009A42C7"/>
    <w:rsid w:val="009A4CF4"/>
    <w:rsid w:val="009A4D93"/>
    <w:rsid w:val="009A5174"/>
    <w:rsid w:val="009A5414"/>
    <w:rsid w:val="009A545F"/>
    <w:rsid w:val="009A5812"/>
    <w:rsid w:val="009A5ABC"/>
    <w:rsid w:val="009A5C1F"/>
    <w:rsid w:val="009A60BD"/>
    <w:rsid w:val="009A61F3"/>
    <w:rsid w:val="009A6E1D"/>
    <w:rsid w:val="009A700F"/>
    <w:rsid w:val="009A71CD"/>
    <w:rsid w:val="009A7423"/>
    <w:rsid w:val="009A786D"/>
    <w:rsid w:val="009A7F10"/>
    <w:rsid w:val="009B0280"/>
    <w:rsid w:val="009B0A11"/>
    <w:rsid w:val="009B141E"/>
    <w:rsid w:val="009B2037"/>
    <w:rsid w:val="009B27B0"/>
    <w:rsid w:val="009B2C41"/>
    <w:rsid w:val="009B33E8"/>
    <w:rsid w:val="009B34AD"/>
    <w:rsid w:val="009B36B2"/>
    <w:rsid w:val="009B3E26"/>
    <w:rsid w:val="009B4062"/>
    <w:rsid w:val="009B476B"/>
    <w:rsid w:val="009B47B4"/>
    <w:rsid w:val="009B576B"/>
    <w:rsid w:val="009B5B3B"/>
    <w:rsid w:val="009B6D8E"/>
    <w:rsid w:val="009B7306"/>
    <w:rsid w:val="009B7CE5"/>
    <w:rsid w:val="009B7E36"/>
    <w:rsid w:val="009C085A"/>
    <w:rsid w:val="009C0E97"/>
    <w:rsid w:val="009C0F15"/>
    <w:rsid w:val="009C1271"/>
    <w:rsid w:val="009C1628"/>
    <w:rsid w:val="009C17C5"/>
    <w:rsid w:val="009C1AC4"/>
    <w:rsid w:val="009C1B42"/>
    <w:rsid w:val="009C202E"/>
    <w:rsid w:val="009C2882"/>
    <w:rsid w:val="009C2E15"/>
    <w:rsid w:val="009C310D"/>
    <w:rsid w:val="009C33B1"/>
    <w:rsid w:val="009C3706"/>
    <w:rsid w:val="009C3A3A"/>
    <w:rsid w:val="009C3E5F"/>
    <w:rsid w:val="009C4CB5"/>
    <w:rsid w:val="009C4D9C"/>
    <w:rsid w:val="009C52B7"/>
    <w:rsid w:val="009C63D0"/>
    <w:rsid w:val="009C67AD"/>
    <w:rsid w:val="009C6BC4"/>
    <w:rsid w:val="009C6CD9"/>
    <w:rsid w:val="009C6CEA"/>
    <w:rsid w:val="009C6D6E"/>
    <w:rsid w:val="009C723F"/>
    <w:rsid w:val="009C78C6"/>
    <w:rsid w:val="009C7903"/>
    <w:rsid w:val="009C7AC9"/>
    <w:rsid w:val="009C7B85"/>
    <w:rsid w:val="009D0254"/>
    <w:rsid w:val="009D0896"/>
    <w:rsid w:val="009D09FC"/>
    <w:rsid w:val="009D148D"/>
    <w:rsid w:val="009D1563"/>
    <w:rsid w:val="009D17D6"/>
    <w:rsid w:val="009D183B"/>
    <w:rsid w:val="009D1A64"/>
    <w:rsid w:val="009D1FF5"/>
    <w:rsid w:val="009D2132"/>
    <w:rsid w:val="009D2156"/>
    <w:rsid w:val="009D227B"/>
    <w:rsid w:val="009D2A13"/>
    <w:rsid w:val="009D2D8E"/>
    <w:rsid w:val="009D3138"/>
    <w:rsid w:val="009D31D7"/>
    <w:rsid w:val="009D405C"/>
    <w:rsid w:val="009D4CE6"/>
    <w:rsid w:val="009D53D5"/>
    <w:rsid w:val="009D5892"/>
    <w:rsid w:val="009D5B91"/>
    <w:rsid w:val="009D6325"/>
    <w:rsid w:val="009D689B"/>
    <w:rsid w:val="009D691B"/>
    <w:rsid w:val="009D6A10"/>
    <w:rsid w:val="009D6B2A"/>
    <w:rsid w:val="009D756A"/>
    <w:rsid w:val="009D792E"/>
    <w:rsid w:val="009E02B0"/>
    <w:rsid w:val="009E0497"/>
    <w:rsid w:val="009E0982"/>
    <w:rsid w:val="009E0CEA"/>
    <w:rsid w:val="009E0DFE"/>
    <w:rsid w:val="009E13C8"/>
    <w:rsid w:val="009E143D"/>
    <w:rsid w:val="009E14B1"/>
    <w:rsid w:val="009E1C2A"/>
    <w:rsid w:val="009E2662"/>
    <w:rsid w:val="009E2898"/>
    <w:rsid w:val="009E31F6"/>
    <w:rsid w:val="009E3BFB"/>
    <w:rsid w:val="009E3D70"/>
    <w:rsid w:val="009E3FDB"/>
    <w:rsid w:val="009E40BF"/>
    <w:rsid w:val="009E4ACD"/>
    <w:rsid w:val="009E4C07"/>
    <w:rsid w:val="009E5302"/>
    <w:rsid w:val="009E5862"/>
    <w:rsid w:val="009E6018"/>
    <w:rsid w:val="009E6397"/>
    <w:rsid w:val="009E6820"/>
    <w:rsid w:val="009E777F"/>
    <w:rsid w:val="009F05D6"/>
    <w:rsid w:val="009F0A77"/>
    <w:rsid w:val="009F1491"/>
    <w:rsid w:val="009F1A3A"/>
    <w:rsid w:val="009F1A72"/>
    <w:rsid w:val="009F1C05"/>
    <w:rsid w:val="009F2172"/>
    <w:rsid w:val="009F25FE"/>
    <w:rsid w:val="009F32F8"/>
    <w:rsid w:val="009F3845"/>
    <w:rsid w:val="009F3B47"/>
    <w:rsid w:val="009F4361"/>
    <w:rsid w:val="009F4B60"/>
    <w:rsid w:val="009F5637"/>
    <w:rsid w:val="009F5C25"/>
    <w:rsid w:val="009F6120"/>
    <w:rsid w:val="009F6A1B"/>
    <w:rsid w:val="009F6B30"/>
    <w:rsid w:val="009F740B"/>
    <w:rsid w:val="009F7847"/>
    <w:rsid w:val="00A002AB"/>
    <w:rsid w:val="00A0044A"/>
    <w:rsid w:val="00A00523"/>
    <w:rsid w:val="00A008F5"/>
    <w:rsid w:val="00A00B8E"/>
    <w:rsid w:val="00A00CD6"/>
    <w:rsid w:val="00A00D76"/>
    <w:rsid w:val="00A00F05"/>
    <w:rsid w:val="00A0109A"/>
    <w:rsid w:val="00A01161"/>
    <w:rsid w:val="00A01184"/>
    <w:rsid w:val="00A01449"/>
    <w:rsid w:val="00A027CD"/>
    <w:rsid w:val="00A02859"/>
    <w:rsid w:val="00A02C9E"/>
    <w:rsid w:val="00A037C2"/>
    <w:rsid w:val="00A03AAE"/>
    <w:rsid w:val="00A03C0D"/>
    <w:rsid w:val="00A03D43"/>
    <w:rsid w:val="00A03D83"/>
    <w:rsid w:val="00A03E4B"/>
    <w:rsid w:val="00A0411C"/>
    <w:rsid w:val="00A04380"/>
    <w:rsid w:val="00A0474A"/>
    <w:rsid w:val="00A04786"/>
    <w:rsid w:val="00A04B54"/>
    <w:rsid w:val="00A04BA6"/>
    <w:rsid w:val="00A04BEC"/>
    <w:rsid w:val="00A04DF9"/>
    <w:rsid w:val="00A05472"/>
    <w:rsid w:val="00A05C32"/>
    <w:rsid w:val="00A060EB"/>
    <w:rsid w:val="00A062FB"/>
    <w:rsid w:val="00A064F2"/>
    <w:rsid w:val="00A0653F"/>
    <w:rsid w:val="00A068A4"/>
    <w:rsid w:val="00A06A9C"/>
    <w:rsid w:val="00A06CA3"/>
    <w:rsid w:val="00A06F57"/>
    <w:rsid w:val="00A0709E"/>
    <w:rsid w:val="00A071C1"/>
    <w:rsid w:val="00A07938"/>
    <w:rsid w:val="00A1025C"/>
    <w:rsid w:val="00A10E76"/>
    <w:rsid w:val="00A1144E"/>
    <w:rsid w:val="00A11774"/>
    <w:rsid w:val="00A11AEF"/>
    <w:rsid w:val="00A11CD0"/>
    <w:rsid w:val="00A12377"/>
    <w:rsid w:val="00A125F7"/>
    <w:rsid w:val="00A13948"/>
    <w:rsid w:val="00A13C65"/>
    <w:rsid w:val="00A13CB2"/>
    <w:rsid w:val="00A1451D"/>
    <w:rsid w:val="00A1548E"/>
    <w:rsid w:val="00A1555B"/>
    <w:rsid w:val="00A155C5"/>
    <w:rsid w:val="00A158A0"/>
    <w:rsid w:val="00A15B8B"/>
    <w:rsid w:val="00A15CA4"/>
    <w:rsid w:val="00A163C1"/>
    <w:rsid w:val="00A16AD8"/>
    <w:rsid w:val="00A17229"/>
    <w:rsid w:val="00A17537"/>
    <w:rsid w:val="00A176D0"/>
    <w:rsid w:val="00A17A67"/>
    <w:rsid w:val="00A17B85"/>
    <w:rsid w:val="00A17D5E"/>
    <w:rsid w:val="00A2021E"/>
    <w:rsid w:val="00A20B9A"/>
    <w:rsid w:val="00A211BB"/>
    <w:rsid w:val="00A21520"/>
    <w:rsid w:val="00A21694"/>
    <w:rsid w:val="00A21B25"/>
    <w:rsid w:val="00A21C95"/>
    <w:rsid w:val="00A21CF3"/>
    <w:rsid w:val="00A21DCD"/>
    <w:rsid w:val="00A220BC"/>
    <w:rsid w:val="00A2271A"/>
    <w:rsid w:val="00A2288C"/>
    <w:rsid w:val="00A22FBC"/>
    <w:rsid w:val="00A237FC"/>
    <w:rsid w:val="00A23874"/>
    <w:rsid w:val="00A23BDC"/>
    <w:rsid w:val="00A24813"/>
    <w:rsid w:val="00A24CE5"/>
    <w:rsid w:val="00A2503D"/>
    <w:rsid w:val="00A252E9"/>
    <w:rsid w:val="00A253A2"/>
    <w:rsid w:val="00A25E41"/>
    <w:rsid w:val="00A26B68"/>
    <w:rsid w:val="00A27AEC"/>
    <w:rsid w:val="00A30C72"/>
    <w:rsid w:val="00A30D54"/>
    <w:rsid w:val="00A320DB"/>
    <w:rsid w:val="00A3237C"/>
    <w:rsid w:val="00A326A2"/>
    <w:rsid w:val="00A32D98"/>
    <w:rsid w:val="00A339D2"/>
    <w:rsid w:val="00A33FA9"/>
    <w:rsid w:val="00A34248"/>
    <w:rsid w:val="00A343CA"/>
    <w:rsid w:val="00A3483F"/>
    <w:rsid w:val="00A34FBD"/>
    <w:rsid w:val="00A3520E"/>
    <w:rsid w:val="00A35446"/>
    <w:rsid w:val="00A35C11"/>
    <w:rsid w:val="00A35D16"/>
    <w:rsid w:val="00A35ED6"/>
    <w:rsid w:val="00A3640F"/>
    <w:rsid w:val="00A3643E"/>
    <w:rsid w:val="00A36B99"/>
    <w:rsid w:val="00A372BA"/>
    <w:rsid w:val="00A37509"/>
    <w:rsid w:val="00A3753B"/>
    <w:rsid w:val="00A37663"/>
    <w:rsid w:val="00A37BCD"/>
    <w:rsid w:val="00A401E2"/>
    <w:rsid w:val="00A404A2"/>
    <w:rsid w:val="00A40821"/>
    <w:rsid w:val="00A410C8"/>
    <w:rsid w:val="00A4134E"/>
    <w:rsid w:val="00A41407"/>
    <w:rsid w:val="00A41689"/>
    <w:rsid w:val="00A41856"/>
    <w:rsid w:val="00A41CA1"/>
    <w:rsid w:val="00A41E0C"/>
    <w:rsid w:val="00A4226C"/>
    <w:rsid w:val="00A42592"/>
    <w:rsid w:val="00A4261C"/>
    <w:rsid w:val="00A42F83"/>
    <w:rsid w:val="00A43252"/>
    <w:rsid w:val="00A433FA"/>
    <w:rsid w:val="00A43C59"/>
    <w:rsid w:val="00A44007"/>
    <w:rsid w:val="00A45D50"/>
    <w:rsid w:val="00A45DED"/>
    <w:rsid w:val="00A45FBD"/>
    <w:rsid w:val="00A46F55"/>
    <w:rsid w:val="00A46F66"/>
    <w:rsid w:val="00A5015A"/>
    <w:rsid w:val="00A504FA"/>
    <w:rsid w:val="00A50775"/>
    <w:rsid w:val="00A50D47"/>
    <w:rsid w:val="00A50ECD"/>
    <w:rsid w:val="00A5102A"/>
    <w:rsid w:val="00A518F3"/>
    <w:rsid w:val="00A51B9A"/>
    <w:rsid w:val="00A52116"/>
    <w:rsid w:val="00A52136"/>
    <w:rsid w:val="00A52729"/>
    <w:rsid w:val="00A5292F"/>
    <w:rsid w:val="00A52AE6"/>
    <w:rsid w:val="00A53675"/>
    <w:rsid w:val="00A53A5E"/>
    <w:rsid w:val="00A54099"/>
    <w:rsid w:val="00A542CF"/>
    <w:rsid w:val="00A54BB1"/>
    <w:rsid w:val="00A551CB"/>
    <w:rsid w:val="00A552D7"/>
    <w:rsid w:val="00A55C85"/>
    <w:rsid w:val="00A55F69"/>
    <w:rsid w:val="00A564D7"/>
    <w:rsid w:val="00A5670B"/>
    <w:rsid w:val="00A569BD"/>
    <w:rsid w:val="00A569E9"/>
    <w:rsid w:val="00A56B6A"/>
    <w:rsid w:val="00A56F12"/>
    <w:rsid w:val="00A5710E"/>
    <w:rsid w:val="00A578DC"/>
    <w:rsid w:val="00A57F46"/>
    <w:rsid w:val="00A60014"/>
    <w:rsid w:val="00A607E8"/>
    <w:rsid w:val="00A610A7"/>
    <w:rsid w:val="00A61436"/>
    <w:rsid w:val="00A61654"/>
    <w:rsid w:val="00A63C6E"/>
    <w:rsid w:val="00A63D3A"/>
    <w:rsid w:val="00A63F6A"/>
    <w:rsid w:val="00A640E2"/>
    <w:rsid w:val="00A64D65"/>
    <w:rsid w:val="00A6549B"/>
    <w:rsid w:val="00A656A0"/>
    <w:rsid w:val="00A65722"/>
    <w:rsid w:val="00A664A2"/>
    <w:rsid w:val="00A66685"/>
    <w:rsid w:val="00A6725B"/>
    <w:rsid w:val="00A67284"/>
    <w:rsid w:val="00A67352"/>
    <w:rsid w:val="00A67506"/>
    <w:rsid w:val="00A67AAD"/>
    <w:rsid w:val="00A7055D"/>
    <w:rsid w:val="00A70605"/>
    <w:rsid w:val="00A7068C"/>
    <w:rsid w:val="00A71484"/>
    <w:rsid w:val="00A721C4"/>
    <w:rsid w:val="00A72B23"/>
    <w:rsid w:val="00A73134"/>
    <w:rsid w:val="00A7363F"/>
    <w:rsid w:val="00A7365A"/>
    <w:rsid w:val="00A738C0"/>
    <w:rsid w:val="00A73C9F"/>
    <w:rsid w:val="00A742EC"/>
    <w:rsid w:val="00A74326"/>
    <w:rsid w:val="00A74364"/>
    <w:rsid w:val="00A7456E"/>
    <w:rsid w:val="00A74742"/>
    <w:rsid w:val="00A74CFF"/>
    <w:rsid w:val="00A75097"/>
    <w:rsid w:val="00A75307"/>
    <w:rsid w:val="00A753D9"/>
    <w:rsid w:val="00A75841"/>
    <w:rsid w:val="00A76001"/>
    <w:rsid w:val="00A7736F"/>
    <w:rsid w:val="00A7747D"/>
    <w:rsid w:val="00A7758E"/>
    <w:rsid w:val="00A777B2"/>
    <w:rsid w:val="00A803DC"/>
    <w:rsid w:val="00A806A0"/>
    <w:rsid w:val="00A80B2B"/>
    <w:rsid w:val="00A811F6"/>
    <w:rsid w:val="00A813FE"/>
    <w:rsid w:val="00A815F4"/>
    <w:rsid w:val="00A818BD"/>
    <w:rsid w:val="00A8196F"/>
    <w:rsid w:val="00A82245"/>
    <w:rsid w:val="00A825D4"/>
    <w:rsid w:val="00A8285B"/>
    <w:rsid w:val="00A828F6"/>
    <w:rsid w:val="00A82938"/>
    <w:rsid w:val="00A829CB"/>
    <w:rsid w:val="00A82B73"/>
    <w:rsid w:val="00A82C0E"/>
    <w:rsid w:val="00A82F60"/>
    <w:rsid w:val="00A8332E"/>
    <w:rsid w:val="00A834A3"/>
    <w:rsid w:val="00A83D47"/>
    <w:rsid w:val="00A84355"/>
    <w:rsid w:val="00A84ED8"/>
    <w:rsid w:val="00A84EF8"/>
    <w:rsid w:val="00A84FB8"/>
    <w:rsid w:val="00A85C84"/>
    <w:rsid w:val="00A85D0F"/>
    <w:rsid w:val="00A86121"/>
    <w:rsid w:val="00A86225"/>
    <w:rsid w:val="00A863A8"/>
    <w:rsid w:val="00A867C2"/>
    <w:rsid w:val="00A867DF"/>
    <w:rsid w:val="00A86C5C"/>
    <w:rsid w:val="00A86E8B"/>
    <w:rsid w:val="00A87164"/>
    <w:rsid w:val="00A87E8B"/>
    <w:rsid w:val="00A90C9A"/>
    <w:rsid w:val="00A91391"/>
    <w:rsid w:val="00A91B45"/>
    <w:rsid w:val="00A91FC1"/>
    <w:rsid w:val="00A921E4"/>
    <w:rsid w:val="00A923E5"/>
    <w:rsid w:val="00A93013"/>
    <w:rsid w:val="00A93072"/>
    <w:rsid w:val="00A938BD"/>
    <w:rsid w:val="00A93953"/>
    <w:rsid w:val="00A93B92"/>
    <w:rsid w:val="00A93F81"/>
    <w:rsid w:val="00A94670"/>
    <w:rsid w:val="00A94E66"/>
    <w:rsid w:val="00A95558"/>
    <w:rsid w:val="00A959D8"/>
    <w:rsid w:val="00A96125"/>
    <w:rsid w:val="00A97A0E"/>
    <w:rsid w:val="00AA0185"/>
    <w:rsid w:val="00AA0202"/>
    <w:rsid w:val="00AA0892"/>
    <w:rsid w:val="00AA0D90"/>
    <w:rsid w:val="00AA113D"/>
    <w:rsid w:val="00AA1377"/>
    <w:rsid w:val="00AA1E11"/>
    <w:rsid w:val="00AA29DA"/>
    <w:rsid w:val="00AA3421"/>
    <w:rsid w:val="00AA403A"/>
    <w:rsid w:val="00AA42BB"/>
    <w:rsid w:val="00AA42BE"/>
    <w:rsid w:val="00AA43B1"/>
    <w:rsid w:val="00AA4D2A"/>
    <w:rsid w:val="00AA4D94"/>
    <w:rsid w:val="00AA4FC1"/>
    <w:rsid w:val="00AA541F"/>
    <w:rsid w:val="00AA5A64"/>
    <w:rsid w:val="00AA5B9A"/>
    <w:rsid w:val="00AA64B0"/>
    <w:rsid w:val="00AA683F"/>
    <w:rsid w:val="00AA6BD5"/>
    <w:rsid w:val="00AA6BD8"/>
    <w:rsid w:val="00AA6C7D"/>
    <w:rsid w:val="00AA7026"/>
    <w:rsid w:val="00AA7383"/>
    <w:rsid w:val="00AA7429"/>
    <w:rsid w:val="00AA7718"/>
    <w:rsid w:val="00AA7FD6"/>
    <w:rsid w:val="00AB042A"/>
    <w:rsid w:val="00AB092C"/>
    <w:rsid w:val="00AB0E49"/>
    <w:rsid w:val="00AB0EE2"/>
    <w:rsid w:val="00AB0FD2"/>
    <w:rsid w:val="00AB11AD"/>
    <w:rsid w:val="00AB13B7"/>
    <w:rsid w:val="00AB18EE"/>
    <w:rsid w:val="00AB19EF"/>
    <w:rsid w:val="00AB1A17"/>
    <w:rsid w:val="00AB1A97"/>
    <w:rsid w:val="00AB1AD3"/>
    <w:rsid w:val="00AB2495"/>
    <w:rsid w:val="00AB296E"/>
    <w:rsid w:val="00AB2B90"/>
    <w:rsid w:val="00AB2D34"/>
    <w:rsid w:val="00AB2D56"/>
    <w:rsid w:val="00AB3182"/>
    <w:rsid w:val="00AB3430"/>
    <w:rsid w:val="00AB35C0"/>
    <w:rsid w:val="00AB37B9"/>
    <w:rsid w:val="00AB3B0F"/>
    <w:rsid w:val="00AB3CF3"/>
    <w:rsid w:val="00AB459C"/>
    <w:rsid w:val="00AB4AD1"/>
    <w:rsid w:val="00AB4B7A"/>
    <w:rsid w:val="00AB5BFE"/>
    <w:rsid w:val="00AB5C28"/>
    <w:rsid w:val="00AB5E07"/>
    <w:rsid w:val="00AB6410"/>
    <w:rsid w:val="00AB67E3"/>
    <w:rsid w:val="00AB6889"/>
    <w:rsid w:val="00AB68B2"/>
    <w:rsid w:val="00AB761F"/>
    <w:rsid w:val="00AB780C"/>
    <w:rsid w:val="00AB7CFA"/>
    <w:rsid w:val="00AB7FF1"/>
    <w:rsid w:val="00AC0515"/>
    <w:rsid w:val="00AC0D3F"/>
    <w:rsid w:val="00AC140D"/>
    <w:rsid w:val="00AC1657"/>
    <w:rsid w:val="00AC234C"/>
    <w:rsid w:val="00AC2635"/>
    <w:rsid w:val="00AC2C02"/>
    <w:rsid w:val="00AC32A9"/>
    <w:rsid w:val="00AC35C8"/>
    <w:rsid w:val="00AC37CF"/>
    <w:rsid w:val="00AC3A1C"/>
    <w:rsid w:val="00AC451D"/>
    <w:rsid w:val="00AC4556"/>
    <w:rsid w:val="00AC4B5F"/>
    <w:rsid w:val="00AC51E4"/>
    <w:rsid w:val="00AC534C"/>
    <w:rsid w:val="00AC5B42"/>
    <w:rsid w:val="00AC5B48"/>
    <w:rsid w:val="00AC5E7E"/>
    <w:rsid w:val="00AC5F19"/>
    <w:rsid w:val="00AC6152"/>
    <w:rsid w:val="00AC734D"/>
    <w:rsid w:val="00AC73FE"/>
    <w:rsid w:val="00AC7431"/>
    <w:rsid w:val="00AC7956"/>
    <w:rsid w:val="00AC7BD2"/>
    <w:rsid w:val="00AC7BFE"/>
    <w:rsid w:val="00AD004D"/>
    <w:rsid w:val="00AD0EA2"/>
    <w:rsid w:val="00AD0EE3"/>
    <w:rsid w:val="00AD1450"/>
    <w:rsid w:val="00AD1563"/>
    <w:rsid w:val="00AD15E8"/>
    <w:rsid w:val="00AD17FB"/>
    <w:rsid w:val="00AD1A44"/>
    <w:rsid w:val="00AD34BA"/>
    <w:rsid w:val="00AD356D"/>
    <w:rsid w:val="00AD365F"/>
    <w:rsid w:val="00AD429A"/>
    <w:rsid w:val="00AD4648"/>
    <w:rsid w:val="00AD4B12"/>
    <w:rsid w:val="00AD5075"/>
    <w:rsid w:val="00AD5190"/>
    <w:rsid w:val="00AD5B9F"/>
    <w:rsid w:val="00AD6502"/>
    <w:rsid w:val="00AD6726"/>
    <w:rsid w:val="00AD6B19"/>
    <w:rsid w:val="00AD6B54"/>
    <w:rsid w:val="00AD6B95"/>
    <w:rsid w:val="00AE0401"/>
    <w:rsid w:val="00AE0695"/>
    <w:rsid w:val="00AE0807"/>
    <w:rsid w:val="00AE1078"/>
    <w:rsid w:val="00AE1158"/>
    <w:rsid w:val="00AE11B9"/>
    <w:rsid w:val="00AE1523"/>
    <w:rsid w:val="00AE159D"/>
    <w:rsid w:val="00AE15A4"/>
    <w:rsid w:val="00AE19A0"/>
    <w:rsid w:val="00AE1B04"/>
    <w:rsid w:val="00AE373F"/>
    <w:rsid w:val="00AE3AFC"/>
    <w:rsid w:val="00AE3E7E"/>
    <w:rsid w:val="00AE3FB7"/>
    <w:rsid w:val="00AE4312"/>
    <w:rsid w:val="00AE450F"/>
    <w:rsid w:val="00AE48B7"/>
    <w:rsid w:val="00AE4A46"/>
    <w:rsid w:val="00AE5034"/>
    <w:rsid w:val="00AE51CD"/>
    <w:rsid w:val="00AE5A14"/>
    <w:rsid w:val="00AE5A9F"/>
    <w:rsid w:val="00AE5F35"/>
    <w:rsid w:val="00AE6276"/>
    <w:rsid w:val="00AE6A7A"/>
    <w:rsid w:val="00AE7423"/>
    <w:rsid w:val="00AE7858"/>
    <w:rsid w:val="00AE79DD"/>
    <w:rsid w:val="00AE7E53"/>
    <w:rsid w:val="00AF029D"/>
    <w:rsid w:val="00AF09D8"/>
    <w:rsid w:val="00AF0B67"/>
    <w:rsid w:val="00AF1066"/>
    <w:rsid w:val="00AF1315"/>
    <w:rsid w:val="00AF1520"/>
    <w:rsid w:val="00AF19BF"/>
    <w:rsid w:val="00AF1AE8"/>
    <w:rsid w:val="00AF221F"/>
    <w:rsid w:val="00AF23A7"/>
    <w:rsid w:val="00AF2DC3"/>
    <w:rsid w:val="00AF32B3"/>
    <w:rsid w:val="00AF3A6E"/>
    <w:rsid w:val="00AF3FB1"/>
    <w:rsid w:val="00AF4892"/>
    <w:rsid w:val="00AF4ACD"/>
    <w:rsid w:val="00AF4B78"/>
    <w:rsid w:val="00AF4F1C"/>
    <w:rsid w:val="00AF4F6A"/>
    <w:rsid w:val="00AF533A"/>
    <w:rsid w:val="00AF6064"/>
    <w:rsid w:val="00AF6297"/>
    <w:rsid w:val="00AF660F"/>
    <w:rsid w:val="00AF6D20"/>
    <w:rsid w:val="00AF7AEE"/>
    <w:rsid w:val="00AF7C9E"/>
    <w:rsid w:val="00B000F1"/>
    <w:rsid w:val="00B00320"/>
    <w:rsid w:val="00B00912"/>
    <w:rsid w:val="00B0098D"/>
    <w:rsid w:val="00B00ABC"/>
    <w:rsid w:val="00B00AF6"/>
    <w:rsid w:val="00B00D0F"/>
    <w:rsid w:val="00B01906"/>
    <w:rsid w:val="00B01EEC"/>
    <w:rsid w:val="00B0202D"/>
    <w:rsid w:val="00B024D6"/>
    <w:rsid w:val="00B0290C"/>
    <w:rsid w:val="00B02925"/>
    <w:rsid w:val="00B02ADE"/>
    <w:rsid w:val="00B0308E"/>
    <w:rsid w:val="00B0315F"/>
    <w:rsid w:val="00B033E5"/>
    <w:rsid w:val="00B0352B"/>
    <w:rsid w:val="00B03A63"/>
    <w:rsid w:val="00B04D82"/>
    <w:rsid w:val="00B05013"/>
    <w:rsid w:val="00B050DD"/>
    <w:rsid w:val="00B057AD"/>
    <w:rsid w:val="00B058F9"/>
    <w:rsid w:val="00B0639F"/>
    <w:rsid w:val="00B068E1"/>
    <w:rsid w:val="00B06C0E"/>
    <w:rsid w:val="00B06E53"/>
    <w:rsid w:val="00B0735B"/>
    <w:rsid w:val="00B10244"/>
    <w:rsid w:val="00B106DD"/>
    <w:rsid w:val="00B10F1B"/>
    <w:rsid w:val="00B112A1"/>
    <w:rsid w:val="00B117B5"/>
    <w:rsid w:val="00B11827"/>
    <w:rsid w:val="00B1183D"/>
    <w:rsid w:val="00B12061"/>
    <w:rsid w:val="00B127BE"/>
    <w:rsid w:val="00B129A4"/>
    <w:rsid w:val="00B12F40"/>
    <w:rsid w:val="00B1389B"/>
    <w:rsid w:val="00B13951"/>
    <w:rsid w:val="00B1458F"/>
    <w:rsid w:val="00B145D1"/>
    <w:rsid w:val="00B14620"/>
    <w:rsid w:val="00B150B7"/>
    <w:rsid w:val="00B1619F"/>
    <w:rsid w:val="00B17259"/>
    <w:rsid w:val="00B17530"/>
    <w:rsid w:val="00B176EF"/>
    <w:rsid w:val="00B178FB"/>
    <w:rsid w:val="00B17BD4"/>
    <w:rsid w:val="00B201A4"/>
    <w:rsid w:val="00B201D1"/>
    <w:rsid w:val="00B204B6"/>
    <w:rsid w:val="00B20BE5"/>
    <w:rsid w:val="00B20FEE"/>
    <w:rsid w:val="00B2122F"/>
    <w:rsid w:val="00B212E2"/>
    <w:rsid w:val="00B213A6"/>
    <w:rsid w:val="00B21F21"/>
    <w:rsid w:val="00B225BE"/>
    <w:rsid w:val="00B235B0"/>
    <w:rsid w:val="00B236DA"/>
    <w:rsid w:val="00B23B57"/>
    <w:rsid w:val="00B242BE"/>
    <w:rsid w:val="00B24598"/>
    <w:rsid w:val="00B24DF6"/>
    <w:rsid w:val="00B26466"/>
    <w:rsid w:val="00B26C63"/>
    <w:rsid w:val="00B2712C"/>
    <w:rsid w:val="00B271C3"/>
    <w:rsid w:val="00B273AE"/>
    <w:rsid w:val="00B276D0"/>
    <w:rsid w:val="00B277F2"/>
    <w:rsid w:val="00B279D9"/>
    <w:rsid w:val="00B27A61"/>
    <w:rsid w:val="00B27AEA"/>
    <w:rsid w:val="00B3001C"/>
    <w:rsid w:val="00B3007D"/>
    <w:rsid w:val="00B300EA"/>
    <w:rsid w:val="00B30339"/>
    <w:rsid w:val="00B3048A"/>
    <w:rsid w:val="00B312EC"/>
    <w:rsid w:val="00B313E6"/>
    <w:rsid w:val="00B31447"/>
    <w:rsid w:val="00B32A63"/>
    <w:rsid w:val="00B32E72"/>
    <w:rsid w:val="00B32F52"/>
    <w:rsid w:val="00B33828"/>
    <w:rsid w:val="00B33C75"/>
    <w:rsid w:val="00B33DB1"/>
    <w:rsid w:val="00B33F65"/>
    <w:rsid w:val="00B3403C"/>
    <w:rsid w:val="00B3413F"/>
    <w:rsid w:val="00B342B0"/>
    <w:rsid w:val="00B348A7"/>
    <w:rsid w:val="00B349A3"/>
    <w:rsid w:val="00B34C82"/>
    <w:rsid w:val="00B34FE2"/>
    <w:rsid w:val="00B34FF4"/>
    <w:rsid w:val="00B35166"/>
    <w:rsid w:val="00B353C3"/>
    <w:rsid w:val="00B357D8"/>
    <w:rsid w:val="00B3585E"/>
    <w:rsid w:val="00B35A42"/>
    <w:rsid w:val="00B35AE4"/>
    <w:rsid w:val="00B360F4"/>
    <w:rsid w:val="00B362CA"/>
    <w:rsid w:val="00B36614"/>
    <w:rsid w:val="00B36A00"/>
    <w:rsid w:val="00B36B07"/>
    <w:rsid w:val="00B37036"/>
    <w:rsid w:val="00B37829"/>
    <w:rsid w:val="00B37889"/>
    <w:rsid w:val="00B3792B"/>
    <w:rsid w:val="00B37BEB"/>
    <w:rsid w:val="00B37BFC"/>
    <w:rsid w:val="00B40015"/>
    <w:rsid w:val="00B40358"/>
    <w:rsid w:val="00B4092C"/>
    <w:rsid w:val="00B40C59"/>
    <w:rsid w:val="00B41614"/>
    <w:rsid w:val="00B42851"/>
    <w:rsid w:val="00B42C83"/>
    <w:rsid w:val="00B42E21"/>
    <w:rsid w:val="00B42F80"/>
    <w:rsid w:val="00B435CB"/>
    <w:rsid w:val="00B44B85"/>
    <w:rsid w:val="00B451D7"/>
    <w:rsid w:val="00B452D2"/>
    <w:rsid w:val="00B452ED"/>
    <w:rsid w:val="00B457B2"/>
    <w:rsid w:val="00B45D8B"/>
    <w:rsid w:val="00B45DBD"/>
    <w:rsid w:val="00B465EC"/>
    <w:rsid w:val="00B46718"/>
    <w:rsid w:val="00B46856"/>
    <w:rsid w:val="00B474D0"/>
    <w:rsid w:val="00B4796E"/>
    <w:rsid w:val="00B47EE9"/>
    <w:rsid w:val="00B50188"/>
    <w:rsid w:val="00B505C8"/>
    <w:rsid w:val="00B50AF1"/>
    <w:rsid w:val="00B50C04"/>
    <w:rsid w:val="00B50C14"/>
    <w:rsid w:val="00B50C85"/>
    <w:rsid w:val="00B50DB8"/>
    <w:rsid w:val="00B50DF8"/>
    <w:rsid w:val="00B50E3F"/>
    <w:rsid w:val="00B520DC"/>
    <w:rsid w:val="00B5226B"/>
    <w:rsid w:val="00B527A9"/>
    <w:rsid w:val="00B52D7F"/>
    <w:rsid w:val="00B5337C"/>
    <w:rsid w:val="00B53654"/>
    <w:rsid w:val="00B53905"/>
    <w:rsid w:val="00B546DB"/>
    <w:rsid w:val="00B5489C"/>
    <w:rsid w:val="00B54B5B"/>
    <w:rsid w:val="00B54F30"/>
    <w:rsid w:val="00B550EB"/>
    <w:rsid w:val="00B5562E"/>
    <w:rsid w:val="00B55862"/>
    <w:rsid w:val="00B55D65"/>
    <w:rsid w:val="00B5601A"/>
    <w:rsid w:val="00B56305"/>
    <w:rsid w:val="00B56B9A"/>
    <w:rsid w:val="00B56C9A"/>
    <w:rsid w:val="00B56CD0"/>
    <w:rsid w:val="00B57000"/>
    <w:rsid w:val="00B57138"/>
    <w:rsid w:val="00B5717A"/>
    <w:rsid w:val="00B5747E"/>
    <w:rsid w:val="00B6007D"/>
    <w:rsid w:val="00B601AF"/>
    <w:rsid w:val="00B60371"/>
    <w:rsid w:val="00B606D4"/>
    <w:rsid w:val="00B60939"/>
    <w:rsid w:val="00B60AFD"/>
    <w:rsid w:val="00B60BCA"/>
    <w:rsid w:val="00B61372"/>
    <w:rsid w:val="00B61762"/>
    <w:rsid w:val="00B61868"/>
    <w:rsid w:val="00B62550"/>
    <w:rsid w:val="00B62715"/>
    <w:rsid w:val="00B6350B"/>
    <w:rsid w:val="00B63871"/>
    <w:rsid w:val="00B6388A"/>
    <w:rsid w:val="00B6432C"/>
    <w:rsid w:val="00B6502B"/>
    <w:rsid w:val="00B65611"/>
    <w:rsid w:val="00B65CBA"/>
    <w:rsid w:val="00B66E05"/>
    <w:rsid w:val="00B67147"/>
    <w:rsid w:val="00B676B6"/>
    <w:rsid w:val="00B67A77"/>
    <w:rsid w:val="00B701AE"/>
    <w:rsid w:val="00B708EB"/>
    <w:rsid w:val="00B70D15"/>
    <w:rsid w:val="00B70E8E"/>
    <w:rsid w:val="00B72BE3"/>
    <w:rsid w:val="00B73245"/>
    <w:rsid w:val="00B7346D"/>
    <w:rsid w:val="00B73A70"/>
    <w:rsid w:val="00B73C05"/>
    <w:rsid w:val="00B746F4"/>
    <w:rsid w:val="00B74DB1"/>
    <w:rsid w:val="00B74E9A"/>
    <w:rsid w:val="00B756B8"/>
    <w:rsid w:val="00B75A5F"/>
    <w:rsid w:val="00B76531"/>
    <w:rsid w:val="00B76BE4"/>
    <w:rsid w:val="00B76C1C"/>
    <w:rsid w:val="00B76C92"/>
    <w:rsid w:val="00B80593"/>
    <w:rsid w:val="00B8063E"/>
    <w:rsid w:val="00B80BFC"/>
    <w:rsid w:val="00B80CED"/>
    <w:rsid w:val="00B80DDF"/>
    <w:rsid w:val="00B80EFD"/>
    <w:rsid w:val="00B818A4"/>
    <w:rsid w:val="00B82CBD"/>
    <w:rsid w:val="00B83739"/>
    <w:rsid w:val="00B839D5"/>
    <w:rsid w:val="00B83D0A"/>
    <w:rsid w:val="00B84117"/>
    <w:rsid w:val="00B84E34"/>
    <w:rsid w:val="00B858F0"/>
    <w:rsid w:val="00B85A5C"/>
    <w:rsid w:val="00B85AA2"/>
    <w:rsid w:val="00B85B8F"/>
    <w:rsid w:val="00B86174"/>
    <w:rsid w:val="00B8649C"/>
    <w:rsid w:val="00B86675"/>
    <w:rsid w:val="00B866A8"/>
    <w:rsid w:val="00B8695D"/>
    <w:rsid w:val="00B86D55"/>
    <w:rsid w:val="00B86ECE"/>
    <w:rsid w:val="00B873D9"/>
    <w:rsid w:val="00B876A9"/>
    <w:rsid w:val="00B878A3"/>
    <w:rsid w:val="00B87F0A"/>
    <w:rsid w:val="00B91091"/>
    <w:rsid w:val="00B91C5F"/>
    <w:rsid w:val="00B91DFC"/>
    <w:rsid w:val="00B91E6C"/>
    <w:rsid w:val="00B92993"/>
    <w:rsid w:val="00B92CF3"/>
    <w:rsid w:val="00B92D0B"/>
    <w:rsid w:val="00B92FEC"/>
    <w:rsid w:val="00B9317F"/>
    <w:rsid w:val="00B9350B"/>
    <w:rsid w:val="00B93682"/>
    <w:rsid w:val="00B938F5"/>
    <w:rsid w:val="00B93908"/>
    <w:rsid w:val="00B93A9A"/>
    <w:rsid w:val="00B93C78"/>
    <w:rsid w:val="00B93D97"/>
    <w:rsid w:val="00B943B0"/>
    <w:rsid w:val="00B943E7"/>
    <w:rsid w:val="00B94885"/>
    <w:rsid w:val="00B94945"/>
    <w:rsid w:val="00B94DD6"/>
    <w:rsid w:val="00B94F95"/>
    <w:rsid w:val="00B950D8"/>
    <w:rsid w:val="00B9528D"/>
    <w:rsid w:val="00B957BF"/>
    <w:rsid w:val="00B95EB4"/>
    <w:rsid w:val="00B96098"/>
    <w:rsid w:val="00B962DC"/>
    <w:rsid w:val="00B96A42"/>
    <w:rsid w:val="00BA0376"/>
    <w:rsid w:val="00BA0656"/>
    <w:rsid w:val="00BA0661"/>
    <w:rsid w:val="00BA073B"/>
    <w:rsid w:val="00BA0E61"/>
    <w:rsid w:val="00BA11A3"/>
    <w:rsid w:val="00BA272A"/>
    <w:rsid w:val="00BA27BA"/>
    <w:rsid w:val="00BA2B35"/>
    <w:rsid w:val="00BA2BAF"/>
    <w:rsid w:val="00BA2C07"/>
    <w:rsid w:val="00BA2EE6"/>
    <w:rsid w:val="00BA3030"/>
    <w:rsid w:val="00BA31EC"/>
    <w:rsid w:val="00BA322D"/>
    <w:rsid w:val="00BA34B6"/>
    <w:rsid w:val="00BA361D"/>
    <w:rsid w:val="00BA3679"/>
    <w:rsid w:val="00BA384B"/>
    <w:rsid w:val="00BA39F9"/>
    <w:rsid w:val="00BA40AD"/>
    <w:rsid w:val="00BA44E6"/>
    <w:rsid w:val="00BA4BD8"/>
    <w:rsid w:val="00BA5019"/>
    <w:rsid w:val="00BA5667"/>
    <w:rsid w:val="00BA5A35"/>
    <w:rsid w:val="00BA63FA"/>
    <w:rsid w:val="00BA6A43"/>
    <w:rsid w:val="00BA6F0E"/>
    <w:rsid w:val="00BA7325"/>
    <w:rsid w:val="00BA7562"/>
    <w:rsid w:val="00BB00B3"/>
    <w:rsid w:val="00BB07B6"/>
    <w:rsid w:val="00BB0AA9"/>
    <w:rsid w:val="00BB0B9F"/>
    <w:rsid w:val="00BB0BDD"/>
    <w:rsid w:val="00BB10C5"/>
    <w:rsid w:val="00BB13E5"/>
    <w:rsid w:val="00BB1575"/>
    <w:rsid w:val="00BB16F9"/>
    <w:rsid w:val="00BB176C"/>
    <w:rsid w:val="00BB18E5"/>
    <w:rsid w:val="00BB2585"/>
    <w:rsid w:val="00BB25E6"/>
    <w:rsid w:val="00BB2A73"/>
    <w:rsid w:val="00BB2C13"/>
    <w:rsid w:val="00BB2F9A"/>
    <w:rsid w:val="00BB3337"/>
    <w:rsid w:val="00BB3703"/>
    <w:rsid w:val="00BB3A45"/>
    <w:rsid w:val="00BB3B43"/>
    <w:rsid w:val="00BB3D4B"/>
    <w:rsid w:val="00BB3DDA"/>
    <w:rsid w:val="00BB3ED3"/>
    <w:rsid w:val="00BB414F"/>
    <w:rsid w:val="00BB42F8"/>
    <w:rsid w:val="00BB4ACC"/>
    <w:rsid w:val="00BB4D43"/>
    <w:rsid w:val="00BB4DA4"/>
    <w:rsid w:val="00BB5257"/>
    <w:rsid w:val="00BB5B15"/>
    <w:rsid w:val="00BB6CB2"/>
    <w:rsid w:val="00BB7018"/>
    <w:rsid w:val="00BB703E"/>
    <w:rsid w:val="00BB7208"/>
    <w:rsid w:val="00BB7236"/>
    <w:rsid w:val="00BB732D"/>
    <w:rsid w:val="00BB7405"/>
    <w:rsid w:val="00BB76A8"/>
    <w:rsid w:val="00BB7A70"/>
    <w:rsid w:val="00BB7F13"/>
    <w:rsid w:val="00BC13E0"/>
    <w:rsid w:val="00BC1507"/>
    <w:rsid w:val="00BC1606"/>
    <w:rsid w:val="00BC160B"/>
    <w:rsid w:val="00BC1A5B"/>
    <w:rsid w:val="00BC1DD8"/>
    <w:rsid w:val="00BC20E4"/>
    <w:rsid w:val="00BC2B89"/>
    <w:rsid w:val="00BC2DB8"/>
    <w:rsid w:val="00BC3631"/>
    <w:rsid w:val="00BC3754"/>
    <w:rsid w:val="00BC3D49"/>
    <w:rsid w:val="00BC3D88"/>
    <w:rsid w:val="00BC3E1D"/>
    <w:rsid w:val="00BC4181"/>
    <w:rsid w:val="00BC42C3"/>
    <w:rsid w:val="00BC42C8"/>
    <w:rsid w:val="00BC438F"/>
    <w:rsid w:val="00BC4504"/>
    <w:rsid w:val="00BC4A0F"/>
    <w:rsid w:val="00BC591F"/>
    <w:rsid w:val="00BC6473"/>
    <w:rsid w:val="00BC6CE4"/>
    <w:rsid w:val="00BC6E61"/>
    <w:rsid w:val="00BC7370"/>
    <w:rsid w:val="00BC7644"/>
    <w:rsid w:val="00BC7D6D"/>
    <w:rsid w:val="00BD0AD7"/>
    <w:rsid w:val="00BD0BAC"/>
    <w:rsid w:val="00BD0D80"/>
    <w:rsid w:val="00BD103E"/>
    <w:rsid w:val="00BD10B4"/>
    <w:rsid w:val="00BD1294"/>
    <w:rsid w:val="00BD14A9"/>
    <w:rsid w:val="00BD1953"/>
    <w:rsid w:val="00BD2108"/>
    <w:rsid w:val="00BD2200"/>
    <w:rsid w:val="00BD222C"/>
    <w:rsid w:val="00BD233F"/>
    <w:rsid w:val="00BD24F9"/>
    <w:rsid w:val="00BD2970"/>
    <w:rsid w:val="00BD30BC"/>
    <w:rsid w:val="00BD346D"/>
    <w:rsid w:val="00BD36D0"/>
    <w:rsid w:val="00BD40C1"/>
    <w:rsid w:val="00BD44C8"/>
    <w:rsid w:val="00BD480C"/>
    <w:rsid w:val="00BD4B6C"/>
    <w:rsid w:val="00BD525E"/>
    <w:rsid w:val="00BD5905"/>
    <w:rsid w:val="00BD5C87"/>
    <w:rsid w:val="00BD5F00"/>
    <w:rsid w:val="00BD68A3"/>
    <w:rsid w:val="00BD68E4"/>
    <w:rsid w:val="00BD6938"/>
    <w:rsid w:val="00BD6CF3"/>
    <w:rsid w:val="00BD72B6"/>
    <w:rsid w:val="00BD79E9"/>
    <w:rsid w:val="00BD7D59"/>
    <w:rsid w:val="00BD7E76"/>
    <w:rsid w:val="00BD7F72"/>
    <w:rsid w:val="00BE02BF"/>
    <w:rsid w:val="00BE08AD"/>
    <w:rsid w:val="00BE0C77"/>
    <w:rsid w:val="00BE0ECA"/>
    <w:rsid w:val="00BE0FF6"/>
    <w:rsid w:val="00BE2180"/>
    <w:rsid w:val="00BE21F2"/>
    <w:rsid w:val="00BE2280"/>
    <w:rsid w:val="00BE296A"/>
    <w:rsid w:val="00BE2EE0"/>
    <w:rsid w:val="00BE2F96"/>
    <w:rsid w:val="00BE32DB"/>
    <w:rsid w:val="00BE32FD"/>
    <w:rsid w:val="00BE3358"/>
    <w:rsid w:val="00BE3732"/>
    <w:rsid w:val="00BE3C43"/>
    <w:rsid w:val="00BE4275"/>
    <w:rsid w:val="00BE4775"/>
    <w:rsid w:val="00BE48BC"/>
    <w:rsid w:val="00BE4946"/>
    <w:rsid w:val="00BE4E9A"/>
    <w:rsid w:val="00BE4F4C"/>
    <w:rsid w:val="00BE538F"/>
    <w:rsid w:val="00BE5900"/>
    <w:rsid w:val="00BE5AE8"/>
    <w:rsid w:val="00BE644B"/>
    <w:rsid w:val="00BE6761"/>
    <w:rsid w:val="00BE7AE8"/>
    <w:rsid w:val="00BF060F"/>
    <w:rsid w:val="00BF06AE"/>
    <w:rsid w:val="00BF07A2"/>
    <w:rsid w:val="00BF0A7C"/>
    <w:rsid w:val="00BF0E42"/>
    <w:rsid w:val="00BF0F95"/>
    <w:rsid w:val="00BF100E"/>
    <w:rsid w:val="00BF101A"/>
    <w:rsid w:val="00BF108D"/>
    <w:rsid w:val="00BF1315"/>
    <w:rsid w:val="00BF1372"/>
    <w:rsid w:val="00BF173A"/>
    <w:rsid w:val="00BF220A"/>
    <w:rsid w:val="00BF2433"/>
    <w:rsid w:val="00BF2B28"/>
    <w:rsid w:val="00BF2D9E"/>
    <w:rsid w:val="00BF2E6E"/>
    <w:rsid w:val="00BF3780"/>
    <w:rsid w:val="00BF478F"/>
    <w:rsid w:val="00BF48DF"/>
    <w:rsid w:val="00BF4C73"/>
    <w:rsid w:val="00BF61C9"/>
    <w:rsid w:val="00BF6B08"/>
    <w:rsid w:val="00BF6C94"/>
    <w:rsid w:val="00C002F4"/>
    <w:rsid w:val="00C00424"/>
    <w:rsid w:val="00C00715"/>
    <w:rsid w:val="00C00BB0"/>
    <w:rsid w:val="00C01270"/>
    <w:rsid w:val="00C01313"/>
    <w:rsid w:val="00C01925"/>
    <w:rsid w:val="00C01A3D"/>
    <w:rsid w:val="00C0206A"/>
    <w:rsid w:val="00C02384"/>
    <w:rsid w:val="00C023A7"/>
    <w:rsid w:val="00C024B2"/>
    <w:rsid w:val="00C02841"/>
    <w:rsid w:val="00C03163"/>
    <w:rsid w:val="00C0334C"/>
    <w:rsid w:val="00C03617"/>
    <w:rsid w:val="00C03635"/>
    <w:rsid w:val="00C039C0"/>
    <w:rsid w:val="00C03D69"/>
    <w:rsid w:val="00C03DEB"/>
    <w:rsid w:val="00C04306"/>
    <w:rsid w:val="00C044EA"/>
    <w:rsid w:val="00C044F9"/>
    <w:rsid w:val="00C04975"/>
    <w:rsid w:val="00C04B37"/>
    <w:rsid w:val="00C04D7A"/>
    <w:rsid w:val="00C050FD"/>
    <w:rsid w:val="00C05122"/>
    <w:rsid w:val="00C0515A"/>
    <w:rsid w:val="00C056CA"/>
    <w:rsid w:val="00C05DFF"/>
    <w:rsid w:val="00C05F73"/>
    <w:rsid w:val="00C05FA4"/>
    <w:rsid w:val="00C06405"/>
    <w:rsid w:val="00C065C1"/>
    <w:rsid w:val="00C06775"/>
    <w:rsid w:val="00C073F0"/>
    <w:rsid w:val="00C0770D"/>
    <w:rsid w:val="00C07A51"/>
    <w:rsid w:val="00C07D66"/>
    <w:rsid w:val="00C1121D"/>
    <w:rsid w:val="00C1179F"/>
    <w:rsid w:val="00C12091"/>
    <w:rsid w:val="00C127B9"/>
    <w:rsid w:val="00C128FA"/>
    <w:rsid w:val="00C12936"/>
    <w:rsid w:val="00C12A2D"/>
    <w:rsid w:val="00C12C14"/>
    <w:rsid w:val="00C13005"/>
    <w:rsid w:val="00C14277"/>
    <w:rsid w:val="00C14722"/>
    <w:rsid w:val="00C1475B"/>
    <w:rsid w:val="00C14DF6"/>
    <w:rsid w:val="00C1506A"/>
    <w:rsid w:val="00C150EC"/>
    <w:rsid w:val="00C1519F"/>
    <w:rsid w:val="00C1579A"/>
    <w:rsid w:val="00C15F04"/>
    <w:rsid w:val="00C15F9F"/>
    <w:rsid w:val="00C174DF"/>
    <w:rsid w:val="00C1775A"/>
    <w:rsid w:val="00C17765"/>
    <w:rsid w:val="00C179B3"/>
    <w:rsid w:val="00C17B19"/>
    <w:rsid w:val="00C17E3F"/>
    <w:rsid w:val="00C200A7"/>
    <w:rsid w:val="00C200AA"/>
    <w:rsid w:val="00C201DE"/>
    <w:rsid w:val="00C2076B"/>
    <w:rsid w:val="00C20BF3"/>
    <w:rsid w:val="00C20F15"/>
    <w:rsid w:val="00C218C9"/>
    <w:rsid w:val="00C221D5"/>
    <w:rsid w:val="00C2288E"/>
    <w:rsid w:val="00C2345A"/>
    <w:rsid w:val="00C237ED"/>
    <w:rsid w:val="00C23D44"/>
    <w:rsid w:val="00C2455B"/>
    <w:rsid w:val="00C2457C"/>
    <w:rsid w:val="00C24632"/>
    <w:rsid w:val="00C24754"/>
    <w:rsid w:val="00C2492A"/>
    <w:rsid w:val="00C24C5E"/>
    <w:rsid w:val="00C24F16"/>
    <w:rsid w:val="00C2526D"/>
    <w:rsid w:val="00C253D1"/>
    <w:rsid w:val="00C25418"/>
    <w:rsid w:val="00C259A7"/>
    <w:rsid w:val="00C259D7"/>
    <w:rsid w:val="00C25B11"/>
    <w:rsid w:val="00C25D9C"/>
    <w:rsid w:val="00C262AC"/>
    <w:rsid w:val="00C262EA"/>
    <w:rsid w:val="00C26498"/>
    <w:rsid w:val="00C26662"/>
    <w:rsid w:val="00C2672F"/>
    <w:rsid w:val="00C267A3"/>
    <w:rsid w:val="00C2778B"/>
    <w:rsid w:val="00C27C1E"/>
    <w:rsid w:val="00C27D68"/>
    <w:rsid w:val="00C27DD4"/>
    <w:rsid w:val="00C306D3"/>
    <w:rsid w:val="00C30796"/>
    <w:rsid w:val="00C30ECA"/>
    <w:rsid w:val="00C31649"/>
    <w:rsid w:val="00C31719"/>
    <w:rsid w:val="00C31CB3"/>
    <w:rsid w:val="00C3271E"/>
    <w:rsid w:val="00C32BBA"/>
    <w:rsid w:val="00C32C59"/>
    <w:rsid w:val="00C32C81"/>
    <w:rsid w:val="00C330F4"/>
    <w:rsid w:val="00C3320B"/>
    <w:rsid w:val="00C33679"/>
    <w:rsid w:val="00C33C80"/>
    <w:rsid w:val="00C33FBF"/>
    <w:rsid w:val="00C3434C"/>
    <w:rsid w:val="00C34AD2"/>
    <w:rsid w:val="00C3515F"/>
    <w:rsid w:val="00C362F3"/>
    <w:rsid w:val="00C36790"/>
    <w:rsid w:val="00C36918"/>
    <w:rsid w:val="00C369ED"/>
    <w:rsid w:val="00C36EBF"/>
    <w:rsid w:val="00C37076"/>
    <w:rsid w:val="00C371BF"/>
    <w:rsid w:val="00C37499"/>
    <w:rsid w:val="00C379B5"/>
    <w:rsid w:val="00C37C5B"/>
    <w:rsid w:val="00C40385"/>
    <w:rsid w:val="00C409B8"/>
    <w:rsid w:val="00C40A83"/>
    <w:rsid w:val="00C40F0F"/>
    <w:rsid w:val="00C41510"/>
    <w:rsid w:val="00C41768"/>
    <w:rsid w:val="00C41EDC"/>
    <w:rsid w:val="00C422A6"/>
    <w:rsid w:val="00C422F2"/>
    <w:rsid w:val="00C42840"/>
    <w:rsid w:val="00C42DE0"/>
    <w:rsid w:val="00C43300"/>
    <w:rsid w:val="00C43B1E"/>
    <w:rsid w:val="00C4454F"/>
    <w:rsid w:val="00C44612"/>
    <w:rsid w:val="00C44737"/>
    <w:rsid w:val="00C44819"/>
    <w:rsid w:val="00C44EF8"/>
    <w:rsid w:val="00C45802"/>
    <w:rsid w:val="00C45D7F"/>
    <w:rsid w:val="00C46794"/>
    <w:rsid w:val="00C467F9"/>
    <w:rsid w:val="00C469A7"/>
    <w:rsid w:val="00C46C80"/>
    <w:rsid w:val="00C4708B"/>
    <w:rsid w:val="00C4742B"/>
    <w:rsid w:val="00C475AA"/>
    <w:rsid w:val="00C47869"/>
    <w:rsid w:val="00C479D6"/>
    <w:rsid w:val="00C47EF0"/>
    <w:rsid w:val="00C50037"/>
    <w:rsid w:val="00C50275"/>
    <w:rsid w:val="00C509DA"/>
    <w:rsid w:val="00C50AF7"/>
    <w:rsid w:val="00C51632"/>
    <w:rsid w:val="00C520A1"/>
    <w:rsid w:val="00C523F7"/>
    <w:rsid w:val="00C527C7"/>
    <w:rsid w:val="00C53247"/>
    <w:rsid w:val="00C53C98"/>
    <w:rsid w:val="00C54012"/>
    <w:rsid w:val="00C540F9"/>
    <w:rsid w:val="00C542BD"/>
    <w:rsid w:val="00C54C36"/>
    <w:rsid w:val="00C552AB"/>
    <w:rsid w:val="00C5554A"/>
    <w:rsid w:val="00C55803"/>
    <w:rsid w:val="00C55DCE"/>
    <w:rsid w:val="00C565D1"/>
    <w:rsid w:val="00C5667A"/>
    <w:rsid w:val="00C567C0"/>
    <w:rsid w:val="00C56A75"/>
    <w:rsid w:val="00C56FCF"/>
    <w:rsid w:val="00C57936"/>
    <w:rsid w:val="00C57B6C"/>
    <w:rsid w:val="00C6018B"/>
    <w:rsid w:val="00C601CE"/>
    <w:rsid w:val="00C60A1E"/>
    <w:rsid w:val="00C60EA8"/>
    <w:rsid w:val="00C615F7"/>
    <w:rsid w:val="00C61A59"/>
    <w:rsid w:val="00C61DBD"/>
    <w:rsid w:val="00C628A6"/>
    <w:rsid w:val="00C628D1"/>
    <w:rsid w:val="00C62B6E"/>
    <w:rsid w:val="00C62DDF"/>
    <w:rsid w:val="00C62E3D"/>
    <w:rsid w:val="00C62EBB"/>
    <w:rsid w:val="00C62F42"/>
    <w:rsid w:val="00C63476"/>
    <w:rsid w:val="00C6357F"/>
    <w:rsid w:val="00C63DD1"/>
    <w:rsid w:val="00C63DE1"/>
    <w:rsid w:val="00C64038"/>
    <w:rsid w:val="00C640A0"/>
    <w:rsid w:val="00C6411D"/>
    <w:rsid w:val="00C64174"/>
    <w:rsid w:val="00C6422F"/>
    <w:rsid w:val="00C642F1"/>
    <w:rsid w:val="00C64344"/>
    <w:rsid w:val="00C64DE8"/>
    <w:rsid w:val="00C650AD"/>
    <w:rsid w:val="00C65108"/>
    <w:rsid w:val="00C651B1"/>
    <w:rsid w:val="00C65576"/>
    <w:rsid w:val="00C65E7C"/>
    <w:rsid w:val="00C66165"/>
    <w:rsid w:val="00C661E8"/>
    <w:rsid w:val="00C66DCF"/>
    <w:rsid w:val="00C6713C"/>
    <w:rsid w:val="00C67175"/>
    <w:rsid w:val="00C67259"/>
    <w:rsid w:val="00C67A00"/>
    <w:rsid w:val="00C67DC2"/>
    <w:rsid w:val="00C67F6F"/>
    <w:rsid w:val="00C7060A"/>
    <w:rsid w:val="00C711EF"/>
    <w:rsid w:val="00C71209"/>
    <w:rsid w:val="00C7151A"/>
    <w:rsid w:val="00C71767"/>
    <w:rsid w:val="00C717E3"/>
    <w:rsid w:val="00C718AE"/>
    <w:rsid w:val="00C719BB"/>
    <w:rsid w:val="00C71F60"/>
    <w:rsid w:val="00C721A7"/>
    <w:rsid w:val="00C72241"/>
    <w:rsid w:val="00C72BD8"/>
    <w:rsid w:val="00C73C39"/>
    <w:rsid w:val="00C73F96"/>
    <w:rsid w:val="00C750C8"/>
    <w:rsid w:val="00C7515A"/>
    <w:rsid w:val="00C7515F"/>
    <w:rsid w:val="00C751E0"/>
    <w:rsid w:val="00C751EC"/>
    <w:rsid w:val="00C7560F"/>
    <w:rsid w:val="00C76026"/>
    <w:rsid w:val="00C76331"/>
    <w:rsid w:val="00C76B8A"/>
    <w:rsid w:val="00C77428"/>
    <w:rsid w:val="00C77429"/>
    <w:rsid w:val="00C77602"/>
    <w:rsid w:val="00C776FB"/>
    <w:rsid w:val="00C8033B"/>
    <w:rsid w:val="00C80A0E"/>
    <w:rsid w:val="00C80A72"/>
    <w:rsid w:val="00C80A9D"/>
    <w:rsid w:val="00C80CE9"/>
    <w:rsid w:val="00C810F8"/>
    <w:rsid w:val="00C813B3"/>
    <w:rsid w:val="00C8170B"/>
    <w:rsid w:val="00C81C2D"/>
    <w:rsid w:val="00C8213F"/>
    <w:rsid w:val="00C8261C"/>
    <w:rsid w:val="00C82760"/>
    <w:rsid w:val="00C8303F"/>
    <w:rsid w:val="00C831B5"/>
    <w:rsid w:val="00C833CE"/>
    <w:rsid w:val="00C83754"/>
    <w:rsid w:val="00C8375C"/>
    <w:rsid w:val="00C83CA5"/>
    <w:rsid w:val="00C84804"/>
    <w:rsid w:val="00C84F4C"/>
    <w:rsid w:val="00C85154"/>
    <w:rsid w:val="00C85382"/>
    <w:rsid w:val="00C85491"/>
    <w:rsid w:val="00C85A70"/>
    <w:rsid w:val="00C85B26"/>
    <w:rsid w:val="00C8617D"/>
    <w:rsid w:val="00C8660E"/>
    <w:rsid w:val="00C867AF"/>
    <w:rsid w:val="00C86835"/>
    <w:rsid w:val="00C8688E"/>
    <w:rsid w:val="00C87094"/>
    <w:rsid w:val="00C8797A"/>
    <w:rsid w:val="00C900B8"/>
    <w:rsid w:val="00C90197"/>
    <w:rsid w:val="00C90293"/>
    <w:rsid w:val="00C90C71"/>
    <w:rsid w:val="00C90CD8"/>
    <w:rsid w:val="00C91340"/>
    <w:rsid w:val="00C91FD1"/>
    <w:rsid w:val="00C920B0"/>
    <w:rsid w:val="00C92590"/>
    <w:rsid w:val="00C92997"/>
    <w:rsid w:val="00C92CD8"/>
    <w:rsid w:val="00C92D9C"/>
    <w:rsid w:val="00C93021"/>
    <w:rsid w:val="00C93186"/>
    <w:rsid w:val="00C931CF"/>
    <w:rsid w:val="00C938CF"/>
    <w:rsid w:val="00C93F5F"/>
    <w:rsid w:val="00C94053"/>
    <w:rsid w:val="00C94459"/>
    <w:rsid w:val="00C948D3"/>
    <w:rsid w:val="00C94BEC"/>
    <w:rsid w:val="00C94D58"/>
    <w:rsid w:val="00C94D97"/>
    <w:rsid w:val="00C94EF8"/>
    <w:rsid w:val="00C94F6C"/>
    <w:rsid w:val="00C9516B"/>
    <w:rsid w:val="00C9624D"/>
    <w:rsid w:val="00C969DA"/>
    <w:rsid w:val="00C97092"/>
    <w:rsid w:val="00C9729C"/>
    <w:rsid w:val="00C974BD"/>
    <w:rsid w:val="00C975DB"/>
    <w:rsid w:val="00C97A2E"/>
    <w:rsid w:val="00C97B72"/>
    <w:rsid w:val="00CA020A"/>
    <w:rsid w:val="00CA0403"/>
    <w:rsid w:val="00CA06BC"/>
    <w:rsid w:val="00CA07FA"/>
    <w:rsid w:val="00CA1199"/>
    <w:rsid w:val="00CA1322"/>
    <w:rsid w:val="00CA1413"/>
    <w:rsid w:val="00CA1582"/>
    <w:rsid w:val="00CA15AB"/>
    <w:rsid w:val="00CA281E"/>
    <w:rsid w:val="00CA2B98"/>
    <w:rsid w:val="00CA2C22"/>
    <w:rsid w:val="00CA2C77"/>
    <w:rsid w:val="00CA2DFB"/>
    <w:rsid w:val="00CA367C"/>
    <w:rsid w:val="00CA3BF7"/>
    <w:rsid w:val="00CA444F"/>
    <w:rsid w:val="00CA4AB2"/>
    <w:rsid w:val="00CA4D1E"/>
    <w:rsid w:val="00CA4EC6"/>
    <w:rsid w:val="00CA50CF"/>
    <w:rsid w:val="00CA5245"/>
    <w:rsid w:val="00CA6342"/>
    <w:rsid w:val="00CA65ED"/>
    <w:rsid w:val="00CA6819"/>
    <w:rsid w:val="00CA6FC8"/>
    <w:rsid w:val="00CA70AB"/>
    <w:rsid w:val="00CA711C"/>
    <w:rsid w:val="00CA715A"/>
    <w:rsid w:val="00CA71F4"/>
    <w:rsid w:val="00CA7274"/>
    <w:rsid w:val="00CA728E"/>
    <w:rsid w:val="00CA7B09"/>
    <w:rsid w:val="00CA7F4B"/>
    <w:rsid w:val="00CB05E9"/>
    <w:rsid w:val="00CB0630"/>
    <w:rsid w:val="00CB07B4"/>
    <w:rsid w:val="00CB0CD4"/>
    <w:rsid w:val="00CB0FCD"/>
    <w:rsid w:val="00CB12A5"/>
    <w:rsid w:val="00CB147B"/>
    <w:rsid w:val="00CB162D"/>
    <w:rsid w:val="00CB1CAC"/>
    <w:rsid w:val="00CB1F9E"/>
    <w:rsid w:val="00CB2F2A"/>
    <w:rsid w:val="00CB3732"/>
    <w:rsid w:val="00CB3C3C"/>
    <w:rsid w:val="00CB466D"/>
    <w:rsid w:val="00CB56A8"/>
    <w:rsid w:val="00CB586F"/>
    <w:rsid w:val="00CB5B1A"/>
    <w:rsid w:val="00CB5BE5"/>
    <w:rsid w:val="00CB5CC8"/>
    <w:rsid w:val="00CB5E84"/>
    <w:rsid w:val="00CB619D"/>
    <w:rsid w:val="00CB6B22"/>
    <w:rsid w:val="00CB6F28"/>
    <w:rsid w:val="00CB6F61"/>
    <w:rsid w:val="00CB7B33"/>
    <w:rsid w:val="00CB7B9C"/>
    <w:rsid w:val="00CB7C05"/>
    <w:rsid w:val="00CB7CFF"/>
    <w:rsid w:val="00CB7F5F"/>
    <w:rsid w:val="00CC0339"/>
    <w:rsid w:val="00CC073F"/>
    <w:rsid w:val="00CC09F9"/>
    <w:rsid w:val="00CC0C77"/>
    <w:rsid w:val="00CC1080"/>
    <w:rsid w:val="00CC16F6"/>
    <w:rsid w:val="00CC1A12"/>
    <w:rsid w:val="00CC1B39"/>
    <w:rsid w:val="00CC1BFA"/>
    <w:rsid w:val="00CC1FED"/>
    <w:rsid w:val="00CC2BBD"/>
    <w:rsid w:val="00CC2D98"/>
    <w:rsid w:val="00CC2E9F"/>
    <w:rsid w:val="00CC3245"/>
    <w:rsid w:val="00CC3289"/>
    <w:rsid w:val="00CC34D1"/>
    <w:rsid w:val="00CC3503"/>
    <w:rsid w:val="00CC35EA"/>
    <w:rsid w:val="00CC3848"/>
    <w:rsid w:val="00CC3AC7"/>
    <w:rsid w:val="00CC3B4B"/>
    <w:rsid w:val="00CC3D37"/>
    <w:rsid w:val="00CC3D4A"/>
    <w:rsid w:val="00CC3D93"/>
    <w:rsid w:val="00CC45E0"/>
    <w:rsid w:val="00CC478F"/>
    <w:rsid w:val="00CC4972"/>
    <w:rsid w:val="00CC52D4"/>
    <w:rsid w:val="00CC5843"/>
    <w:rsid w:val="00CC6C1D"/>
    <w:rsid w:val="00CC6D5E"/>
    <w:rsid w:val="00CC6F03"/>
    <w:rsid w:val="00CC7400"/>
    <w:rsid w:val="00CC760B"/>
    <w:rsid w:val="00CC7AF5"/>
    <w:rsid w:val="00CC7FE1"/>
    <w:rsid w:val="00CD0200"/>
    <w:rsid w:val="00CD1BAB"/>
    <w:rsid w:val="00CD2A62"/>
    <w:rsid w:val="00CD2E66"/>
    <w:rsid w:val="00CD317F"/>
    <w:rsid w:val="00CD3803"/>
    <w:rsid w:val="00CD3C19"/>
    <w:rsid w:val="00CD3E60"/>
    <w:rsid w:val="00CD3F77"/>
    <w:rsid w:val="00CD4387"/>
    <w:rsid w:val="00CD5121"/>
    <w:rsid w:val="00CD59F2"/>
    <w:rsid w:val="00CD5E9F"/>
    <w:rsid w:val="00CD6114"/>
    <w:rsid w:val="00CD6258"/>
    <w:rsid w:val="00CD63C3"/>
    <w:rsid w:val="00CD6ADC"/>
    <w:rsid w:val="00CD702E"/>
    <w:rsid w:val="00CD7193"/>
    <w:rsid w:val="00CD71A2"/>
    <w:rsid w:val="00CD71C4"/>
    <w:rsid w:val="00CD7D79"/>
    <w:rsid w:val="00CD7D8E"/>
    <w:rsid w:val="00CD7EC8"/>
    <w:rsid w:val="00CE11EC"/>
    <w:rsid w:val="00CE12A8"/>
    <w:rsid w:val="00CE12D2"/>
    <w:rsid w:val="00CE1B5E"/>
    <w:rsid w:val="00CE1C75"/>
    <w:rsid w:val="00CE1F64"/>
    <w:rsid w:val="00CE222B"/>
    <w:rsid w:val="00CE25C1"/>
    <w:rsid w:val="00CE25F0"/>
    <w:rsid w:val="00CE27F2"/>
    <w:rsid w:val="00CE3037"/>
    <w:rsid w:val="00CE343D"/>
    <w:rsid w:val="00CE3555"/>
    <w:rsid w:val="00CE38C8"/>
    <w:rsid w:val="00CE3C66"/>
    <w:rsid w:val="00CE41AE"/>
    <w:rsid w:val="00CE4762"/>
    <w:rsid w:val="00CE4C73"/>
    <w:rsid w:val="00CE524F"/>
    <w:rsid w:val="00CE5342"/>
    <w:rsid w:val="00CE5472"/>
    <w:rsid w:val="00CE5611"/>
    <w:rsid w:val="00CE58CC"/>
    <w:rsid w:val="00CE5AB0"/>
    <w:rsid w:val="00CE5B44"/>
    <w:rsid w:val="00CE5F9E"/>
    <w:rsid w:val="00CE6274"/>
    <w:rsid w:val="00CE6482"/>
    <w:rsid w:val="00CE678B"/>
    <w:rsid w:val="00CE77B6"/>
    <w:rsid w:val="00CE7ACD"/>
    <w:rsid w:val="00CE7D03"/>
    <w:rsid w:val="00CE7D15"/>
    <w:rsid w:val="00CF01C5"/>
    <w:rsid w:val="00CF02E4"/>
    <w:rsid w:val="00CF0C36"/>
    <w:rsid w:val="00CF0C38"/>
    <w:rsid w:val="00CF0D1C"/>
    <w:rsid w:val="00CF0E91"/>
    <w:rsid w:val="00CF145F"/>
    <w:rsid w:val="00CF17BF"/>
    <w:rsid w:val="00CF2155"/>
    <w:rsid w:val="00CF2217"/>
    <w:rsid w:val="00CF2244"/>
    <w:rsid w:val="00CF2B8D"/>
    <w:rsid w:val="00CF3556"/>
    <w:rsid w:val="00CF373B"/>
    <w:rsid w:val="00CF3A1B"/>
    <w:rsid w:val="00CF3DEB"/>
    <w:rsid w:val="00CF456B"/>
    <w:rsid w:val="00CF4922"/>
    <w:rsid w:val="00CF5A22"/>
    <w:rsid w:val="00CF6179"/>
    <w:rsid w:val="00CF63A9"/>
    <w:rsid w:val="00CF6865"/>
    <w:rsid w:val="00CF6894"/>
    <w:rsid w:val="00CF6E69"/>
    <w:rsid w:val="00CF7116"/>
    <w:rsid w:val="00D002FD"/>
    <w:rsid w:val="00D00477"/>
    <w:rsid w:val="00D0074A"/>
    <w:rsid w:val="00D007F3"/>
    <w:rsid w:val="00D00868"/>
    <w:rsid w:val="00D00B72"/>
    <w:rsid w:val="00D01164"/>
    <w:rsid w:val="00D011B5"/>
    <w:rsid w:val="00D01962"/>
    <w:rsid w:val="00D01F68"/>
    <w:rsid w:val="00D0262E"/>
    <w:rsid w:val="00D0359A"/>
    <w:rsid w:val="00D03679"/>
    <w:rsid w:val="00D03B8A"/>
    <w:rsid w:val="00D0403E"/>
    <w:rsid w:val="00D04A0C"/>
    <w:rsid w:val="00D04CC6"/>
    <w:rsid w:val="00D04D23"/>
    <w:rsid w:val="00D04DF3"/>
    <w:rsid w:val="00D054B8"/>
    <w:rsid w:val="00D05B65"/>
    <w:rsid w:val="00D05E3D"/>
    <w:rsid w:val="00D06139"/>
    <w:rsid w:val="00D06512"/>
    <w:rsid w:val="00D068DE"/>
    <w:rsid w:val="00D06933"/>
    <w:rsid w:val="00D06B16"/>
    <w:rsid w:val="00D07958"/>
    <w:rsid w:val="00D10356"/>
    <w:rsid w:val="00D10489"/>
    <w:rsid w:val="00D10642"/>
    <w:rsid w:val="00D108AF"/>
    <w:rsid w:val="00D10AC6"/>
    <w:rsid w:val="00D10C20"/>
    <w:rsid w:val="00D10CCA"/>
    <w:rsid w:val="00D110BD"/>
    <w:rsid w:val="00D11485"/>
    <w:rsid w:val="00D11844"/>
    <w:rsid w:val="00D11FBA"/>
    <w:rsid w:val="00D13675"/>
    <w:rsid w:val="00D1399C"/>
    <w:rsid w:val="00D13A07"/>
    <w:rsid w:val="00D1403E"/>
    <w:rsid w:val="00D141E1"/>
    <w:rsid w:val="00D143B7"/>
    <w:rsid w:val="00D14533"/>
    <w:rsid w:val="00D146BC"/>
    <w:rsid w:val="00D1493D"/>
    <w:rsid w:val="00D14D8F"/>
    <w:rsid w:val="00D152C3"/>
    <w:rsid w:val="00D15314"/>
    <w:rsid w:val="00D15B48"/>
    <w:rsid w:val="00D15BD4"/>
    <w:rsid w:val="00D15E07"/>
    <w:rsid w:val="00D168DA"/>
    <w:rsid w:val="00D16D06"/>
    <w:rsid w:val="00D16DE0"/>
    <w:rsid w:val="00D1767E"/>
    <w:rsid w:val="00D1793D"/>
    <w:rsid w:val="00D17D6C"/>
    <w:rsid w:val="00D17E2F"/>
    <w:rsid w:val="00D200DF"/>
    <w:rsid w:val="00D2155B"/>
    <w:rsid w:val="00D215AD"/>
    <w:rsid w:val="00D224E0"/>
    <w:rsid w:val="00D22BBD"/>
    <w:rsid w:val="00D23094"/>
    <w:rsid w:val="00D23D11"/>
    <w:rsid w:val="00D2414C"/>
    <w:rsid w:val="00D244B6"/>
    <w:rsid w:val="00D250AC"/>
    <w:rsid w:val="00D253C9"/>
    <w:rsid w:val="00D2555D"/>
    <w:rsid w:val="00D2579C"/>
    <w:rsid w:val="00D262AE"/>
    <w:rsid w:val="00D267FE"/>
    <w:rsid w:val="00D26836"/>
    <w:rsid w:val="00D268A3"/>
    <w:rsid w:val="00D26CED"/>
    <w:rsid w:val="00D2732F"/>
    <w:rsid w:val="00D2754D"/>
    <w:rsid w:val="00D27787"/>
    <w:rsid w:val="00D27882"/>
    <w:rsid w:val="00D27A35"/>
    <w:rsid w:val="00D27B27"/>
    <w:rsid w:val="00D30920"/>
    <w:rsid w:val="00D30D5B"/>
    <w:rsid w:val="00D30EBB"/>
    <w:rsid w:val="00D310A0"/>
    <w:rsid w:val="00D310BD"/>
    <w:rsid w:val="00D318B6"/>
    <w:rsid w:val="00D31EE2"/>
    <w:rsid w:val="00D31FCB"/>
    <w:rsid w:val="00D32C90"/>
    <w:rsid w:val="00D33325"/>
    <w:rsid w:val="00D338A4"/>
    <w:rsid w:val="00D33AB9"/>
    <w:rsid w:val="00D33BE9"/>
    <w:rsid w:val="00D33F93"/>
    <w:rsid w:val="00D3454A"/>
    <w:rsid w:val="00D346DD"/>
    <w:rsid w:val="00D35460"/>
    <w:rsid w:val="00D35526"/>
    <w:rsid w:val="00D357FF"/>
    <w:rsid w:val="00D360D1"/>
    <w:rsid w:val="00D36E90"/>
    <w:rsid w:val="00D376E8"/>
    <w:rsid w:val="00D379F5"/>
    <w:rsid w:val="00D37BE1"/>
    <w:rsid w:val="00D4019A"/>
    <w:rsid w:val="00D402E6"/>
    <w:rsid w:val="00D40E5B"/>
    <w:rsid w:val="00D41758"/>
    <w:rsid w:val="00D41B39"/>
    <w:rsid w:val="00D42257"/>
    <w:rsid w:val="00D424C7"/>
    <w:rsid w:val="00D42C2C"/>
    <w:rsid w:val="00D43797"/>
    <w:rsid w:val="00D4387B"/>
    <w:rsid w:val="00D43B2A"/>
    <w:rsid w:val="00D43CC6"/>
    <w:rsid w:val="00D43CF1"/>
    <w:rsid w:val="00D43D4F"/>
    <w:rsid w:val="00D43D83"/>
    <w:rsid w:val="00D44DB8"/>
    <w:rsid w:val="00D45085"/>
    <w:rsid w:val="00D455B0"/>
    <w:rsid w:val="00D4567B"/>
    <w:rsid w:val="00D45773"/>
    <w:rsid w:val="00D45A14"/>
    <w:rsid w:val="00D45C96"/>
    <w:rsid w:val="00D45C9C"/>
    <w:rsid w:val="00D45E6B"/>
    <w:rsid w:val="00D45F00"/>
    <w:rsid w:val="00D4606F"/>
    <w:rsid w:val="00D470E0"/>
    <w:rsid w:val="00D47575"/>
    <w:rsid w:val="00D478CC"/>
    <w:rsid w:val="00D50067"/>
    <w:rsid w:val="00D50472"/>
    <w:rsid w:val="00D50608"/>
    <w:rsid w:val="00D50BB0"/>
    <w:rsid w:val="00D50C2E"/>
    <w:rsid w:val="00D513A9"/>
    <w:rsid w:val="00D513CC"/>
    <w:rsid w:val="00D514AE"/>
    <w:rsid w:val="00D516F6"/>
    <w:rsid w:val="00D521D6"/>
    <w:rsid w:val="00D52360"/>
    <w:rsid w:val="00D5243B"/>
    <w:rsid w:val="00D5254E"/>
    <w:rsid w:val="00D526E3"/>
    <w:rsid w:val="00D533EC"/>
    <w:rsid w:val="00D53645"/>
    <w:rsid w:val="00D5428E"/>
    <w:rsid w:val="00D54484"/>
    <w:rsid w:val="00D546F1"/>
    <w:rsid w:val="00D54C8E"/>
    <w:rsid w:val="00D555DE"/>
    <w:rsid w:val="00D55679"/>
    <w:rsid w:val="00D559D2"/>
    <w:rsid w:val="00D55AED"/>
    <w:rsid w:val="00D55DA2"/>
    <w:rsid w:val="00D55DD4"/>
    <w:rsid w:val="00D56167"/>
    <w:rsid w:val="00D565E9"/>
    <w:rsid w:val="00D56A95"/>
    <w:rsid w:val="00D56E25"/>
    <w:rsid w:val="00D5705E"/>
    <w:rsid w:val="00D5764B"/>
    <w:rsid w:val="00D57801"/>
    <w:rsid w:val="00D57A64"/>
    <w:rsid w:val="00D57BD7"/>
    <w:rsid w:val="00D57C8D"/>
    <w:rsid w:val="00D6041D"/>
    <w:rsid w:val="00D6076E"/>
    <w:rsid w:val="00D6102E"/>
    <w:rsid w:val="00D6102F"/>
    <w:rsid w:val="00D61927"/>
    <w:rsid w:val="00D62607"/>
    <w:rsid w:val="00D628FE"/>
    <w:rsid w:val="00D62CE2"/>
    <w:rsid w:val="00D62E0D"/>
    <w:rsid w:val="00D631A8"/>
    <w:rsid w:val="00D63BE3"/>
    <w:rsid w:val="00D63C8B"/>
    <w:rsid w:val="00D63DF1"/>
    <w:rsid w:val="00D63E0D"/>
    <w:rsid w:val="00D643C9"/>
    <w:rsid w:val="00D64507"/>
    <w:rsid w:val="00D64841"/>
    <w:rsid w:val="00D6496D"/>
    <w:rsid w:val="00D65519"/>
    <w:rsid w:val="00D66039"/>
    <w:rsid w:val="00D66156"/>
    <w:rsid w:val="00D665D8"/>
    <w:rsid w:val="00D665E1"/>
    <w:rsid w:val="00D66D89"/>
    <w:rsid w:val="00D670E8"/>
    <w:rsid w:val="00D6715B"/>
    <w:rsid w:val="00D6738C"/>
    <w:rsid w:val="00D67E43"/>
    <w:rsid w:val="00D67ECB"/>
    <w:rsid w:val="00D70ED2"/>
    <w:rsid w:val="00D70F16"/>
    <w:rsid w:val="00D70F42"/>
    <w:rsid w:val="00D710EE"/>
    <w:rsid w:val="00D72588"/>
    <w:rsid w:val="00D72617"/>
    <w:rsid w:val="00D72F57"/>
    <w:rsid w:val="00D73CDC"/>
    <w:rsid w:val="00D745A1"/>
    <w:rsid w:val="00D74A1C"/>
    <w:rsid w:val="00D74F1F"/>
    <w:rsid w:val="00D75618"/>
    <w:rsid w:val="00D75634"/>
    <w:rsid w:val="00D75803"/>
    <w:rsid w:val="00D75978"/>
    <w:rsid w:val="00D763B0"/>
    <w:rsid w:val="00D7695B"/>
    <w:rsid w:val="00D76A44"/>
    <w:rsid w:val="00D77437"/>
    <w:rsid w:val="00D77ADC"/>
    <w:rsid w:val="00D77C85"/>
    <w:rsid w:val="00D77D57"/>
    <w:rsid w:val="00D807BF"/>
    <w:rsid w:val="00D815EF"/>
    <w:rsid w:val="00D81949"/>
    <w:rsid w:val="00D81F26"/>
    <w:rsid w:val="00D82072"/>
    <w:rsid w:val="00D822E2"/>
    <w:rsid w:val="00D82714"/>
    <w:rsid w:val="00D82A0A"/>
    <w:rsid w:val="00D82ED3"/>
    <w:rsid w:val="00D83D83"/>
    <w:rsid w:val="00D843F2"/>
    <w:rsid w:val="00D84797"/>
    <w:rsid w:val="00D8489A"/>
    <w:rsid w:val="00D84BA9"/>
    <w:rsid w:val="00D84DC3"/>
    <w:rsid w:val="00D8520D"/>
    <w:rsid w:val="00D8584F"/>
    <w:rsid w:val="00D85D91"/>
    <w:rsid w:val="00D860F4"/>
    <w:rsid w:val="00D86231"/>
    <w:rsid w:val="00D8648B"/>
    <w:rsid w:val="00D866C5"/>
    <w:rsid w:val="00D867A5"/>
    <w:rsid w:val="00D86E58"/>
    <w:rsid w:val="00D9028E"/>
    <w:rsid w:val="00D90574"/>
    <w:rsid w:val="00D90E67"/>
    <w:rsid w:val="00D912AB"/>
    <w:rsid w:val="00D91923"/>
    <w:rsid w:val="00D91AAE"/>
    <w:rsid w:val="00D91D06"/>
    <w:rsid w:val="00D91F4B"/>
    <w:rsid w:val="00D92778"/>
    <w:rsid w:val="00D92CF7"/>
    <w:rsid w:val="00D9373E"/>
    <w:rsid w:val="00D93753"/>
    <w:rsid w:val="00D93C8B"/>
    <w:rsid w:val="00D94022"/>
    <w:rsid w:val="00D9416D"/>
    <w:rsid w:val="00D94ADD"/>
    <w:rsid w:val="00D94B30"/>
    <w:rsid w:val="00D950C9"/>
    <w:rsid w:val="00D96061"/>
    <w:rsid w:val="00D962F6"/>
    <w:rsid w:val="00D964EE"/>
    <w:rsid w:val="00D96596"/>
    <w:rsid w:val="00D9701D"/>
    <w:rsid w:val="00D9739B"/>
    <w:rsid w:val="00DA05B1"/>
    <w:rsid w:val="00DA08FA"/>
    <w:rsid w:val="00DA0DDB"/>
    <w:rsid w:val="00DA0E3F"/>
    <w:rsid w:val="00DA1233"/>
    <w:rsid w:val="00DA162B"/>
    <w:rsid w:val="00DA1A3A"/>
    <w:rsid w:val="00DA1AB9"/>
    <w:rsid w:val="00DA1B81"/>
    <w:rsid w:val="00DA1CA5"/>
    <w:rsid w:val="00DA1EB7"/>
    <w:rsid w:val="00DA2619"/>
    <w:rsid w:val="00DA2A55"/>
    <w:rsid w:val="00DA3167"/>
    <w:rsid w:val="00DA3176"/>
    <w:rsid w:val="00DA31FD"/>
    <w:rsid w:val="00DA375A"/>
    <w:rsid w:val="00DA3873"/>
    <w:rsid w:val="00DA3B9A"/>
    <w:rsid w:val="00DA3DE1"/>
    <w:rsid w:val="00DA4121"/>
    <w:rsid w:val="00DA41CA"/>
    <w:rsid w:val="00DA49CB"/>
    <w:rsid w:val="00DA4DC3"/>
    <w:rsid w:val="00DA4EA3"/>
    <w:rsid w:val="00DA6D3E"/>
    <w:rsid w:val="00DA6E32"/>
    <w:rsid w:val="00DA723B"/>
    <w:rsid w:val="00DA76D3"/>
    <w:rsid w:val="00DA77A5"/>
    <w:rsid w:val="00DA78C6"/>
    <w:rsid w:val="00DA7EF7"/>
    <w:rsid w:val="00DB01D1"/>
    <w:rsid w:val="00DB0963"/>
    <w:rsid w:val="00DB0B6C"/>
    <w:rsid w:val="00DB0D51"/>
    <w:rsid w:val="00DB0E36"/>
    <w:rsid w:val="00DB1204"/>
    <w:rsid w:val="00DB2BA0"/>
    <w:rsid w:val="00DB32AC"/>
    <w:rsid w:val="00DB33E9"/>
    <w:rsid w:val="00DB38F5"/>
    <w:rsid w:val="00DB3984"/>
    <w:rsid w:val="00DB3A48"/>
    <w:rsid w:val="00DB3AA4"/>
    <w:rsid w:val="00DB3ABE"/>
    <w:rsid w:val="00DB3BB3"/>
    <w:rsid w:val="00DB3CAB"/>
    <w:rsid w:val="00DB3DBF"/>
    <w:rsid w:val="00DB484F"/>
    <w:rsid w:val="00DB5AA1"/>
    <w:rsid w:val="00DB5AC4"/>
    <w:rsid w:val="00DB6670"/>
    <w:rsid w:val="00DB6FC6"/>
    <w:rsid w:val="00DB7462"/>
    <w:rsid w:val="00DB79CB"/>
    <w:rsid w:val="00DC02F4"/>
    <w:rsid w:val="00DC02FC"/>
    <w:rsid w:val="00DC04F6"/>
    <w:rsid w:val="00DC0675"/>
    <w:rsid w:val="00DC0690"/>
    <w:rsid w:val="00DC0C75"/>
    <w:rsid w:val="00DC0E05"/>
    <w:rsid w:val="00DC14BE"/>
    <w:rsid w:val="00DC1D65"/>
    <w:rsid w:val="00DC1E67"/>
    <w:rsid w:val="00DC23BE"/>
    <w:rsid w:val="00DC24A1"/>
    <w:rsid w:val="00DC2744"/>
    <w:rsid w:val="00DC3C57"/>
    <w:rsid w:val="00DC3D1F"/>
    <w:rsid w:val="00DC3E1D"/>
    <w:rsid w:val="00DC40FC"/>
    <w:rsid w:val="00DC43C3"/>
    <w:rsid w:val="00DC46F2"/>
    <w:rsid w:val="00DC5501"/>
    <w:rsid w:val="00DC55A5"/>
    <w:rsid w:val="00DC583F"/>
    <w:rsid w:val="00DC5ACC"/>
    <w:rsid w:val="00DC5DE4"/>
    <w:rsid w:val="00DC6794"/>
    <w:rsid w:val="00DC67B6"/>
    <w:rsid w:val="00DC7154"/>
    <w:rsid w:val="00DC725B"/>
    <w:rsid w:val="00DC7842"/>
    <w:rsid w:val="00DC7A40"/>
    <w:rsid w:val="00DC7B8D"/>
    <w:rsid w:val="00DC7E8A"/>
    <w:rsid w:val="00DC7EF6"/>
    <w:rsid w:val="00DC7FEA"/>
    <w:rsid w:val="00DD00B3"/>
    <w:rsid w:val="00DD0B0A"/>
    <w:rsid w:val="00DD0F78"/>
    <w:rsid w:val="00DD105E"/>
    <w:rsid w:val="00DD11DA"/>
    <w:rsid w:val="00DD1583"/>
    <w:rsid w:val="00DD15E3"/>
    <w:rsid w:val="00DD176D"/>
    <w:rsid w:val="00DD1883"/>
    <w:rsid w:val="00DD1B7D"/>
    <w:rsid w:val="00DD1E3B"/>
    <w:rsid w:val="00DD231C"/>
    <w:rsid w:val="00DD263A"/>
    <w:rsid w:val="00DD273C"/>
    <w:rsid w:val="00DD28EB"/>
    <w:rsid w:val="00DD2E93"/>
    <w:rsid w:val="00DD30BE"/>
    <w:rsid w:val="00DD34EA"/>
    <w:rsid w:val="00DD3DCC"/>
    <w:rsid w:val="00DD3F28"/>
    <w:rsid w:val="00DD4446"/>
    <w:rsid w:val="00DD4537"/>
    <w:rsid w:val="00DD4E15"/>
    <w:rsid w:val="00DD5571"/>
    <w:rsid w:val="00DD57E2"/>
    <w:rsid w:val="00DD5804"/>
    <w:rsid w:val="00DD5C13"/>
    <w:rsid w:val="00DD5C28"/>
    <w:rsid w:val="00DD6843"/>
    <w:rsid w:val="00DD6C56"/>
    <w:rsid w:val="00DD790E"/>
    <w:rsid w:val="00DD7AA1"/>
    <w:rsid w:val="00DE0819"/>
    <w:rsid w:val="00DE1E36"/>
    <w:rsid w:val="00DE2304"/>
    <w:rsid w:val="00DE23AD"/>
    <w:rsid w:val="00DE252A"/>
    <w:rsid w:val="00DE2635"/>
    <w:rsid w:val="00DE2FDB"/>
    <w:rsid w:val="00DE3138"/>
    <w:rsid w:val="00DE3483"/>
    <w:rsid w:val="00DE37F8"/>
    <w:rsid w:val="00DE4273"/>
    <w:rsid w:val="00DE4F6B"/>
    <w:rsid w:val="00DE4FCB"/>
    <w:rsid w:val="00DE50C3"/>
    <w:rsid w:val="00DE555B"/>
    <w:rsid w:val="00DE571E"/>
    <w:rsid w:val="00DE5D07"/>
    <w:rsid w:val="00DE6BA0"/>
    <w:rsid w:val="00DE6DAA"/>
    <w:rsid w:val="00DE72A7"/>
    <w:rsid w:val="00DE7832"/>
    <w:rsid w:val="00DE7E27"/>
    <w:rsid w:val="00DF0031"/>
    <w:rsid w:val="00DF0228"/>
    <w:rsid w:val="00DF02D0"/>
    <w:rsid w:val="00DF0426"/>
    <w:rsid w:val="00DF0543"/>
    <w:rsid w:val="00DF0592"/>
    <w:rsid w:val="00DF0960"/>
    <w:rsid w:val="00DF169A"/>
    <w:rsid w:val="00DF18FC"/>
    <w:rsid w:val="00DF1D6C"/>
    <w:rsid w:val="00DF2493"/>
    <w:rsid w:val="00DF256B"/>
    <w:rsid w:val="00DF289A"/>
    <w:rsid w:val="00DF29F7"/>
    <w:rsid w:val="00DF2A03"/>
    <w:rsid w:val="00DF2C4A"/>
    <w:rsid w:val="00DF2DE9"/>
    <w:rsid w:val="00DF38E4"/>
    <w:rsid w:val="00DF3916"/>
    <w:rsid w:val="00DF3D0D"/>
    <w:rsid w:val="00DF3EC7"/>
    <w:rsid w:val="00DF48D2"/>
    <w:rsid w:val="00DF5021"/>
    <w:rsid w:val="00DF5899"/>
    <w:rsid w:val="00DF5926"/>
    <w:rsid w:val="00DF5990"/>
    <w:rsid w:val="00DF5D2B"/>
    <w:rsid w:val="00DF62AE"/>
    <w:rsid w:val="00DF6341"/>
    <w:rsid w:val="00DF686E"/>
    <w:rsid w:val="00DF698B"/>
    <w:rsid w:val="00DF6BD1"/>
    <w:rsid w:val="00DF7653"/>
    <w:rsid w:val="00DF797F"/>
    <w:rsid w:val="00E0097F"/>
    <w:rsid w:val="00E00E8E"/>
    <w:rsid w:val="00E014EF"/>
    <w:rsid w:val="00E01A77"/>
    <w:rsid w:val="00E02B65"/>
    <w:rsid w:val="00E02BA6"/>
    <w:rsid w:val="00E02CA0"/>
    <w:rsid w:val="00E03F5B"/>
    <w:rsid w:val="00E04356"/>
    <w:rsid w:val="00E043BD"/>
    <w:rsid w:val="00E05630"/>
    <w:rsid w:val="00E05D8D"/>
    <w:rsid w:val="00E0622E"/>
    <w:rsid w:val="00E0626A"/>
    <w:rsid w:val="00E069F4"/>
    <w:rsid w:val="00E06A8D"/>
    <w:rsid w:val="00E06A8E"/>
    <w:rsid w:val="00E06B05"/>
    <w:rsid w:val="00E06DBB"/>
    <w:rsid w:val="00E07489"/>
    <w:rsid w:val="00E078B4"/>
    <w:rsid w:val="00E10149"/>
    <w:rsid w:val="00E10460"/>
    <w:rsid w:val="00E1076E"/>
    <w:rsid w:val="00E10C17"/>
    <w:rsid w:val="00E10D74"/>
    <w:rsid w:val="00E10F8F"/>
    <w:rsid w:val="00E11097"/>
    <w:rsid w:val="00E11340"/>
    <w:rsid w:val="00E113B7"/>
    <w:rsid w:val="00E117F9"/>
    <w:rsid w:val="00E11A6D"/>
    <w:rsid w:val="00E11B89"/>
    <w:rsid w:val="00E122A1"/>
    <w:rsid w:val="00E134D3"/>
    <w:rsid w:val="00E1397B"/>
    <w:rsid w:val="00E13A00"/>
    <w:rsid w:val="00E144AF"/>
    <w:rsid w:val="00E14B47"/>
    <w:rsid w:val="00E14B83"/>
    <w:rsid w:val="00E14C71"/>
    <w:rsid w:val="00E14F37"/>
    <w:rsid w:val="00E14FC3"/>
    <w:rsid w:val="00E16372"/>
    <w:rsid w:val="00E163B3"/>
    <w:rsid w:val="00E16AD8"/>
    <w:rsid w:val="00E176DF"/>
    <w:rsid w:val="00E17CDC"/>
    <w:rsid w:val="00E17FFA"/>
    <w:rsid w:val="00E203A7"/>
    <w:rsid w:val="00E20D0E"/>
    <w:rsid w:val="00E20E4D"/>
    <w:rsid w:val="00E20ED6"/>
    <w:rsid w:val="00E21358"/>
    <w:rsid w:val="00E217F3"/>
    <w:rsid w:val="00E219B4"/>
    <w:rsid w:val="00E219FC"/>
    <w:rsid w:val="00E21D08"/>
    <w:rsid w:val="00E2213B"/>
    <w:rsid w:val="00E2244D"/>
    <w:rsid w:val="00E2249B"/>
    <w:rsid w:val="00E22A0D"/>
    <w:rsid w:val="00E22A64"/>
    <w:rsid w:val="00E22C65"/>
    <w:rsid w:val="00E232C7"/>
    <w:rsid w:val="00E2330C"/>
    <w:rsid w:val="00E23864"/>
    <w:rsid w:val="00E2402A"/>
    <w:rsid w:val="00E240C6"/>
    <w:rsid w:val="00E24192"/>
    <w:rsid w:val="00E244F6"/>
    <w:rsid w:val="00E2467A"/>
    <w:rsid w:val="00E2471F"/>
    <w:rsid w:val="00E249F1"/>
    <w:rsid w:val="00E24B2E"/>
    <w:rsid w:val="00E24DFF"/>
    <w:rsid w:val="00E24F9A"/>
    <w:rsid w:val="00E25630"/>
    <w:rsid w:val="00E258DB"/>
    <w:rsid w:val="00E25A56"/>
    <w:rsid w:val="00E25C06"/>
    <w:rsid w:val="00E25F45"/>
    <w:rsid w:val="00E26914"/>
    <w:rsid w:val="00E26CF5"/>
    <w:rsid w:val="00E26F5B"/>
    <w:rsid w:val="00E2743D"/>
    <w:rsid w:val="00E2771E"/>
    <w:rsid w:val="00E27ADA"/>
    <w:rsid w:val="00E301F1"/>
    <w:rsid w:val="00E303D8"/>
    <w:rsid w:val="00E305EE"/>
    <w:rsid w:val="00E311EF"/>
    <w:rsid w:val="00E31B5D"/>
    <w:rsid w:val="00E31DE0"/>
    <w:rsid w:val="00E31E72"/>
    <w:rsid w:val="00E32180"/>
    <w:rsid w:val="00E323BB"/>
    <w:rsid w:val="00E32726"/>
    <w:rsid w:val="00E32CAA"/>
    <w:rsid w:val="00E32E2C"/>
    <w:rsid w:val="00E332F9"/>
    <w:rsid w:val="00E33950"/>
    <w:rsid w:val="00E33DD3"/>
    <w:rsid w:val="00E34318"/>
    <w:rsid w:val="00E347BC"/>
    <w:rsid w:val="00E34948"/>
    <w:rsid w:val="00E34EAF"/>
    <w:rsid w:val="00E34EC2"/>
    <w:rsid w:val="00E362CE"/>
    <w:rsid w:val="00E36398"/>
    <w:rsid w:val="00E369C1"/>
    <w:rsid w:val="00E37569"/>
    <w:rsid w:val="00E379D1"/>
    <w:rsid w:val="00E37CBE"/>
    <w:rsid w:val="00E37EDE"/>
    <w:rsid w:val="00E401B2"/>
    <w:rsid w:val="00E407F1"/>
    <w:rsid w:val="00E417A4"/>
    <w:rsid w:val="00E41B62"/>
    <w:rsid w:val="00E41E30"/>
    <w:rsid w:val="00E41EDD"/>
    <w:rsid w:val="00E423BF"/>
    <w:rsid w:val="00E42C8D"/>
    <w:rsid w:val="00E42F73"/>
    <w:rsid w:val="00E43709"/>
    <w:rsid w:val="00E43D70"/>
    <w:rsid w:val="00E4485F"/>
    <w:rsid w:val="00E44DAF"/>
    <w:rsid w:val="00E45040"/>
    <w:rsid w:val="00E4560B"/>
    <w:rsid w:val="00E45840"/>
    <w:rsid w:val="00E45DB5"/>
    <w:rsid w:val="00E46612"/>
    <w:rsid w:val="00E466F3"/>
    <w:rsid w:val="00E46CE9"/>
    <w:rsid w:val="00E473EA"/>
    <w:rsid w:val="00E477C1"/>
    <w:rsid w:val="00E47863"/>
    <w:rsid w:val="00E4794B"/>
    <w:rsid w:val="00E47B2C"/>
    <w:rsid w:val="00E47B98"/>
    <w:rsid w:val="00E47CCD"/>
    <w:rsid w:val="00E505AB"/>
    <w:rsid w:val="00E50C19"/>
    <w:rsid w:val="00E5137F"/>
    <w:rsid w:val="00E51560"/>
    <w:rsid w:val="00E51730"/>
    <w:rsid w:val="00E51821"/>
    <w:rsid w:val="00E51A85"/>
    <w:rsid w:val="00E51EFA"/>
    <w:rsid w:val="00E51F07"/>
    <w:rsid w:val="00E5289E"/>
    <w:rsid w:val="00E528B7"/>
    <w:rsid w:val="00E53447"/>
    <w:rsid w:val="00E539D7"/>
    <w:rsid w:val="00E53FC8"/>
    <w:rsid w:val="00E54277"/>
    <w:rsid w:val="00E54347"/>
    <w:rsid w:val="00E54B49"/>
    <w:rsid w:val="00E551F1"/>
    <w:rsid w:val="00E55424"/>
    <w:rsid w:val="00E554B5"/>
    <w:rsid w:val="00E556C0"/>
    <w:rsid w:val="00E55875"/>
    <w:rsid w:val="00E55915"/>
    <w:rsid w:val="00E55BB5"/>
    <w:rsid w:val="00E55E10"/>
    <w:rsid w:val="00E56096"/>
    <w:rsid w:val="00E56CC8"/>
    <w:rsid w:val="00E56F78"/>
    <w:rsid w:val="00E575E1"/>
    <w:rsid w:val="00E57DBC"/>
    <w:rsid w:val="00E57F06"/>
    <w:rsid w:val="00E60018"/>
    <w:rsid w:val="00E61158"/>
    <w:rsid w:val="00E611DF"/>
    <w:rsid w:val="00E61A9F"/>
    <w:rsid w:val="00E61E1F"/>
    <w:rsid w:val="00E6286A"/>
    <w:rsid w:val="00E629C1"/>
    <w:rsid w:val="00E631DD"/>
    <w:rsid w:val="00E6332D"/>
    <w:rsid w:val="00E63DD4"/>
    <w:rsid w:val="00E64187"/>
    <w:rsid w:val="00E648F0"/>
    <w:rsid w:val="00E64CAE"/>
    <w:rsid w:val="00E64E9A"/>
    <w:rsid w:val="00E65000"/>
    <w:rsid w:val="00E65310"/>
    <w:rsid w:val="00E65C0A"/>
    <w:rsid w:val="00E65E79"/>
    <w:rsid w:val="00E65F1D"/>
    <w:rsid w:val="00E66BA2"/>
    <w:rsid w:val="00E6709E"/>
    <w:rsid w:val="00E67380"/>
    <w:rsid w:val="00E67416"/>
    <w:rsid w:val="00E67C18"/>
    <w:rsid w:val="00E706FC"/>
    <w:rsid w:val="00E70D2B"/>
    <w:rsid w:val="00E7106E"/>
    <w:rsid w:val="00E710EB"/>
    <w:rsid w:val="00E71229"/>
    <w:rsid w:val="00E7178A"/>
    <w:rsid w:val="00E718B6"/>
    <w:rsid w:val="00E719C8"/>
    <w:rsid w:val="00E72344"/>
    <w:rsid w:val="00E723BA"/>
    <w:rsid w:val="00E72661"/>
    <w:rsid w:val="00E73113"/>
    <w:rsid w:val="00E73468"/>
    <w:rsid w:val="00E73581"/>
    <w:rsid w:val="00E73AD2"/>
    <w:rsid w:val="00E73B6A"/>
    <w:rsid w:val="00E73ED0"/>
    <w:rsid w:val="00E74087"/>
    <w:rsid w:val="00E74353"/>
    <w:rsid w:val="00E74820"/>
    <w:rsid w:val="00E74A59"/>
    <w:rsid w:val="00E74A6B"/>
    <w:rsid w:val="00E75485"/>
    <w:rsid w:val="00E75E92"/>
    <w:rsid w:val="00E75F76"/>
    <w:rsid w:val="00E7607E"/>
    <w:rsid w:val="00E76483"/>
    <w:rsid w:val="00E765DE"/>
    <w:rsid w:val="00E7691E"/>
    <w:rsid w:val="00E769A8"/>
    <w:rsid w:val="00E76B5E"/>
    <w:rsid w:val="00E76B9B"/>
    <w:rsid w:val="00E8009A"/>
    <w:rsid w:val="00E8012D"/>
    <w:rsid w:val="00E80164"/>
    <w:rsid w:val="00E802A5"/>
    <w:rsid w:val="00E8044A"/>
    <w:rsid w:val="00E80EBF"/>
    <w:rsid w:val="00E81056"/>
    <w:rsid w:val="00E814AB"/>
    <w:rsid w:val="00E819F6"/>
    <w:rsid w:val="00E81B84"/>
    <w:rsid w:val="00E81D85"/>
    <w:rsid w:val="00E81E13"/>
    <w:rsid w:val="00E821C1"/>
    <w:rsid w:val="00E822AF"/>
    <w:rsid w:val="00E82603"/>
    <w:rsid w:val="00E82921"/>
    <w:rsid w:val="00E82929"/>
    <w:rsid w:val="00E833F7"/>
    <w:rsid w:val="00E8355B"/>
    <w:rsid w:val="00E83BDF"/>
    <w:rsid w:val="00E84025"/>
    <w:rsid w:val="00E847A3"/>
    <w:rsid w:val="00E84C83"/>
    <w:rsid w:val="00E84DA4"/>
    <w:rsid w:val="00E85FA0"/>
    <w:rsid w:val="00E865A8"/>
    <w:rsid w:val="00E86B2B"/>
    <w:rsid w:val="00E86E1E"/>
    <w:rsid w:val="00E86E98"/>
    <w:rsid w:val="00E86FCC"/>
    <w:rsid w:val="00E876EC"/>
    <w:rsid w:val="00E878DA"/>
    <w:rsid w:val="00E8795E"/>
    <w:rsid w:val="00E87A1D"/>
    <w:rsid w:val="00E87EEE"/>
    <w:rsid w:val="00E902A1"/>
    <w:rsid w:val="00E9091D"/>
    <w:rsid w:val="00E9094A"/>
    <w:rsid w:val="00E91979"/>
    <w:rsid w:val="00E91B36"/>
    <w:rsid w:val="00E91D35"/>
    <w:rsid w:val="00E9255F"/>
    <w:rsid w:val="00E926A5"/>
    <w:rsid w:val="00E92BE0"/>
    <w:rsid w:val="00E92FA6"/>
    <w:rsid w:val="00E9310E"/>
    <w:rsid w:val="00E9374C"/>
    <w:rsid w:val="00E93C33"/>
    <w:rsid w:val="00E93D01"/>
    <w:rsid w:val="00E94327"/>
    <w:rsid w:val="00E9459A"/>
    <w:rsid w:val="00E94A61"/>
    <w:rsid w:val="00E94DF6"/>
    <w:rsid w:val="00E94FD9"/>
    <w:rsid w:val="00E9574D"/>
    <w:rsid w:val="00E95944"/>
    <w:rsid w:val="00E95ABD"/>
    <w:rsid w:val="00E95D0A"/>
    <w:rsid w:val="00E95D64"/>
    <w:rsid w:val="00E962CC"/>
    <w:rsid w:val="00E965CB"/>
    <w:rsid w:val="00E96952"/>
    <w:rsid w:val="00E9699A"/>
    <w:rsid w:val="00E96EF5"/>
    <w:rsid w:val="00E97897"/>
    <w:rsid w:val="00E9797F"/>
    <w:rsid w:val="00E979A8"/>
    <w:rsid w:val="00E97AEC"/>
    <w:rsid w:val="00EA0358"/>
    <w:rsid w:val="00EA0B20"/>
    <w:rsid w:val="00EA1784"/>
    <w:rsid w:val="00EA17C3"/>
    <w:rsid w:val="00EA1BB3"/>
    <w:rsid w:val="00EA20C3"/>
    <w:rsid w:val="00EA22DA"/>
    <w:rsid w:val="00EA2372"/>
    <w:rsid w:val="00EA28BA"/>
    <w:rsid w:val="00EA294A"/>
    <w:rsid w:val="00EA2CAA"/>
    <w:rsid w:val="00EA3864"/>
    <w:rsid w:val="00EA3AAE"/>
    <w:rsid w:val="00EA4658"/>
    <w:rsid w:val="00EA4B51"/>
    <w:rsid w:val="00EA4BA0"/>
    <w:rsid w:val="00EA4E13"/>
    <w:rsid w:val="00EA57C4"/>
    <w:rsid w:val="00EA5929"/>
    <w:rsid w:val="00EA63C1"/>
    <w:rsid w:val="00EA6D02"/>
    <w:rsid w:val="00EA6E92"/>
    <w:rsid w:val="00EA6FE2"/>
    <w:rsid w:val="00EA763F"/>
    <w:rsid w:val="00EA7F1C"/>
    <w:rsid w:val="00EB064A"/>
    <w:rsid w:val="00EB15B6"/>
    <w:rsid w:val="00EB2546"/>
    <w:rsid w:val="00EB284B"/>
    <w:rsid w:val="00EB2B6E"/>
    <w:rsid w:val="00EB3368"/>
    <w:rsid w:val="00EB3A04"/>
    <w:rsid w:val="00EB3D06"/>
    <w:rsid w:val="00EB48C5"/>
    <w:rsid w:val="00EB4916"/>
    <w:rsid w:val="00EB4E02"/>
    <w:rsid w:val="00EB5089"/>
    <w:rsid w:val="00EB53A5"/>
    <w:rsid w:val="00EB5D79"/>
    <w:rsid w:val="00EB6079"/>
    <w:rsid w:val="00EB69DB"/>
    <w:rsid w:val="00EB71E1"/>
    <w:rsid w:val="00EB762F"/>
    <w:rsid w:val="00EB7A6B"/>
    <w:rsid w:val="00EB7ACA"/>
    <w:rsid w:val="00EB7C6B"/>
    <w:rsid w:val="00EC00C9"/>
    <w:rsid w:val="00EC03CE"/>
    <w:rsid w:val="00EC0615"/>
    <w:rsid w:val="00EC0DD9"/>
    <w:rsid w:val="00EC10D7"/>
    <w:rsid w:val="00EC14B3"/>
    <w:rsid w:val="00EC2302"/>
    <w:rsid w:val="00EC257B"/>
    <w:rsid w:val="00EC2649"/>
    <w:rsid w:val="00EC26F3"/>
    <w:rsid w:val="00EC295B"/>
    <w:rsid w:val="00EC2B18"/>
    <w:rsid w:val="00EC2BFD"/>
    <w:rsid w:val="00EC3195"/>
    <w:rsid w:val="00EC31ED"/>
    <w:rsid w:val="00EC3FE8"/>
    <w:rsid w:val="00EC4493"/>
    <w:rsid w:val="00EC46AE"/>
    <w:rsid w:val="00EC4CE3"/>
    <w:rsid w:val="00EC5623"/>
    <w:rsid w:val="00EC5836"/>
    <w:rsid w:val="00EC5B65"/>
    <w:rsid w:val="00EC6602"/>
    <w:rsid w:val="00EC667C"/>
    <w:rsid w:val="00EC688C"/>
    <w:rsid w:val="00EC6F28"/>
    <w:rsid w:val="00EC7127"/>
    <w:rsid w:val="00EC7668"/>
    <w:rsid w:val="00EC78FC"/>
    <w:rsid w:val="00EC7A6F"/>
    <w:rsid w:val="00EC7AAA"/>
    <w:rsid w:val="00ED0F59"/>
    <w:rsid w:val="00ED12E3"/>
    <w:rsid w:val="00ED2043"/>
    <w:rsid w:val="00ED21FD"/>
    <w:rsid w:val="00ED43F4"/>
    <w:rsid w:val="00ED4B04"/>
    <w:rsid w:val="00ED4E4F"/>
    <w:rsid w:val="00ED57EA"/>
    <w:rsid w:val="00ED5946"/>
    <w:rsid w:val="00ED5BD4"/>
    <w:rsid w:val="00ED5C46"/>
    <w:rsid w:val="00ED694E"/>
    <w:rsid w:val="00ED6C7F"/>
    <w:rsid w:val="00ED7D30"/>
    <w:rsid w:val="00EE076C"/>
    <w:rsid w:val="00EE07D3"/>
    <w:rsid w:val="00EE0B0D"/>
    <w:rsid w:val="00EE0DBF"/>
    <w:rsid w:val="00EE1996"/>
    <w:rsid w:val="00EE1C01"/>
    <w:rsid w:val="00EE1FB6"/>
    <w:rsid w:val="00EE22AF"/>
    <w:rsid w:val="00EE2783"/>
    <w:rsid w:val="00EE2AEB"/>
    <w:rsid w:val="00EE2B13"/>
    <w:rsid w:val="00EE2CEC"/>
    <w:rsid w:val="00EE2D6A"/>
    <w:rsid w:val="00EE326B"/>
    <w:rsid w:val="00EE372E"/>
    <w:rsid w:val="00EE3D29"/>
    <w:rsid w:val="00EE42EF"/>
    <w:rsid w:val="00EE45E7"/>
    <w:rsid w:val="00EE4C6A"/>
    <w:rsid w:val="00EE4EB8"/>
    <w:rsid w:val="00EE5C30"/>
    <w:rsid w:val="00EE6418"/>
    <w:rsid w:val="00EE6993"/>
    <w:rsid w:val="00EE7044"/>
    <w:rsid w:val="00EE738A"/>
    <w:rsid w:val="00EE77ED"/>
    <w:rsid w:val="00EE7A1D"/>
    <w:rsid w:val="00EF0171"/>
    <w:rsid w:val="00EF0A6A"/>
    <w:rsid w:val="00EF0A8A"/>
    <w:rsid w:val="00EF0C47"/>
    <w:rsid w:val="00EF113B"/>
    <w:rsid w:val="00EF1B25"/>
    <w:rsid w:val="00EF1DA0"/>
    <w:rsid w:val="00EF1ECD"/>
    <w:rsid w:val="00EF22E2"/>
    <w:rsid w:val="00EF2B97"/>
    <w:rsid w:val="00EF2E25"/>
    <w:rsid w:val="00EF32F5"/>
    <w:rsid w:val="00EF3624"/>
    <w:rsid w:val="00EF3C8E"/>
    <w:rsid w:val="00EF3C95"/>
    <w:rsid w:val="00EF4747"/>
    <w:rsid w:val="00EF4BF8"/>
    <w:rsid w:val="00EF4C7A"/>
    <w:rsid w:val="00EF50D6"/>
    <w:rsid w:val="00EF54C9"/>
    <w:rsid w:val="00EF55A7"/>
    <w:rsid w:val="00EF5875"/>
    <w:rsid w:val="00EF5A29"/>
    <w:rsid w:val="00EF5C0D"/>
    <w:rsid w:val="00EF5EA8"/>
    <w:rsid w:val="00EF6015"/>
    <w:rsid w:val="00EF60DF"/>
    <w:rsid w:val="00EF6871"/>
    <w:rsid w:val="00EF68FC"/>
    <w:rsid w:val="00EF697A"/>
    <w:rsid w:val="00EF6BC5"/>
    <w:rsid w:val="00EF6D95"/>
    <w:rsid w:val="00EF710C"/>
    <w:rsid w:val="00EF7B49"/>
    <w:rsid w:val="00EF7F66"/>
    <w:rsid w:val="00F000E4"/>
    <w:rsid w:val="00F0021D"/>
    <w:rsid w:val="00F00295"/>
    <w:rsid w:val="00F005C7"/>
    <w:rsid w:val="00F0081E"/>
    <w:rsid w:val="00F00DDA"/>
    <w:rsid w:val="00F00EB5"/>
    <w:rsid w:val="00F01602"/>
    <w:rsid w:val="00F0189B"/>
    <w:rsid w:val="00F02253"/>
    <w:rsid w:val="00F022EB"/>
    <w:rsid w:val="00F02B5B"/>
    <w:rsid w:val="00F02F4E"/>
    <w:rsid w:val="00F03C2E"/>
    <w:rsid w:val="00F04304"/>
    <w:rsid w:val="00F04A66"/>
    <w:rsid w:val="00F04B4B"/>
    <w:rsid w:val="00F05050"/>
    <w:rsid w:val="00F0516C"/>
    <w:rsid w:val="00F05637"/>
    <w:rsid w:val="00F05B79"/>
    <w:rsid w:val="00F06664"/>
    <w:rsid w:val="00F067A2"/>
    <w:rsid w:val="00F06806"/>
    <w:rsid w:val="00F06E9B"/>
    <w:rsid w:val="00F07B9E"/>
    <w:rsid w:val="00F07D9C"/>
    <w:rsid w:val="00F107E1"/>
    <w:rsid w:val="00F10B00"/>
    <w:rsid w:val="00F10DD4"/>
    <w:rsid w:val="00F10EBE"/>
    <w:rsid w:val="00F10FE8"/>
    <w:rsid w:val="00F1116F"/>
    <w:rsid w:val="00F114BF"/>
    <w:rsid w:val="00F11D4E"/>
    <w:rsid w:val="00F1263A"/>
    <w:rsid w:val="00F12EB0"/>
    <w:rsid w:val="00F1304A"/>
    <w:rsid w:val="00F134F4"/>
    <w:rsid w:val="00F139C5"/>
    <w:rsid w:val="00F13B2C"/>
    <w:rsid w:val="00F14298"/>
    <w:rsid w:val="00F14371"/>
    <w:rsid w:val="00F14D8C"/>
    <w:rsid w:val="00F15A63"/>
    <w:rsid w:val="00F15B77"/>
    <w:rsid w:val="00F168AA"/>
    <w:rsid w:val="00F16B33"/>
    <w:rsid w:val="00F1720B"/>
    <w:rsid w:val="00F1722C"/>
    <w:rsid w:val="00F1787A"/>
    <w:rsid w:val="00F179D4"/>
    <w:rsid w:val="00F2003B"/>
    <w:rsid w:val="00F20257"/>
    <w:rsid w:val="00F20CC3"/>
    <w:rsid w:val="00F21236"/>
    <w:rsid w:val="00F21786"/>
    <w:rsid w:val="00F22A21"/>
    <w:rsid w:val="00F22EF5"/>
    <w:rsid w:val="00F22F83"/>
    <w:rsid w:val="00F231CE"/>
    <w:rsid w:val="00F23A53"/>
    <w:rsid w:val="00F23C90"/>
    <w:rsid w:val="00F23E54"/>
    <w:rsid w:val="00F246BA"/>
    <w:rsid w:val="00F24837"/>
    <w:rsid w:val="00F2575F"/>
    <w:rsid w:val="00F25AB2"/>
    <w:rsid w:val="00F25E4E"/>
    <w:rsid w:val="00F25F20"/>
    <w:rsid w:val="00F26388"/>
    <w:rsid w:val="00F26B2B"/>
    <w:rsid w:val="00F26C19"/>
    <w:rsid w:val="00F26C37"/>
    <w:rsid w:val="00F26DCA"/>
    <w:rsid w:val="00F27565"/>
    <w:rsid w:val="00F27EB3"/>
    <w:rsid w:val="00F30800"/>
    <w:rsid w:val="00F30F7B"/>
    <w:rsid w:val="00F310D4"/>
    <w:rsid w:val="00F311A8"/>
    <w:rsid w:val="00F311EA"/>
    <w:rsid w:val="00F31608"/>
    <w:rsid w:val="00F317B8"/>
    <w:rsid w:val="00F31944"/>
    <w:rsid w:val="00F31D5A"/>
    <w:rsid w:val="00F31E3D"/>
    <w:rsid w:val="00F32A52"/>
    <w:rsid w:val="00F33975"/>
    <w:rsid w:val="00F33DE9"/>
    <w:rsid w:val="00F34161"/>
    <w:rsid w:val="00F34463"/>
    <w:rsid w:val="00F3456C"/>
    <w:rsid w:val="00F34A52"/>
    <w:rsid w:val="00F34B2D"/>
    <w:rsid w:val="00F352F7"/>
    <w:rsid w:val="00F3535A"/>
    <w:rsid w:val="00F35CA2"/>
    <w:rsid w:val="00F35E6D"/>
    <w:rsid w:val="00F3619A"/>
    <w:rsid w:val="00F40AAA"/>
    <w:rsid w:val="00F40BA7"/>
    <w:rsid w:val="00F40D43"/>
    <w:rsid w:val="00F40F05"/>
    <w:rsid w:val="00F40F9D"/>
    <w:rsid w:val="00F415FD"/>
    <w:rsid w:val="00F41ACD"/>
    <w:rsid w:val="00F4221A"/>
    <w:rsid w:val="00F422A6"/>
    <w:rsid w:val="00F42AF9"/>
    <w:rsid w:val="00F42CF0"/>
    <w:rsid w:val="00F432C4"/>
    <w:rsid w:val="00F43A2D"/>
    <w:rsid w:val="00F449D6"/>
    <w:rsid w:val="00F44BA3"/>
    <w:rsid w:val="00F44D46"/>
    <w:rsid w:val="00F44F01"/>
    <w:rsid w:val="00F45004"/>
    <w:rsid w:val="00F45208"/>
    <w:rsid w:val="00F454B7"/>
    <w:rsid w:val="00F4580C"/>
    <w:rsid w:val="00F46CB6"/>
    <w:rsid w:val="00F46D6E"/>
    <w:rsid w:val="00F46DD6"/>
    <w:rsid w:val="00F47340"/>
    <w:rsid w:val="00F47366"/>
    <w:rsid w:val="00F4756D"/>
    <w:rsid w:val="00F477F7"/>
    <w:rsid w:val="00F4793C"/>
    <w:rsid w:val="00F47D66"/>
    <w:rsid w:val="00F47DE8"/>
    <w:rsid w:val="00F5032C"/>
    <w:rsid w:val="00F503DC"/>
    <w:rsid w:val="00F5055C"/>
    <w:rsid w:val="00F5091F"/>
    <w:rsid w:val="00F50BFE"/>
    <w:rsid w:val="00F50DB4"/>
    <w:rsid w:val="00F514F7"/>
    <w:rsid w:val="00F51863"/>
    <w:rsid w:val="00F51AE7"/>
    <w:rsid w:val="00F51F54"/>
    <w:rsid w:val="00F52BD7"/>
    <w:rsid w:val="00F52FEF"/>
    <w:rsid w:val="00F53461"/>
    <w:rsid w:val="00F53593"/>
    <w:rsid w:val="00F5360F"/>
    <w:rsid w:val="00F537F6"/>
    <w:rsid w:val="00F53A77"/>
    <w:rsid w:val="00F542C1"/>
    <w:rsid w:val="00F546F2"/>
    <w:rsid w:val="00F54798"/>
    <w:rsid w:val="00F549F4"/>
    <w:rsid w:val="00F54D47"/>
    <w:rsid w:val="00F550E3"/>
    <w:rsid w:val="00F55A22"/>
    <w:rsid w:val="00F55BB3"/>
    <w:rsid w:val="00F55E73"/>
    <w:rsid w:val="00F55EDA"/>
    <w:rsid w:val="00F55FAD"/>
    <w:rsid w:val="00F56198"/>
    <w:rsid w:val="00F56217"/>
    <w:rsid w:val="00F5621C"/>
    <w:rsid w:val="00F56A02"/>
    <w:rsid w:val="00F56C80"/>
    <w:rsid w:val="00F56D02"/>
    <w:rsid w:val="00F56D06"/>
    <w:rsid w:val="00F570B6"/>
    <w:rsid w:val="00F5769E"/>
    <w:rsid w:val="00F57A7F"/>
    <w:rsid w:val="00F57AE2"/>
    <w:rsid w:val="00F60092"/>
    <w:rsid w:val="00F60B64"/>
    <w:rsid w:val="00F60E78"/>
    <w:rsid w:val="00F61008"/>
    <w:rsid w:val="00F6134C"/>
    <w:rsid w:val="00F61C18"/>
    <w:rsid w:val="00F61E83"/>
    <w:rsid w:val="00F625E6"/>
    <w:rsid w:val="00F62986"/>
    <w:rsid w:val="00F63171"/>
    <w:rsid w:val="00F6343A"/>
    <w:rsid w:val="00F638C4"/>
    <w:rsid w:val="00F646B9"/>
    <w:rsid w:val="00F64B5F"/>
    <w:rsid w:val="00F64EFC"/>
    <w:rsid w:val="00F65476"/>
    <w:rsid w:val="00F65C87"/>
    <w:rsid w:val="00F65F4B"/>
    <w:rsid w:val="00F65F72"/>
    <w:rsid w:val="00F66C87"/>
    <w:rsid w:val="00F66EF6"/>
    <w:rsid w:val="00F67032"/>
    <w:rsid w:val="00F67A69"/>
    <w:rsid w:val="00F702C6"/>
    <w:rsid w:val="00F70459"/>
    <w:rsid w:val="00F70BFF"/>
    <w:rsid w:val="00F70C9D"/>
    <w:rsid w:val="00F70F95"/>
    <w:rsid w:val="00F71156"/>
    <w:rsid w:val="00F7177C"/>
    <w:rsid w:val="00F717FB"/>
    <w:rsid w:val="00F71B60"/>
    <w:rsid w:val="00F728CA"/>
    <w:rsid w:val="00F72CC7"/>
    <w:rsid w:val="00F72D99"/>
    <w:rsid w:val="00F72F1B"/>
    <w:rsid w:val="00F73284"/>
    <w:rsid w:val="00F736FA"/>
    <w:rsid w:val="00F737B7"/>
    <w:rsid w:val="00F73E01"/>
    <w:rsid w:val="00F73E08"/>
    <w:rsid w:val="00F74423"/>
    <w:rsid w:val="00F74A8E"/>
    <w:rsid w:val="00F74B84"/>
    <w:rsid w:val="00F74BD3"/>
    <w:rsid w:val="00F74CD9"/>
    <w:rsid w:val="00F74D37"/>
    <w:rsid w:val="00F762CE"/>
    <w:rsid w:val="00F7660C"/>
    <w:rsid w:val="00F770AD"/>
    <w:rsid w:val="00F77E23"/>
    <w:rsid w:val="00F808A0"/>
    <w:rsid w:val="00F80940"/>
    <w:rsid w:val="00F80A7B"/>
    <w:rsid w:val="00F80E5D"/>
    <w:rsid w:val="00F811C6"/>
    <w:rsid w:val="00F81262"/>
    <w:rsid w:val="00F8139E"/>
    <w:rsid w:val="00F81857"/>
    <w:rsid w:val="00F81DEB"/>
    <w:rsid w:val="00F81E78"/>
    <w:rsid w:val="00F8262F"/>
    <w:rsid w:val="00F832F9"/>
    <w:rsid w:val="00F83916"/>
    <w:rsid w:val="00F8399E"/>
    <w:rsid w:val="00F83A3A"/>
    <w:rsid w:val="00F83AED"/>
    <w:rsid w:val="00F83F50"/>
    <w:rsid w:val="00F84013"/>
    <w:rsid w:val="00F846AA"/>
    <w:rsid w:val="00F85028"/>
    <w:rsid w:val="00F850E6"/>
    <w:rsid w:val="00F851CE"/>
    <w:rsid w:val="00F85842"/>
    <w:rsid w:val="00F858C0"/>
    <w:rsid w:val="00F86A9B"/>
    <w:rsid w:val="00F86B1A"/>
    <w:rsid w:val="00F86F65"/>
    <w:rsid w:val="00F870CA"/>
    <w:rsid w:val="00F8759C"/>
    <w:rsid w:val="00F876CC"/>
    <w:rsid w:val="00F87926"/>
    <w:rsid w:val="00F87DBB"/>
    <w:rsid w:val="00F87E61"/>
    <w:rsid w:val="00F9080B"/>
    <w:rsid w:val="00F90AE8"/>
    <w:rsid w:val="00F90CE6"/>
    <w:rsid w:val="00F911F8"/>
    <w:rsid w:val="00F91219"/>
    <w:rsid w:val="00F91E14"/>
    <w:rsid w:val="00F9214E"/>
    <w:rsid w:val="00F92444"/>
    <w:rsid w:val="00F928B0"/>
    <w:rsid w:val="00F92DE0"/>
    <w:rsid w:val="00F9327F"/>
    <w:rsid w:val="00F93469"/>
    <w:rsid w:val="00F9393E"/>
    <w:rsid w:val="00F94035"/>
    <w:rsid w:val="00F942A0"/>
    <w:rsid w:val="00F949B8"/>
    <w:rsid w:val="00F94A75"/>
    <w:rsid w:val="00F94EA4"/>
    <w:rsid w:val="00F94EC9"/>
    <w:rsid w:val="00F951B7"/>
    <w:rsid w:val="00F9551E"/>
    <w:rsid w:val="00F95F57"/>
    <w:rsid w:val="00F96A76"/>
    <w:rsid w:val="00F96AA3"/>
    <w:rsid w:val="00F96B3D"/>
    <w:rsid w:val="00F96BFD"/>
    <w:rsid w:val="00F96F5E"/>
    <w:rsid w:val="00F96FD0"/>
    <w:rsid w:val="00F97A78"/>
    <w:rsid w:val="00F97F69"/>
    <w:rsid w:val="00FA0A20"/>
    <w:rsid w:val="00FA0A23"/>
    <w:rsid w:val="00FA0B20"/>
    <w:rsid w:val="00FA0FDC"/>
    <w:rsid w:val="00FA0FDD"/>
    <w:rsid w:val="00FA1CAA"/>
    <w:rsid w:val="00FA23D5"/>
    <w:rsid w:val="00FA24E7"/>
    <w:rsid w:val="00FA2AAA"/>
    <w:rsid w:val="00FA3606"/>
    <w:rsid w:val="00FA3A29"/>
    <w:rsid w:val="00FA3C9F"/>
    <w:rsid w:val="00FA4434"/>
    <w:rsid w:val="00FA4FB8"/>
    <w:rsid w:val="00FA500A"/>
    <w:rsid w:val="00FA5063"/>
    <w:rsid w:val="00FA5357"/>
    <w:rsid w:val="00FA5589"/>
    <w:rsid w:val="00FA5831"/>
    <w:rsid w:val="00FA5EE6"/>
    <w:rsid w:val="00FA5F60"/>
    <w:rsid w:val="00FA61AE"/>
    <w:rsid w:val="00FA6945"/>
    <w:rsid w:val="00FA772B"/>
    <w:rsid w:val="00FA7956"/>
    <w:rsid w:val="00FA7FD5"/>
    <w:rsid w:val="00FB04AD"/>
    <w:rsid w:val="00FB05D8"/>
    <w:rsid w:val="00FB0824"/>
    <w:rsid w:val="00FB0C7F"/>
    <w:rsid w:val="00FB163F"/>
    <w:rsid w:val="00FB1824"/>
    <w:rsid w:val="00FB1914"/>
    <w:rsid w:val="00FB220C"/>
    <w:rsid w:val="00FB24B0"/>
    <w:rsid w:val="00FB2FCB"/>
    <w:rsid w:val="00FB3072"/>
    <w:rsid w:val="00FB3119"/>
    <w:rsid w:val="00FB361A"/>
    <w:rsid w:val="00FB39F1"/>
    <w:rsid w:val="00FB3A5E"/>
    <w:rsid w:val="00FB472A"/>
    <w:rsid w:val="00FB4C9C"/>
    <w:rsid w:val="00FB4E3C"/>
    <w:rsid w:val="00FB5977"/>
    <w:rsid w:val="00FB5E11"/>
    <w:rsid w:val="00FB676E"/>
    <w:rsid w:val="00FB6C95"/>
    <w:rsid w:val="00FB6DF2"/>
    <w:rsid w:val="00FB78E1"/>
    <w:rsid w:val="00FB7AC2"/>
    <w:rsid w:val="00FB7B24"/>
    <w:rsid w:val="00FB7BDF"/>
    <w:rsid w:val="00FB7C55"/>
    <w:rsid w:val="00FC0322"/>
    <w:rsid w:val="00FC08CF"/>
    <w:rsid w:val="00FC0B83"/>
    <w:rsid w:val="00FC1074"/>
    <w:rsid w:val="00FC1552"/>
    <w:rsid w:val="00FC1884"/>
    <w:rsid w:val="00FC195D"/>
    <w:rsid w:val="00FC2063"/>
    <w:rsid w:val="00FC2942"/>
    <w:rsid w:val="00FC3061"/>
    <w:rsid w:val="00FC3529"/>
    <w:rsid w:val="00FC371D"/>
    <w:rsid w:val="00FC3B56"/>
    <w:rsid w:val="00FC440A"/>
    <w:rsid w:val="00FC45FE"/>
    <w:rsid w:val="00FC5C37"/>
    <w:rsid w:val="00FC5F0B"/>
    <w:rsid w:val="00FC6EF7"/>
    <w:rsid w:val="00FC6F85"/>
    <w:rsid w:val="00FC7593"/>
    <w:rsid w:val="00FC7865"/>
    <w:rsid w:val="00FC7CBE"/>
    <w:rsid w:val="00FD019B"/>
    <w:rsid w:val="00FD04E5"/>
    <w:rsid w:val="00FD0844"/>
    <w:rsid w:val="00FD0A05"/>
    <w:rsid w:val="00FD105E"/>
    <w:rsid w:val="00FD11C3"/>
    <w:rsid w:val="00FD1441"/>
    <w:rsid w:val="00FD191C"/>
    <w:rsid w:val="00FD1FA6"/>
    <w:rsid w:val="00FD2100"/>
    <w:rsid w:val="00FD21C0"/>
    <w:rsid w:val="00FD248D"/>
    <w:rsid w:val="00FD2678"/>
    <w:rsid w:val="00FD2E03"/>
    <w:rsid w:val="00FD2E22"/>
    <w:rsid w:val="00FD2F32"/>
    <w:rsid w:val="00FD30AB"/>
    <w:rsid w:val="00FD39D3"/>
    <w:rsid w:val="00FD4178"/>
    <w:rsid w:val="00FD436C"/>
    <w:rsid w:val="00FD446D"/>
    <w:rsid w:val="00FD4F2C"/>
    <w:rsid w:val="00FD4FFB"/>
    <w:rsid w:val="00FD5AB4"/>
    <w:rsid w:val="00FD5AD4"/>
    <w:rsid w:val="00FD5CA2"/>
    <w:rsid w:val="00FD6394"/>
    <w:rsid w:val="00FD6777"/>
    <w:rsid w:val="00FD6BFB"/>
    <w:rsid w:val="00FD6FE2"/>
    <w:rsid w:val="00FD7092"/>
    <w:rsid w:val="00FD7317"/>
    <w:rsid w:val="00FD7C8A"/>
    <w:rsid w:val="00FE0077"/>
    <w:rsid w:val="00FE0C3B"/>
    <w:rsid w:val="00FE0E49"/>
    <w:rsid w:val="00FE0E6C"/>
    <w:rsid w:val="00FE1CDC"/>
    <w:rsid w:val="00FE24FC"/>
    <w:rsid w:val="00FE2611"/>
    <w:rsid w:val="00FE29E8"/>
    <w:rsid w:val="00FE2B05"/>
    <w:rsid w:val="00FE2E84"/>
    <w:rsid w:val="00FE2EF5"/>
    <w:rsid w:val="00FE32CB"/>
    <w:rsid w:val="00FE3416"/>
    <w:rsid w:val="00FE345C"/>
    <w:rsid w:val="00FE381A"/>
    <w:rsid w:val="00FE3B44"/>
    <w:rsid w:val="00FE4188"/>
    <w:rsid w:val="00FE4798"/>
    <w:rsid w:val="00FE499E"/>
    <w:rsid w:val="00FE536F"/>
    <w:rsid w:val="00FE5B77"/>
    <w:rsid w:val="00FE5DD6"/>
    <w:rsid w:val="00FE60DE"/>
    <w:rsid w:val="00FE6B76"/>
    <w:rsid w:val="00FE6E88"/>
    <w:rsid w:val="00FE70C3"/>
    <w:rsid w:val="00FE714A"/>
    <w:rsid w:val="00FE7215"/>
    <w:rsid w:val="00FE7625"/>
    <w:rsid w:val="00FE77D2"/>
    <w:rsid w:val="00FF08E4"/>
    <w:rsid w:val="00FF10D5"/>
    <w:rsid w:val="00FF1A8B"/>
    <w:rsid w:val="00FF1FCB"/>
    <w:rsid w:val="00FF273B"/>
    <w:rsid w:val="00FF2AD9"/>
    <w:rsid w:val="00FF2BD3"/>
    <w:rsid w:val="00FF2F6B"/>
    <w:rsid w:val="00FF341E"/>
    <w:rsid w:val="00FF3451"/>
    <w:rsid w:val="00FF359F"/>
    <w:rsid w:val="00FF3648"/>
    <w:rsid w:val="00FF3D8E"/>
    <w:rsid w:val="00FF3DCF"/>
    <w:rsid w:val="00FF492C"/>
    <w:rsid w:val="00FF4A21"/>
    <w:rsid w:val="00FF4A64"/>
    <w:rsid w:val="00FF4B03"/>
    <w:rsid w:val="00FF4FC2"/>
    <w:rsid w:val="00FF5405"/>
    <w:rsid w:val="00FF5576"/>
    <w:rsid w:val="00FF5AA3"/>
    <w:rsid w:val="00FF5AD8"/>
    <w:rsid w:val="00FF5D08"/>
    <w:rsid w:val="00FF6093"/>
    <w:rsid w:val="00FF702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aliases w:val="Subsection Headings"/>
    <w:basedOn w:val="Normal"/>
    <w:next w:val="Normal"/>
    <w:link w:val="Heading2Char"/>
    <w:uiPriority w:val="1"/>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section Headings Char"/>
    <w:link w:val="Heading2"/>
    <w:uiPriority w:val="1"/>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 List,Bullet1,Section 5,Bullets Points,Figure_name,Numbered Indented Text,Bullet- First level,l"/>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Bullet1 Char,Section 5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Tabellengitternetz 9pt,PBAC table,HTAtableplain,new style,RTI AMCP Table,Dossier table,Section 3- footnotes,Summary Table,MSD Table Grid,Header Table,NICE instructions,Source table_"/>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417CC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94327"/>
    <w:rPr>
      <w:color w:val="605E5C"/>
      <w:shd w:val="clear" w:color="auto" w:fill="E1DFDD"/>
    </w:rPr>
  </w:style>
  <w:style w:type="table" w:customStyle="1" w:styleId="MSDTableGrid1">
    <w:name w:val="MSD Table Grid1"/>
    <w:basedOn w:val="TableNormal"/>
    <w:next w:val="TableGrid"/>
    <w:uiPriority w:val="59"/>
    <w:rsid w:val="009928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36607"/>
    <w:rPr>
      <w:sz w:val="20"/>
      <w:szCs w:val="20"/>
    </w:rPr>
  </w:style>
  <w:style w:type="character" w:customStyle="1" w:styleId="FootnoteTextChar">
    <w:name w:val="Footnote Text Char"/>
    <w:basedOn w:val="DefaultParagraphFont"/>
    <w:link w:val="FootnoteText"/>
    <w:semiHidden/>
    <w:rsid w:val="00736607"/>
    <w:rPr>
      <w:rFonts w:ascii="Calibri" w:hAnsi="Calibri" w:cs="Arial"/>
    </w:rPr>
  </w:style>
  <w:style w:type="character" w:styleId="FootnoteReference">
    <w:name w:val="footnote reference"/>
    <w:basedOn w:val="DefaultParagraphFont"/>
    <w:unhideWhenUsed/>
    <w:rsid w:val="00736607"/>
    <w:rPr>
      <w:vertAlign w:val="superscript"/>
    </w:rPr>
  </w:style>
  <w:style w:type="character" w:customStyle="1" w:styleId="Small">
    <w:name w:val="Small"/>
    <w:basedOn w:val="DefaultParagraphFont"/>
    <w:uiPriority w:val="4"/>
    <w:qFormat/>
    <w:rsid w:val="008D32D6"/>
    <w:rPr>
      <w:rFonts w:ascii="Calibri" w:hAnsi="Calibri" w:cs="Calibri" w:hint="default"/>
      <w:sz w:val="20"/>
    </w:rPr>
  </w:style>
  <w:style w:type="paragraph" w:customStyle="1" w:styleId="Tablecentre">
    <w:name w:val="Table centre"/>
    <w:basedOn w:val="TableText0"/>
    <w:qFormat/>
    <w:rsid w:val="004F1A2A"/>
    <w:pPr>
      <w:keepNext w:val="0"/>
      <w:spacing w:line="276" w:lineRule="auto"/>
      <w:jc w:val="center"/>
    </w:pPr>
    <w:rPr>
      <w:rFonts w:asciiTheme="minorHAnsi" w:eastAsia="Times New Roman" w:hAnsiTheme="minorHAnsi" w:cs="Times New Roman"/>
      <w:bCs w:val="0"/>
      <w:szCs w:val="20"/>
      <w:lang w:val="en-US"/>
    </w:rPr>
  </w:style>
  <w:style w:type="table" w:customStyle="1" w:styleId="MSDTableGrid2">
    <w:name w:val="MSD Table Grid2"/>
    <w:basedOn w:val="TableNormal"/>
    <w:next w:val="TableGrid"/>
    <w:uiPriority w:val="59"/>
    <w:rsid w:val="00401C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3">
    <w:name w:val="MSD Table Grid3"/>
    <w:basedOn w:val="TableNormal"/>
    <w:next w:val="TableGrid"/>
    <w:uiPriority w:val="59"/>
    <w:rsid w:val="00784D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4">
    <w:name w:val="MSD Table Grid4"/>
    <w:basedOn w:val="TableNormal"/>
    <w:next w:val="TableGrid"/>
    <w:uiPriority w:val="59"/>
    <w:rsid w:val="000B6B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5">
    <w:name w:val="MSD Table Grid5"/>
    <w:basedOn w:val="TableNormal"/>
    <w:next w:val="TableGrid"/>
    <w:uiPriority w:val="59"/>
    <w:rsid w:val="00B44B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6">
    <w:name w:val="MSD Table Grid6"/>
    <w:basedOn w:val="TableNormal"/>
    <w:next w:val="TableGrid"/>
    <w:uiPriority w:val="59"/>
    <w:rsid w:val="001C49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7">
    <w:name w:val="MSD Table Grid7"/>
    <w:basedOn w:val="TableNormal"/>
    <w:next w:val="TableGrid"/>
    <w:uiPriority w:val="59"/>
    <w:rsid w:val="00BC13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8">
    <w:name w:val="MSD Table Grid8"/>
    <w:basedOn w:val="TableNormal"/>
    <w:next w:val="TableGrid"/>
    <w:uiPriority w:val="59"/>
    <w:rsid w:val="00C379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9">
    <w:name w:val="MSD Table Grid9"/>
    <w:basedOn w:val="TableNormal"/>
    <w:next w:val="TableGrid"/>
    <w:uiPriority w:val="59"/>
    <w:rsid w:val="00226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10">
    <w:name w:val="MSD Table Grid10"/>
    <w:basedOn w:val="TableNormal"/>
    <w:next w:val="TableGrid"/>
    <w:uiPriority w:val="59"/>
    <w:rsid w:val="007F6B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11">
    <w:name w:val="MSD Table Grid11"/>
    <w:basedOn w:val="TableNormal"/>
    <w:next w:val="TableGrid"/>
    <w:uiPriority w:val="59"/>
    <w:rsid w:val="00C94F6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12">
    <w:name w:val="MSD Table Grid12"/>
    <w:basedOn w:val="TableNormal"/>
    <w:next w:val="TableGrid"/>
    <w:uiPriority w:val="59"/>
    <w:rsid w:val="00A41E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13">
    <w:name w:val="MSD Table Grid13"/>
    <w:basedOn w:val="TableNormal"/>
    <w:next w:val="TableGrid"/>
    <w:uiPriority w:val="59"/>
    <w:rsid w:val="00A41E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TableGrid14">
    <w:name w:val="MSD Table Grid14"/>
    <w:basedOn w:val="TableNormal"/>
    <w:next w:val="TableGrid"/>
    <w:uiPriority w:val="59"/>
    <w:rsid w:val="00A41E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Footer">
    <w:name w:val="Table/Figure Footer"/>
    <w:basedOn w:val="Normal"/>
    <w:link w:val="TableFigureFooterChar"/>
    <w:qFormat/>
    <w:rsid w:val="00705B0E"/>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705B0E"/>
    <w:rPr>
      <w:rFonts w:ascii="Arial Narrow" w:hAnsi="Arial Narrow" w:cs="Arial"/>
      <w:snapToGrid w:val="0"/>
      <w:sz w:val="18"/>
      <w:szCs w:val="22"/>
    </w:rPr>
  </w:style>
  <w:style w:type="paragraph" w:customStyle="1" w:styleId="pf0">
    <w:name w:val="pf0"/>
    <w:basedOn w:val="Normal"/>
    <w:rsid w:val="00CF0D1C"/>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CF0D1C"/>
    <w:rPr>
      <w:rFonts w:ascii="Segoe UI" w:hAnsi="Segoe UI" w:cs="Segoe UI" w:hint="default"/>
      <w:sz w:val="18"/>
      <w:szCs w:val="18"/>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75F20"/>
    <w:pPr>
      <w:spacing w:after="160" w:line="240" w:lineRule="exact"/>
      <w:jc w:val="left"/>
    </w:pPr>
    <w:rPr>
      <w:rFonts w:ascii="Verdana" w:eastAsia="MS Mincho" w:hAnsi="Verdana" w:cs="Verdana"/>
      <w:sz w:val="20"/>
      <w:szCs w:val="20"/>
      <w:lang w:val="en-US" w:eastAsia="en-US"/>
    </w:rPr>
  </w:style>
  <w:style w:type="character" w:customStyle="1" w:styleId="Heading1Char">
    <w:name w:val="Heading 1 Char"/>
    <w:basedOn w:val="DefaultParagraphFont"/>
    <w:link w:val="Heading1"/>
    <w:uiPriority w:val="1"/>
    <w:rsid w:val="00375F20"/>
    <w:rPr>
      <w:rFonts w:ascii="Calibri" w:hAnsi="Calibri" w:cs="Arial"/>
      <w:b/>
      <w:caps/>
      <w:sz w:val="32"/>
      <w:szCs w:val="24"/>
    </w:rPr>
  </w:style>
  <w:style w:type="character" w:customStyle="1" w:styleId="text-widget">
    <w:name w:val="text-widget"/>
    <w:basedOn w:val="DefaultParagraphFont"/>
    <w:rsid w:val="00375F20"/>
  </w:style>
  <w:style w:type="table" w:customStyle="1" w:styleId="TableGrid1">
    <w:name w:val="Table Grid1"/>
    <w:basedOn w:val="TableNormal"/>
    <w:next w:val="TableGrid"/>
    <w:uiPriority w:val="39"/>
    <w:rsid w:val="00375F20"/>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5F20"/>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1">
    <w:name w:val="HealthConsult1"/>
    <w:basedOn w:val="TableNormal"/>
    <w:next w:val="TableGrid"/>
    <w:uiPriority w:val="39"/>
    <w:rsid w:val="00375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9A786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A786D"/>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695">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3437444">
      <w:bodyDiv w:val="1"/>
      <w:marLeft w:val="0"/>
      <w:marRight w:val="0"/>
      <w:marTop w:val="0"/>
      <w:marBottom w:val="0"/>
      <w:divBdr>
        <w:top w:val="none" w:sz="0" w:space="0" w:color="auto"/>
        <w:left w:val="none" w:sz="0" w:space="0" w:color="auto"/>
        <w:bottom w:val="none" w:sz="0" w:space="0" w:color="auto"/>
        <w:right w:val="none" w:sz="0" w:space="0" w:color="auto"/>
      </w:divBdr>
    </w:div>
    <w:div w:id="547957327">
      <w:bodyDiv w:val="1"/>
      <w:marLeft w:val="0"/>
      <w:marRight w:val="0"/>
      <w:marTop w:val="0"/>
      <w:marBottom w:val="0"/>
      <w:divBdr>
        <w:top w:val="none" w:sz="0" w:space="0" w:color="auto"/>
        <w:left w:val="none" w:sz="0" w:space="0" w:color="auto"/>
        <w:bottom w:val="none" w:sz="0" w:space="0" w:color="auto"/>
        <w:right w:val="none" w:sz="0" w:space="0" w:color="auto"/>
      </w:divBdr>
    </w:div>
    <w:div w:id="561136386">
      <w:bodyDiv w:val="1"/>
      <w:marLeft w:val="0"/>
      <w:marRight w:val="0"/>
      <w:marTop w:val="0"/>
      <w:marBottom w:val="0"/>
      <w:divBdr>
        <w:top w:val="none" w:sz="0" w:space="0" w:color="auto"/>
        <w:left w:val="none" w:sz="0" w:space="0" w:color="auto"/>
        <w:bottom w:val="none" w:sz="0" w:space="0" w:color="auto"/>
        <w:right w:val="none" w:sz="0" w:space="0" w:color="auto"/>
      </w:divBdr>
    </w:div>
    <w:div w:id="575359448">
      <w:bodyDiv w:val="1"/>
      <w:marLeft w:val="0"/>
      <w:marRight w:val="0"/>
      <w:marTop w:val="0"/>
      <w:marBottom w:val="0"/>
      <w:divBdr>
        <w:top w:val="none" w:sz="0" w:space="0" w:color="auto"/>
        <w:left w:val="none" w:sz="0" w:space="0" w:color="auto"/>
        <w:bottom w:val="none" w:sz="0" w:space="0" w:color="auto"/>
        <w:right w:val="none" w:sz="0" w:space="0" w:color="auto"/>
      </w:divBdr>
    </w:div>
    <w:div w:id="58511595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6231338">
      <w:bodyDiv w:val="1"/>
      <w:marLeft w:val="0"/>
      <w:marRight w:val="0"/>
      <w:marTop w:val="0"/>
      <w:marBottom w:val="0"/>
      <w:divBdr>
        <w:top w:val="none" w:sz="0" w:space="0" w:color="auto"/>
        <w:left w:val="none" w:sz="0" w:space="0" w:color="auto"/>
        <w:bottom w:val="none" w:sz="0" w:space="0" w:color="auto"/>
        <w:right w:val="none" w:sz="0" w:space="0" w:color="auto"/>
      </w:divBdr>
    </w:div>
    <w:div w:id="947389218">
      <w:bodyDiv w:val="1"/>
      <w:marLeft w:val="0"/>
      <w:marRight w:val="0"/>
      <w:marTop w:val="0"/>
      <w:marBottom w:val="0"/>
      <w:divBdr>
        <w:top w:val="none" w:sz="0" w:space="0" w:color="auto"/>
        <w:left w:val="none" w:sz="0" w:space="0" w:color="auto"/>
        <w:bottom w:val="none" w:sz="0" w:space="0" w:color="auto"/>
        <w:right w:val="none" w:sz="0" w:space="0" w:color="auto"/>
      </w:divBdr>
    </w:div>
    <w:div w:id="1027677742">
      <w:bodyDiv w:val="1"/>
      <w:marLeft w:val="0"/>
      <w:marRight w:val="0"/>
      <w:marTop w:val="0"/>
      <w:marBottom w:val="0"/>
      <w:divBdr>
        <w:top w:val="none" w:sz="0" w:space="0" w:color="auto"/>
        <w:left w:val="none" w:sz="0" w:space="0" w:color="auto"/>
        <w:bottom w:val="none" w:sz="0" w:space="0" w:color="auto"/>
        <w:right w:val="none" w:sz="0" w:space="0" w:color="auto"/>
      </w:divBdr>
    </w:div>
    <w:div w:id="1056658348">
      <w:bodyDiv w:val="1"/>
      <w:marLeft w:val="0"/>
      <w:marRight w:val="0"/>
      <w:marTop w:val="0"/>
      <w:marBottom w:val="0"/>
      <w:divBdr>
        <w:top w:val="none" w:sz="0" w:space="0" w:color="auto"/>
        <w:left w:val="none" w:sz="0" w:space="0" w:color="auto"/>
        <w:bottom w:val="none" w:sz="0" w:space="0" w:color="auto"/>
        <w:right w:val="none" w:sz="0" w:space="0" w:color="auto"/>
      </w:divBdr>
    </w:div>
    <w:div w:id="1079405988">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18576">
      <w:bodyDiv w:val="1"/>
      <w:marLeft w:val="0"/>
      <w:marRight w:val="0"/>
      <w:marTop w:val="0"/>
      <w:marBottom w:val="0"/>
      <w:divBdr>
        <w:top w:val="none" w:sz="0" w:space="0" w:color="auto"/>
        <w:left w:val="none" w:sz="0" w:space="0" w:color="auto"/>
        <w:bottom w:val="none" w:sz="0" w:space="0" w:color="auto"/>
        <w:right w:val="none" w:sz="0" w:space="0" w:color="auto"/>
      </w:divBdr>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28540909">
      <w:bodyDiv w:val="1"/>
      <w:marLeft w:val="0"/>
      <w:marRight w:val="0"/>
      <w:marTop w:val="0"/>
      <w:marBottom w:val="0"/>
      <w:divBdr>
        <w:top w:val="none" w:sz="0" w:space="0" w:color="auto"/>
        <w:left w:val="none" w:sz="0" w:space="0" w:color="auto"/>
        <w:bottom w:val="none" w:sz="0" w:space="0" w:color="auto"/>
        <w:right w:val="none" w:sz="0" w:space="0" w:color="auto"/>
      </w:divBdr>
    </w:div>
    <w:div w:id="1695618964">
      <w:bodyDiv w:val="1"/>
      <w:marLeft w:val="0"/>
      <w:marRight w:val="0"/>
      <w:marTop w:val="0"/>
      <w:marBottom w:val="0"/>
      <w:divBdr>
        <w:top w:val="none" w:sz="0" w:space="0" w:color="auto"/>
        <w:left w:val="none" w:sz="0" w:space="0" w:color="auto"/>
        <w:bottom w:val="none" w:sz="0" w:space="0" w:color="auto"/>
        <w:right w:val="none" w:sz="0" w:space="0" w:color="auto"/>
      </w:divBdr>
    </w:div>
    <w:div w:id="1769961767">
      <w:bodyDiv w:val="1"/>
      <w:marLeft w:val="0"/>
      <w:marRight w:val="0"/>
      <w:marTop w:val="0"/>
      <w:marBottom w:val="0"/>
      <w:divBdr>
        <w:top w:val="none" w:sz="0" w:space="0" w:color="auto"/>
        <w:left w:val="none" w:sz="0" w:space="0" w:color="auto"/>
        <w:bottom w:val="none" w:sz="0" w:space="0" w:color="auto"/>
        <w:right w:val="none" w:sz="0" w:space="0" w:color="auto"/>
      </w:divBdr>
    </w:div>
    <w:div w:id="190868687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diff.ac.uk/medicine/resources/quality-of-life-questionnaires/dermatology-life-quality-inde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rdiff.ac.uk/medicine/resources/quality-of-life-questionnaires/dermatology-life-quality-inde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diff.ac.uk/medicine/resources/quality-of-life-questionnaires/dermatology-life-quality-inde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MedInfo.Australia@sanofi.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jofskin.org/index.php/skin/article/view/2382/1916" TargetMode="External"/><Relationship Id="rId1" Type="http://schemas.openxmlformats.org/officeDocument/2006/relationships/hyperlink" Target="https://www.pbs.gov.au/industry/useful-resources/pbac-technical-working-groups-archive/indirect-comparisons-working-group-report-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24485</Words>
  <Characters>129992</Characters>
  <Application>Microsoft Office Word</Application>
  <DocSecurity>0</DocSecurity>
  <Lines>4193</Lines>
  <Paragraphs>2491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2024-06-21T01:21:00Z</dcterms:created>
  <dcterms:modified xsi:type="dcterms:W3CDTF">2024-06-27T01:37:00Z</dcterms:modified>
</cp:coreProperties>
</file>