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758E" w14:textId="2C550280" w:rsidR="005F7D34" w:rsidRPr="000C77A2" w:rsidRDefault="007E59BC" w:rsidP="008D2D2A">
      <w:pPr>
        <w:pStyle w:val="1-MainHeading"/>
        <w:spacing w:before="0" w:after="0"/>
      </w:pPr>
      <w:bookmarkStart w:id="0" w:name="_Toc156903948"/>
      <w:r w:rsidRPr="000C77A2">
        <w:t>7.05</w:t>
      </w:r>
      <w:r w:rsidR="00163F66" w:rsidRPr="000C77A2">
        <w:tab/>
      </w:r>
      <w:r w:rsidR="005F7D34" w:rsidRPr="000C77A2">
        <w:t>LAROTRECTINIB</w:t>
      </w:r>
      <w:r w:rsidR="00163F66" w:rsidRPr="000C77A2">
        <w:t>,</w:t>
      </w:r>
      <w:r w:rsidR="00163F66" w:rsidRPr="000C77A2">
        <w:br/>
      </w:r>
      <w:r w:rsidR="005F7D34" w:rsidRPr="000C77A2">
        <w:t>Capsule 25 mg (as sul</w:t>
      </w:r>
      <w:r w:rsidR="00031317" w:rsidRPr="000C77A2">
        <w:t>f</w:t>
      </w:r>
      <w:r w:rsidR="005F7D34" w:rsidRPr="000C77A2">
        <w:t>ate)</w:t>
      </w:r>
      <w:r w:rsidR="00163F66" w:rsidRPr="000C77A2">
        <w:br/>
      </w:r>
      <w:r w:rsidR="005F7D34" w:rsidRPr="000C77A2">
        <w:t>Capsule 100 mg (as sul</w:t>
      </w:r>
      <w:r w:rsidR="00031317" w:rsidRPr="000C77A2">
        <w:t>f</w:t>
      </w:r>
      <w:r w:rsidR="005F7D34" w:rsidRPr="000C77A2">
        <w:t>ate)</w:t>
      </w:r>
      <w:r w:rsidR="00163F66" w:rsidRPr="000C77A2">
        <w:br/>
      </w:r>
      <w:r w:rsidR="005F7D34" w:rsidRPr="000C77A2">
        <w:t>Oral solution 20 mg per mL (as sul</w:t>
      </w:r>
      <w:r w:rsidR="00031317" w:rsidRPr="000C77A2">
        <w:t>f</w:t>
      </w:r>
      <w:r w:rsidR="005F7D34" w:rsidRPr="000C77A2">
        <w:t>ate),</w:t>
      </w:r>
      <w:r w:rsidR="008D2D2A" w:rsidRPr="000C77A2">
        <w:t xml:space="preserve"> 50 mL, 2</w:t>
      </w:r>
      <w:r w:rsidR="008D2D2A" w:rsidRPr="000C77A2">
        <w:br/>
        <w:t>Vitrakvi®,</w:t>
      </w:r>
      <w:r w:rsidR="008D2D2A" w:rsidRPr="000C77A2">
        <w:br/>
        <w:t>Bayer Australia L</w:t>
      </w:r>
      <w:bookmarkEnd w:id="0"/>
      <w:r w:rsidR="009E7C5F" w:rsidRPr="000C77A2">
        <w:t>td</w:t>
      </w:r>
    </w:p>
    <w:p w14:paraId="3947F2C0" w14:textId="77777777" w:rsidR="00B50DB8" w:rsidRPr="000C77A2" w:rsidRDefault="00B50DB8" w:rsidP="004A6040">
      <w:pPr>
        <w:pStyle w:val="2-SectionHeading"/>
      </w:pPr>
      <w:bookmarkStart w:id="1" w:name="_Toc156903950"/>
      <w:r w:rsidRPr="000C77A2">
        <w:t xml:space="preserve">Purpose of </w:t>
      </w:r>
      <w:r w:rsidR="00CD7193" w:rsidRPr="000C77A2">
        <w:t>s</w:t>
      </w:r>
      <w:r w:rsidR="00BB3A45" w:rsidRPr="000C77A2">
        <w:t>ubmission</w:t>
      </w:r>
      <w:bookmarkEnd w:id="1"/>
    </w:p>
    <w:p w14:paraId="18388D6A" w14:textId="1D350273" w:rsidR="002C2775" w:rsidRPr="000C77A2" w:rsidRDefault="00216F9B" w:rsidP="004E18E9">
      <w:pPr>
        <w:pStyle w:val="3-BodyText"/>
      </w:pPr>
      <w:r w:rsidRPr="000C77A2">
        <w:t xml:space="preserve">The </w:t>
      </w:r>
      <w:r w:rsidR="00823B07" w:rsidRPr="000C77A2">
        <w:t>s</w:t>
      </w:r>
      <w:r w:rsidR="00CE2A7F" w:rsidRPr="000C77A2">
        <w:t xml:space="preserve">tandard </w:t>
      </w:r>
      <w:r w:rsidR="00823B07" w:rsidRPr="000C77A2">
        <w:t>r</w:t>
      </w:r>
      <w:r w:rsidR="00CE2A7F" w:rsidRPr="000C77A2">
        <w:t>e-entry submission</w:t>
      </w:r>
      <w:r w:rsidRPr="000C77A2">
        <w:t xml:space="preserve"> requested a General Schedule Authority Required (Written) listing of larotrectinib for the treatment of adults with locally advanced or metastatic non-small cell lung cancer (NSCLC) or soft tissue sarcoma (STS) harbouring neurotrophic tropomyosin receptor kinase (</w:t>
      </w:r>
      <w:r w:rsidRPr="000C77A2">
        <w:rPr>
          <w:i/>
          <w:iCs/>
        </w:rPr>
        <w:t>NTRK</w:t>
      </w:r>
      <w:r w:rsidRPr="000C77A2">
        <w:t>) gene fusions.</w:t>
      </w:r>
    </w:p>
    <w:p w14:paraId="0C0364F1" w14:textId="2CE99AC7" w:rsidR="00A004AE" w:rsidRPr="000C77A2" w:rsidRDefault="00A004AE" w:rsidP="004E18E9">
      <w:pPr>
        <w:pStyle w:val="3-BodyText"/>
      </w:pPr>
      <w:r w:rsidRPr="000C77A2">
        <w:t xml:space="preserve">As was the case for the previous submission, listing was requested </w:t>
      </w:r>
      <w:proofErr w:type="gramStart"/>
      <w:r w:rsidRPr="000C77A2">
        <w:t>on the basis of</w:t>
      </w:r>
      <w:proofErr w:type="gramEnd"/>
      <w:r w:rsidRPr="000C77A2">
        <w:t xml:space="preserve"> a cost-effectiveness analysis versus standard of care (SoC).</w:t>
      </w:r>
    </w:p>
    <w:p w14:paraId="0517AB97" w14:textId="1DC6C2D0" w:rsidR="005143BC" w:rsidRPr="000C77A2" w:rsidRDefault="005143BC" w:rsidP="004E18E9">
      <w:pPr>
        <w:pStyle w:val="3-BodyText"/>
      </w:pPr>
      <w:r w:rsidRPr="000C77A2">
        <w:t>The key changes in the requested listing from the previous submission (Larotrectinib Public Summary Document [PSD], November 2021 PBAC Meeting with March 2022 Addendum) were:</w:t>
      </w:r>
    </w:p>
    <w:p w14:paraId="34A5005D" w14:textId="0CAEDD94" w:rsidR="005143BC" w:rsidRPr="000C77A2" w:rsidRDefault="005143BC" w:rsidP="00D85BDC">
      <w:pPr>
        <w:pStyle w:val="3-BodyText"/>
        <w:numPr>
          <w:ilvl w:val="0"/>
          <w:numId w:val="20"/>
        </w:numPr>
        <w:ind w:left="1054" w:hanging="357"/>
      </w:pPr>
      <w:r w:rsidRPr="000C77A2">
        <w:t xml:space="preserve">the resubmission </w:t>
      </w:r>
      <w:r w:rsidR="005A52AD" w:rsidRPr="000C77A2">
        <w:t>requested listing for</w:t>
      </w:r>
      <w:r w:rsidRPr="000C77A2">
        <w:t xml:space="preserve"> two tumour types (NSCLC and STS) </w:t>
      </w:r>
      <w:r w:rsidR="005A52AD" w:rsidRPr="000C77A2">
        <w:t>whereas in the previous submission, listing was requested for</w:t>
      </w:r>
      <w:r w:rsidRPr="000C77A2">
        <w:t xml:space="preserve"> four </w:t>
      </w:r>
      <w:r w:rsidR="005A52AD" w:rsidRPr="000C77A2">
        <w:t xml:space="preserve">tumour </w:t>
      </w:r>
      <w:r w:rsidRPr="000C77A2">
        <w:t>types (NSCLC, STS, thyroid cancer, and colorectal cancer [CRC]).</w:t>
      </w:r>
    </w:p>
    <w:p w14:paraId="27B5EFAB" w14:textId="6C0D1AE3" w:rsidR="005143BC" w:rsidRPr="000C77A2" w:rsidRDefault="005143BC" w:rsidP="00D85BDC">
      <w:pPr>
        <w:pStyle w:val="3-BodyText"/>
        <w:numPr>
          <w:ilvl w:val="0"/>
          <w:numId w:val="20"/>
        </w:numPr>
        <w:ind w:left="1054" w:hanging="357"/>
      </w:pPr>
      <w:r w:rsidRPr="000C77A2">
        <w:t xml:space="preserve">the </w:t>
      </w:r>
      <w:r w:rsidR="005A52AD" w:rsidRPr="000C77A2">
        <w:t xml:space="preserve">proposed listing in the resubmission </w:t>
      </w:r>
      <w:r w:rsidRPr="000C77A2">
        <w:t xml:space="preserve">is line-agnostic </w:t>
      </w:r>
      <w:r w:rsidR="005A52AD" w:rsidRPr="000C77A2">
        <w:t xml:space="preserve">which allows treatment with larotrectinib in the first-line setting. In the previous submission, </w:t>
      </w:r>
      <w:r w:rsidR="00EE4A82" w:rsidRPr="000C77A2">
        <w:t>the proposed positioning of larotrectinib was in the r</w:t>
      </w:r>
      <w:r w:rsidR="005A52AD" w:rsidRPr="000C77A2">
        <w:t xml:space="preserve">efractory </w:t>
      </w:r>
      <w:r w:rsidR="00EE4A82" w:rsidRPr="000C77A2">
        <w:t xml:space="preserve">setting </w:t>
      </w:r>
      <w:r w:rsidRPr="000C77A2">
        <w:t>which required that the condition must have relapsed</w:t>
      </w:r>
      <w:r w:rsidR="00EE4A82" w:rsidRPr="000C77A2">
        <w:t>,</w:t>
      </w:r>
      <w:r w:rsidRPr="000C77A2">
        <w:t xml:space="preserve"> or be refractory to</w:t>
      </w:r>
      <w:r w:rsidR="00EE4A82" w:rsidRPr="000C77A2">
        <w:t>,</w:t>
      </w:r>
      <w:r w:rsidRPr="000C77A2">
        <w:t xml:space="preserve"> at least one prior therapy AND with no suitable alternate therapy available.</w:t>
      </w:r>
    </w:p>
    <w:p w14:paraId="1FDECF1B" w14:textId="7798C1B3" w:rsidR="00712896" w:rsidRPr="000C77A2" w:rsidRDefault="00E612BB" w:rsidP="000A6C3B">
      <w:pPr>
        <w:pStyle w:val="3-BodyText"/>
      </w:pPr>
      <w:bookmarkStart w:id="2" w:name="_Hlk156374071"/>
      <w:r w:rsidRPr="000C77A2">
        <w:t>There are currently no generic small gene panel tests which cover multiple tumour types</w:t>
      </w:r>
      <w:r w:rsidR="00AB25B7">
        <w:t>,</w:t>
      </w:r>
      <w:r w:rsidRPr="000C77A2">
        <w:t xml:space="preserve"> and tumour specific</w:t>
      </w:r>
      <w:r w:rsidR="00AB25B7">
        <w:t xml:space="preserve"> panel tests only</w:t>
      </w:r>
      <w:r w:rsidRPr="000C77A2">
        <w:t xml:space="preserve"> for </w:t>
      </w:r>
      <w:r w:rsidR="00B6428C" w:rsidRPr="000C77A2">
        <w:t>NSCLC (Medicare Benefits Schedule [MBS] items 73437, 73438 and 73439, implemented on 1</w:t>
      </w:r>
      <w:r w:rsidR="00B6428C" w:rsidRPr="000C77A2">
        <w:rPr>
          <w:vertAlign w:val="superscript"/>
        </w:rPr>
        <w:t>st</w:t>
      </w:r>
      <w:r w:rsidR="00B6428C" w:rsidRPr="000C77A2">
        <w:t xml:space="preserve"> November 2023), STS (MBS items 73376 and 73374) and glioma (MBS item 73429)</w:t>
      </w:r>
      <w:r w:rsidRPr="000C77A2">
        <w:t xml:space="preserve">. </w:t>
      </w:r>
      <w:r w:rsidR="00376CAB" w:rsidRPr="000C77A2">
        <w:t>The resubmission requested PBS listing for the tumour types for which there is funded testing available</w:t>
      </w:r>
      <w:bookmarkEnd w:id="2"/>
      <w:r w:rsidR="00376CAB" w:rsidRPr="000C77A2">
        <w:t>.</w:t>
      </w:r>
      <w:r w:rsidR="00376CAB" w:rsidRPr="000C77A2">
        <w:rPr>
          <w:i/>
          <w:iCs/>
        </w:rPr>
        <w:t xml:space="preserve"> </w:t>
      </w:r>
      <w:r w:rsidR="00413125" w:rsidRPr="000C77A2">
        <w:t>The pre-subcommittee response (PSCR) noted that there are currently no TRK inhibitors listed on the PBS for NSCLC and STS patients, therefore these patients will be identified with an actionable driver mutation but have no PBS reimbursed access to an effective treatment option.</w:t>
      </w:r>
    </w:p>
    <w:p w14:paraId="7862869E" w14:textId="1E8A1BE5" w:rsidR="000A6C3B" w:rsidRPr="000C77A2" w:rsidRDefault="00112A1D" w:rsidP="000A6C3B">
      <w:pPr>
        <w:pStyle w:val="3-BodyText"/>
      </w:pPr>
      <w:r w:rsidRPr="000C77A2">
        <w:t xml:space="preserve">The resubmission invited the PBAC to </w:t>
      </w:r>
      <w:r w:rsidR="00A004AE" w:rsidRPr="000C77A2">
        <w:t xml:space="preserve">also </w:t>
      </w:r>
      <w:r w:rsidRPr="000C77A2">
        <w:t xml:space="preserve">consider </w:t>
      </w:r>
      <w:r w:rsidR="003F1B90" w:rsidRPr="000C77A2">
        <w:t>the inclusion of</w:t>
      </w:r>
      <w:r w:rsidRPr="000C77A2">
        <w:t xml:space="preserve"> patients with glioma-like </w:t>
      </w:r>
      <w:r w:rsidR="000A6C3B" w:rsidRPr="000C77A2">
        <w:t>central nervous system (</w:t>
      </w:r>
      <w:r w:rsidRPr="000C77A2">
        <w:t>CNS</w:t>
      </w:r>
      <w:r w:rsidR="000A6C3B" w:rsidRPr="000C77A2">
        <w:t>)</w:t>
      </w:r>
      <w:r w:rsidRPr="000C77A2">
        <w:t xml:space="preserve"> tumours in the </w:t>
      </w:r>
      <w:r w:rsidR="003F1B90" w:rsidRPr="000C77A2">
        <w:t>listing</w:t>
      </w:r>
      <w:r w:rsidRPr="000C77A2">
        <w:t xml:space="preserve"> </w:t>
      </w:r>
      <w:r w:rsidR="003F1B90" w:rsidRPr="000C77A2">
        <w:t xml:space="preserve">given their </w:t>
      </w:r>
      <w:r w:rsidR="000A6C3B" w:rsidRPr="000C77A2">
        <w:t>poor prognosis, limited treatment options, and paucity of available data (N=13</w:t>
      </w:r>
      <w:r w:rsidR="003F1B90" w:rsidRPr="000C77A2">
        <w:t>)</w:t>
      </w:r>
      <w:r w:rsidR="000A6C3B" w:rsidRPr="000C77A2">
        <w:t xml:space="preserve"> in the </w:t>
      </w:r>
      <w:r w:rsidR="000A6C3B" w:rsidRPr="000C77A2">
        <w:lastRenderedPageBreak/>
        <w:t xml:space="preserve">larotrectinib studies. </w:t>
      </w:r>
      <w:r w:rsidR="00A004AE" w:rsidRPr="000C77A2">
        <w:t xml:space="preserve">Glioma-like CNS tumours are rare (0.5-1%) but have a devastating impact on patient survival and quality of life (QoL). </w:t>
      </w:r>
    </w:p>
    <w:p w14:paraId="6250FEAD" w14:textId="3792772A" w:rsidR="00FF2C64" w:rsidRPr="000C77A2" w:rsidRDefault="00FF2C64" w:rsidP="007D03B8">
      <w:pPr>
        <w:pStyle w:val="3-BodyText"/>
      </w:pPr>
      <w:r w:rsidRPr="000C77A2">
        <w:fldChar w:fldCharType="begin" w:fldLock="1"/>
      </w:r>
      <w:r w:rsidRPr="000C77A2">
        <w:instrText xml:space="preserve"> REF _Ref153888383 \h </w:instrText>
      </w:r>
      <w:r w:rsidRPr="000C77A2">
        <w:fldChar w:fldCharType="separate"/>
      </w:r>
      <w:r w:rsidR="001B0FE7" w:rsidRPr="000C77A2">
        <w:t xml:space="preserve">Table </w:t>
      </w:r>
      <w:r w:rsidR="001B0FE7">
        <w:rPr>
          <w:noProof/>
        </w:rPr>
        <w:t>1</w:t>
      </w:r>
      <w:r w:rsidRPr="000C77A2">
        <w:fldChar w:fldCharType="end"/>
      </w:r>
      <w:r w:rsidRPr="000C77A2">
        <w:t xml:space="preserve"> summarises the components of the overall clinical claim addressed by the resubmission.</w:t>
      </w:r>
    </w:p>
    <w:p w14:paraId="1C609703" w14:textId="74D98112" w:rsidR="007D03B8" w:rsidRPr="000C77A2" w:rsidRDefault="00696EF9" w:rsidP="00FD5D25">
      <w:pPr>
        <w:pStyle w:val="Caption"/>
        <w:rPr>
          <w:vertAlign w:val="superscript"/>
        </w:rPr>
      </w:pPr>
      <w:bookmarkStart w:id="3" w:name="_Ref153888383"/>
      <w:r w:rsidRPr="000C77A2">
        <w:t xml:space="preserve">Table </w:t>
      </w:r>
      <w:fldSimple w:instr=" SEQ Table \* ARABIC " w:fldLock="1">
        <w:r w:rsidR="001B0FE7">
          <w:rPr>
            <w:noProof/>
          </w:rPr>
          <w:t>1</w:t>
        </w:r>
      </w:fldSimple>
      <w:bookmarkEnd w:id="3"/>
      <w:r w:rsidRPr="000C77A2">
        <w:t>:</w:t>
      </w:r>
      <w:r w:rsidR="00BC591F" w:rsidRPr="000C77A2">
        <w:rPr>
          <w:rStyle w:val="CommentReference"/>
          <w:b/>
          <w:szCs w:val="24"/>
        </w:rPr>
        <w:t xml:space="preserve"> </w:t>
      </w:r>
      <w:r w:rsidR="007D03B8" w:rsidRPr="000C77A2">
        <w:t xml:space="preserve">Key components of the clinical issue addressed by the </w:t>
      </w:r>
      <w:proofErr w:type="spellStart"/>
      <w:r w:rsidR="007D03B8" w:rsidRPr="000C77A2">
        <w:rPr>
          <w:u w:val="single"/>
        </w:rPr>
        <w:t>resubmission</w:t>
      </w:r>
      <w:r w:rsidR="007D03B8" w:rsidRPr="000C77A2">
        <w:rPr>
          <w:u w:val="single"/>
          <w:vertAlign w:val="superscript"/>
        </w:rPr>
        <w:t>a</w:t>
      </w:r>
      <w:proofErr w:type="spellEnd"/>
    </w:p>
    <w:tbl>
      <w:tblPr>
        <w:tblStyle w:val="PBACTableStyle"/>
        <w:tblW w:w="5000" w:type="pct"/>
        <w:tblLook w:val="04A0" w:firstRow="1" w:lastRow="0" w:firstColumn="1" w:lastColumn="0" w:noHBand="0" w:noVBand="1"/>
        <w:tblCaption w:val="Table 1: Key components of the clinical issue addressed by the resubmission"/>
      </w:tblPr>
      <w:tblGrid>
        <w:gridCol w:w="1271"/>
        <w:gridCol w:w="7746"/>
      </w:tblGrid>
      <w:tr w:rsidR="007D03B8" w:rsidRPr="000C77A2" w14:paraId="765D5267" w14:textId="77777777" w:rsidTr="001225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5" w:type="pct"/>
            <w:vAlign w:val="bottom"/>
          </w:tcPr>
          <w:p w14:paraId="408DFDAB" w14:textId="77777777" w:rsidR="007D03B8" w:rsidRPr="000C77A2" w:rsidRDefault="007D03B8" w:rsidP="00FD5D25">
            <w:pPr>
              <w:pStyle w:val="TableText0"/>
              <w:keepLines/>
              <w:widowControl/>
            </w:pPr>
            <w:r w:rsidRPr="000C77A2">
              <w:t>Component</w:t>
            </w:r>
          </w:p>
        </w:tc>
        <w:tc>
          <w:tcPr>
            <w:tcW w:w="4295" w:type="pct"/>
            <w:vAlign w:val="bottom"/>
          </w:tcPr>
          <w:p w14:paraId="22497013" w14:textId="77777777" w:rsidR="007D03B8" w:rsidRPr="000C77A2" w:rsidRDefault="007D03B8" w:rsidP="00FD5D25">
            <w:pPr>
              <w:pStyle w:val="TableText0"/>
              <w:keepLines/>
              <w:widowControl/>
              <w:cnfStyle w:val="100000000000" w:firstRow="1" w:lastRow="0" w:firstColumn="0" w:lastColumn="0" w:oddVBand="0" w:evenVBand="0" w:oddHBand="0" w:evenHBand="0" w:firstRowFirstColumn="0" w:firstRowLastColumn="0" w:lastRowFirstColumn="0" w:lastRowLastColumn="0"/>
            </w:pPr>
            <w:r w:rsidRPr="000C77A2">
              <w:t>Description</w:t>
            </w:r>
          </w:p>
        </w:tc>
      </w:tr>
      <w:tr w:rsidR="007D03B8" w:rsidRPr="000C77A2" w14:paraId="16C24D30" w14:textId="77777777" w:rsidTr="00122531">
        <w:tc>
          <w:tcPr>
            <w:cnfStyle w:val="001000000000" w:firstRow="0" w:lastRow="0" w:firstColumn="1" w:lastColumn="0" w:oddVBand="0" w:evenVBand="0" w:oddHBand="0" w:evenHBand="0" w:firstRowFirstColumn="0" w:firstRowLastColumn="0" w:lastRowFirstColumn="0" w:lastRowLastColumn="0"/>
            <w:tcW w:w="705" w:type="pct"/>
          </w:tcPr>
          <w:p w14:paraId="752F40E3" w14:textId="77777777" w:rsidR="007D03B8" w:rsidRPr="000C77A2" w:rsidRDefault="007D03B8" w:rsidP="00FD5D25">
            <w:pPr>
              <w:pStyle w:val="TableText0"/>
              <w:keepLines/>
              <w:widowControl/>
            </w:pPr>
            <w:r w:rsidRPr="000C77A2">
              <w:t>Population</w:t>
            </w:r>
          </w:p>
        </w:tc>
        <w:tc>
          <w:tcPr>
            <w:tcW w:w="4295" w:type="pct"/>
            <w:vAlign w:val="top"/>
          </w:tcPr>
          <w:p w14:paraId="30D92DE4" w14:textId="77777777"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rPr>
                <w:vertAlign w:val="superscript"/>
              </w:rPr>
            </w:pPr>
            <w:r w:rsidRPr="000C77A2">
              <w:t xml:space="preserve">Patients with locally advanced or metastatic </w:t>
            </w:r>
            <w:r w:rsidRPr="000C77A2">
              <w:rPr>
                <w:u w:val="single"/>
              </w:rPr>
              <w:t xml:space="preserve">NSCLC or </w:t>
            </w:r>
            <w:proofErr w:type="spellStart"/>
            <w:r w:rsidRPr="000C77A2">
              <w:rPr>
                <w:u w:val="single"/>
              </w:rPr>
              <w:t>STS</w:t>
            </w:r>
            <w:r w:rsidRPr="000C77A2">
              <w:rPr>
                <w:vertAlign w:val="superscript"/>
              </w:rPr>
              <w:t>b</w:t>
            </w:r>
            <w:proofErr w:type="spellEnd"/>
            <w:r w:rsidRPr="000C77A2">
              <w:t xml:space="preserve"> solid tumours and confirmed </w:t>
            </w:r>
            <w:r w:rsidRPr="000C77A2">
              <w:rPr>
                <w:i/>
                <w:iCs/>
              </w:rPr>
              <w:t>NTRK</w:t>
            </w:r>
            <w:r w:rsidRPr="000C77A2">
              <w:t xml:space="preserve"> fusion</w:t>
            </w:r>
          </w:p>
        </w:tc>
      </w:tr>
      <w:tr w:rsidR="007D03B8" w:rsidRPr="000C77A2" w14:paraId="0382BB56" w14:textId="77777777" w:rsidTr="00122531">
        <w:tc>
          <w:tcPr>
            <w:cnfStyle w:val="001000000000" w:firstRow="0" w:lastRow="0" w:firstColumn="1" w:lastColumn="0" w:oddVBand="0" w:evenVBand="0" w:oddHBand="0" w:evenHBand="0" w:firstRowFirstColumn="0" w:firstRowLastColumn="0" w:lastRowFirstColumn="0" w:lastRowLastColumn="0"/>
            <w:tcW w:w="705" w:type="pct"/>
          </w:tcPr>
          <w:p w14:paraId="3717D73F" w14:textId="77777777" w:rsidR="007D03B8" w:rsidRPr="000C77A2" w:rsidRDefault="007D03B8" w:rsidP="00FD5D25">
            <w:pPr>
              <w:pStyle w:val="TableText0"/>
              <w:keepLines/>
              <w:widowControl/>
            </w:pPr>
            <w:r w:rsidRPr="000C77A2">
              <w:t>Intervention</w:t>
            </w:r>
          </w:p>
        </w:tc>
        <w:tc>
          <w:tcPr>
            <w:tcW w:w="4295" w:type="pct"/>
            <w:vAlign w:val="top"/>
          </w:tcPr>
          <w:p w14:paraId="28A95731" w14:textId="5D7A4FE7"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pPr>
            <w:r w:rsidRPr="000C77A2">
              <w:t xml:space="preserve">Larotrectinib 100 mg </w:t>
            </w:r>
            <w:r w:rsidR="00FF2C64" w:rsidRPr="000C77A2">
              <w:t>twice daily</w:t>
            </w:r>
            <w:r w:rsidRPr="000C77A2">
              <w:t xml:space="preserve"> for adults </w:t>
            </w:r>
          </w:p>
        </w:tc>
      </w:tr>
      <w:tr w:rsidR="007D03B8" w:rsidRPr="000C77A2" w14:paraId="12ED7973" w14:textId="77777777" w:rsidTr="00122531">
        <w:tc>
          <w:tcPr>
            <w:cnfStyle w:val="001000000000" w:firstRow="0" w:lastRow="0" w:firstColumn="1" w:lastColumn="0" w:oddVBand="0" w:evenVBand="0" w:oddHBand="0" w:evenHBand="0" w:firstRowFirstColumn="0" w:firstRowLastColumn="0" w:lastRowFirstColumn="0" w:lastRowLastColumn="0"/>
            <w:tcW w:w="705" w:type="pct"/>
          </w:tcPr>
          <w:p w14:paraId="49597F20" w14:textId="77777777" w:rsidR="007D03B8" w:rsidRPr="000C77A2" w:rsidRDefault="007D03B8" w:rsidP="00FD5D25">
            <w:pPr>
              <w:pStyle w:val="TableText0"/>
              <w:keepLines/>
              <w:widowControl/>
            </w:pPr>
            <w:r w:rsidRPr="000C77A2">
              <w:t>Comparator</w:t>
            </w:r>
          </w:p>
        </w:tc>
        <w:tc>
          <w:tcPr>
            <w:tcW w:w="4295" w:type="pct"/>
            <w:vAlign w:val="top"/>
          </w:tcPr>
          <w:p w14:paraId="096EC0E6" w14:textId="77777777"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pPr>
            <w:r w:rsidRPr="000C77A2">
              <w:t xml:space="preserve">SoC represented by the following for the </w:t>
            </w:r>
            <w:proofErr w:type="spellStart"/>
            <w:r w:rsidRPr="000C77A2">
              <w:rPr>
                <w:u w:val="single"/>
              </w:rPr>
              <w:t>two</w:t>
            </w:r>
            <w:r w:rsidRPr="000C77A2">
              <w:rPr>
                <w:u w:val="single"/>
                <w:vertAlign w:val="superscript"/>
              </w:rPr>
              <w:t>b</w:t>
            </w:r>
            <w:proofErr w:type="spellEnd"/>
            <w:r w:rsidRPr="000C77A2">
              <w:t xml:space="preserve"> specified tumour types:</w:t>
            </w:r>
          </w:p>
          <w:p w14:paraId="78EAFBF6" w14:textId="77777777"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pPr>
            <w:r w:rsidRPr="000C77A2">
              <w:t xml:space="preserve">NSCLC – Docetaxel </w:t>
            </w:r>
          </w:p>
          <w:p w14:paraId="69D10659" w14:textId="77777777"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rPr>
                <w:vertAlign w:val="superscript"/>
              </w:rPr>
            </w:pPr>
            <w:r w:rsidRPr="000C77A2">
              <w:t xml:space="preserve">STS – </w:t>
            </w:r>
            <w:proofErr w:type="spellStart"/>
            <w:r w:rsidRPr="000C77A2">
              <w:rPr>
                <w:u w:val="single"/>
              </w:rPr>
              <w:t>Pazopanib</w:t>
            </w:r>
            <w:r w:rsidRPr="000C77A2">
              <w:rPr>
                <w:u w:val="single"/>
                <w:vertAlign w:val="superscript"/>
              </w:rPr>
              <w:t>c</w:t>
            </w:r>
            <w:proofErr w:type="spellEnd"/>
          </w:p>
        </w:tc>
      </w:tr>
      <w:tr w:rsidR="007D03B8" w:rsidRPr="000C77A2" w14:paraId="05287C45" w14:textId="77777777" w:rsidTr="00122531">
        <w:tc>
          <w:tcPr>
            <w:cnfStyle w:val="001000000000" w:firstRow="0" w:lastRow="0" w:firstColumn="1" w:lastColumn="0" w:oddVBand="0" w:evenVBand="0" w:oddHBand="0" w:evenHBand="0" w:firstRowFirstColumn="0" w:firstRowLastColumn="0" w:lastRowFirstColumn="0" w:lastRowLastColumn="0"/>
            <w:tcW w:w="705" w:type="pct"/>
          </w:tcPr>
          <w:p w14:paraId="3B58E095" w14:textId="77777777" w:rsidR="007D03B8" w:rsidRPr="000C77A2" w:rsidRDefault="007D03B8" w:rsidP="00FD5D25">
            <w:pPr>
              <w:pStyle w:val="TableText0"/>
              <w:keepLines/>
              <w:widowControl/>
            </w:pPr>
            <w:r w:rsidRPr="000C77A2">
              <w:t>Outcomes</w:t>
            </w:r>
          </w:p>
        </w:tc>
        <w:tc>
          <w:tcPr>
            <w:tcW w:w="4295" w:type="pct"/>
            <w:vAlign w:val="top"/>
          </w:tcPr>
          <w:p w14:paraId="5BAC899F" w14:textId="77777777"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pPr>
            <w:r w:rsidRPr="000C77A2">
              <w:t xml:space="preserve">Treatment: Overall response rate, duration of response, overall survival, progression free survival, safety. </w:t>
            </w:r>
          </w:p>
        </w:tc>
      </w:tr>
      <w:tr w:rsidR="007D03B8" w:rsidRPr="000C77A2" w14:paraId="5FE232EA" w14:textId="77777777" w:rsidTr="00122531">
        <w:tc>
          <w:tcPr>
            <w:cnfStyle w:val="001000000000" w:firstRow="0" w:lastRow="0" w:firstColumn="1" w:lastColumn="0" w:oddVBand="0" w:evenVBand="0" w:oddHBand="0" w:evenHBand="0" w:firstRowFirstColumn="0" w:firstRowLastColumn="0" w:lastRowFirstColumn="0" w:lastRowLastColumn="0"/>
            <w:tcW w:w="705" w:type="pct"/>
          </w:tcPr>
          <w:p w14:paraId="7D341EEE" w14:textId="77777777" w:rsidR="007D03B8" w:rsidRPr="000C77A2" w:rsidRDefault="007D03B8" w:rsidP="00FD5D25">
            <w:pPr>
              <w:pStyle w:val="TableText0"/>
              <w:keepLines/>
              <w:widowControl/>
            </w:pPr>
            <w:r w:rsidRPr="000C77A2">
              <w:t>Clinical claim</w:t>
            </w:r>
          </w:p>
        </w:tc>
        <w:tc>
          <w:tcPr>
            <w:tcW w:w="4295" w:type="pct"/>
            <w:vAlign w:val="top"/>
          </w:tcPr>
          <w:p w14:paraId="539395AF" w14:textId="39BE425F" w:rsidR="007D03B8" w:rsidRPr="000C77A2" w:rsidRDefault="007D03B8" w:rsidP="00FD5D25">
            <w:pPr>
              <w:pStyle w:val="TableText0"/>
              <w:keepLines/>
              <w:widowControl/>
              <w:jc w:val="left"/>
              <w:cnfStyle w:val="000000000000" w:firstRow="0" w:lastRow="0" w:firstColumn="0" w:lastColumn="0" w:oddVBand="0" w:evenVBand="0" w:oddHBand="0" w:evenHBand="0" w:firstRowFirstColumn="0" w:firstRowLastColumn="0" w:lastRowFirstColumn="0" w:lastRowLastColumn="0"/>
            </w:pPr>
            <w:r w:rsidRPr="000C77A2">
              <w:t xml:space="preserve">In patients with locally advanced or metastatic </w:t>
            </w:r>
            <w:r w:rsidRPr="000C77A2">
              <w:rPr>
                <w:u w:val="single"/>
              </w:rPr>
              <w:t xml:space="preserve">NSCLC or </w:t>
            </w:r>
            <w:proofErr w:type="spellStart"/>
            <w:r w:rsidRPr="000C77A2">
              <w:rPr>
                <w:u w:val="single"/>
              </w:rPr>
              <w:t>STS</w:t>
            </w:r>
            <w:r w:rsidRPr="000C77A2">
              <w:rPr>
                <w:vertAlign w:val="superscript"/>
              </w:rPr>
              <w:t>b</w:t>
            </w:r>
            <w:proofErr w:type="spellEnd"/>
            <w:r w:rsidRPr="000C77A2">
              <w:t xml:space="preserve"> solid tumours and confirmed </w:t>
            </w:r>
            <w:r w:rsidRPr="000C77A2">
              <w:rPr>
                <w:i/>
                <w:iCs/>
              </w:rPr>
              <w:t>NTRK</w:t>
            </w:r>
            <w:r w:rsidRPr="000C77A2">
              <w:t xml:space="preserve"> fusion, treatment with larotrectinib is superior in terms of efficacy and </w:t>
            </w:r>
            <w:r w:rsidR="0009404E" w:rsidRPr="000C77A2">
              <w:t>comparable</w:t>
            </w:r>
            <w:r w:rsidR="0009404E" w:rsidRPr="000C77A2">
              <w:rPr>
                <w:i/>
                <w:iCs/>
              </w:rPr>
              <w:t xml:space="preserve"> </w:t>
            </w:r>
            <w:proofErr w:type="spellStart"/>
            <w:r w:rsidRPr="000C77A2">
              <w:t>safety</w:t>
            </w:r>
            <w:r w:rsidR="0015052E" w:rsidRPr="000C77A2">
              <w:rPr>
                <w:vertAlign w:val="superscript"/>
              </w:rPr>
              <w:t>d</w:t>
            </w:r>
            <w:proofErr w:type="spellEnd"/>
            <w:r w:rsidRPr="000C77A2">
              <w:t xml:space="preserve"> when compared to SoC.</w:t>
            </w:r>
          </w:p>
        </w:tc>
      </w:tr>
    </w:tbl>
    <w:p w14:paraId="03C81AC5" w14:textId="74250826" w:rsidR="007D03B8" w:rsidRPr="000C77A2" w:rsidRDefault="007D03B8" w:rsidP="00FD5D25">
      <w:pPr>
        <w:pStyle w:val="TableFooter"/>
        <w:keepNext/>
        <w:keepLines/>
      </w:pPr>
      <w:r w:rsidRPr="000C77A2">
        <w:t>Source: Adapted from Table 1.2</w:t>
      </w:r>
      <w:r w:rsidR="00D84194">
        <w:t xml:space="preserve"> </w:t>
      </w:r>
      <w:r w:rsidRPr="000C77A2">
        <w:t xml:space="preserve">of the resubmission, and the Larotrectinib </w:t>
      </w:r>
      <w:r w:rsidR="00D84194">
        <w:t>PSD</w:t>
      </w:r>
      <w:r w:rsidRPr="000C77A2">
        <w:t>, November 2021 PBAC Meeting, with March 2022 Addendum</w:t>
      </w:r>
    </w:p>
    <w:p w14:paraId="2EB7B04A" w14:textId="3858455B" w:rsidR="007D03B8" w:rsidRPr="000C77A2" w:rsidRDefault="007D03B8" w:rsidP="00FD5D25">
      <w:pPr>
        <w:pStyle w:val="TableFooter"/>
        <w:keepNext/>
        <w:keepLines/>
      </w:pPr>
      <w:r w:rsidRPr="000C77A2">
        <w:t xml:space="preserve">CRC = colorectal cancer; NSCLC = non-small cell lung cancer; </w:t>
      </w:r>
      <w:r w:rsidRPr="000C77A2">
        <w:rPr>
          <w:i/>
        </w:rPr>
        <w:t>NTRK</w:t>
      </w:r>
      <w:r w:rsidRPr="000C77A2">
        <w:t xml:space="preserve"> = neurotrophic receptor tyrosine kinase; R/R = refractory/relapsed; SoC = standard of care; STS = soft tissue sarcoma.</w:t>
      </w:r>
    </w:p>
    <w:p w14:paraId="57F2CD9D" w14:textId="274BC2E1" w:rsidR="007D03B8" w:rsidRPr="000C77A2" w:rsidRDefault="007D03B8" w:rsidP="00FD5D25">
      <w:pPr>
        <w:pStyle w:val="TableFooter"/>
        <w:keepNext/>
        <w:keepLines/>
      </w:pPr>
      <w:r w:rsidRPr="000C77A2">
        <w:rPr>
          <w:u w:val="single"/>
        </w:rPr>
        <w:t>Key changes from the original submission have been underlined as follows</w:t>
      </w:r>
      <w:r w:rsidRPr="000C77A2">
        <w:t>:</w:t>
      </w:r>
    </w:p>
    <w:p w14:paraId="18C6EBDC" w14:textId="7D82130C" w:rsidR="007D03B8" w:rsidRPr="000C77A2" w:rsidRDefault="007D03B8" w:rsidP="00FD5D25">
      <w:pPr>
        <w:pStyle w:val="TableFooter"/>
        <w:keepNext/>
        <w:keepLines/>
      </w:pPr>
      <w:r w:rsidRPr="000C77A2">
        <w:rPr>
          <w:vertAlign w:val="superscript"/>
        </w:rPr>
        <w:t>a</w:t>
      </w:r>
      <w:r w:rsidRPr="000C77A2">
        <w:t xml:space="preserve">The previous submission was an integrated codependent resubmission with components relevant to both testing for </w:t>
      </w:r>
      <w:r w:rsidRPr="000C77A2">
        <w:rPr>
          <w:i/>
          <w:iCs/>
        </w:rPr>
        <w:t>NTRK</w:t>
      </w:r>
      <w:r w:rsidRPr="000C77A2">
        <w:t xml:space="preserve"> fusions and treatment. The PBAC recommended listing for other requested tumour types such as paediatric patients with </w:t>
      </w:r>
      <w:r w:rsidRPr="000C77A2">
        <w:rPr>
          <w:i/>
          <w:iCs/>
        </w:rPr>
        <w:t>NTRK</w:t>
      </w:r>
      <w:r w:rsidRPr="000C77A2">
        <w:t xml:space="preserve"> fusion tumours and adult patients with high frequency </w:t>
      </w:r>
      <w:r w:rsidRPr="000C77A2">
        <w:rPr>
          <w:i/>
          <w:iCs/>
        </w:rPr>
        <w:t xml:space="preserve">NTRK </w:t>
      </w:r>
      <w:r w:rsidRPr="000C77A2">
        <w:t xml:space="preserve">fusion tumours (Larotrectinib </w:t>
      </w:r>
      <w:r w:rsidR="00D84194">
        <w:t>PSD</w:t>
      </w:r>
      <w:r w:rsidRPr="000C77A2">
        <w:t>, November 2021 PBAC Meeting with March 2022 Addendum).</w:t>
      </w:r>
    </w:p>
    <w:p w14:paraId="22531903" w14:textId="3E521AB0" w:rsidR="007D03B8" w:rsidRPr="000C77A2" w:rsidRDefault="007D03B8" w:rsidP="00FD5D25">
      <w:pPr>
        <w:pStyle w:val="TableFooter"/>
        <w:keepNext/>
        <w:keepLines/>
        <w:rPr>
          <w:iCs/>
        </w:rPr>
      </w:pPr>
      <w:proofErr w:type="spellStart"/>
      <w:r w:rsidRPr="000C77A2">
        <w:rPr>
          <w:iCs/>
          <w:vertAlign w:val="superscript"/>
        </w:rPr>
        <w:t>b</w:t>
      </w:r>
      <w:r w:rsidRPr="000C77A2">
        <w:rPr>
          <w:iCs/>
        </w:rPr>
        <w:t>For</w:t>
      </w:r>
      <w:proofErr w:type="spellEnd"/>
      <w:r w:rsidRPr="000C77A2">
        <w:rPr>
          <w:iCs/>
        </w:rPr>
        <w:t xml:space="preserve"> the adult low frequency population, the resubmission specified only two tumour types (NSCLC and STS) compared to four tumour types (NSCLC, STS, thyroid</w:t>
      </w:r>
      <w:r w:rsidR="00CE2A7F" w:rsidRPr="000C77A2">
        <w:rPr>
          <w:iCs/>
        </w:rPr>
        <w:t xml:space="preserve"> cancer</w:t>
      </w:r>
      <w:r w:rsidRPr="000C77A2">
        <w:rPr>
          <w:iCs/>
        </w:rPr>
        <w:t>, and CRC) requested in the previous submission. In addition, for the adult low frequency metastatic or locally advanced cancer population, the previous submission positioned larotrectinib where surgical resection was likely to result in severe morbidity and have R/R disease with no suitable alternate therapy. The requested listing in this resubmission is line-agnostic.</w:t>
      </w:r>
    </w:p>
    <w:p w14:paraId="2A7D27DC" w14:textId="61A906F1" w:rsidR="007D03B8" w:rsidRPr="000C77A2" w:rsidRDefault="007D03B8" w:rsidP="007D03B8">
      <w:pPr>
        <w:pStyle w:val="TableFooter"/>
        <w:rPr>
          <w:iCs/>
        </w:rPr>
      </w:pPr>
      <w:proofErr w:type="spellStart"/>
      <w:r w:rsidRPr="000C77A2">
        <w:rPr>
          <w:iCs/>
          <w:vertAlign w:val="superscript"/>
        </w:rPr>
        <w:t>c</w:t>
      </w:r>
      <w:r w:rsidRPr="000C77A2">
        <w:rPr>
          <w:iCs/>
        </w:rPr>
        <w:t>The</w:t>
      </w:r>
      <w:proofErr w:type="spellEnd"/>
      <w:r w:rsidRPr="000C77A2">
        <w:rPr>
          <w:iCs/>
        </w:rPr>
        <w:t xml:space="preserve"> nominated comparator for STS patients changed from dacarbazine in the previous submission to pazopanib in the current resubmission.</w:t>
      </w:r>
    </w:p>
    <w:p w14:paraId="2812FACF" w14:textId="13A138C5" w:rsidR="0015052E" w:rsidRPr="000C77A2" w:rsidRDefault="0015052E" w:rsidP="0015052E">
      <w:pPr>
        <w:pStyle w:val="TableFooter"/>
        <w:rPr>
          <w:i/>
          <w:iCs/>
        </w:rPr>
      </w:pPr>
      <w:proofErr w:type="spellStart"/>
      <w:r w:rsidRPr="000C77A2">
        <w:rPr>
          <w:vertAlign w:val="superscript"/>
        </w:rPr>
        <w:t>d</w:t>
      </w:r>
      <w:r w:rsidRPr="000C77A2">
        <w:t>The</w:t>
      </w:r>
      <w:proofErr w:type="spellEnd"/>
      <w:r w:rsidRPr="000C77A2">
        <w:t xml:space="preserve"> therapeutic conclusion in Section 2.8 of the resubmission was that larotrectinib had a comparable safety profile </w:t>
      </w:r>
      <w:r w:rsidR="00CE2A7F" w:rsidRPr="000C77A2">
        <w:t xml:space="preserve">relative </w:t>
      </w:r>
      <w:r w:rsidRPr="000C77A2">
        <w:t>to SoC.</w:t>
      </w:r>
      <w:r w:rsidR="0009404E" w:rsidRPr="000C77A2">
        <w:t xml:space="preserve"> </w:t>
      </w:r>
    </w:p>
    <w:p w14:paraId="176DB660" w14:textId="77777777" w:rsidR="005C25FF" w:rsidRPr="000C77A2" w:rsidRDefault="005C25FF" w:rsidP="004A6040">
      <w:pPr>
        <w:pStyle w:val="2-SectionHeading"/>
      </w:pPr>
      <w:bookmarkStart w:id="4" w:name="_Toc156903951"/>
      <w:r w:rsidRPr="000C77A2">
        <w:t>Background</w:t>
      </w:r>
      <w:bookmarkEnd w:id="4"/>
    </w:p>
    <w:p w14:paraId="66FA47CB" w14:textId="77777777" w:rsidR="005C25FF" w:rsidRPr="000C77A2" w:rsidRDefault="005C25FF" w:rsidP="004A6040">
      <w:pPr>
        <w:pStyle w:val="4-SubsectionHeading"/>
      </w:pPr>
      <w:bookmarkStart w:id="5" w:name="_Toc22897638"/>
      <w:bookmarkStart w:id="6" w:name="_Toc156903952"/>
      <w:r w:rsidRPr="000C77A2">
        <w:t>Registration status</w:t>
      </w:r>
      <w:bookmarkEnd w:id="5"/>
      <w:bookmarkEnd w:id="6"/>
    </w:p>
    <w:p w14:paraId="1B850933" w14:textId="12919CB0" w:rsidR="00FF2C64" w:rsidRPr="000C77A2" w:rsidRDefault="00FF2C64" w:rsidP="00FF2C64">
      <w:pPr>
        <w:pStyle w:val="3-BodyText"/>
      </w:pPr>
      <w:r w:rsidRPr="000C77A2">
        <w:t xml:space="preserve">Larotrectinib was granted provisional approval by the TGA on </w:t>
      </w:r>
      <w:r w:rsidR="001613F8" w:rsidRPr="000C77A2">
        <w:t>7 September 2020 (extension granted until 7 September 2024)</w:t>
      </w:r>
      <w:r w:rsidRPr="000C77A2">
        <w:t xml:space="preserve"> for the treatment of adult and paediatric patients with locally advanced or metastatic solid tumours that:</w:t>
      </w:r>
    </w:p>
    <w:p w14:paraId="5424BEDD" w14:textId="07672863" w:rsidR="00FF2C64" w:rsidRPr="000C77A2" w:rsidRDefault="00FF2C64" w:rsidP="00D85BDC">
      <w:pPr>
        <w:pStyle w:val="3-BodyText"/>
        <w:numPr>
          <w:ilvl w:val="0"/>
          <w:numId w:val="21"/>
        </w:numPr>
        <w:ind w:left="1054" w:hanging="357"/>
      </w:pPr>
      <w:r w:rsidRPr="000C77A2">
        <w:t>have a neurotrophic tyrosine receptor kinase (</w:t>
      </w:r>
      <w:r w:rsidRPr="000C77A2">
        <w:rPr>
          <w:i/>
        </w:rPr>
        <w:t>NTRK</w:t>
      </w:r>
      <w:r w:rsidRPr="000C77A2">
        <w:t>) gene fusion without a known acquired resistance mutation,</w:t>
      </w:r>
    </w:p>
    <w:p w14:paraId="20BAF942" w14:textId="77777777" w:rsidR="00FF2C64" w:rsidRPr="000C77A2" w:rsidRDefault="00FF2C64" w:rsidP="00D85BDC">
      <w:pPr>
        <w:pStyle w:val="3-BodyText"/>
        <w:numPr>
          <w:ilvl w:val="0"/>
          <w:numId w:val="21"/>
        </w:numPr>
        <w:ind w:left="1054" w:hanging="357"/>
      </w:pPr>
      <w:r w:rsidRPr="000C77A2">
        <w:t xml:space="preserve">are metastatic or where surgical resection </w:t>
      </w:r>
      <w:proofErr w:type="gramStart"/>
      <w:r w:rsidRPr="000C77A2">
        <w:t>is</w:t>
      </w:r>
      <w:proofErr w:type="gramEnd"/>
      <w:r w:rsidRPr="000C77A2">
        <w:t xml:space="preserve"> likely to result in severe morbidity, and</w:t>
      </w:r>
    </w:p>
    <w:p w14:paraId="3FF90BB4" w14:textId="77777777" w:rsidR="00FF2C64" w:rsidRPr="000C77A2" w:rsidRDefault="00FF2C64" w:rsidP="00D85BDC">
      <w:pPr>
        <w:pStyle w:val="3-BodyText"/>
        <w:numPr>
          <w:ilvl w:val="0"/>
          <w:numId w:val="21"/>
        </w:numPr>
        <w:ind w:left="1054" w:hanging="357"/>
      </w:pPr>
      <w:r w:rsidRPr="000C77A2">
        <w:t>have either progressed following treatment or who have no satisfactory alternative therapy.</w:t>
      </w:r>
    </w:p>
    <w:p w14:paraId="2E5CD50C" w14:textId="3B620F0D" w:rsidR="00FF2C64" w:rsidRPr="000C77A2" w:rsidRDefault="00FF2C64" w:rsidP="00FF2C64">
      <w:pPr>
        <w:pStyle w:val="3-BodyText"/>
        <w:numPr>
          <w:ilvl w:val="0"/>
          <w:numId w:val="0"/>
        </w:numPr>
        <w:ind w:left="720"/>
      </w:pPr>
      <w:r w:rsidRPr="000C77A2">
        <w:t xml:space="preserve">The decision to approve this indication was made </w:t>
      </w:r>
      <w:proofErr w:type="gramStart"/>
      <w:r w:rsidRPr="000C77A2">
        <w:t>on the basis of</w:t>
      </w:r>
      <w:proofErr w:type="gramEnd"/>
      <w:r w:rsidRPr="000C77A2">
        <w:t xml:space="preserve"> objective response rate (ORR) and duration of response (D</w:t>
      </w:r>
      <w:r w:rsidR="00593E28" w:rsidRPr="000C77A2">
        <w:t>O</w:t>
      </w:r>
      <w:r w:rsidRPr="000C77A2">
        <w:t xml:space="preserve">R) from single arm clinical studies. The </w:t>
      </w:r>
      <w:r w:rsidRPr="000C77A2">
        <w:lastRenderedPageBreak/>
        <w:t>sponsor is required to submit further clinical data to confirm the clinical benefit of the medicine.</w:t>
      </w:r>
      <w:r w:rsidRPr="000C77A2">
        <w:rPr>
          <w:i/>
          <w:iCs/>
        </w:rPr>
        <w:t xml:space="preserve"> </w:t>
      </w:r>
    </w:p>
    <w:p w14:paraId="74E1BBB5" w14:textId="25AC4A71" w:rsidR="00FF2C64" w:rsidRPr="000C77A2" w:rsidRDefault="0050295D" w:rsidP="001948A2">
      <w:pPr>
        <w:pStyle w:val="3-BodyText"/>
        <w:rPr>
          <w:i/>
        </w:rPr>
      </w:pPr>
      <w:r w:rsidRPr="000C77A2">
        <w:rPr>
          <w:iCs/>
        </w:rPr>
        <w:t>The resubmission noted that full TGA approval is anticipated in September 2027.</w:t>
      </w:r>
    </w:p>
    <w:p w14:paraId="7BE623A8" w14:textId="5DB0A4E5" w:rsidR="0050295D" w:rsidRPr="000C77A2" w:rsidRDefault="001613F8" w:rsidP="00FF2C64">
      <w:pPr>
        <w:pStyle w:val="3-BodyText"/>
        <w:rPr>
          <w:iCs/>
        </w:rPr>
      </w:pPr>
      <w:r w:rsidRPr="000C77A2">
        <w:rPr>
          <w:iCs/>
        </w:rPr>
        <w:t xml:space="preserve">The provisional indication does not support use of larotrectinib as first-line therapy for patients with NTRK fusion positive locally advanced or metastatic solid tumours. </w:t>
      </w:r>
      <w:r w:rsidR="0050295D" w:rsidRPr="000C77A2">
        <w:rPr>
          <w:iCs/>
        </w:rPr>
        <w:t xml:space="preserve">The Food and Drug Administration (FDA) approved indication for larotrectinib is </w:t>
      </w:r>
      <w:proofErr w:type="gramStart"/>
      <w:r w:rsidR="0050295D" w:rsidRPr="000C77A2">
        <w:rPr>
          <w:iCs/>
        </w:rPr>
        <w:t>similar to</w:t>
      </w:r>
      <w:proofErr w:type="gramEnd"/>
      <w:r w:rsidR="0050295D" w:rsidRPr="000C77A2">
        <w:rPr>
          <w:iCs/>
        </w:rPr>
        <w:t xml:space="preserve"> the TGA provisionally approved indication.</w:t>
      </w:r>
    </w:p>
    <w:p w14:paraId="6D3BD4D5" w14:textId="1CE475AA" w:rsidR="00E20482" w:rsidRPr="000C77A2" w:rsidRDefault="00E20482" w:rsidP="00D76B9B">
      <w:pPr>
        <w:pStyle w:val="3-BodyText"/>
      </w:pPr>
      <w:r w:rsidRPr="000C77A2">
        <w:t xml:space="preserve">Current updated international clinical practice guidelines </w:t>
      </w:r>
      <w:r w:rsidR="00B705AC" w:rsidRPr="000C77A2">
        <w:t xml:space="preserve">for locally advanced or metastatic NTRK fusion positive NSCLC </w:t>
      </w:r>
      <w:r w:rsidRPr="000C77A2">
        <w:t xml:space="preserve">appear to vary. The National Comprehensive Cancer Network (NCCN) guidelines note that TRK inhibitors (larotrectinib and entrectinib) are preferred </w:t>
      </w:r>
      <w:r w:rsidR="00BC4A17" w:rsidRPr="000C77A2">
        <w:t>as</w:t>
      </w:r>
      <w:r w:rsidRPr="000C77A2">
        <w:t xml:space="preserve"> first-line treatment</w:t>
      </w:r>
      <w:r w:rsidRPr="000C77A2">
        <w:rPr>
          <w:rStyle w:val="FootnoteReference"/>
        </w:rPr>
        <w:footnoteReference w:id="1"/>
      </w:r>
      <w:r w:rsidRPr="000C77A2">
        <w:t>.</w:t>
      </w:r>
      <w:r w:rsidR="00B705AC" w:rsidRPr="000C77A2">
        <w:t xml:space="preserve"> The European Society for Medical Oncology (ESMO) guidelines recommend larotrectinib for patients who have no satisfactory treatment options. Specifically, </w:t>
      </w:r>
      <w:r w:rsidR="001613F8" w:rsidRPr="000C77A2">
        <w:t xml:space="preserve">the </w:t>
      </w:r>
      <w:r w:rsidR="00B705AC" w:rsidRPr="000C77A2">
        <w:t xml:space="preserve">ESMO recommends platinum-doublet chemotherapy with or without immune checkpoint inhibitors (ICIs) as first-line therapy for NSCLC tumours with a mesenchymal-epithelial transition (MET) amplification, </w:t>
      </w:r>
      <w:r w:rsidR="00B705AC" w:rsidRPr="000C77A2">
        <w:rPr>
          <w:i/>
          <w:iCs/>
        </w:rPr>
        <w:t>NTRK</w:t>
      </w:r>
      <w:r w:rsidR="00B705AC" w:rsidRPr="000C77A2">
        <w:t xml:space="preserve"> gene fusion, human epidermal growth factor receptor 2 (HER2) mutation, and epidermal growth factor receptor (EGFR) exon 20 mutation</w:t>
      </w:r>
      <w:r w:rsidR="001613F8" w:rsidRPr="000C77A2">
        <w:rPr>
          <w:rStyle w:val="FootnoteReference"/>
          <w:i/>
          <w:iCs/>
        </w:rPr>
        <w:footnoteReference w:id="2"/>
      </w:r>
      <w:r w:rsidR="001613F8" w:rsidRPr="000C77A2">
        <w:rPr>
          <w:i/>
          <w:iCs/>
        </w:rPr>
        <w:t>.</w:t>
      </w:r>
    </w:p>
    <w:p w14:paraId="78D0A466" w14:textId="490F5BA6" w:rsidR="00E20482" w:rsidRPr="000C77A2" w:rsidRDefault="00E20482" w:rsidP="00FF2C64">
      <w:pPr>
        <w:pStyle w:val="3-BodyText"/>
      </w:pPr>
      <w:r w:rsidRPr="000C77A2">
        <w:t>In the previous submission, the clinical management algorithms proposed for adults with low fusion frequency cancers positioned larotrectinib for patients who had progressed on first-line SoC, second-line SoC, and subsequent lines of therapy, until patients have no other suitable therapies available.</w:t>
      </w:r>
    </w:p>
    <w:p w14:paraId="4148756D" w14:textId="67385F5D" w:rsidR="00E20482" w:rsidRPr="000C77A2" w:rsidRDefault="00B705AC" w:rsidP="00FF2C64">
      <w:pPr>
        <w:pStyle w:val="3-BodyText"/>
      </w:pPr>
      <w:r w:rsidRPr="000C77A2">
        <w:t xml:space="preserve">The </w:t>
      </w:r>
      <w:r w:rsidR="00E20482" w:rsidRPr="000C77A2">
        <w:t xml:space="preserve">intended clinical management algorithm </w:t>
      </w:r>
      <w:r w:rsidRPr="000C77A2">
        <w:t xml:space="preserve">in the resubmission, </w:t>
      </w:r>
      <w:r w:rsidR="00E20482" w:rsidRPr="000C77A2">
        <w:t xml:space="preserve">for </w:t>
      </w:r>
      <w:r w:rsidR="00E20482" w:rsidRPr="000C77A2">
        <w:rPr>
          <w:i/>
          <w:iCs/>
        </w:rPr>
        <w:t>NTRK</w:t>
      </w:r>
      <w:r w:rsidR="00E20482" w:rsidRPr="000C77A2">
        <w:t xml:space="preserve"> fusion positive locally advanced or metastatic NSCLC, </w:t>
      </w:r>
      <w:r w:rsidRPr="000C77A2">
        <w:t xml:space="preserve">positioned larotrectinib as first-line therapy for </w:t>
      </w:r>
      <w:r w:rsidR="00E20482" w:rsidRPr="000C77A2">
        <w:t>patients who are ‘inappropriate’ for immunotherapy ± chemotherapy</w:t>
      </w:r>
      <w:r w:rsidRPr="000C77A2">
        <w:t xml:space="preserve">. </w:t>
      </w:r>
      <w:r w:rsidR="00E20482" w:rsidRPr="000C77A2">
        <w:t>Other eligible patients will receive larotrectinib after progression on immunotherapy ± chemotherapy.</w:t>
      </w:r>
    </w:p>
    <w:p w14:paraId="67C0B2E5" w14:textId="5CEDCEB0" w:rsidR="00E20482" w:rsidRPr="000C77A2" w:rsidRDefault="00E20482" w:rsidP="00FF2C64">
      <w:pPr>
        <w:pStyle w:val="3-BodyText"/>
      </w:pPr>
      <w:r w:rsidRPr="000C77A2">
        <w:t xml:space="preserve">The requested </w:t>
      </w:r>
      <w:r w:rsidR="00B705AC" w:rsidRPr="000C77A2">
        <w:t xml:space="preserve">line-agnostic </w:t>
      </w:r>
      <w:r w:rsidRPr="000C77A2">
        <w:t xml:space="preserve">listing does not specify that patients should be ‘inappropriate’ (or unsuitable) for immunotherapy ± chemotherapy to be eligible for larotrectinib in the first-line setting. In addition, ‘inappropriate’ is open to interpretation. For example, should larotrectinib gain a line-agnostic listing, a patient may be considered as inappropriate for immunotherapy ± chemotherapy to be consistent with evolving guidelines </w:t>
      </w:r>
      <w:r w:rsidR="001613F8" w:rsidRPr="000C77A2">
        <w:t xml:space="preserve">which </w:t>
      </w:r>
      <w:r w:rsidRPr="000C77A2">
        <w:t xml:space="preserve">recommend </w:t>
      </w:r>
      <w:r w:rsidR="001613F8" w:rsidRPr="000C77A2">
        <w:t xml:space="preserve">use of </w:t>
      </w:r>
      <w:r w:rsidRPr="000C77A2">
        <w:t xml:space="preserve">targeted therapy in an early treatment setting for NSCLC (although the patient may not </w:t>
      </w:r>
      <w:r w:rsidR="00B705AC" w:rsidRPr="000C77A2">
        <w:t xml:space="preserve">necessarily </w:t>
      </w:r>
      <w:r w:rsidRPr="000C77A2">
        <w:t>be intolerant to or contraindicated for immunotherapy ± chemotherapy).</w:t>
      </w:r>
    </w:p>
    <w:p w14:paraId="1004462E" w14:textId="2195538F" w:rsidR="00B705AC" w:rsidRPr="000C77A2" w:rsidRDefault="004D01D4" w:rsidP="00FF2C64">
      <w:pPr>
        <w:pStyle w:val="3-BodyText"/>
      </w:pPr>
      <w:r w:rsidRPr="000C77A2">
        <w:t xml:space="preserve">The current </w:t>
      </w:r>
      <w:r w:rsidR="00B705AC" w:rsidRPr="000C77A2">
        <w:t>clinical management algorithm</w:t>
      </w:r>
      <w:r w:rsidRPr="000C77A2">
        <w:t xml:space="preserve"> for </w:t>
      </w:r>
      <w:r w:rsidRPr="000C77A2">
        <w:rPr>
          <w:i/>
          <w:iCs/>
        </w:rPr>
        <w:t>NTRK</w:t>
      </w:r>
      <w:r w:rsidRPr="000C77A2">
        <w:t xml:space="preserve"> fusion positive STS in the</w:t>
      </w:r>
      <w:r w:rsidR="00B705AC" w:rsidRPr="000C77A2">
        <w:t xml:space="preserve"> resubmission</w:t>
      </w:r>
      <w:r w:rsidRPr="000C77A2">
        <w:t xml:space="preserve"> indicates that </w:t>
      </w:r>
      <w:r w:rsidR="00B705AC" w:rsidRPr="000C77A2">
        <w:t xml:space="preserve">patients </w:t>
      </w:r>
      <w:r w:rsidRPr="000C77A2">
        <w:t>are treated with an anthracycline (</w:t>
      </w:r>
      <w:r w:rsidR="00B705AC" w:rsidRPr="000C77A2">
        <w:t>doxorubicin</w:t>
      </w:r>
      <w:r w:rsidRPr="000C77A2">
        <w:t>)</w:t>
      </w:r>
      <w:r w:rsidR="00B705AC" w:rsidRPr="000C77A2">
        <w:t xml:space="preserve"> ± </w:t>
      </w:r>
      <w:proofErr w:type="spellStart"/>
      <w:r w:rsidR="00B705AC" w:rsidRPr="000C77A2">
        <w:t>ifosfamide</w:t>
      </w:r>
      <w:proofErr w:type="spellEnd"/>
      <w:r w:rsidR="00B705AC" w:rsidRPr="000C77A2">
        <w:t xml:space="preserve"> chemotherapy in the first-line setting</w:t>
      </w:r>
      <w:r w:rsidRPr="000C77A2">
        <w:t xml:space="preserve">, and those who progress </w:t>
      </w:r>
      <w:r w:rsidR="00B705AC" w:rsidRPr="000C77A2">
        <w:t xml:space="preserve">on first-line </w:t>
      </w:r>
      <w:r w:rsidR="00B705AC" w:rsidRPr="000C77A2">
        <w:lastRenderedPageBreak/>
        <w:t xml:space="preserve">therapy </w:t>
      </w:r>
      <w:r w:rsidRPr="000C77A2">
        <w:t>are eligible for</w:t>
      </w:r>
      <w:r w:rsidR="00B705AC" w:rsidRPr="000C77A2">
        <w:t xml:space="preserve"> pazopanib</w:t>
      </w:r>
      <w:r w:rsidRPr="000C77A2">
        <w:t xml:space="preserve">. The intended clinical management algorithm positions </w:t>
      </w:r>
      <w:r w:rsidR="00B705AC" w:rsidRPr="000C77A2">
        <w:t>larotrectinib to displace pazopanib to a later-line setting.</w:t>
      </w:r>
      <w:r w:rsidR="001613F8" w:rsidRPr="000C77A2">
        <w:t xml:space="preserve"> This is not in line with the requested line-agnostic listing.</w:t>
      </w:r>
      <w:r w:rsidR="00DF4803" w:rsidRPr="000C77A2">
        <w:t xml:space="preserve"> The ESC noted the current NCCN guidelines recommend use of larotrectinib and entrectinib as preferred regimens in the first line treatment setting if NTRK fusion is identified.</w:t>
      </w:r>
      <w:r w:rsidR="00DF4803" w:rsidRPr="000C77A2">
        <w:rPr>
          <w:i/>
          <w:iCs/>
        </w:rPr>
        <w:t xml:space="preserve"> </w:t>
      </w:r>
    </w:p>
    <w:p w14:paraId="19FE3F8D" w14:textId="4A682BE7" w:rsidR="0011127E" w:rsidRPr="000C77A2" w:rsidRDefault="0011127E" w:rsidP="00FF2C64">
      <w:pPr>
        <w:pStyle w:val="3-BodyText"/>
      </w:pPr>
      <w:r w:rsidRPr="000C77A2">
        <w:t xml:space="preserve">Resistance to larotrectinib can develop over time and is a probable contributory factor in patients with primary progressive disease. Mechanisms of acquired resistance in patients with larotrectinib-treated </w:t>
      </w:r>
      <w:r w:rsidR="004657EE" w:rsidRPr="000C77A2">
        <w:t>N</w:t>
      </w:r>
      <w:r w:rsidRPr="000C77A2">
        <w:t xml:space="preserve">TRK fusion positive tumours, include the emergence of NTRK kinase domain mutations or bypass tract activation. Early clinical data indicate that </w:t>
      </w:r>
      <w:proofErr w:type="gramStart"/>
      <w:r w:rsidRPr="000C77A2">
        <w:t>particular on-target</w:t>
      </w:r>
      <w:proofErr w:type="gramEnd"/>
      <w:r w:rsidRPr="000C77A2">
        <w:t xml:space="preserve"> resistance mechanisms might be overcome by next generation TRK inhibitors, such as </w:t>
      </w:r>
      <w:proofErr w:type="spellStart"/>
      <w:r w:rsidRPr="000C77A2">
        <w:t>selitrectinib</w:t>
      </w:r>
      <w:proofErr w:type="spellEnd"/>
      <w:r w:rsidRPr="000C77A2">
        <w:t xml:space="preserve"> and </w:t>
      </w:r>
      <w:proofErr w:type="spellStart"/>
      <w:r w:rsidRPr="000C77A2">
        <w:t>repotrectinib</w:t>
      </w:r>
      <w:proofErr w:type="spellEnd"/>
      <w:r w:rsidR="001613F8" w:rsidRPr="000C77A2">
        <w:rPr>
          <w:rStyle w:val="FootnoteReference"/>
        </w:rPr>
        <w:footnoteReference w:id="3"/>
      </w:r>
      <w:r w:rsidRPr="000C77A2">
        <w:t>.</w:t>
      </w:r>
    </w:p>
    <w:p w14:paraId="06D05D7D" w14:textId="1D6C49EB" w:rsidR="005C25FF" w:rsidRPr="000C77A2" w:rsidRDefault="005C25FF" w:rsidP="004E18E9">
      <w:pPr>
        <w:pStyle w:val="4-SubsectionHeading"/>
      </w:pPr>
      <w:bookmarkStart w:id="7" w:name="_Toc22897639"/>
      <w:bookmarkStart w:id="8" w:name="_Toc156903953"/>
      <w:r w:rsidRPr="000C77A2">
        <w:t>Previous PBAC consideration</w:t>
      </w:r>
      <w:bookmarkEnd w:id="7"/>
      <w:bookmarkEnd w:id="8"/>
    </w:p>
    <w:p w14:paraId="453EBFBD" w14:textId="638FED16" w:rsidR="00CD7646" w:rsidRPr="000C77A2" w:rsidRDefault="00CD7646" w:rsidP="00CD7646">
      <w:pPr>
        <w:pStyle w:val="3-BodyText"/>
      </w:pPr>
      <w:r w:rsidRPr="000C77A2">
        <w:t xml:space="preserve">This is the third submission seeking PBS listing of larotrectinib for adult patients with locally advanced or metastatic NSCLC and STS tumours harbouring </w:t>
      </w:r>
      <w:r w:rsidRPr="000C77A2">
        <w:rPr>
          <w:i/>
          <w:iCs/>
        </w:rPr>
        <w:t>NTRK</w:t>
      </w:r>
      <w:r w:rsidRPr="000C77A2">
        <w:t xml:space="preserve"> fusions. </w:t>
      </w:r>
    </w:p>
    <w:p w14:paraId="09A86F27" w14:textId="2B1551C9" w:rsidR="00CD7646" w:rsidRPr="000C77A2" w:rsidRDefault="00CD7646" w:rsidP="00CD7646">
      <w:pPr>
        <w:pStyle w:val="3-BodyText"/>
      </w:pPr>
      <w:r w:rsidRPr="000C77A2">
        <w:t>Two previous</w:t>
      </w:r>
      <w:r w:rsidR="007E59BC" w:rsidRPr="000C77A2">
        <w:t xml:space="preserve"> submissions</w:t>
      </w:r>
      <w:r w:rsidRPr="000C77A2">
        <w:t xml:space="preserve"> were lodged as integrated co-dependent submissions for consideration by </w:t>
      </w:r>
      <w:r w:rsidR="00B129B2" w:rsidRPr="000C77A2">
        <w:t xml:space="preserve">the </w:t>
      </w:r>
      <w:r w:rsidRPr="000C77A2">
        <w:t xml:space="preserve">PBAC and </w:t>
      </w:r>
      <w:r w:rsidR="00B129B2" w:rsidRPr="000C77A2">
        <w:t xml:space="preserve">the </w:t>
      </w:r>
      <w:r w:rsidRPr="000C77A2">
        <w:t xml:space="preserve">MSAC which led to the implementation of a PBS listing for paediatric patients, and adult patients with high frequency </w:t>
      </w:r>
      <w:r w:rsidRPr="000C77A2">
        <w:rPr>
          <w:i/>
          <w:iCs/>
        </w:rPr>
        <w:t>NTRK</w:t>
      </w:r>
      <w:r w:rsidRPr="000C77A2">
        <w:t xml:space="preserve"> fusion tumours (specifically </w:t>
      </w:r>
      <w:r w:rsidR="008334A8" w:rsidRPr="000C77A2">
        <w:t>mammary analogue secretory carcinoma [</w:t>
      </w:r>
      <w:r w:rsidRPr="000C77A2">
        <w:t>MASC</w:t>
      </w:r>
      <w:r w:rsidR="008334A8" w:rsidRPr="000C77A2">
        <w:t>]</w:t>
      </w:r>
      <w:r w:rsidRPr="000C77A2">
        <w:t xml:space="preserve"> and secretory breast carcinoma).</w:t>
      </w:r>
    </w:p>
    <w:p w14:paraId="1F467AF3" w14:textId="78EA36E4" w:rsidR="00983880" w:rsidRPr="000C77A2" w:rsidRDefault="00983880" w:rsidP="000B325E">
      <w:pPr>
        <w:pStyle w:val="3-BodyText"/>
      </w:pPr>
      <w:r w:rsidRPr="000C77A2">
        <w:t>The following summarise the PBAC outcomes relating to the previous submission for larotrectinib (Larotrectinib</w:t>
      </w:r>
      <w:r w:rsidR="00B129B2" w:rsidRPr="000C77A2">
        <w:t xml:space="preserve"> PSD</w:t>
      </w:r>
      <w:r w:rsidRPr="000C77A2">
        <w:t>, November 2021 PBAC Meeting with March 2022 Addendum).</w:t>
      </w:r>
    </w:p>
    <w:p w14:paraId="7037B334" w14:textId="79C71806" w:rsidR="00983880" w:rsidRPr="000C77A2" w:rsidRDefault="000B325E" w:rsidP="000B325E">
      <w:pPr>
        <w:pStyle w:val="3-BodyText"/>
      </w:pPr>
      <w:r w:rsidRPr="000C77A2">
        <w:t xml:space="preserve">At its November 2021 meeting, the PBAC deferred making its decision on whether to recommend the listing of larotrectinib for </w:t>
      </w:r>
      <w:r w:rsidRPr="000C77A2">
        <w:rPr>
          <w:i/>
          <w:iCs/>
        </w:rPr>
        <w:t>NTRK</w:t>
      </w:r>
      <w:r w:rsidRPr="000C77A2">
        <w:t xml:space="preserve"> fusion tumours that are either unresectable locally advanced, metastatic, or locally advanced and would otherwise require disfiguring surgery</w:t>
      </w:r>
      <w:r w:rsidR="00983880" w:rsidRPr="000C77A2">
        <w:t>,</w:t>
      </w:r>
      <w:r w:rsidRPr="000C77A2">
        <w:t xml:space="preserve"> or limb amputation to achieve a complete surgical resection</w:t>
      </w:r>
      <w:r w:rsidR="00983880" w:rsidRPr="000C77A2">
        <w:t xml:space="preserve"> (para 7.1)</w:t>
      </w:r>
      <w:r w:rsidR="00BB5525" w:rsidRPr="000C77A2">
        <w:t>.</w:t>
      </w:r>
    </w:p>
    <w:p w14:paraId="7F74F504" w14:textId="6DB3FA22" w:rsidR="00BB5525" w:rsidRPr="000C77A2" w:rsidRDefault="00BB5525" w:rsidP="000B325E">
      <w:pPr>
        <w:pStyle w:val="3-BodyText"/>
      </w:pPr>
      <w:r w:rsidRPr="000C77A2">
        <w:t xml:space="preserve">The PBAC noted that the updated evidence was indicative of a larger treatment effect in patients with high frequency </w:t>
      </w:r>
      <w:r w:rsidRPr="000C77A2">
        <w:rPr>
          <w:i/>
          <w:iCs/>
        </w:rPr>
        <w:t>NTRK</w:t>
      </w:r>
      <w:r w:rsidRPr="000C77A2">
        <w:t xml:space="preserve"> fusion tumours compared to those with low frequency </w:t>
      </w:r>
      <w:r w:rsidRPr="000C77A2">
        <w:rPr>
          <w:i/>
          <w:iCs/>
        </w:rPr>
        <w:t>NTRK</w:t>
      </w:r>
      <w:r w:rsidRPr="000C77A2">
        <w:t xml:space="preserve"> fusion tumours. However, the PBAC noted that the number of patients across the studies remained small and the updated data remained immature with median </w:t>
      </w:r>
      <w:r w:rsidR="0092693B" w:rsidRPr="000C77A2">
        <w:t>overall survival (</w:t>
      </w:r>
      <w:r w:rsidRPr="000C77A2">
        <w:t>OS</w:t>
      </w:r>
      <w:r w:rsidR="0092693B" w:rsidRPr="000C77A2">
        <w:t>)</w:t>
      </w:r>
      <w:r w:rsidRPr="000C77A2">
        <w:t xml:space="preserve"> not being reached for all tumour types combined (para 7.7).</w:t>
      </w:r>
    </w:p>
    <w:p w14:paraId="1217CF20" w14:textId="40A2B804" w:rsidR="00E95DE4" w:rsidRPr="000C77A2" w:rsidRDefault="00E95DE4" w:rsidP="000B325E">
      <w:pPr>
        <w:pStyle w:val="3-BodyText"/>
      </w:pPr>
      <w:r w:rsidRPr="000C77A2">
        <w:t xml:space="preserve">The </w:t>
      </w:r>
      <w:r w:rsidR="00353A25" w:rsidRPr="000C77A2">
        <w:t>Economics Sub Committees (</w:t>
      </w:r>
      <w:r w:rsidRPr="000C77A2">
        <w:t>ESCs</w:t>
      </w:r>
      <w:r w:rsidR="00353A25" w:rsidRPr="000C77A2">
        <w:t>)</w:t>
      </w:r>
      <w:r w:rsidRPr="000C77A2">
        <w:t xml:space="preserve"> considered the uncertainty around how larotrectinib would be used in the adult low </w:t>
      </w:r>
      <w:r w:rsidRPr="000C77A2">
        <w:rPr>
          <w:i/>
          <w:iCs/>
        </w:rPr>
        <w:t xml:space="preserve">NTRK </w:t>
      </w:r>
      <w:r w:rsidRPr="000C77A2">
        <w:t xml:space="preserve">frequency subgroup in clinical practice, given the availability of effective later-line treatment options, and the limited evidence to support a treatment benefit of larotrectinib. The ESCs noted that the </w:t>
      </w:r>
      <w:r w:rsidRPr="000C77A2">
        <w:lastRenderedPageBreak/>
        <w:t>clinical need for larotrectinib in the adult low NTRK frequency population before last-line therapy was less justifiable</w:t>
      </w:r>
      <w:r w:rsidR="001613F8" w:rsidRPr="000C77A2">
        <w:t xml:space="preserve"> (para 2.4)</w:t>
      </w:r>
      <w:r w:rsidRPr="000C77A2">
        <w:t>.</w:t>
      </w:r>
    </w:p>
    <w:p w14:paraId="7657FD1D" w14:textId="1C0D647F" w:rsidR="00E95DE4" w:rsidRPr="000C77A2" w:rsidRDefault="00E95DE4" w:rsidP="00E95DE4">
      <w:pPr>
        <w:pStyle w:val="3-BodyText"/>
      </w:pPr>
      <w:r w:rsidRPr="000C77A2">
        <w:t xml:space="preserve">At its meeting </w:t>
      </w:r>
      <w:r w:rsidR="001613F8" w:rsidRPr="000C77A2">
        <w:t>in</w:t>
      </w:r>
      <w:r w:rsidRPr="000C77A2">
        <w:t xml:space="preserve"> November 2021, </w:t>
      </w:r>
      <w:r w:rsidR="00B129B2" w:rsidRPr="000C77A2">
        <w:t xml:space="preserve">the </w:t>
      </w:r>
      <w:r w:rsidRPr="000C77A2">
        <w:t xml:space="preserve">MSAC supported the creation of new MBS items for </w:t>
      </w:r>
      <w:r w:rsidRPr="000C77A2">
        <w:rPr>
          <w:i/>
          <w:iCs/>
        </w:rPr>
        <w:t>NTRK</w:t>
      </w:r>
      <w:r w:rsidRPr="000C77A2">
        <w:t xml:space="preserve"> fusion testing to determine eligibility for treatment with larotrectinib in all paediatric patients, and adult patients with high-frequency </w:t>
      </w:r>
      <w:r w:rsidRPr="000C77A2">
        <w:rPr>
          <w:i/>
          <w:iCs/>
        </w:rPr>
        <w:t>NTRK</w:t>
      </w:r>
      <w:r w:rsidRPr="000C77A2">
        <w:t xml:space="preserve"> fusion cancer types (para 8.2). </w:t>
      </w:r>
      <w:r w:rsidR="00B129B2" w:rsidRPr="000C77A2">
        <w:t xml:space="preserve">The </w:t>
      </w:r>
      <w:r w:rsidR="001613F8" w:rsidRPr="000C77A2">
        <w:t xml:space="preserve">MSAC also considered that the two cancer types with high frequency of </w:t>
      </w:r>
      <w:r w:rsidR="001613F8" w:rsidRPr="000C77A2">
        <w:rPr>
          <w:i/>
          <w:iCs/>
        </w:rPr>
        <w:t>NTRK</w:t>
      </w:r>
      <w:r w:rsidR="001613F8" w:rsidRPr="000C77A2">
        <w:t xml:space="preserve"> fusion in adults, MASC of the salivary gland and secretory breast carcinoma, should be specified in the item descriptor (para 8.4).</w:t>
      </w:r>
    </w:p>
    <w:p w14:paraId="5912606F" w14:textId="2EAF4A04" w:rsidR="00983880" w:rsidRPr="000C77A2" w:rsidRDefault="0071173F" w:rsidP="000B325E">
      <w:pPr>
        <w:pStyle w:val="3-BodyText"/>
      </w:pPr>
      <w:r w:rsidRPr="000C77A2">
        <w:t xml:space="preserve">The PBAC subsequently recommended the listing of larotrectinib for paediatric patients with </w:t>
      </w:r>
      <w:r w:rsidRPr="000C77A2">
        <w:rPr>
          <w:i/>
          <w:iCs/>
        </w:rPr>
        <w:t>NTRK</w:t>
      </w:r>
      <w:r w:rsidRPr="000C77A2">
        <w:t xml:space="preserve"> fusion tumours and adult patients with high frequency </w:t>
      </w:r>
      <w:r w:rsidRPr="000C77A2">
        <w:rPr>
          <w:i/>
          <w:iCs/>
        </w:rPr>
        <w:t>NTRK</w:t>
      </w:r>
      <w:r w:rsidRPr="000C77A2">
        <w:t xml:space="preserve"> fusion tumours (MASC and secretory breast carcinoma)</w:t>
      </w:r>
      <w:r w:rsidR="00BB5525" w:rsidRPr="000C77A2">
        <w:t xml:space="preserve">, </w:t>
      </w:r>
      <w:r w:rsidRPr="000C77A2">
        <w:t xml:space="preserve">noting that </w:t>
      </w:r>
      <w:r w:rsidR="00B129B2" w:rsidRPr="000C77A2">
        <w:t xml:space="preserve">the </w:t>
      </w:r>
      <w:r w:rsidRPr="000C77A2">
        <w:t xml:space="preserve">MSAC supported funding the co-dependent </w:t>
      </w:r>
      <w:r w:rsidRPr="000C77A2">
        <w:rPr>
          <w:i/>
          <w:iCs/>
        </w:rPr>
        <w:t>NTRK</w:t>
      </w:r>
      <w:r w:rsidRPr="000C77A2">
        <w:t xml:space="preserve"> fusion testing (para 10.1).</w:t>
      </w:r>
    </w:p>
    <w:p w14:paraId="52D32C1A" w14:textId="017EFB02" w:rsidR="000B325E" w:rsidRPr="000C77A2" w:rsidRDefault="0071173F" w:rsidP="000B325E">
      <w:pPr>
        <w:pStyle w:val="3-BodyText"/>
      </w:pPr>
      <w:r w:rsidRPr="000C77A2">
        <w:t xml:space="preserve">The PBAC did not recommend the listing of larotrectinib for adult patients with low frequency </w:t>
      </w:r>
      <w:r w:rsidRPr="000C77A2">
        <w:rPr>
          <w:i/>
          <w:iCs/>
        </w:rPr>
        <w:t>NTRK</w:t>
      </w:r>
      <w:r w:rsidRPr="000C77A2">
        <w:t xml:space="preserve"> fusion tumours</w:t>
      </w:r>
      <w:r w:rsidR="00ED473A" w:rsidRPr="000C77A2">
        <w:t xml:space="preserve"> as the incremental cost-effectiveness ratio (</w:t>
      </w:r>
      <w:r w:rsidRPr="000C77A2">
        <w:t>ICER</w:t>
      </w:r>
      <w:r w:rsidR="00ED473A" w:rsidRPr="000C77A2">
        <w:t>)</w:t>
      </w:r>
      <w:r w:rsidRPr="000C77A2">
        <w:t xml:space="preserve"> for this population remained high and uncertain</w:t>
      </w:r>
      <w:r w:rsidR="00BB5525" w:rsidRPr="000C77A2">
        <w:t>, and that t</w:t>
      </w:r>
      <w:r w:rsidRPr="000C77A2">
        <w:t xml:space="preserve">here is less unmet clinical need given </w:t>
      </w:r>
      <w:r w:rsidR="00BB5525" w:rsidRPr="000C77A2">
        <w:t>the</w:t>
      </w:r>
      <w:r w:rsidRPr="000C77A2">
        <w:t xml:space="preserve"> effective alternative treatments </w:t>
      </w:r>
      <w:r w:rsidR="00ED473A" w:rsidRPr="000C77A2">
        <w:t>available (para 7.12).</w:t>
      </w:r>
    </w:p>
    <w:p w14:paraId="59C0DC2A" w14:textId="6C8F08BF" w:rsidR="00022D2F" w:rsidRPr="000C77A2" w:rsidRDefault="00022D2F" w:rsidP="000B325E">
      <w:pPr>
        <w:pStyle w:val="3-BodyText"/>
      </w:pPr>
      <w:r w:rsidRPr="000C77A2">
        <w:fldChar w:fldCharType="begin" w:fldLock="1"/>
      </w:r>
      <w:r w:rsidRPr="000C77A2">
        <w:instrText xml:space="preserve"> REF _Ref154135084 \h </w:instrText>
      </w:r>
      <w:r w:rsidRPr="000C77A2">
        <w:fldChar w:fldCharType="separate"/>
      </w:r>
      <w:r w:rsidR="001B0FE7" w:rsidRPr="000C77A2">
        <w:t xml:space="preserve">Table </w:t>
      </w:r>
      <w:r w:rsidR="001B0FE7">
        <w:rPr>
          <w:noProof/>
        </w:rPr>
        <w:t>2</w:t>
      </w:r>
      <w:r w:rsidRPr="000C77A2">
        <w:fldChar w:fldCharType="end"/>
      </w:r>
      <w:r w:rsidRPr="000C77A2">
        <w:t xml:space="preserve"> summarises </w:t>
      </w:r>
      <w:r w:rsidR="00E0467F" w:rsidRPr="000C77A2">
        <w:t>relevant PBAC concerns raised in the previous submissions for larotrectinib and how these were addressed in the resubmission.</w:t>
      </w:r>
    </w:p>
    <w:p w14:paraId="7751622F" w14:textId="1E960AEB" w:rsidR="00B467A2" w:rsidRPr="000C77A2" w:rsidRDefault="00B467A2" w:rsidP="00B467A2">
      <w:pPr>
        <w:pStyle w:val="Caption"/>
      </w:pPr>
      <w:bookmarkStart w:id="9" w:name="_Ref154135084"/>
      <w:r w:rsidRPr="000C77A2">
        <w:t xml:space="preserve">Table </w:t>
      </w:r>
      <w:fldSimple w:instr=" SEQ Table \* ARABIC " w:fldLock="1">
        <w:r w:rsidR="001B0FE7">
          <w:rPr>
            <w:noProof/>
          </w:rPr>
          <w:t>2</w:t>
        </w:r>
      </w:fldSimple>
      <w:bookmarkEnd w:id="9"/>
      <w:r w:rsidRPr="000C77A2">
        <w:t xml:space="preserve">: </w:t>
      </w:r>
      <w:r w:rsidR="00022D2F" w:rsidRPr="000C77A2">
        <w:t>Relevant</w:t>
      </w:r>
      <w:r w:rsidR="00DA7884" w:rsidRPr="000C77A2">
        <w:t xml:space="preserve"> </w:t>
      </w:r>
      <w:r w:rsidRPr="000C77A2">
        <w:t xml:space="preserve">PBAC concerns </w:t>
      </w:r>
      <w:r w:rsidR="009842CB" w:rsidRPr="000C77A2">
        <w:t xml:space="preserve">in previous submissions </w:t>
      </w:r>
      <w:r w:rsidR="00022D2F" w:rsidRPr="000C77A2">
        <w:t xml:space="preserve">for larotrectinib </w:t>
      </w:r>
      <w:r w:rsidRPr="000C77A2">
        <w:t>and how these were addressed in the resubmission</w:t>
      </w:r>
    </w:p>
    <w:tbl>
      <w:tblPr>
        <w:tblStyle w:val="HTATableshaded19"/>
        <w:tblW w:w="5000" w:type="pct"/>
        <w:tblLook w:val="04A0" w:firstRow="1" w:lastRow="0" w:firstColumn="1" w:lastColumn="0" w:noHBand="0" w:noVBand="1"/>
        <w:tblCaption w:val="Table 2: Relevant PBAC concerns in previous submissions for larotrectinib and how these were addressed in the resubmission"/>
      </w:tblPr>
      <w:tblGrid>
        <w:gridCol w:w="4319"/>
        <w:gridCol w:w="4698"/>
      </w:tblGrid>
      <w:tr w:rsidR="00B467A2" w:rsidRPr="000C77A2" w14:paraId="313C45A1" w14:textId="77777777" w:rsidTr="00560AEC">
        <w:trPr>
          <w:cnfStyle w:val="100000000000" w:firstRow="1" w:lastRow="0" w:firstColumn="0" w:lastColumn="0" w:oddVBand="0" w:evenVBand="0" w:oddHBand="0" w:evenHBand="0" w:firstRowFirstColumn="0" w:firstRowLastColumn="0" w:lastRowFirstColumn="0" w:lastRowLastColumn="0"/>
          <w:cantSplit/>
          <w:tblHeader/>
        </w:trPr>
        <w:tc>
          <w:tcPr>
            <w:tcW w:w="0" w:type="pct"/>
            <w:tcMar>
              <w:left w:w="28" w:type="dxa"/>
              <w:right w:w="28" w:type="dxa"/>
            </w:tcMar>
          </w:tcPr>
          <w:p w14:paraId="0830ACD9" w14:textId="3A82DCAD" w:rsidR="00DA7884" w:rsidRPr="00A80887" w:rsidRDefault="00CB1065" w:rsidP="00560AEC">
            <w:pPr>
              <w:pStyle w:val="In-tableHeading"/>
              <w:keepNext w:val="0"/>
              <w:widowControl w:val="0"/>
              <w:spacing w:before="0" w:after="0"/>
              <w:rPr>
                <w:sz w:val="20"/>
                <w:szCs w:val="20"/>
                <w:lang w:val="en-AU"/>
              </w:rPr>
            </w:pPr>
            <w:r w:rsidRPr="00560AEC">
              <w:rPr>
                <w:bCs/>
                <w:sz w:val="20"/>
                <w:szCs w:val="20"/>
              </w:rPr>
              <w:t>Matters of concern</w:t>
            </w:r>
          </w:p>
        </w:tc>
        <w:tc>
          <w:tcPr>
            <w:tcW w:w="0" w:type="pct"/>
            <w:tcMar>
              <w:left w:w="28" w:type="dxa"/>
              <w:right w:w="28" w:type="dxa"/>
            </w:tcMar>
          </w:tcPr>
          <w:p w14:paraId="64872FA9" w14:textId="61549C4D" w:rsidR="00B467A2" w:rsidRPr="00A80887" w:rsidRDefault="00B467A2" w:rsidP="00560AEC">
            <w:pPr>
              <w:pStyle w:val="In-tableHeading"/>
              <w:keepNext w:val="0"/>
              <w:widowControl w:val="0"/>
              <w:spacing w:before="0" w:after="0"/>
              <w:rPr>
                <w:i/>
                <w:sz w:val="20"/>
                <w:szCs w:val="20"/>
                <w:lang w:val="en-AU"/>
              </w:rPr>
            </w:pPr>
            <w:r w:rsidRPr="00620539">
              <w:rPr>
                <w:bCs/>
                <w:sz w:val="20"/>
                <w:szCs w:val="20"/>
              </w:rPr>
              <w:t>How the resubmission addressed it</w:t>
            </w:r>
          </w:p>
        </w:tc>
      </w:tr>
      <w:tr w:rsidR="00CB1065" w:rsidRPr="000C77A2" w14:paraId="0A89EA2D" w14:textId="77777777" w:rsidTr="00560AEC">
        <w:trPr>
          <w:cantSplit/>
        </w:trPr>
        <w:tc>
          <w:tcPr>
            <w:tcW w:w="0" w:type="pct"/>
            <w:tcMar>
              <w:left w:w="28" w:type="dxa"/>
              <w:right w:w="28" w:type="dxa"/>
            </w:tcMar>
          </w:tcPr>
          <w:p w14:paraId="118F6B8F" w14:textId="4FF8AE3E" w:rsidR="00A80887" w:rsidRPr="000C77A2" w:rsidRDefault="00CB1065" w:rsidP="00560AEC">
            <w:pPr>
              <w:widowControl w:val="0"/>
              <w:spacing w:before="0" w:after="0"/>
              <w:jc w:val="left"/>
              <w:rPr>
                <w:rFonts w:ascii="Arial Narrow" w:hAnsi="Arial Narrow"/>
                <w:sz w:val="20"/>
                <w:lang w:bidi="en-US"/>
              </w:rPr>
            </w:pPr>
            <w:r w:rsidRPr="000C77A2">
              <w:rPr>
                <w:rFonts w:ascii="Arial Narrow" w:hAnsi="Arial Narrow"/>
                <w:sz w:val="20"/>
                <w:lang w:bidi="en-US"/>
              </w:rPr>
              <w:t xml:space="preserve">The PBAC noted that the evidence was indicative of a larger treatment effect in patients with high frequency </w:t>
            </w:r>
            <w:r w:rsidRPr="000C77A2">
              <w:rPr>
                <w:rFonts w:ascii="Arial Narrow" w:hAnsi="Arial Narrow"/>
                <w:i/>
                <w:iCs/>
                <w:sz w:val="20"/>
                <w:lang w:bidi="en-US"/>
              </w:rPr>
              <w:t>NTRK</w:t>
            </w:r>
            <w:r w:rsidRPr="000C77A2">
              <w:rPr>
                <w:rFonts w:ascii="Arial Narrow" w:hAnsi="Arial Narrow"/>
                <w:sz w:val="20"/>
                <w:lang w:bidi="en-US"/>
              </w:rPr>
              <w:t xml:space="preserve"> fusion tumours compared to those with low frequency </w:t>
            </w:r>
            <w:r w:rsidRPr="000C77A2">
              <w:rPr>
                <w:rFonts w:ascii="Arial Narrow" w:hAnsi="Arial Narrow"/>
                <w:i/>
                <w:iCs/>
                <w:sz w:val="20"/>
                <w:lang w:bidi="en-US"/>
              </w:rPr>
              <w:t>NTRK</w:t>
            </w:r>
            <w:r w:rsidRPr="000C77A2">
              <w:rPr>
                <w:rFonts w:ascii="Arial Narrow" w:hAnsi="Arial Narrow"/>
                <w:sz w:val="20"/>
                <w:lang w:bidi="en-US"/>
              </w:rPr>
              <w:t xml:space="preserve"> fusion tumours. However, the PBAC noted that the number of patients across the studies remained small and the updated data remained immature with median OS not being reached for all tumour types combined (para 7.7, November 2021 PSD</w:t>
            </w:r>
            <w:r w:rsidRPr="000C77A2">
              <w:t xml:space="preserve"> </w:t>
            </w:r>
            <w:r w:rsidRPr="000C77A2">
              <w:rPr>
                <w:rFonts w:ascii="Arial Narrow" w:hAnsi="Arial Narrow"/>
                <w:sz w:val="20"/>
                <w:lang w:bidi="en-US"/>
              </w:rPr>
              <w:t>with March 2022 Addendum).</w:t>
            </w:r>
          </w:p>
        </w:tc>
        <w:tc>
          <w:tcPr>
            <w:tcW w:w="0" w:type="pct"/>
            <w:tcMar>
              <w:left w:w="28" w:type="dxa"/>
              <w:right w:w="28" w:type="dxa"/>
            </w:tcMar>
          </w:tcPr>
          <w:p w14:paraId="67740552" w14:textId="77777777" w:rsidR="00CB1065" w:rsidRPr="000C77A2" w:rsidRDefault="00CB1065" w:rsidP="00560AEC">
            <w:pPr>
              <w:widowControl w:val="0"/>
              <w:spacing w:before="0" w:after="0"/>
              <w:jc w:val="left"/>
              <w:rPr>
                <w:rFonts w:ascii="Arial Narrow" w:hAnsi="Arial Narrow"/>
                <w:sz w:val="20"/>
                <w:szCs w:val="20"/>
              </w:rPr>
            </w:pPr>
            <w:r w:rsidRPr="000C77A2">
              <w:rPr>
                <w:rFonts w:ascii="Arial Narrow" w:hAnsi="Arial Narrow"/>
                <w:sz w:val="20"/>
                <w:szCs w:val="20"/>
              </w:rPr>
              <w:t xml:space="preserve">Listing was only requested for NSCLC and STS with a request from the sponsor for PBAC to consider including patients with </w:t>
            </w:r>
            <w:r w:rsidRPr="000C77A2">
              <w:rPr>
                <w:rFonts w:ascii="Arial Narrow" w:hAnsi="Arial Narrow"/>
                <w:i/>
                <w:iCs/>
                <w:sz w:val="20"/>
                <w:szCs w:val="20"/>
              </w:rPr>
              <w:t>NTRK</w:t>
            </w:r>
            <w:r w:rsidRPr="000C77A2">
              <w:rPr>
                <w:rFonts w:ascii="Arial Narrow" w:hAnsi="Arial Narrow"/>
                <w:sz w:val="20"/>
                <w:szCs w:val="20"/>
              </w:rPr>
              <w:t xml:space="preserve"> fusion glioma-like CNS tumours given their poor prognosis, limited treatment options, and limited data.</w:t>
            </w:r>
          </w:p>
          <w:p w14:paraId="42B07776" w14:textId="77777777" w:rsidR="00D65013" w:rsidRPr="000C77A2" w:rsidRDefault="00D65013" w:rsidP="00560AEC">
            <w:pPr>
              <w:widowControl w:val="0"/>
              <w:spacing w:before="0" w:after="0"/>
              <w:jc w:val="left"/>
              <w:rPr>
                <w:rFonts w:ascii="Arial Narrow" w:hAnsi="Arial Narrow"/>
                <w:sz w:val="20"/>
                <w:szCs w:val="20"/>
              </w:rPr>
            </w:pPr>
          </w:p>
          <w:p w14:paraId="461E1149" w14:textId="6284A133" w:rsidR="00CB1065" w:rsidRPr="000C77A2" w:rsidRDefault="00CB1065" w:rsidP="00560AEC">
            <w:pPr>
              <w:widowControl w:val="0"/>
              <w:spacing w:before="0" w:after="0"/>
              <w:jc w:val="left"/>
              <w:rPr>
                <w:rFonts w:ascii="Arial Narrow" w:hAnsi="Arial Narrow"/>
                <w:sz w:val="20"/>
                <w:szCs w:val="20"/>
              </w:rPr>
            </w:pPr>
            <w:r w:rsidRPr="000C77A2">
              <w:rPr>
                <w:rFonts w:ascii="Arial Narrow" w:hAnsi="Arial Narrow"/>
                <w:sz w:val="20"/>
                <w:szCs w:val="20"/>
              </w:rPr>
              <w:t xml:space="preserve">Not adequately addressed. Even at the updated July 2022 data </w:t>
            </w:r>
            <w:r w:rsidR="00D85BDC" w:rsidRPr="000C77A2">
              <w:rPr>
                <w:rFonts w:ascii="Arial Narrow" w:hAnsi="Arial Narrow"/>
                <w:sz w:val="20"/>
                <w:szCs w:val="20"/>
              </w:rPr>
              <w:t>cut-off</w:t>
            </w:r>
            <w:r w:rsidRPr="000C77A2">
              <w:rPr>
                <w:rFonts w:ascii="Arial Narrow" w:hAnsi="Arial Narrow"/>
                <w:sz w:val="20"/>
                <w:szCs w:val="20"/>
              </w:rPr>
              <w:t xml:space="preserve"> and after pooling across the larotrectinib studies, the number of patients across the studies remained small (NSCLC [n=25] and STS [n=30]) and the OS data remained immature.</w:t>
            </w:r>
          </w:p>
        </w:tc>
      </w:tr>
      <w:tr w:rsidR="00CB1065" w:rsidRPr="000C77A2" w14:paraId="3F34696E" w14:textId="77777777" w:rsidTr="00560AEC">
        <w:trPr>
          <w:cantSplit/>
        </w:trPr>
        <w:tc>
          <w:tcPr>
            <w:tcW w:w="0" w:type="pct"/>
            <w:tcMar>
              <w:left w:w="28" w:type="dxa"/>
              <w:right w:w="28" w:type="dxa"/>
            </w:tcMar>
          </w:tcPr>
          <w:p w14:paraId="331C561F" w14:textId="72257E9D" w:rsidR="00CB1065" w:rsidRPr="000C77A2" w:rsidRDefault="00CB1065" w:rsidP="00560AEC">
            <w:pPr>
              <w:widowControl w:val="0"/>
              <w:spacing w:before="0" w:after="0"/>
              <w:jc w:val="left"/>
              <w:rPr>
                <w:rFonts w:ascii="Arial Narrow" w:hAnsi="Arial Narrow"/>
                <w:sz w:val="20"/>
                <w:lang w:bidi="en-US"/>
              </w:rPr>
            </w:pPr>
            <w:r w:rsidRPr="000C77A2">
              <w:rPr>
                <w:rFonts w:ascii="Arial Narrow" w:hAnsi="Arial Narrow"/>
                <w:sz w:val="20"/>
                <w:lang w:bidi="en-US"/>
              </w:rPr>
              <w:t>The PBAC noted the TGA-approved registration was for patients who have either progressed following treatment or have no satisfactory alternative therapy. The PBAC advised that a criterion restricting treatment to patients with prior treatment or patients who are not suitable for other treatments should be included in the PBS restriction (para 7.3, November 2020 PSD).</w:t>
            </w:r>
          </w:p>
        </w:tc>
        <w:tc>
          <w:tcPr>
            <w:tcW w:w="0" w:type="pct"/>
            <w:tcMar>
              <w:left w:w="28" w:type="dxa"/>
              <w:right w:w="28" w:type="dxa"/>
            </w:tcMar>
          </w:tcPr>
          <w:p w14:paraId="6120B7B4" w14:textId="15E75405" w:rsidR="00CB1065" w:rsidRPr="000C77A2" w:rsidRDefault="00CB1065" w:rsidP="00560AEC">
            <w:pPr>
              <w:widowControl w:val="0"/>
              <w:spacing w:before="0" w:after="0"/>
              <w:jc w:val="left"/>
              <w:rPr>
                <w:rFonts w:ascii="Arial Narrow" w:hAnsi="Arial Narrow"/>
                <w:sz w:val="20"/>
                <w:szCs w:val="20"/>
              </w:rPr>
            </w:pPr>
            <w:r w:rsidRPr="000C77A2">
              <w:rPr>
                <w:rFonts w:ascii="Arial Narrow" w:hAnsi="Arial Narrow"/>
                <w:sz w:val="20"/>
                <w:szCs w:val="20"/>
              </w:rPr>
              <w:t xml:space="preserve">Not addressed. The requested listing was line-agnostic which allows use of larotrectinib in the first-line setting. Note that in the November 2021 submission, the proposed PBS restriction for adult low frequency tumours was amended to R/R </w:t>
            </w:r>
            <w:r w:rsidRPr="000C77A2">
              <w:rPr>
                <w:rFonts w:ascii="Arial Narrow" w:hAnsi="Arial Narrow" w:cs="Calibri"/>
                <w:sz w:val="20"/>
                <w:szCs w:val="20"/>
              </w:rPr>
              <w:t>disease with no suitable alternate therapy</w:t>
            </w:r>
            <w:r w:rsidRPr="000C77A2">
              <w:rPr>
                <w:rFonts w:ascii="Arial Narrow" w:hAnsi="Arial Narrow"/>
                <w:sz w:val="20"/>
                <w:szCs w:val="20"/>
              </w:rPr>
              <w:t>.</w:t>
            </w:r>
          </w:p>
        </w:tc>
      </w:tr>
      <w:tr w:rsidR="00CB1065" w:rsidRPr="000C77A2" w14:paraId="62513302" w14:textId="77777777" w:rsidTr="00560AEC">
        <w:trPr>
          <w:cantSplit/>
        </w:trPr>
        <w:tc>
          <w:tcPr>
            <w:tcW w:w="0" w:type="pct"/>
            <w:tcMar>
              <w:left w:w="28" w:type="dxa"/>
              <w:right w:w="28" w:type="dxa"/>
            </w:tcMar>
          </w:tcPr>
          <w:p w14:paraId="0C5AC832" w14:textId="49F489F8" w:rsidR="00CB1065" w:rsidRPr="000C77A2" w:rsidRDefault="00CB1065" w:rsidP="00560AEC">
            <w:pPr>
              <w:widowControl w:val="0"/>
              <w:spacing w:before="0" w:after="0"/>
              <w:jc w:val="left"/>
              <w:rPr>
                <w:rFonts w:ascii="Arial Narrow" w:hAnsi="Arial Narrow"/>
                <w:sz w:val="20"/>
                <w:lang w:bidi="en-US"/>
              </w:rPr>
            </w:pPr>
            <w:r w:rsidRPr="000C77A2">
              <w:rPr>
                <w:rFonts w:ascii="Arial Narrow" w:hAnsi="Arial Narrow"/>
                <w:sz w:val="20"/>
                <w:lang w:bidi="en-US"/>
              </w:rPr>
              <w:t>Concerns regarding the SoC comparators mainly related to the appropriateness and applicability of the SoC data, the transitivity of the populations, and whether these factors favoured larotrectinib in the naïve indirect comparisons (para 5.5, November 2021 PSD</w:t>
            </w:r>
            <w:r w:rsidRPr="000C77A2">
              <w:t xml:space="preserve"> </w:t>
            </w:r>
            <w:r w:rsidRPr="000C77A2">
              <w:rPr>
                <w:rFonts w:ascii="Arial Narrow" w:hAnsi="Arial Narrow"/>
                <w:sz w:val="20"/>
                <w:lang w:bidi="en-US"/>
              </w:rPr>
              <w:t>with March 2022 Addendum).</w:t>
            </w:r>
          </w:p>
        </w:tc>
        <w:tc>
          <w:tcPr>
            <w:tcW w:w="0" w:type="pct"/>
            <w:tcMar>
              <w:left w:w="28" w:type="dxa"/>
              <w:right w:w="28" w:type="dxa"/>
            </w:tcMar>
          </w:tcPr>
          <w:p w14:paraId="11BEDDD7" w14:textId="4901E878" w:rsidR="00CB1065" w:rsidRPr="000C77A2" w:rsidRDefault="00CB1065" w:rsidP="00560AEC">
            <w:pPr>
              <w:widowControl w:val="0"/>
              <w:spacing w:before="0" w:after="0"/>
              <w:jc w:val="left"/>
              <w:rPr>
                <w:rFonts w:ascii="Arial Narrow" w:hAnsi="Arial Narrow"/>
                <w:sz w:val="20"/>
                <w:szCs w:val="20"/>
              </w:rPr>
            </w:pPr>
            <w:r w:rsidRPr="000C77A2">
              <w:rPr>
                <w:rFonts w:ascii="Arial Narrow" w:hAnsi="Arial Narrow"/>
                <w:sz w:val="20"/>
                <w:szCs w:val="20"/>
              </w:rPr>
              <w:t xml:space="preserve">Not adequately addressed. The evidence remains restricted to the refractory setting and not applicable to a line-agnostic setting as proposed in the requested listing. In addition, the indirect comparisons were between </w:t>
            </w:r>
            <w:r w:rsidR="007E59BC" w:rsidRPr="000C77A2">
              <w:rPr>
                <w:rFonts w:ascii="Arial Narrow" w:hAnsi="Arial Narrow"/>
                <w:sz w:val="20"/>
                <w:szCs w:val="20"/>
              </w:rPr>
              <w:t xml:space="preserve">single arms of </w:t>
            </w:r>
            <w:r w:rsidRPr="000C77A2">
              <w:rPr>
                <w:rFonts w:ascii="Arial Narrow" w:hAnsi="Arial Narrow"/>
                <w:sz w:val="20"/>
                <w:szCs w:val="20"/>
              </w:rPr>
              <w:t xml:space="preserve">heterogeneous studies and were descriptive for OS and PFS outcomes. The risk of bias and confounding is high and can favour either larotrectinib or SoC. </w:t>
            </w:r>
          </w:p>
        </w:tc>
      </w:tr>
      <w:tr w:rsidR="00CB1065" w:rsidRPr="000C77A2" w14:paraId="48A8BCB7" w14:textId="77777777" w:rsidTr="00560AEC">
        <w:trPr>
          <w:cantSplit/>
        </w:trPr>
        <w:tc>
          <w:tcPr>
            <w:tcW w:w="0" w:type="pct"/>
            <w:tcMar>
              <w:left w:w="28" w:type="dxa"/>
              <w:right w:w="28" w:type="dxa"/>
            </w:tcMar>
          </w:tcPr>
          <w:p w14:paraId="370102E0" w14:textId="16C8A297" w:rsidR="00CB1065" w:rsidRPr="000C77A2" w:rsidRDefault="00CB1065" w:rsidP="00560AEC">
            <w:pPr>
              <w:widowControl w:val="0"/>
              <w:spacing w:before="0" w:after="0"/>
              <w:jc w:val="left"/>
              <w:rPr>
                <w:rFonts w:ascii="Arial Narrow" w:hAnsi="Arial Narrow"/>
                <w:sz w:val="20"/>
                <w:lang w:bidi="en-US"/>
              </w:rPr>
            </w:pPr>
            <w:r w:rsidRPr="000C77A2">
              <w:rPr>
                <w:rFonts w:ascii="Arial Narrow" w:hAnsi="Arial Narrow"/>
                <w:sz w:val="20"/>
                <w:lang w:bidi="en-US"/>
              </w:rPr>
              <w:lastRenderedPageBreak/>
              <w:t>The SoC comparators nominated for the specified tumour types were dacarbazine and placebo/BSC for STS, trifluridine/</w:t>
            </w:r>
            <w:proofErr w:type="spellStart"/>
            <w:r w:rsidRPr="000C77A2">
              <w:rPr>
                <w:rFonts w:ascii="Arial Narrow" w:hAnsi="Arial Narrow"/>
                <w:sz w:val="20"/>
                <w:lang w:bidi="en-US"/>
              </w:rPr>
              <w:t>tipiracil</w:t>
            </w:r>
            <w:proofErr w:type="spellEnd"/>
            <w:r w:rsidRPr="000C77A2">
              <w:rPr>
                <w:rFonts w:ascii="Arial Narrow" w:hAnsi="Arial Narrow"/>
                <w:sz w:val="20"/>
                <w:lang w:bidi="en-US"/>
              </w:rPr>
              <w:t xml:space="preserve"> for CRC, </w:t>
            </w:r>
            <w:proofErr w:type="gramStart"/>
            <w:r w:rsidRPr="000C77A2">
              <w:rPr>
                <w:rFonts w:ascii="Arial Narrow" w:hAnsi="Arial Narrow"/>
                <w:sz w:val="20"/>
                <w:lang w:bidi="en-US"/>
              </w:rPr>
              <w:t>docetaxel</w:t>
            </w:r>
            <w:proofErr w:type="gramEnd"/>
            <w:r w:rsidRPr="000C77A2">
              <w:rPr>
                <w:rFonts w:ascii="Arial Narrow" w:hAnsi="Arial Narrow"/>
                <w:sz w:val="20"/>
                <w:lang w:bidi="en-US"/>
              </w:rPr>
              <w:t xml:space="preserve"> and placebo for NSCLC, and lenvatinib for thyroid</w:t>
            </w:r>
            <w:r w:rsidR="0092693B" w:rsidRPr="000C77A2">
              <w:rPr>
                <w:rFonts w:ascii="Arial Narrow" w:hAnsi="Arial Narrow"/>
                <w:sz w:val="20"/>
                <w:lang w:bidi="en-US"/>
              </w:rPr>
              <w:t xml:space="preserve"> cancer</w:t>
            </w:r>
            <w:r w:rsidRPr="000C77A2">
              <w:rPr>
                <w:rFonts w:ascii="Arial Narrow" w:hAnsi="Arial Narrow"/>
                <w:sz w:val="20"/>
                <w:lang w:bidi="en-US"/>
              </w:rPr>
              <w:t>. These comparators and their corresponding studies represent heavily pre-treated patient populations that have progressed on several lines of therapy, or for whom, there are no alternative therapies. Their applicability will be limited if larotrectinib is used earlier than intended (para 5.9, November 2021 PSD</w:t>
            </w:r>
            <w:r w:rsidRPr="000C77A2">
              <w:t xml:space="preserve"> </w:t>
            </w:r>
            <w:r w:rsidRPr="000C77A2">
              <w:rPr>
                <w:rFonts w:ascii="Arial Narrow" w:hAnsi="Arial Narrow"/>
                <w:sz w:val="20"/>
                <w:lang w:bidi="en-US"/>
              </w:rPr>
              <w:t>with March 2022 Addendum).</w:t>
            </w:r>
          </w:p>
        </w:tc>
        <w:tc>
          <w:tcPr>
            <w:tcW w:w="0" w:type="pct"/>
            <w:tcMar>
              <w:left w:w="28" w:type="dxa"/>
              <w:right w:w="28" w:type="dxa"/>
            </w:tcMar>
          </w:tcPr>
          <w:p w14:paraId="3CD814F5" w14:textId="50FD4A4C" w:rsidR="00CB1065" w:rsidRPr="000C77A2" w:rsidRDefault="00CB1065" w:rsidP="00560AEC">
            <w:pPr>
              <w:widowControl w:val="0"/>
              <w:spacing w:before="0" w:after="0"/>
              <w:jc w:val="left"/>
              <w:rPr>
                <w:rFonts w:ascii="Arial Narrow" w:hAnsi="Arial Narrow"/>
                <w:iCs/>
                <w:sz w:val="20"/>
                <w:szCs w:val="20"/>
              </w:rPr>
            </w:pPr>
            <w:r w:rsidRPr="000C77A2">
              <w:rPr>
                <w:rFonts w:ascii="Arial Narrow" w:hAnsi="Arial Narrow"/>
                <w:iCs/>
                <w:sz w:val="20"/>
                <w:szCs w:val="20"/>
              </w:rPr>
              <w:t>Not adequately addressed. Docetaxel remains the SoC comparator for NSCLC. The nominated SoC comparator for STS has changed from dacarbazine/BSC in the previous submission to pazopanib in the resubmission. The PBAC concern remains outstanding as these comparators represent the refractory patient population and their applicability will be limited if larotrectinib is used earlier in the first-line setting. This issue also applies to the larotrectinib data which were sourced from studies in the refractory setting</w:t>
            </w:r>
            <w:r w:rsidR="000C77A2">
              <w:rPr>
                <w:rFonts w:ascii="Arial Narrow" w:hAnsi="Arial Narrow"/>
                <w:iCs/>
                <w:sz w:val="20"/>
                <w:szCs w:val="20"/>
              </w:rPr>
              <w:t xml:space="preserve">. </w:t>
            </w:r>
          </w:p>
        </w:tc>
      </w:tr>
      <w:tr w:rsidR="00CB1065" w:rsidRPr="000C77A2" w14:paraId="11E5E96B" w14:textId="77777777" w:rsidTr="00560AEC">
        <w:trPr>
          <w:cantSplit/>
        </w:trPr>
        <w:tc>
          <w:tcPr>
            <w:tcW w:w="0" w:type="pct"/>
            <w:tcMar>
              <w:left w:w="28" w:type="dxa"/>
              <w:right w:w="28" w:type="dxa"/>
            </w:tcMar>
          </w:tcPr>
          <w:p w14:paraId="7D795E41" w14:textId="6F988F1F" w:rsidR="00CB1065" w:rsidRPr="000C77A2" w:rsidRDefault="00CB1065" w:rsidP="00A80887">
            <w:pPr>
              <w:widowControl w:val="0"/>
              <w:spacing w:before="0" w:after="0"/>
              <w:jc w:val="left"/>
              <w:rPr>
                <w:rFonts w:ascii="Arial Narrow" w:hAnsi="Arial Narrow" w:cs="Tahoma"/>
                <w:iCs/>
                <w:sz w:val="20"/>
                <w:szCs w:val="20"/>
              </w:rPr>
            </w:pPr>
            <w:r w:rsidRPr="000C77A2">
              <w:rPr>
                <w:rFonts w:ascii="Arial Narrow" w:hAnsi="Arial Narrow"/>
                <w:bCs/>
                <w:sz w:val="20"/>
                <w:szCs w:val="20"/>
              </w:rPr>
              <w:t>The PBAC considered the claim of superior effectiveness compared to SoC for the low frequency adult and paediatric populations was not sufficiently supported (para 7.12, November 2020 PSD).</w:t>
            </w:r>
          </w:p>
        </w:tc>
        <w:tc>
          <w:tcPr>
            <w:tcW w:w="0" w:type="pct"/>
            <w:tcMar>
              <w:left w:w="28" w:type="dxa"/>
              <w:right w:w="28" w:type="dxa"/>
            </w:tcMar>
          </w:tcPr>
          <w:p w14:paraId="3421DB46" w14:textId="00470038" w:rsidR="00CB1065" w:rsidRPr="000C77A2" w:rsidRDefault="00CB1065" w:rsidP="00A80887">
            <w:pPr>
              <w:widowControl w:val="0"/>
              <w:spacing w:before="0" w:after="0"/>
              <w:jc w:val="left"/>
              <w:rPr>
                <w:rFonts w:ascii="Arial Narrow" w:hAnsi="Arial Narrow"/>
                <w:iCs/>
                <w:sz w:val="20"/>
                <w:szCs w:val="20"/>
              </w:rPr>
            </w:pPr>
            <w:r w:rsidRPr="000C77A2">
              <w:rPr>
                <w:rFonts w:ascii="Arial Narrow" w:hAnsi="Arial Narrow"/>
                <w:iCs/>
                <w:sz w:val="20"/>
                <w:szCs w:val="20"/>
              </w:rPr>
              <w:t xml:space="preserve">Not adequately addressed and this concern remains outstanding. The claim of superiority for the low frequency NSCLC and STS tumour types was based on descriptive indirect comparisons and data from a small number of patients. </w:t>
            </w:r>
          </w:p>
        </w:tc>
      </w:tr>
      <w:tr w:rsidR="00CB1065" w:rsidRPr="000C77A2" w14:paraId="43DF4856" w14:textId="77777777" w:rsidTr="00560AEC">
        <w:trPr>
          <w:cantSplit/>
        </w:trPr>
        <w:tc>
          <w:tcPr>
            <w:tcW w:w="0" w:type="pct"/>
            <w:tcMar>
              <w:left w:w="28" w:type="dxa"/>
              <w:right w:w="28" w:type="dxa"/>
            </w:tcMar>
          </w:tcPr>
          <w:p w14:paraId="059F1B7A" w14:textId="04EEF378" w:rsidR="00CB1065" w:rsidRPr="000C77A2" w:rsidRDefault="007A0D2B" w:rsidP="00560AEC">
            <w:pPr>
              <w:pStyle w:val="TableText0"/>
              <w:widowControl w:val="0"/>
            </w:pPr>
            <w:bookmarkStart w:id="10" w:name="_Hlk155097855"/>
            <w:r w:rsidRPr="000C77A2">
              <w:rPr>
                <w:sz w:val="20"/>
                <w:szCs w:val="20"/>
              </w:rPr>
              <w:t xml:space="preserve">Price reduction to achieve an ICER within the range of </w:t>
            </w:r>
            <w:r w:rsidR="008D3128" w:rsidRPr="008D3128">
              <w:rPr>
                <w:sz w:val="20"/>
                <w:szCs w:val="20"/>
              </w:rPr>
              <w:t>$55,000</w:t>
            </w:r>
            <w:r w:rsidR="00A80887">
              <w:rPr>
                <w:sz w:val="20"/>
                <w:szCs w:val="20"/>
              </w:rPr>
              <w:t> </w:t>
            </w:r>
            <w:r w:rsidR="008D3128" w:rsidRPr="008D3128">
              <w:rPr>
                <w:sz w:val="20"/>
                <w:szCs w:val="20"/>
              </w:rPr>
              <w:t>to &lt;</w:t>
            </w:r>
            <w:r w:rsidR="00A80887">
              <w:rPr>
                <w:sz w:val="20"/>
                <w:szCs w:val="20"/>
              </w:rPr>
              <w:t> </w:t>
            </w:r>
            <w:r w:rsidR="008D3128" w:rsidRPr="008D3128">
              <w:rPr>
                <w:sz w:val="20"/>
                <w:szCs w:val="20"/>
              </w:rPr>
              <w:t xml:space="preserve">$75,000 </w:t>
            </w:r>
            <w:r w:rsidRPr="000C77A2">
              <w:rPr>
                <w:sz w:val="20"/>
                <w:szCs w:val="20"/>
              </w:rPr>
              <w:t xml:space="preserve">/QALY to </w:t>
            </w:r>
            <w:r w:rsidR="008D3128" w:rsidRPr="008D3128">
              <w:rPr>
                <w:sz w:val="20"/>
                <w:szCs w:val="20"/>
              </w:rPr>
              <w:t>$</w:t>
            </w:r>
            <w:r w:rsidR="008D3128">
              <w:rPr>
                <w:sz w:val="20"/>
                <w:szCs w:val="20"/>
              </w:rPr>
              <w:t>7</w:t>
            </w:r>
            <w:r w:rsidR="008D3128" w:rsidRPr="008D3128">
              <w:rPr>
                <w:sz w:val="20"/>
                <w:szCs w:val="20"/>
              </w:rPr>
              <w:t>5,000 to &lt;</w:t>
            </w:r>
            <w:r w:rsidR="00A80887">
              <w:rPr>
                <w:sz w:val="20"/>
                <w:szCs w:val="20"/>
              </w:rPr>
              <w:t> </w:t>
            </w:r>
            <w:r w:rsidR="008D3128" w:rsidRPr="008D3128">
              <w:rPr>
                <w:sz w:val="20"/>
                <w:szCs w:val="20"/>
              </w:rPr>
              <w:t>$</w:t>
            </w:r>
            <w:r w:rsidR="008D3128">
              <w:rPr>
                <w:sz w:val="20"/>
                <w:szCs w:val="20"/>
              </w:rPr>
              <w:t>9</w:t>
            </w:r>
            <w:r w:rsidR="008D3128" w:rsidRPr="008D3128">
              <w:rPr>
                <w:sz w:val="20"/>
                <w:szCs w:val="20"/>
              </w:rPr>
              <w:t xml:space="preserve">5,000 </w:t>
            </w:r>
            <w:r w:rsidRPr="000C77A2">
              <w:rPr>
                <w:sz w:val="20"/>
                <w:szCs w:val="20"/>
              </w:rPr>
              <w:t xml:space="preserve">/QALY </w:t>
            </w:r>
            <w:r w:rsidRPr="000C77A2">
              <w:rPr>
                <w:sz w:val="20"/>
                <w:szCs w:val="20"/>
                <w:lang w:bidi="en-US"/>
              </w:rPr>
              <w:t>(para 7.16, November 2021 PSD</w:t>
            </w:r>
            <w:r w:rsidRPr="000C77A2">
              <w:rPr>
                <w:sz w:val="20"/>
                <w:szCs w:val="20"/>
              </w:rPr>
              <w:t xml:space="preserve"> </w:t>
            </w:r>
            <w:r w:rsidRPr="000C77A2">
              <w:rPr>
                <w:sz w:val="20"/>
                <w:szCs w:val="20"/>
                <w:lang w:bidi="en-US"/>
              </w:rPr>
              <w:t>with March 2022 Addendum).</w:t>
            </w:r>
          </w:p>
        </w:tc>
        <w:tc>
          <w:tcPr>
            <w:tcW w:w="0" w:type="pct"/>
            <w:tcMar>
              <w:left w:w="28" w:type="dxa"/>
              <w:right w:w="28" w:type="dxa"/>
            </w:tcMar>
          </w:tcPr>
          <w:p w14:paraId="12258155" w14:textId="42157277" w:rsidR="00CB1065" w:rsidRPr="000C77A2" w:rsidRDefault="007A0D2B" w:rsidP="00A80887">
            <w:pPr>
              <w:widowControl w:val="0"/>
              <w:spacing w:before="0" w:after="0"/>
              <w:jc w:val="left"/>
              <w:rPr>
                <w:rFonts w:ascii="Arial Narrow" w:hAnsi="Arial Narrow"/>
                <w:iCs/>
                <w:sz w:val="20"/>
                <w:szCs w:val="20"/>
              </w:rPr>
            </w:pPr>
            <w:r w:rsidRPr="000C77A2">
              <w:rPr>
                <w:rFonts w:ascii="Arial Narrow" w:hAnsi="Arial Narrow"/>
                <w:iCs/>
                <w:sz w:val="20"/>
                <w:szCs w:val="20"/>
              </w:rPr>
              <w:t xml:space="preserve">The resubmission maintained the price of larotrectinib in the resubmission and the ICERs presented exceeded </w:t>
            </w:r>
            <w:r w:rsidR="008D3128" w:rsidRPr="008D3128">
              <w:rPr>
                <w:rFonts w:ascii="Arial Narrow" w:hAnsi="Arial Narrow"/>
                <w:iCs/>
                <w:sz w:val="20"/>
                <w:szCs w:val="20"/>
              </w:rPr>
              <w:t>$95,000</w:t>
            </w:r>
            <w:r w:rsidR="00A80887">
              <w:rPr>
                <w:rFonts w:ascii="Arial Narrow" w:hAnsi="Arial Narrow"/>
                <w:iCs/>
                <w:sz w:val="20"/>
                <w:szCs w:val="20"/>
              </w:rPr>
              <w:t> </w:t>
            </w:r>
            <w:r w:rsidR="008D3128" w:rsidRPr="008D3128">
              <w:rPr>
                <w:rFonts w:ascii="Arial Narrow" w:hAnsi="Arial Narrow"/>
                <w:iCs/>
                <w:sz w:val="20"/>
                <w:szCs w:val="20"/>
              </w:rPr>
              <w:t>to</w:t>
            </w:r>
            <w:r w:rsidR="00A80887">
              <w:rPr>
                <w:rFonts w:ascii="Arial Narrow" w:hAnsi="Arial Narrow"/>
                <w:iCs/>
                <w:sz w:val="20"/>
                <w:szCs w:val="20"/>
              </w:rPr>
              <w:t> </w:t>
            </w:r>
            <w:r w:rsidR="008D3128" w:rsidRPr="008D3128">
              <w:rPr>
                <w:rFonts w:ascii="Arial Narrow" w:hAnsi="Arial Narrow"/>
                <w:iCs/>
                <w:sz w:val="20"/>
                <w:szCs w:val="20"/>
              </w:rPr>
              <w:t>&lt;</w:t>
            </w:r>
            <w:r w:rsidR="00A80887">
              <w:rPr>
                <w:rFonts w:ascii="Arial Narrow" w:hAnsi="Arial Narrow"/>
                <w:iCs/>
                <w:sz w:val="20"/>
                <w:szCs w:val="20"/>
              </w:rPr>
              <w:t> </w:t>
            </w:r>
            <w:r w:rsidR="008D3128" w:rsidRPr="008D3128">
              <w:rPr>
                <w:rFonts w:ascii="Arial Narrow" w:hAnsi="Arial Narrow"/>
                <w:iCs/>
                <w:sz w:val="20"/>
                <w:szCs w:val="20"/>
              </w:rPr>
              <w:t xml:space="preserve">$115,000 </w:t>
            </w:r>
            <w:r w:rsidRPr="000C77A2">
              <w:rPr>
                <w:rFonts w:ascii="Arial Narrow" w:hAnsi="Arial Narrow"/>
                <w:iCs/>
                <w:sz w:val="20"/>
                <w:szCs w:val="20"/>
              </w:rPr>
              <w:t>/QALY gained. The presentation of higher ICERs compared to what the PBAC had previously advised was not acknowledged in the resubmission.</w:t>
            </w:r>
          </w:p>
        </w:tc>
      </w:tr>
      <w:bookmarkEnd w:id="10"/>
      <w:tr w:rsidR="00CB1065" w:rsidRPr="000C77A2" w14:paraId="6F86592C" w14:textId="77777777" w:rsidTr="00560AEC">
        <w:trPr>
          <w:cantSplit/>
        </w:trPr>
        <w:tc>
          <w:tcPr>
            <w:tcW w:w="0" w:type="pct"/>
            <w:tcMar>
              <w:left w:w="28" w:type="dxa"/>
              <w:right w:w="28" w:type="dxa"/>
            </w:tcMar>
          </w:tcPr>
          <w:p w14:paraId="6BFBE384" w14:textId="48EB05A4" w:rsidR="00CB1065" w:rsidRPr="000C77A2" w:rsidRDefault="007A0D2B" w:rsidP="00A80887">
            <w:pPr>
              <w:pStyle w:val="TableText0"/>
              <w:keepNext w:val="0"/>
              <w:widowControl w:val="0"/>
              <w:spacing w:before="0" w:after="0"/>
              <w:rPr>
                <w:rFonts w:eastAsia="Calibri" w:cs="Arial"/>
                <w:bCs w:val="0"/>
                <w:sz w:val="20"/>
                <w:szCs w:val="20"/>
                <w:lang w:eastAsia="en-US"/>
              </w:rPr>
            </w:pPr>
            <w:r w:rsidRPr="000C77A2">
              <w:rPr>
                <w:sz w:val="20"/>
                <w:szCs w:val="20"/>
              </w:rPr>
              <w:t xml:space="preserve">A shorter time horizon </w:t>
            </w:r>
            <w:r w:rsidRPr="000C77A2">
              <w:rPr>
                <w:sz w:val="20"/>
                <w:szCs w:val="20"/>
                <w:lang w:bidi="en-US"/>
              </w:rPr>
              <w:t>(para 7.16, November 2021 PSD</w:t>
            </w:r>
            <w:r w:rsidRPr="000C77A2">
              <w:rPr>
                <w:sz w:val="20"/>
                <w:szCs w:val="20"/>
              </w:rPr>
              <w:t xml:space="preserve"> </w:t>
            </w:r>
            <w:r w:rsidRPr="000C77A2">
              <w:rPr>
                <w:sz w:val="20"/>
                <w:szCs w:val="20"/>
                <w:lang w:bidi="en-US"/>
              </w:rPr>
              <w:t>with March 2022 Addendum)</w:t>
            </w:r>
          </w:p>
        </w:tc>
        <w:tc>
          <w:tcPr>
            <w:tcW w:w="0" w:type="pct"/>
            <w:tcMar>
              <w:left w:w="28" w:type="dxa"/>
              <w:right w:w="28" w:type="dxa"/>
            </w:tcMar>
          </w:tcPr>
          <w:p w14:paraId="39543BC9" w14:textId="1B94B614" w:rsidR="00CB1065" w:rsidRPr="000C77A2" w:rsidRDefault="007A0D2B" w:rsidP="00A80887">
            <w:pPr>
              <w:pStyle w:val="TableText0"/>
              <w:keepNext w:val="0"/>
              <w:widowControl w:val="0"/>
              <w:spacing w:before="0" w:after="0"/>
              <w:rPr>
                <w:iCs/>
                <w:sz w:val="20"/>
                <w:szCs w:val="20"/>
                <w:highlight w:val="yellow"/>
              </w:rPr>
            </w:pPr>
            <w:r w:rsidRPr="000C77A2">
              <w:rPr>
                <w:iCs/>
                <w:sz w:val="20"/>
                <w:szCs w:val="20"/>
              </w:rPr>
              <w:t xml:space="preserve">The time horizon in the model base-case was reduced to 10 years, based on the extended follow-up time for OS (of all patients) in the pooled dataset (40 months). This was not well justified and remains considerably longer than what the PBAC has previously accepted for in the later-line setting (5 years) for both NSCLC </w:t>
            </w:r>
            <w:r w:rsidR="005F6DB2" w:rsidRPr="000C77A2">
              <w:rPr>
                <w:iCs/>
                <w:sz w:val="20"/>
                <w:szCs w:val="28"/>
              </w:rPr>
              <w:t xml:space="preserve">(para 6.57 larotrectinib PSD, November 2021 PBAC meeting and para 6.06 pembrolizumab PSD, March 2019 PBAC meeting) </w:t>
            </w:r>
            <w:r w:rsidRPr="000C77A2">
              <w:rPr>
                <w:iCs/>
                <w:sz w:val="20"/>
                <w:szCs w:val="20"/>
              </w:rPr>
              <w:t xml:space="preserve">and STS </w:t>
            </w:r>
            <w:r w:rsidR="005F6DB2" w:rsidRPr="000C77A2">
              <w:rPr>
                <w:iCs/>
                <w:sz w:val="20"/>
                <w:szCs w:val="28"/>
              </w:rPr>
              <w:t xml:space="preserve">(para 6.30, eribulin PSD, November 2016 PBAC meeting). </w:t>
            </w:r>
          </w:p>
        </w:tc>
      </w:tr>
      <w:tr w:rsidR="00CB1065" w:rsidRPr="000C77A2" w14:paraId="13C08CEB" w14:textId="77777777" w:rsidTr="00560AEC">
        <w:trPr>
          <w:cantSplit/>
        </w:trPr>
        <w:tc>
          <w:tcPr>
            <w:tcW w:w="0" w:type="pct"/>
            <w:tcMar>
              <w:left w:w="28" w:type="dxa"/>
              <w:right w:w="28" w:type="dxa"/>
            </w:tcMar>
          </w:tcPr>
          <w:p w14:paraId="7C44722F" w14:textId="13202B9F" w:rsidR="00CB1065" w:rsidRPr="000C77A2" w:rsidRDefault="007A0D2B" w:rsidP="00A80887">
            <w:pPr>
              <w:pStyle w:val="TableText0"/>
              <w:keepNext w:val="0"/>
              <w:widowControl w:val="0"/>
              <w:spacing w:before="0" w:after="0"/>
              <w:rPr>
                <w:sz w:val="20"/>
                <w:szCs w:val="20"/>
                <w:highlight w:val="yellow"/>
              </w:rPr>
            </w:pPr>
            <w:r w:rsidRPr="000C77A2">
              <w:rPr>
                <w:sz w:val="20"/>
                <w:szCs w:val="20"/>
              </w:rPr>
              <w:t xml:space="preserve">More conservative extrapolations </w:t>
            </w:r>
            <w:r w:rsidRPr="000C77A2">
              <w:rPr>
                <w:sz w:val="20"/>
                <w:szCs w:val="20"/>
                <w:lang w:bidi="en-US"/>
              </w:rPr>
              <w:t>(para 7.16, November 2021 PSD</w:t>
            </w:r>
            <w:r w:rsidRPr="000C77A2">
              <w:rPr>
                <w:sz w:val="20"/>
                <w:szCs w:val="20"/>
              </w:rPr>
              <w:t xml:space="preserve"> </w:t>
            </w:r>
            <w:r w:rsidRPr="000C77A2">
              <w:rPr>
                <w:sz w:val="20"/>
                <w:szCs w:val="20"/>
                <w:lang w:bidi="en-US"/>
              </w:rPr>
              <w:t>with March 2022 Addendum)</w:t>
            </w:r>
          </w:p>
        </w:tc>
        <w:tc>
          <w:tcPr>
            <w:tcW w:w="0" w:type="pct"/>
            <w:tcMar>
              <w:left w:w="28" w:type="dxa"/>
              <w:right w:w="28" w:type="dxa"/>
            </w:tcMar>
          </w:tcPr>
          <w:p w14:paraId="68DD7AE5" w14:textId="2435AADE" w:rsidR="00CB1065" w:rsidRPr="000C77A2" w:rsidRDefault="007A0D2B" w:rsidP="00A80887">
            <w:pPr>
              <w:pStyle w:val="TableText0"/>
              <w:keepNext w:val="0"/>
              <w:widowControl w:val="0"/>
              <w:spacing w:before="0" w:after="0"/>
              <w:rPr>
                <w:sz w:val="20"/>
                <w:szCs w:val="20"/>
              </w:rPr>
            </w:pPr>
            <w:r w:rsidRPr="000C77A2">
              <w:rPr>
                <w:sz w:val="20"/>
                <w:szCs w:val="20"/>
              </w:rPr>
              <w:t>The resubmission did not use the most conservative PFS and OS extrapolations.</w:t>
            </w:r>
          </w:p>
        </w:tc>
      </w:tr>
      <w:tr w:rsidR="007A0D2B" w:rsidRPr="000C77A2" w14:paraId="2C56E506" w14:textId="77777777" w:rsidTr="00560AEC">
        <w:trPr>
          <w:cantSplit/>
        </w:trPr>
        <w:tc>
          <w:tcPr>
            <w:tcW w:w="0" w:type="pct"/>
            <w:tcMar>
              <w:left w:w="28" w:type="dxa"/>
              <w:right w:w="28" w:type="dxa"/>
            </w:tcMar>
          </w:tcPr>
          <w:p w14:paraId="73580502" w14:textId="167ED79C" w:rsidR="007A0D2B" w:rsidRPr="000C77A2" w:rsidRDefault="007A0D2B" w:rsidP="00A80887">
            <w:pPr>
              <w:pStyle w:val="TableText0"/>
              <w:keepNext w:val="0"/>
              <w:widowControl w:val="0"/>
              <w:spacing w:before="0" w:after="0"/>
              <w:rPr>
                <w:rFonts w:eastAsia="Calibri" w:cs="Arial"/>
                <w:b/>
                <w:sz w:val="20"/>
                <w:szCs w:val="20"/>
                <w:lang w:eastAsia="en-US"/>
              </w:rPr>
            </w:pPr>
            <w:r w:rsidRPr="000C77A2">
              <w:rPr>
                <w:sz w:val="20"/>
                <w:szCs w:val="20"/>
              </w:rPr>
              <w:t xml:space="preserve">Likely overestimated uptake of larotrectinib </w:t>
            </w:r>
            <w:r w:rsidRPr="000C77A2">
              <w:rPr>
                <w:sz w:val="20"/>
                <w:szCs w:val="20"/>
                <w:lang w:bidi="en-US"/>
              </w:rPr>
              <w:t>(para 7.17, November 2021 PSD</w:t>
            </w:r>
            <w:r w:rsidRPr="000C77A2">
              <w:rPr>
                <w:sz w:val="20"/>
                <w:szCs w:val="20"/>
              </w:rPr>
              <w:t xml:space="preserve"> </w:t>
            </w:r>
            <w:r w:rsidRPr="000C77A2">
              <w:rPr>
                <w:sz w:val="20"/>
                <w:szCs w:val="20"/>
                <w:lang w:bidi="en-US"/>
              </w:rPr>
              <w:t>with March 2022 Addendum)</w:t>
            </w:r>
          </w:p>
        </w:tc>
        <w:tc>
          <w:tcPr>
            <w:tcW w:w="0" w:type="pct"/>
            <w:tcMar>
              <w:left w:w="28" w:type="dxa"/>
              <w:right w:w="28" w:type="dxa"/>
            </w:tcMar>
          </w:tcPr>
          <w:p w14:paraId="12C50B80" w14:textId="2350AF2A" w:rsidR="007A0D2B" w:rsidRPr="000C77A2" w:rsidRDefault="007A0D2B" w:rsidP="00A80887">
            <w:pPr>
              <w:pStyle w:val="TableText0"/>
              <w:keepNext w:val="0"/>
              <w:widowControl w:val="0"/>
              <w:spacing w:before="0" w:after="0"/>
              <w:rPr>
                <w:i/>
                <w:iCs/>
                <w:sz w:val="20"/>
                <w:szCs w:val="20"/>
              </w:rPr>
            </w:pPr>
            <w:r w:rsidRPr="000C77A2">
              <w:rPr>
                <w:sz w:val="20"/>
                <w:szCs w:val="20"/>
              </w:rPr>
              <w:t xml:space="preserve">The resubmission assumed </w:t>
            </w:r>
            <w:r w:rsidR="00C66EC7" w:rsidRPr="00C66EC7">
              <w:rPr>
                <w:color w:val="000000"/>
                <w:spacing w:val="223"/>
                <w:szCs w:val="20"/>
                <w:shd w:val="solid" w:color="000000" w:fill="000000"/>
                <w:fitText w:val="300" w:id="-962355200"/>
                <w14:textFill>
                  <w14:solidFill>
                    <w14:srgbClr w14:val="000000">
                      <w14:alpha w14:val="100000"/>
                    </w14:srgbClr>
                  </w14:solidFill>
                </w14:textFill>
              </w:rPr>
              <w:t>|</w:t>
            </w:r>
            <w:r w:rsidR="00C66EC7" w:rsidRPr="00C66EC7">
              <w:rPr>
                <w:color w:val="000000"/>
                <w:spacing w:val="1"/>
                <w:szCs w:val="20"/>
                <w:shd w:val="solid" w:color="000000" w:fill="000000"/>
                <w:fitText w:val="300" w:id="-962355200"/>
                <w14:textFill>
                  <w14:solidFill>
                    <w14:srgbClr w14:val="000000">
                      <w14:alpha w14:val="100000"/>
                    </w14:srgbClr>
                  </w14:solidFill>
                </w14:textFill>
              </w:rPr>
              <w:t>|</w:t>
            </w:r>
            <w:r w:rsidRPr="000C77A2">
              <w:rPr>
                <w:sz w:val="20"/>
                <w:szCs w:val="20"/>
              </w:rPr>
              <w:t>% uptake in the eligible population. This remains an overestimation</w:t>
            </w:r>
            <w:r w:rsidRPr="000C77A2">
              <w:rPr>
                <w:i/>
                <w:iCs/>
                <w:sz w:val="20"/>
                <w:szCs w:val="20"/>
              </w:rPr>
              <w:t>.</w:t>
            </w:r>
          </w:p>
        </w:tc>
      </w:tr>
    </w:tbl>
    <w:p w14:paraId="5CEAD229" w14:textId="7CA58BDF" w:rsidR="00B467A2" w:rsidRPr="000C77A2" w:rsidRDefault="00B467A2" w:rsidP="00B467A2">
      <w:pPr>
        <w:pStyle w:val="TableFooter"/>
      </w:pPr>
      <w:r w:rsidRPr="000C77A2">
        <w:t xml:space="preserve">Source: </w:t>
      </w:r>
      <w:r w:rsidR="00BE0D3B" w:rsidRPr="000C77A2">
        <w:t>L</w:t>
      </w:r>
      <w:r w:rsidRPr="000C77A2">
        <w:t>arotrectinib PSD November 2020</w:t>
      </w:r>
      <w:r w:rsidR="00BE0D3B" w:rsidRPr="000C77A2">
        <w:t>, Table 3, Larotrectinib PSD, November 2021 PBAC Meeting with March 2022 Addendum, and Sections 1-4 of the resubmission</w:t>
      </w:r>
      <w:r w:rsidR="000C77A2">
        <w:t xml:space="preserve">. </w:t>
      </w:r>
    </w:p>
    <w:p w14:paraId="226FF671" w14:textId="56AB1760" w:rsidR="00E95DE4" w:rsidRPr="000C77A2" w:rsidRDefault="00CB1065" w:rsidP="00D85BDC">
      <w:pPr>
        <w:pStyle w:val="TableFooter"/>
      </w:pPr>
      <w:r w:rsidRPr="000C77A2">
        <w:t xml:space="preserve">BSC = best supportive care; CNS = central nervous system; CRC = colorectal cancer; </w:t>
      </w:r>
      <w:proofErr w:type="spellStart"/>
      <w:r w:rsidRPr="000C77A2">
        <w:t>ePAS</w:t>
      </w:r>
      <w:proofErr w:type="spellEnd"/>
      <w:r w:rsidRPr="000C77A2">
        <w:t xml:space="preserve"> = extended primary analysis set; ICER = incremental cost-effectiveness ratio; </w:t>
      </w:r>
      <w:r w:rsidRPr="000C77A2">
        <w:rPr>
          <w:i/>
          <w:iCs/>
        </w:rPr>
        <w:t>NTRK</w:t>
      </w:r>
      <w:r w:rsidRPr="000C77A2">
        <w:t xml:space="preserve"> = neurotrophic tyrosine receptor kinase; NSCLC = non-small cell lung cancer; OS = overall survival; PBAC = Pharmaceutical Benefits Advisory Committee; PBS = Pharmaceutical Benefits Scheme; PFS = progression-free survival; PSD = public summary document; QALY = quality adjusted life year; R/R = relapsed/refractory; SoC = standard of care; STS = soft tissue sarcoma</w:t>
      </w:r>
    </w:p>
    <w:p w14:paraId="6F5A2D83" w14:textId="77777777" w:rsidR="00B60939" w:rsidRPr="000C77A2" w:rsidRDefault="00B50DB8" w:rsidP="004E18E9">
      <w:pPr>
        <w:pStyle w:val="2-SectionHeading"/>
      </w:pPr>
      <w:bookmarkStart w:id="11" w:name="_Toc107902078"/>
      <w:bookmarkStart w:id="12" w:name="_Toc156903954"/>
      <w:bookmarkEnd w:id="11"/>
      <w:r w:rsidRPr="000C77A2">
        <w:t>Requested listing</w:t>
      </w:r>
      <w:bookmarkEnd w:id="12"/>
    </w:p>
    <w:p w14:paraId="0FDBF962" w14:textId="45CD36EA" w:rsidR="00292657" w:rsidRPr="000C77A2" w:rsidRDefault="00292657" w:rsidP="00560AEC">
      <w:pPr>
        <w:pStyle w:val="3-BodyText"/>
      </w:pPr>
      <w:r w:rsidRPr="000C77A2">
        <w:t xml:space="preserve">Suggestions and additions proposed by the Secretariat are added in italics and suggested deletions are crossed out with strikethrough. </w:t>
      </w:r>
    </w:p>
    <w:p w14:paraId="507D995D" w14:textId="77777777" w:rsidR="00A21F82" w:rsidRPr="000C77A2" w:rsidRDefault="00A21F82" w:rsidP="00A21F82">
      <w:pPr>
        <w:pStyle w:val="Caption"/>
      </w:pPr>
      <w:r w:rsidRPr="000C77A2">
        <w:lastRenderedPageBreak/>
        <w:t>Essential elements of the requested listing (initial pack – first 3 months of therapy)</w:t>
      </w:r>
    </w:p>
    <w:tbl>
      <w:tblPr>
        <w:tblStyle w:val="HTATableshaded"/>
        <w:tblW w:w="0" w:type="auto"/>
        <w:tblLook w:val="04A0" w:firstRow="1" w:lastRow="0" w:firstColumn="1" w:lastColumn="0" w:noHBand="0" w:noVBand="1"/>
      </w:tblPr>
      <w:tblGrid>
        <w:gridCol w:w="2641"/>
        <w:gridCol w:w="1546"/>
        <w:gridCol w:w="1038"/>
        <w:gridCol w:w="2029"/>
        <w:gridCol w:w="1763"/>
      </w:tblGrid>
      <w:tr w:rsidR="0006073F" w:rsidRPr="000C77A2" w14:paraId="35DE0FB5" w14:textId="77777777" w:rsidTr="00A50CB3">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7D717852" w14:textId="77777777" w:rsidR="0006073F" w:rsidRPr="000C77A2" w:rsidRDefault="0006073F" w:rsidP="008F6BC9">
            <w:pPr>
              <w:keepNext/>
              <w:widowControl w:val="0"/>
              <w:spacing w:before="0" w:after="0"/>
              <w:jc w:val="left"/>
              <w:rPr>
                <w:rFonts w:ascii="Arial Narrow" w:hAnsi="Arial Narrow"/>
                <w:b/>
                <w:sz w:val="20"/>
              </w:rPr>
            </w:pPr>
            <w:r w:rsidRPr="000C77A2">
              <w:rPr>
                <w:rFonts w:ascii="Arial Narrow" w:hAnsi="Arial Narrow"/>
                <w:b/>
                <w:sz w:val="20"/>
              </w:rPr>
              <w:t>Name, restriction, manner of administration, form</w:t>
            </w:r>
          </w:p>
        </w:tc>
        <w:tc>
          <w:tcPr>
            <w:tcW w:w="0" w:type="auto"/>
          </w:tcPr>
          <w:p w14:paraId="0521E571" w14:textId="767E0E51" w:rsidR="0006073F" w:rsidRPr="000C77A2" w:rsidRDefault="0006073F" w:rsidP="008F6BC9">
            <w:pPr>
              <w:keepNext/>
              <w:widowControl w:val="0"/>
              <w:spacing w:before="0" w:after="0"/>
              <w:jc w:val="left"/>
              <w:rPr>
                <w:rFonts w:ascii="Arial Narrow" w:hAnsi="Arial Narrow"/>
                <w:b/>
                <w:sz w:val="20"/>
              </w:rPr>
            </w:pPr>
            <w:r w:rsidRPr="000C77A2">
              <w:rPr>
                <w:rFonts w:ascii="Arial Narrow" w:hAnsi="Arial Narrow"/>
                <w:b/>
                <w:sz w:val="20"/>
              </w:rPr>
              <w:t xml:space="preserve">Maximum </w:t>
            </w:r>
            <w:r w:rsidR="008F6BC9" w:rsidRPr="000C77A2">
              <w:rPr>
                <w:rFonts w:ascii="Arial Narrow" w:hAnsi="Arial Narrow"/>
                <w:b/>
                <w:sz w:val="20"/>
              </w:rPr>
              <w:t>quantity</w:t>
            </w:r>
            <w:r w:rsidRPr="000C77A2">
              <w:rPr>
                <w:rFonts w:ascii="Arial Narrow" w:hAnsi="Arial Narrow"/>
                <w:b/>
                <w:sz w:val="20"/>
              </w:rPr>
              <w:t xml:space="preserve"> (units)</w:t>
            </w:r>
          </w:p>
        </w:tc>
        <w:tc>
          <w:tcPr>
            <w:tcW w:w="0" w:type="auto"/>
          </w:tcPr>
          <w:p w14:paraId="006BD913" w14:textId="77777777" w:rsidR="0006073F" w:rsidRPr="000C77A2" w:rsidRDefault="0006073F" w:rsidP="008F6BC9">
            <w:pPr>
              <w:keepNext/>
              <w:widowControl w:val="0"/>
              <w:spacing w:before="0" w:after="0"/>
              <w:jc w:val="left"/>
              <w:rPr>
                <w:rFonts w:ascii="Arial Narrow" w:hAnsi="Arial Narrow"/>
                <w:b/>
                <w:sz w:val="20"/>
              </w:rPr>
            </w:pPr>
            <w:r w:rsidRPr="000C77A2">
              <w:rPr>
                <w:rFonts w:ascii="Arial Narrow" w:hAnsi="Arial Narrow"/>
                <w:b/>
                <w:sz w:val="20"/>
              </w:rPr>
              <w:t>No. of repeats</w:t>
            </w:r>
          </w:p>
        </w:tc>
        <w:tc>
          <w:tcPr>
            <w:tcW w:w="2029" w:type="dxa"/>
          </w:tcPr>
          <w:p w14:paraId="44736A25" w14:textId="4D865BE4" w:rsidR="0006073F" w:rsidRPr="000C77A2" w:rsidRDefault="0006073F" w:rsidP="008F6BC9">
            <w:pPr>
              <w:keepNext/>
              <w:widowControl w:val="0"/>
              <w:spacing w:before="0" w:after="0"/>
              <w:jc w:val="left"/>
              <w:rPr>
                <w:rFonts w:ascii="Arial Narrow" w:hAnsi="Arial Narrow"/>
                <w:b/>
                <w:sz w:val="20"/>
              </w:rPr>
            </w:pPr>
            <w:r w:rsidRPr="000C77A2">
              <w:rPr>
                <w:rFonts w:ascii="Arial Narrow" w:hAnsi="Arial Narrow"/>
                <w:b/>
                <w:sz w:val="20"/>
              </w:rPr>
              <w:t>Dispensed price for maximum quantity</w:t>
            </w:r>
            <w:r w:rsidRPr="000C77A2">
              <w:t xml:space="preserve"> </w:t>
            </w:r>
          </w:p>
        </w:tc>
        <w:tc>
          <w:tcPr>
            <w:tcW w:w="1763" w:type="dxa"/>
          </w:tcPr>
          <w:p w14:paraId="1ABBE8C8" w14:textId="77777777" w:rsidR="0006073F" w:rsidRPr="000C77A2" w:rsidRDefault="0006073F" w:rsidP="008F6BC9">
            <w:pPr>
              <w:keepNext/>
              <w:widowControl w:val="0"/>
              <w:spacing w:before="0" w:after="0"/>
              <w:jc w:val="left"/>
              <w:rPr>
                <w:rFonts w:ascii="Arial Narrow" w:hAnsi="Arial Narrow"/>
                <w:b/>
                <w:sz w:val="20"/>
              </w:rPr>
            </w:pPr>
            <w:r w:rsidRPr="000C77A2">
              <w:rPr>
                <w:rFonts w:ascii="Arial Narrow" w:hAnsi="Arial Narrow"/>
                <w:b/>
                <w:sz w:val="20"/>
              </w:rPr>
              <w:t>Proprietary name and manufacturer</w:t>
            </w:r>
          </w:p>
        </w:tc>
      </w:tr>
      <w:tr w:rsidR="0006073F" w:rsidRPr="000C77A2" w14:paraId="2D0445E6" w14:textId="77777777" w:rsidTr="00A50CB3">
        <w:trPr>
          <w:cantSplit/>
        </w:trPr>
        <w:tc>
          <w:tcPr>
            <w:tcW w:w="0" w:type="auto"/>
          </w:tcPr>
          <w:p w14:paraId="230D5E6F"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Larotrectinib, 100 mg, oral capsules</w:t>
            </w:r>
          </w:p>
        </w:tc>
        <w:tc>
          <w:tcPr>
            <w:tcW w:w="0" w:type="auto"/>
          </w:tcPr>
          <w:p w14:paraId="52EC8D55"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56</w:t>
            </w:r>
          </w:p>
        </w:tc>
        <w:tc>
          <w:tcPr>
            <w:tcW w:w="0" w:type="auto"/>
          </w:tcPr>
          <w:p w14:paraId="57F6DAE2"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2</w:t>
            </w:r>
          </w:p>
        </w:tc>
        <w:tc>
          <w:tcPr>
            <w:tcW w:w="2029" w:type="dxa"/>
          </w:tcPr>
          <w:p w14:paraId="3437E43F" w14:textId="61EA4982"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Published $12,537.13</w:t>
            </w:r>
            <w:r w:rsidRPr="000C77A2">
              <w:rPr>
                <w:rFonts w:ascii="Arial Narrow" w:hAnsi="Arial Narrow"/>
                <w:sz w:val="20"/>
              </w:rPr>
              <w:br/>
              <w:t>Effective $</w:t>
            </w:r>
            <w:r w:rsidR="00C66EC7" w:rsidRPr="00C66EC7">
              <w:rPr>
                <w:rFonts w:ascii="Arial Narrow" w:hAnsi="Arial Narrow"/>
                <w:color w:val="000000"/>
                <w:spacing w:val="45"/>
                <w:sz w:val="20"/>
                <w:shd w:val="solid" w:color="000000" w:fill="000000"/>
                <w:fitText w:val="330" w:id="-962355199"/>
                <w14:textFill>
                  <w14:solidFill>
                    <w14:srgbClr w14:val="000000">
                      <w14:alpha w14:val="100000"/>
                    </w14:srgbClr>
                  </w14:solidFill>
                </w14:textFill>
              </w:rPr>
              <w:t>|||</w:t>
            </w:r>
            <w:r w:rsidR="00C66EC7" w:rsidRPr="00C66EC7">
              <w:rPr>
                <w:rFonts w:ascii="Arial Narrow" w:hAnsi="Arial Narrow"/>
                <w:color w:val="000000"/>
                <w:spacing w:val="15"/>
                <w:sz w:val="20"/>
                <w:shd w:val="solid" w:color="000000" w:fill="000000"/>
                <w:fitText w:val="330" w:id="-962355199"/>
                <w14:textFill>
                  <w14:solidFill>
                    <w14:srgbClr w14:val="000000">
                      <w14:alpha w14:val="100000"/>
                    </w14:srgbClr>
                  </w14:solidFill>
                </w14:textFill>
              </w:rPr>
              <w:t>|</w:t>
            </w:r>
          </w:p>
        </w:tc>
        <w:tc>
          <w:tcPr>
            <w:tcW w:w="1763" w:type="dxa"/>
            <w:vMerge w:val="restart"/>
          </w:tcPr>
          <w:p w14:paraId="5F3C1E0D"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VITRAKVI</w:t>
            </w:r>
            <w:r w:rsidRPr="000C77A2">
              <w:rPr>
                <w:rFonts w:ascii="Arial Narrow" w:hAnsi="Arial Narrow"/>
                <w:sz w:val="20"/>
                <w:vertAlign w:val="superscript"/>
              </w:rPr>
              <w:t>®</w:t>
            </w:r>
            <w:r w:rsidRPr="000C77A2">
              <w:rPr>
                <w:rFonts w:ascii="Arial Narrow" w:hAnsi="Arial Narrow"/>
                <w:sz w:val="20"/>
              </w:rPr>
              <w:t>,</w:t>
            </w:r>
          </w:p>
          <w:p w14:paraId="2059B869"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Bayer Australia Ltd</w:t>
            </w:r>
          </w:p>
        </w:tc>
      </w:tr>
      <w:tr w:rsidR="0006073F" w:rsidRPr="000C77A2" w14:paraId="54735D1C" w14:textId="77777777" w:rsidTr="00A50CB3">
        <w:trPr>
          <w:cantSplit/>
        </w:trPr>
        <w:tc>
          <w:tcPr>
            <w:tcW w:w="0" w:type="auto"/>
          </w:tcPr>
          <w:p w14:paraId="17FA5369"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Larotrectinib, 25 mg, oral capsules</w:t>
            </w:r>
          </w:p>
        </w:tc>
        <w:tc>
          <w:tcPr>
            <w:tcW w:w="0" w:type="auto"/>
          </w:tcPr>
          <w:p w14:paraId="795EA83A"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56</w:t>
            </w:r>
          </w:p>
        </w:tc>
        <w:tc>
          <w:tcPr>
            <w:tcW w:w="0" w:type="auto"/>
          </w:tcPr>
          <w:p w14:paraId="3F68A50B"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2</w:t>
            </w:r>
          </w:p>
        </w:tc>
        <w:tc>
          <w:tcPr>
            <w:tcW w:w="2029" w:type="dxa"/>
          </w:tcPr>
          <w:p w14:paraId="2C906719" w14:textId="17DD5F58" w:rsidR="0006073F" w:rsidRPr="000C77A2" w:rsidRDefault="008B616C" w:rsidP="008F6BC9">
            <w:pPr>
              <w:keepNext/>
              <w:widowControl w:val="0"/>
              <w:spacing w:before="0" w:after="0"/>
              <w:jc w:val="left"/>
              <w:rPr>
                <w:rFonts w:ascii="Arial Narrow" w:hAnsi="Arial Narrow"/>
                <w:sz w:val="20"/>
              </w:rPr>
            </w:pPr>
            <w:r w:rsidRPr="000C77A2">
              <w:rPr>
                <w:rFonts w:ascii="Arial Narrow" w:hAnsi="Arial Narrow"/>
                <w:sz w:val="20"/>
              </w:rPr>
              <w:t>Published $3,255.88</w:t>
            </w:r>
            <w:r w:rsidRPr="000C77A2">
              <w:rPr>
                <w:rFonts w:ascii="Arial Narrow" w:hAnsi="Arial Narrow"/>
                <w:sz w:val="20"/>
              </w:rPr>
              <w:br/>
              <w:t>Effective $</w:t>
            </w:r>
            <w:r w:rsidR="00C66EC7" w:rsidRPr="00C66EC7">
              <w:rPr>
                <w:rFonts w:ascii="Arial Narrow" w:hAnsi="Arial Narrow"/>
                <w:color w:val="000000"/>
                <w:spacing w:val="45"/>
                <w:sz w:val="20"/>
                <w:shd w:val="solid" w:color="000000" w:fill="000000"/>
                <w:fitText w:val="330" w:id="-962355198"/>
                <w14:textFill>
                  <w14:solidFill>
                    <w14:srgbClr w14:val="000000">
                      <w14:alpha w14:val="100000"/>
                    </w14:srgbClr>
                  </w14:solidFill>
                </w14:textFill>
              </w:rPr>
              <w:t>|||</w:t>
            </w:r>
            <w:r w:rsidR="00C66EC7" w:rsidRPr="00C66EC7">
              <w:rPr>
                <w:rFonts w:ascii="Arial Narrow" w:hAnsi="Arial Narrow"/>
                <w:color w:val="000000"/>
                <w:spacing w:val="15"/>
                <w:sz w:val="20"/>
                <w:shd w:val="solid" w:color="000000" w:fill="000000"/>
                <w:fitText w:val="330" w:id="-962355198"/>
                <w14:textFill>
                  <w14:solidFill>
                    <w14:srgbClr w14:val="000000">
                      <w14:alpha w14:val="100000"/>
                    </w14:srgbClr>
                  </w14:solidFill>
                </w14:textFill>
              </w:rPr>
              <w:t>|</w:t>
            </w:r>
          </w:p>
        </w:tc>
        <w:tc>
          <w:tcPr>
            <w:tcW w:w="1763" w:type="dxa"/>
            <w:vMerge/>
          </w:tcPr>
          <w:p w14:paraId="3ACFE43A" w14:textId="77777777" w:rsidR="0006073F" w:rsidRPr="000C77A2" w:rsidRDefault="0006073F" w:rsidP="008F6BC9">
            <w:pPr>
              <w:keepNext/>
              <w:widowControl w:val="0"/>
              <w:spacing w:before="0" w:after="0"/>
              <w:jc w:val="left"/>
              <w:rPr>
                <w:rFonts w:ascii="Arial Narrow" w:hAnsi="Arial Narrow"/>
                <w:sz w:val="20"/>
              </w:rPr>
            </w:pPr>
          </w:p>
        </w:tc>
      </w:tr>
      <w:tr w:rsidR="0006073F" w:rsidRPr="000C77A2" w14:paraId="1952792A" w14:textId="77777777" w:rsidTr="00A50CB3">
        <w:trPr>
          <w:cantSplit/>
        </w:trPr>
        <w:tc>
          <w:tcPr>
            <w:tcW w:w="0" w:type="auto"/>
          </w:tcPr>
          <w:p w14:paraId="68C7E56B" w14:textId="77777777" w:rsidR="0006073F" w:rsidRPr="004549A9" w:rsidRDefault="0006073F" w:rsidP="008F6BC9">
            <w:pPr>
              <w:keepNext/>
              <w:widowControl w:val="0"/>
              <w:spacing w:before="0" w:after="0"/>
              <w:jc w:val="left"/>
              <w:rPr>
                <w:rFonts w:ascii="Arial Narrow" w:hAnsi="Arial Narrow"/>
                <w:sz w:val="20"/>
              </w:rPr>
            </w:pPr>
            <w:r w:rsidRPr="004549A9">
              <w:rPr>
                <w:rFonts w:ascii="Arial Narrow" w:hAnsi="Arial Narrow"/>
                <w:sz w:val="20"/>
              </w:rPr>
              <w:t>Larotrectinib, 20 mg/ml, 2 × 50 ml, oral solution</w:t>
            </w:r>
          </w:p>
        </w:tc>
        <w:tc>
          <w:tcPr>
            <w:tcW w:w="0" w:type="auto"/>
          </w:tcPr>
          <w:p w14:paraId="57B92970" w14:textId="7204B274" w:rsidR="0006073F" w:rsidRPr="004549A9" w:rsidRDefault="0006073F" w:rsidP="008F6BC9">
            <w:pPr>
              <w:keepNext/>
              <w:widowControl w:val="0"/>
              <w:spacing w:before="0" w:after="0"/>
              <w:jc w:val="left"/>
              <w:rPr>
                <w:rFonts w:ascii="Arial Narrow" w:hAnsi="Arial Narrow"/>
                <w:sz w:val="20"/>
              </w:rPr>
            </w:pPr>
            <w:r w:rsidRPr="00560AEC">
              <w:rPr>
                <w:rFonts w:ascii="Arial Narrow" w:hAnsi="Arial Narrow"/>
                <w:sz w:val="20"/>
              </w:rPr>
              <w:t>1</w:t>
            </w:r>
          </w:p>
        </w:tc>
        <w:tc>
          <w:tcPr>
            <w:tcW w:w="0" w:type="auto"/>
          </w:tcPr>
          <w:p w14:paraId="75779948" w14:textId="77777777" w:rsidR="0006073F" w:rsidRPr="000C77A2" w:rsidRDefault="0006073F" w:rsidP="008F6BC9">
            <w:pPr>
              <w:keepNext/>
              <w:widowControl w:val="0"/>
              <w:spacing w:before="0" w:after="0"/>
              <w:jc w:val="left"/>
              <w:rPr>
                <w:rFonts w:ascii="Arial Narrow" w:hAnsi="Arial Narrow"/>
                <w:sz w:val="20"/>
              </w:rPr>
            </w:pPr>
            <w:r w:rsidRPr="000C77A2">
              <w:rPr>
                <w:rFonts w:ascii="Arial Narrow" w:hAnsi="Arial Narrow"/>
                <w:sz w:val="20"/>
              </w:rPr>
              <w:t>2</w:t>
            </w:r>
          </w:p>
        </w:tc>
        <w:tc>
          <w:tcPr>
            <w:tcW w:w="2029" w:type="dxa"/>
          </w:tcPr>
          <w:p w14:paraId="08405911" w14:textId="7010A1B9" w:rsidR="0006073F" w:rsidRPr="000C77A2" w:rsidRDefault="008B616C" w:rsidP="008F6BC9">
            <w:pPr>
              <w:keepNext/>
              <w:widowControl w:val="0"/>
              <w:spacing w:before="0" w:after="0"/>
              <w:jc w:val="left"/>
              <w:rPr>
                <w:rFonts w:ascii="Arial Narrow" w:hAnsi="Arial Narrow"/>
                <w:sz w:val="20"/>
              </w:rPr>
            </w:pPr>
            <w:r w:rsidRPr="000C77A2">
              <w:rPr>
                <w:rFonts w:ascii="Arial Narrow" w:hAnsi="Arial Narrow"/>
                <w:sz w:val="20"/>
              </w:rPr>
              <w:t>Published $4,287.13</w:t>
            </w:r>
            <w:r w:rsidRPr="000C77A2">
              <w:rPr>
                <w:rFonts w:ascii="Arial Narrow" w:hAnsi="Arial Narrow"/>
                <w:sz w:val="20"/>
              </w:rPr>
              <w:br/>
              <w:t>Effective $</w:t>
            </w:r>
            <w:r w:rsidR="00C66EC7" w:rsidRPr="00C66EC7">
              <w:rPr>
                <w:rFonts w:ascii="Arial Narrow" w:hAnsi="Arial Narrow"/>
                <w:color w:val="000000"/>
                <w:spacing w:val="45"/>
                <w:sz w:val="20"/>
                <w:shd w:val="solid" w:color="000000" w:fill="000000"/>
                <w:fitText w:val="330" w:id="-962355197"/>
                <w14:textFill>
                  <w14:solidFill>
                    <w14:srgbClr w14:val="000000">
                      <w14:alpha w14:val="100000"/>
                    </w14:srgbClr>
                  </w14:solidFill>
                </w14:textFill>
              </w:rPr>
              <w:t>|||</w:t>
            </w:r>
            <w:r w:rsidR="00C66EC7" w:rsidRPr="00C66EC7">
              <w:rPr>
                <w:rFonts w:ascii="Arial Narrow" w:hAnsi="Arial Narrow"/>
                <w:color w:val="000000"/>
                <w:spacing w:val="15"/>
                <w:sz w:val="20"/>
                <w:shd w:val="solid" w:color="000000" w:fill="000000"/>
                <w:fitText w:val="330" w:id="-962355197"/>
                <w14:textFill>
                  <w14:solidFill>
                    <w14:srgbClr w14:val="000000">
                      <w14:alpha w14:val="100000"/>
                    </w14:srgbClr>
                  </w14:solidFill>
                </w14:textFill>
              </w:rPr>
              <w:t>|</w:t>
            </w:r>
          </w:p>
        </w:tc>
        <w:tc>
          <w:tcPr>
            <w:tcW w:w="1763" w:type="dxa"/>
            <w:vMerge/>
          </w:tcPr>
          <w:p w14:paraId="27A5A909" w14:textId="77777777" w:rsidR="0006073F" w:rsidRPr="000C77A2" w:rsidRDefault="0006073F" w:rsidP="008F6BC9">
            <w:pPr>
              <w:keepNext/>
              <w:widowControl w:val="0"/>
              <w:spacing w:before="0" w:after="0"/>
              <w:jc w:val="left"/>
              <w:rPr>
                <w:rFonts w:ascii="Arial Narrow" w:hAnsi="Arial Narrow"/>
                <w:sz w:val="20"/>
              </w:rPr>
            </w:pPr>
          </w:p>
        </w:tc>
      </w:tr>
    </w:tbl>
    <w:p w14:paraId="5345D203" w14:textId="293A59D1" w:rsidR="00A21F82" w:rsidRPr="000C77A2" w:rsidRDefault="00A21F82" w:rsidP="00560AEC">
      <w:pPr>
        <w:pStyle w:val="TableFooter"/>
        <w:spacing w:after="120"/>
      </w:pPr>
      <w:r w:rsidRPr="000C77A2">
        <w:t>Source: Table 1-8 of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292657" w:rsidRPr="000C77A2" w14:paraId="774011B4" w14:textId="77777777" w:rsidTr="0037473F">
        <w:trPr>
          <w:trHeight w:val="20"/>
        </w:trPr>
        <w:tc>
          <w:tcPr>
            <w:tcW w:w="7745" w:type="dxa"/>
            <w:tcBorders>
              <w:top w:val="single" w:sz="4" w:space="0" w:color="auto"/>
              <w:left w:val="single" w:sz="4" w:space="0" w:color="auto"/>
              <w:bottom w:val="single" w:sz="4" w:space="0" w:color="auto"/>
              <w:right w:val="single" w:sz="4" w:space="0" w:color="auto"/>
            </w:tcBorders>
            <w:vAlign w:val="center"/>
          </w:tcPr>
          <w:p w14:paraId="6D83E048" w14:textId="77777777" w:rsidR="00292657" w:rsidRPr="000C77A2" w:rsidRDefault="00292657" w:rsidP="0037473F">
            <w:pPr>
              <w:keepLines/>
              <w:rPr>
                <w:rFonts w:ascii="Arial Narrow" w:hAnsi="Arial Narrow"/>
                <w:sz w:val="20"/>
                <w:szCs w:val="20"/>
              </w:rPr>
            </w:pPr>
            <w:r w:rsidRPr="000C77A2">
              <w:rPr>
                <w:rFonts w:ascii="Arial Narrow" w:hAnsi="Arial Narrow"/>
                <w:b/>
                <w:sz w:val="20"/>
                <w:szCs w:val="20"/>
              </w:rPr>
              <w:t xml:space="preserve">Category / Program: </w:t>
            </w:r>
            <w:r w:rsidRPr="000C77A2">
              <w:rPr>
                <w:rFonts w:ascii="Arial Narrow" w:hAnsi="Arial Narrow"/>
                <w:sz w:val="20"/>
                <w:szCs w:val="20"/>
              </w:rPr>
              <w:t>GENERAL – General Schedule (Code GE)</w:t>
            </w:r>
            <w:r w:rsidRPr="000C77A2">
              <w:rPr>
                <w:rFonts w:ascii="Arial Narrow" w:hAnsi="Arial Narrow"/>
                <w:color w:val="FF0000"/>
                <w:sz w:val="20"/>
                <w:szCs w:val="20"/>
              </w:rPr>
              <w:t xml:space="preserve"> </w:t>
            </w:r>
          </w:p>
        </w:tc>
      </w:tr>
      <w:tr w:rsidR="00292657" w:rsidRPr="000C77A2" w14:paraId="04A764E6" w14:textId="77777777" w:rsidTr="0037473F">
        <w:trPr>
          <w:trHeight w:val="20"/>
        </w:trPr>
        <w:tc>
          <w:tcPr>
            <w:tcW w:w="7745" w:type="dxa"/>
            <w:tcBorders>
              <w:top w:val="single" w:sz="4" w:space="0" w:color="auto"/>
              <w:left w:val="single" w:sz="4" w:space="0" w:color="auto"/>
              <w:bottom w:val="single" w:sz="4" w:space="0" w:color="auto"/>
              <w:right w:val="single" w:sz="4" w:space="0" w:color="auto"/>
            </w:tcBorders>
            <w:vAlign w:val="center"/>
          </w:tcPr>
          <w:p w14:paraId="6FF427CA" w14:textId="77777777" w:rsidR="00292657" w:rsidRPr="000C77A2" w:rsidRDefault="00292657" w:rsidP="0037473F">
            <w:pPr>
              <w:keepLines/>
              <w:rPr>
                <w:rFonts w:ascii="Arial Narrow" w:hAnsi="Arial Narrow"/>
                <w:b/>
                <w:sz w:val="20"/>
                <w:szCs w:val="20"/>
              </w:rPr>
            </w:pPr>
            <w:r w:rsidRPr="000C77A2">
              <w:rPr>
                <w:rFonts w:ascii="Arial Narrow" w:hAnsi="Arial Narrow"/>
                <w:b/>
                <w:sz w:val="20"/>
                <w:szCs w:val="20"/>
              </w:rPr>
              <w:t xml:space="preserve">Prescriber type: </w:t>
            </w:r>
            <w:r w:rsidRPr="000C77A2">
              <w:rPr>
                <w:rFonts w:ascii="Arial Narrow" w:hAnsi="Arial Narrow"/>
                <w:sz w:val="20"/>
                <w:szCs w:val="20"/>
              </w:rPr>
              <w:fldChar w:fldCharType="begin" w:fldLock="1">
                <w:ffData>
                  <w:name w:val=""/>
                  <w:enabled/>
                  <w:calcOnExit w:val="0"/>
                  <w:checkBox>
                    <w:sizeAuto/>
                    <w:default w:val="1"/>
                  </w:checkBox>
                </w:ffData>
              </w:fldChar>
            </w:r>
            <w:r w:rsidRPr="000C77A2">
              <w:rPr>
                <w:rFonts w:ascii="Arial Narrow" w:hAnsi="Arial Narrow"/>
                <w:sz w:val="20"/>
                <w:szCs w:val="20"/>
              </w:rPr>
              <w:instrText xml:space="preserve"> FORMCHECKBOX </w:instrText>
            </w:r>
            <w:r w:rsidR="00C766BB">
              <w:rPr>
                <w:rFonts w:ascii="Arial Narrow" w:hAnsi="Arial Narrow"/>
                <w:sz w:val="20"/>
                <w:szCs w:val="20"/>
              </w:rPr>
            </w:r>
            <w:r w:rsidR="00C766BB">
              <w:rPr>
                <w:rFonts w:ascii="Arial Narrow" w:hAnsi="Arial Narrow"/>
                <w:sz w:val="20"/>
                <w:szCs w:val="20"/>
              </w:rPr>
              <w:fldChar w:fldCharType="separate"/>
            </w:r>
            <w:r w:rsidRPr="000C77A2">
              <w:rPr>
                <w:rFonts w:ascii="Arial Narrow" w:hAnsi="Arial Narrow"/>
                <w:sz w:val="20"/>
                <w:szCs w:val="20"/>
              </w:rPr>
              <w:fldChar w:fldCharType="end"/>
            </w:r>
            <w:r w:rsidRPr="000C77A2">
              <w:rPr>
                <w:rFonts w:ascii="Arial Narrow" w:hAnsi="Arial Narrow"/>
                <w:sz w:val="20"/>
                <w:szCs w:val="20"/>
              </w:rPr>
              <w:t xml:space="preserve">Medical Practitioners </w:t>
            </w:r>
          </w:p>
        </w:tc>
      </w:tr>
      <w:tr w:rsidR="00292657" w:rsidRPr="000C77A2" w14:paraId="566F0993" w14:textId="77777777" w:rsidTr="0037473F">
        <w:trPr>
          <w:trHeight w:val="20"/>
        </w:trPr>
        <w:tc>
          <w:tcPr>
            <w:tcW w:w="7745" w:type="dxa"/>
            <w:tcBorders>
              <w:top w:val="single" w:sz="4" w:space="0" w:color="auto"/>
              <w:left w:val="single" w:sz="4" w:space="0" w:color="auto"/>
              <w:bottom w:val="single" w:sz="4" w:space="0" w:color="auto"/>
              <w:right w:val="single" w:sz="4" w:space="0" w:color="auto"/>
            </w:tcBorders>
            <w:vAlign w:val="center"/>
          </w:tcPr>
          <w:p w14:paraId="24D6906A" w14:textId="77777777" w:rsidR="00292657" w:rsidRPr="000C77A2" w:rsidRDefault="00292657" w:rsidP="0037473F">
            <w:pPr>
              <w:keepLines/>
              <w:rPr>
                <w:rFonts w:ascii="Arial Narrow" w:eastAsia="Calibri" w:hAnsi="Arial Narrow"/>
                <w:i/>
                <w:iCs/>
                <w:color w:val="FF0000"/>
                <w:sz w:val="20"/>
                <w:szCs w:val="20"/>
              </w:rPr>
            </w:pPr>
            <w:r w:rsidRPr="000C77A2">
              <w:rPr>
                <w:rFonts w:ascii="Arial Narrow" w:hAnsi="Arial Narrow"/>
                <w:b/>
                <w:sz w:val="20"/>
                <w:szCs w:val="20"/>
              </w:rPr>
              <w:t xml:space="preserve">Restriction type: </w:t>
            </w:r>
            <w:r w:rsidRPr="000C77A2">
              <w:rPr>
                <w:rFonts w:ascii="Arial Narrow" w:eastAsia="Calibri" w:hAnsi="Arial Narrow"/>
                <w:sz w:val="20"/>
                <w:szCs w:val="20"/>
              </w:rPr>
              <w:fldChar w:fldCharType="begin" w:fldLock="1">
                <w:ffData>
                  <w:name w:val=""/>
                  <w:enabled/>
                  <w:calcOnExit w:val="0"/>
                  <w:checkBox>
                    <w:sizeAuto/>
                    <w:default w:val="1"/>
                  </w:checkBox>
                </w:ffData>
              </w:fldChar>
            </w:r>
            <w:r w:rsidRPr="000C77A2">
              <w:rPr>
                <w:rFonts w:ascii="Arial Narrow" w:eastAsia="Calibri" w:hAnsi="Arial Narrow"/>
                <w:sz w:val="20"/>
                <w:szCs w:val="20"/>
              </w:rPr>
              <w:instrText xml:space="preserve"> FORMCHECKBOX </w:instrText>
            </w:r>
            <w:r w:rsidR="00C766BB">
              <w:rPr>
                <w:rFonts w:ascii="Arial Narrow" w:eastAsia="Calibri" w:hAnsi="Arial Narrow"/>
                <w:sz w:val="20"/>
                <w:szCs w:val="20"/>
              </w:rPr>
            </w:r>
            <w:r w:rsidR="00C766BB">
              <w:rPr>
                <w:rFonts w:ascii="Arial Narrow" w:eastAsia="Calibri" w:hAnsi="Arial Narrow"/>
                <w:sz w:val="20"/>
                <w:szCs w:val="20"/>
              </w:rPr>
              <w:fldChar w:fldCharType="separate"/>
            </w:r>
            <w:r w:rsidRPr="000C77A2">
              <w:rPr>
                <w:rFonts w:ascii="Arial Narrow" w:eastAsia="Calibri" w:hAnsi="Arial Narrow"/>
                <w:sz w:val="20"/>
                <w:szCs w:val="20"/>
              </w:rPr>
              <w:fldChar w:fldCharType="end"/>
            </w:r>
            <w:r w:rsidRPr="000C77A2">
              <w:rPr>
                <w:rFonts w:ascii="Arial Narrow" w:eastAsia="Calibri" w:hAnsi="Arial Narrow"/>
                <w:sz w:val="20"/>
                <w:szCs w:val="20"/>
              </w:rPr>
              <w:t>Authority Required (in writing</w:t>
            </w:r>
            <w:r w:rsidRPr="000C77A2">
              <w:rPr>
                <w:rFonts w:ascii="Arial Narrow" w:eastAsia="Calibri" w:hAnsi="Arial Narrow"/>
                <w:i/>
                <w:iCs/>
                <w:sz w:val="20"/>
                <w:szCs w:val="20"/>
              </w:rPr>
              <w:t xml:space="preserve">-legacy) </w:t>
            </w:r>
            <w:r w:rsidRPr="000C77A2">
              <w:rPr>
                <w:rFonts w:ascii="Arial Narrow" w:eastAsia="Calibri" w:hAnsi="Arial Narrow"/>
                <w:strike/>
                <w:sz w:val="20"/>
                <w:szCs w:val="20"/>
              </w:rPr>
              <w:t>only via</w:t>
            </w:r>
            <w:r w:rsidRPr="000C77A2">
              <w:rPr>
                <w:rFonts w:ascii="Arial Narrow" w:eastAsia="Calibri" w:hAnsi="Arial Narrow"/>
                <w:sz w:val="20"/>
                <w:szCs w:val="20"/>
              </w:rPr>
              <w:t xml:space="preserve"> Postal/HPOS upload</w:t>
            </w:r>
            <w:r w:rsidRPr="000C77A2">
              <w:rPr>
                <w:rFonts w:ascii="Arial Narrow" w:eastAsia="Calibri" w:hAnsi="Arial Narrow"/>
                <w:strike/>
                <w:sz w:val="20"/>
                <w:szCs w:val="20"/>
              </w:rPr>
              <w:t>)</w:t>
            </w:r>
            <w:r w:rsidRPr="000C77A2">
              <w:rPr>
                <w:rFonts w:ascii="Arial Narrow" w:eastAsia="Calibri" w:hAnsi="Arial Narrow"/>
                <w:sz w:val="20"/>
                <w:szCs w:val="20"/>
              </w:rPr>
              <w:t xml:space="preserve"> </w:t>
            </w:r>
            <w:r w:rsidRPr="000C77A2">
              <w:rPr>
                <w:rFonts w:ascii="Arial Narrow" w:eastAsia="Calibri" w:hAnsi="Arial Narrow"/>
                <w:i/>
                <w:iCs/>
                <w:sz w:val="20"/>
                <w:szCs w:val="20"/>
              </w:rPr>
              <w:t>or Online PBS Authorities immediate assessment</w:t>
            </w:r>
          </w:p>
        </w:tc>
      </w:tr>
      <w:tr w:rsidR="00292657" w:rsidRPr="000C77A2" w14:paraId="275169D7" w14:textId="77777777" w:rsidTr="0037473F">
        <w:trPr>
          <w:trHeight w:val="20"/>
        </w:trPr>
        <w:tc>
          <w:tcPr>
            <w:tcW w:w="7745" w:type="dxa"/>
            <w:vAlign w:val="center"/>
          </w:tcPr>
          <w:p w14:paraId="7CCF28C9"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Administrative Advice:</w:t>
            </w:r>
          </w:p>
          <w:p w14:paraId="325CA5CD"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sz w:val="20"/>
                <w:szCs w:val="20"/>
              </w:rPr>
              <w:t xml:space="preserve">For a patient who has received non-PBS-subsidised supply of this drug, apply under an ‘Initial treatment’ phase listing </w:t>
            </w:r>
            <w:proofErr w:type="gramStart"/>
            <w:r w:rsidRPr="000C77A2">
              <w:rPr>
                <w:rFonts w:ascii="Arial Narrow" w:hAnsi="Arial Narrow"/>
                <w:i/>
                <w:iCs/>
                <w:sz w:val="20"/>
                <w:szCs w:val="20"/>
              </w:rPr>
              <w:t>provided that</w:t>
            </w:r>
            <w:proofErr w:type="gramEnd"/>
            <w:r w:rsidRPr="000C77A2">
              <w:rPr>
                <w:rFonts w:ascii="Arial Narrow" w:hAnsi="Arial Narrow"/>
                <w:i/>
                <w:iCs/>
                <w:sz w:val="20"/>
                <w:szCs w:val="20"/>
              </w:rPr>
              <w:t xml:space="preserve"> they meet all stated PBS eligibility criteria.</w:t>
            </w:r>
          </w:p>
        </w:tc>
      </w:tr>
      <w:tr w:rsidR="00292657" w:rsidRPr="000C77A2" w14:paraId="62F0C74C" w14:textId="77777777" w:rsidTr="0037473F">
        <w:trPr>
          <w:trHeight w:val="20"/>
        </w:trPr>
        <w:tc>
          <w:tcPr>
            <w:tcW w:w="7745" w:type="dxa"/>
            <w:vAlign w:val="center"/>
          </w:tcPr>
          <w:p w14:paraId="795611B4"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75F213DC"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No increase in the maximum number of repeats may be authorised.</w:t>
            </w:r>
          </w:p>
        </w:tc>
      </w:tr>
      <w:tr w:rsidR="00292657" w:rsidRPr="000C77A2" w14:paraId="300D60A3" w14:textId="77777777" w:rsidTr="0037473F">
        <w:trPr>
          <w:trHeight w:val="20"/>
        </w:trPr>
        <w:tc>
          <w:tcPr>
            <w:tcW w:w="7745" w:type="dxa"/>
            <w:vAlign w:val="center"/>
          </w:tcPr>
          <w:p w14:paraId="4A1A897F"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7719B3A3"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Special Pricing Arrangements apply.</w:t>
            </w:r>
          </w:p>
        </w:tc>
      </w:tr>
      <w:tr w:rsidR="00292657" w:rsidRPr="000C77A2" w14:paraId="10E56511" w14:textId="77777777" w:rsidTr="0037473F">
        <w:trPr>
          <w:trHeight w:val="20"/>
        </w:trPr>
        <w:tc>
          <w:tcPr>
            <w:tcW w:w="7745" w:type="dxa"/>
            <w:vAlign w:val="center"/>
          </w:tcPr>
          <w:p w14:paraId="0C4120C3"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3992A09F"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Any queries concerning the arrangements to prescribe may be directed to Services Australia on 1800 700 270 (hours of operation 8 a.m. to 5 p.m. Monday to Friday). </w:t>
            </w:r>
          </w:p>
          <w:p w14:paraId="4928CE0D"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Prescribing information (including Authority Application forms and other relevant documentation as applicable) is available on the Services Australia website at </w:t>
            </w:r>
            <w:hyperlink r:id="rId8" w:history="1">
              <w:r w:rsidRPr="000C77A2">
                <w:rPr>
                  <w:rStyle w:val="Hyperlink"/>
                  <w:rFonts w:ascii="Arial Narrow" w:hAnsi="Arial Narrow"/>
                  <w:i/>
                  <w:iCs/>
                  <w:sz w:val="20"/>
                  <w:szCs w:val="20"/>
                </w:rPr>
                <w:t>www.servicesaustralia.gov.au</w:t>
              </w:r>
            </w:hyperlink>
            <w:r w:rsidRPr="000C77A2">
              <w:rPr>
                <w:rFonts w:ascii="Arial Narrow" w:hAnsi="Arial Narrow"/>
                <w:i/>
                <w:iCs/>
                <w:color w:val="333333"/>
                <w:sz w:val="20"/>
                <w:szCs w:val="20"/>
              </w:rPr>
              <w:t xml:space="preserve"> </w:t>
            </w:r>
          </w:p>
          <w:p w14:paraId="3D759DD7"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Applications for authorisation under this restriction should be made in real time using the Online PBS Authorities system (see </w:t>
            </w:r>
            <w:hyperlink r:id="rId9" w:history="1">
              <w:r w:rsidRPr="000C77A2">
                <w:rPr>
                  <w:rStyle w:val="Hyperlink"/>
                  <w:rFonts w:ascii="Arial Narrow" w:hAnsi="Arial Narrow"/>
                  <w:i/>
                  <w:iCs/>
                  <w:sz w:val="20"/>
                  <w:szCs w:val="20"/>
                </w:rPr>
                <w:t>www.servicesaustralia.gov.au/hpos</w:t>
              </w:r>
            </w:hyperlink>
            <w:r w:rsidRPr="000C77A2">
              <w:rPr>
                <w:rFonts w:ascii="Arial Narrow" w:hAnsi="Arial Narrow"/>
                <w:i/>
                <w:iCs/>
                <w:color w:val="333333"/>
                <w:sz w:val="20"/>
                <w:szCs w:val="20"/>
              </w:rPr>
              <w:t xml:space="preserve">) </w:t>
            </w:r>
          </w:p>
          <w:p w14:paraId="64352821"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Alternatively, applications for authority to prescribe can be submitted online using the form upload facility in Health Professional Online Services (HPOS) at </w:t>
            </w:r>
            <w:hyperlink r:id="rId10" w:history="1">
              <w:r w:rsidRPr="000C77A2">
                <w:rPr>
                  <w:rStyle w:val="Hyperlink"/>
                  <w:rFonts w:ascii="Arial Narrow" w:hAnsi="Arial Narrow"/>
                  <w:i/>
                  <w:iCs/>
                  <w:sz w:val="20"/>
                  <w:szCs w:val="20"/>
                </w:rPr>
                <w:t>www.servicesaustralia.gov.au/hpos</w:t>
              </w:r>
            </w:hyperlink>
            <w:r w:rsidRPr="000C77A2">
              <w:rPr>
                <w:rFonts w:ascii="Arial Narrow" w:hAnsi="Arial Narrow"/>
                <w:i/>
                <w:iCs/>
                <w:color w:val="333333"/>
                <w:sz w:val="20"/>
                <w:szCs w:val="20"/>
              </w:rPr>
              <w:t xml:space="preserve"> </w:t>
            </w:r>
          </w:p>
          <w:p w14:paraId="665170D3"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Or mailed to:</w:t>
            </w:r>
          </w:p>
          <w:p w14:paraId="5D622BA3"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Services Australia </w:t>
            </w:r>
          </w:p>
          <w:p w14:paraId="1A30F604"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Complex Drugs </w:t>
            </w:r>
          </w:p>
          <w:p w14:paraId="635ABD36"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Reply Paid 9826</w:t>
            </w:r>
          </w:p>
          <w:p w14:paraId="2B199E94"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HOBART TAS 7001</w:t>
            </w:r>
          </w:p>
        </w:tc>
      </w:tr>
      <w:tr w:rsidR="00292657" w:rsidRPr="000C77A2" w14:paraId="2E2CE30A" w14:textId="77777777" w:rsidTr="0037473F">
        <w:trPr>
          <w:cantSplit/>
          <w:trHeight w:val="20"/>
        </w:trPr>
        <w:tc>
          <w:tcPr>
            <w:tcW w:w="7745" w:type="dxa"/>
            <w:vAlign w:val="center"/>
            <w:hideMark/>
          </w:tcPr>
          <w:p w14:paraId="4B62F3B9" w14:textId="77777777" w:rsidR="00292657" w:rsidRPr="000C77A2" w:rsidRDefault="00292657" w:rsidP="0037473F">
            <w:pPr>
              <w:keepLines/>
              <w:rPr>
                <w:rFonts w:ascii="Arial Narrow" w:hAnsi="Arial Narrow"/>
                <w:color w:val="333333"/>
                <w:sz w:val="20"/>
                <w:szCs w:val="20"/>
              </w:rPr>
            </w:pPr>
            <w:r w:rsidRPr="000C77A2">
              <w:rPr>
                <w:rFonts w:ascii="Arial Narrow" w:hAnsi="Arial Narrow"/>
                <w:b/>
                <w:bCs/>
                <w:color w:val="333333"/>
                <w:sz w:val="20"/>
                <w:szCs w:val="20"/>
              </w:rPr>
              <w:t>Indication:</w:t>
            </w:r>
            <w:r w:rsidRPr="000C77A2">
              <w:rPr>
                <w:rFonts w:ascii="Arial Narrow" w:hAnsi="Arial Narrow"/>
                <w:color w:val="333333"/>
                <w:sz w:val="20"/>
                <w:szCs w:val="20"/>
              </w:rPr>
              <w:t xml:space="preserve"> </w:t>
            </w:r>
            <w:r w:rsidRPr="000C77A2">
              <w:rPr>
                <w:rFonts w:ascii="Arial Narrow" w:hAnsi="Arial Narrow"/>
                <w:strike/>
                <w:color w:val="333333"/>
                <w:sz w:val="20"/>
                <w:szCs w:val="20"/>
              </w:rPr>
              <w:t>Locally advanced or metastatic Non-small cell lung cancer or Soft Tissue Sarcoma</w:t>
            </w:r>
            <w:r w:rsidRPr="000C77A2">
              <w:rPr>
                <w:rFonts w:ascii="Arial Narrow" w:hAnsi="Arial Narrow"/>
                <w:color w:val="333333"/>
                <w:sz w:val="20"/>
                <w:szCs w:val="20"/>
              </w:rPr>
              <w:t xml:space="preserve"> </w:t>
            </w:r>
            <w:r w:rsidRPr="000C77A2">
              <w:rPr>
                <w:rFonts w:ascii="Arial Narrow" w:hAnsi="Arial Narrow"/>
                <w:i/>
                <w:iCs/>
                <w:color w:val="333333"/>
                <w:sz w:val="20"/>
                <w:szCs w:val="20"/>
              </w:rPr>
              <w:t xml:space="preserve">Solid tumours (of certain specified types) </w:t>
            </w:r>
            <w:r w:rsidRPr="000C77A2">
              <w:rPr>
                <w:rFonts w:ascii="Arial Narrow" w:hAnsi="Arial Narrow"/>
                <w:color w:val="333333"/>
                <w:sz w:val="20"/>
                <w:szCs w:val="20"/>
              </w:rPr>
              <w:t>with confirmed neurotrophic tropomyosin receptor kinase (NTRK) gene fusion</w:t>
            </w:r>
          </w:p>
        </w:tc>
      </w:tr>
      <w:tr w:rsidR="00292657" w:rsidRPr="000C77A2" w14:paraId="4FFC3F2D" w14:textId="77777777" w:rsidTr="0037473F">
        <w:trPr>
          <w:cantSplit/>
          <w:trHeight w:val="20"/>
        </w:trPr>
        <w:tc>
          <w:tcPr>
            <w:tcW w:w="7745" w:type="dxa"/>
            <w:vAlign w:val="center"/>
            <w:hideMark/>
          </w:tcPr>
          <w:p w14:paraId="0B0EC084"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Treatment Phase:</w:t>
            </w:r>
            <w:r w:rsidRPr="000C77A2">
              <w:rPr>
                <w:rFonts w:ascii="Arial Narrow" w:hAnsi="Arial Narrow"/>
                <w:color w:val="FF0000"/>
                <w:sz w:val="20"/>
                <w:szCs w:val="20"/>
              </w:rPr>
              <w:t xml:space="preserve"> </w:t>
            </w:r>
            <w:r w:rsidRPr="000C77A2">
              <w:rPr>
                <w:rFonts w:ascii="Arial Narrow" w:hAnsi="Arial Narrow"/>
                <w:sz w:val="20"/>
                <w:szCs w:val="20"/>
              </w:rPr>
              <w:t>Initial treatment</w:t>
            </w:r>
          </w:p>
        </w:tc>
      </w:tr>
      <w:tr w:rsidR="00292657" w:rsidRPr="000C77A2" w14:paraId="61921AC6" w14:textId="77777777" w:rsidTr="0037473F">
        <w:trPr>
          <w:cantSplit/>
          <w:trHeight w:val="20"/>
        </w:trPr>
        <w:tc>
          <w:tcPr>
            <w:tcW w:w="7745" w:type="dxa"/>
            <w:vAlign w:val="center"/>
            <w:hideMark/>
          </w:tcPr>
          <w:p w14:paraId="1B10762B"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 xml:space="preserve">Clinical criteria: </w:t>
            </w:r>
          </w:p>
        </w:tc>
      </w:tr>
      <w:tr w:rsidR="00292657" w:rsidRPr="000C77A2" w14:paraId="295425F4" w14:textId="77777777" w:rsidTr="0037473F">
        <w:trPr>
          <w:cantSplit/>
          <w:trHeight w:val="20"/>
        </w:trPr>
        <w:tc>
          <w:tcPr>
            <w:tcW w:w="7745" w:type="dxa"/>
            <w:vAlign w:val="center"/>
            <w:hideMark/>
          </w:tcPr>
          <w:p w14:paraId="3D19FEE3" w14:textId="77777777" w:rsidR="00292657" w:rsidRPr="000C77A2" w:rsidRDefault="00292657" w:rsidP="0037473F">
            <w:pPr>
              <w:rPr>
                <w:rFonts w:ascii="Arial Narrow" w:hAnsi="Arial Narrow"/>
                <w:color w:val="333333"/>
                <w:sz w:val="20"/>
                <w:szCs w:val="20"/>
              </w:rPr>
            </w:pPr>
            <w:r w:rsidRPr="000C77A2">
              <w:rPr>
                <w:rFonts w:ascii="Arial Narrow" w:hAnsi="Arial Narrow"/>
                <w:sz w:val="20"/>
                <w:szCs w:val="20"/>
              </w:rPr>
              <w:t>The condition must be confirmed to be positive for a neurotrophic tropomyosin receptor kinase (NTRK) gene fusion prior to treatment initiation with this drug through a pathology report from an Approved Pathology Authority – provide the following evidence: (i) the date of the pathology report substantiating the positive NTRK gene fusion, (ii) the name of the pathology service provider, (iii) the unique identifying number/code linking the pathology test result to the patient; the recency of the pathology report may be of any date,</w:t>
            </w:r>
          </w:p>
        </w:tc>
      </w:tr>
      <w:tr w:rsidR="00292657" w:rsidRPr="000C77A2" w14:paraId="7DF1BDB5" w14:textId="77777777" w:rsidTr="0037473F">
        <w:trPr>
          <w:cantSplit/>
          <w:trHeight w:val="20"/>
        </w:trPr>
        <w:tc>
          <w:tcPr>
            <w:tcW w:w="7745" w:type="dxa"/>
            <w:vAlign w:val="center"/>
            <w:hideMark/>
          </w:tcPr>
          <w:p w14:paraId="1C40D32A"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4B33D6A5" w14:textId="77777777" w:rsidTr="0037473F">
        <w:trPr>
          <w:cantSplit/>
          <w:trHeight w:val="20"/>
        </w:trPr>
        <w:tc>
          <w:tcPr>
            <w:tcW w:w="7745" w:type="dxa"/>
            <w:vAlign w:val="center"/>
            <w:hideMark/>
          </w:tcPr>
          <w:p w14:paraId="3E07C596"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07654B0C" w14:textId="77777777" w:rsidTr="0037473F">
        <w:trPr>
          <w:cantSplit/>
          <w:trHeight w:val="20"/>
        </w:trPr>
        <w:tc>
          <w:tcPr>
            <w:tcW w:w="7745" w:type="dxa"/>
            <w:vAlign w:val="center"/>
            <w:hideMark/>
          </w:tcPr>
          <w:p w14:paraId="1EBE58E7" w14:textId="77777777" w:rsidR="00292657" w:rsidRPr="000C77A2" w:rsidRDefault="00292657" w:rsidP="0037473F">
            <w:pPr>
              <w:rPr>
                <w:rFonts w:ascii="Arial Narrow" w:hAnsi="Arial Narrow"/>
                <w:strike/>
                <w:color w:val="FF0000"/>
                <w:sz w:val="20"/>
                <w:szCs w:val="20"/>
              </w:rPr>
            </w:pPr>
            <w:r w:rsidRPr="000C77A2">
              <w:rPr>
                <w:rFonts w:ascii="Arial Narrow" w:hAnsi="Arial Narrow"/>
                <w:strike/>
                <w:sz w:val="20"/>
                <w:szCs w:val="20"/>
              </w:rPr>
              <w:t xml:space="preserve">Patients must be diagnosed with a solid tumour </w:t>
            </w:r>
          </w:p>
        </w:tc>
      </w:tr>
      <w:tr w:rsidR="00292657" w:rsidRPr="000C77A2" w14:paraId="20F2D7C5" w14:textId="77777777" w:rsidTr="0037473F">
        <w:trPr>
          <w:cantSplit/>
          <w:trHeight w:val="20"/>
        </w:trPr>
        <w:tc>
          <w:tcPr>
            <w:tcW w:w="7745" w:type="dxa"/>
            <w:vAlign w:val="center"/>
          </w:tcPr>
          <w:p w14:paraId="53FCB684" w14:textId="77777777" w:rsidR="00292657" w:rsidRPr="000C77A2" w:rsidRDefault="00292657" w:rsidP="0037473F">
            <w:pPr>
              <w:rPr>
                <w:rFonts w:ascii="Arial Narrow" w:hAnsi="Arial Narrow"/>
                <w:strike/>
                <w:sz w:val="20"/>
                <w:szCs w:val="20"/>
              </w:rPr>
            </w:pPr>
            <w:r w:rsidRPr="000C77A2">
              <w:rPr>
                <w:rFonts w:ascii="Arial Narrow" w:hAnsi="Arial Narrow"/>
                <w:b/>
                <w:bCs/>
                <w:color w:val="333333"/>
                <w:sz w:val="20"/>
                <w:szCs w:val="20"/>
              </w:rPr>
              <w:t>AND</w:t>
            </w:r>
          </w:p>
        </w:tc>
      </w:tr>
      <w:tr w:rsidR="00292657" w:rsidRPr="000C77A2" w14:paraId="537F5F46" w14:textId="77777777" w:rsidTr="0037473F">
        <w:trPr>
          <w:cantSplit/>
          <w:trHeight w:val="20"/>
        </w:trPr>
        <w:tc>
          <w:tcPr>
            <w:tcW w:w="7745" w:type="dxa"/>
            <w:vAlign w:val="center"/>
          </w:tcPr>
          <w:p w14:paraId="1F4C7709" w14:textId="77777777" w:rsidR="00292657" w:rsidRPr="000C77A2" w:rsidRDefault="00292657" w:rsidP="0037473F">
            <w:pPr>
              <w:rPr>
                <w:rFonts w:ascii="Arial Narrow" w:hAnsi="Arial Narrow"/>
                <w:strike/>
                <w:sz w:val="20"/>
                <w:szCs w:val="20"/>
              </w:rPr>
            </w:pPr>
            <w:r w:rsidRPr="000C77A2">
              <w:rPr>
                <w:rFonts w:ascii="Arial Narrow" w:hAnsi="Arial Narrow"/>
                <w:b/>
                <w:bCs/>
                <w:color w:val="333333"/>
                <w:sz w:val="20"/>
                <w:szCs w:val="20"/>
              </w:rPr>
              <w:t>Clinical criteria:</w:t>
            </w:r>
          </w:p>
        </w:tc>
      </w:tr>
      <w:tr w:rsidR="00292657" w:rsidRPr="000C77A2" w14:paraId="619AC681" w14:textId="77777777" w:rsidTr="0037473F">
        <w:trPr>
          <w:cantSplit/>
          <w:trHeight w:val="20"/>
        </w:trPr>
        <w:tc>
          <w:tcPr>
            <w:tcW w:w="7745" w:type="dxa"/>
            <w:vAlign w:val="center"/>
          </w:tcPr>
          <w:p w14:paraId="5876D373" w14:textId="77777777" w:rsidR="00292657" w:rsidRPr="000C77A2" w:rsidRDefault="00292657" w:rsidP="0037473F">
            <w:pPr>
              <w:rPr>
                <w:rFonts w:ascii="Arial Narrow" w:hAnsi="Arial Narrow"/>
                <w:i/>
                <w:iCs/>
                <w:sz w:val="20"/>
                <w:szCs w:val="20"/>
              </w:rPr>
            </w:pPr>
            <w:r w:rsidRPr="000C77A2">
              <w:rPr>
                <w:rFonts w:ascii="Arial Narrow" w:hAnsi="Arial Narrow"/>
                <w:i/>
                <w:iCs/>
                <w:sz w:val="20"/>
                <w:szCs w:val="20"/>
              </w:rPr>
              <w:t>The condition must be non-small cell lung cancer confirmed through a pathology report from an Approved Pathology Authority (of any date); or</w:t>
            </w:r>
          </w:p>
        </w:tc>
      </w:tr>
      <w:tr w:rsidR="00292657" w:rsidRPr="000C77A2" w14:paraId="61C3E47F" w14:textId="77777777" w:rsidTr="0037473F">
        <w:trPr>
          <w:cantSplit/>
          <w:trHeight w:val="20"/>
        </w:trPr>
        <w:tc>
          <w:tcPr>
            <w:tcW w:w="7745" w:type="dxa"/>
            <w:vAlign w:val="center"/>
          </w:tcPr>
          <w:p w14:paraId="09BE3A01" w14:textId="77777777" w:rsidR="00292657" w:rsidRPr="000C77A2" w:rsidRDefault="00292657" w:rsidP="0037473F">
            <w:pPr>
              <w:rPr>
                <w:rFonts w:ascii="Arial Narrow" w:hAnsi="Arial Narrow"/>
                <w:i/>
                <w:iCs/>
                <w:sz w:val="20"/>
                <w:szCs w:val="20"/>
              </w:rPr>
            </w:pPr>
            <w:r w:rsidRPr="000C77A2">
              <w:rPr>
                <w:rFonts w:ascii="Arial Narrow" w:hAnsi="Arial Narrow"/>
                <w:i/>
                <w:iCs/>
                <w:sz w:val="20"/>
                <w:szCs w:val="20"/>
              </w:rPr>
              <w:lastRenderedPageBreak/>
              <w:t xml:space="preserve">The condition must be soft tissue sarcoma confirmed through a pathology report from an Approved Pathology Authority (of any date). </w:t>
            </w:r>
          </w:p>
        </w:tc>
      </w:tr>
      <w:tr w:rsidR="00292657" w:rsidRPr="000C77A2" w14:paraId="2F3AEA66" w14:textId="77777777" w:rsidTr="0037473F">
        <w:trPr>
          <w:cantSplit/>
          <w:trHeight w:val="20"/>
        </w:trPr>
        <w:tc>
          <w:tcPr>
            <w:tcW w:w="7745" w:type="dxa"/>
            <w:vAlign w:val="center"/>
            <w:hideMark/>
          </w:tcPr>
          <w:p w14:paraId="3321B574"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49F8E810" w14:textId="77777777" w:rsidTr="0037473F">
        <w:trPr>
          <w:cantSplit/>
          <w:trHeight w:val="20"/>
        </w:trPr>
        <w:tc>
          <w:tcPr>
            <w:tcW w:w="7745" w:type="dxa"/>
            <w:vAlign w:val="center"/>
            <w:hideMark/>
          </w:tcPr>
          <w:p w14:paraId="023F1AEF"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2455481C" w14:textId="77777777" w:rsidTr="0037473F">
        <w:trPr>
          <w:cantSplit/>
          <w:trHeight w:val="20"/>
        </w:trPr>
        <w:tc>
          <w:tcPr>
            <w:tcW w:w="7745" w:type="dxa"/>
            <w:vAlign w:val="center"/>
            <w:hideMark/>
          </w:tcPr>
          <w:p w14:paraId="6CEB9237" w14:textId="77777777" w:rsidR="00292657" w:rsidRPr="000C77A2" w:rsidRDefault="00292657" w:rsidP="0037473F">
            <w:pPr>
              <w:rPr>
                <w:rFonts w:ascii="Arial Narrow" w:hAnsi="Arial Narrow"/>
                <w:color w:val="333333"/>
                <w:sz w:val="20"/>
                <w:szCs w:val="20"/>
              </w:rPr>
            </w:pPr>
            <w:r w:rsidRPr="000C77A2">
              <w:rPr>
                <w:rFonts w:ascii="Arial Narrow" w:hAnsi="Arial Narrow"/>
                <w:i/>
                <w:iCs/>
                <w:color w:val="333333"/>
                <w:sz w:val="20"/>
                <w:szCs w:val="20"/>
              </w:rPr>
              <w:t xml:space="preserve">The </w:t>
            </w:r>
            <w:r w:rsidRPr="000C77A2">
              <w:rPr>
                <w:rFonts w:ascii="Arial Narrow" w:hAnsi="Arial Narrow"/>
                <w:color w:val="333333"/>
                <w:sz w:val="20"/>
                <w:szCs w:val="20"/>
              </w:rPr>
              <w:t xml:space="preserve">condition must be metastatic </w:t>
            </w:r>
            <w:r w:rsidRPr="000C77A2">
              <w:rPr>
                <w:rFonts w:ascii="Arial Narrow" w:hAnsi="Arial Narrow"/>
                <w:i/>
                <w:iCs/>
                <w:color w:val="333333"/>
                <w:sz w:val="20"/>
                <w:szCs w:val="20"/>
              </w:rPr>
              <w:t>disease</w:t>
            </w:r>
            <w:r w:rsidRPr="000C77A2">
              <w:rPr>
                <w:rFonts w:ascii="Arial Narrow" w:hAnsi="Arial Narrow"/>
                <w:color w:val="333333"/>
                <w:sz w:val="20"/>
                <w:szCs w:val="20"/>
              </w:rPr>
              <w:t xml:space="preserve">; OR </w:t>
            </w:r>
          </w:p>
        </w:tc>
      </w:tr>
      <w:tr w:rsidR="00292657" w:rsidRPr="000C77A2" w14:paraId="2AE542A1" w14:textId="77777777" w:rsidTr="0037473F">
        <w:trPr>
          <w:cantSplit/>
          <w:trHeight w:val="20"/>
        </w:trPr>
        <w:tc>
          <w:tcPr>
            <w:tcW w:w="7745" w:type="dxa"/>
            <w:vAlign w:val="center"/>
          </w:tcPr>
          <w:p w14:paraId="76BC2506" w14:textId="77777777" w:rsidR="00292657" w:rsidRPr="000C77A2" w:rsidRDefault="00292657" w:rsidP="0037473F">
            <w:pPr>
              <w:rPr>
                <w:rFonts w:ascii="Arial Narrow" w:hAnsi="Arial Narrow"/>
                <w:color w:val="333333"/>
                <w:sz w:val="20"/>
                <w:szCs w:val="20"/>
              </w:rPr>
            </w:pPr>
            <w:r w:rsidRPr="000C77A2">
              <w:rPr>
                <w:rFonts w:ascii="Arial Narrow" w:hAnsi="Arial Narrow"/>
                <w:i/>
                <w:iCs/>
                <w:color w:val="333333"/>
                <w:sz w:val="20"/>
                <w:szCs w:val="20"/>
              </w:rPr>
              <w:t xml:space="preserve">The </w:t>
            </w:r>
            <w:r w:rsidRPr="000C77A2">
              <w:rPr>
                <w:rFonts w:ascii="Arial Narrow" w:hAnsi="Arial Narrow"/>
                <w:color w:val="333333"/>
                <w:sz w:val="20"/>
                <w:szCs w:val="20"/>
              </w:rPr>
              <w:t xml:space="preserve">condition must be both: (i) locally advanced, (ii) unresectable </w:t>
            </w:r>
          </w:p>
        </w:tc>
      </w:tr>
      <w:tr w:rsidR="00292657" w:rsidRPr="000C77A2" w14:paraId="1F5CAED9" w14:textId="77777777" w:rsidTr="0037473F">
        <w:trPr>
          <w:cantSplit/>
          <w:trHeight w:val="20"/>
        </w:trPr>
        <w:tc>
          <w:tcPr>
            <w:tcW w:w="7745" w:type="dxa"/>
            <w:vAlign w:val="center"/>
          </w:tcPr>
          <w:p w14:paraId="3839E03F"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1388AAE7" w14:textId="77777777" w:rsidTr="0037473F">
        <w:trPr>
          <w:cantSplit/>
          <w:trHeight w:val="20"/>
        </w:trPr>
        <w:tc>
          <w:tcPr>
            <w:tcW w:w="7745" w:type="dxa"/>
            <w:vAlign w:val="center"/>
          </w:tcPr>
          <w:p w14:paraId="41AC8C21"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147ACBD9" w14:textId="77777777" w:rsidTr="0037473F">
        <w:trPr>
          <w:cantSplit/>
          <w:trHeight w:val="20"/>
        </w:trPr>
        <w:tc>
          <w:tcPr>
            <w:tcW w:w="7745" w:type="dxa"/>
            <w:vAlign w:val="center"/>
          </w:tcPr>
          <w:p w14:paraId="7D111C62" w14:textId="77777777" w:rsidR="00292657" w:rsidRPr="000C77A2" w:rsidRDefault="00292657" w:rsidP="0037473F">
            <w:pPr>
              <w:rPr>
                <w:rFonts w:ascii="Arial Narrow" w:hAnsi="Arial Narrow"/>
                <w:color w:val="333333"/>
                <w:sz w:val="20"/>
                <w:szCs w:val="20"/>
              </w:rPr>
            </w:pPr>
            <w:r w:rsidRPr="000C77A2">
              <w:rPr>
                <w:rFonts w:ascii="Arial Narrow" w:hAnsi="Arial Narrow"/>
                <w:i/>
                <w:iCs/>
                <w:color w:val="333333"/>
                <w:sz w:val="20"/>
                <w:szCs w:val="20"/>
              </w:rPr>
              <w:t xml:space="preserve">The </w:t>
            </w:r>
            <w:r w:rsidRPr="000C77A2">
              <w:rPr>
                <w:rFonts w:ascii="Arial Narrow" w:hAnsi="Arial Narrow"/>
                <w:color w:val="333333"/>
                <w:sz w:val="20"/>
                <w:szCs w:val="20"/>
              </w:rPr>
              <w:t>treatment must be the sole PBS-subsidised anti-cancer therapy for this condition.</w:t>
            </w:r>
          </w:p>
        </w:tc>
      </w:tr>
      <w:tr w:rsidR="00292657" w:rsidRPr="000C77A2" w14:paraId="62B3DCA5" w14:textId="77777777" w:rsidTr="0037473F">
        <w:trPr>
          <w:cantSplit/>
          <w:trHeight w:val="20"/>
        </w:trPr>
        <w:tc>
          <w:tcPr>
            <w:tcW w:w="7745" w:type="dxa"/>
            <w:vAlign w:val="center"/>
            <w:hideMark/>
          </w:tcPr>
          <w:p w14:paraId="45EAFB34" w14:textId="77777777" w:rsidR="00292657" w:rsidRPr="000C77A2" w:rsidRDefault="00292657" w:rsidP="0037473F">
            <w:pPr>
              <w:keepNext/>
              <w:rPr>
                <w:rFonts w:ascii="Arial Narrow" w:hAnsi="Arial Narrow"/>
                <w:color w:val="333333"/>
                <w:sz w:val="20"/>
                <w:szCs w:val="20"/>
              </w:rPr>
            </w:pPr>
            <w:r w:rsidRPr="000C77A2">
              <w:rPr>
                <w:rFonts w:ascii="Arial Narrow" w:hAnsi="Arial Narrow"/>
                <w:b/>
                <w:bCs/>
                <w:color w:val="333333"/>
                <w:sz w:val="20"/>
                <w:szCs w:val="20"/>
              </w:rPr>
              <w:t>Treatment criteria:</w:t>
            </w:r>
          </w:p>
        </w:tc>
      </w:tr>
      <w:tr w:rsidR="00292657" w:rsidRPr="000C77A2" w14:paraId="7A9712AF" w14:textId="77777777" w:rsidTr="0037473F">
        <w:trPr>
          <w:cantSplit/>
          <w:trHeight w:val="20"/>
        </w:trPr>
        <w:tc>
          <w:tcPr>
            <w:tcW w:w="7745" w:type="dxa"/>
            <w:vAlign w:val="center"/>
            <w:hideMark/>
          </w:tcPr>
          <w:p w14:paraId="29248F38" w14:textId="77777777" w:rsidR="00292657" w:rsidRPr="000C77A2" w:rsidRDefault="00292657" w:rsidP="0037473F">
            <w:pPr>
              <w:autoSpaceDE w:val="0"/>
              <w:autoSpaceDN w:val="0"/>
              <w:adjustRightInd w:val="0"/>
              <w:rPr>
                <w:rFonts w:ascii="Arial Narrow" w:hAnsi="Arial Narrow" w:cs="Arial Narrow"/>
                <w:sz w:val="20"/>
                <w:szCs w:val="20"/>
              </w:rPr>
            </w:pPr>
            <w:r w:rsidRPr="000C77A2">
              <w:rPr>
                <w:rFonts w:ascii="Arial Narrow" w:hAnsi="Arial Narrow" w:cs="Arial Narrow"/>
                <w:sz w:val="20"/>
                <w:szCs w:val="20"/>
              </w:rPr>
              <w:t xml:space="preserve">Patient must not be undergoing treatment through this Initial treatment phase listing where the patient has developed disease progression while receiving this drug for this condition, </w:t>
            </w:r>
          </w:p>
        </w:tc>
      </w:tr>
      <w:tr w:rsidR="00292657" w:rsidRPr="000C77A2" w14:paraId="00F8845B" w14:textId="77777777" w:rsidTr="0037473F">
        <w:trPr>
          <w:cantSplit/>
          <w:trHeight w:val="20"/>
        </w:trPr>
        <w:tc>
          <w:tcPr>
            <w:tcW w:w="7745" w:type="dxa"/>
            <w:vAlign w:val="center"/>
          </w:tcPr>
          <w:p w14:paraId="10B4BE63" w14:textId="77777777" w:rsidR="00292657" w:rsidRPr="000C77A2" w:rsidRDefault="00292657" w:rsidP="0037473F">
            <w:pPr>
              <w:autoSpaceDE w:val="0"/>
              <w:autoSpaceDN w:val="0"/>
              <w:adjustRightInd w:val="0"/>
              <w:rPr>
                <w:rFonts w:ascii="Arial Narrow" w:hAnsi="Arial Narrow" w:cs="Arial Narrow"/>
                <w:sz w:val="20"/>
                <w:szCs w:val="20"/>
              </w:rPr>
            </w:pPr>
            <w:r w:rsidRPr="000C77A2">
              <w:rPr>
                <w:rFonts w:ascii="Arial Narrow" w:hAnsi="Arial Narrow"/>
                <w:b/>
                <w:bCs/>
                <w:color w:val="333333"/>
                <w:sz w:val="20"/>
                <w:szCs w:val="20"/>
              </w:rPr>
              <w:t>AND</w:t>
            </w:r>
          </w:p>
        </w:tc>
      </w:tr>
      <w:tr w:rsidR="00292657" w:rsidRPr="000C77A2" w14:paraId="147D61C8" w14:textId="77777777" w:rsidTr="0037473F">
        <w:trPr>
          <w:cantSplit/>
          <w:trHeight w:val="20"/>
        </w:trPr>
        <w:tc>
          <w:tcPr>
            <w:tcW w:w="7745" w:type="dxa"/>
            <w:vAlign w:val="center"/>
          </w:tcPr>
          <w:p w14:paraId="58FA46DD"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Treatment criteria:</w:t>
            </w:r>
          </w:p>
        </w:tc>
      </w:tr>
      <w:tr w:rsidR="00292657" w:rsidRPr="000C77A2" w14:paraId="58532A8D" w14:textId="77777777" w:rsidTr="0037473F">
        <w:trPr>
          <w:cantSplit/>
          <w:trHeight w:val="20"/>
        </w:trPr>
        <w:tc>
          <w:tcPr>
            <w:tcW w:w="7745" w:type="dxa"/>
            <w:vAlign w:val="center"/>
          </w:tcPr>
          <w:p w14:paraId="291CFE43"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Patient must not receive more than 3 months of treatment under this restriction</w:t>
            </w:r>
          </w:p>
        </w:tc>
      </w:tr>
      <w:tr w:rsidR="00292657" w:rsidRPr="000C77A2" w14:paraId="57854783" w14:textId="77777777" w:rsidTr="0037473F">
        <w:trPr>
          <w:cantSplit/>
          <w:trHeight w:val="20"/>
        </w:trPr>
        <w:tc>
          <w:tcPr>
            <w:tcW w:w="7745" w:type="dxa"/>
            <w:vAlign w:val="center"/>
            <w:hideMark/>
          </w:tcPr>
          <w:p w14:paraId="099457BD" w14:textId="77777777" w:rsidR="00292657" w:rsidRPr="000C77A2" w:rsidRDefault="00292657" w:rsidP="0037473F">
            <w:pPr>
              <w:rPr>
                <w:rFonts w:ascii="Arial Narrow" w:hAnsi="Arial Narrow"/>
                <w:bCs/>
                <w:color w:val="FF0000"/>
                <w:sz w:val="20"/>
                <w:szCs w:val="20"/>
              </w:rPr>
            </w:pPr>
            <w:r w:rsidRPr="000C77A2">
              <w:rPr>
                <w:rFonts w:ascii="Arial Narrow" w:hAnsi="Arial Narrow"/>
                <w:b/>
                <w:bCs/>
                <w:color w:val="333333"/>
                <w:sz w:val="20"/>
                <w:szCs w:val="20"/>
              </w:rPr>
              <w:t xml:space="preserve">Prescribing Instructions: </w:t>
            </w:r>
          </w:p>
          <w:p w14:paraId="1AF6B272" w14:textId="77777777" w:rsidR="00292657" w:rsidRPr="000C77A2" w:rsidRDefault="00292657" w:rsidP="0037473F">
            <w:pPr>
              <w:rPr>
                <w:rFonts w:ascii="Arial Narrow" w:hAnsi="Arial Narrow"/>
                <w:bCs/>
                <w:i/>
                <w:iCs/>
                <w:sz w:val="20"/>
                <w:szCs w:val="20"/>
              </w:rPr>
            </w:pPr>
            <w:r w:rsidRPr="000C77A2">
              <w:rPr>
                <w:rFonts w:ascii="Arial Narrow" w:hAnsi="Arial Narrow"/>
                <w:bCs/>
                <w:i/>
                <w:iCs/>
                <w:sz w:val="20"/>
                <w:szCs w:val="20"/>
              </w:rPr>
              <w:t>The authority application must be made via the Online PBS Authorities System (real time assessment), or in writing via HPOS form upload or mail, and must include:</w:t>
            </w:r>
          </w:p>
          <w:p w14:paraId="05288F84" w14:textId="77777777" w:rsidR="00292657" w:rsidRPr="000C77A2" w:rsidRDefault="00292657" w:rsidP="0037473F">
            <w:pPr>
              <w:rPr>
                <w:rFonts w:ascii="Arial Narrow" w:hAnsi="Arial Narrow"/>
                <w:i/>
                <w:iCs/>
                <w:sz w:val="20"/>
                <w:szCs w:val="20"/>
              </w:rPr>
            </w:pPr>
            <w:r w:rsidRPr="000C77A2">
              <w:rPr>
                <w:rFonts w:ascii="Arial Narrow" w:hAnsi="Arial Narrow"/>
                <w:bCs/>
                <w:i/>
                <w:iCs/>
                <w:sz w:val="20"/>
                <w:szCs w:val="20"/>
              </w:rPr>
              <w:t>(</w:t>
            </w:r>
            <w:r w:rsidRPr="000C77A2">
              <w:rPr>
                <w:rFonts w:ascii="Arial Narrow" w:hAnsi="Arial Narrow"/>
                <w:i/>
                <w:iCs/>
                <w:sz w:val="20"/>
                <w:szCs w:val="20"/>
              </w:rPr>
              <w:t xml:space="preserve">a) details of the pathology report substantiating the positive NTRK gene fusion. The recency of the pathology report may be of any date. </w:t>
            </w:r>
          </w:p>
          <w:p w14:paraId="0016751A" w14:textId="77777777" w:rsidR="00292657" w:rsidRPr="000C77A2" w:rsidRDefault="00292657" w:rsidP="0037473F">
            <w:pPr>
              <w:rPr>
                <w:rFonts w:ascii="Arial Narrow" w:hAnsi="Arial Narrow"/>
                <w:i/>
                <w:iCs/>
                <w:sz w:val="20"/>
                <w:szCs w:val="20"/>
              </w:rPr>
            </w:pPr>
            <w:r w:rsidRPr="000C77A2">
              <w:rPr>
                <w:rFonts w:ascii="Arial Narrow" w:hAnsi="Arial Narrow"/>
                <w:i/>
                <w:iCs/>
                <w:sz w:val="20"/>
                <w:szCs w:val="20"/>
              </w:rPr>
              <w:t>(b) details of the pathology report establishing the carcinoma type (non-small cell lung cancer or soft tissue sarcoma) being treated, if different to the pathology report provided to substantiate the NTRK gene fusion.</w:t>
            </w:r>
          </w:p>
          <w:p w14:paraId="7897181F" w14:textId="77777777" w:rsidR="00292657" w:rsidRPr="000C77A2" w:rsidRDefault="00292657" w:rsidP="0037473F">
            <w:pPr>
              <w:rPr>
                <w:rFonts w:ascii="Arial Narrow" w:hAnsi="Arial Narrow"/>
                <w:i/>
                <w:iCs/>
                <w:sz w:val="20"/>
                <w:szCs w:val="20"/>
              </w:rPr>
            </w:pPr>
            <w:r w:rsidRPr="000C77A2">
              <w:rPr>
                <w:rFonts w:ascii="Arial Narrow" w:hAnsi="Arial Narrow"/>
                <w:i/>
                <w:iCs/>
                <w:sz w:val="20"/>
                <w:szCs w:val="20"/>
              </w:rPr>
              <w:t xml:space="preserve">All reports must be documented in the patient’s medical records. </w:t>
            </w:r>
          </w:p>
        </w:tc>
      </w:tr>
      <w:tr w:rsidR="00292657" w:rsidRPr="000C77A2" w14:paraId="78E9187A" w14:textId="77777777" w:rsidTr="0037473F">
        <w:trPr>
          <w:cantSplit/>
          <w:trHeight w:val="20"/>
        </w:trPr>
        <w:tc>
          <w:tcPr>
            <w:tcW w:w="7745" w:type="dxa"/>
            <w:vAlign w:val="center"/>
          </w:tcPr>
          <w:p w14:paraId="2F154395" w14:textId="77777777" w:rsidR="00292657" w:rsidRPr="000C77A2" w:rsidRDefault="00292657" w:rsidP="0037473F">
            <w:pPr>
              <w:rPr>
                <w:rFonts w:ascii="Arial Narrow" w:hAnsi="Arial Narrow"/>
                <w:bCs/>
                <w:color w:val="FF0000"/>
                <w:sz w:val="20"/>
                <w:szCs w:val="20"/>
              </w:rPr>
            </w:pPr>
            <w:r w:rsidRPr="000C77A2">
              <w:rPr>
                <w:rFonts w:ascii="Arial Narrow" w:hAnsi="Arial Narrow"/>
                <w:b/>
                <w:bCs/>
                <w:color w:val="333333"/>
                <w:sz w:val="20"/>
                <w:szCs w:val="20"/>
              </w:rPr>
              <w:t xml:space="preserve">Prescribing Instructions: </w:t>
            </w:r>
          </w:p>
          <w:p w14:paraId="5DCE808C"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If the application is submitted through HPOS upload or mail, it must include:</w:t>
            </w:r>
          </w:p>
          <w:p w14:paraId="56265765" w14:textId="77777777" w:rsidR="00292657" w:rsidRPr="000C77A2" w:rsidRDefault="00292657" w:rsidP="0037473F">
            <w:pPr>
              <w:rPr>
                <w:rFonts w:ascii="Arial Narrow" w:hAnsi="Arial Narrow"/>
                <w:i/>
                <w:iCs/>
                <w:color w:val="333333"/>
                <w:sz w:val="20"/>
                <w:szCs w:val="20"/>
              </w:rPr>
            </w:pPr>
            <w:r w:rsidRPr="000C77A2">
              <w:rPr>
                <w:rFonts w:ascii="Arial Narrow" w:hAnsi="Arial Narrow"/>
                <w:i/>
                <w:iCs/>
                <w:color w:val="333333"/>
                <w:sz w:val="20"/>
                <w:szCs w:val="20"/>
              </w:rPr>
              <w:t xml:space="preserve">(i) a completed authority prescription form; and </w:t>
            </w:r>
          </w:p>
          <w:p w14:paraId="17F3A40C" w14:textId="77777777" w:rsidR="00292657" w:rsidRPr="000C77A2" w:rsidRDefault="00292657" w:rsidP="0037473F">
            <w:pPr>
              <w:rPr>
                <w:rFonts w:ascii="Arial Narrow" w:hAnsi="Arial Narrow"/>
                <w:i/>
                <w:iCs/>
                <w:sz w:val="20"/>
                <w:szCs w:val="20"/>
              </w:rPr>
            </w:pPr>
            <w:r w:rsidRPr="000C77A2">
              <w:rPr>
                <w:rFonts w:ascii="Arial Narrow" w:hAnsi="Arial Narrow"/>
                <w:i/>
                <w:iCs/>
                <w:sz w:val="20"/>
                <w:szCs w:val="20"/>
              </w:rPr>
              <w:t xml:space="preserve">(ii) a completed authority application form relevant to the indication and treatment phase (the latest version is located on the website specified in the Administrative Advice). </w:t>
            </w:r>
          </w:p>
        </w:tc>
      </w:tr>
    </w:tbl>
    <w:p w14:paraId="447F2409" w14:textId="77777777" w:rsidR="00292657" w:rsidRPr="000C77A2" w:rsidRDefault="00292657" w:rsidP="00292657"/>
    <w:p w14:paraId="1EC63A86" w14:textId="77777777" w:rsidR="00292657" w:rsidRPr="000C77A2" w:rsidRDefault="00292657" w:rsidP="00292657">
      <w:pPr>
        <w:pStyle w:val="Caption"/>
      </w:pPr>
      <w:r w:rsidRPr="000C77A2">
        <w:t>Essential elements of the requested listing (continuing pack)</w:t>
      </w:r>
    </w:p>
    <w:tbl>
      <w:tblPr>
        <w:tblStyle w:val="HTATableshaded"/>
        <w:tblW w:w="0" w:type="auto"/>
        <w:tblLook w:val="04A0" w:firstRow="1" w:lastRow="0" w:firstColumn="1" w:lastColumn="0" w:noHBand="0" w:noVBand="1"/>
      </w:tblPr>
      <w:tblGrid>
        <w:gridCol w:w="2641"/>
        <w:gridCol w:w="1546"/>
        <w:gridCol w:w="1038"/>
        <w:gridCol w:w="2029"/>
        <w:gridCol w:w="1763"/>
      </w:tblGrid>
      <w:tr w:rsidR="00292657" w:rsidRPr="000C77A2" w14:paraId="61A985C5" w14:textId="77777777" w:rsidTr="0037473F">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35BFE8D8" w14:textId="77777777" w:rsidR="00292657" w:rsidRPr="000C77A2" w:rsidRDefault="00292657" w:rsidP="0037473F">
            <w:pPr>
              <w:keepNext/>
              <w:widowControl w:val="0"/>
              <w:spacing w:before="0" w:after="0"/>
              <w:jc w:val="left"/>
              <w:rPr>
                <w:rFonts w:ascii="Arial Narrow" w:hAnsi="Arial Narrow"/>
                <w:b/>
                <w:sz w:val="20"/>
              </w:rPr>
            </w:pPr>
            <w:r w:rsidRPr="000C77A2">
              <w:rPr>
                <w:rFonts w:ascii="Arial Narrow" w:hAnsi="Arial Narrow"/>
                <w:b/>
                <w:sz w:val="20"/>
              </w:rPr>
              <w:t>Name, restriction, manner of administration, form</w:t>
            </w:r>
          </w:p>
        </w:tc>
        <w:tc>
          <w:tcPr>
            <w:tcW w:w="0" w:type="auto"/>
          </w:tcPr>
          <w:p w14:paraId="1E5468DC" w14:textId="77777777" w:rsidR="00292657" w:rsidRPr="000C77A2" w:rsidRDefault="00292657" w:rsidP="0037473F">
            <w:pPr>
              <w:keepNext/>
              <w:widowControl w:val="0"/>
              <w:spacing w:before="0" w:after="0"/>
              <w:jc w:val="left"/>
              <w:rPr>
                <w:rFonts w:ascii="Arial Narrow" w:hAnsi="Arial Narrow"/>
                <w:b/>
                <w:sz w:val="20"/>
              </w:rPr>
            </w:pPr>
            <w:r w:rsidRPr="000C77A2">
              <w:rPr>
                <w:rFonts w:ascii="Arial Narrow" w:hAnsi="Arial Narrow"/>
                <w:b/>
                <w:sz w:val="20"/>
              </w:rPr>
              <w:t>Maximum quantity (units)</w:t>
            </w:r>
          </w:p>
        </w:tc>
        <w:tc>
          <w:tcPr>
            <w:tcW w:w="0" w:type="auto"/>
          </w:tcPr>
          <w:p w14:paraId="274770DA" w14:textId="77777777" w:rsidR="00292657" w:rsidRPr="000C77A2" w:rsidRDefault="00292657" w:rsidP="0037473F">
            <w:pPr>
              <w:keepNext/>
              <w:widowControl w:val="0"/>
              <w:spacing w:before="0" w:after="0"/>
              <w:jc w:val="left"/>
              <w:rPr>
                <w:rFonts w:ascii="Arial Narrow" w:hAnsi="Arial Narrow"/>
                <w:b/>
                <w:sz w:val="20"/>
              </w:rPr>
            </w:pPr>
            <w:r w:rsidRPr="000C77A2">
              <w:rPr>
                <w:rFonts w:ascii="Arial Narrow" w:hAnsi="Arial Narrow"/>
                <w:b/>
                <w:sz w:val="20"/>
              </w:rPr>
              <w:t>No. of repeats</w:t>
            </w:r>
          </w:p>
        </w:tc>
        <w:tc>
          <w:tcPr>
            <w:tcW w:w="2029" w:type="dxa"/>
          </w:tcPr>
          <w:p w14:paraId="7AC1261F" w14:textId="77777777" w:rsidR="00292657" w:rsidRPr="000C77A2" w:rsidRDefault="00292657" w:rsidP="0037473F">
            <w:pPr>
              <w:keepNext/>
              <w:widowControl w:val="0"/>
              <w:spacing w:before="0" w:after="0"/>
              <w:jc w:val="left"/>
              <w:rPr>
                <w:rFonts w:ascii="Arial Narrow" w:hAnsi="Arial Narrow"/>
                <w:b/>
                <w:sz w:val="20"/>
              </w:rPr>
            </w:pPr>
            <w:r w:rsidRPr="000C77A2">
              <w:rPr>
                <w:rFonts w:ascii="Arial Narrow" w:hAnsi="Arial Narrow"/>
                <w:b/>
                <w:sz w:val="20"/>
              </w:rPr>
              <w:t>Dispensed price for maximum quantity</w:t>
            </w:r>
          </w:p>
        </w:tc>
        <w:tc>
          <w:tcPr>
            <w:tcW w:w="1763" w:type="dxa"/>
          </w:tcPr>
          <w:p w14:paraId="5EE065AD" w14:textId="77777777" w:rsidR="00292657" w:rsidRPr="000C77A2" w:rsidRDefault="00292657" w:rsidP="0037473F">
            <w:pPr>
              <w:keepNext/>
              <w:widowControl w:val="0"/>
              <w:spacing w:before="0" w:after="0"/>
              <w:jc w:val="left"/>
              <w:rPr>
                <w:rFonts w:ascii="Arial Narrow" w:hAnsi="Arial Narrow"/>
                <w:b/>
                <w:sz w:val="20"/>
              </w:rPr>
            </w:pPr>
            <w:r w:rsidRPr="000C77A2">
              <w:rPr>
                <w:rFonts w:ascii="Arial Narrow" w:hAnsi="Arial Narrow"/>
                <w:b/>
                <w:sz w:val="20"/>
              </w:rPr>
              <w:t>Proprietary name and manufacturer</w:t>
            </w:r>
          </w:p>
        </w:tc>
      </w:tr>
      <w:tr w:rsidR="00292657" w:rsidRPr="000C77A2" w14:paraId="3E8FB66D" w14:textId="77777777" w:rsidTr="0037473F">
        <w:trPr>
          <w:cantSplit/>
        </w:trPr>
        <w:tc>
          <w:tcPr>
            <w:tcW w:w="0" w:type="auto"/>
          </w:tcPr>
          <w:p w14:paraId="3F7DD44C"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Larotrectinib, 100 mg, oral capsules</w:t>
            </w:r>
          </w:p>
        </w:tc>
        <w:tc>
          <w:tcPr>
            <w:tcW w:w="0" w:type="auto"/>
          </w:tcPr>
          <w:p w14:paraId="59463981"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56</w:t>
            </w:r>
          </w:p>
        </w:tc>
        <w:tc>
          <w:tcPr>
            <w:tcW w:w="0" w:type="auto"/>
          </w:tcPr>
          <w:p w14:paraId="7618F828"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5</w:t>
            </w:r>
          </w:p>
        </w:tc>
        <w:tc>
          <w:tcPr>
            <w:tcW w:w="2029" w:type="dxa"/>
          </w:tcPr>
          <w:p w14:paraId="36F4FEC2" w14:textId="372F8269"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Published $12,537.13</w:t>
            </w:r>
            <w:r w:rsidRPr="000C77A2">
              <w:rPr>
                <w:rFonts w:ascii="Arial Narrow" w:hAnsi="Arial Narrow"/>
                <w:sz w:val="20"/>
              </w:rPr>
              <w:br/>
              <w:t>Effective $</w:t>
            </w:r>
            <w:r w:rsidR="00C66EC7" w:rsidRPr="00C66EC7">
              <w:rPr>
                <w:rFonts w:ascii="Arial Narrow" w:hAnsi="Arial Narrow"/>
                <w:color w:val="000000"/>
                <w:spacing w:val="53"/>
                <w:sz w:val="20"/>
                <w:shd w:val="solid" w:color="000000" w:fill="000000"/>
                <w:fitText w:val="330" w:id="-962355196"/>
                <w14:textFill>
                  <w14:solidFill>
                    <w14:srgbClr w14:val="000000">
                      <w14:alpha w14:val="100000"/>
                    </w14:srgbClr>
                  </w14:solidFill>
                </w14:textFill>
              </w:rPr>
              <w:t>|||</w:t>
            </w:r>
            <w:r w:rsidR="00C66EC7" w:rsidRPr="00C66EC7">
              <w:rPr>
                <w:rFonts w:ascii="Arial Narrow" w:hAnsi="Arial Narrow"/>
                <w:color w:val="000000"/>
                <w:spacing w:val="1"/>
                <w:sz w:val="20"/>
                <w:shd w:val="solid" w:color="000000" w:fill="000000"/>
                <w:fitText w:val="330" w:id="-962355196"/>
                <w14:textFill>
                  <w14:solidFill>
                    <w14:srgbClr w14:val="000000">
                      <w14:alpha w14:val="100000"/>
                    </w14:srgbClr>
                  </w14:solidFill>
                </w14:textFill>
              </w:rPr>
              <w:t>|</w:t>
            </w:r>
          </w:p>
        </w:tc>
        <w:tc>
          <w:tcPr>
            <w:tcW w:w="1763" w:type="dxa"/>
            <w:vMerge w:val="restart"/>
          </w:tcPr>
          <w:p w14:paraId="6FDE256D"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VITRAKVI</w:t>
            </w:r>
            <w:r w:rsidRPr="000C77A2">
              <w:rPr>
                <w:rFonts w:ascii="Arial Narrow" w:hAnsi="Arial Narrow"/>
                <w:sz w:val="20"/>
                <w:vertAlign w:val="superscript"/>
              </w:rPr>
              <w:t>®</w:t>
            </w:r>
            <w:r w:rsidRPr="000C77A2">
              <w:rPr>
                <w:rFonts w:ascii="Arial Narrow" w:hAnsi="Arial Narrow"/>
                <w:sz w:val="20"/>
              </w:rPr>
              <w:t>,</w:t>
            </w:r>
          </w:p>
          <w:p w14:paraId="384EB558"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Bayer Australia Ltd</w:t>
            </w:r>
          </w:p>
        </w:tc>
      </w:tr>
      <w:tr w:rsidR="00292657" w:rsidRPr="000C77A2" w14:paraId="2824DC73" w14:textId="77777777" w:rsidTr="0037473F">
        <w:trPr>
          <w:cantSplit/>
        </w:trPr>
        <w:tc>
          <w:tcPr>
            <w:tcW w:w="0" w:type="auto"/>
          </w:tcPr>
          <w:p w14:paraId="2A565C0D"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Larotrectinib, 25 mg, oral capsules</w:t>
            </w:r>
          </w:p>
        </w:tc>
        <w:tc>
          <w:tcPr>
            <w:tcW w:w="0" w:type="auto"/>
          </w:tcPr>
          <w:p w14:paraId="4E161A24"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56</w:t>
            </w:r>
          </w:p>
        </w:tc>
        <w:tc>
          <w:tcPr>
            <w:tcW w:w="0" w:type="auto"/>
          </w:tcPr>
          <w:p w14:paraId="40F5B27E"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5</w:t>
            </w:r>
          </w:p>
        </w:tc>
        <w:tc>
          <w:tcPr>
            <w:tcW w:w="2029" w:type="dxa"/>
          </w:tcPr>
          <w:p w14:paraId="2CCD5654" w14:textId="73300606" w:rsidR="00292657" w:rsidRPr="000C77A2" w:rsidRDefault="00292657" w:rsidP="0037473F">
            <w:pPr>
              <w:keepNext/>
              <w:widowControl w:val="0"/>
              <w:spacing w:before="0" w:after="0"/>
              <w:jc w:val="left"/>
              <w:rPr>
                <w:rFonts w:ascii="Arial Narrow" w:hAnsi="Arial Narrow"/>
                <w:i/>
                <w:sz w:val="20"/>
              </w:rPr>
            </w:pPr>
            <w:r w:rsidRPr="000C77A2">
              <w:rPr>
                <w:rFonts w:ascii="Arial Narrow" w:hAnsi="Arial Narrow"/>
                <w:sz w:val="20"/>
              </w:rPr>
              <w:t>Published $3,255.88</w:t>
            </w:r>
            <w:r w:rsidRPr="000C77A2">
              <w:rPr>
                <w:rFonts w:ascii="Arial Narrow" w:hAnsi="Arial Narrow"/>
                <w:sz w:val="20"/>
              </w:rPr>
              <w:br/>
              <w:t>Effective $</w:t>
            </w:r>
            <w:r w:rsidR="00C66EC7" w:rsidRPr="00C66EC7">
              <w:rPr>
                <w:rFonts w:ascii="Arial Narrow" w:hAnsi="Arial Narrow"/>
                <w:color w:val="000000"/>
                <w:spacing w:val="53"/>
                <w:sz w:val="20"/>
                <w:shd w:val="solid" w:color="000000" w:fill="000000"/>
                <w:fitText w:val="330" w:id="-962355195"/>
                <w14:textFill>
                  <w14:solidFill>
                    <w14:srgbClr w14:val="000000">
                      <w14:alpha w14:val="100000"/>
                    </w14:srgbClr>
                  </w14:solidFill>
                </w14:textFill>
              </w:rPr>
              <w:t>|||</w:t>
            </w:r>
            <w:r w:rsidR="00C66EC7" w:rsidRPr="00C66EC7">
              <w:rPr>
                <w:rFonts w:ascii="Arial Narrow" w:hAnsi="Arial Narrow"/>
                <w:color w:val="000000"/>
                <w:spacing w:val="1"/>
                <w:sz w:val="20"/>
                <w:shd w:val="solid" w:color="000000" w:fill="000000"/>
                <w:fitText w:val="330" w:id="-962355195"/>
                <w14:textFill>
                  <w14:solidFill>
                    <w14:srgbClr w14:val="000000">
                      <w14:alpha w14:val="100000"/>
                    </w14:srgbClr>
                  </w14:solidFill>
                </w14:textFill>
              </w:rPr>
              <w:t>|</w:t>
            </w:r>
          </w:p>
        </w:tc>
        <w:tc>
          <w:tcPr>
            <w:tcW w:w="1763" w:type="dxa"/>
            <w:vMerge/>
          </w:tcPr>
          <w:p w14:paraId="5C75A417" w14:textId="77777777" w:rsidR="00292657" w:rsidRPr="000C77A2" w:rsidRDefault="00292657" w:rsidP="0037473F">
            <w:pPr>
              <w:keepNext/>
              <w:widowControl w:val="0"/>
              <w:spacing w:before="0" w:after="0"/>
              <w:jc w:val="left"/>
              <w:rPr>
                <w:rFonts w:ascii="Arial Narrow" w:hAnsi="Arial Narrow"/>
                <w:sz w:val="20"/>
              </w:rPr>
            </w:pPr>
          </w:p>
        </w:tc>
      </w:tr>
      <w:tr w:rsidR="00292657" w:rsidRPr="000C77A2" w14:paraId="55820568" w14:textId="77777777" w:rsidTr="0037473F">
        <w:trPr>
          <w:cantSplit/>
        </w:trPr>
        <w:tc>
          <w:tcPr>
            <w:tcW w:w="0" w:type="auto"/>
          </w:tcPr>
          <w:p w14:paraId="2929F64E"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Larotrectinib, 20 mg/ml, 2 × 50 ml, oral solution</w:t>
            </w:r>
          </w:p>
        </w:tc>
        <w:tc>
          <w:tcPr>
            <w:tcW w:w="0" w:type="auto"/>
          </w:tcPr>
          <w:p w14:paraId="49DACF99" w14:textId="0245F4C9" w:rsidR="00292657" w:rsidRPr="00560AEC" w:rsidRDefault="00292657" w:rsidP="0037473F">
            <w:pPr>
              <w:keepNext/>
              <w:widowControl w:val="0"/>
              <w:spacing w:before="0" w:after="0"/>
              <w:jc w:val="left"/>
              <w:rPr>
                <w:rFonts w:ascii="Arial Narrow" w:hAnsi="Arial Narrow"/>
                <w:sz w:val="20"/>
              </w:rPr>
            </w:pPr>
            <w:r w:rsidRPr="00560AEC">
              <w:rPr>
                <w:rFonts w:ascii="Arial Narrow" w:hAnsi="Arial Narrow"/>
                <w:sz w:val="20"/>
              </w:rPr>
              <w:t>1</w:t>
            </w:r>
          </w:p>
        </w:tc>
        <w:tc>
          <w:tcPr>
            <w:tcW w:w="0" w:type="auto"/>
          </w:tcPr>
          <w:p w14:paraId="6A5B0270" w14:textId="77777777"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5</w:t>
            </w:r>
          </w:p>
        </w:tc>
        <w:tc>
          <w:tcPr>
            <w:tcW w:w="2029" w:type="dxa"/>
          </w:tcPr>
          <w:p w14:paraId="40796512" w14:textId="638DE0AD" w:rsidR="00292657" w:rsidRPr="000C77A2" w:rsidRDefault="00292657" w:rsidP="0037473F">
            <w:pPr>
              <w:keepNext/>
              <w:widowControl w:val="0"/>
              <w:spacing w:before="0" w:after="0"/>
              <w:jc w:val="left"/>
              <w:rPr>
                <w:rFonts w:ascii="Arial Narrow" w:hAnsi="Arial Narrow"/>
                <w:sz w:val="20"/>
              </w:rPr>
            </w:pPr>
            <w:r w:rsidRPr="000C77A2">
              <w:rPr>
                <w:rFonts w:ascii="Arial Narrow" w:hAnsi="Arial Narrow"/>
                <w:sz w:val="20"/>
              </w:rPr>
              <w:t>Published $4,287.13</w:t>
            </w:r>
            <w:r w:rsidRPr="000C77A2">
              <w:rPr>
                <w:rFonts w:ascii="Arial Narrow" w:hAnsi="Arial Narrow"/>
                <w:sz w:val="20"/>
              </w:rPr>
              <w:br/>
              <w:t>Effective $</w:t>
            </w:r>
            <w:r w:rsidR="00C66EC7" w:rsidRPr="00C66EC7">
              <w:rPr>
                <w:rFonts w:ascii="Arial Narrow" w:hAnsi="Arial Narrow"/>
                <w:color w:val="000000"/>
                <w:spacing w:val="53"/>
                <w:sz w:val="20"/>
                <w:shd w:val="solid" w:color="000000" w:fill="000000"/>
                <w:fitText w:val="330" w:id="-962355194"/>
                <w14:textFill>
                  <w14:solidFill>
                    <w14:srgbClr w14:val="000000">
                      <w14:alpha w14:val="100000"/>
                    </w14:srgbClr>
                  </w14:solidFill>
                </w14:textFill>
              </w:rPr>
              <w:t>|||</w:t>
            </w:r>
            <w:r w:rsidR="00C66EC7" w:rsidRPr="00C66EC7">
              <w:rPr>
                <w:rFonts w:ascii="Arial Narrow" w:hAnsi="Arial Narrow"/>
                <w:color w:val="000000"/>
                <w:spacing w:val="1"/>
                <w:sz w:val="20"/>
                <w:shd w:val="solid" w:color="000000" w:fill="000000"/>
                <w:fitText w:val="330" w:id="-962355194"/>
                <w14:textFill>
                  <w14:solidFill>
                    <w14:srgbClr w14:val="000000">
                      <w14:alpha w14:val="100000"/>
                    </w14:srgbClr>
                  </w14:solidFill>
                </w14:textFill>
              </w:rPr>
              <w:t>|</w:t>
            </w:r>
          </w:p>
        </w:tc>
        <w:tc>
          <w:tcPr>
            <w:tcW w:w="1763" w:type="dxa"/>
            <w:vMerge/>
          </w:tcPr>
          <w:p w14:paraId="0C2729FA" w14:textId="77777777" w:rsidR="00292657" w:rsidRPr="000C77A2" w:rsidRDefault="00292657" w:rsidP="0037473F">
            <w:pPr>
              <w:keepNext/>
              <w:widowControl w:val="0"/>
              <w:spacing w:before="0" w:after="0"/>
              <w:jc w:val="left"/>
              <w:rPr>
                <w:rFonts w:ascii="Arial Narrow" w:hAnsi="Arial Narrow"/>
                <w:sz w:val="20"/>
              </w:rPr>
            </w:pPr>
          </w:p>
        </w:tc>
      </w:tr>
    </w:tbl>
    <w:p w14:paraId="07A311FB" w14:textId="42DA9CF1" w:rsidR="00292657" w:rsidRPr="000C77A2" w:rsidRDefault="00292657" w:rsidP="00560AEC">
      <w:pPr>
        <w:pStyle w:val="TableFooter"/>
        <w:spacing w:after="120"/>
      </w:pPr>
      <w:r w:rsidRPr="000C77A2">
        <w:t>Source: Table 1-9 of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292657" w:rsidRPr="000C77A2" w14:paraId="2AB10A12" w14:textId="77777777" w:rsidTr="0037473F">
        <w:trPr>
          <w:trHeight w:val="20"/>
        </w:trPr>
        <w:tc>
          <w:tcPr>
            <w:tcW w:w="7745" w:type="dxa"/>
            <w:tcBorders>
              <w:top w:val="single" w:sz="4" w:space="0" w:color="auto"/>
              <w:left w:val="single" w:sz="4" w:space="0" w:color="auto"/>
              <w:bottom w:val="single" w:sz="4" w:space="0" w:color="auto"/>
              <w:right w:val="single" w:sz="4" w:space="0" w:color="auto"/>
            </w:tcBorders>
            <w:vAlign w:val="center"/>
          </w:tcPr>
          <w:p w14:paraId="4A2C9085" w14:textId="77777777" w:rsidR="00292657" w:rsidRPr="000C77A2" w:rsidRDefault="00292657" w:rsidP="0037473F">
            <w:pPr>
              <w:keepLines/>
              <w:rPr>
                <w:rFonts w:ascii="Arial Narrow" w:hAnsi="Arial Narrow"/>
                <w:sz w:val="20"/>
                <w:szCs w:val="20"/>
              </w:rPr>
            </w:pPr>
            <w:r w:rsidRPr="000C77A2">
              <w:rPr>
                <w:rFonts w:ascii="Arial Narrow" w:hAnsi="Arial Narrow"/>
                <w:b/>
                <w:sz w:val="20"/>
                <w:szCs w:val="20"/>
              </w:rPr>
              <w:t xml:space="preserve">Category / Program: </w:t>
            </w:r>
            <w:r w:rsidRPr="000C77A2">
              <w:rPr>
                <w:rFonts w:ascii="Arial Narrow" w:hAnsi="Arial Narrow"/>
                <w:sz w:val="20"/>
                <w:szCs w:val="20"/>
              </w:rPr>
              <w:t>GENERAL – General Schedule (Code GE)</w:t>
            </w:r>
            <w:r w:rsidRPr="000C77A2">
              <w:rPr>
                <w:rFonts w:ascii="Arial Narrow" w:hAnsi="Arial Narrow"/>
                <w:color w:val="FF0000"/>
                <w:sz w:val="20"/>
                <w:szCs w:val="20"/>
              </w:rPr>
              <w:t xml:space="preserve"> </w:t>
            </w:r>
          </w:p>
        </w:tc>
      </w:tr>
      <w:tr w:rsidR="00292657" w:rsidRPr="000C77A2" w14:paraId="6BD848D5" w14:textId="77777777" w:rsidTr="0037473F">
        <w:trPr>
          <w:trHeight w:val="20"/>
        </w:trPr>
        <w:tc>
          <w:tcPr>
            <w:tcW w:w="7745" w:type="dxa"/>
            <w:tcBorders>
              <w:top w:val="single" w:sz="4" w:space="0" w:color="auto"/>
              <w:left w:val="single" w:sz="4" w:space="0" w:color="auto"/>
              <w:bottom w:val="single" w:sz="4" w:space="0" w:color="auto"/>
              <w:right w:val="single" w:sz="4" w:space="0" w:color="auto"/>
            </w:tcBorders>
            <w:vAlign w:val="center"/>
          </w:tcPr>
          <w:p w14:paraId="64DC2084" w14:textId="77777777" w:rsidR="00292657" w:rsidRPr="000C77A2" w:rsidRDefault="00292657" w:rsidP="0037473F">
            <w:pPr>
              <w:keepLines/>
              <w:rPr>
                <w:rFonts w:ascii="Arial Narrow" w:hAnsi="Arial Narrow"/>
                <w:b/>
                <w:sz w:val="20"/>
                <w:szCs w:val="20"/>
              </w:rPr>
            </w:pPr>
            <w:r w:rsidRPr="000C77A2">
              <w:rPr>
                <w:rFonts w:ascii="Arial Narrow" w:hAnsi="Arial Narrow"/>
                <w:b/>
                <w:sz w:val="20"/>
                <w:szCs w:val="20"/>
              </w:rPr>
              <w:t xml:space="preserve">Prescriber type: </w:t>
            </w:r>
            <w:r w:rsidRPr="000C77A2">
              <w:rPr>
                <w:rFonts w:ascii="Arial Narrow" w:hAnsi="Arial Narrow"/>
                <w:sz w:val="20"/>
                <w:szCs w:val="20"/>
              </w:rPr>
              <w:fldChar w:fldCharType="begin" w:fldLock="1">
                <w:ffData>
                  <w:name w:val=""/>
                  <w:enabled/>
                  <w:calcOnExit w:val="0"/>
                  <w:checkBox>
                    <w:sizeAuto/>
                    <w:default w:val="1"/>
                  </w:checkBox>
                </w:ffData>
              </w:fldChar>
            </w:r>
            <w:r w:rsidRPr="000C77A2">
              <w:rPr>
                <w:rFonts w:ascii="Arial Narrow" w:hAnsi="Arial Narrow"/>
                <w:sz w:val="20"/>
                <w:szCs w:val="20"/>
              </w:rPr>
              <w:instrText xml:space="preserve"> FORMCHECKBOX </w:instrText>
            </w:r>
            <w:r w:rsidR="00C766BB">
              <w:rPr>
                <w:rFonts w:ascii="Arial Narrow" w:hAnsi="Arial Narrow"/>
                <w:sz w:val="20"/>
                <w:szCs w:val="20"/>
              </w:rPr>
            </w:r>
            <w:r w:rsidR="00C766BB">
              <w:rPr>
                <w:rFonts w:ascii="Arial Narrow" w:hAnsi="Arial Narrow"/>
                <w:sz w:val="20"/>
                <w:szCs w:val="20"/>
              </w:rPr>
              <w:fldChar w:fldCharType="separate"/>
            </w:r>
            <w:r w:rsidRPr="000C77A2">
              <w:rPr>
                <w:rFonts w:ascii="Arial Narrow" w:hAnsi="Arial Narrow"/>
                <w:sz w:val="20"/>
                <w:szCs w:val="20"/>
              </w:rPr>
              <w:fldChar w:fldCharType="end"/>
            </w:r>
            <w:r w:rsidRPr="000C77A2">
              <w:rPr>
                <w:rFonts w:ascii="Arial Narrow" w:hAnsi="Arial Narrow"/>
                <w:sz w:val="20"/>
                <w:szCs w:val="20"/>
              </w:rPr>
              <w:t xml:space="preserve">Medical Practitioners </w:t>
            </w:r>
          </w:p>
        </w:tc>
      </w:tr>
      <w:tr w:rsidR="00292657" w:rsidRPr="000C77A2" w14:paraId="3682F5FC" w14:textId="77777777" w:rsidTr="0037473F">
        <w:trPr>
          <w:trHeight w:val="20"/>
        </w:trPr>
        <w:tc>
          <w:tcPr>
            <w:tcW w:w="7745" w:type="dxa"/>
            <w:tcBorders>
              <w:top w:val="single" w:sz="4" w:space="0" w:color="auto"/>
              <w:left w:val="single" w:sz="4" w:space="0" w:color="auto"/>
              <w:bottom w:val="single" w:sz="4" w:space="0" w:color="auto"/>
              <w:right w:val="single" w:sz="4" w:space="0" w:color="auto"/>
            </w:tcBorders>
            <w:vAlign w:val="center"/>
          </w:tcPr>
          <w:p w14:paraId="636F0E42" w14:textId="77777777" w:rsidR="00292657" w:rsidRPr="000C77A2" w:rsidRDefault="00292657" w:rsidP="0037473F">
            <w:pPr>
              <w:keepLines/>
              <w:rPr>
                <w:rFonts w:ascii="Arial Narrow" w:eastAsia="Calibri" w:hAnsi="Arial Narrow"/>
                <w:i/>
                <w:iCs/>
                <w:color w:val="FF0000"/>
                <w:sz w:val="20"/>
                <w:szCs w:val="20"/>
              </w:rPr>
            </w:pPr>
            <w:r w:rsidRPr="000C77A2">
              <w:rPr>
                <w:rFonts w:ascii="Arial Narrow" w:hAnsi="Arial Narrow"/>
                <w:b/>
                <w:sz w:val="20"/>
                <w:szCs w:val="20"/>
              </w:rPr>
              <w:t>Restriction type:</w:t>
            </w:r>
            <w:r w:rsidRPr="000C77A2">
              <w:rPr>
                <w:rFonts w:ascii="Arial Narrow" w:eastAsia="Calibri" w:hAnsi="Arial Narrow"/>
                <w:color w:val="FF0000"/>
                <w:sz w:val="20"/>
                <w:szCs w:val="20"/>
              </w:rPr>
              <w:t xml:space="preserve"> </w:t>
            </w:r>
            <w:r w:rsidRPr="000C77A2">
              <w:rPr>
                <w:rFonts w:ascii="Arial Narrow" w:eastAsia="Calibri" w:hAnsi="Arial Narrow"/>
                <w:sz w:val="20"/>
                <w:szCs w:val="20"/>
              </w:rPr>
              <w:fldChar w:fldCharType="begin" w:fldLock="1">
                <w:ffData>
                  <w:name w:val=""/>
                  <w:enabled/>
                  <w:calcOnExit w:val="0"/>
                  <w:checkBox>
                    <w:sizeAuto/>
                    <w:default w:val="1"/>
                  </w:checkBox>
                </w:ffData>
              </w:fldChar>
            </w:r>
            <w:r w:rsidRPr="000C77A2">
              <w:rPr>
                <w:rFonts w:ascii="Arial Narrow" w:eastAsia="Calibri" w:hAnsi="Arial Narrow"/>
                <w:sz w:val="20"/>
                <w:szCs w:val="20"/>
              </w:rPr>
              <w:instrText xml:space="preserve"> FORMCHECKBOX </w:instrText>
            </w:r>
            <w:r w:rsidR="00C766BB">
              <w:rPr>
                <w:rFonts w:ascii="Arial Narrow" w:eastAsia="Calibri" w:hAnsi="Arial Narrow"/>
                <w:sz w:val="20"/>
                <w:szCs w:val="20"/>
              </w:rPr>
            </w:r>
            <w:r w:rsidR="00C766BB">
              <w:rPr>
                <w:rFonts w:ascii="Arial Narrow" w:eastAsia="Calibri" w:hAnsi="Arial Narrow"/>
                <w:sz w:val="20"/>
                <w:szCs w:val="20"/>
              </w:rPr>
              <w:fldChar w:fldCharType="separate"/>
            </w:r>
            <w:r w:rsidRPr="000C77A2">
              <w:rPr>
                <w:rFonts w:ascii="Arial Narrow" w:eastAsia="Calibri" w:hAnsi="Arial Narrow"/>
                <w:sz w:val="20"/>
                <w:szCs w:val="20"/>
              </w:rPr>
              <w:fldChar w:fldCharType="end"/>
            </w:r>
            <w:r w:rsidRPr="000C77A2">
              <w:rPr>
                <w:rFonts w:ascii="Arial Narrow" w:eastAsia="Calibri" w:hAnsi="Arial Narrow"/>
                <w:sz w:val="20"/>
                <w:szCs w:val="20"/>
              </w:rPr>
              <w:t xml:space="preserve">Authority Required </w:t>
            </w:r>
            <w:r w:rsidRPr="000C77A2">
              <w:rPr>
                <w:rFonts w:ascii="Arial Narrow" w:eastAsia="Calibri" w:hAnsi="Arial Narrow"/>
                <w:strike/>
                <w:sz w:val="20"/>
                <w:szCs w:val="20"/>
              </w:rPr>
              <w:t>(in writing only via post/HPOS upload)</w:t>
            </w:r>
            <w:r w:rsidRPr="000C77A2">
              <w:rPr>
                <w:rFonts w:ascii="Arial Narrow" w:eastAsia="Calibri" w:hAnsi="Arial Narrow"/>
                <w:i/>
                <w:iCs/>
                <w:sz w:val="20"/>
                <w:szCs w:val="20"/>
              </w:rPr>
              <w:t xml:space="preserve"> (Telephone/Electronic)</w:t>
            </w:r>
          </w:p>
        </w:tc>
      </w:tr>
      <w:tr w:rsidR="00292657" w:rsidRPr="000C77A2" w14:paraId="5D688324" w14:textId="77777777" w:rsidTr="0037473F">
        <w:trPr>
          <w:trHeight w:val="20"/>
        </w:trPr>
        <w:tc>
          <w:tcPr>
            <w:tcW w:w="7745" w:type="dxa"/>
            <w:vAlign w:val="center"/>
          </w:tcPr>
          <w:p w14:paraId="59238FA0"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Administrative Advice:</w:t>
            </w:r>
          </w:p>
          <w:p w14:paraId="4449C71D" w14:textId="77777777" w:rsidR="00292657" w:rsidRPr="000C77A2" w:rsidRDefault="00292657" w:rsidP="0037473F">
            <w:pPr>
              <w:rPr>
                <w:rFonts w:ascii="Arial Narrow" w:hAnsi="Arial Narrow"/>
                <w:color w:val="333333"/>
                <w:sz w:val="20"/>
                <w:szCs w:val="20"/>
              </w:rPr>
            </w:pPr>
            <w:r w:rsidRPr="000C77A2">
              <w:rPr>
                <w:rFonts w:ascii="Arial Narrow" w:hAnsi="Arial Narrow"/>
                <w:i/>
                <w:iCs/>
                <w:sz w:val="20"/>
                <w:szCs w:val="20"/>
              </w:rPr>
              <w:t xml:space="preserve">For a patient who has received non-PBS-subsidised supply of this drug, apply under an ‘Initial treatment’ phase listing </w:t>
            </w:r>
            <w:proofErr w:type="gramStart"/>
            <w:r w:rsidRPr="000C77A2">
              <w:rPr>
                <w:rFonts w:ascii="Arial Narrow" w:hAnsi="Arial Narrow"/>
                <w:i/>
                <w:iCs/>
                <w:sz w:val="20"/>
                <w:szCs w:val="20"/>
              </w:rPr>
              <w:t>provided that</w:t>
            </w:r>
            <w:proofErr w:type="gramEnd"/>
            <w:r w:rsidRPr="000C77A2">
              <w:rPr>
                <w:rFonts w:ascii="Arial Narrow" w:hAnsi="Arial Narrow"/>
                <w:i/>
                <w:iCs/>
                <w:sz w:val="20"/>
                <w:szCs w:val="20"/>
              </w:rPr>
              <w:t xml:space="preserve"> they meet all stated PBS eligibility criteria.</w:t>
            </w:r>
          </w:p>
        </w:tc>
      </w:tr>
      <w:tr w:rsidR="00292657" w:rsidRPr="000C77A2" w14:paraId="1F3ECE17" w14:textId="77777777" w:rsidTr="0037473F">
        <w:trPr>
          <w:trHeight w:val="20"/>
        </w:trPr>
        <w:tc>
          <w:tcPr>
            <w:tcW w:w="7745" w:type="dxa"/>
            <w:vAlign w:val="center"/>
          </w:tcPr>
          <w:p w14:paraId="0D7BF398"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673CB6D4" w14:textId="77777777" w:rsidR="00292657" w:rsidRPr="000C77A2" w:rsidRDefault="00292657" w:rsidP="0037473F">
            <w:pPr>
              <w:rPr>
                <w:rFonts w:ascii="Arial Narrow" w:hAnsi="Arial Narrow"/>
                <w:b/>
                <w:bCs/>
                <w:color w:val="333333"/>
                <w:sz w:val="20"/>
                <w:szCs w:val="20"/>
              </w:rPr>
            </w:pPr>
            <w:r w:rsidRPr="000C77A2">
              <w:rPr>
                <w:rFonts w:ascii="Arial Narrow" w:hAnsi="Arial Narrow"/>
                <w:i/>
                <w:iCs/>
                <w:color w:val="333333"/>
                <w:sz w:val="20"/>
                <w:szCs w:val="20"/>
              </w:rPr>
              <w:t>No increase in the maximum number of repeats may be authorised.</w:t>
            </w:r>
          </w:p>
        </w:tc>
      </w:tr>
      <w:tr w:rsidR="00292657" w:rsidRPr="000C77A2" w14:paraId="59031283" w14:textId="77777777" w:rsidTr="0037473F">
        <w:trPr>
          <w:trHeight w:val="20"/>
        </w:trPr>
        <w:tc>
          <w:tcPr>
            <w:tcW w:w="7745" w:type="dxa"/>
            <w:vAlign w:val="center"/>
          </w:tcPr>
          <w:p w14:paraId="4775117C"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712CA6AC" w14:textId="77777777" w:rsidR="00292657" w:rsidRPr="000C77A2" w:rsidRDefault="00292657" w:rsidP="0037473F">
            <w:pPr>
              <w:rPr>
                <w:rFonts w:ascii="Arial Narrow" w:hAnsi="Arial Narrow"/>
                <w:b/>
                <w:bCs/>
                <w:color w:val="333333"/>
                <w:sz w:val="20"/>
                <w:szCs w:val="20"/>
              </w:rPr>
            </w:pPr>
            <w:r w:rsidRPr="000C77A2">
              <w:rPr>
                <w:rFonts w:ascii="Arial Narrow" w:hAnsi="Arial Narrow"/>
                <w:i/>
                <w:iCs/>
                <w:color w:val="333333"/>
                <w:sz w:val="20"/>
                <w:szCs w:val="20"/>
              </w:rPr>
              <w:t>Special Pricing Arrangements apply.</w:t>
            </w:r>
          </w:p>
        </w:tc>
      </w:tr>
      <w:tr w:rsidR="00292657" w:rsidRPr="000C77A2" w14:paraId="455DE0F0" w14:textId="77777777" w:rsidTr="0037473F">
        <w:trPr>
          <w:trHeight w:val="20"/>
        </w:trPr>
        <w:tc>
          <w:tcPr>
            <w:tcW w:w="7745" w:type="dxa"/>
            <w:vAlign w:val="center"/>
          </w:tcPr>
          <w:p w14:paraId="65EA1982"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60E17BF9" w14:textId="77777777" w:rsidR="00292657" w:rsidRPr="000C77A2" w:rsidRDefault="00292657" w:rsidP="0037473F">
            <w:pPr>
              <w:rPr>
                <w:rFonts w:ascii="Arial Narrow" w:hAnsi="Arial Narrow"/>
                <w:b/>
                <w:bCs/>
                <w:color w:val="333333"/>
                <w:sz w:val="20"/>
                <w:szCs w:val="20"/>
              </w:rPr>
            </w:pPr>
            <w:r w:rsidRPr="000C77A2">
              <w:rPr>
                <w:rFonts w:ascii="Arial Narrow" w:hAnsi="Arial Narrow"/>
                <w:i/>
                <w:iCs/>
                <w:color w:val="333333"/>
                <w:sz w:val="20"/>
                <w:szCs w:val="20"/>
              </w:rPr>
              <w:lastRenderedPageBreak/>
              <w:t xml:space="preserve">Applications for authorisation under this restriction may be made in real time using the Online PBS Authorities system (see </w:t>
            </w:r>
            <w:hyperlink r:id="rId11" w:history="1">
              <w:r w:rsidRPr="000C77A2">
                <w:rPr>
                  <w:rStyle w:val="Hyperlink"/>
                  <w:rFonts w:ascii="Arial Narrow" w:hAnsi="Arial Narrow"/>
                  <w:i/>
                  <w:iCs/>
                  <w:sz w:val="20"/>
                  <w:szCs w:val="20"/>
                </w:rPr>
                <w:t>www.servicesaustralia.gov.au/HPOS</w:t>
              </w:r>
            </w:hyperlink>
            <w:r w:rsidRPr="000C77A2">
              <w:rPr>
                <w:rFonts w:ascii="Arial Narrow" w:hAnsi="Arial Narrow"/>
                <w:i/>
                <w:iCs/>
                <w:color w:val="333333"/>
                <w:sz w:val="20"/>
                <w:szCs w:val="20"/>
              </w:rPr>
              <w:t xml:space="preserve">) or by telephone by contacting Services Australia on 1800 700 270 (hours of operation 8 a.m. to 5 p.m. Monday to Friday). </w:t>
            </w:r>
          </w:p>
        </w:tc>
      </w:tr>
      <w:tr w:rsidR="00292657" w:rsidRPr="000C77A2" w14:paraId="21B37665" w14:textId="77777777" w:rsidTr="0037473F">
        <w:trPr>
          <w:cantSplit/>
          <w:trHeight w:val="20"/>
        </w:trPr>
        <w:tc>
          <w:tcPr>
            <w:tcW w:w="7745" w:type="dxa"/>
            <w:vAlign w:val="center"/>
            <w:hideMark/>
          </w:tcPr>
          <w:p w14:paraId="3D8B3D17" w14:textId="77777777" w:rsidR="00292657" w:rsidRPr="000C77A2" w:rsidRDefault="00292657" w:rsidP="0037473F">
            <w:pPr>
              <w:keepLines/>
              <w:rPr>
                <w:rFonts w:ascii="Arial Narrow" w:hAnsi="Arial Narrow"/>
                <w:color w:val="333333"/>
                <w:sz w:val="20"/>
                <w:szCs w:val="20"/>
              </w:rPr>
            </w:pPr>
            <w:r w:rsidRPr="000C77A2">
              <w:rPr>
                <w:rFonts w:ascii="Arial Narrow" w:hAnsi="Arial Narrow"/>
                <w:b/>
                <w:bCs/>
                <w:color w:val="333333"/>
                <w:sz w:val="20"/>
                <w:szCs w:val="20"/>
              </w:rPr>
              <w:lastRenderedPageBreak/>
              <w:t>Indication:</w:t>
            </w:r>
            <w:r w:rsidRPr="000C77A2">
              <w:rPr>
                <w:rFonts w:ascii="Arial Narrow" w:hAnsi="Arial Narrow"/>
                <w:color w:val="333333"/>
                <w:sz w:val="20"/>
                <w:szCs w:val="20"/>
              </w:rPr>
              <w:t xml:space="preserve"> </w:t>
            </w:r>
            <w:r w:rsidRPr="000C77A2">
              <w:rPr>
                <w:rFonts w:ascii="Arial Narrow" w:hAnsi="Arial Narrow"/>
                <w:strike/>
                <w:color w:val="333333"/>
                <w:sz w:val="20"/>
                <w:szCs w:val="20"/>
              </w:rPr>
              <w:t>Locally advanced or metastatic Non-small cell lung cancer or Soft tissue Sarcoma</w:t>
            </w:r>
            <w:r w:rsidRPr="000C77A2">
              <w:rPr>
                <w:rFonts w:ascii="Arial Narrow" w:hAnsi="Arial Narrow"/>
                <w:color w:val="333333"/>
                <w:sz w:val="20"/>
                <w:szCs w:val="20"/>
              </w:rPr>
              <w:t xml:space="preserve"> </w:t>
            </w:r>
            <w:r w:rsidRPr="000C77A2">
              <w:rPr>
                <w:rFonts w:ascii="Arial Narrow" w:hAnsi="Arial Narrow"/>
                <w:i/>
                <w:iCs/>
                <w:color w:val="333333"/>
                <w:sz w:val="20"/>
                <w:szCs w:val="20"/>
              </w:rPr>
              <w:t xml:space="preserve">Solid tumours </w:t>
            </w:r>
            <w:r w:rsidRPr="000C77A2">
              <w:rPr>
                <w:rFonts w:ascii="Arial Narrow" w:hAnsi="Arial Narrow"/>
                <w:color w:val="333333"/>
                <w:sz w:val="20"/>
                <w:szCs w:val="20"/>
              </w:rPr>
              <w:t>with confirmed neurotrophic tropomyosin receptor kinase (NTRK) gene fusion</w:t>
            </w:r>
          </w:p>
        </w:tc>
      </w:tr>
      <w:tr w:rsidR="00292657" w:rsidRPr="000C77A2" w14:paraId="17F61963" w14:textId="77777777" w:rsidTr="0037473F">
        <w:trPr>
          <w:cantSplit/>
          <w:trHeight w:val="20"/>
        </w:trPr>
        <w:tc>
          <w:tcPr>
            <w:tcW w:w="7745" w:type="dxa"/>
            <w:vAlign w:val="center"/>
            <w:hideMark/>
          </w:tcPr>
          <w:p w14:paraId="7CD1CEC3"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Treatment Phase:</w:t>
            </w:r>
            <w:r w:rsidRPr="000C77A2">
              <w:rPr>
                <w:rFonts w:ascii="Arial Narrow" w:hAnsi="Arial Narrow"/>
                <w:color w:val="FF0000"/>
                <w:sz w:val="20"/>
                <w:szCs w:val="20"/>
              </w:rPr>
              <w:t xml:space="preserve"> </w:t>
            </w:r>
            <w:r w:rsidRPr="000C77A2">
              <w:rPr>
                <w:rFonts w:ascii="Arial Narrow" w:hAnsi="Arial Narrow"/>
                <w:sz w:val="20"/>
                <w:szCs w:val="20"/>
              </w:rPr>
              <w:t>Continuing treatment</w:t>
            </w:r>
          </w:p>
        </w:tc>
      </w:tr>
      <w:tr w:rsidR="00292657" w:rsidRPr="000C77A2" w14:paraId="314E704B" w14:textId="77777777" w:rsidTr="0037473F">
        <w:trPr>
          <w:cantSplit/>
          <w:trHeight w:val="20"/>
        </w:trPr>
        <w:tc>
          <w:tcPr>
            <w:tcW w:w="7745" w:type="dxa"/>
            <w:vAlign w:val="center"/>
            <w:hideMark/>
          </w:tcPr>
          <w:p w14:paraId="573898E5"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 xml:space="preserve">Clinical criteria: </w:t>
            </w:r>
          </w:p>
        </w:tc>
      </w:tr>
      <w:tr w:rsidR="00292657" w:rsidRPr="000C77A2" w14:paraId="35246CCE" w14:textId="77777777" w:rsidTr="0037473F">
        <w:trPr>
          <w:cantSplit/>
          <w:trHeight w:val="20"/>
        </w:trPr>
        <w:tc>
          <w:tcPr>
            <w:tcW w:w="7745" w:type="dxa"/>
            <w:vAlign w:val="center"/>
            <w:hideMark/>
          </w:tcPr>
          <w:p w14:paraId="2936C4B0" w14:textId="77777777" w:rsidR="00292657" w:rsidRPr="000C77A2" w:rsidRDefault="00292657" w:rsidP="0037473F">
            <w:pPr>
              <w:rPr>
                <w:rFonts w:ascii="Arial Narrow" w:hAnsi="Arial Narrow"/>
                <w:strike/>
                <w:color w:val="333333"/>
                <w:sz w:val="20"/>
                <w:szCs w:val="20"/>
              </w:rPr>
            </w:pPr>
            <w:r w:rsidRPr="000C77A2">
              <w:rPr>
                <w:rFonts w:ascii="Arial Narrow" w:hAnsi="Arial Narrow"/>
                <w:strike/>
                <w:sz w:val="20"/>
                <w:szCs w:val="20"/>
              </w:rPr>
              <w:t>Solid tumour with confirmed neurotrophic tropomyosin receptor kinase (NTRK) gene fusion</w:t>
            </w:r>
          </w:p>
        </w:tc>
      </w:tr>
      <w:tr w:rsidR="00292657" w:rsidRPr="000C77A2" w14:paraId="2560488B" w14:textId="77777777" w:rsidTr="0037473F">
        <w:trPr>
          <w:cantSplit/>
          <w:trHeight w:val="20"/>
        </w:trPr>
        <w:tc>
          <w:tcPr>
            <w:tcW w:w="7745" w:type="dxa"/>
            <w:vAlign w:val="center"/>
            <w:hideMark/>
          </w:tcPr>
          <w:p w14:paraId="516EDEA5" w14:textId="77777777" w:rsidR="00292657" w:rsidRPr="000C77A2" w:rsidRDefault="00292657" w:rsidP="0037473F">
            <w:pPr>
              <w:rPr>
                <w:rFonts w:ascii="Arial Narrow" w:hAnsi="Arial Narrow"/>
                <w:strike/>
                <w:color w:val="333333"/>
                <w:sz w:val="20"/>
                <w:szCs w:val="20"/>
              </w:rPr>
            </w:pPr>
            <w:r w:rsidRPr="000C77A2">
              <w:rPr>
                <w:rFonts w:ascii="Arial Narrow" w:hAnsi="Arial Narrow"/>
                <w:b/>
                <w:bCs/>
                <w:strike/>
                <w:color w:val="333333"/>
                <w:sz w:val="20"/>
                <w:szCs w:val="20"/>
              </w:rPr>
              <w:t>AND</w:t>
            </w:r>
          </w:p>
        </w:tc>
      </w:tr>
      <w:tr w:rsidR="00292657" w:rsidRPr="000C77A2" w14:paraId="19720F5E" w14:textId="77777777" w:rsidTr="0037473F">
        <w:trPr>
          <w:cantSplit/>
          <w:trHeight w:val="20"/>
        </w:trPr>
        <w:tc>
          <w:tcPr>
            <w:tcW w:w="7745" w:type="dxa"/>
            <w:vAlign w:val="center"/>
            <w:hideMark/>
          </w:tcPr>
          <w:p w14:paraId="79CBC5D9"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51EE6E69" w14:textId="77777777" w:rsidTr="0037473F">
        <w:trPr>
          <w:cantSplit/>
          <w:trHeight w:val="20"/>
        </w:trPr>
        <w:tc>
          <w:tcPr>
            <w:tcW w:w="7745" w:type="dxa"/>
            <w:vAlign w:val="center"/>
            <w:hideMark/>
          </w:tcPr>
          <w:p w14:paraId="47C4549A" w14:textId="77777777" w:rsidR="00292657" w:rsidRPr="000C77A2" w:rsidRDefault="00292657" w:rsidP="0037473F">
            <w:pPr>
              <w:rPr>
                <w:rFonts w:ascii="Arial Narrow" w:hAnsi="Arial Narrow"/>
                <w:sz w:val="20"/>
                <w:szCs w:val="20"/>
              </w:rPr>
            </w:pPr>
            <w:r w:rsidRPr="000C77A2">
              <w:rPr>
                <w:rFonts w:ascii="Arial Narrow" w:hAnsi="Arial Narrow"/>
                <w:sz w:val="20"/>
                <w:szCs w:val="20"/>
              </w:rPr>
              <w:t>The treatment must cease to be a PBS benefit upon radiographic progression</w:t>
            </w:r>
          </w:p>
        </w:tc>
      </w:tr>
      <w:tr w:rsidR="00292657" w:rsidRPr="000C77A2" w14:paraId="23A3AB9D" w14:textId="77777777" w:rsidTr="0037473F">
        <w:trPr>
          <w:cantSplit/>
          <w:trHeight w:val="20"/>
        </w:trPr>
        <w:tc>
          <w:tcPr>
            <w:tcW w:w="7745" w:type="dxa"/>
            <w:vAlign w:val="center"/>
            <w:hideMark/>
          </w:tcPr>
          <w:p w14:paraId="430EA383"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3F213731" w14:textId="77777777" w:rsidTr="0037473F">
        <w:trPr>
          <w:cantSplit/>
          <w:trHeight w:val="20"/>
        </w:trPr>
        <w:tc>
          <w:tcPr>
            <w:tcW w:w="7745" w:type="dxa"/>
            <w:vAlign w:val="center"/>
            <w:hideMark/>
          </w:tcPr>
          <w:p w14:paraId="58FB6366"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0F56ADED" w14:textId="77777777" w:rsidTr="0037473F">
        <w:trPr>
          <w:cantSplit/>
          <w:trHeight w:val="20"/>
        </w:trPr>
        <w:tc>
          <w:tcPr>
            <w:tcW w:w="7745" w:type="dxa"/>
            <w:vAlign w:val="center"/>
            <w:hideMark/>
          </w:tcPr>
          <w:p w14:paraId="784F254B"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The treatment must be the sole PBS-subsidised systemic anti-cancer therapy for this condition</w:t>
            </w:r>
          </w:p>
        </w:tc>
      </w:tr>
      <w:tr w:rsidR="00292657" w:rsidRPr="000C77A2" w14:paraId="428E86EF" w14:textId="77777777" w:rsidTr="0037473F">
        <w:trPr>
          <w:cantSplit/>
          <w:trHeight w:val="20"/>
        </w:trPr>
        <w:tc>
          <w:tcPr>
            <w:tcW w:w="7745" w:type="dxa"/>
            <w:vAlign w:val="center"/>
            <w:hideMark/>
          </w:tcPr>
          <w:p w14:paraId="0B5B245C" w14:textId="77777777" w:rsidR="00292657" w:rsidRPr="000C77A2" w:rsidRDefault="00292657" w:rsidP="0037473F">
            <w:pPr>
              <w:keepNext/>
              <w:rPr>
                <w:rFonts w:ascii="Arial Narrow" w:hAnsi="Arial Narrow"/>
                <w:color w:val="333333"/>
                <w:sz w:val="20"/>
                <w:szCs w:val="20"/>
              </w:rPr>
            </w:pPr>
            <w:r w:rsidRPr="000C77A2">
              <w:rPr>
                <w:rFonts w:ascii="Arial Narrow" w:hAnsi="Arial Narrow"/>
                <w:b/>
                <w:bCs/>
                <w:color w:val="333333"/>
                <w:sz w:val="20"/>
                <w:szCs w:val="20"/>
              </w:rPr>
              <w:t>Treatment criteria:</w:t>
            </w:r>
          </w:p>
        </w:tc>
      </w:tr>
      <w:tr w:rsidR="00292657" w:rsidRPr="000C77A2" w14:paraId="27C31C01" w14:textId="77777777" w:rsidTr="0037473F">
        <w:trPr>
          <w:cantSplit/>
          <w:trHeight w:val="20"/>
        </w:trPr>
        <w:tc>
          <w:tcPr>
            <w:tcW w:w="7745" w:type="dxa"/>
            <w:vAlign w:val="center"/>
            <w:hideMark/>
          </w:tcPr>
          <w:p w14:paraId="70DB4A6D" w14:textId="77777777" w:rsidR="00292657" w:rsidRPr="000C77A2" w:rsidRDefault="00292657" w:rsidP="0037473F">
            <w:pPr>
              <w:autoSpaceDE w:val="0"/>
              <w:autoSpaceDN w:val="0"/>
              <w:adjustRightInd w:val="0"/>
              <w:rPr>
                <w:rFonts w:ascii="Arial Narrow" w:hAnsi="Arial Narrow" w:cs="Arial Narrow"/>
                <w:i/>
                <w:iCs/>
                <w:strike/>
                <w:sz w:val="20"/>
                <w:szCs w:val="20"/>
              </w:rPr>
            </w:pPr>
            <w:r w:rsidRPr="000C77A2">
              <w:rPr>
                <w:rFonts w:ascii="Arial Narrow" w:hAnsi="Arial Narrow" w:cs="Arial Narrow"/>
                <w:iCs/>
                <w:strike/>
                <w:sz w:val="20"/>
                <w:szCs w:val="20"/>
              </w:rPr>
              <w:t>Patient must be undergoing continuing PBS-subsidised treatment commenced through an ‘Initial treatment’ listing</w:t>
            </w:r>
          </w:p>
        </w:tc>
      </w:tr>
      <w:tr w:rsidR="00292657" w:rsidRPr="000C77A2" w14:paraId="01354066" w14:textId="77777777" w:rsidTr="0037473F">
        <w:trPr>
          <w:cantSplit/>
          <w:trHeight w:val="20"/>
        </w:trPr>
        <w:tc>
          <w:tcPr>
            <w:tcW w:w="7745" w:type="dxa"/>
            <w:vAlign w:val="center"/>
          </w:tcPr>
          <w:p w14:paraId="03161521" w14:textId="1347EE22" w:rsidR="00292657" w:rsidRPr="000C77A2" w:rsidRDefault="00292657" w:rsidP="0037473F">
            <w:pPr>
              <w:autoSpaceDE w:val="0"/>
              <w:autoSpaceDN w:val="0"/>
              <w:adjustRightInd w:val="0"/>
              <w:rPr>
                <w:rFonts w:ascii="Arial Narrow" w:hAnsi="Arial Narrow" w:cs="Arial Narrow"/>
                <w:i/>
                <w:sz w:val="20"/>
                <w:szCs w:val="20"/>
              </w:rPr>
            </w:pPr>
            <w:r w:rsidRPr="000C77A2">
              <w:rPr>
                <w:rFonts w:ascii="Arial Narrow" w:hAnsi="Arial Narrow" w:cs="Arial Narrow"/>
                <w:i/>
                <w:sz w:val="20"/>
                <w:szCs w:val="20"/>
              </w:rPr>
              <w:t>Patient must have previously received PBS-subsidised treatment with this drug for this condition</w:t>
            </w:r>
            <w:r w:rsidR="000C77A2">
              <w:rPr>
                <w:rFonts w:ascii="Arial Narrow" w:hAnsi="Arial Narrow" w:cs="Arial Narrow"/>
                <w:i/>
                <w:sz w:val="20"/>
                <w:szCs w:val="20"/>
              </w:rPr>
              <w:t xml:space="preserve">. </w:t>
            </w:r>
          </w:p>
        </w:tc>
      </w:tr>
      <w:tr w:rsidR="00292657" w:rsidRPr="000C77A2" w14:paraId="1BA67254" w14:textId="77777777" w:rsidTr="0037473F">
        <w:trPr>
          <w:cantSplit/>
          <w:trHeight w:val="20"/>
        </w:trPr>
        <w:tc>
          <w:tcPr>
            <w:tcW w:w="7745" w:type="dxa"/>
            <w:vAlign w:val="center"/>
            <w:hideMark/>
          </w:tcPr>
          <w:p w14:paraId="72F43F61" w14:textId="77777777" w:rsidR="00292657" w:rsidRPr="000C77A2" w:rsidRDefault="00292657" w:rsidP="0037473F">
            <w:pPr>
              <w:rPr>
                <w:rFonts w:ascii="Arial Narrow" w:hAnsi="Arial Narrow"/>
                <w:bCs/>
                <w:color w:val="FF0000"/>
                <w:sz w:val="20"/>
                <w:szCs w:val="20"/>
              </w:rPr>
            </w:pPr>
            <w:r w:rsidRPr="000C77A2">
              <w:rPr>
                <w:rFonts w:ascii="Arial Narrow" w:hAnsi="Arial Narrow"/>
                <w:b/>
                <w:bCs/>
                <w:color w:val="333333"/>
                <w:sz w:val="20"/>
                <w:szCs w:val="20"/>
              </w:rPr>
              <w:t xml:space="preserve">Prescribing Instructions: </w:t>
            </w:r>
          </w:p>
          <w:p w14:paraId="1F30512A" w14:textId="77777777" w:rsidR="00292657" w:rsidRPr="000C77A2" w:rsidRDefault="00292657" w:rsidP="0037473F">
            <w:pPr>
              <w:rPr>
                <w:rFonts w:ascii="Arial Narrow" w:hAnsi="Arial Narrow"/>
                <w:i/>
                <w:iCs/>
                <w:sz w:val="20"/>
                <w:szCs w:val="20"/>
              </w:rPr>
            </w:pPr>
            <w:r w:rsidRPr="000C77A2">
              <w:rPr>
                <w:rFonts w:ascii="Arial Narrow" w:hAnsi="Arial Narrow"/>
                <w:bCs/>
                <w:i/>
                <w:iCs/>
                <w:sz w:val="20"/>
                <w:szCs w:val="20"/>
              </w:rPr>
              <w:t>Where radiographic progression is observed, mark any remaining repeat prescriptions with the word ‘cancelled’.</w:t>
            </w:r>
          </w:p>
        </w:tc>
      </w:tr>
    </w:tbl>
    <w:p w14:paraId="5ABAF742" w14:textId="77777777" w:rsidR="00046D64" w:rsidRPr="003E6FD3" w:rsidRDefault="00046D64" w:rsidP="004B1CB4">
      <w:pPr>
        <w:rPr>
          <w:sz w:val="12"/>
          <w:szCs w:val="12"/>
        </w:rPr>
      </w:pPr>
    </w:p>
    <w:p w14:paraId="7F731537" w14:textId="111DCC1E" w:rsidR="00A21F82" w:rsidRPr="000C77A2" w:rsidRDefault="00F466BD" w:rsidP="00F9393E">
      <w:pPr>
        <w:pStyle w:val="3-BodyText"/>
      </w:pPr>
      <w:r w:rsidRPr="000C77A2">
        <w:t xml:space="preserve">The resubmission noted that a special pricing arrangement (SPA) is currently in place for the existing listing of larotrectinib and </w:t>
      </w:r>
      <w:r w:rsidR="000B3D81">
        <w:t>requested</w:t>
      </w:r>
      <w:r w:rsidR="000B3D81" w:rsidRPr="000C77A2">
        <w:t xml:space="preserve"> </w:t>
      </w:r>
      <w:r w:rsidRPr="000C77A2">
        <w:t xml:space="preserve">that the SPA be extended for this listing of larotrectinib. </w:t>
      </w:r>
      <w:r w:rsidR="00A21F82" w:rsidRPr="000C77A2">
        <w:t xml:space="preserve">The effective prices proposed in the resubmission are identical to the effective prices for current </w:t>
      </w:r>
      <w:r w:rsidR="00223D1D" w:rsidRPr="000C77A2">
        <w:t xml:space="preserve">larotrectinib </w:t>
      </w:r>
      <w:r w:rsidR="00A21F82" w:rsidRPr="000C77A2">
        <w:t>listings</w:t>
      </w:r>
      <w:r w:rsidR="00376CAB" w:rsidRPr="000C77A2">
        <w:t>, with initial scripts having a lower effective price than continuing scripts</w:t>
      </w:r>
      <w:r w:rsidR="00223D1D" w:rsidRPr="000C77A2">
        <w:t>.</w:t>
      </w:r>
      <w:r w:rsidR="00A21F82" w:rsidRPr="000C77A2">
        <w:t xml:space="preserve"> </w:t>
      </w:r>
      <w:r w:rsidR="00E21C39" w:rsidRPr="000C77A2">
        <w:t>The pre-PBAC response proposed a 33% reduction in the effective price</w:t>
      </w:r>
      <w:r w:rsidR="00576FA3">
        <w:t xml:space="preserve"> of the 100 mg strength</w:t>
      </w:r>
      <w:r w:rsidR="00E21C39" w:rsidRPr="000C77A2">
        <w:t xml:space="preserve">, with an </w:t>
      </w:r>
      <w:r w:rsidR="00E21C39" w:rsidRPr="000C77A2">
        <w:rPr>
          <w:rFonts w:cstheme="minorHAnsi"/>
          <w:bCs/>
        </w:rPr>
        <w:t>effective ex-manufacturer price of $</w:t>
      </w:r>
      <w:r w:rsidR="00C66EC7" w:rsidRPr="003E6FD3">
        <w:rPr>
          <w:rFonts w:cstheme="minorHAnsi"/>
          <w:bCs/>
          <w:color w:val="000000"/>
          <w:w w:val="15"/>
          <w:shd w:val="solid" w:color="000000" w:fill="000000"/>
          <w:fitText w:val="-20" w:id="-962355193"/>
          <w14:textFill>
            <w14:solidFill>
              <w14:srgbClr w14:val="000000">
                <w14:alpha w14:val="100000"/>
              </w14:srgbClr>
            </w14:solidFill>
          </w14:textFill>
        </w:rPr>
        <w:t xml:space="preserve">|  </w:t>
      </w:r>
      <w:r w:rsidR="00C66EC7" w:rsidRPr="003E6FD3">
        <w:rPr>
          <w:rFonts w:cstheme="minorHAnsi"/>
          <w:bCs/>
          <w:color w:val="000000"/>
          <w:spacing w:val="-69"/>
          <w:w w:val="15"/>
          <w:shd w:val="solid" w:color="000000" w:fill="000000"/>
          <w:fitText w:val="-20" w:id="-962355193"/>
          <w14:textFill>
            <w14:solidFill>
              <w14:srgbClr w14:val="000000">
                <w14:alpha w14:val="100000"/>
              </w14:srgbClr>
            </w14:solidFill>
          </w14:textFill>
        </w:rPr>
        <w:t>|</w:t>
      </w:r>
      <w:r w:rsidR="00E21C39" w:rsidRPr="000C77A2">
        <w:rPr>
          <w:rFonts w:cstheme="minorHAnsi"/>
          <w:bCs/>
        </w:rPr>
        <w:t xml:space="preserve"> for initial scripts and $</w:t>
      </w:r>
      <w:r w:rsidR="00C66EC7" w:rsidRPr="003E6FD3">
        <w:rPr>
          <w:rFonts w:cstheme="minorHAnsi"/>
          <w:bCs/>
          <w:color w:val="000000"/>
          <w:w w:val="15"/>
          <w:shd w:val="solid" w:color="000000" w:fill="000000"/>
          <w:fitText w:val="-20" w:id="-962355192"/>
          <w14:textFill>
            <w14:solidFill>
              <w14:srgbClr w14:val="000000">
                <w14:alpha w14:val="100000"/>
              </w14:srgbClr>
            </w14:solidFill>
          </w14:textFill>
        </w:rPr>
        <w:t xml:space="preserve">|  </w:t>
      </w:r>
      <w:r w:rsidR="00C66EC7" w:rsidRPr="003E6FD3">
        <w:rPr>
          <w:rFonts w:cstheme="minorHAnsi"/>
          <w:bCs/>
          <w:color w:val="000000"/>
          <w:spacing w:val="-69"/>
          <w:w w:val="15"/>
          <w:shd w:val="solid" w:color="000000" w:fill="000000"/>
          <w:fitText w:val="-20" w:id="-962355192"/>
          <w14:textFill>
            <w14:solidFill>
              <w14:srgbClr w14:val="000000">
                <w14:alpha w14:val="100000"/>
              </w14:srgbClr>
            </w14:solidFill>
          </w14:textFill>
        </w:rPr>
        <w:t>|</w:t>
      </w:r>
      <w:r w:rsidR="00E21C39" w:rsidRPr="000C77A2">
        <w:rPr>
          <w:rFonts w:cstheme="minorHAnsi"/>
          <w:bCs/>
        </w:rPr>
        <w:t xml:space="preserve"> for continuing scripts</w:t>
      </w:r>
      <w:r w:rsidR="00E21C39" w:rsidRPr="000C77A2">
        <w:t xml:space="preserve">. </w:t>
      </w:r>
    </w:p>
    <w:p w14:paraId="130057DD" w14:textId="77777777" w:rsidR="00447E93" w:rsidRPr="000C77A2" w:rsidRDefault="00447E93" w:rsidP="00447E93">
      <w:pPr>
        <w:pStyle w:val="3-BodyText"/>
      </w:pPr>
      <w:r w:rsidRPr="000C77A2">
        <w:t>The resubmission noted the following:</w:t>
      </w:r>
    </w:p>
    <w:p w14:paraId="0F3777C7" w14:textId="613D682B" w:rsidR="00447E93" w:rsidRPr="000C77A2" w:rsidRDefault="00447E93" w:rsidP="00D85BDC">
      <w:pPr>
        <w:pStyle w:val="3-BodyText"/>
        <w:numPr>
          <w:ilvl w:val="0"/>
          <w:numId w:val="22"/>
        </w:numPr>
        <w:ind w:left="1054" w:hanging="357"/>
      </w:pPr>
      <w:r w:rsidRPr="000C77A2">
        <w:t xml:space="preserve">The intent is to provide access to patients with locally advanced or metastatic NSCLC or STS tumours who have positive </w:t>
      </w:r>
      <w:r w:rsidRPr="000C77A2">
        <w:rPr>
          <w:i/>
          <w:iCs/>
        </w:rPr>
        <w:t>NTRK</w:t>
      </w:r>
      <w:r w:rsidRPr="000C77A2">
        <w:t xml:space="preserve"> gene fusions. With the availability of gene panel testing, oncogenic driver mutations such as </w:t>
      </w:r>
      <w:r w:rsidRPr="000C77A2">
        <w:rPr>
          <w:i/>
          <w:iCs/>
        </w:rPr>
        <w:t>NTRK</w:t>
      </w:r>
      <w:r w:rsidRPr="000C77A2">
        <w:t xml:space="preserve"> gene fusions could be detected at diagnosis prior to disease progression or in patients who have received previous therapy and experienced disease progression.</w:t>
      </w:r>
    </w:p>
    <w:p w14:paraId="5DFAD380" w14:textId="434253B0" w:rsidR="00447E93" w:rsidRPr="000C77A2" w:rsidRDefault="00447E93" w:rsidP="00D85BDC">
      <w:pPr>
        <w:pStyle w:val="3-BodyText"/>
        <w:numPr>
          <w:ilvl w:val="0"/>
          <w:numId w:val="22"/>
        </w:numPr>
        <w:ind w:left="1054" w:hanging="357"/>
      </w:pPr>
      <w:r w:rsidRPr="000C77A2">
        <w:t xml:space="preserve">The </w:t>
      </w:r>
      <w:r w:rsidR="00AB25B7">
        <w:t xml:space="preserve">proposed PBS restriction </w:t>
      </w:r>
      <w:r w:rsidRPr="000C77A2">
        <w:t xml:space="preserve">wording is based on the existing PBS listings for larotrectinib but also considers the clinical evidence for the specific tumours requested where patients have progressive disease despite prior therapy. </w:t>
      </w:r>
    </w:p>
    <w:p w14:paraId="43A8B720" w14:textId="7F92A46F" w:rsidR="00447E93" w:rsidRPr="000C77A2" w:rsidRDefault="00447E93" w:rsidP="00447E93">
      <w:pPr>
        <w:pStyle w:val="3-BodyText"/>
      </w:pPr>
      <w:r w:rsidRPr="000C77A2">
        <w:t xml:space="preserve">The proposed PBS restriction allows for first-line treatment with larotrectinib, which is broader (or earlier) than the provisionally approved TGA indication which specifies that the </w:t>
      </w:r>
      <w:r w:rsidR="006744BA" w:rsidRPr="000C77A2">
        <w:t>tumours</w:t>
      </w:r>
      <w:r w:rsidRPr="000C77A2">
        <w:t xml:space="preserve"> should be metastatic or where surgical resection is likely to result in severe morbidity and has either progressed following treatment or who has no satisfactory alternative therapy.</w:t>
      </w:r>
      <w:r w:rsidR="00AA08E6" w:rsidRPr="000C77A2">
        <w:t xml:space="preserve"> </w:t>
      </w:r>
    </w:p>
    <w:p w14:paraId="11EA116C" w14:textId="3C72B075" w:rsidR="00447E93" w:rsidRPr="000C77A2" w:rsidRDefault="00447E93" w:rsidP="00447E93">
      <w:pPr>
        <w:pStyle w:val="3-BodyText"/>
      </w:pPr>
      <w:r w:rsidRPr="000C77A2">
        <w:t xml:space="preserve">In the first-line setting, there are more effective treatment options (immunotherapy ± platinum doublet chemotherapy for NSCLC and anthracycline based chemotherapy for STS) than the comparators nominated in the resubmission (docetaxel for NSCLC </w:t>
      </w:r>
      <w:r w:rsidRPr="000C77A2">
        <w:lastRenderedPageBreak/>
        <w:t xml:space="preserve">and pazopanib for STS). The larotrectinib studies were also conducted in the refractory setting. Thus, </w:t>
      </w:r>
      <w:r w:rsidR="00D65013" w:rsidRPr="000C77A2">
        <w:t xml:space="preserve">the evaluation considered </w:t>
      </w:r>
      <w:r w:rsidRPr="000C77A2">
        <w:t xml:space="preserve">there </w:t>
      </w:r>
      <w:r w:rsidR="00D65013" w:rsidRPr="000C77A2">
        <w:t xml:space="preserve">was </w:t>
      </w:r>
      <w:r w:rsidRPr="000C77A2">
        <w:t xml:space="preserve">misalignment between the populations in the larotrectinib and comparator studies and the </w:t>
      </w:r>
      <w:r w:rsidR="006027C5" w:rsidRPr="000C77A2">
        <w:t>requested</w:t>
      </w:r>
      <w:r w:rsidRPr="000C77A2">
        <w:t xml:space="preserve"> line-agnostic listing.</w:t>
      </w:r>
      <w:r w:rsidR="007F113A" w:rsidRPr="000C77A2">
        <w:t xml:space="preserve"> The pre-PBAC response noted that 24% of patients in the ePAS7 analysis received larotrectinib as a first-line treatment</w:t>
      </w:r>
      <w:r w:rsidR="000C77A2">
        <w:t xml:space="preserve">. </w:t>
      </w:r>
    </w:p>
    <w:p w14:paraId="47D84BFD" w14:textId="4414E8B0" w:rsidR="0000166F" w:rsidRPr="000C77A2" w:rsidRDefault="00447E93" w:rsidP="00447E93">
      <w:pPr>
        <w:pStyle w:val="3-BodyText"/>
        <w:rPr>
          <w:i/>
          <w:iCs/>
        </w:rPr>
      </w:pPr>
      <w:bookmarkStart w:id="13" w:name="_Ref163375943"/>
      <w:r w:rsidRPr="000C77A2">
        <w:t>In the intended management algorithm for NSCLC</w:t>
      </w:r>
      <w:r w:rsidR="006027C5" w:rsidRPr="000C77A2">
        <w:t xml:space="preserve"> presented in the resubmission</w:t>
      </w:r>
      <w:r w:rsidRPr="000C77A2">
        <w:t xml:space="preserve">, patients who are ‘inappropriate’ for immunotherapy ± chemotherapy will receive front-line therapy with larotrectinib. Other eligible patients will receive larotrectinib after progression on immunotherapy ± chemotherapy. The requested listing does not specify </w:t>
      </w:r>
      <w:r w:rsidR="00D52EDF" w:rsidRPr="000C77A2">
        <w:t xml:space="preserve">these conditions. </w:t>
      </w:r>
      <w:r w:rsidRPr="000C77A2">
        <w:t>Furthermore, the definition of ‘appropriate’ is open to interpretation. A patient may be considered as ‘inappropriate’ for immunotherapy ± chemotherapy (regardless of intolerance or contraindications) if larotrectinib becomes</w:t>
      </w:r>
      <w:r w:rsidRPr="000C77A2">
        <w:rPr>
          <w:i/>
          <w:iCs/>
        </w:rPr>
        <w:t xml:space="preserve"> </w:t>
      </w:r>
      <w:r w:rsidRPr="000C77A2">
        <w:t xml:space="preserve">available and evolving clinical practice guidelines recommend targeted therapy </w:t>
      </w:r>
      <w:r w:rsidR="00D52EDF" w:rsidRPr="000C77A2">
        <w:t xml:space="preserve">in an earlier treatment setting </w:t>
      </w:r>
      <w:r w:rsidR="0000166F" w:rsidRPr="000C77A2">
        <w:t>before immunotherapy ± chemotherapy</w:t>
      </w:r>
      <w:r w:rsidRPr="000C77A2">
        <w:t>.</w:t>
      </w:r>
      <w:r w:rsidR="00CD4B7E" w:rsidRPr="000C77A2">
        <w:t xml:space="preserve"> The PSCR proposed inclusion of the clinical criteria “Patient must have received prior systemic treatment for this disease, OR Patient must have a condition that predisposes them to unacceptable risk of intolerance to other systemic therapies” to clarify the clinical use of larotrectinib.</w:t>
      </w:r>
      <w:r w:rsidR="00D65013" w:rsidRPr="000C77A2">
        <w:t xml:space="preserve"> The ESC considered the revised proposed clinical criteria may be reasonable.</w:t>
      </w:r>
      <w:bookmarkEnd w:id="13"/>
    </w:p>
    <w:p w14:paraId="7D3BAF95" w14:textId="3D6FA45E" w:rsidR="0000166F" w:rsidRPr="000C77A2" w:rsidRDefault="0000166F" w:rsidP="0000166F">
      <w:pPr>
        <w:pStyle w:val="3-BodyText"/>
      </w:pPr>
      <w:r w:rsidRPr="000C77A2">
        <w:t xml:space="preserve">The resubmission </w:t>
      </w:r>
      <w:r w:rsidR="000F2708" w:rsidRPr="000C77A2">
        <w:t>stated</w:t>
      </w:r>
      <w:r w:rsidRPr="000C77A2">
        <w:t xml:space="preserve"> that there were </w:t>
      </w:r>
      <w:r w:rsidR="00D52EDF" w:rsidRPr="000C77A2">
        <w:t xml:space="preserve">only </w:t>
      </w:r>
      <w:r w:rsidRPr="000C77A2">
        <w:t xml:space="preserve">13 adult patients with glioma-like CNS tumours in the larotrectinib studies at the latest July 2022 data </w:t>
      </w:r>
      <w:r w:rsidR="00D85BDC" w:rsidRPr="000C77A2">
        <w:t>cut-off</w:t>
      </w:r>
      <w:r w:rsidRPr="000C77A2">
        <w:t xml:space="preserve">. The resubmission invited the PBAC to consider whether this group could be provided access to larotrectinib based on </w:t>
      </w:r>
      <w:r w:rsidR="007913A6" w:rsidRPr="000C77A2">
        <w:t xml:space="preserve">the availability of a panel test for this population, </w:t>
      </w:r>
      <w:r w:rsidRPr="000C77A2">
        <w:t xml:space="preserve">equity, the paucity of viable treatments, </w:t>
      </w:r>
      <w:r w:rsidR="007913A6" w:rsidRPr="000C77A2">
        <w:t xml:space="preserve">the scarcity of data to support a listing in this difficult-to-treat population, and </w:t>
      </w:r>
      <w:r w:rsidRPr="000C77A2">
        <w:t>the dire prognosis</w:t>
      </w:r>
      <w:r w:rsidR="007913A6" w:rsidRPr="000C77A2">
        <w:t xml:space="preserve"> of this population.</w:t>
      </w:r>
      <w:r w:rsidR="00AA08E6" w:rsidRPr="000C77A2">
        <w:t xml:space="preserve"> The ESC noted no clinical data was provided in the resubmission for this population </w:t>
      </w:r>
      <w:r w:rsidR="00823B07" w:rsidRPr="000C77A2">
        <w:t xml:space="preserve">and </w:t>
      </w:r>
      <w:r w:rsidR="00AA08E6" w:rsidRPr="000C77A2">
        <w:t xml:space="preserve">considered that the </w:t>
      </w:r>
      <w:r w:rsidR="00AA08E6" w:rsidRPr="000C77A2">
        <w:rPr>
          <w:i/>
          <w:iCs/>
        </w:rPr>
        <w:t>ad hoc</w:t>
      </w:r>
      <w:r w:rsidR="00AA08E6" w:rsidRPr="000C77A2">
        <w:t xml:space="preserve"> inclusion of glioma-like CNS tumours in the listing would be unreasonable.</w:t>
      </w:r>
      <w:r w:rsidR="00823B07" w:rsidRPr="000C77A2">
        <w:t xml:space="preserve"> The pre-PBAC reiterated the request to consider making larotrectinib available for patients with glioma</w:t>
      </w:r>
      <w:r w:rsidR="007F113A" w:rsidRPr="000C77A2">
        <w:t>-like CNS tumours</w:t>
      </w:r>
      <w:r w:rsidR="00823B07" w:rsidRPr="000C77A2">
        <w:t xml:space="preserve">, noting the rarity of </w:t>
      </w:r>
      <w:r w:rsidR="00823B07" w:rsidRPr="000C77A2">
        <w:rPr>
          <w:i/>
          <w:iCs/>
        </w:rPr>
        <w:t>NTRK</w:t>
      </w:r>
      <w:r w:rsidR="00823B07" w:rsidRPr="000C77A2">
        <w:t xml:space="preserve"> gene fusions in</w:t>
      </w:r>
      <w:r w:rsidR="007F113A" w:rsidRPr="000C77A2">
        <w:t xml:space="preserve"> this condition (0.5-1.0%)</w:t>
      </w:r>
      <w:r w:rsidR="00823B07" w:rsidRPr="000C77A2">
        <w:t xml:space="preserve"> and low 5 year survival</w:t>
      </w:r>
      <w:r w:rsidR="007F113A" w:rsidRPr="000C77A2">
        <w:t xml:space="preserve"> (~35%)</w:t>
      </w:r>
      <w:r w:rsidR="00823B07" w:rsidRPr="000C77A2">
        <w:t>. The pre-PBAC noted the available clinical data for this population was included as an attachment to the resubmission</w:t>
      </w:r>
      <w:r w:rsidR="000C77A2">
        <w:t xml:space="preserve">. </w:t>
      </w:r>
    </w:p>
    <w:p w14:paraId="485C98C4" w14:textId="57C3912E" w:rsidR="00292657" w:rsidRPr="000C77A2" w:rsidRDefault="0000166F" w:rsidP="00292657">
      <w:pPr>
        <w:pStyle w:val="3-BodyText"/>
      </w:pPr>
      <w:r w:rsidRPr="000C77A2">
        <w:t xml:space="preserve">The resubmission noted that compassionate access was being provided to some patients whilst the PBAC evaluation process was ongoing. Based on the proposed initiation and continuation criteria, no separate grandfather clause will be required for the three patients currently receiving compassionate access to larotrectinib, as per previous PBAC advice (para 10.4, larotrectinib PSD, November 2021 with March </w:t>
      </w:r>
      <w:r w:rsidR="00DF6686" w:rsidRPr="000C77A2">
        <w:t>202</w:t>
      </w:r>
      <w:r w:rsidR="00DF6686">
        <w:t xml:space="preserve">2 </w:t>
      </w:r>
      <w:r w:rsidRPr="000C77A2">
        <w:t xml:space="preserve">Addendum). </w:t>
      </w:r>
      <w:r w:rsidR="00292657" w:rsidRPr="000C77A2">
        <w:t>The PBAC noted a separate grandfather restriction would not be required given that patients transitioning to PBS-subsidised treatment would meet the initial restriction criteria.</w:t>
      </w:r>
    </w:p>
    <w:p w14:paraId="68DD8216" w14:textId="46E9BA5B" w:rsidR="00292657" w:rsidRPr="000C77A2" w:rsidRDefault="00292657" w:rsidP="0000166F">
      <w:pPr>
        <w:pStyle w:val="3-BodyText"/>
        <w:rPr>
          <w:i/>
          <w:iCs/>
        </w:rPr>
      </w:pPr>
      <w:r w:rsidRPr="00576FA3">
        <w:t xml:space="preserve">The PBAC agreed with the Secretariat that it would be appropriate for the listing to be Authority Required (In Writing) for initial scripts and Authority Required </w:t>
      </w:r>
      <w:r w:rsidRPr="00576FA3">
        <w:lastRenderedPageBreak/>
        <w:t>(telephone/online PBS Authorities system) for continuing scripts, consistent with the current listing</w:t>
      </w:r>
      <w:r w:rsidR="00747748" w:rsidRPr="00576FA3">
        <w:t>.</w:t>
      </w:r>
    </w:p>
    <w:p w14:paraId="3655662A" w14:textId="1AF4CFD9" w:rsidR="00886653" w:rsidRPr="000C77A2" w:rsidRDefault="00886653" w:rsidP="00F25F45">
      <w:pPr>
        <w:pStyle w:val="3-BodyText"/>
        <w:numPr>
          <w:ilvl w:val="0"/>
          <w:numId w:val="0"/>
        </w:numPr>
        <w:ind w:firstLine="720"/>
        <w:rPr>
          <w:i/>
          <w:iCs/>
        </w:rPr>
      </w:pPr>
      <w:r w:rsidRPr="000C77A2">
        <w:rPr>
          <w:i/>
          <w:iCs/>
        </w:rPr>
        <w:t>For more detail on PBAC’s view, see section 7 PBAC outcome.</w:t>
      </w:r>
    </w:p>
    <w:p w14:paraId="158AA79B" w14:textId="77777777" w:rsidR="00B50DB8" w:rsidRPr="000C77A2" w:rsidDel="00195452" w:rsidRDefault="00203181" w:rsidP="004E18E9">
      <w:pPr>
        <w:pStyle w:val="2-SectionHeading"/>
      </w:pPr>
      <w:bookmarkStart w:id="14" w:name="_Toc156903955"/>
      <w:r w:rsidRPr="000C77A2" w:rsidDel="00195452">
        <w:t xml:space="preserve">Population and </w:t>
      </w:r>
      <w:r w:rsidR="008E0D3C" w:rsidRPr="000C77A2" w:rsidDel="00195452">
        <w:t>d</w:t>
      </w:r>
      <w:r w:rsidRPr="000C77A2" w:rsidDel="00195452">
        <w:t>isease</w:t>
      </w:r>
      <w:bookmarkEnd w:id="14"/>
    </w:p>
    <w:p w14:paraId="3EAEFCB5" w14:textId="0AEFDF4A" w:rsidR="00B802B4" w:rsidRPr="000C77A2" w:rsidRDefault="00B802B4" w:rsidP="00B802B4">
      <w:pPr>
        <w:pStyle w:val="3-BodyText"/>
      </w:pPr>
      <w:r w:rsidRPr="000C77A2">
        <w:t xml:space="preserve">The human </w:t>
      </w:r>
      <w:r w:rsidRPr="000C77A2">
        <w:rPr>
          <w:i/>
          <w:iCs/>
        </w:rPr>
        <w:t>NTRK</w:t>
      </w:r>
      <w:r w:rsidRPr="000C77A2">
        <w:t xml:space="preserve"> genes consist of </w:t>
      </w:r>
      <w:r w:rsidRPr="000C77A2">
        <w:rPr>
          <w:i/>
          <w:iCs/>
        </w:rPr>
        <w:t>NTRK1, NTRK2</w:t>
      </w:r>
      <w:r w:rsidRPr="000C77A2">
        <w:t xml:space="preserve">, and </w:t>
      </w:r>
      <w:r w:rsidRPr="000C77A2">
        <w:rPr>
          <w:i/>
          <w:iCs/>
        </w:rPr>
        <w:t>NTRK3</w:t>
      </w:r>
      <w:r w:rsidRPr="000C77A2">
        <w:t xml:space="preserve"> which are responsible for encoding the TRK proteins TRKA, TRKB, and TRKC, respectively</w:t>
      </w:r>
      <w:r w:rsidR="007865A7" w:rsidRPr="000C77A2">
        <w:t xml:space="preserve">, which </w:t>
      </w:r>
      <w:r w:rsidRPr="000C77A2">
        <w:t xml:space="preserve">play crucial roles in the development and function of the nervous system. However, a rearrangement involving one of the </w:t>
      </w:r>
      <w:r w:rsidRPr="000C77A2">
        <w:rPr>
          <w:i/>
          <w:iCs/>
        </w:rPr>
        <w:t>NTRK</w:t>
      </w:r>
      <w:r w:rsidRPr="000C77A2">
        <w:t xml:space="preserve"> genes – known as </w:t>
      </w:r>
      <w:r w:rsidRPr="000C77A2">
        <w:rPr>
          <w:i/>
          <w:iCs/>
        </w:rPr>
        <w:t>NTRK</w:t>
      </w:r>
      <w:r w:rsidRPr="000C77A2">
        <w:t xml:space="preserve"> gene fusion –can lead to oncogenic expression and, consequently, tumorigenesis. </w:t>
      </w:r>
      <w:r w:rsidR="007865A7" w:rsidRPr="000C77A2">
        <w:t>T</w:t>
      </w:r>
      <w:r w:rsidRPr="000C77A2">
        <w:t>he resultant oncoprotein is typically a constitutively activated or overexpressed kinase, leading to activation of downstream oncogenic pathways.</w:t>
      </w:r>
    </w:p>
    <w:p w14:paraId="5A21825F" w14:textId="64855707" w:rsidR="00B802B4" w:rsidRPr="000C77A2" w:rsidRDefault="007865A7" w:rsidP="00B802B4">
      <w:pPr>
        <w:pStyle w:val="3-BodyText"/>
      </w:pPr>
      <w:r w:rsidRPr="000C77A2">
        <w:fldChar w:fldCharType="begin" w:fldLock="1"/>
      </w:r>
      <w:r w:rsidRPr="000C77A2">
        <w:instrText xml:space="preserve"> REF _Ref154067529 \h </w:instrText>
      </w:r>
      <w:r w:rsidRPr="000C77A2">
        <w:fldChar w:fldCharType="separate"/>
      </w:r>
      <w:r w:rsidR="001B0FE7" w:rsidRPr="000C77A2">
        <w:t xml:space="preserve">Table </w:t>
      </w:r>
      <w:r w:rsidR="001B0FE7">
        <w:rPr>
          <w:noProof/>
        </w:rPr>
        <w:t>3</w:t>
      </w:r>
      <w:r w:rsidRPr="000C77A2">
        <w:fldChar w:fldCharType="end"/>
      </w:r>
      <w:r w:rsidRPr="000C77A2">
        <w:t xml:space="preserve"> summarises </w:t>
      </w:r>
      <w:r w:rsidRPr="000C77A2">
        <w:rPr>
          <w:i/>
          <w:iCs/>
        </w:rPr>
        <w:t>NTRK</w:t>
      </w:r>
      <w:r w:rsidRPr="000C77A2">
        <w:t xml:space="preserve"> gene fusion prevalence estimates by lung cancer tumour histology from an Australian systematic review study</w:t>
      </w:r>
      <w:r w:rsidRPr="000C77A2">
        <w:rPr>
          <w:rStyle w:val="FootnoteReference"/>
        </w:rPr>
        <w:footnoteReference w:id="4"/>
      </w:r>
      <w:r w:rsidRPr="000C77A2">
        <w:t>.</w:t>
      </w:r>
    </w:p>
    <w:p w14:paraId="6D8F0353" w14:textId="35FB8BEA" w:rsidR="007865A7" w:rsidRPr="000C77A2" w:rsidRDefault="007865A7" w:rsidP="007865A7">
      <w:pPr>
        <w:pStyle w:val="Caption"/>
      </w:pPr>
      <w:bookmarkStart w:id="15" w:name="_Ref154067529"/>
      <w:r w:rsidRPr="000C77A2">
        <w:t xml:space="preserve">Table </w:t>
      </w:r>
      <w:fldSimple w:instr=" SEQ Table \* ARABIC " w:fldLock="1">
        <w:r w:rsidR="001B0FE7">
          <w:rPr>
            <w:noProof/>
          </w:rPr>
          <w:t>3</w:t>
        </w:r>
      </w:fldSimple>
      <w:bookmarkEnd w:id="15"/>
      <w:r w:rsidRPr="000C77A2">
        <w:t xml:space="preserve">: </w:t>
      </w:r>
      <w:r w:rsidRPr="000C77A2">
        <w:rPr>
          <w:i/>
          <w:iCs/>
        </w:rPr>
        <w:t>NTRK</w:t>
      </w:r>
      <w:r w:rsidRPr="000C77A2">
        <w:t xml:space="preserve"> gene fusion prevalence estimates by lung cancer tumour histology</w:t>
      </w:r>
    </w:p>
    <w:tbl>
      <w:tblPr>
        <w:tblStyle w:val="HTATableshaded"/>
        <w:tblW w:w="5000" w:type="pct"/>
        <w:tblLook w:val="04A0" w:firstRow="1" w:lastRow="0" w:firstColumn="1" w:lastColumn="0" w:noHBand="0" w:noVBand="1"/>
        <w:tblCaption w:val="Table 3: NTRK gene fusion prevalence estimates by lung cancer tumour histology"/>
      </w:tblPr>
      <w:tblGrid>
        <w:gridCol w:w="5524"/>
        <w:gridCol w:w="2128"/>
        <w:gridCol w:w="1365"/>
      </w:tblGrid>
      <w:tr w:rsidR="007865A7" w:rsidRPr="000C77A2" w14:paraId="681D0ABF" w14:textId="0996B04C" w:rsidTr="003E6FD3">
        <w:trPr>
          <w:cnfStyle w:val="100000000000" w:firstRow="1" w:lastRow="0" w:firstColumn="0" w:lastColumn="0" w:oddVBand="0" w:evenVBand="0" w:oddHBand="0" w:evenHBand="0" w:firstRowFirstColumn="0" w:firstRowLastColumn="0" w:lastRowFirstColumn="0" w:lastRowLastColumn="0"/>
          <w:cantSplit/>
          <w:trHeight w:val="170"/>
        </w:trPr>
        <w:tc>
          <w:tcPr>
            <w:tcW w:w="3063" w:type="pct"/>
            <w:shd w:val="clear" w:color="auto" w:fill="auto"/>
            <w:hideMark/>
          </w:tcPr>
          <w:p w14:paraId="227F7EAA" w14:textId="013EA21E" w:rsidR="007865A7" w:rsidRPr="000C77A2" w:rsidRDefault="007865A7" w:rsidP="00E56B65">
            <w:pPr>
              <w:pStyle w:val="Tabletext"/>
              <w:keepNext/>
              <w:widowControl w:val="0"/>
              <w:spacing w:before="0" w:after="0"/>
              <w:rPr>
                <w:b/>
                <w:bCs/>
              </w:rPr>
            </w:pPr>
            <w:r w:rsidRPr="000C77A2">
              <w:rPr>
                <w:b/>
                <w:bCs/>
              </w:rPr>
              <w:t>Cancer type</w:t>
            </w:r>
          </w:p>
        </w:tc>
        <w:tc>
          <w:tcPr>
            <w:tcW w:w="1180" w:type="pct"/>
            <w:shd w:val="clear" w:color="auto" w:fill="auto"/>
            <w:hideMark/>
          </w:tcPr>
          <w:p w14:paraId="102B0ECF" w14:textId="5EFB5F91" w:rsidR="007865A7" w:rsidRPr="000C77A2" w:rsidRDefault="007865A7" w:rsidP="00E56B65">
            <w:pPr>
              <w:pStyle w:val="Tabletext"/>
              <w:keepNext/>
              <w:widowControl w:val="0"/>
              <w:spacing w:before="0" w:after="0"/>
              <w:jc w:val="center"/>
              <w:rPr>
                <w:b/>
                <w:bCs/>
              </w:rPr>
            </w:pPr>
            <w:r w:rsidRPr="000C77A2">
              <w:rPr>
                <w:b/>
                <w:bCs/>
                <w:i/>
                <w:iCs/>
              </w:rPr>
              <w:t>NTRK</w:t>
            </w:r>
            <w:r w:rsidRPr="000C77A2">
              <w:rPr>
                <w:b/>
                <w:bCs/>
              </w:rPr>
              <w:t xml:space="preserve"> gene fusion prevalence, %</w:t>
            </w:r>
          </w:p>
        </w:tc>
        <w:tc>
          <w:tcPr>
            <w:tcW w:w="757" w:type="pct"/>
            <w:shd w:val="clear" w:color="auto" w:fill="auto"/>
            <w:hideMark/>
          </w:tcPr>
          <w:p w14:paraId="5EE3E6E0" w14:textId="7653D81C" w:rsidR="007865A7" w:rsidRPr="000C77A2" w:rsidRDefault="007865A7" w:rsidP="00E56B65">
            <w:pPr>
              <w:pStyle w:val="Tabletext"/>
              <w:keepNext/>
              <w:widowControl w:val="0"/>
              <w:spacing w:before="0" w:after="0"/>
              <w:jc w:val="center"/>
              <w:rPr>
                <w:b/>
                <w:bCs/>
              </w:rPr>
            </w:pPr>
            <w:r w:rsidRPr="000C77A2">
              <w:rPr>
                <w:b/>
                <w:bCs/>
              </w:rPr>
              <w:t>95% CI, %</w:t>
            </w:r>
          </w:p>
        </w:tc>
      </w:tr>
      <w:tr w:rsidR="007865A7" w:rsidRPr="000C77A2" w14:paraId="41A5C1F2" w14:textId="03AFEB04" w:rsidTr="003E6FD3">
        <w:trPr>
          <w:cantSplit/>
          <w:trHeight w:val="170"/>
        </w:trPr>
        <w:tc>
          <w:tcPr>
            <w:tcW w:w="3063" w:type="pct"/>
            <w:hideMark/>
          </w:tcPr>
          <w:p w14:paraId="3D322664" w14:textId="1E499F5B" w:rsidR="007865A7" w:rsidRPr="000C77A2" w:rsidRDefault="007865A7" w:rsidP="00E56B65">
            <w:pPr>
              <w:pStyle w:val="Tabletext"/>
              <w:keepNext/>
              <w:widowControl w:val="0"/>
              <w:spacing w:before="0" w:after="0"/>
            </w:pPr>
            <w:r w:rsidRPr="000C77A2">
              <w:t>Lung</w:t>
            </w:r>
          </w:p>
        </w:tc>
        <w:tc>
          <w:tcPr>
            <w:tcW w:w="1180" w:type="pct"/>
            <w:hideMark/>
          </w:tcPr>
          <w:p w14:paraId="47F79E79" w14:textId="2122DD5F" w:rsidR="007865A7" w:rsidRPr="000C77A2" w:rsidRDefault="007865A7" w:rsidP="00E56B65">
            <w:pPr>
              <w:pStyle w:val="Tabletext"/>
              <w:keepNext/>
              <w:widowControl w:val="0"/>
              <w:spacing w:before="0" w:after="0"/>
              <w:jc w:val="center"/>
            </w:pPr>
            <w:r w:rsidRPr="000C77A2">
              <w:t>0.06</w:t>
            </w:r>
          </w:p>
        </w:tc>
        <w:tc>
          <w:tcPr>
            <w:tcW w:w="757" w:type="pct"/>
            <w:hideMark/>
          </w:tcPr>
          <w:p w14:paraId="01876120" w14:textId="1C83B47D" w:rsidR="007865A7" w:rsidRPr="000C77A2" w:rsidRDefault="007865A7" w:rsidP="00E56B65">
            <w:pPr>
              <w:pStyle w:val="Tabletext"/>
              <w:keepNext/>
              <w:widowControl w:val="0"/>
              <w:spacing w:before="0" w:after="0"/>
              <w:jc w:val="center"/>
            </w:pPr>
            <w:r w:rsidRPr="000C77A2">
              <w:t>0.03, 0.10</w:t>
            </w:r>
          </w:p>
        </w:tc>
      </w:tr>
      <w:tr w:rsidR="007865A7" w:rsidRPr="000C77A2" w14:paraId="54A83DFA" w14:textId="008496B1" w:rsidTr="003E6FD3">
        <w:trPr>
          <w:cantSplit/>
          <w:trHeight w:val="170"/>
        </w:trPr>
        <w:tc>
          <w:tcPr>
            <w:tcW w:w="3063" w:type="pct"/>
            <w:hideMark/>
          </w:tcPr>
          <w:p w14:paraId="0F0E3909" w14:textId="4CE7B3D7" w:rsidR="007865A7" w:rsidRPr="000C77A2" w:rsidRDefault="007865A7" w:rsidP="00E56B65">
            <w:pPr>
              <w:pStyle w:val="Tabletext"/>
              <w:keepNext/>
              <w:widowControl w:val="0"/>
              <w:spacing w:before="0" w:after="0"/>
            </w:pPr>
            <w:r w:rsidRPr="000C77A2">
              <w:t>Non-squamous non-small cell lung cancer</w:t>
            </w:r>
          </w:p>
        </w:tc>
        <w:tc>
          <w:tcPr>
            <w:tcW w:w="1180" w:type="pct"/>
            <w:hideMark/>
          </w:tcPr>
          <w:p w14:paraId="2FAEBE3A" w14:textId="275FC227" w:rsidR="007865A7" w:rsidRPr="000C77A2" w:rsidRDefault="007865A7" w:rsidP="00E56B65">
            <w:pPr>
              <w:pStyle w:val="Tabletext"/>
              <w:keepNext/>
              <w:widowControl w:val="0"/>
              <w:spacing w:before="0" w:after="0"/>
              <w:jc w:val="center"/>
            </w:pPr>
            <w:r w:rsidRPr="000C77A2">
              <w:t>0.00</w:t>
            </w:r>
          </w:p>
        </w:tc>
        <w:tc>
          <w:tcPr>
            <w:tcW w:w="757" w:type="pct"/>
            <w:hideMark/>
          </w:tcPr>
          <w:p w14:paraId="5DC47423" w14:textId="12988720" w:rsidR="007865A7" w:rsidRPr="000C77A2" w:rsidRDefault="007865A7" w:rsidP="00E56B65">
            <w:pPr>
              <w:pStyle w:val="Tabletext"/>
              <w:keepNext/>
              <w:widowControl w:val="0"/>
              <w:spacing w:before="0" w:after="0"/>
              <w:jc w:val="center"/>
            </w:pPr>
            <w:r w:rsidRPr="000C77A2">
              <w:t>0.00, 0.40</w:t>
            </w:r>
          </w:p>
        </w:tc>
      </w:tr>
      <w:tr w:rsidR="007865A7" w:rsidRPr="000C77A2" w14:paraId="14BADCA4" w14:textId="27EBC085" w:rsidTr="003E6FD3">
        <w:trPr>
          <w:cantSplit/>
          <w:trHeight w:val="170"/>
        </w:trPr>
        <w:tc>
          <w:tcPr>
            <w:tcW w:w="3063" w:type="pct"/>
          </w:tcPr>
          <w:p w14:paraId="555E82CD" w14:textId="0175AAED" w:rsidR="007865A7" w:rsidRPr="000C77A2" w:rsidRDefault="007865A7" w:rsidP="00E56B65">
            <w:pPr>
              <w:pStyle w:val="Tabletext"/>
              <w:keepNext/>
              <w:widowControl w:val="0"/>
              <w:spacing w:before="0" w:after="0"/>
            </w:pPr>
            <w:r w:rsidRPr="000C77A2">
              <w:t>Lung adenocarcinoma</w:t>
            </w:r>
          </w:p>
        </w:tc>
        <w:tc>
          <w:tcPr>
            <w:tcW w:w="1180" w:type="pct"/>
          </w:tcPr>
          <w:p w14:paraId="25CCCA4A" w14:textId="7BA465DE" w:rsidR="007865A7" w:rsidRPr="000C77A2" w:rsidRDefault="007865A7" w:rsidP="00E56B65">
            <w:pPr>
              <w:pStyle w:val="Tabletext"/>
              <w:keepNext/>
              <w:widowControl w:val="0"/>
              <w:spacing w:before="0" w:after="0"/>
              <w:jc w:val="center"/>
            </w:pPr>
            <w:r w:rsidRPr="000C77A2">
              <w:t>0.09</w:t>
            </w:r>
          </w:p>
        </w:tc>
        <w:tc>
          <w:tcPr>
            <w:tcW w:w="757" w:type="pct"/>
          </w:tcPr>
          <w:p w14:paraId="3C794E3A" w14:textId="71857523" w:rsidR="007865A7" w:rsidRPr="000C77A2" w:rsidRDefault="007865A7" w:rsidP="00E56B65">
            <w:pPr>
              <w:pStyle w:val="Tabletext"/>
              <w:keepNext/>
              <w:widowControl w:val="0"/>
              <w:spacing w:before="0" w:after="0"/>
              <w:jc w:val="center"/>
            </w:pPr>
            <w:r w:rsidRPr="000C77A2">
              <w:t>0.03, 0.31</w:t>
            </w:r>
          </w:p>
        </w:tc>
      </w:tr>
      <w:tr w:rsidR="007865A7" w:rsidRPr="000C77A2" w14:paraId="2D33B7E4" w14:textId="4C9467E7" w:rsidTr="003E6FD3">
        <w:trPr>
          <w:cantSplit/>
          <w:trHeight w:val="170"/>
        </w:trPr>
        <w:tc>
          <w:tcPr>
            <w:tcW w:w="3063" w:type="pct"/>
            <w:hideMark/>
          </w:tcPr>
          <w:p w14:paraId="5FAF43B0" w14:textId="07117EB5" w:rsidR="007865A7" w:rsidRPr="000C77A2" w:rsidRDefault="007865A7" w:rsidP="00E56B65">
            <w:pPr>
              <w:pStyle w:val="Tabletext"/>
              <w:keepNext/>
              <w:widowControl w:val="0"/>
              <w:spacing w:before="0" w:after="0"/>
            </w:pPr>
            <w:r w:rsidRPr="000C77A2">
              <w:t>Lung squamous cell carcinoma</w:t>
            </w:r>
          </w:p>
        </w:tc>
        <w:tc>
          <w:tcPr>
            <w:tcW w:w="1180" w:type="pct"/>
            <w:hideMark/>
          </w:tcPr>
          <w:p w14:paraId="61C4950C" w14:textId="5A1D040E" w:rsidR="007865A7" w:rsidRPr="000C77A2" w:rsidRDefault="007865A7" w:rsidP="00E56B65">
            <w:pPr>
              <w:pStyle w:val="Tabletext"/>
              <w:keepNext/>
              <w:widowControl w:val="0"/>
              <w:spacing w:before="0" w:after="0"/>
              <w:jc w:val="center"/>
            </w:pPr>
            <w:r w:rsidRPr="000C77A2">
              <w:t>0.00</w:t>
            </w:r>
          </w:p>
        </w:tc>
        <w:tc>
          <w:tcPr>
            <w:tcW w:w="757" w:type="pct"/>
            <w:hideMark/>
          </w:tcPr>
          <w:p w14:paraId="4D96CC98" w14:textId="28291EEE" w:rsidR="007865A7" w:rsidRPr="000C77A2" w:rsidRDefault="007865A7" w:rsidP="00E56B65">
            <w:pPr>
              <w:pStyle w:val="Tabletext"/>
              <w:keepNext/>
              <w:widowControl w:val="0"/>
              <w:spacing w:before="0" w:after="0"/>
              <w:jc w:val="center"/>
            </w:pPr>
            <w:r w:rsidRPr="000C77A2">
              <w:t>0.00, 0.73</w:t>
            </w:r>
          </w:p>
        </w:tc>
      </w:tr>
      <w:tr w:rsidR="007865A7" w:rsidRPr="000C77A2" w14:paraId="20A8A47C" w14:textId="7DEDD8DD" w:rsidTr="003E6FD3">
        <w:trPr>
          <w:cantSplit/>
          <w:trHeight w:val="170"/>
        </w:trPr>
        <w:tc>
          <w:tcPr>
            <w:tcW w:w="3063" w:type="pct"/>
            <w:hideMark/>
          </w:tcPr>
          <w:p w14:paraId="3422630C" w14:textId="107C9FD5" w:rsidR="007865A7" w:rsidRPr="000C77A2" w:rsidRDefault="007865A7" w:rsidP="00E56B65">
            <w:pPr>
              <w:pStyle w:val="Tabletext"/>
              <w:keepNext/>
              <w:widowControl w:val="0"/>
              <w:spacing w:before="0" w:after="0"/>
            </w:pPr>
            <w:r w:rsidRPr="000C77A2">
              <w:t>Large cell neuroendocrine carcinoma</w:t>
            </w:r>
          </w:p>
        </w:tc>
        <w:tc>
          <w:tcPr>
            <w:tcW w:w="1180" w:type="pct"/>
            <w:hideMark/>
          </w:tcPr>
          <w:p w14:paraId="263E8633" w14:textId="304C06A0" w:rsidR="007865A7" w:rsidRPr="000C77A2" w:rsidRDefault="007865A7" w:rsidP="00E56B65">
            <w:pPr>
              <w:pStyle w:val="Tabletext"/>
              <w:keepNext/>
              <w:widowControl w:val="0"/>
              <w:spacing w:before="0" w:after="0"/>
              <w:jc w:val="center"/>
            </w:pPr>
            <w:r w:rsidRPr="000C77A2">
              <w:t>1.45</w:t>
            </w:r>
          </w:p>
        </w:tc>
        <w:tc>
          <w:tcPr>
            <w:tcW w:w="757" w:type="pct"/>
            <w:hideMark/>
          </w:tcPr>
          <w:p w14:paraId="47AF06E7" w14:textId="55A6E00B" w:rsidR="007865A7" w:rsidRPr="000C77A2" w:rsidRDefault="007865A7" w:rsidP="00E56B65">
            <w:pPr>
              <w:pStyle w:val="Tabletext"/>
              <w:keepNext/>
              <w:widowControl w:val="0"/>
              <w:spacing w:before="0" w:after="0"/>
              <w:jc w:val="center"/>
            </w:pPr>
            <w:r w:rsidRPr="000C77A2">
              <w:t>0.04, 7.81</w:t>
            </w:r>
          </w:p>
        </w:tc>
      </w:tr>
      <w:tr w:rsidR="007865A7" w:rsidRPr="000C77A2" w14:paraId="7D466E4E" w14:textId="57B4EC3F" w:rsidTr="003E6FD3">
        <w:trPr>
          <w:cantSplit/>
          <w:trHeight w:val="170"/>
        </w:trPr>
        <w:tc>
          <w:tcPr>
            <w:tcW w:w="3063" w:type="pct"/>
            <w:hideMark/>
          </w:tcPr>
          <w:p w14:paraId="00BAF75A" w14:textId="72EFD223" w:rsidR="007865A7" w:rsidRPr="000C77A2" w:rsidRDefault="007865A7" w:rsidP="00E56B65">
            <w:pPr>
              <w:pStyle w:val="Tabletext"/>
              <w:keepNext/>
              <w:widowControl w:val="0"/>
              <w:spacing w:before="0" w:after="0"/>
            </w:pPr>
            <w:r w:rsidRPr="000C77A2">
              <w:t>Mucinous adenocarcinoma</w:t>
            </w:r>
          </w:p>
        </w:tc>
        <w:tc>
          <w:tcPr>
            <w:tcW w:w="1180" w:type="pct"/>
            <w:hideMark/>
          </w:tcPr>
          <w:p w14:paraId="1FAFE40E" w14:textId="202F52FC" w:rsidR="007865A7" w:rsidRPr="000C77A2" w:rsidRDefault="007865A7" w:rsidP="00E56B65">
            <w:pPr>
              <w:pStyle w:val="Tabletext"/>
              <w:keepNext/>
              <w:widowControl w:val="0"/>
              <w:spacing w:before="0" w:after="0"/>
              <w:jc w:val="center"/>
            </w:pPr>
            <w:r w:rsidRPr="000C77A2">
              <w:t>1.39</w:t>
            </w:r>
          </w:p>
        </w:tc>
        <w:tc>
          <w:tcPr>
            <w:tcW w:w="757" w:type="pct"/>
            <w:hideMark/>
          </w:tcPr>
          <w:p w14:paraId="39CCB4F2" w14:textId="3588AF2C" w:rsidR="007865A7" w:rsidRPr="000C77A2" w:rsidRDefault="007865A7" w:rsidP="00E56B65">
            <w:pPr>
              <w:pStyle w:val="Tabletext"/>
              <w:keepNext/>
              <w:widowControl w:val="0"/>
              <w:spacing w:before="0" w:after="0"/>
              <w:jc w:val="center"/>
            </w:pPr>
            <w:r w:rsidRPr="000C77A2">
              <w:t>0.03, 7.50</w:t>
            </w:r>
          </w:p>
        </w:tc>
      </w:tr>
      <w:tr w:rsidR="007865A7" w:rsidRPr="000C77A2" w14:paraId="7C086BE8" w14:textId="5911FBD8" w:rsidTr="003E6FD3">
        <w:trPr>
          <w:cantSplit/>
          <w:trHeight w:val="170"/>
        </w:trPr>
        <w:tc>
          <w:tcPr>
            <w:tcW w:w="3063" w:type="pct"/>
            <w:hideMark/>
          </w:tcPr>
          <w:p w14:paraId="1202AC50" w14:textId="45BA7167" w:rsidR="007865A7" w:rsidRPr="000C77A2" w:rsidRDefault="007865A7" w:rsidP="00E56B65">
            <w:pPr>
              <w:pStyle w:val="Tabletext"/>
              <w:keepNext/>
              <w:widowControl w:val="0"/>
              <w:spacing w:before="0" w:after="0"/>
            </w:pPr>
            <w:r w:rsidRPr="000C77A2">
              <w:t>Small cell lung cancer</w:t>
            </w:r>
          </w:p>
        </w:tc>
        <w:tc>
          <w:tcPr>
            <w:tcW w:w="1180" w:type="pct"/>
            <w:hideMark/>
          </w:tcPr>
          <w:p w14:paraId="0B9923DA" w14:textId="5DDA32ED" w:rsidR="007865A7" w:rsidRPr="000C77A2" w:rsidRDefault="007865A7" w:rsidP="00E56B65">
            <w:pPr>
              <w:pStyle w:val="Tabletext"/>
              <w:keepNext/>
              <w:widowControl w:val="0"/>
              <w:spacing w:before="0" w:after="0"/>
              <w:jc w:val="center"/>
            </w:pPr>
            <w:r w:rsidRPr="000C77A2">
              <w:t>1.64</w:t>
            </w:r>
          </w:p>
        </w:tc>
        <w:tc>
          <w:tcPr>
            <w:tcW w:w="757" w:type="pct"/>
            <w:hideMark/>
          </w:tcPr>
          <w:p w14:paraId="0D010ACF" w14:textId="5649676F" w:rsidR="007865A7" w:rsidRPr="000C77A2" w:rsidRDefault="007865A7" w:rsidP="00E56B65">
            <w:pPr>
              <w:pStyle w:val="Tabletext"/>
              <w:keepNext/>
              <w:widowControl w:val="0"/>
              <w:spacing w:before="0" w:after="0"/>
              <w:jc w:val="center"/>
            </w:pPr>
            <w:r w:rsidRPr="000C77A2">
              <w:t>0.20, 5.80</w:t>
            </w:r>
          </w:p>
        </w:tc>
      </w:tr>
      <w:tr w:rsidR="007865A7" w:rsidRPr="000C77A2" w14:paraId="18436FF5" w14:textId="6DB3EEC1" w:rsidTr="003E6FD3">
        <w:trPr>
          <w:cantSplit/>
          <w:trHeight w:val="170"/>
        </w:trPr>
        <w:tc>
          <w:tcPr>
            <w:tcW w:w="3063" w:type="pct"/>
            <w:hideMark/>
          </w:tcPr>
          <w:p w14:paraId="6A2092C6" w14:textId="1E040763" w:rsidR="007865A7" w:rsidRPr="000C77A2" w:rsidRDefault="007865A7" w:rsidP="00E56B65">
            <w:pPr>
              <w:pStyle w:val="Tabletext"/>
              <w:keepNext/>
              <w:widowControl w:val="0"/>
              <w:spacing w:before="0" w:after="0"/>
            </w:pPr>
            <w:r w:rsidRPr="000C77A2">
              <w:rPr>
                <w:i/>
                <w:iCs/>
              </w:rPr>
              <w:t>EGFR, ALK, KRAS, ROS1</w:t>
            </w:r>
            <w:r w:rsidRPr="000C77A2">
              <w:t xml:space="preserve"> WT lung adenocarcinoma</w:t>
            </w:r>
          </w:p>
        </w:tc>
        <w:tc>
          <w:tcPr>
            <w:tcW w:w="1180" w:type="pct"/>
            <w:hideMark/>
          </w:tcPr>
          <w:p w14:paraId="7EAB9A8E" w14:textId="4F7DF111" w:rsidR="007865A7" w:rsidRPr="000C77A2" w:rsidRDefault="007865A7" w:rsidP="00E56B65">
            <w:pPr>
              <w:pStyle w:val="Tabletext"/>
              <w:keepNext/>
              <w:widowControl w:val="0"/>
              <w:spacing w:before="0" w:after="0"/>
              <w:jc w:val="center"/>
            </w:pPr>
            <w:r w:rsidRPr="000C77A2">
              <w:t>3.30</w:t>
            </w:r>
          </w:p>
        </w:tc>
        <w:tc>
          <w:tcPr>
            <w:tcW w:w="757" w:type="pct"/>
            <w:hideMark/>
          </w:tcPr>
          <w:p w14:paraId="1855379E" w14:textId="1E639766" w:rsidR="007865A7" w:rsidRPr="000C77A2" w:rsidRDefault="007865A7" w:rsidP="00E56B65">
            <w:pPr>
              <w:pStyle w:val="Tabletext"/>
              <w:keepNext/>
              <w:widowControl w:val="0"/>
              <w:spacing w:before="0" w:after="0"/>
              <w:jc w:val="center"/>
            </w:pPr>
            <w:r w:rsidRPr="000C77A2">
              <w:t>0.69, 9.33</w:t>
            </w:r>
          </w:p>
        </w:tc>
      </w:tr>
      <w:tr w:rsidR="007865A7" w:rsidRPr="000C77A2" w14:paraId="65ADC768" w14:textId="71F24A83" w:rsidTr="003E6FD3">
        <w:trPr>
          <w:cantSplit/>
          <w:trHeight w:val="170"/>
        </w:trPr>
        <w:tc>
          <w:tcPr>
            <w:tcW w:w="3063" w:type="pct"/>
            <w:hideMark/>
          </w:tcPr>
          <w:p w14:paraId="6E2ACF63" w14:textId="07A3C91F" w:rsidR="007865A7" w:rsidRPr="000C77A2" w:rsidRDefault="007865A7" w:rsidP="00E56B65">
            <w:pPr>
              <w:pStyle w:val="Tabletext"/>
              <w:keepNext/>
              <w:widowControl w:val="0"/>
              <w:spacing w:before="0" w:after="0"/>
            </w:pPr>
            <w:r w:rsidRPr="000C77A2">
              <w:rPr>
                <w:i/>
                <w:iCs/>
              </w:rPr>
              <w:t>BRAF, KRAS, EGFR</w:t>
            </w:r>
            <w:r w:rsidRPr="000C77A2">
              <w:t xml:space="preserve"> WT lung adenocarcinoma</w:t>
            </w:r>
          </w:p>
        </w:tc>
        <w:tc>
          <w:tcPr>
            <w:tcW w:w="1180" w:type="pct"/>
            <w:hideMark/>
          </w:tcPr>
          <w:p w14:paraId="7B62EA71" w14:textId="664D2447" w:rsidR="007865A7" w:rsidRPr="000C77A2" w:rsidRDefault="007865A7" w:rsidP="00E56B65">
            <w:pPr>
              <w:pStyle w:val="Tabletext"/>
              <w:keepNext/>
              <w:widowControl w:val="0"/>
              <w:spacing w:before="0" w:after="0"/>
              <w:jc w:val="center"/>
            </w:pPr>
            <w:r w:rsidRPr="000C77A2">
              <w:t>0.27</w:t>
            </w:r>
          </w:p>
        </w:tc>
        <w:tc>
          <w:tcPr>
            <w:tcW w:w="757" w:type="pct"/>
            <w:hideMark/>
          </w:tcPr>
          <w:p w14:paraId="1CC8FD65" w14:textId="0250D46F" w:rsidR="007865A7" w:rsidRPr="000C77A2" w:rsidRDefault="007865A7" w:rsidP="00E56B65">
            <w:pPr>
              <w:pStyle w:val="Tabletext"/>
              <w:keepNext/>
              <w:widowControl w:val="0"/>
              <w:spacing w:before="0" w:after="0"/>
              <w:jc w:val="center"/>
            </w:pPr>
            <w:r w:rsidRPr="000C77A2">
              <w:t>0.01, 1.69</w:t>
            </w:r>
          </w:p>
        </w:tc>
      </w:tr>
      <w:tr w:rsidR="007865A7" w:rsidRPr="000C77A2" w14:paraId="67143864" w14:textId="5EE8F052" w:rsidTr="003E6FD3">
        <w:trPr>
          <w:cantSplit/>
          <w:trHeight w:val="170"/>
        </w:trPr>
        <w:tc>
          <w:tcPr>
            <w:tcW w:w="3063" w:type="pct"/>
            <w:hideMark/>
          </w:tcPr>
          <w:p w14:paraId="56C7D811" w14:textId="68AD937B" w:rsidR="007865A7" w:rsidRPr="000C77A2" w:rsidRDefault="007865A7" w:rsidP="00E56B65">
            <w:pPr>
              <w:pStyle w:val="Tabletext"/>
              <w:keepNext/>
              <w:widowControl w:val="0"/>
              <w:spacing w:before="0" w:after="0"/>
            </w:pPr>
            <w:r w:rsidRPr="000C77A2">
              <w:rPr>
                <w:i/>
                <w:iCs/>
              </w:rPr>
              <w:t>EGFR</w:t>
            </w:r>
            <w:r w:rsidRPr="000C77A2">
              <w:t xml:space="preserve"> T790M 2</w:t>
            </w:r>
            <w:r w:rsidRPr="000C77A2">
              <w:rPr>
                <w:vertAlign w:val="superscript"/>
              </w:rPr>
              <w:t>nd</w:t>
            </w:r>
            <w:r w:rsidRPr="000C77A2">
              <w:t xml:space="preserve"> generation TKI resistant non-small cell lung cancer</w:t>
            </w:r>
          </w:p>
        </w:tc>
        <w:tc>
          <w:tcPr>
            <w:tcW w:w="1180" w:type="pct"/>
            <w:hideMark/>
          </w:tcPr>
          <w:p w14:paraId="4BB8E49C" w14:textId="1F9B3B39" w:rsidR="007865A7" w:rsidRPr="000C77A2" w:rsidRDefault="007865A7" w:rsidP="00E56B65">
            <w:pPr>
              <w:pStyle w:val="Tabletext"/>
              <w:keepNext/>
              <w:widowControl w:val="0"/>
              <w:spacing w:before="0" w:after="0"/>
              <w:jc w:val="center"/>
            </w:pPr>
            <w:r w:rsidRPr="000C77A2">
              <w:t>1.79</w:t>
            </w:r>
          </w:p>
        </w:tc>
        <w:tc>
          <w:tcPr>
            <w:tcW w:w="757" w:type="pct"/>
            <w:hideMark/>
          </w:tcPr>
          <w:p w14:paraId="0F2705BF" w14:textId="481EC143" w:rsidR="007865A7" w:rsidRPr="000C77A2" w:rsidRDefault="007865A7" w:rsidP="00E56B65">
            <w:pPr>
              <w:pStyle w:val="Tabletext"/>
              <w:keepNext/>
              <w:widowControl w:val="0"/>
              <w:spacing w:before="0" w:after="0"/>
              <w:jc w:val="center"/>
            </w:pPr>
            <w:r w:rsidRPr="000C77A2">
              <w:t>0.04, 9.55</w:t>
            </w:r>
          </w:p>
        </w:tc>
      </w:tr>
      <w:tr w:rsidR="007865A7" w:rsidRPr="000C77A2" w14:paraId="1C7A043B" w14:textId="284EBC23" w:rsidTr="003E6FD3">
        <w:trPr>
          <w:cantSplit/>
          <w:trHeight w:val="170"/>
        </w:trPr>
        <w:tc>
          <w:tcPr>
            <w:tcW w:w="3063" w:type="pct"/>
            <w:hideMark/>
          </w:tcPr>
          <w:p w14:paraId="0DC44386" w14:textId="747DB3E0" w:rsidR="007865A7" w:rsidRPr="000C77A2" w:rsidRDefault="007865A7" w:rsidP="00E56B65">
            <w:pPr>
              <w:pStyle w:val="Tabletext"/>
              <w:keepNext/>
              <w:widowControl w:val="0"/>
              <w:spacing w:before="0" w:after="0"/>
            </w:pPr>
            <w:r w:rsidRPr="000C77A2">
              <w:rPr>
                <w:i/>
                <w:iCs/>
              </w:rPr>
              <w:t>EGFR</w:t>
            </w:r>
            <w:r w:rsidRPr="000C77A2">
              <w:t xml:space="preserve"> mutation post TKI non-small cell lung cancer</w:t>
            </w:r>
          </w:p>
        </w:tc>
        <w:tc>
          <w:tcPr>
            <w:tcW w:w="1180" w:type="pct"/>
            <w:hideMark/>
          </w:tcPr>
          <w:p w14:paraId="3D5F3470" w14:textId="315306CB" w:rsidR="007865A7" w:rsidRPr="000C77A2" w:rsidRDefault="007865A7" w:rsidP="00E56B65">
            <w:pPr>
              <w:pStyle w:val="Tabletext"/>
              <w:keepNext/>
              <w:widowControl w:val="0"/>
              <w:spacing w:before="0" w:after="0"/>
              <w:jc w:val="center"/>
            </w:pPr>
            <w:r w:rsidRPr="000C77A2">
              <w:t>0.10</w:t>
            </w:r>
          </w:p>
        </w:tc>
        <w:tc>
          <w:tcPr>
            <w:tcW w:w="757" w:type="pct"/>
            <w:hideMark/>
          </w:tcPr>
          <w:p w14:paraId="086B6E7A" w14:textId="15242FE9" w:rsidR="007865A7" w:rsidRPr="000C77A2" w:rsidRDefault="007865A7" w:rsidP="00E56B65">
            <w:pPr>
              <w:pStyle w:val="Tabletext"/>
              <w:keepNext/>
              <w:widowControl w:val="0"/>
              <w:spacing w:before="0" w:after="0"/>
              <w:jc w:val="center"/>
            </w:pPr>
            <w:r w:rsidRPr="000C77A2">
              <w:t>0.03, 0.26</w:t>
            </w:r>
          </w:p>
        </w:tc>
      </w:tr>
    </w:tbl>
    <w:p w14:paraId="100110F8" w14:textId="5BC68A7A" w:rsidR="007865A7" w:rsidRPr="000C77A2" w:rsidRDefault="007865A7" w:rsidP="00560AEC">
      <w:pPr>
        <w:pStyle w:val="TableFooter"/>
        <w:keepNext/>
        <w:rPr>
          <w:rStyle w:val="TableFooterChar"/>
        </w:rPr>
      </w:pPr>
      <w:r w:rsidRPr="000C77A2">
        <w:rPr>
          <w:rStyle w:val="TableFooterChar"/>
        </w:rPr>
        <w:t xml:space="preserve">Source: Table 1-4 of the resubmission (Source for submission: </w:t>
      </w:r>
      <w:proofErr w:type="spellStart"/>
      <w:r w:rsidRPr="000C77A2">
        <w:rPr>
          <w:rStyle w:val="TableFooterChar"/>
        </w:rPr>
        <w:t>O’Haire</w:t>
      </w:r>
      <w:proofErr w:type="spellEnd"/>
      <w:r w:rsidRPr="000C77A2">
        <w:rPr>
          <w:rStyle w:val="TableFooterChar"/>
        </w:rPr>
        <w:t xml:space="preserve"> et al (2023).</w:t>
      </w:r>
    </w:p>
    <w:p w14:paraId="57D81C6B" w14:textId="6ABB63C7" w:rsidR="007865A7" w:rsidRPr="000C77A2" w:rsidRDefault="007865A7" w:rsidP="00560AEC">
      <w:pPr>
        <w:pStyle w:val="TableFooter"/>
        <w:spacing w:after="120"/>
      </w:pPr>
      <w:r w:rsidRPr="000C77A2">
        <w:rPr>
          <w:rStyle w:val="TableFooterChar"/>
          <w:i/>
          <w:iCs/>
        </w:rPr>
        <w:t>ALK</w:t>
      </w:r>
      <w:r w:rsidRPr="000C77A2">
        <w:rPr>
          <w:rStyle w:val="TableFooterChar"/>
        </w:rPr>
        <w:t xml:space="preserve"> = anaplastic lymphoma kinase, </w:t>
      </w:r>
      <w:r w:rsidRPr="000C77A2">
        <w:rPr>
          <w:rStyle w:val="TableFooterChar"/>
          <w:i/>
          <w:iCs/>
        </w:rPr>
        <w:t>BRAF</w:t>
      </w:r>
      <w:r w:rsidRPr="000C77A2">
        <w:rPr>
          <w:rStyle w:val="TableFooterChar"/>
        </w:rPr>
        <w:t xml:space="preserve"> = v-Raf murine sarcoma viral oncogene homolog B, </w:t>
      </w:r>
      <w:r w:rsidRPr="000C77A2">
        <w:rPr>
          <w:rStyle w:val="TableFooterChar"/>
          <w:i/>
          <w:iCs/>
        </w:rPr>
        <w:t>EGFR</w:t>
      </w:r>
      <w:r w:rsidRPr="000C77A2">
        <w:rPr>
          <w:rStyle w:val="TableFooterChar"/>
        </w:rPr>
        <w:t xml:space="preserve"> = epidermal growth factor receptor, </w:t>
      </w:r>
      <w:r w:rsidRPr="000C77A2">
        <w:rPr>
          <w:rStyle w:val="TableFooterChar"/>
          <w:i/>
          <w:iCs/>
        </w:rPr>
        <w:t>KRAS</w:t>
      </w:r>
      <w:r w:rsidRPr="000C77A2">
        <w:rPr>
          <w:rStyle w:val="TableFooterChar"/>
        </w:rPr>
        <w:t xml:space="preserve"> = Kirsten rat sarcoma viral oncogene homolog, </w:t>
      </w:r>
      <w:r w:rsidRPr="000C77A2">
        <w:rPr>
          <w:rStyle w:val="TableFooterChar"/>
          <w:i/>
          <w:iCs/>
        </w:rPr>
        <w:t>NTRK</w:t>
      </w:r>
      <w:r w:rsidRPr="000C77A2">
        <w:rPr>
          <w:rStyle w:val="TableFooterChar"/>
        </w:rPr>
        <w:t xml:space="preserve"> = neurotrophic tropomyosin receptor kinase; </w:t>
      </w:r>
      <w:r w:rsidRPr="000C77A2">
        <w:rPr>
          <w:rStyle w:val="TableFooterChar"/>
          <w:i/>
          <w:iCs/>
        </w:rPr>
        <w:t>ROS1</w:t>
      </w:r>
      <w:r w:rsidRPr="000C77A2">
        <w:rPr>
          <w:rStyle w:val="TableFooterChar"/>
        </w:rPr>
        <w:t xml:space="preserve"> = c-</w:t>
      </w:r>
      <w:proofErr w:type="spellStart"/>
      <w:r w:rsidRPr="000C77A2">
        <w:rPr>
          <w:rStyle w:val="TableFooterChar"/>
        </w:rPr>
        <w:t>ros</w:t>
      </w:r>
      <w:proofErr w:type="spellEnd"/>
      <w:r w:rsidRPr="000C77A2">
        <w:rPr>
          <w:rStyle w:val="TableFooterChar"/>
        </w:rPr>
        <w:t xml:space="preserve"> oncogene 1, TKI = tyrosine kinase inhibitor; WT = wild type.</w:t>
      </w:r>
    </w:p>
    <w:p w14:paraId="23FBA2A2" w14:textId="4AD92D70" w:rsidR="007865A7" w:rsidRPr="000C77A2" w:rsidRDefault="007865A7" w:rsidP="00B802B4">
      <w:pPr>
        <w:pStyle w:val="3-BodyText"/>
      </w:pPr>
      <w:r w:rsidRPr="000C77A2">
        <w:t xml:space="preserve">The resubmission </w:t>
      </w:r>
      <w:r w:rsidR="00AB25B7">
        <w:t>stated</w:t>
      </w:r>
      <w:r w:rsidR="00AB25B7" w:rsidRPr="000C77A2">
        <w:t xml:space="preserve"> </w:t>
      </w:r>
      <w:r w:rsidRPr="000C77A2">
        <w:t xml:space="preserve">that </w:t>
      </w:r>
      <w:r w:rsidRPr="000C77A2">
        <w:rPr>
          <w:i/>
          <w:iCs/>
        </w:rPr>
        <w:t>NTRK</w:t>
      </w:r>
      <w:r w:rsidRPr="000C77A2">
        <w:t xml:space="preserve"> gene fusions occur largely independently from other oncogenic drivers, and that despite the rarity of </w:t>
      </w:r>
      <w:r w:rsidRPr="000C77A2">
        <w:rPr>
          <w:i/>
          <w:iCs/>
        </w:rPr>
        <w:t>NTRK</w:t>
      </w:r>
      <w:r w:rsidRPr="000C77A2">
        <w:t xml:space="preserve"> gene fusions, when present, they act as primary oncogenic drivers, making them critically relevant for therapeutic interventions.</w:t>
      </w:r>
    </w:p>
    <w:p w14:paraId="785C61DD" w14:textId="656FD66F" w:rsidR="007627BE" w:rsidRPr="000C77A2" w:rsidRDefault="007865A7" w:rsidP="004E18E9">
      <w:pPr>
        <w:pStyle w:val="3-BodyText"/>
      </w:pPr>
      <w:r w:rsidRPr="000C77A2">
        <w:t xml:space="preserve">STS represents a diverse group of tumours that arise from mesenchymal tissues, encompassing a wide range of histological subtypes. </w:t>
      </w:r>
      <w:r w:rsidR="00716AE7" w:rsidRPr="000C77A2">
        <w:t xml:space="preserve">These can be broadly categorised based on their differentiation or origin: liposarcoma (adipose tissue), leiomyosarcoma (smooth muscle cells), rhabdomyosarcoma (striated muscle), synovial sarcoma </w:t>
      </w:r>
      <w:r w:rsidR="00716AE7" w:rsidRPr="000C77A2">
        <w:lastRenderedPageBreak/>
        <w:t>(pluripotent mesenchymal cells), angiosarcoma (vascular; considered aggressive and often manifested in the skin, breast, or liver), and fibrosarcoma (fibroblasts).</w:t>
      </w:r>
    </w:p>
    <w:p w14:paraId="29DFC3F3" w14:textId="3A767EC6" w:rsidR="00716AE7" w:rsidRPr="000C77A2" w:rsidRDefault="00716AE7" w:rsidP="00716AE7">
      <w:pPr>
        <w:pStyle w:val="3-BodyText"/>
      </w:pPr>
      <w:r w:rsidRPr="000C77A2">
        <w:t>STS prognosis is influenced by various factors. For instance, high-grade tumours have a worse prognosis, larger and deeper tumours correlate with poorer outcomes, truncal and retroperitoneal tumours have a worse prognosis compared to limb tumours.</w:t>
      </w:r>
    </w:p>
    <w:p w14:paraId="5BF83406" w14:textId="0DCE096E" w:rsidR="00716AE7" w:rsidRPr="000C77A2" w:rsidRDefault="00716AE7" w:rsidP="00716AE7">
      <w:pPr>
        <w:pStyle w:val="3-BodyText"/>
      </w:pPr>
      <w:r w:rsidRPr="000C77A2">
        <w:rPr>
          <w:i/>
          <w:iCs/>
        </w:rPr>
        <w:t xml:space="preserve">NTRK </w:t>
      </w:r>
      <w:r w:rsidRPr="000C77A2">
        <w:t xml:space="preserve">gene fusions are relatively rare in STS but have been identified as significant drivers in specific subtypes. Prevalence estimates vary among different studies </w:t>
      </w:r>
      <w:r w:rsidR="00E262EC" w:rsidRPr="000C77A2">
        <w:t>and</w:t>
      </w:r>
      <w:r w:rsidRPr="000C77A2">
        <w:t xml:space="preserve"> occur in less than 1% of all STS (prevalence 0.69%; 95% </w:t>
      </w:r>
      <w:r w:rsidR="00E262EC" w:rsidRPr="000C77A2">
        <w:t>confidence interval [</w:t>
      </w:r>
      <w:r w:rsidRPr="000C77A2">
        <w:t>CI</w:t>
      </w:r>
      <w:r w:rsidR="00E262EC" w:rsidRPr="000C77A2">
        <w:t>]</w:t>
      </w:r>
      <w:r w:rsidRPr="000C77A2">
        <w:t xml:space="preserve">: 0.26, 0.85%). </w:t>
      </w:r>
    </w:p>
    <w:p w14:paraId="509B5F3B" w14:textId="20F01142" w:rsidR="00376CAB" w:rsidRPr="000C77A2" w:rsidRDefault="00376CAB" w:rsidP="00376CAB">
      <w:pPr>
        <w:pStyle w:val="3-BodyText"/>
      </w:pPr>
      <w:r w:rsidRPr="000C77A2">
        <w:t xml:space="preserve">Larotrectinib is an orally bioavailable, adenosine triphosphate (ATP)-competitive and highly selective tropomyosin receptor kinase (TRK) inhibitor, which was rationally designed to avoid activity with off-target kinase. The target for larotrectinib is the TRK family of proteins inclusive of TRKA, TRKB, and TRKC that are encoded by </w:t>
      </w:r>
      <w:r w:rsidRPr="000C77A2">
        <w:rPr>
          <w:i/>
          <w:iCs/>
        </w:rPr>
        <w:t>NTRK1, NTRK2</w:t>
      </w:r>
      <w:r w:rsidRPr="000C77A2">
        <w:t xml:space="preserve">, and </w:t>
      </w:r>
      <w:r w:rsidRPr="000C77A2">
        <w:rPr>
          <w:i/>
          <w:iCs/>
        </w:rPr>
        <w:t>NTRK3</w:t>
      </w:r>
      <w:r w:rsidRPr="000C77A2">
        <w:t xml:space="preserve"> genes, respectively.</w:t>
      </w:r>
      <w:r w:rsidR="00851EC0" w:rsidRPr="000C77A2">
        <w:t xml:space="preserve"> </w:t>
      </w:r>
    </w:p>
    <w:p w14:paraId="1C0B9E97" w14:textId="617598E5" w:rsidR="00886653" w:rsidRPr="000C77A2" w:rsidRDefault="00886653" w:rsidP="00560AEC">
      <w:pPr>
        <w:pStyle w:val="3-BodyText"/>
        <w:numPr>
          <w:ilvl w:val="0"/>
          <w:numId w:val="0"/>
        </w:numPr>
        <w:spacing w:after="0"/>
        <w:ind w:firstLine="720"/>
        <w:rPr>
          <w:i/>
          <w:iCs/>
        </w:rPr>
      </w:pPr>
      <w:r w:rsidRPr="000C77A2">
        <w:rPr>
          <w:i/>
          <w:iCs/>
        </w:rPr>
        <w:t>For more detail on PBAC’s view, see section 7 PBAC outcome.</w:t>
      </w:r>
    </w:p>
    <w:p w14:paraId="0B234DA1" w14:textId="77777777" w:rsidR="00B50DB8" w:rsidRPr="000C77A2" w:rsidRDefault="00B50DB8" w:rsidP="004E18E9">
      <w:pPr>
        <w:pStyle w:val="2-SectionHeading"/>
      </w:pPr>
      <w:bookmarkStart w:id="16" w:name="_Toc156903956"/>
      <w:r w:rsidRPr="000C77A2">
        <w:t>Comparator</w:t>
      </w:r>
      <w:bookmarkEnd w:id="16"/>
    </w:p>
    <w:p w14:paraId="758AE105" w14:textId="7F43A588" w:rsidR="006E7036" w:rsidRPr="000C77A2" w:rsidRDefault="006E7036" w:rsidP="006E7036">
      <w:pPr>
        <w:pStyle w:val="3-BodyText"/>
      </w:pPr>
      <w:r w:rsidRPr="000C77A2">
        <w:t xml:space="preserve">For NSCLC, the nominated comparator </w:t>
      </w:r>
      <w:r w:rsidR="00E262EC" w:rsidRPr="000C77A2">
        <w:t>wa</w:t>
      </w:r>
      <w:r w:rsidRPr="000C77A2">
        <w:t xml:space="preserve">s docetaxel which has not changed from the previous submission. </w:t>
      </w:r>
      <w:r w:rsidR="00BF34C5" w:rsidRPr="000C77A2">
        <w:t>The submission nominated e</w:t>
      </w:r>
      <w:r w:rsidRPr="000C77A2">
        <w:t>ntrectinib as a near-market comparator.</w:t>
      </w:r>
    </w:p>
    <w:p w14:paraId="48B60AA0" w14:textId="2C1C60A4" w:rsidR="006E7036" w:rsidRPr="000C77A2" w:rsidRDefault="006E7036" w:rsidP="00146A3C">
      <w:pPr>
        <w:pStyle w:val="3-BodyText"/>
      </w:pPr>
      <w:r w:rsidRPr="000C77A2">
        <w:t xml:space="preserve">For STS, pazopanib was nominated as a new comparator in the resubmission compared to dacarbazine in the previous submission. The arguments presented in the resubmission for nominating pazopanib were that i) dacarbazine is no longer available on the PBS, ii) pazopanib is listed on the PBS for advanced (unresectable and/or metastatic) non-adipocytic STS, following previous treatment with anthracycline based chemotherapy, </w:t>
      </w:r>
      <w:r w:rsidR="00E262EC" w:rsidRPr="000C77A2">
        <w:t xml:space="preserve">and </w:t>
      </w:r>
      <w:r w:rsidRPr="000C77A2">
        <w:t xml:space="preserve">iii) eribulin is only available on the PBS for </w:t>
      </w:r>
      <w:r w:rsidR="000F2708" w:rsidRPr="000C77A2">
        <w:t>liposarcoma.</w:t>
      </w:r>
      <w:r w:rsidR="006E11B6" w:rsidRPr="000C77A2">
        <w:t xml:space="preserve"> The ESC noted entrectinib could also be considered a near-market comparator for STS. </w:t>
      </w:r>
    </w:p>
    <w:p w14:paraId="1A111391" w14:textId="563E7720" w:rsidR="00B56A71" w:rsidRPr="00576FA3" w:rsidRDefault="006E7036" w:rsidP="006E7036">
      <w:pPr>
        <w:pStyle w:val="3-BodyText"/>
        <w:rPr>
          <w:snapToGrid/>
        </w:rPr>
      </w:pPr>
      <w:r w:rsidRPr="000C77A2">
        <w:t xml:space="preserve">The nominated comparators in the resubmission represent SoC in the later-line treatment setting whereas the requested listing allows use of larotrectinib in </w:t>
      </w:r>
      <w:r w:rsidR="00B56A71" w:rsidRPr="000C77A2">
        <w:t>the</w:t>
      </w:r>
      <w:r w:rsidRPr="000C77A2">
        <w:t xml:space="preserve"> first-line setting for which there are more effective treatment options</w:t>
      </w:r>
      <w:r w:rsidR="00B56A71" w:rsidRPr="000C77A2">
        <w:t xml:space="preserve">. These include </w:t>
      </w:r>
      <w:r w:rsidRPr="000C77A2">
        <w:t xml:space="preserve">immunotherapy ± platinum doublet chemotherapy for NSCLC and anthracycline-based chemotherapy for STS. If larotrectinib is used </w:t>
      </w:r>
      <w:r w:rsidR="000C7F30" w:rsidRPr="000C77A2">
        <w:t>i</w:t>
      </w:r>
      <w:r w:rsidRPr="000C77A2">
        <w:t>n the first-line setting, these front-line treatment options would be displaced to a later-line setting.</w:t>
      </w:r>
      <w:r w:rsidR="00E20295" w:rsidRPr="000C77A2">
        <w:t xml:space="preserve"> The ESC </w:t>
      </w:r>
      <w:r w:rsidR="00851EC0" w:rsidRPr="000C77A2">
        <w:t xml:space="preserve">considered </w:t>
      </w:r>
      <w:r w:rsidR="00E20295" w:rsidRPr="000C77A2">
        <w:t>that</w:t>
      </w:r>
      <w:r w:rsidR="006C77BE" w:rsidRPr="000C77A2">
        <w:t xml:space="preserve">, with the proposed line agnostic restriction criteria, some use in the </w:t>
      </w:r>
      <w:r w:rsidR="00E20295" w:rsidRPr="000C77A2">
        <w:t xml:space="preserve">first-line </w:t>
      </w:r>
      <w:r w:rsidR="006C77BE" w:rsidRPr="000C77A2">
        <w:t xml:space="preserve">treatment setting </w:t>
      </w:r>
      <w:r w:rsidR="00E20295" w:rsidRPr="000C77A2">
        <w:t xml:space="preserve">was likely in patients with identified </w:t>
      </w:r>
      <w:r w:rsidR="00E20295" w:rsidRPr="000C77A2">
        <w:rPr>
          <w:i/>
          <w:iCs/>
        </w:rPr>
        <w:t>NTRK</w:t>
      </w:r>
      <w:r w:rsidR="00E20295" w:rsidRPr="000C77A2">
        <w:t xml:space="preserve"> fusions.</w:t>
      </w:r>
    </w:p>
    <w:p w14:paraId="147E47E5" w14:textId="757FA3D7" w:rsidR="00B50DB8" w:rsidRPr="000C77A2" w:rsidRDefault="00B56A71" w:rsidP="00D23C7D">
      <w:pPr>
        <w:pStyle w:val="3-BodyText"/>
      </w:pPr>
      <w:r w:rsidRPr="000C77A2">
        <w:lastRenderedPageBreak/>
        <w:t xml:space="preserve">Worthy of note is that the clinical efficacy of ICIs for patients with </w:t>
      </w:r>
      <w:r w:rsidRPr="000C77A2">
        <w:rPr>
          <w:i/>
          <w:iCs/>
        </w:rPr>
        <w:t>NTRK</w:t>
      </w:r>
      <w:r w:rsidRPr="000C77A2">
        <w:t xml:space="preserve"> fusion positive NSCLC remain unestablished and unknown</w:t>
      </w:r>
      <w:r w:rsidR="00D23C7D" w:rsidRPr="000C77A2">
        <w:rPr>
          <w:rStyle w:val="FootnoteReference"/>
        </w:rPr>
        <w:footnoteReference w:id="5"/>
      </w:r>
      <w:r w:rsidRPr="000C77A2">
        <w:t xml:space="preserve">. There are several studies exploring the relationship between </w:t>
      </w:r>
      <w:r w:rsidRPr="000C77A2">
        <w:rPr>
          <w:i/>
          <w:iCs/>
        </w:rPr>
        <w:t>NTRK</w:t>
      </w:r>
      <w:r w:rsidRPr="000C77A2">
        <w:t xml:space="preserve"> fusion and biomarkers for ICIs, including programmed cell death ligand 1 (PD-L1) expression, microsatellite instability, and tumour mutation burden (TMB), which had been identified as predictive biomarkers for ICIs</w:t>
      </w:r>
      <w:r w:rsidRPr="000C77A2">
        <w:rPr>
          <w:vertAlign w:val="superscript"/>
        </w:rPr>
        <w:footnoteReference w:id="6"/>
      </w:r>
      <w:r w:rsidRPr="000C77A2">
        <w:rPr>
          <w:vertAlign w:val="superscript"/>
        </w:rPr>
        <w:t>,</w:t>
      </w:r>
      <w:r w:rsidRPr="000C77A2">
        <w:rPr>
          <w:vertAlign w:val="superscript"/>
        </w:rPr>
        <w:footnoteReference w:id="7"/>
      </w:r>
      <w:r w:rsidRPr="000C77A2">
        <w:t xml:space="preserve">. Evidence can be found in 31 cases with </w:t>
      </w:r>
      <w:r w:rsidRPr="000C77A2">
        <w:rPr>
          <w:i/>
          <w:iCs/>
        </w:rPr>
        <w:t>NTRK</w:t>
      </w:r>
      <w:r w:rsidRPr="000C77A2">
        <w:t xml:space="preserve"> fusions, where PD-L1 expression was detected in 23% of cases with </w:t>
      </w:r>
      <w:r w:rsidRPr="000C77A2">
        <w:rPr>
          <w:i/>
          <w:iCs/>
        </w:rPr>
        <w:t>NTRK</w:t>
      </w:r>
      <w:r w:rsidRPr="000C77A2">
        <w:t xml:space="preserve"> fusions, but only two cases possessed high microsatellite instability (MSI-H)</w:t>
      </w:r>
      <w:r w:rsidRPr="000C77A2">
        <w:rPr>
          <w:vertAlign w:val="superscript"/>
        </w:rPr>
        <w:footnoteReference w:id="8"/>
      </w:r>
      <w:r w:rsidRPr="000C77A2">
        <w:t xml:space="preserve">. The association between </w:t>
      </w:r>
      <w:r w:rsidRPr="000C77A2">
        <w:rPr>
          <w:i/>
          <w:iCs/>
        </w:rPr>
        <w:t>NTRK</w:t>
      </w:r>
      <w:r w:rsidRPr="000C77A2">
        <w:t xml:space="preserve"> fusion and TMB remains unclear in NSCLC. </w:t>
      </w:r>
    </w:p>
    <w:p w14:paraId="101732AB" w14:textId="4496CC79" w:rsidR="00886653" w:rsidRPr="000C77A2" w:rsidRDefault="00886653" w:rsidP="00560AEC">
      <w:pPr>
        <w:pStyle w:val="3-BodyText"/>
        <w:numPr>
          <w:ilvl w:val="0"/>
          <w:numId w:val="0"/>
        </w:numPr>
        <w:spacing w:after="0"/>
        <w:ind w:firstLine="720"/>
        <w:rPr>
          <w:i/>
          <w:iCs/>
        </w:rPr>
      </w:pPr>
      <w:r w:rsidRPr="000C77A2">
        <w:rPr>
          <w:i/>
          <w:iCs/>
        </w:rPr>
        <w:t>For more detail on PBAC’s view, see section 7 PBAC outcome.</w:t>
      </w:r>
    </w:p>
    <w:p w14:paraId="4B98C8C6" w14:textId="77777777" w:rsidR="00223D5A" w:rsidRPr="000C77A2" w:rsidRDefault="00223D5A" w:rsidP="00223D5A">
      <w:pPr>
        <w:pStyle w:val="2-SectionHeading"/>
      </w:pPr>
      <w:bookmarkStart w:id="17" w:name="_Toc156903957"/>
      <w:bookmarkStart w:id="18" w:name="_Toc22897640"/>
      <w:r w:rsidRPr="000C77A2">
        <w:t>Consideration of the evidence</w:t>
      </w:r>
      <w:bookmarkEnd w:id="17"/>
    </w:p>
    <w:p w14:paraId="06F97D17" w14:textId="77777777" w:rsidR="00886653" w:rsidRPr="000C77A2" w:rsidRDefault="00886653" w:rsidP="00886653">
      <w:pPr>
        <w:pStyle w:val="4-SubsectionHeading"/>
      </w:pPr>
      <w:bookmarkStart w:id="19" w:name="_Toc156903958"/>
      <w:r w:rsidRPr="000C77A2">
        <w:t>Sponsor hearing</w:t>
      </w:r>
    </w:p>
    <w:p w14:paraId="2C40A1B7" w14:textId="5FE367F1" w:rsidR="00886653" w:rsidRPr="000C77A2" w:rsidRDefault="00886653" w:rsidP="00886653">
      <w:pPr>
        <w:widowControl w:val="0"/>
        <w:numPr>
          <w:ilvl w:val="1"/>
          <w:numId w:val="1"/>
        </w:numPr>
        <w:spacing w:after="120"/>
        <w:rPr>
          <w:rFonts w:asciiTheme="minorHAnsi" w:hAnsiTheme="minorHAnsi"/>
          <w:bCs/>
          <w:snapToGrid w:val="0"/>
        </w:rPr>
      </w:pPr>
      <w:bookmarkStart w:id="20" w:name="_Hlk76382586"/>
      <w:r w:rsidRPr="000C77A2">
        <w:rPr>
          <w:rFonts w:asciiTheme="minorHAnsi" w:hAnsiTheme="minorHAnsi"/>
          <w:bCs/>
          <w:snapToGrid w:val="0"/>
        </w:rPr>
        <w:t>The sponsor requested a hearing for this item</w:t>
      </w:r>
      <w:r w:rsidR="000C77A2">
        <w:rPr>
          <w:rFonts w:asciiTheme="minorHAnsi" w:hAnsiTheme="minorHAnsi"/>
          <w:bCs/>
          <w:snapToGrid w:val="0"/>
        </w:rPr>
        <w:t xml:space="preserve">. </w:t>
      </w:r>
      <w:r w:rsidRPr="000C77A2">
        <w:rPr>
          <w:rFonts w:asciiTheme="minorHAnsi" w:hAnsiTheme="minorHAnsi"/>
          <w:bCs/>
          <w:snapToGrid w:val="0"/>
        </w:rPr>
        <w:t>The clinician</w:t>
      </w:r>
      <w:r w:rsidR="00E83193" w:rsidRPr="000C77A2">
        <w:rPr>
          <w:rFonts w:asciiTheme="minorHAnsi" w:hAnsiTheme="minorHAnsi"/>
          <w:bCs/>
          <w:snapToGrid w:val="0"/>
        </w:rPr>
        <w:t xml:space="preserve"> </w:t>
      </w:r>
      <w:r w:rsidR="00AB25B7">
        <w:rPr>
          <w:rFonts w:asciiTheme="minorHAnsi" w:hAnsiTheme="minorHAnsi"/>
          <w:bCs/>
          <w:snapToGrid w:val="0"/>
        </w:rPr>
        <w:t>stated that t</w:t>
      </w:r>
      <w:r w:rsidR="00E83193" w:rsidRPr="000C77A2">
        <w:rPr>
          <w:rFonts w:asciiTheme="minorHAnsi" w:hAnsiTheme="minorHAnsi"/>
          <w:bCs/>
          <w:snapToGrid w:val="0"/>
        </w:rPr>
        <w:t>he clinical evidence for larotrectinib was as strong as for other oncogene driven NSCLC</w:t>
      </w:r>
      <w:r w:rsidR="00AB25B7">
        <w:rPr>
          <w:rFonts w:asciiTheme="minorHAnsi" w:hAnsiTheme="minorHAnsi"/>
          <w:bCs/>
          <w:snapToGrid w:val="0"/>
        </w:rPr>
        <w:t xml:space="preserve">, expressed concern that </w:t>
      </w:r>
      <w:r w:rsidR="00AB25B7" w:rsidRPr="00886653">
        <w:t xml:space="preserve">patients </w:t>
      </w:r>
      <w:r w:rsidR="00AB25B7">
        <w:t xml:space="preserve">with NSCLC can </w:t>
      </w:r>
      <w:r w:rsidR="00AB25B7" w:rsidRPr="00886653">
        <w:t xml:space="preserve">be identified with an actionable </w:t>
      </w:r>
      <w:r w:rsidR="00AB25B7" w:rsidRPr="00AB25B7">
        <w:rPr>
          <w:i/>
          <w:iCs/>
        </w:rPr>
        <w:t>NTRK</w:t>
      </w:r>
      <w:r w:rsidR="00AB25B7">
        <w:rPr>
          <w:i/>
          <w:iCs/>
        </w:rPr>
        <w:t xml:space="preserve"> </w:t>
      </w:r>
      <w:r w:rsidR="00AB25B7" w:rsidRPr="00AB25B7">
        <w:t>gene fusion</w:t>
      </w:r>
      <w:r w:rsidR="00AB25B7" w:rsidRPr="00886653">
        <w:t xml:space="preserve"> but have no PBS reimbursed access to an effective treatment option</w:t>
      </w:r>
      <w:r w:rsidR="00AB25B7">
        <w:t>,</w:t>
      </w:r>
      <w:r w:rsidR="00AB25B7">
        <w:rPr>
          <w:rFonts w:asciiTheme="minorHAnsi" w:hAnsiTheme="minorHAnsi"/>
          <w:bCs/>
          <w:snapToGrid w:val="0"/>
        </w:rPr>
        <w:t xml:space="preserve"> </w:t>
      </w:r>
      <w:r w:rsidR="00E83193" w:rsidRPr="000C77A2">
        <w:rPr>
          <w:rFonts w:asciiTheme="minorHAnsi" w:hAnsiTheme="minorHAnsi"/>
          <w:bCs/>
          <w:snapToGrid w:val="0"/>
        </w:rPr>
        <w:t xml:space="preserve">and was </w:t>
      </w:r>
      <w:r w:rsidR="00AB25B7">
        <w:rPr>
          <w:rFonts w:asciiTheme="minorHAnsi" w:hAnsiTheme="minorHAnsi"/>
          <w:bCs/>
          <w:snapToGrid w:val="0"/>
        </w:rPr>
        <w:t xml:space="preserve">strongly </w:t>
      </w:r>
      <w:r w:rsidR="00E83193" w:rsidRPr="000C77A2">
        <w:rPr>
          <w:rFonts w:asciiTheme="minorHAnsi" w:hAnsiTheme="minorHAnsi"/>
          <w:bCs/>
          <w:snapToGrid w:val="0"/>
        </w:rPr>
        <w:t>supportive of a line-agnostic listing of larotrectinib</w:t>
      </w:r>
      <w:r w:rsidR="000C77A2">
        <w:rPr>
          <w:rFonts w:asciiTheme="minorHAnsi" w:hAnsiTheme="minorHAnsi"/>
          <w:bCs/>
          <w:snapToGrid w:val="0"/>
        </w:rPr>
        <w:t xml:space="preserve">. </w:t>
      </w:r>
    </w:p>
    <w:bookmarkEnd w:id="20"/>
    <w:p w14:paraId="17B460DC" w14:textId="77777777" w:rsidR="00886653" w:rsidRPr="000C77A2" w:rsidRDefault="00886653" w:rsidP="00886653">
      <w:pPr>
        <w:pStyle w:val="4-SubsectionHeading"/>
      </w:pPr>
      <w:r w:rsidRPr="000C77A2">
        <w:t>Consumer comments</w:t>
      </w:r>
    </w:p>
    <w:p w14:paraId="277323C4" w14:textId="77777777" w:rsidR="00B62EA6" w:rsidRPr="000C77A2" w:rsidRDefault="00B62EA6" w:rsidP="00B62EA6">
      <w:pPr>
        <w:pStyle w:val="3-BodyText"/>
      </w:pPr>
      <w:r w:rsidRPr="000C77A2">
        <w:rPr>
          <w:bCs/>
        </w:rPr>
        <w:t>In addition to the input noted by the PBAC at the November 2021 meeting (</w:t>
      </w:r>
      <w:r w:rsidRPr="000C77A2">
        <w:t>para 6.2, larotrectinib PSD, November 2021 PBAC Meeting with March 2022 Addendum</w:t>
      </w:r>
      <w:r w:rsidRPr="000C77A2">
        <w:rPr>
          <w:bCs/>
        </w:rPr>
        <w:t>), the PBAC noted and welcomed the input from health care professionals (2) and organisations (3) via the Consumer Comments facility on the PBS website.</w:t>
      </w:r>
    </w:p>
    <w:p w14:paraId="072FE914" w14:textId="77777777" w:rsidR="00B62EA6" w:rsidRPr="000C77A2" w:rsidRDefault="00B62EA6" w:rsidP="00B62EA6">
      <w:pPr>
        <w:pStyle w:val="3-BodyText"/>
      </w:pPr>
      <w:r w:rsidRPr="000C77A2">
        <w:t>The PBAC noted the advice received from three organisations (</w:t>
      </w:r>
      <w:proofErr w:type="spellStart"/>
      <w:r w:rsidRPr="000C77A2">
        <w:t>Omico</w:t>
      </w:r>
      <w:proofErr w:type="spellEnd"/>
      <w:r w:rsidRPr="000C77A2">
        <w:t xml:space="preserve">, Lung Foundation Australia, and the Medical Oncology Group of Australia [MOGA]) supporting the PBS listing of larotrectinib for the treatment of adults with locally advanced or metastatic NSCLC or STS harbouring </w:t>
      </w:r>
      <w:r w:rsidRPr="000C77A2">
        <w:rPr>
          <w:i/>
          <w:iCs/>
        </w:rPr>
        <w:t>NTRK</w:t>
      </w:r>
      <w:r w:rsidRPr="000C77A2">
        <w:t xml:space="preserve"> gene fusions. </w:t>
      </w:r>
    </w:p>
    <w:p w14:paraId="5E18610F" w14:textId="03F5C112" w:rsidR="00B62EA6" w:rsidRPr="000C77A2" w:rsidRDefault="00B62EA6" w:rsidP="00B62EA6">
      <w:pPr>
        <w:pStyle w:val="3-BodyText"/>
      </w:pPr>
      <w:proofErr w:type="spellStart"/>
      <w:r w:rsidRPr="000C77A2">
        <w:t>Omico</w:t>
      </w:r>
      <w:proofErr w:type="spellEnd"/>
      <w:r w:rsidRPr="000C77A2">
        <w:t xml:space="preserve"> and Lung Foundation Australia emphasised the need for novel targeted therapies such as larotrectinib to be available to patients with rare or less common cancers. In addition to describing the effectiveness of larotrectinib for NSCLC, the organisations highlighted the opportunity to match therapy with the characteristics of individual patients, and avoid unnecessary treatments and associated side effects</w:t>
      </w:r>
      <w:r w:rsidR="000C77A2">
        <w:t xml:space="preserve">. </w:t>
      </w:r>
      <w:r w:rsidRPr="000C77A2">
        <w:t xml:space="preserve"> </w:t>
      </w:r>
    </w:p>
    <w:p w14:paraId="3D2C80D4" w14:textId="18875883" w:rsidR="00B62EA6" w:rsidRPr="000C77A2" w:rsidRDefault="00B62EA6" w:rsidP="00B62EA6">
      <w:pPr>
        <w:pStyle w:val="3-BodyText"/>
      </w:pPr>
      <w:r w:rsidRPr="000C77A2">
        <w:lastRenderedPageBreak/>
        <w:t xml:space="preserve">Comments from two health care professionals described the importance of patients having access to larotrectinib for its superior efficacy, </w:t>
      </w:r>
      <w:proofErr w:type="gramStart"/>
      <w:r w:rsidRPr="000C77A2">
        <w:t>tolerability</w:t>
      </w:r>
      <w:proofErr w:type="gramEnd"/>
      <w:r w:rsidRPr="000C77A2">
        <w:t xml:space="preserve"> and brain protection, compared with any other treatment, and that equity of access for patients with rare cancers should be a consideration in reimbursement decisions. They also commented that a home-based therapy such as larotrectinib can improve patients’ quality of life and that of their families and carers</w:t>
      </w:r>
      <w:r w:rsidR="000C77A2">
        <w:t xml:space="preserve">. </w:t>
      </w:r>
    </w:p>
    <w:p w14:paraId="6BB7674A" w14:textId="5ACB4563" w:rsidR="00BB7943" w:rsidRPr="000C77A2" w:rsidRDefault="00886653" w:rsidP="00BB7943">
      <w:pPr>
        <w:pStyle w:val="3-BodyText"/>
      </w:pPr>
      <w:r w:rsidRPr="000C77A2">
        <w:t xml:space="preserve">The MOGA expressed its strong support for the </w:t>
      </w:r>
      <w:r w:rsidR="00BB7943" w:rsidRPr="000C77A2">
        <w:t>larotrectinib</w:t>
      </w:r>
      <w:r w:rsidRPr="000C77A2">
        <w:t xml:space="preserve"> submission, categorising it as one of the therapies of “highest priority for PBS listing” </w:t>
      </w:r>
      <w:proofErr w:type="gramStart"/>
      <w:r w:rsidRPr="000C77A2">
        <w:t>on the basis of</w:t>
      </w:r>
      <w:proofErr w:type="gramEnd"/>
      <w:r w:rsidRPr="000C77A2">
        <w:t xml:space="preserve"> the </w:t>
      </w:r>
      <w:r w:rsidR="00BB7943" w:rsidRPr="000C77A2">
        <w:t xml:space="preserve">SCOUT and NAVIGATE </w:t>
      </w:r>
      <w:r w:rsidRPr="000C77A2">
        <w:t>trial</w:t>
      </w:r>
      <w:r w:rsidR="00BB7943" w:rsidRPr="000C77A2">
        <w:t>s</w:t>
      </w:r>
      <w:r w:rsidRPr="000C77A2">
        <w:t xml:space="preserve">. The PBAC noted that the MOGA presented a European Society for Medical Oncology Magnitude of Clinical Benefit Scale (ESMO-MCBS) for </w:t>
      </w:r>
      <w:r w:rsidR="00BB7943" w:rsidRPr="000C77A2">
        <w:t>larotrectinib</w:t>
      </w:r>
      <w:r w:rsidRPr="000C77A2">
        <w:t xml:space="preserve">, which was limited to </w:t>
      </w:r>
      <w:r w:rsidR="00BB7943" w:rsidRPr="000C77A2">
        <w:t xml:space="preserve">3 </w:t>
      </w:r>
      <w:r w:rsidRPr="000C77A2">
        <w:t>(out of a maximum of 5, where 5 and 4 represent the grades with substantial improvement)</w:t>
      </w:r>
      <w:r w:rsidR="00BB7943" w:rsidRPr="000C77A2">
        <w:rPr>
          <w:rStyle w:val="FootnoteReference"/>
        </w:rPr>
        <w:footnoteReference w:id="9"/>
      </w:r>
      <w:r w:rsidR="000C77A2">
        <w:t xml:space="preserve">. </w:t>
      </w:r>
    </w:p>
    <w:p w14:paraId="3F5B30B1" w14:textId="08B03A40" w:rsidR="00B60939" w:rsidRPr="000C77A2" w:rsidRDefault="00BB7943" w:rsidP="00BB7943">
      <w:pPr>
        <w:pStyle w:val="4-SubsectionHeading"/>
      </w:pPr>
      <w:r w:rsidRPr="000C77A2">
        <w:t>Clinical</w:t>
      </w:r>
      <w:r w:rsidR="00B60939" w:rsidRPr="000C77A2">
        <w:t xml:space="preserve"> </w:t>
      </w:r>
      <w:r w:rsidR="005A3C58" w:rsidRPr="000C77A2">
        <w:t>stu</w:t>
      </w:r>
      <w:r w:rsidR="00D5243B" w:rsidRPr="000C77A2">
        <w:t>dies</w:t>
      </w:r>
      <w:bookmarkEnd w:id="18"/>
      <w:bookmarkEnd w:id="19"/>
    </w:p>
    <w:p w14:paraId="3568C3C1" w14:textId="666D61B5" w:rsidR="00843157" w:rsidRPr="000C77A2" w:rsidRDefault="005A3C58" w:rsidP="002E4F02">
      <w:pPr>
        <w:pStyle w:val="3-BodyText"/>
      </w:pPr>
      <w:r w:rsidRPr="000C77A2">
        <w:t>The studies included for larotrectinib in the resubmission have not changed from the previous submission (Study 20288 [formerly known as LOXO001], Study 20289 or NAVIGATE [formerly known as LOXO002], and Study 20290 or SCOUT [formerly known as LOXO003])</w:t>
      </w:r>
      <w:r w:rsidR="00E524DA" w:rsidRPr="000C77A2">
        <w:t>.</w:t>
      </w:r>
      <w:r w:rsidRPr="000C77A2">
        <w:t xml:space="preserve"> </w:t>
      </w:r>
      <w:r w:rsidR="00BC545E" w:rsidRPr="000C77A2">
        <w:t>The resubmission presented p</w:t>
      </w:r>
      <w:r w:rsidR="001C6D52" w:rsidRPr="000C77A2">
        <w:t>ooled data</w:t>
      </w:r>
      <w:r w:rsidR="00BC545E" w:rsidRPr="000C77A2">
        <w:t xml:space="preserve"> across the three studies</w:t>
      </w:r>
      <w:r w:rsidR="001C6D52" w:rsidRPr="000C77A2">
        <w:t xml:space="preserve"> </w:t>
      </w:r>
      <w:r w:rsidR="00BC545E" w:rsidRPr="000C77A2">
        <w:t xml:space="preserve">for larotrectinib </w:t>
      </w:r>
      <w:r w:rsidR="00843157" w:rsidRPr="000C77A2">
        <w:t>(</w:t>
      </w:r>
      <w:r w:rsidR="00843157" w:rsidRPr="00576FA3">
        <w:rPr>
          <w:snapToGrid/>
        </w:rPr>
        <w:t xml:space="preserve">extended primary analysis set ePAS7) </w:t>
      </w:r>
      <w:r w:rsidR="00BC545E" w:rsidRPr="00576FA3">
        <w:rPr>
          <w:snapToGrid/>
        </w:rPr>
        <w:t xml:space="preserve">which </w:t>
      </w:r>
      <w:r w:rsidR="001C6D52" w:rsidRPr="000C77A2">
        <w:t>correspond</w:t>
      </w:r>
      <w:r w:rsidR="00BC545E" w:rsidRPr="000C77A2">
        <w:t>ed</w:t>
      </w:r>
      <w:r w:rsidR="001C6D52" w:rsidRPr="000C77A2">
        <w:t xml:space="preserve"> to an </w:t>
      </w:r>
      <w:r w:rsidR="00E524DA" w:rsidRPr="000C77A2">
        <w:t xml:space="preserve">updated </w:t>
      </w:r>
      <w:r w:rsidR="00BC545E" w:rsidRPr="000C77A2">
        <w:t xml:space="preserve">July 2022 </w:t>
      </w:r>
      <w:r w:rsidR="00E524DA" w:rsidRPr="000C77A2">
        <w:t xml:space="preserve">data </w:t>
      </w:r>
      <w:r w:rsidR="00D85BDC" w:rsidRPr="000C77A2">
        <w:t>cut-off</w:t>
      </w:r>
      <w:r w:rsidR="00E524DA" w:rsidRPr="000C77A2">
        <w:t xml:space="preserve"> </w:t>
      </w:r>
      <w:r w:rsidR="00BC545E" w:rsidRPr="000C77A2">
        <w:t>(</w:t>
      </w:r>
      <w:r w:rsidR="00E524DA" w:rsidRPr="000C77A2">
        <w:t xml:space="preserve">compared </w:t>
      </w:r>
      <w:r w:rsidR="00BC545E" w:rsidRPr="000C77A2">
        <w:t>to the</w:t>
      </w:r>
      <w:r w:rsidR="00E524DA" w:rsidRPr="000C77A2">
        <w:t xml:space="preserve"> July 2020 data </w:t>
      </w:r>
      <w:r w:rsidR="00D85BDC" w:rsidRPr="000C77A2">
        <w:t>cut-off</w:t>
      </w:r>
      <w:r w:rsidR="00E524DA" w:rsidRPr="000C77A2">
        <w:t xml:space="preserve"> in the previous submission</w:t>
      </w:r>
      <w:r w:rsidR="00BC545E" w:rsidRPr="000C77A2">
        <w:t>)</w:t>
      </w:r>
      <w:r w:rsidR="00E524DA" w:rsidRPr="000C77A2">
        <w:t>.</w:t>
      </w:r>
      <w:r w:rsidR="00B07BA4" w:rsidRPr="000C77A2">
        <w:t xml:space="preserve"> The justification provided </w:t>
      </w:r>
      <w:r w:rsidR="000F193D" w:rsidRPr="000C77A2">
        <w:t xml:space="preserve">in the resubmission </w:t>
      </w:r>
      <w:r w:rsidR="00B07BA4" w:rsidRPr="000C77A2">
        <w:t xml:space="preserve">for </w:t>
      </w:r>
      <w:r w:rsidR="00BC545E" w:rsidRPr="000C77A2">
        <w:t>pooling</w:t>
      </w:r>
      <w:r w:rsidR="00B07BA4" w:rsidRPr="000C77A2">
        <w:t xml:space="preserve"> was because of the small patient numbers in </w:t>
      </w:r>
      <w:r w:rsidR="008E2D86" w:rsidRPr="000C77A2">
        <w:t>the</w:t>
      </w:r>
      <w:r w:rsidR="00B07BA4" w:rsidRPr="000C77A2">
        <w:t xml:space="preserve"> individual larotrectinib stud</w:t>
      </w:r>
      <w:r w:rsidR="008E2D86" w:rsidRPr="000C77A2">
        <w:t>ies</w:t>
      </w:r>
      <w:r w:rsidR="00B07BA4" w:rsidRPr="000C77A2">
        <w:t>.</w:t>
      </w:r>
    </w:p>
    <w:p w14:paraId="2E217AFF" w14:textId="3E3CEA8E" w:rsidR="005A3C58" w:rsidRPr="000C77A2" w:rsidRDefault="00843157" w:rsidP="002E4F02">
      <w:pPr>
        <w:pStyle w:val="3-BodyText"/>
      </w:pPr>
      <w:r w:rsidRPr="000C77A2">
        <w:rPr>
          <w:snapToGrid/>
        </w:rPr>
        <w:t>The ePAS7 consisted of 272 patients across all tumour types</w:t>
      </w:r>
      <w:r w:rsidR="002C4CD8" w:rsidRPr="000C77A2">
        <w:rPr>
          <w:snapToGrid/>
        </w:rPr>
        <w:t xml:space="preserve">, </w:t>
      </w:r>
      <w:r w:rsidRPr="000C77A2">
        <w:rPr>
          <w:snapToGrid/>
        </w:rPr>
        <w:t>27 patients with lung cancer (25 patients with NSCLC)</w:t>
      </w:r>
      <w:r w:rsidR="002C4CD8" w:rsidRPr="000C77A2">
        <w:rPr>
          <w:snapToGrid/>
        </w:rPr>
        <w:t>,</w:t>
      </w:r>
      <w:r w:rsidRPr="000C77A2">
        <w:rPr>
          <w:snapToGrid/>
        </w:rPr>
        <w:t xml:space="preserve"> and 30 patients with STS. Although the SCOUT study was designed as a paediatric study, the study is ongoing and two patients with </w:t>
      </w:r>
      <w:r w:rsidRPr="000C77A2">
        <w:rPr>
          <w:i/>
          <w:iCs/>
          <w:snapToGrid/>
        </w:rPr>
        <w:t xml:space="preserve">NTRK </w:t>
      </w:r>
      <w:r w:rsidRPr="000C77A2">
        <w:rPr>
          <w:snapToGrid/>
        </w:rPr>
        <w:t>fusion positive STS have since had their 18</w:t>
      </w:r>
      <w:r w:rsidRPr="000C77A2">
        <w:rPr>
          <w:snapToGrid/>
          <w:vertAlign w:val="superscript"/>
        </w:rPr>
        <w:t>th</w:t>
      </w:r>
      <w:r w:rsidRPr="000C77A2">
        <w:rPr>
          <w:snapToGrid/>
        </w:rPr>
        <w:t xml:space="preserve"> birthdays at the updated July 2022 data </w:t>
      </w:r>
      <w:r w:rsidR="00D85BDC" w:rsidRPr="000C77A2">
        <w:rPr>
          <w:snapToGrid/>
        </w:rPr>
        <w:t>cut-off</w:t>
      </w:r>
      <w:r w:rsidR="0006073F" w:rsidRPr="000C77A2">
        <w:rPr>
          <w:snapToGrid/>
        </w:rPr>
        <w:t xml:space="preserve"> and</w:t>
      </w:r>
      <w:r w:rsidRPr="000C77A2">
        <w:rPr>
          <w:snapToGrid/>
        </w:rPr>
        <w:t xml:space="preserve"> were thus included in the adult STS cohort.</w:t>
      </w:r>
    </w:p>
    <w:p w14:paraId="27969EA7" w14:textId="548FAA92" w:rsidR="00705711" w:rsidRPr="000C77A2" w:rsidRDefault="00705711" w:rsidP="00705711">
      <w:pPr>
        <w:pStyle w:val="3-BodyText"/>
      </w:pPr>
      <w:r w:rsidRPr="000C77A2">
        <w:t>As t</w:t>
      </w:r>
      <w:r w:rsidR="00E524DA" w:rsidRPr="000C77A2">
        <w:t xml:space="preserve">he </w:t>
      </w:r>
      <w:r w:rsidR="002C4CD8" w:rsidRPr="000C77A2">
        <w:t xml:space="preserve">nominated comparator </w:t>
      </w:r>
      <w:r w:rsidRPr="000C77A2">
        <w:t xml:space="preserve">of </w:t>
      </w:r>
      <w:r w:rsidR="002C4CD8" w:rsidRPr="000C77A2">
        <w:t xml:space="preserve">docetaxel </w:t>
      </w:r>
      <w:r w:rsidRPr="000C77A2">
        <w:t xml:space="preserve">for NSCLC has not changed from the previous submission, the </w:t>
      </w:r>
      <w:r w:rsidR="00E524DA" w:rsidRPr="000C77A2">
        <w:t>CheckMate 057</w:t>
      </w:r>
      <w:r w:rsidRPr="000C77A2">
        <w:t xml:space="preserve"> study presented in the previous submission has been retained in the current resubmission.</w:t>
      </w:r>
      <w:r w:rsidR="00E524DA" w:rsidRPr="000C77A2">
        <w:t xml:space="preserve"> </w:t>
      </w:r>
      <w:r w:rsidRPr="000C77A2">
        <w:t>CheckMate 057 compared nivolumab with docetaxel in patients with advanced non-squamous NSCLC who had failed prior first-line platinum-based chemotherapy.</w:t>
      </w:r>
      <w:r w:rsidR="00FE50B1" w:rsidRPr="000C77A2">
        <w:t xml:space="preserve"> Patients were enrolled in CheckMate 057 regardless of </w:t>
      </w:r>
      <w:r w:rsidR="00FE50B1" w:rsidRPr="000C77A2">
        <w:rPr>
          <w:i/>
          <w:iCs/>
        </w:rPr>
        <w:t>NTRK</w:t>
      </w:r>
      <w:r w:rsidR="00FE50B1" w:rsidRPr="000C77A2">
        <w:t xml:space="preserve"> fusion status.</w:t>
      </w:r>
    </w:p>
    <w:p w14:paraId="70B18E3D" w14:textId="24EFA99C" w:rsidR="00E524DA" w:rsidRPr="000C77A2" w:rsidRDefault="00E524DA" w:rsidP="004E1E49">
      <w:pPr>
        <w:pStyle w:val="3-BodyText"/>
      </w:pPr>
      <w:r w:rsidRPr="000C77A2">
        <w:t xml:space="preserve">The </w:t>
      </w:r>
      <w:r w:rsidR="00705711" w:rsidRPr="000C77A2">
        <w:t xml:space="preserve">nominated </w:t>
      </w:r>
      <w:r w:rsidRPr="000C77A2">
        <w:t xml:space="preserve">comparator </w:t>
      </w:r>
      <w:r w:rsidR="00705711" w:rsidRPr="000C77A2">
        <w:t xml:space="preserve">for STS </w:t>
      </w:r>
      <w:r w:rsidR="00FE50B1" w:rsidRPr="000C77A2">
        <w:t xml:space="preserve">has changed from dacarbazine in the previous submission to </w:t>
      </w:r>
      <w:r w:rsidR="00705711" w:rsidRPr="000C77A2">
        <w:t>pazopanib</w:t>
      </w:r>
      <w:r w:rsidR="00FE50B1" w:rsidRPr="000C77A2">
        <w:t xml:space="preserve">. The resubmission included the </w:t>
      </w:r>
      <w:r w:rsidRPr="000C77A2">
        <w:t>PALETTE</w:t>
      </w:r>
      <w:r w:rsidR="00705711" w:rsidRPr="000C77A2">
        <w:t xml:space="preserve"> study which </w:t>
      </w:r>
      <w:r w:rsidR="00FE50B1" w:rsidRPr="000C77A2">
        <w:t>was</w:t>
      </w:r>
      <w:r w:rsidR="00705711" w:rsidRPr="000C77A2">
        <w:t xml:space="preserve"> not </w:t>
      </w:r>
      <w:r w:rsidR="00FE50B1" w:rsidRPr="000C77A2">
        <w:t xml:space="preserve">presented </w:t>
      </w:r>
      <w:r w:rsidR="009B721C" w:rsidRPr="000C77A2">
        <w:t xml:space="preserve">in </w:t>
      </w:r>
      <w:r w:rsidRPr="000C77A2">
        <w:t>the previous submission</w:t>
      </w:r>
      <w:r w:rsidR="00FE50B1" w:rsidRPr="000C77A2">
        <w:t xml:space="preserve">. The PALETTE study compared pazopanib with placebo in heavily pre-treated adult patients with progressive metastatic STS after at least one anthracycline-containing regimen, and a maximum of four prior lines of systemic therapy for metastatic disease. </w:t>
      </w:r>
    </w:p>
    <w:p w14:paraId="6A24055D" w14:textId="05B79CAD" w:rsidR="001C6D52" w:rsidRPr="000C77A2" w:rsidRDefault="00E524DA" w:rsidP="001C6D52">
      <w:pPr>
        <w:pStyle w:val="3-BodyText"/>
      </w:pPr>
      <w:r w:rsidRPr="00576FA3">
        <w:rPr>
          <w:snapToGrid/>
        </w:rPr>
        <w:lastRenderedPageBreak/>
        <w:t xml:space="preserve">The key evidence </w:t>
      </w:r>
      <w:r w:rsidR="006C5089" w:rsidRPr="00576FA3">
        <w:rPr>
          <w:snapToGrid/>
        </w:rPr>
        <w:t>provided in the resubmission to support the claim of superior effectiveness, in terms of OS and progression free survival (PFS)</w:t>
      </w:r>
      <w:r w:rsidRPr="00576FA3">
        <w:rPr>
          <w:snapToGrid/>
        </w:rPr>
        <w:t xml:space="preserve">, was based on a descriptive non-matched (unadjusted) indirect comparison between </w:t>
      </w:r>
      <w:r w:rsidR="00E262EC" w:rsidRPr="00576FA3">
        <w:rPr>
          <w:snapToGrid/>
        </w:rPr>
        <w:t>single arms</w:t>
      </w:r>
      <w:r w:rsidR="00165E08" w:rsidRPr="00576FA3">
        <w:rPr>
          <w:snapToGrid/>
        </w:rPr>
        <w:t xml:space="preserve">. This involved </w:t>
      </w:r>
      <w:r w:rsidR="006C5089" w:rsidRPr="00576FA3">
        <w:rPr>
          <w:snapToGrid/>
        </w:rPr>
        <w:t xml:space="preserve">updated </w:t>
      </w:r>
      <w:r w:rsidRPr="00576FA3">
        <w:rPr>
          <w:snapToGrid/>
        </w:rPr>
        <w:t>pooled larotrectinib data</w:t>
      </w:r>
      <w:r w:rsidR="006C5089" w:rsidRPr="00576FA3">
        <w:rPr>
          <w:snapToGrid/>
        </w:rPr>
        <w:t xml:space="preserve"> </w:t>
      </w:r>
      <w:r w:rsidR="00E262EC" w:rsidRPr="00576FA3">
        <w:rPr>
          <w:snapToGrid/>
        </w:rPr>
        <w:t>versus</w:t>
      </w:r>
      <w:r w:rsidR="006C5089" w:rsidRPr="00576FA3">
        <w:rPr>
          <w:snapToGrid/>
        </w:rPr>
        <w:t xml:space="preserve"> </w:t>
      </w:r>
      <w:r w:rsidR="00E262EC" w:rsidRPr="00576FA3">
        <w:rPr>
          <w:snapToGrid/>
        </w:rPr>
        <w:t xml:space="preserve">i) </w:t>
      </w:r>
      <w:r w:rsidR="006C5089" w:rsidRPr="00576FA3">
        <w:rPr>
          <w:snapToGrid/>
        </w:rPr>
        <w:t xml:space="preserve">single arm </w:t>
      </w:r>
      <w:r w:rsidR="00843157" w:rsidRPr="00576FA3">
        <w:rPr>
          <w:snapToGrid/>
        </w:rPr>
        <w:t>docetaxel</w:t>
      </w:r>
      <w:r w:rsidR="006C5089" w:rsidRPr="00576FA3">
        <w:rPr>
          <w:snapToGrid/>
        </w:rPr>
        <w:t xml:space="preserve"> data from CheckMate 057 for NSCLC, and </w:t>
      </w:r>
      <w:r w:rsidR="00E262EC" w:rsidRPr="00576FA3">
        <w:rPr>
          <w:snapToGrid/>
        </w:rPr>
        <w:t xml:space="preserve">ii) </w:t>
      </w:r>
      <w:r w:rsidR="00843157" w:rsidRPr="00576FA3">
        <w:rPr>
          <w:snapToGrid/>
        </w:rPr>
        <w:t xml:space="preserve">single arm pazopanib data </w:t>
      </w:r>
      <w:r w:rsidR="006C5089" w:rsidRPr="00576FA3">
        <w:rPr>
          <w:snapToGrid/>
        </w:rPr>
        <w:t>from PALETTE for STS.</w:t>
      </w:r>
      <w:r w:rsidR="001C6D52" w:rsidRPr="00576FA3">
        <w:rPr>
          <w:snapToGrid/>
        </w:rPr>
        <w:t xml:space="preserve"> </w:t>
      </w:r>
    </w:p>
    <w:p w14:paraId="30EB0F49" w14:textId="06A2820D" w:rsidR="00862502" w:rsidRPr="000C77A2" w:rsidRDefault="00A73134" w:rsidP="002E4F02">
      <w:pPr>
        <w:pStyle w:val="3-BodyText"/>
      </w:pPr>
      <w:r w:rsidRPr="00576FA3">
        <w:rPr>
          <w:snapToGrid/>
        </w:rPr>
        <w:t xml:space="preserve">Details of the </w:t>
      </w:r>
      <w:r w:rsidR="00D5243B" w:rsidRPr="00576FA3">
        <w:rPr>
          <w:snapToGrid/>
        </w:rPr>
        <w:t>studies</w:t>
      </w:r>
      <w:r w:rsidRPr="00576FA3">
        <w:rPr>
          <w:snapToGrid/>
        </w:rPr>
        <w:t xml:space="preserve"> presented in the </w:t>
      </w:r>
      <w:r w:rsidR="00F361CA" w:rsidRPr="00576FA3">
        <w:rPr>
          <w:snapToGrid/>
        </w:rPr>
        <w:t>re</w:t>
      </w:r>
      <w:r w:rsidRPr="00576FA3">
        <w:rPr>
          <w:snapToGrid/>
        </w:rPr>
        <w:t xml:space="preserve">submission are provided in </w:t>
      </w:r>
      <w:r w:rsidR="00696EF9" w:rsidRPr="00576FA3">
        <w:rPr>
          <w:snapToGrid/>
        </w:rPr>
        <w:fldChar w:fldCharType="begin" w:fldLock="1"/>
      </w:r>
      <w:r w:rsidR="00696EF9" w:rsidRPr="00576FA3">
        <w:rPr>
          <w:snapToGrid/>
        </w:rPr>
        <w:instrText xml:space="preserve"> REF _Ref104803956 \h </w:instrText>
      </w:r>
      <w:r w:rsidR="00696EF9" w:rsidRPr="00576FA3">
        <w:rPr>
          <w:snapToGrid/>
        </w:rPr>
      </w:r>
      <w:r w:rsidR="00696EF9" w:rsidRPr="00576FA3">
        <w:rPr>
          <w:snapToGrid/>
        </w:rPr>
        <w:fldChar w:fldCharType="separate"/>
      </w:r>
      <w:r w:rsidR="001B0FE7" w:rsidRPr="000C77A2">
        <w:t xml:space="preserve">Table </w:t>
      </w:r>
      <w:r w:rsidR="001B0FE7">
        <w:rPr>
          <w:noProof/>
        </w:rPr>
        <w:t>4</w:t>
      </w:r>
      <w:r w:rsidR="00696EF9" w:rsidRPr="00576FA3">
        <w:rPr>
          <w:snapToGrid/>
        </w:rPr>
        <w:fldChar w:fldCharType="end"/>
      </w:r>
      <w:r w:rsidRPr="00576FA3">
        <w:rPr>
          <w:snapToGrid/>
        </w:rPr>
        <w:t>.</w:t>
      </w:r>
    </w:p>
    <w:p w14:paraId="33D343B3" w14:textId="163424E9" w:rsidR="00165E08" w:rsidRPr="000C77A2" w:rsidRDefault="00696EF9" w:rsidP="00DF6686">
      <w:pPr>
        <w:pStyle w:val="Caption"/>
      </w:pPr>
      <w:bookmarkStart w:id="21" w:name="_Ref104803956"/>
      <w:r w:rsidRPr="000C77A2">
        <w:lastRenderedPageBreak/>
        <w:t xml:space="preserve">Table </w:t>
      </w:r>
      <w:fldSimple w:instr=" SEQ Table \* ARABIC " w:fldLock="1">
        <w:r w:rsidR="001B0FE7">
          <w:rPr>
            <w:noProof/>
          </w:rPr>
          <w:t>4</w:t>
        </w:r>
      </w:fldSimple>
      <w:bookmarkEnd w:id="21"/>
      <w:r w:rsidRPr="000C77A2">
        <w:t>:</w:t>
      </w:r>
      <w:r w:rsidR="00BC591F" w:rsidRPr="000C77A2">
        <w:rPr>
          <w:rStyle w:val="CommentReference"/>
          <w:b/>
          <w:szCs w:val="24"/>
        </w:rPr>
        <w:t xml:space="preserve"> </w:t>
      </w:r>
      <w:r w:rsidR="00165E08" w:rsidRPr="000C77A2">
        <w:t>Listing of the relevant studies included for the naive indirect comparisons</w:t>
      </w:r>
    </w:p>
    <w:tbl>
      <w:tblPr>
        <w:tblStyle w:val="PBACTableStyle"/>
        <w:tblW w:w="5000" w:type="pct"/>
        <w:tblLook w:val="01E0" w:firstRow="1" w:lastRow="1" w:firstColumn="1" w:lastColumn="1" w:noHBand="0" w:noVBand="0"/>
        <w:tblCaption w:val="Table 4: Listing of the relevant studies included for the naive indirect comparisons"/>
      </w:tblPr>
      <w:tblGrid>
        <w:gridCol w:w="2410"/>
        <w:gridCol w:w="4499"/>
        <w:gridCol w:w="2108"/>
      </w:tblGrid>
      <w:tr w:rsidR="00165E08" w:rsidRPr="000C77A2" w14:paraId="53269597" w14:textId="77777777" w:rsidTr="00A50C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36" w:type="pct"/>
            <w:tcBorders>
              <w:top w:val="single" w:sz="4" w:space="0" w:color="auto"/>
              <w:left w:val="single" w:sz="4" w:space="0" w:color="auto"/>
              <w:bottom w:val="single" w:sz="4" w:space="0" w:color="auto"/>
              <w:right w:val="single" w:sz="4" w:space="0" w:color="auto"/>
            </w:tcBorders>
            <w:hideMark/>
          </w:tcPr>
          <w:p w14:paraId="4AD8FA80" w14:textId="77777777" w:rsidR="00165E08" w:rsidRPr="000C77A2" w:rsidRDefault="00165E08" w:rsidP="00560AEC">
            <w:pPr>
              <w:pStyle w:val="TableText0"/>
              <w:keepLines/>
            </w:pPr>
            <w:r w:rsidRPr="000C77A2">
              <w:t>Trial ID/First Author</w:t>
            </w:r>
          </w:p>
        </w:tc>
        <w:tc>
          <w:tcPr>
            <w:tcW w:w="2495" w:type="pct"/>
            <w:tcBorders>
              <w:top w:val="single" w:sz="4" w:space="0" w:color="auto"/>
              <w:left w:val="single" w:sz="4" w:space="0" w:color="auto"/>
              <w:bottom w:val="single" w:sz="4" w:space="0" w:color="auto"/>
              <w:right w:val="single" w:sz="4" w:space="0" w:color="auto"/>
            </w:tcBorders>
            <w:hideMark/>
          </w:tcPr>
          <w:p w14:paraId="010EDD7D" w14:textId="77777777" w:rsidR="00165E08" w:rsidRPr="000C77A2" w:rsidRDefault="00165E08" w:rsidP="00560AEC">
            <w:pPr>
              <w:pStyle w:val="TableText0"/>
              <w:keepLines/>
              <w:cnfStyle w:val="100000000000" w:firstRow="1" w:lastRow="0" w:firstColumn="0" w:lastColumn="0" w:oddVBand="0" w:evenVBand="0" w:oddHBand="0" w:evenHBand="0" w:firstRowFirstColumn="0" w:firstRowLastColumn="0" w:lastRowFirstColumn="0" w:lastRowLastColumn="0"/>
            </w:pPr>
            <w:r w:rsidRPr="000C77A2">
              <w:t>Protocol title/ Publication title</w:t>
            </w:r>
          </w:p>
        </w:tc>
        <w:tc>
          <w:tcPr>
            <w:cnfStyle w:val="000100000000" w:firstRow="0" w:lastRow="0" w:firstColumn="0" w:lastColumn="1" w:oddVBand="0" w:evenVBand="0" w:oddHBand="0" w:evenHBand="0" w:firstRowFirstColumn="0" w:firstRowLastColumn="0" w:lastRowFirstColumn="0" w:lastRowLastColumn="0"/>
            <w:tcW w:w="1169" w:type="pct"/>
            <w:hideMark/>
          </w:tcPr>
          <w:p w14:paraId="3253C7D9" w14:textId="77777777" w:rsidR="00165E08" w:rsidRPr="000C77A2" w:rsidRDefault="00165E08" w:rsidP="00560AEC">
            <w:pPr>
              <w:pStyle w:val="TableText0"/>
              <w:keepLines/>
              <w:rPr>
                <w:i w:val="0"/>
              </w:rPr>
            </w:pPr>
            <w:r w:rsidRPr="000C77A2">
              <w:rPr>
                <w:i w:val="0"/>
              </w:rPr>
              <w:t>Publication citation</w:t>
            </w:r>
          </w:p>
        </w:tc>
      </w:tr>
      <w:tr w:rsidR="00165E08" w:rsidRPr="000C77A2" w14:paraId="2DCA2256"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0A45AB52" w14:textId="77777777" w:rsidR="00165E08" w:rsidRPr="000C77A2" w:rsidRDefault="00165E08" w:rsidP="00560AEC">
            <w:pPr>
              <w:pStyle w:val="TableText0"/>
              <w:keepLines/>
              <w:rPr>
                <w:b/>
                <w:bCs w:val="0"/>
              </w:rPr>
            </w:pPr>
            <w:r w:rsidRPr="000C77A2">
              <w:rPr>
                <w:b/>
                <w:bCs w:val="0"/>
              </w:rPr>
              <w:t>Larotrectinib single arm studies</w:t>
            </w:r>
          </w:p>
        </w:tc>
      </w:tr>
      <w:tr w:rsidR="00165E08" w:rsidRPr="000C77A2" w14:paraId="10CD3B62"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Merge w:val="restart"/>
            <w:vAlign w:val="top"/>
            <w:hideMark/>
          </w:tcPr>
          <w:p w14:paraId="3E9403E6" w14:textId="77777777" w:rsidR="00165E08" w:rsidRPr="000C77A2" w:rsidRDefault="00165E08" w:rsidP="00560AEC">
            <w:pPr>
              <w:pStyle w:val="TableText0"/>
              <w:keepLines/>
            </w:pPr>
            <w:r w:rsidRPr="000C77A2">
              <w:t>20288</w:t>
            </w:r>
          </w:p>
          <w:p w14:paraId="4F667368" w14:textId="77777777" w:rsidR="00165E08" w:rsidRPr="000C77A2" w:rsidRDefault="00165E08" w:rsidP="00560AEC">
            <w:pPr>
              <w:pStyle w:val="TableText0"/>
              <w:keepLines/>
            </w:pPr>
            <w:r w:rsidRPr="000C77A2">
              <w:t>(formerly known as LOXO-TRK-14001/LOXO-001)</w:t>
            </w:r>
          </w:p>
        </w:tc>
        <w:tc>
          <w:tcPr>
            <w:tcW w:w="2495" w:type="pct"/>
            <w:tcBorders>
              <w:bottom w:val="dotted" w:sz="4" w:space="0" w:color="auto"/>
            </w:tcBorders>
            <w:shd w:val="clear" w:color="auto" w:fill="C6D9F1" w:themeFill="text2" w:themeFillTint="33"/>
            <w:vAlign w:val="top"/>
          </w:tcPr>
          <w:p w14:paraId="2866495B"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CSR: A Phase 1 Study of the Oral TRK Inhibitor LOXO-101 in Adult Patients with Solid Tumours Interim CSR.</w:t>
            </w:r>
          </w:p>
        </w:tc>
        <w:tc>
          <w:tcPr>
            <w:cnfStyle w:val="000100000000" w:firstRow="0" w:lastRow="0" w:firstColumn="0" w:lastColumn="1" w:oddVBand="0" w:evenVBand="0" w:oddHBand="0" w:evenHBand="0" w:firstRowFirstColumn="0" w:firstRowLastColumn="0" w:lastRowFirstColumn="0" w:lastRowLastColumn="0"/>
            <w:tcW w:w="1169" w:type="pct"/>
            <w:tcBorders>
              <w:bottom w:val="dotted" w:sz="4" w:space="0" w:color="auto"/>
            </w:tcBorders>
            <w:vAlign w:val="top"/>
          </w:tcPr>
          <w:p w14:paraId="7718E319" w14:textId="77777777" w:rsidR="00165E08" w:rsidRPr="000C77A2" w:rsidRDefault="00165E08" w:rsidP="00560AEC">
            <w:pPr>
              <w:pStyle w:val="TableText0"/>
              <w:keepLines/>
              <w:jc w:val="left"/>
              <w:rPr>
                <w:i w:val="0"/>
              </w:rPr>
            </w:pPr>
            <w:r w:rsidRPr="000C77A2">
              <w:rPr>
                <w:i w:val="0"/>
              </w:rPr>
              <w:t>February 2020</w:t>
            </w:r>
            <w:r w:rsidRPr="000C77A2">
              <w:rPr>
                <w:i w:val="0"/>
              </w:rPr>
              <w:br/>
            </w:r>
          </w:p>
        </w:tc>
      </w:tr>
      <w:tr w:rsidR="00165E08" w:rsidRPr="000C77A2" w14:paraId="745A8496" w14:textId="77777777" w:rsidTr="004A1652">
        <w:trPr>
          <w:cantSplit/>
        </w:trPr>
        <w:tc>
          <w:tcPr>
            <w:cnfStyle w:val="001000000000" w:firstRow="0" w:lastRow="0" w:firstColumn="1" w:lastColumn="0" w:oddVBand="0" w:evenVBand="0" w:oddHBand="0" w:evenHBand="0" w:firstRowFirstColumn="0" w:firstRowLastColumn="0" w:lastRowFirstColumn="0" w:lastRowLastColumn="0"/>
            <w:tcW w:w="1336" w:type="pct"/>
            <w:vMerge/>
            <w:vAlign w:val="top"/>
          </w:tcPr>
          <w:p w14:paraId="2C6BD779" w14:textId="77777777" w:rsidR="00165E08" w:rsidRPr="000C77A2" w:rsidRDefault="00165E08" w:rsidP="00560AEC">
            <w:pPr>
              <w:pStyle w:val="TableText0"/>
              <w:keepLines/>
            </w:pPr>
          </w:p>
        </w:tc>
        <w:tc>
          <w:tcPr>
            <w:tcW w:w="2495" w:type="pct"/>
            <w:tcBorders>
              <w:top w:val="dotted" w:sz="4" w:space="0" w:color="auto"/>
              <w:bottom w:val="single" w:sz="4" w:space="0" w:color="auto"/>
            </w:tcBorders>
            <w:vAlign w:val="top"/>
            <w:hideMark/>
          </w:tcPr>
          <w:p w14:paraId="403611A0"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20288 CSR: A Phase 1 Study of the Oral TRK Inhibitor LOXO-101 in Adult Patients with Solid Tumours Interim CSR Update (data cutoff April 2021).</w:t>
            </w:r>
          </w:p>
        </w:tc>
        <w:tc>
          <w:tcPr>
            <w:cnfStyle w:val="000100000000" w:firstRow="0" w:lastRow="0" w:firstColumn="0" w:lastColumn="1" w:oddVBand="0" w:evenVBand="0" w:oddHBand="0" w:evenHBand="0" w:firstRowFirstColumn="0" w:firstRowLastColumn="0" w:lastRowFirstColumn="0" w:lastRowLastColumn="0"/>
            <w:tcW w:w="1169" w:type="pct"/>
            <w:tcBorders>
              <w:top w:val="dotted" w:sz="4" w:space="0" w:color="auto"/>
            </w:tcBorders>
            <w:vAlign w:val="top"/>
            <w:hideMark/>
          </w:tcPr>
          <w:p w14:paraId="754F0AB4" w14:textId="77777777" w:rsidR="00165E08" w:rsidRPr="000C77A2" w:rsidRDefault="00165E08" w:rsidP="00560AEC">
            <w:pPr>
              <w:pStyle w:val="TableText0"/>
              <w:keepLines/>
              <w:jc w:val="left"/>
              <w:rPr>
                <w:i w:val="0"/>
              </w:rPr>
            </w:pPr>
            <w:r w:rsidRPr="000C77A2">
              <w:rPr>
                <w:i w:val="0"/>
              </w:rPr>
              <w:t>January 2022</w:t>
            </w:r>
          </w:p>
        </w:tc>
      </w:tr>
      <w:tr w:rsidR="00165E08" w:rsidRPr="000C77A2" w14:paraId="09CE220B" w14:textId="77777777" w:rsidTr="004A1652">
        <w:trPr>
          <w:cantSplit/>
          <w:trHeight w:val="446"/>
        </w:trPr>
        <w:tc>
          <w:tcPr>
            <w:cnfStyle w:val="001000000000" w:firstRow="0" w:lastRow="0" w:firstColumn="1" w:lastColumn="0" w:oddVBand="0" w:evenVBand="0" w:oddHBand="0" w:evenHBand="0" w:firstRowFirstColumn="0" w:firstRowLastColumn="0" w:lastRowFirstColumn="0" w:lastRowLastColumn="0"/>
            <w:tcW w:w="1336" w:type="pct"/>
            <w:vMerge w:val="restart"/>
            <w:vAlign w:val="top"/>
            <w:hideMark/>
          </w:tcPr>
          <w:p w14:paraId="4F9D6F98" w14:textId="77777777" w:rsidR="00165E08" w:rsidRPr="000C77A2" w:rsidRDefault="00165E08" w:rsidP="00560AEC">
            <w:pPr>
              <w:pStyle w:val="TableText0"/>
              <w:keepLines/>
            </w:pPr>
            <w:r w:rsidRPr="000C77A2">
              <w:t>20289 NAVIGATE</w:t>
            </w:r>
          </w:p>
          <w:p w14:paraId="65CEF2DB" w14:textId="77777777" w:rsidR="00165E08" w:rsidRPr="000C77A2" w:rsidRDefault="00165E08" w:rsidP="00560AEC">
            <w:pPr>
              <w:pStyle w:val="TableText0"/>
              <w:keepLines/>
            </w:pPr>
            <w:r w:rsidRPr="000C77A2">
              <w:t>(formerly known as LOXO-TRK-14002/LOXO-002)</w:t>
            </w:r>
          </w:p>
        </w:tc>
        <w:tc>
          <w:tcPr>
            <w:tcW w:w="2495" w:type="pct"/>
            <w:tcBorders>
              <w:bottom w:val="dotted" w:sz="4" w:space="0" w:color="auto"/>
            </w:tcBorders>
            <w:shd w:val="clear" w:color="auto" w:fill="C6D9F1" w:themeFill="text2" w:themeFillTint="33"/>
            <w:vAlign w:val="top"/>
            <w:hideMark/>
          </w:tcPr>
          <w:p w14:paraId="4F47B731"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rPr>
                <w:shd w:val="clear" w:color="auto" w:fill="C6D9F1" w:themeFill="text2" w:themeFillTint="33"/>
              </w:rPr>
              <w:t xml:space="preserve">20289 (NAVIGATE) CSR: A Phase 2 Basket Study of the Oral TRK Inhibitor Larotrectinib in Subjects with </w:t>
            </w:r>
            <w:r w:rsidRPr="000C77A2">
              <w:rPr>
                <w:i/>
                <w:shd w:val="clear" w:color="auto" w:fill="C6D9F1" w:themeFill="text2" w:themeFillTint="33"/>
              </w:rPr>
              <w:t>NTRK</w:t>
            </w:r>
            <w:r w:rsidRPr="000C77A2">
              <w:rPr>
                <w:shd w:val="clear" w:color="auto" w:fill="C6D9F1" w:themeFill="text2" w:themeFillTint="33"/>
              </w:rPr>
              <w:t xml:space="preserve"> Fusion-Positive Tumours Interim CSR.</w:t>
            </w:r>
          </w:p>
        </w:tc>
        <w:tc>
          <w:tcPr>
            <w:cnfStyle w:val="000100000000" w:firstRow="0" w:lastRow="0" w:firstColumn="0" w:lastColumn="1" w:oddVBand="0" w:evenVBand="0" w:oddHBand="0" w:evenHBand="0" w:firstRowFirstColumn="0" w:firstRowLastColumn="0" w:lastRowFirstColumn="0" w:lastRowLastColumn="0"/>
            <w:tcW w:w="1169" w:type="pct"/>
            <w:tcBorders>
              <w:bottom w:val="dotted" w:sz="4" w:space="0" w:color="auto"/>
            </w:tcBorders>
            <w:vAlign w:val="top"/>
            <w:hideMark/>
          </w:tcPr>
          <w:p w14:paraId="0D4BA167" w14:textId="77777777" w:rsidR="00165E08" w:rsidRPr="000C77A2" w:rsidRDefault="00165E08" w:rsidP="00560AEC">
            <w:pPr>
              <w:pStyle w:val="TableText0"/>
              <w:keepLines/>
              <w:jc w:val="left"/>
              <w:rPr>
                <w:i w:val="0"/>
              </w:rPr>
            </w:pPr>
            <w:r w:rsidRPr="000C77A2">
              <w:rPr>
                <w:i w:val="0"/>
              </w:rPr>
              <w:t>February 2020</w:t>
            </w:r>
          </w:p>
          <w:p w14:paraId="297BB4A7" w14:textId="77777777" w:rsidR="00165E08" w:rsidRPr="000C77A2" w:rsidRDefault="00165E08" w:rsidP="00560AEC">
            <w:pPr>
              <w:pStyle w:val="TableText0"/>
              <w:keepLines/>
              <w:jc w:val="left"/>
              <w:rPr>
                <w:i w:val="0"/>
              </w:rPr>
            </w:pPr>
          </w:p>
        </w:tc>
      </w:tr>
      <w:tr w:rsidR="00165E08" w:rsidRPr="000C77A2" w14:paraId="37878D18" w14:textId="77777777" w:rsidTr="00A50CB3">
        <w:trPr>
          <w:cantSplit/>
          <w:trHeight w:val="445"/>
        </w:trPr>
        <w:tc>
          <w:tcPr>
            <w:cnfStyle w:val="001000000000" w:firstRow="0" w:lastRow="0" w:firstColumn="1" w:lastColumn="0" w:oddVBand="0" w:evenVBand="0" w:oddHBand="0" w:evenHBand="0" w:firstRowFirstColumn="0" w:firstRowLastColumn="0" w:lastRowFirstColumn="0" w:lastRowLastColumn="0"/>
            <w:tcW w:w="1336" w:type="pct"/>
            <w:vMerge/>
            <w:vAlign w:val="top"/>
          </w:tcPr>
          <w:p w14:paraId="43FCBC63" w14:textId="77777777" w:rsidR="00165E08" w:rsidRPr="000C77A2" w:rsidRDefault="00165E08" w:rsidP="00560AEC">
            <w:pPr>
              <w:pStyle w:val="TableText0"/>
              <w:keepLines/>
            </w:pPr>
          </w:p>
        </w:tc>
        <w:tc>
          <w:tcPr>
            <w:tcW w:w="2495" w:type="pct"/>
            <w:tcBorders>
              <w:top w:val="dotted" w:sz="4" w:space="0" w:color="auto"/>
              <w:bottom w:val="single" w:sz="4" w:space="0" w:color="auto"/>
            </w:tcBorders>
            <w:vAlign w:val="top"/>
          </w:tcPr>
          <w:p w14:paraId="51D40B3D"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 xml:space="preserve">20289 (NAVIGATE) CSR: A Phase 2 Basket Study of the Oral TRK Inhibitor Larotrectinib in Subjects with </w:t>
            </w:r>
            <w:r w:rsidRPr="000C77A2">
              <w:rPr>
                <w:i/>
              </w:rPr>
              <w:t>NTRK</w:t>
            </w:r>
            <w:r w:rsidRPr="000C77A2">
              <w:t xml:space="preserve"> Fusion-Positive Tumours. July 2020 update (data cutoff July 2022).</w:t>
            </w:r>
          </w:p>
        </w:tc>
        <w:tc>
          <w:tcPr>
            <w:cnfStyle w:val="000100000000" w:firstRow="0" w:lastRow="0" w:firstColumn="0" w:lastColumn="1" w:oddVBand="0" w:evenVBand="0" w:oddHBand="0" w:evenHBand="0" w:firstRowFirstColumn="0" w:firstRowLastColumn="0" w:lastRowFirstColumn="0" w:lastRowLastColumn="0"/>
            <w:tcW w:w="1169" w:type="pct"/>
            <w:tcBorders>
              <w:top w:val="dotted" w:sz="4" w:space="0" w:color="auto"/>
            </w:tcBorders>
            <w:vAlign w:val="top"/>
          </w:tcPr>
          <w:p w14:paraId="4EC004DE" w14:textId="77777777" w:rsidR="00165E08" w:rsidRPr="000C77A2" w:rsidRDefault="00165E08" w:rsidP="00560AEC">
            <w:pPr>
              <w:pStyle w:val="TableText0"/>
              <w:keepLines/>
              <w:jc w:val="left"/>
            </w:pPr>
            <w:r w:rsidRPr="000C77A2">
              <w:rPr>
                <w:i w:val="0"/>
              </w:rPr>
              <w:t>January 2023</w:t>
            </w:r>
          </w:p>
        </w:tc>
      </w:tr>
      <w:tr w:rsidR="00165E08" w:rsidRPr="000C77A2" w14:paraId="46A58D77"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Align w:val="top"/>
          </w:tcPr>
          <w:p w14:paraId="663CA064" w14:textId="77777777" w:rsidR="00165E08" w:rsidRPr="000C77A2" w:rsidRDefault="00165E08" w:rsidP="00560AEC">
            <w:pPr>
              <w:pStyle w:val="TableText0"/>
              <w:keepLines/>
              <w:rPr>
                <w:vertAlign w:val="superscript"/>
              </w:rPr>
            </w:pPr>
            <w:r w:rsidRPr="000C77A2">
              <w:t xml:space="preserve">20290 </w:t>
            </w:r>
            <w:proofErr w:type="spellStart"/>
            <w:r w:rsidRPr="000C77A2">
              <w:t>SCOUT</w:t>
            </w:r>
            <w:r w:rsidRPr="000C77A2">
              <w:rPr>
                <w:vertAlign w:val="superscript"/>
              </w:rPr>
              <w:t>a</w:t>
            </w:r>
            <w:proofErr w:type="spellEnd"/>
          </w:p>
          <w:p w14:paraId="3EE211E4" w14:textId="77777777" w:rsidR="00165E08" w:rsidRPr="000C77A2" w:rsidRDefault="00165E08" w:rsidP="00560AEC">
            <w:pPr>
              <w:pStyle w:val="TableText0"/>
              <w:keepLines/>
            </w:pPr>
            <w:r w:rsidRPr="000C77A2">
              <w:t>(formerly known as LOXO-TRK-15003/LOXO-003)</w:t>
            </w:r>
          </w:p>
        </w:tc>
        <w:tc>
          <w:tcPr>
            <w:tcW w:w="2495" w:type="pct"/>
            <w:tcBorders>
              <w:bottom w:val="single" w:sz="4" w:space="0" w:color="auto"/>
            </w:tcBorders>
            <w:vAlign w:val="top"/>
          </w:tcPr>
          <w:p w14:paraId="01D53172"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rPr>
                <w:shd w:val="clear" w:color="auto" w:fill="FFFFFF" w:themeFill="background1"/>
              </w:rPr>
              <w:t xml:space="preserve">LOXO-TRK-15003 (SCOUT) CSR: A Phase 1/2 Study of the Oral TRK Inhibitor LOXO-101 in Pediatric Patients with Advanced Solid or Primary Central Nervous System </w:t>
            </w:r>
            <w:proofErr w:type="spellStart"/>
            <w:r w:rsidRPr="000C77A2">
              <w:rPr>
                <w:shd w:val="clear" w:color="auto" w:fill="FFFFFF" w:themeFill="background1"/>
              </w:rPr>
              <w:t>Tumors</w:t>
            </w:r>
            <w:proofErr w:type="spellEnd"/>
            <w:r w:rsidRPr="000C77A2">
              <w:rPr>
                <w:shd w:val="clear" w:color="auto" w:fill="FFFFFF" w:themeFill="background1"/>
              </w:rPr>
              <w:t>.</w:t>
            </w:r>
            <w:r w:rsidRPr="000C77A2">
              <w:t xml:space="preserve"> Update (data cutoff July 2022).</w:t>
            </w:r>
          </w:p>
        </w:tc>
        <w:tc>
          <w:tcPr>
            <w:cnfStyle w:val="000100000000" w:firstRow="0" w:lastRow="0" w:firstColumn="0" w:lastColumn="1" w:oddVBand="0" w:evenVBand="0" w:oddHBand="0" w:evenHBand="0" w:firstRowFirstColumn="0" w:firstRowLastColumn="0" w:lastRowFirstColumn="0" w:lastRowLastColumn="0"/>
            <w:tcW w:w="1169" w:type="pct"/>
            <w:vAlign w:val="top"/>
          </w:tcPr>
          <w:p w14:paraId="6AD69F2E" w14:textId="77777777" w:rsidR="00165E08" w:rsidRPr="000C77A2" w:rsidRDefault="00165E08" w:rsidP="00560AEC">
            <w:pPr>
              <w:pStyle w:val="TableText0"/>
              <w:keepLines/>
              <w:jc w:val="left"/>
              <w:rPr>
                <w:i w:val="0"/>
                <w:iCs w:val="0"/>
              </w:rPr>
            </w:pPr>
            <w:r w:rsidRPr="000C77A2">
              <w:rPr>
                <w:i w:val="0"/>
                <w:iCs w:val="0"/>
              </w:rPr>
              <w:t>January 2023</w:t>
            </w:r>
          </w:p>
        </w:tc>
      </w:tr>
      <w:tr w:rsidR="00165E08" w:rsidRPr="000C77A2" w14:paraId="2A690FEF"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Merge w:val="restart"/>
            <w:vAlign w:val="top"/>
            <w:hideMark/>
          </w:tcPr>
          <w:p w14:paraId="5830F269" w14:textId="77777777" w:rsidR="00165E08" w:rsidRPr="000C77A2" w:rsidRDefault="00165E08" w:rsidP="00560AEC">
            <w:pPr>
              <w:pStyle w:val="TableText0"/>
              <w:keepLines/>
            </w:pPr>
            <w:r w:rsidRPr="000C77A2">
              <w:t>Pooled/combined larotrectinib studies/exploratory analyses</w:t>
            </w:r>
          </w:p>
        </w:tc>
        <w:tc>
          <w:tcPr>
            <w:tcW w:w="2495" w:type="pct"/>
            <w:tcBorders>
              <w:bottom w:val="dotted" w:sz="4" w:space="0" w:color="auto"/>
            </w:tcBorders>
            <w:vAlign w:val="top"/>
            <w:hideMark/>
          </w:tcPr>
          <w:p w14:paraId="68D07A5D" w14:textId="4C675C3A"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 xml:space="preserve">Drilon A, Tan DSW et al. Efficacy and Safety of Larotrectinib in Patients with Tropomyosin Receptor Kinase Fusion </w:t>
            </w:r>
            <w:r w:rsidR="00292657" w:rsidRPr="000C77A2">
              <w:t>–</w:t>
            </w:r>
            <w:r w:rsidRPr="000C77A2">
              <w:t xml:space="preserve"> Positive lung cancers.</w:t>
            </w:r>
          </w:p>
        </w:tc>
        <w:tc>
          <w:tcPr>
            <w:cnfStyle w:val="000100000000" w:firstRow="0" w:lastRow="0" w:firstColumn="0" w:lastColumn="1" w:oddVBand="0" w:evenVBand="0" w:oddHBand="0" w:evenHBand="0" w:firstRowFirstColumn="0" w:firstRowLastColumn="0" w:lastRowFirstColumn="0" w:lastRowLastColumn="0"/>
            <w:tcW w:w="1169" w:type="pct"/>
            <w:tcBorders>
              <w:bottom w:val="dotted" w:sz="4" w:space="0" w:color="auto"/>
            </w:tcBorders>
            <w:vAlign w:val="top"/>
          </w:tcPr>
          <w:p w14:paraId="20F321EC" w14:textId="77777777" w:rsidR="00165E08" w:rsidRPr="000C77A2" w:rsidRDefault="00165E08" w:rsidP="00560AEC">
            <w:pPr>
              <w:pStyle w:val="TableText0"/>
              <w:keepLines/>
              <w:jc w:val="left"/>
              <w:rPr>
                <w:i w:val="0"/>
              </w:rPr>
            </w:pPr>
            <w:r w:rsidRPr="000C77A2">
              <w:t xml:space="preserve">JCO Precis Oncol </w:t>
            </w:r>
            <w:r w:rsidRPr="000C77A2">
              <w:rPr>
                <w:i w:val="0"/>
                <w:iCs w:val="0"/>
              </w:rPr>
              <w:t>2022; 6:e2100418</w:t>
            </w:r>
          </w:p>
        </w:tc>
      </w:tr>
      <w:tr w:rsidR="00165E08" w:rsidRPr="000C77A2" w14:paraId="0F03FC46"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Merge/>
            <w:vAlign w:val="top"/>
            <w:hideMark/>
          </w:tcPr>
          <w:p w14:paraId="1B951C51" w14:textId="77777777" w:rsidR="00165E08" w:rsidRPr="000C77A2" w:rsidRDefault="00165E08" w:rsidP="00560AEC">
            <w:pPr>
              <w:pStyle w:val="TableText0"/>
              <w:keepLines/>
            </w:pPr>
          </w:p>
        </w:tc>
        <w:tc>
          <w:tcPr>
            <w:tcW w:w="2495" w:type="pct"/>
            <w:tcBorders>
              <w:top w:val="dotted" w:sz="4" w:space="0" w:color="auto"/>
              <w:bottom w:val="dotted" w:sz="4" w:space="0" w:color="auto"/>
            </w:tcBorders>
            <w:vAlign w:val="top"/>
          </w:tcPr>
          <w:p w14:paraId="426C16C2"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proofErr w:type="spellStart"/>
            <w:r w:rsidRPr="000C77A2">
              <w:t>Leyvraz</w:t>
            </w:r>
            <w:proofErr w:type="spellEnd"/>
            <w:r w:rsidRPr="000C77A2">
              <w:t xml:space="preserve"> S, Hong DS et al. Long-term efficacy and safety of larotrectinib in an integrated dataset of patients with TRK fusion cancer.</w:t>
            </w:r>
          </w:p>
        </w:tc>
        <w:tc>
          <w:tcPr>
            <w:cnfStyle w:val="000100000000" w:firstRow="0" w:lastRow="0" w:firstColumn="0" w:lastColumn="1" w:oddVBand="0" w:evenVBand="0" w:oddHBand="0" w:evenHBand="0" w:firstRowFirstColumn="0" w:firstRowLastColumn="0" w:lastRowFirstColumn="0" w:lastRowLastColumn="0"/>
            <w:tcW w:w="1169" w:type="pct"/>
            <w:tcBorders>
              <w:top w:val="dotted" w:sz="4" w:space="0" w:color="auto"/>
              <w:bottom w:val="dotted" w:sz="4" w:space="0" w:color="auto"/>
            </w:tcBorders>
            <w:vAlign w:val="top"/>
          </w:tcPr>
          <w:p w14:paraId="47B1E751" w14:textId="77777777" w:rsidR="00165E08" w:rsidRPr="000C77A2" w:rsidRDefault="00165E08" w:rsidP="00560AEC">
            <w:pPr>
              <w:pStyle w:val="TableText0"/>
              <w:keepLines/>
              <w:jc w:val="left"/>
              <w:rPr>
                <w:i w:val="0"/>
              </w:rPr>
            </w:pPr>
            <w:proofErr w:type="spellStart"/>
            <w:r w:rsidRPr="000C77A2">
              <w:t>Onc</w:t>
            </w:r>
            <w:proofErr w:type="spellEnd"/>
            <w:r w:rsidRPr="000C77A2">
              <w:t xml:space="preserve"> Res and Treat </w:t>
            </w:r>
            <w:r w:rsidRPr="000C77A2">
              <w:rPr>
                <w:i w:val="0"/>
                <w:iCs w:val="0"/>
              </w:rPr>
              <w:t>2021;</w:t>
            </w:r>
            <w:r w:rsidRPr="000C77A2">
              <w:t xml:space="preserve"> </w:t>
            </w:r>
            <w:r w:rsidRPr="000C77A2">
              <w:rPr>
                <w:i w:val="0"/>
                <w:iCs w:val="0"/>
              </w:rPr>
              <w:t>44:13</w:t>
            </w:r>
          </w:p>
        </w:tc>
      </w:tr>
      <w:tr w:rsidR="00165E08" w:rsidRPr="000C77A2" w14:paraId="6938E9BC" w14:textId="77777777" w:rsidTr="00A50CB3">
        <w:trPr>
          <w:cantSplit/>
          <w:trHeight w:val="918"/>
        </w:trPr>
        <w:tc>
          <w:tcPr>
            <w:cnfStyle w:val="001000000000" w:firstRow="0" w:lastRow="0" w:firstColumn="1" w:lastColumn="0" w:oddVBand="0" w:evenVBand="0" w:oddHBand="0" w:evenHBand="0" w:firstRowFirstColumn="0" w:firstRowLastColumn="0" w:lastRowFirstColumn="0" w:lastRowLastColumn="0"/>
            <w:tcW w:w="1336" w:type="pct"/>
            <w:vMerge/>
            <w:vAlign w:val="top"/>
          </w:tcPr>
          <w:p w14:paraId="26F1C7D9" w14:textId="77777777" w:rsidR="00165E08" w:rsidRPr="000C77A2" w:rsidRDefault="00165E08" w:rsidP="00560AEC">
            <w:pPr>
              <w:pStyle w:val="TableText0"/>
              <w:keepLines/>
            </w:pPr>
          </w:p>
        </w:tc>
        <w:tc>
          <w:tcPr>
            <w:tcW w:w="2495" w:type="pct"/>
            <w:tcBorders>
              <w:top w:val="dotted" w:sz="4" w:space="0" w:color="auto"/>
            </w:tcBorders>
            <w:vAlign w:val="top"/>
            <w:hideMark/>
          </w:tcPr>
          <w:p w14:paraId="248C8F13"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 xml:space="preserve">McDermott RS, van Tilburg C et al. Efficacy and safety of larotrectinib in a pooled analysis of patients (Pts) with tropomyosin receptor kinase (TRK) fusion cancer with an extended follow-up. </w:t>
            </w:r>
          </w:p>
        </w:tc>
        <w:tc>
          <w:tcPr>
            <w:cnfStyle w:val="000100000000" w:firstRow="0" w:lastRow="0" w:firstColumn="0" w:lastColumn="1" w:oddVBand="0" w:evenVBand="0" w:oddHBand="0" w:evenHBand="0" w:firstRowFirstColumn="0" w:firstRowLastColumn="0" w:lastRowFirstColumn="0" w:lastRowLastColumn="0"/>
            <w:tcW w:w="1169" w:type="pct"/>
            <w:tcBorders>
              <w:top w:val="dotted" w:sz="4" w:space="0" w:color="auto"/>
            </w:tcBorders>
            <w:vAlign w:val="top"/>
          </w:tcPr>
          <w:p w14:paraId="3F598B11" w14:textId="77777777" w:rsidR="00165E08" w:rsidRPr="000C77A2" w:rsidRDefault="00165E08" w:rsidP="00560AEC">
            <w:pPr>
              <w:pStyle w:val="TableText0"/>
              <w:keepLines/>
              <w:jc w:val="left"/>
              <w:rPr>
                <w:i w:val="0"/>
              </w:rPr>
            </w:pPr>
            <w:r w:rsidRPr="000C77A2">
              <w:t xml:space="preserve">Ann Oncol </w:t>
            </w:r>
            <w:r w:rsidRPr="000C77A2">
              <w:rPr>
                <w:i w:val="0"/>
                <w:iCs w:val="0"/>
              </w:rPr>
              <w:t>2022; 33:S751-2.</w:t>
            </w:r>
          </w:p>
        </w:tc>
      </w:tr>
      <w:tr w:rsidR="00165E08" w:rsidRPr="000C77A2" w14:paraId="09E46021"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476BB3FA" w14:textId="517CC6E6" w:rsidR="00165E08" w:rsidRPr="000C77A2" w:rsidRDefault="00165E08" w:rsidP="00560AEC">
            <w:pPr>
              <w:pStyle w:val="TableText0"/>
              <w:keepLines/>
              <w:rPr>
                <w:b/>
              </w:rPr>
            </w:pPr>
            <w:r w:rsidRPr="000C77A2">
              <w:rPr>
                <w:b/>
              </w:rPr>
              <w:t xml:space="preserve">Studies of </w:t>
            </w:r>
            <w:proofErr w:type="spellStart"/>
            <w:r w:rsidRPr="000C77A2">
              <w:rPr>
                <w:b/>
              </w:rPr>
              <w:t>SoC</w:t>
            </w:r>
            <w:r w:rsidR="000509AE" w:rsidRPr="000C77A2">
              <w:rPr>
                <w:b/>
                <w:vertAlign w:val="superscript"/>
              </w:rPr>
              <w:t>b</w:t>
            </w:r>
            <w:proofErr w:type="spellEnd"/>
            <w:r w:rsidRPr="000C77A2">
              <w:rPr>
                <w:b/>
              </w:rPr>
              <w:t xml:space="preserve"> by tumour types requested in the resubmission</w:t>
            </w:r>
          </w:p>
        </w:tc>
      </w:tr>
      <w:tr w:rsidR="00165E08" w:rsidRPr="000C77A2" w14:paraId="1000E337"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19489175" w14:textId="77777777" w:rsidR="00165E08" w:rsidRPr="000C77A2" w:rsidRDefault="00165E08" w:rsidP="00560AEC">
            <w:pPr>
              <w:pStyle w:val="TableText0"/>
              <w:keepLines/>
              <w:rPr>
                <w:b/>
                <w:bCs w:val="0"/>
              </w:rPr>
            </w:pPr>
            <w:r w:rsidRPr="000C77A2">
              <w:rPr>
                <w:b/>
                <w:bCs w:val="0"/>
              </w:rPr>
              <w:t>Docetaxel – NSCLC</w:t>
            </w:r>
          </w:p>
        </w:tc>
      </w:tr>
      <w:tr w:rsidR="00165E08" w:rsidRPr="000C77A2" w14:paraId="354EB934"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Align w:val="top"/>
          </w:tcPr>
          <w:p w14:paraId="0D1960D1" w14:textId="61AB806D" w:rsidR="00165E08" w:rsidRPr="000C77A2" w:rsidRDefault="00165E08" w:rsidP="00560AEC">
            <w:pPr>
              <w:pStyle w:val="TableText0"/>
              <w:keepLines/>
            </w:pPr>
            <w:r w:rsidRPr="000C77A2">
              <w:t>C</w:t>
            </w:r>
            <w:r w:rsidR="004A1652" w:rsidRPr="000C77A2">
              <w:t>heckMate</w:t>
            </w:r>
            <w:r w:rsidRPr="000C77A2">
              <w:t xml:space="preserve"> 057 (</w:t>
            </w:r>
            <w:proofErr w:type="spellStart"/>
            <w:r w:rsidRPr="000C77A2">
              <w:t>Borghaei</w:t>
            </w:r>
            <w:proofErr w:type="spellEnd"/>
            <w:r w:rsidRPr="000C77A2">
              <w:t xml:space="preserve"> 2015)</w:t>
            </w:r>
          </w:p>
        </w:tc>
        <w:tc>
          <w:tcPr>
            <w:tcW w:w="2495" w:type="pct"/>
            <w:shd w:val="clear" w:color="auto" w:fill="C6D9F1" w:themeFill="text2" w:themeFillTint="33"/>
            <w:vAlign w:val="top"/>
          </w:tcPr>
          <w:p w14:paraId="21A3EF5F"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proofErr w:type="spellStart"/>
            <w:r w:rsidRPr="000C77A2">
              <w:t>Borghaei</w:t>
            </w:r>
            <w:proofErr w:type="spellEnd"/>
            <w:r w:rsidRPr="000C77A2">
              <w:t xml:space="preserve"> H, Paz-Ares L et al. Nivolumab versus Docetaxel in Advanced </w:t>
            </w:r>
            <w:proofErr w:type="spellStart"/>
            <w:r w:rsidRPr="000C77A2">
              <w:t>Nonsquamous</w:t>
            </w:r>
            <w:proofErr w:type="spellEnd"/>
            <w:r w:rsidRPr="000C77A2">
              <w:t xml:space="preserve"> Non–Small-Cell Lung Cancer</w:t>
            </w:r>
          </w:p>
        </w:tc>
        <w:tc>
          <w:tcPr>
            <w:cnfStyle w:val="000100000000" w:firstRow="0" w:lastRow="0" w:firstColumn="0" w:lastColumn="1" w:oddVBand="0" w:evenVBand="0" w:oddHBand="0" w:evenHBand="0" w:firstRowFirstColumn="0" w:firstRowLastColumn="0" w:lastRowFirstColumn="0" w:lastRowLastColumn="0"/>
            <w:tcW w:w="1169" w:type="pct"/>
            <w:tcBorders>
              <w:top w:val="none" w:sz="0" w:space="0" w:color="auto"/>
              <w:bottom w:val="none" w:sz="0" w:space="0" w:color="auto"/>
            </w:tcBorders>
            <w:vAlign w:val="top"/>
          </w:tcPr>
          <w:p w14:paraId="2922C0E4" w14:textId="77777777" w:rsidR="00165E08" w:rsidRPr="000C77A2" w:rsidRDefault="00165E08" w:rsidP="00560AEC">
            <w:pPr>
              <w:pStyle w:val="TableText0"/>
              <w:keepLines/>
              <w:jc w:val="left"/>
              <w:rPr>
                <w:i w:val="0"/>
              </w:rPr>
            </w:pPr>
            <w:r w:rsidRPr="000C77A2">
              <w:rPr>
                <w:iCs w:val="0"/>
              </w:rPr>
              <w:t>NEJM</w:t>
            </w:r>
            <w:r w:rsidRPr="000C77A2">
              <w:rPr>
                <w:i w:val="0"/>
              </w:rPr>
              <w:t xml:space="preserve"> 2015; 373(17):1627-39.</w:t>
            </w:r>
          </w:p>
        </w:tc>
      </w:tr>
      <w:tr w:rsidR="00165E08" w:rsidRPr="000C77A2" w14:paraId="025EECDE"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2823D995" w14:textId="77777777" w:rsidR="00165E08" w:rsidRPr="000C77A2" w:rsidRDefault="00165E08" w:rsidP="00560AEC">
            <w:pPr>
              <w:pStyle w:val="TableText0"/>
              <w:keepLines/>
              <w:rPr>
                <w:b/>
                <w:bCs w:val="0"/>
                <w:iCs/>
              </w:rPr>
            </w:pPr>
            <w:r w:rsidRPr="000C77A2">
              <w:rPr>
                <w:b/>
                <w:bCs w:val="0"/>
              </w:rPr>
              <w:t>Pazopanib – STS</w:t>
            </w:r>
          </w:p>
        </w:tc>
      </w:tr>
      <w:tr w:rsidR="00165E08" w:rsidRPr="000C77A2" w14:paraId="4531CD9C"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Merge w:val="restart"/>
            <w:vAlign w:val="top"/>
          </w:tcPr>
          <w:p w14:paraId="0EB1BBEC" w14:textId="77777777" w:rsidR="00165E08" w:rsidRPr="000C77A2" w:rsidRDefault="00165E08" w:rsidP="00560AEC">
            <w:pPr>
              <w:pStyle w:val="TableText0"/>
              <w:keepLines/>
            </w:pPr>
            <w:r w:rsidRPr="000C77A2">
              <w:t xml:space="preserve">PALETTE </w:t>
            </w:r>
          </w:p>
        </w:tc>
        <w:tc>
          <w:tcPr>
            <w:tcW w:w="2495" w:type="pct"/>
            <w:tcBorders>
              <w:bottom w:val="dotted" w:sz="4" w:space="0" w:color="auto"/>
            </w:tcBorders>
            <w:vAlign w:val="top"/>
          </w:tcPr>
          <w:p w14:paraId="5382F3D9"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 xml:space="preserve">van der Graaf W, Blay J et al. Pazopanib for metastatic soft-tissue sarcoma (PALETTE): a randomised, double-blind, placebo-controlled phase 3 trial. </w:t>
            </w:r>
          </w:p>
        </w:tc>
        <w:tc>
          <w:tcPr>
            <w:cnfStyle w:val="000100000000" w:firstRow="0" w:lastRow="0" w:firstColumn="0" w:lastColumn="1" w:oddVBand="0" w:evenVBand="0" w:oddHBand="0" w:evenHBand="0" w:firstRowFirstColumn="0" w:firstRowLastColumn="0" w:lastRowFirstColumn="0" w:lastRowLastColumn="0"/>
            <w:tcW w:w="1169" w:type="pct"/>
            <w:tcBorders>
              <w:bottom w:val="dotted" w:sz="4" w:space="0" w:color="auto"/>
            </w:tcBorders>
            <w:vAlign w:val="top"/>
          </w:tcPr>
          <w:p w14:paraId="61D1B5A1" w14:textId="77777777" w:rsidR="00165E08" w:rsidRPr="000C77A2" w:rsidRDefault="00165E08" w:rsidP="00560AEC">
            <w:pPr>
              <w:pStyle w:val="TableText0"/>
              <w:keepLines/>
              <w:jc w:val="left"/>
              <w:rPr>
                <w:i w:val="0"/>
              </w:rPr>
            </w:pPr>
            <w:r w:rsidRPr="000C77A2">
              <w:rPr>
                <w:iCs w:val="0"/>
              </w:rPr>
              <w:t>Lancet</w:t>
            </w:r>
            <w:r w:rsidRPr="000C77A2">
              <w:rPr>
                <w:i w:val="0"/>
              </w:rPr>
              <w:t xml:space="preserve"> 2012; 379(12):1879–86</w:t>
            </w:r>
          </w:p>
        </w:tc>
      </w:tr>
      <w:tr w:rsidR="00165E08" w:rsidRPr="000C77A2" w14:paraId="661A504F" w14:textId="77777777" w:rsidTr="00A50CB3">
        <w:trPr>
          <w:cantSplit/>
        </w:trPr>
        <w:tc>
          <w:tcPr>
            <w:cnfStyle w:val="001000000000" w:firstRow="0" w:lastRow="0" w:firstColumn="1" w:lastColumn="0" w:oddVBand="0" w:evenVBand="0" w:oddHBand="0" w:evenHBand="0" w:firstRowFirstColumn="0" w:firstRowLastColumn="0" w:lastRowFirstColumn="0" w:lastRowLastColumn="0"/>
            <w:tcW w:w="1336" w:type="pct"/>
            <w:vMerge/>
            <w:tcBorders>
              <w:top w:val="nil"/>
            </w:tcBorders>
            <w:vAlign w:val="top"/>
          </w:tcPr>
          <w:p w14:paraId="22A9B7A2" w14:textId="77777777" w:rsidR="00165E08" w:rsidRPr="000C77A2" w:rsidRDefault="00165E08" w:rsidP="00560AEC">
            <w:pPr>
              <w:pStyle w:val="TableText0"/>
              <w:keepLines/>
            </w:pPr>
          </w:p>
        </w:tc>
        <w:tc>
          <w:tcPr>
            <w:tcW w:w="2495" w:type="pct"/>
            <w:tcBorders>
              <w:top w:val="dotted" w:sz="4" w:space="0" w:color="auto"/>
              <w:bottom w:val="dotted" w:sz="4" w:space="0" w:color="auto"/>
            </w:tcBorders>
            <w:vAlign w:val="top"/>
          </w:tcPr>
          <w:p w14:paraId="63F69326" w14:textId="77777777" w:rsidR="00165E08" w:rsidRPr="000C77A2" w:rsidRDefault="00165E08" w:rsidP="00560AEC">
            <w:pPr>
              <w:pStyle w:val="TableText0"/>
              <w:keepLines/>
              <w:jc w:val="left"/>
              <w:cnfStyle w:val="000000000000" w:firstRow="0" w:lastRow="0" w:firstColumn="0" w:lastColumn="0" w:oddVBand="0" w:evenVBand="0" w:oddHBand="0" w:evenHBand="0" w:firstRowFirstColumn="0" w:firstRowLastColumn="0" w:lastRowFirstColumn="0" w:lastRowLastColumn="0"/>
            </w:pPr>
            <w:r w:rsidRPr="000C77A2">
              <w:t xml:space="preserve">Le </w:t>
            </w:r>
            <w:proofErr w:type="spellStart"/>
            <w:r w:rsidRPr="000C77A2">
              <w:t>Cesne</w:t>
            </w:r>
            <w:proofErr w:type="spellEnd"/>
            <w:r w:rsidRPr="000C77A2">
              <w:t xml:space="preserve"> A, Bauer S et al. Safety and efficacy of Pazopanib in advanced soft tissue sarcoma: PALETTE (EORTC 62072) subgroup analyses. </w:t>
            </w:r>
          </w:p>
        </w:tc>
        <w:tc>
          <w:tcPr>
            <w:cnfStyle w:val="000100000000" w:firstRow="0" w:lastRow="0" w:firstColumn="0" w:lastColumn="1" w:oddVBand="0" w:evenVBand="0" w:oddHBand="0" w:evenHBand="0" w:firstRowFirstColumn="0" w:firstRowLastColumn="0" w:lastRowFirstColumn="0" w:lastRowLastColumn="0"/>
            <w:tcW w:w="1169" w:type="pct"/>
            <w:tcBorders>
              <w:top w:val="dotted" w:sz="4" w:space="0" w:color="auto"/>
              <w:bottom w:val="dotted" w:sz="4" w:space="0" w:color="auto"/>
            </w:tcBorders>
            <w:vAlign w:val="top"/>
          </w:tcPr>
          <w:p w14:paraId="0577F5B8" w14:textId="77777777" w:rsidR="00165E08" w:rsidRPr="000C77A2" w:rsidRDefault="00165E08" w:rsidP="00560AEC">
            <w:pPr>
              <w:pStyle w:val="TableText0"/>
              <w:keepLines/>
              <w:jc w:val="left"/>
              <w:rPr>
                <w:iCs w:val="0"/>
              </w:rPr>
            </w:pPr>
            <w:r w:rsidRPr="000C77A2">
              <w:t xml:space="preserve">BMC cancer </w:t>
            </w:r>
            <w:r w:rsidRPr="000C77A2">
              <w:rPr>
                <w:i w:val="0"/>
                <w:iCs w:val="0"/>
              </w:rPr>
              <w:t>2019; 19(1):794</w:t>
            </w:r>
          </w:p>
        </w:tc>
      </w:tr>
      <w:tr w:rsidR="00165E08" w:rsidRPr="000C77A2" w14:paraId="6D1F7AEC" w14:textId="77777777" w:rsidTr="00A50CB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6" w:type="pct"/>
            <w:vMerge/>
            <w:vAlign w:val="top"/>
          </w:tcPr>
          <w:p w14:paraId="1A87D6F2" w14:textId="77777777" w:rsidR="00165E08" w:rsidRPr="000C77A2" w:rsidRDefault="00165E08" w:rsidP="00560AEC">
            <w:pPr>
              <w:pStyle w:val="TableText0"/>
              <w:keepLines/>
            </w:pPr>
          </w:p>
        </w:tc>
        <w:tc>
          <w:tcPr>
            <w:tcW w:w="2495" w:type="pct"/>
            <w:tcBorders>
              <w:top w:val="dotted" w:sz="4" w:space="0" w:color="auto"/>
            </w:tcBorders>
            <w:vAlign w:val="top"/>
          </w:tcPr>
          <w:p w14:paraId="684DB922" w14:textId="77777777" w:rsidR="00165E08" w:rsidRPr="000C77A2" w:rsidRDefault="00165E08" w:rsidP="00560AEC">
            <w:pPr>
              <w:pStyle w:val="TableText0"/>
              <w:keepLines/>
              <w:jc w:val="left"/>
              <w:cnfStyle w:val="010000000000" w:firstRow="0" w:lastRow="1" w:firstColumn="0" w:lastColumn="0" w:oddVBand="0" w:evenVBand="0" w:oddHBand="0" w:evenHBand="0" w:firstRowFirstColumn="0" w:firstRowLastColumn="0" w:lastRowFirstColumn="0" w:lastRowLastColumn="0"/>
            </w:pPr>
            <w:r w:rsidRPr="000C77A2">
              <w:rPr>
                <w:i w:val="0"/>
                <w:iCs w:val="0"/>
              </w:rPr>
              <w:t xml:space="preserve">Kasper B, </w:t>
            </w:r>
            <w:proofErr w:type="spellStart"/>
            <w:r w:rsidRPr="000C77A2">
              <w:rPr>
                <w:i w:val="0"/>
                <w:iCs w:val="0"/>
              </w:rPr>
              <w:t>Sleijfer</w:t>
            </w:r>
            <w:proofErr w:type="spellEnd"/>
            <w:r w:rsidRPr="000C77A2">
              <w:rPr>
                <w:i w:val="0"/>
                <w:iCs w:val="0"/>
              </w:rPr>
              <w:t xml:space="preserve"> S et al. Long-term responders, and survivors on pazopanib for advanced soft tissue sarcomas: sub analysis of two European Organisation for Research and Treatment of Cancer (EORTC) clinical trials 62043 and 62072</w:t>
            </w:r>
            <w:r w:rsidRPr="000C77A2">
              <w:t xml:space="preserve">. </w:t>
            </w:r>
          </w:p>
        </w:tc>
        <w:tc>
          <w:tcPr>
            <w:cnfStyle w:val="000100000000" w:firstRow="0" w:lastRow="0" w:firstColumn="0" w:lastColumn="1" w:oddVBand="0" w:evenVBand="0" w:oddHBand="0" w:evenHBand="0" w:firstRowFirstColumn="0" w:firstRowLastColumn="0" w:lastRowFirstColumn="0" w:lastRowLastColumn="0"/>
            <w:tcW w:w="1169" w:type="pct"/>
            <w:tcBorders>
              <w:top w:val="dotted" w:sz="4" w:space="0" w:color="auto"/>
            </w:tcBorders>
            <w:vAlign w:val="top"/>
          </w:tcPr>
          <w:p w14:paraId="08C4488A" w14:textId="77777777" w:rsidR="00165E08" w:rsidRPr="000C77A2" w:rsidRDefault="00165E08" w:rsidP="00560AEC">
            <w:pPr>
              <w:pStyle w:val="TableText0"/>
              <w:keepLines/>
              <w:jc w:val="left"/>
              <w:rPr>
                <w:iCs w:val="0"/>
              </w:rPr>
            </w:pPr>
            <w:r w:rsidRPr="000C77A2">
              <w:t xml:space="preserve">Ann Oncol </w:t>
            </w:r>
            <w:r w:rsidRPr="000C77A2">
              <w:rPr>
                <w:i w:val="0"/>
                <w:iCs w:val="0"/>
              </w:rPr>
              <w:t>2014; 25(3):719-24</w:t>
            </w:r>
          </w:p>
        </w:tc>
      </w:tr>
    </w:tbl>
    <w:p w14:paraId="6BBB90B0" w14:textId="1BB4A76C" w:rsidR="00165E08" w:rsidRPr="000C77A2" w:rsidRDefault="00165E08" w:rsidP="00560AEC">
      <w:pPr>
        <w:pStyle w:val="TableFooter"/>
        <w:keepNext/>
        <w:keepLines/>
      </w:pPr>
      <w:r w:rsidRPr="000C77A2">
        <w:t>Source: Table 2.3 of the resubmission.</w:t>
      </w:r>
    </w:p>
    <w:p w14:paraId="15AAB1F1" w14:textId="77777777" w:rsidR="00165E08" w:rsidRPr="000C77A2" w:rsidRDefault="00165E08" w:rsidP="00560AEC">
      <w:pPr>
        <w:pStyle w:val="TableFooter"/>
        <w:keepNext/>
        <w:keepLines/>
      </w:pPr>
      <w:r w:rsidRPr="000C77A2">
        <w:t xml:space="preserve">NSCLC = non-small cell lung cancer; </w:t>
      </w:r>
      <w:r w:rsidRPr="000C77A2">
        <w:rPr>
          <w:i/>
        </w:rPr>
        <w:t>NTRK</w:t>
      </w:r>
      <w:r w:rsidRPr="000C77A2">
        <w:t xml:space="preserve"> = neurotrophic tyrosine receptor kinase; SoC = standard of care; STS = soft tissue sarcoma</w:t>
      </w:r>
    </w:p>
    <w:p w14:paraId="6AF8EE54" w14:textId="77777777" w:rsidR="00B25BB5" w:rsidRPr="000C77A2" w:rsidRDefault="00B25BB5" w:rsidP="00560AEC">
      <w:pPr>
        <w:pStyle w:val="TableFooter"/>
        <w:keepNext/>
        <w:keepLines/>
      </w:pPr>
      <w:r w:rsidRPr="000C77A2">
        <w:rPr>
          <w:shd w:val="clear" w:color="auto" w:fill="C6D9F1" w:themeFill="text2" w:themeFillTint="33"/>
        </w:rPr>
        <w:t xml:space="preserve">Blue </w:t>
      </w:r>
      <w:r w:rsidRPr="000C77A2">
        <w:t>shading represents information previously considered by the PBAC.</w:t>
      </w:r>
    </w:p>
    <w:p w14:paraId="6F33D080" w14:textId="5E23FBE4" w:rsidR="00F361CA" w:rsidRPr="000C77A2" w:rsidRDefault="00165E08" w:rsidP="00560AEC">
      <w:pPr>
        <w:pStyle w:val="TableFooter"/>
        <w:keepNext/>
        <w:keepLines/>
      </w:pPr>
      <w:r w:rsidRPr="000C77A2">
        <w:rPr>
          <w:vertAlign w:val="superscript"/>
        </w:rPr>
        <w:t>a</w:t>
      </w:r>
      <w:r w:rsidRPr="000C77A2">
        <w:t>The resubmission did not include this study in the master list of studies table</w:t>
      </w:r>
      <w:r w:rsidR="00D85BDC" w:rsidRPr="000C77A2">
        <w:t>,</w:t>
      </w:r>
      <w:r w:rsidRPr="000C77A2">
        <w:t xml:space="preserve"> although two patients with STS from this study were included in the pooled ePAS7 dataset. </w:t>
      </w:r>
      <w:r w:rsidRPr="000C77A2">
        <w:rPr>
          <w:rStyle w:val="TableFooterChar"/>
        </w:rPr>
        <w:t xml:space="preserve">Although the SCOUT study was originally a paediatric study, two patients with </w:t>
      </w:r>
      <w:r w:rsidRPr="000C77A2">
        <w:rPr>
          <w:rStyle w:val="TableFooterChar"/>
          <w:i/>
          <w:iCs/>
        </w:rPr>
        <w:t>NTRK</w:t>
      </w:r>
      <w:r w:rsidRPr="000C77A2">
        <w:rPr>
          <w:rStyle w:val="TableFooterChar"/>
        </w:rPr>
        <w:t xml:space="preserve"> fusion positive STS have since had their 18</w:t>
      </w:r>
      <w:r w:rsidRPr="000C77A2">
        <w:rPr>
          <w:rStyle w:val="TableFooterChar"/>
          <w:vertAlign w:val="superscript"/>
        </w:rPr>
        <w:t>th</w:t>
      </w:r>
      <w:r w:rsidRPr="000C77A2">
        <w:rPr>
          <w:rStyle w:val="TableFooterChar"/>
        </w:rPr>
        <w:t xml:space="preserve"> birthdays at the updated July 2022 data cutoff and they have been included in the pooled larotrectinib dataset</w:t>
      </w:r>
      <w:r w:rsidR="00F361CA" w:rsidRPr="000C77A2">
        <w:t>.</w:t>
      </w:r>
    </w:p>
    <w:p w14:paraId="2061002C" w14:textId="7C87949A" w:rsidR="00F361CA" w:rsidRPr="000C77A2" w:rsidRDefault="000509AE" w:rsidP="00560AEC">
      <w:pPr>
        <w:pStyle w:val="TableFooter"/>
        <w:spacing w:after="120"/>
      </w:pPr>
      <w:proofErr w:type="spellStart"/>
      <w:r w:rsidRPr="000C77A2">
        <w:rPr>
          <w:rStyle w:val="TableFooterChar"/>
          <w:vertAlign w:val="superscript"/>
        </w:rPr>
        <w:t>b</w:t>
      </w:r>
      <w:r w:rsidRPr="000C77A2">
        <w:rPr>
          <w:rStyle w:val="TableFooterChar"/>
        </w:rPr>
        <w:t>The</w:t>
      </w:r>
      <w:proofErr w:type="spellEnd"/>
      <w:r w:rsidRPr="000C77A2">
        <w:rPr>
          <w:rStyle w:val="TableFooterChar"/>
        </w:rPr>
        <w:t xml:space="preserve"> SoC studies, Check</w:t>
      </w:r>
      <w:r w:rsidR="003E5D4A" w:rsidRPr="000C77A2">
        <w:rPr>
          <w:rStyle w:val="TableFooterChar"/>
        </w:rPr>
        <w:t>M</w:t>
      </w:r>
      <w:r w:rsidRPr="000C77A2">
        <w:rPr>
          <w:rStyle w:val="TableFooterChar"/>
        </w:rPr>
        <w:t xml:space="preserve">ate </w:t>
      </w:r>
      <w:proofErr w:type="gramStart"/>
      <w:r w:rsidRPr="000C77A2">
        <w:rPr>
          <w:rStyle w:val="TableFooterChar"/>
        </w:rPr>
        <w:t>057</w:t>
      </w:r>
      <w:proofErr w:type="gramEnd"/>
      <w:r w:rsidRPr="000C77A2">
        <w:rPr>
          <w:rStyle w:val="TableFooterChar"/>
        </w:rPr>
        <w:t xml:space="preserve"> and PALETTE, were randomised controlled trials but only the single docetaxel and pazopanib arms, respectively, were used in the indirect comparisons with larotrectinib.</w:t>
      </w:r>
    </w:p>
    <w:p w14:paraId="3430AB07" w14:textId="0B58394E" w:rsidR="007F1017" w:rsidRPr="000C77A2" w:rsidRDefault="00BF6182" w:rsidP="005D3B1D">
      <w:pPr>
        <w:pStyle w:val="3-BodyText"/>
        <w:keepNext/>
      </w:pPr>
      <w:r w:rsidRPr="000C77A2">
        <w:lastRenderedPageBreak/>
        <w:t xml:space="preserve">The key features of the included evidence are presented in </w:t>
      </w:r>
      <w:r w:rsidRPr="000C77A2">
        <w:fldChar w:fldCharType="begin" w:fldLock="1"/>
      </w:r>
      <w:r w:rsidRPr="000C77A2">
        <w:instrText xml:space="preserve"> REF _Ref154480798 \h </w:instrText>
      </w:r>
      <w:r w:rsidRPr="000C77A2">
        <w:fldChar w:fldCharType="separate"/>
      </w:r>
      <w:r w:rsidR="001B0FE7" w:rsidRPr="000C77A2">
        <w:t xml:space="preserve">Table </w:t>
      </w:r>
      <w:r w:rsidR="001B0FE7">
        <w:rPr>
          <w:noProof/>
        </w:rPr>
        <w:t>5</w:t>
      </w:r>
      <w:r w:rsidRPr="000C77A2">
        <w:fldChar w:fldCharType="end"/>
      </w:r>
      <w:r w:rsidRPr="000C77A2">
        <w:t>.</w:t>
      </w:r>
      <w:r w:rsidR="00674F7C" w:rsidRPr="000C77A2">
        <w:t xml:space="preserve"> </w:t>
      </w:r>
    </w:p>
    <w:p w14:paraId="0B6CE345" w14:textId="55691147" w:rsidR="00165E08" w:rsidRPr="000C77A2" w:rsidRDefault="00D6076E" w:rsidP="005D3B1D">
      <w:pPr>
        <w:pStyle w:val="TableFigureHeading"/>
        <w:rPr>
          <w:rStyle w:val="CommentReference"/>
          <w:b/>
          <w:szCs w:val="24"/>
        </w:rPr>
      </w:pPr>
      <w:bookmarkStart w:id="22" w:name="_Ref154480798"/>
      <w:r w:rsidRPr="000C77A2">
        <w:t xml:space="preserve">Table </w:t>
      </w:r>
      <w:fldSimple w:instr=" SEQ Table \* ARABIC " w:fldLock="1">
        <w:r w:rsidR="001B0FE7">
          <w:rPr>
            <w:noProof/>
          </w:rPr>
          <w:t>5</w:t>
        </w:r>
      </w:fldSimple>
      <w:bookmarkEnd w:id="22"/>
      <w:r w:rsidRPr="000C77A2">
        <w:t xml:space="preserve">: </w:t>
      </w:r>
      <w:r w:rsidR="00165E08" w:rsidRPr="000C77A2">
        <w:rPr>
          <w:rStyle w:val="CommentReference"/>
          <w:b/>
          <w:szCs w:val="24"/>
        </w:rPr>
        <w:t>Key features of the included evidence – indirect comparison between single arms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 indirect comparison between single arms"/>
      </w:tblPr>
      <w:tblGrid>
        <w:gridCol w:w="1414"/>
        <w:gridCol w:w="748"/>
        <w:gridCol w:w="1426"/>
        <w:gridCol w:w="1131"/>
        <w:gridCol w:w="1560"/>
        <w:gridCol w:w="1147"/>
        <w:gridCol w:w="1591"/>
      </w:tblGrid>
      <w:tr w:rsidR="00165E08" w:rsidRPr="000C77A2" w14:paraId="75F3DF06" w14:textId="77777777" w:rsidTr="00122531">
        <w:trPr>
          <w:cantSplit/>
          <w:tblHeader/>
        </w:trPr>
        <w:tc>
          <w:tcPr>
            <w:tcW w:w="784" w:type="pct"/>
            <w:shd w:val="clear" w:color="auto" w:fill="auto"/>
            <w:vAlign w:val="center"/>
          </w:tcPr>
          <w:p w14:paraId="6B578EF4" w14:textId="77777777" w:rsidR="00165E08" w:rsidRPr="00576FA3" w:rsidRDefault="00165E08" w:rsidP="00A50CB3">
            <w:pPr>
              <w:pStyle w:val="In-tableHeading"/>
              <w:widowControl w:val="0"/>
              <w:rPr>
                <w:lang w:val="en-AU"/>
              </w:rPr>
            </w:pPr>
            <w:r w:rsidRPr="00576FA3">
              <w:rPr>
                <w:lang w:val="en-AU"/>
              </w:rPr>
              <w:t>Studies</w:t>
            </w:r>
          </w:p>
        </w:tc>
        <w:tc>
          <w:tcPr>
            <w:tcW w:w="415" w:type="pct"/>
            <w:shd w:val="clear" w:color="auto" w:fill="auto"/>
            <w:vAlign w:val="center"/>
          </w:tcPr>
          <w:p w14:paraId="19140C05" w14:textId="77777777" w:rsidR="00165E08" w:rsidRPr="00576FA3" w:rsidRDefault="00165E08" w:rsidP="00A50CB3">
            <w:pPr>
              <w:pStyle w:val="In-tableHeading"/>
              <w:widowControl w:val="0"/>
              <w:jc w:val="center"/>
              <w:rPr>
                <w:lang w:val="en-AU"/>
              </w:rPr>
            </w:pPr>
            <w:r w:rsidRPr="00576FA3">
              <w:rPr>
                <w:lang w:val="en-AU"/>
              </w:rPr>
              <w:t>N</w:t>
            </w:r>
          </w:p>
        </w:tc>
        <w:tc>
          <w:tcPr>
            <w:tcW w:w="791" w:type="pct"/>
            <w:shd w:val="clear" w:color="auto" w:fill="auto"/>
            <w:vAlign w:val="center"/>
          </w:tcPr>
          <w:p w14:paraId="311DEC84" w14:textId="77777777" w:rsidR="00165E08" w:rsidRPr="00576FA3" w:rsidRDefault="00165E08" w:rsidP="00A50CB3">
            <w:pPr>
              <w:pStyle w:val="In-tableHeading"/>
              <w:widowControl w:val="0"/>
              <w:jc w:val="center"/>
              <w:rPr>
                <w:lang w:val="en-AU"/>
              </w:rPr>
            </w:pPr>
            <w:r w:rsidRPr="00576FA3">
              <w:rPr>
                <w:lang w:val="en-AU"/>
              </w:rPr>
              <w:t>Design/ duration</w:t>
            </w:r>
          </w:p>
        </w:tc>
        <w:tc>
          <w:tcPr>
            <w:tcW w:w="627" w:type="pct"/>
            <w:shd w:val="clear" w:color="auto" w:fill="auto"/>
            <w:vAlign w:val="center"/>
          </w:tcPr>
          <w:p w14:paraId="64074F7B" w14:textId="77777777" w:rsidR="00165E08" w:rsidRPr="00576FA3" w:rsidRDefault="00165E08" w:rsidP="00A50CB3">
            <w:pPr>
              <w:pStyle w:val="In-tableHeading"/>
              <w:widowControl w:val="0"/>
              <w:jc w:val="center"/>
              <w:rPr>
                <w:lang w:val="en-AU"/>
              </w:rPr>
            </w:pPr>
            <w:r w:rsidRPr="00576FA3">
              <w:rPr>
                <w:lang w:val="en-AU"/>
              </w:rPr>
              <w:t>Risk of bias</w:t>
            </w:r>
          </w:p>
        </w:tc>
        <w:tc>
          <w:tcPr>
            <w:tcW w:w="865" w:type="pct"/>
            <w:shd w:val="clear" w:color="auto" w:fill="auto"/>
            <w:vAlign w:val="center"/>
          </w:tcPr>
          <w:p w14:paraId="0780FF1F" w14:textId="77777777" w:rsidR="00165E08" w:rsidRPr="00576FA3" w:rsidRDefault="00165E08" w:rsidP="00A50CB3">
            <w:pPr>
              <w:pStyle w:val="In-tableHeading"/>
              <w:widowControl w:val="0"/>
              <w:jc w:val="center"/>
              <w:rPr>
                <w:lang w:val="en-AU"/>
              </w:rPr>
            </w:pPr>
            <w:r w:rsidRPr="00576FA3">
              <w:rPr>
                <w:lang w:val="en-AU"/>
              </w:rPr>
              <w:t>Patient population</w:t>
            </w:r>
          </w:p>
        </w:tc>
        <w:tc>
          <w:tcPr>
            <w:tcW w:w="636" w:type="pct"/>
            <w:shd w:val="clear" w:color="auto" w:fill="auto"/>
            <w:vAlign w:val="center"/>
          </w:tcPr>
          <w:p w14:paraId="7AC80F24" w14:textId="77777777" w:rsidR="00165E08" w:rsidRPr="00576FA3" w:rsidRDefault="00165E08" w:rsidP="00A50CB3">
            <w:pPr>
              <w:pStyle w:val="In-tableHeading"/>
              <w:widowControl w:val="0"/>
              <w:jc w:val="center"/>
              <w:rPr>
                <w:lang w:val="en-AU"/>
              </w:rPr>
            </w:pPr>
            <w:r w:rsidRPr="00576FA3">
              <w:rPr>
                <w:lang w:val="en-AU"/>
              </w:rPr>
              <w:t>Outcome(s)</w:t>
            </w:r>
          </w:p>
        </w:tc>
        <w:tc>
          <w:tcPr>
            <w:tcW w:w="882" w:type="pct"/>
            <w:shd w:val="clear" w:color="auto" w:fill="auto"/>
            <w:vAlign w:val="center"/>
          </w:tcPr>
          <w:p w14:paraId="67F9D1D6" w14:textId="77777777" w:rsidR="00165E08" w:rsidRPr="00576FA3" w:rsidRDefault="00165E08" w:rsidP="00A50CB3">
            <w:pPr>
              <w:pStyle w:val="In-tableHeading"/>
              <w:widowControl w:val="0"/>
              <w:jc w:val="center"/>
              <w:rPr>
                <w:lang w:val="en-AU"/>
              </w:rPr>
            </w:pPr>
            <w:r w:rsidRPr="00576FA3">
              <w:rPr>
                <w:lang w:val="en-AU"/>
              </w:rPr>
              <w:t>Use in modelled evaluation</w:t>
            </w:r>
          </w:p>
        </w:tc>
      </w:tr>
      <w:tr w:rsidR="00165E08" w:rsidRPr="000C77A2" w14:paraId="05022D77" w14:textId="77777777" w:rsidTr="00122531">
        <w:trPr>
          <w:cantSplit/>
        </w:trPr>
        <w:tc>
          <w:tcPr>
            <w:tcW w:w="5000" w:type="pct"/>
            <w:gridSpan w:val="7"/>
            <w:shd w:val="clear" w:color="auto" w:fill="auto"/>
            <w:vAlign w:val="center"/>
          </w:tcPr>
          <w:p w14:paraId="27BFD2AE" w14:textId="7C11AE40" w:rsidR="00165E08" w:rsidRPr="00576FA3" w:rsidRDefault="00165E08" w:rsidP="00A50CB3">
            <w:pPr>
              <w:pStyle w:val="In-tableHeading"/>
              <w:widowControl w:val="0"/>
              <w:rPr>
                <w:lang w:val="en-AU"/>
              </w:rPr>
            </w:pPr>
            <w:r w:rsidRPr="00576FA3">
              <w:rPr>
                <w:lang w:val="en-AU"/>
              </w:rPr>
              <w:t>Proposed medicine – Larotrectinib: ePAS7 (July 2022 data cutoff, Median follow-up for OS 39.4 months)</w:t>
            </w:r>
          </w:p>
        </w:tc>
      </w:tr>
      <w:tr w:rsidR="00165E08" w:rsidRPr="000C77A2" w14:paraId="77779370" w14:textId="77777777" w:rsidTr="00122531">
        <w:trPr>
          <w:cantSplit/>
        </w:trPr>
        <w:tc>
          <w:tcPr>
            <w:tcW w:w="784" w:type="pct"/>
            <w:shd w:val="clear" w:color="auto" w:fill="auto"/>
            <w:vAlign w:val="center"/>
          </w:tcPr>
          <w:p w14:paraId="3F96CFF3" w14:textId="77777777" w:rsidR="00165E08" w:rsidRPr="00576FA3" w:rsidRDefault="00165E08" w:rsidP="00A50CB3">
            <w:pPr>
              <w:pStyle w:val="TableText0"/>
              <w:widowControl w:val="0"/>
              <w:rPr>
                <w:vertAlign w:val="superscript"/>
              </w:rPr>
            </w:pPr>
            <w:r w:rsidRPr="000C77A2">
              <w:t xml:space="preserve">Pooled analysis across all tumour </w:t>
            </w:r>
            <w:proofErr w:type="spellStart"/>
            <w:r w:rsidRPr="000C77A2">
              <w:t>types</w:t>
            </w:r>
            <w:r w:rsidRPr="000C77A2">
              <w:rPr>
                <w:vertAlign w:val="superscript"/>
              </w:rPr>
              <w:t>a</w:t>
            </w:r>
            <w:proofErr w:type="spellEnd"/>
          </w:p>
        </w:tc>
        <w:tc>
          <w:tcPr>
            <w:tcW w:w="415" w:type="pct"/>
            <w:shd w:val="clear" w:color="auto" w:fill="auto"/>
            <w:vAlign w:val="center"/>
          </w:tcPr>
          <w:p w14:paraId="17B46D14" w14:textId="77777777" w:rsidR="00165E08" w:rsidRPr="00576FA3" w:rsidRDefault="00165E08" w:rsidP="00A50CB3">
            <w:pPr>
              <w:pStyle w:val="TableText0"/>
              <w:widowControl w:val="0"/>
              <w:jc w:val="center"/>
            </w:pPr>
            <w:r w:rsidRPr="00576FA3">
              <w:t>272</w:t>
            </w:r>
          </w:p>
        </w:tc>
        <w:tc>
          <w:tcPr>
            <w:tcW w:w="791" w:type="pct"/>
            <w:vMerge w:val="restart"/>
            <w:shd w:val="clear" w:color="auto" w:fill="auto"/>
            <w:vAlign w:val="center"/>
          </w:tcPr>
          <w:p w14:paraId="7FC95CE5" w14:textId="77777777" w:rsidR="00165E08" w:rsidRPr="00576FA3" w:rsidRDefault="00165E08" w:rsidP="00A50CB3">
            <w:pPr>
              <w:pStyle w:val="TableText0"/>
              <w:widowControl w:val="0"/>
              <w:jc w:val="center"/>
            </w:pPr>
            <w:r w:rsidRPr="00576FA3">
              <w:t>Single arm, OL</w:t>
            </w:r>
          </w:p>
        </w:tc>
        <w:tc>
          <w:tcPr>
            <w:tcW w:w="627" w:type="pct"/>
            <w:vMerge w:val="restart"/>
            <w:shd w:val="clear" w:color="auto" w:fill="auto"/>
            <w:vAlign w:val="center"/>
          </w:tcPr>
          <w:p w14:paraId="6AFDCC14" w14:textId="77777777" w:rsidR="00165E08" w:rsidRPr="00576FA3" w:rsidRDefault="00165E08" w:rsidP="00A50CB3">
            <w:pPr>
              <w:pStyle w:val="TableText0"/>
              <w:widowControl w:val="0"/>
              <w:jc w:val="center"/>
            </w:pPr>
            <w:r w:rsidRPr="00576FA3">
              <w:t>High</w:t>
            </w:r>
          </w:p>
        </w:tc>
        <w:tc>
          <w:tcPr>
            <w:tcW w:w="865" w:type="pct"/>
            <w:vMerge w:val="restart"/>
            <w:shd w:val="clear" w:color="auto" w:fill="auto"/>
            <w:vAlign w:val="center"/>
          </w:tcPr>
          <w:p w14:paraId="258B0418" w14:textId="77777777" w:rsidR="00165E08" w:rsidRPr="00576FA3" w:rsidRDefault="00165E08" w:rsidP="00A50CB3">
            <w:pPr>
              <w:pStyle w:val="TableText0"/>
              <w:widowControl w:val="0"/>
              <w:jc w:val="center"/>
            </w:pPr>
            <w:r w:rsidRPr="00576FA3">
              <w:rPr>
                <w:i/>
                <w:iCs/>
              </w:rPr>
              <w:t>NTRK</w:t>
            </w:r>
            <w:r w:rsidRPr="00576FA3">
              <w:t xml:space="preserve"> fusion positive.</w:t>
            </w:r>
          </w:p>
          <w:p w14:paraId="6128C4B0" w14:textId="77777777" w:rsidR="00165E08" w:rsidRPr="00576FA3" w:rsidRDefault="00165E08" w:rsidP="00A50CB3">
            <w:pPr>
              <w:pStyle w:val="TableText0"/>
              <w:widowControl w:val="0"/>
              <w:jc w:val="center"/>
            </w:pPr>
          </w:p>
          <w:p w14:paraId="740E8813" w14:textId="77777777" w:rsidR="00165E08" w:rsidRPr="00576FA3" w:rsidRDefault="00165E08" w:rsidP="00A50CB3">
            <w:pPr>
              <w:pStyle w:val="TableText0"/>
              <w:widowControl w:val="0"/>
              <w:jc w:val="center"/>
            </w:pPr>
            <w:r w:rsidRPr="00576FA3">
              <w:t>Refractory</w:t>
            </w:r>
          </w:p>
          <w:p w14:paraId="6C872F92" w14:textId="77777777" w:rsidR="00165E08" w:rsidRPr="00576FA3" w:rsidRDefault="00165E08" w:rsidP="00A50CB3">
            <w:pPr>
              <w:pStyle w:val="TableText0"/>
              <w:widowControl w:val="0"/>
              <w:jc w:val="center"/>
            </w:pPr>
            <w:r w:rsidRPr="00576FA3">
              <w:t>Failed chemo</w:t>
            </w:r>
          </w:p>
        </w:tc>
        <w:tc>
          <w:tcPr>
            <w:tcW w:w="636" w:type="pct"/>
            <w:vMerge w:val="restart"/>
            <w:shd w:val="clear" w:color="auto" w:fill="auto"/>
            <w:vAlign w:val="center"/>
          </w:tcPr>
          <w:p w14:paraId="1938D8D2" w14:textId="77777777" w:rsidR="00165E08" w:rsidRPr="00576FA3" w:rsidRDefault="00165E08" w:rsidP="00A50CB3">
            <w:pPr>
              <w:pStyle w:val="TableText0"/>
              <w:widowControl w:val="0"/>
              <w:jc w:val="center"/>
            </w:pPr>
            <w:r w:rsidRPr="00576FA3">
              <w:t>OS, PFS, ORR, DOR</w:t>
            </w:r>
          </w:p>
        </w:tc>
        <w:tc>
          <w:tcPr>
            <w:tcW w:w="882" w:type="pct"/>
            <w:shd w:val="clear" w:color="auto" w:fill="auto"/>
            <w:vAlign w:val="center"/>
          </w:tcPr>
          <w:p w14:paraId="34E2AF9B" w14:textId="77777777" w:rsidR="00165E08" w:rsidRPr="00576FA3" w:rsidRDefault="00165E08" w:rsidP="00A50CB3">
            <w:pPr>
              <w:pStyle w:val="TableText0"/>
              <w:widowControl w:val="0"/>
              <w:jc w:val="center"/>
              <w:rPr>
                <w:highlight w:val="yellow"/>
              </w:rPr>
            </w:pPr>
            <w:r w:rsidRPr="00576FA3">
              <w:t>Not used</w:t>
            </w:r>
          </w:p>
        </w:tc>
      </w:tr>
      <w:tr w:rsidR="00165E08" w:rsidRPr="000C77A2" w14:paraId="2B8C609B" w14:textId="77777777" w:rsidTr="00122531">
        <w:trPr>
          <w:cantSplit/>
        </w:trPr>
        <w:tc>
          <w:tcPr>
            <w:tcW w:w="784" w:type="pct"/>
            <w:shd w:val="clear" w:color="auto" w:fill="auto"/>
            <w:vAlign w:val="center"/>
          </w:tcPr>
          <w:p w14:paraId="4160307D" w14:textId="77777777" w:rsidR="00165E08" w:rsidRPr="000C77A2" w:rsidRDefault="00165E08" w:rsidP="00A50CB3">
            <w:pPr>
              <w:pStyle w:val="TableText0"/>
              <w:widowControl w:val="0"/>
              <w:rPr>
                <w:vertAlign w:val="superscript"/>
              </w:rPr>
            </w:pPr>
            <w:r w:rsidRPr="000C77A2">
              <w:t xml:space="preserve">Lung </w:t>
            </w:r>
            <w:proofErr w:type="spellStart"/>
            <w:r w:rsidRPr="000C77A2">
              <w:t>cancer</w:t>
            </w:r>
            <w:r w:rsidRPr="000C77A2">
              <w:rPr>
                <w:vertAlign w:val="superscript"/>
              </w:rPr>
              <w:t>c</w:t>
            </w:r>
            <w:proofErr w:type="spellEnd"/>
          </w:p>
          <w:p w14:paraId="22310E8B" w14:textId="77777777" w:rsidR="00165E08" w:rsidRPr="000C77A2" w:rsidRDefault="00165E08" w:rsidP="00A50CB3">
            <w:pPr>
              <w:pStyle w:val="TableText0"/>
              <w:widowControl w:val="0"/>
              <w:ind w:left="720" w:hanging="324"/>
            </w:pPr>
            <w:r w:rsidRPr="000C77A2">
              <w:t>NSCLC</w:t>
            </w:r>
          </w:p>
        </w:tc>
        <w:tc>
          <w:tcPr>
            <w:tcW w:w="415" w:type="pct"/>
            <w:shd w:val="clear" w:color="auto" w:fill="auto"/>
            <w:vAlign w:val="center"/>
          </w:tcPr>
          <w:p w14:paraId="4F07A9E3" w14:textId="77777777" w:rsidR="00165E08" w:rsidRPr="00576FA3" w:rsidRDefault="00165E08" w:rsidP="00A50CB3">
            <w:pPr>
              <w:pStyle w:val="TableText0"/>
              <w:widowControl w:val="0"/>
              <w:jc w:val="center"/>
            </w:pPr>
            <w:r w:rsidRPr="00576FA3">
              <w:t>27</w:t>
            </w:r>
          </w:p>
          <w:p w14:paraId="740D3690" w14:textId="77777777" w:rsidR="00165E08" w:rsidRPr="00576FA3" w:rsidRDefault="00165E08" w:rsidP="00A50CB3">
            <w:pPr>
              <w:pStyle w:val="TableText0"/>
              <w:widowControl w:val="0"/>
              <w:jc w:val="center"/>
            </w:pPr>
            <w:r w:rsidRPr="00576FA3">
              <w:t>25</w:t>
            </w:r>
          </w:p>
        </w:tc>
        <w:tc>
          <w:tcPr>
            <w:tcW w:w="791" w:type="pct"/>
            <w:vMerge/>
            <w:shd w:val="clear" w:color="auto" w:fill="auto"/>
            <w:vAlign w:val="center"/>
          </w:tcPr>
          <w:p w14:paraId="39F32EFE" w14:textId="77777777" w:rsidR="00165E08" w:rsidRPr="00576FA3" w:rsidRDefault="00165E08" w:rsidP="00A50CB3">
            <w:pPr>
              <w:pStyle w:val="TableText0"/>
              <w:widowControl w:val="0"/>
              <w:jc w:val="center"/>
            </w:pPr>
          </w:p>
        </w:tc>
        <w:tc>
          <w:tcPr>
            <w:tcW w:w="627" w:type="pct"/>
            <w:vMerge/>
            <w:shd w:val="clear" w:color="auto" w:fill="auto"/>
            <w:vAlign w:val="center"/>
          </w:tcPr>
          <w:p w14:paraId="415EA9B4" w14:textId="77777777" w:rsidR="00165E08" w:rsidRPr="00576FA3" w:rsidRDefault="00165E08" w:rsidP="00A50CB3">
            <w:pPr>
              <w:pStyle w:val="TableText0"/>
              <w:widowControl w:val="0"/>
              <w:jc w:val="center"/>
            </w:pPr>
          </w:p>
        </w:tc>
        <w:tc>
          <w:tcPr>
            <w:tcW w:w="865" w:type="pct"/>
            <w:vMerge/>
            <w:shd w:val="clear" w:color="auto" w:fill="auto"/>
            <w:vAlign w:val="center"/>
          </w:tcPr>
          <w:p w14:paraId="67A139A7" w14:textId="77777777" w:rsidR="00165E08" w:rsidRPr="00576FA3" w:rsidRDefault="00165E08" w:rsidP="00A50CB3">
            <w:pPr>
              <w:pStyle w:val="TableText0"/>
              <w:widowControl w:val="0"/>
              <w:jc w:val="center"/>
            </w:pPr>
          </w:p>
        </w:tc>
        <w:tc>
          <w:tcPr>
            <w:tcW w:w="636" w:type="pct"/>
            <w:vMerge/>
            <w:shd w:val="clear" w:color="auto" w:fill="auto"/>
            <w:vAlign w:val="center"/>
          </w:tcPr>
          <w:p w14:paraId="2F2D9EA6" w14:textId="77777777" w:rsidR="00165E08" w:rsidRPr="00576FA3" w:rsidRDefault="00165E08" w:rsidP="00A50CB3">
            <w:pPr>
              <w:pStyle w:val="TableText0"/>
              <w:widowControl w:val="0"/>
              <w:jc w:val="center"/>
            </w:pPr>
          </w:p>
        </w:tc>
        <w:tc>
          <w:tcPr>
            <w:tcW w:w="882" w:type="pct"/>
            <w:shd w:val="clear" w:color="auto" w:fill="auto"/>
            <w:vAlign w:val="center"/>
          </w:tcPr>
          <w:p w14:paraId="042C1E20" w14:textId="4C227460" w:rsidR="00165E08" w:rsidRPr="00576FA3" w:rsidRDefault="000C54D4" w:rsidP="00A50CB3">
            <w:pPr>
              <w:pStyle w:val="TableText0"/>
              <w:widowControl w:val="0"/>
              <w:jc w:val="center"/>
              <w:rPr>
                <w:highlight w:val="yellow"/>
              </w:rPr>
            </w:pPr>
            <w:r w:rsidRPr="00576FA3">
              <w:t xml:space="preserve">PFS and OS used </w:t>
            </w:r>
          </w:p>
        </w:tc>
      </w:tr>
      <w:tr w:rsidR="00165E08" w:rsidRPr="000C77A2" w14:paraId="5CE86DE8" w14:textId="77777777" w:rsidTr="00122531">
        <w:trPr>
          <w:cantSplit/>
        </w:trPr>
        <w:tc>
          <w:tcPr>
            <w:tcW w:w="784" w:type="pct"/>
            <w:shd w:val="clear" w:color="auto" w:fill="auto"/>
            <w:vAlign w:val="center"/>
          </w:tcPr>
          <w:p w14:paraId="4362EFE0" w14:textId="77777777" w:rsidR="00165E08" w:rsidRPr="00576FA3" w:rsidRDefault="00165E08" w:rsidP="00A50CB3">
            <w:pPr>
              <w:pStyle w:val="TableText0"/>
              <w:widowControl w:val="0"/>
            </w:pPr>
            <w:r w:rsidRPr="000C77A2">
              <w:t>STS</w:t>
            </w:r>
          </w:p>
        </w:tc>
        <w:tc>
          <w:tcPr>
            <w:tcW w:w="415" w:type="pct"/>
            <w:shd w:val="clear" w:color="auto" w:fill="auto"/>
            <w:vAlign w:val="center"/>
          </w:tcPr>
          <w:p w14:paraId="45994ED9" w14:textId="77777777" w:rsidR="00165E08" w:rsidRPr="00576FA3" w:rsidRDefault="00165E08" w:rsidP="00A50CB3">
            <w:pPr>
              <w:pStyle w:val="TableText0"/>
              <w:widowControl w:val="0"/>
              <w:jc w:val="center"/>
            </w:pPr>
            <w:r w:rsidRPr="00576FA3">
              <w:t>30</w:t>
            </w:r>
          </w:p>
        </w:tc>
        <w:tc>
          <w:tcPr>
            <w:tcW w:w="791" w:type="pct"/>
            <w:vMerge/>
            <w:shd w:val="clear" w:color="auto" w:fill="auto"/>
            <w:vAlign w:val="center"/>
          </w:tcPr>
          <w:p w14:paraId="2572B8F2" w14:textId="77777777" w:rsidR="00165E08" w:rsidRPr="00576FA3" w:rsidRDefault="00165E08" w:rsidP="00A50CB3">
            <w:pPr>
              <w:pStyle w:val="TableText0"/>
              <w:widowControl w:val="0"/>
              <w:jc w:val="center"/>
            </w:pPr>
          </w:p>
        </w:tc>
        <w:tc>
          <w:tcPr>
            <w:tcW w:w="627" w:type="pct"/>
            <w:vMerge/>
            <w:shd w:val="clear" w:color="auto" w:fill="auto"/>
            <w:vAlign w:val="center"/>
          </w:tcPr>
          <w:p w14:paraId="3D2DD4C9" w14:textId="77777777" w:rsidR="00165E08" w:rsidRPr="00576FA3" w:rsidRDefault="00165E08" w:rsidP="00A50CB3">
            <w:pPr>
              <w:pStyle w:val="TableText0"/>
              <w:widowControl w:val="0"/>
              <w:jc w:val="center"/>
            </w:pPr>
          </w:p>
        </w:tc>
        <w:tc>
          <w:tcPr>
            <w:tcW w:w="865" w:type="pct"/>
            <w:vMerge/>
            <w:shd w:val="clear" w:color="auto" w:fill="auto"/>
            <w:vAlign w:val="center"/>
          </w:tcPr>
          <w:p w14:paraId="2248F7B1" w14:textId="77777777" w:rsidR="00165E08" w:rsidRPr="00576FA3" w:rsidRDefault="00165E08" w:rsidP="00A50CB3">
            <w:pPr>
              <w:pStyle w:val="TableText0"/>
              <w:widowControl w:val="0"/>
              <w:jc w:val="center"/>
            </w:pPr>
          </w:p>
        </w:tc>
        <w:tc>
          <w:tcPr>
            <w:tcW w:w="636" w:type="pct"/>
            <w:vMerge/>
            <w:shd w:val="clear" w:color="auto" w:fill="auto"/>
            <w:vAlign w:val="center"/>
          </w:tcPr>
          <w:p w14:paraId="6452FE84" w14:textId="77777777" w:rsidR="00165E08" w:rsidRPr="00576FA3" w:rsidRDefault="00165E08" w:rsidP="00A50CB3">
            <w:pPr>
              <w:pStyle w:val="TableText0"/>
              <w:widowControl w:val="0"/>
              <w:jc w:val="center"/>
            </w:pPr>
          </w:p>
        </w:tc>
        <w:tc>
          <w:tcPr>
            <w:tcW w:w="882" w:type="pct"/>
            <w:shd w:val="clear" w:color="auto" w:fill="auto"/>
            <w:vAlign w:val="center"/>
          </w:tcPr>
          <w:p w14:paraId="5EFAF727" w14:textId="2EE1424B" w:rsidR="00165E08" w:rsidRPr="00576FA3" w:rsidRDefault="000C54D4" w:rsidP="00A50CB3">
            <w:pPr>
              <w:pStyle w:val="TableText0"/>
              <w:widowControl w:val="0"/>
              <w:jc w:val="center"/>
              <w:rPr>
                <w:highlight w:val="yellow"/>
              </w:rPr>
            </w:pPr>
            <w:r w:rsidRPr="00576FA3">
              <w:t>PFS and OS used</w:t>
            </w:r>
          </w:p>
        </w:tc>
      </w:tr>
      <w:tr w:rsidR="00165E08" w:rsidRPr="000C77A2" w14:paraId="6A979421" w14:textId="77777777" w:rsidTr="00122531">
        <w:trPr>
          <w:cantSplit/>
        </w:trPr>
        <w:tc>
          <w:tcPr>
            <w:tcW w:w="5000" w:type="pct"/>
            <w:gridSpan w:val="7"/>
            <w:shd w:val="clear" w:color="auto" w:fill="auto"/>
            <w:vAlign w:val="center"/>
          </w:tcPr>
          <w:p w14:paraId="5BCD35D8" w14:textId="6D37D4E5" w:rsidR="00165E08" w:rsidRPr="00576FA3" w:rsidRDefault="00165E08" w:rsidP="00A50CB3">
            <w:pPr>
              <w:pStyle w:val="TableText0"/>
              <w:widowControl w:val="0"/>
              <w:rPr>
                <w:b/>
                <w:bCs w:val="0"/>
                <w:highlight w:val="yellow"/>
              </w:rPr>
            </w:pPr>
            <w:r w:rsidRPr="00576FA3">
              <w:rPr>
                <w:b/>
                <w:bCs w:val="0"/>
              </w:rPr>
              <w:t xml:space="preserve">Comparator </w:t>
            </w:r>
            <w:r w:rsidR="00292657" w:rsidRPr="00576FA3">
              <w:rPr>
                <w:b/>
                <w:bCs w:val="0"/>
              </w:rPr>
              <w:t>–</w:t>
            </w:r>
            <w:r w:rsidRPr="00576FA3">
              <w:rPr>
                <w:b/>
                <w:bCs w:val="0"/>
              </w:rPr>
              <w:t xml:space="preserve"> Docetaxel in NSCLC (Minimum follow-up for OS 17.2 months)</w:t>
            </w:r>
          </w:p>
        </w:tc>
      </w:tr>
      <w:tr w:rsidR="00165E08" w:rsidRPr="000C77A2" w14:paraId="5E928059" w14:textId="77777777" w:rsidTr="00122531">
        <w:trPr>
          <w:cantSplit/>
        </w:trPr>
        <w:tc>
          <w:tcPr>
            <w:tcW w:w="784" w:type="pct"/>
            <w:shd w:val="clear" w:color="auto" w:fill="auto"/>
            <w:vAlign w:val="center"/>
          </w:tcPr>
          <w:p w14:paraId="541AAF12" w14:textId="77777777" w:rsidR="00165E08" w:rsidRPr="00576FA3" w:rsidRDefault="00165E08" w:rsidP="00A50CB3">
            <w:pPr>
              <w:pStyle w:val="TableText0"/>
              <w:widowControl w:val="0"/>
            </w:pPr>
            <w:r w:rsidRPr="00576FA3">
              <w:t>CheckMate 057</w:t>
            </w:r>
          </w:p>
        </w:tc>
        <w:tc>
          <w:tcPr>
            <w:tcW w:w="415" w:type="pct"/>
            <w:shd w:val="clear" w:color="auto" w:fill="auto"/>
            <w:vAlign w:val="center"/>
          </w:tcPr>
          <w:p w14:paraId="1EBB33C3" w14:textId="77777777" w:rsidR="00165E08" w:rsidRPr="00576FA3" w:rsidRDefault="00165E08" w:rsidP="00A50CB3">
            <w:pPr>
              <w:pStyle w:val="TableText0"/>
              <w:widowControl w:val="0"/>
              <w:jc w:val="center"/>
            </w:pPr>
            <w:r w:rsidRPr="00576FA3">
              <w:t>290</w:t>
            </w:r>
          </w:p>
        </w:tc>
        <w:tc>
          <w:tcPr>
            <w:tcW w:w="791" w:type="pct"/>
            <w:shd w:val="clear" w:color="auto" w:fill="auto"/>
            <w:vAlign w:val="center"/>
          </w:tcPr>
          <w:p w14:paraId="0EBD7ABD" w14:textId="77777777" w:rsidR="00165E08" w:rsidRPr="00576FA3" w:rsidRDefault="00165E08" w:rsidP="00A50CB3">
            <w:pPr>
              <w:pStyle w:val="TableText0"/>
              <w:widowControl w:val="0"/>
              <w:jc w:val="center"/>
              <w:rPr>
                <w:vertAlign w:val="superscript"/>
              </w:rPr>
            </w:pPr>
            <w:r w:rsidRPr="00576FA3">
              <w:t>Single arm, OL</w:t>
            </w:r>
            <w:r w:rsidRPr="00576FA3">
              <w:rPr>
                <w:vertAlign w:val="superscript"/>
              </w:rPr>
              <w:t xml:space="preserve"> b</w:t>
            </w:r>
          </w:p>
        </w:tc>
        <w:tc>
          <w:tcPr>
            <w:tcW w:w="627" w:type="pct"/>
            <w:shd w:val="clear" w:color="auto" w:fill="auto"/>
            <w:vAlign w:val="center"/>
          </w:tcPr>
          <w:p w14:paraId="161A4F4C" w14:textId="77777777" w:rsidR="00165E08" w:rsidRPr="00576FA3" w:rsidRDefault="00165E08" w:rsidP="00A50CB3">
            <w:pPr>
              <w:pStyle w:val="TableText0"/>
              <w:widowControl w:val="0"/>
              <w:jc w:val="center"/>
              <w:rPr>
                <w:vertAlign w:val="superscript"/>
              </w:rPr>
            </w:pPr>
            <w:proofErr w:type="spellStart"/>
            <w:r w:rsidRPr="00576FA3">
              <w:t>High</w:t>
            </w:r>
            <w:r w:rsidRPr="00576FA3">
              <w:rPr>
                <w:vertAlign w:val="superscript"/>
              </w:rPr>
              <w:t>b</w:t>
            </w:r>
            <w:proofErr w:type="spellEnd"/>
          </w:p>
        </w:tc>
        <w:tc>
          <w:tcPr>
            <w:tcW w:w="865" w:type="pct"/>
            <w:shd w:val="clear" w:color="auto" w:fill="auto"/>
            <w:vAlign w:val="center"/>
          </w:tcPr>
          <w:p w14:paraId="0A60D7A7" w14:textId="77777777" w:rsidR="00165E08" w:rsidRPr="00576FA3" w:rsidRDefault="00165E08" w:rsidP="00A50CB3">
            <w:pPr>
              <w:pStyle w:val="TableText0"/>
              <w:widowControl w:val="0"/>
              <w:jc w:val="center"/>
            </w:pPr>
            <w:r w:rsidRPr="00576FA3">
              <w:t xml:space="preserve">Unselected for </w:t>
            </w:r>
            <w:r w:rsidRPr="00576FA3">
              <w:rPr>
                <w:i/>
                <w:iCs/>
              </w:rPr>
              <w:t>NTRK</w:t>
            </w:r>
            <w:r w:rsidRPr="00576FA3">
              <w:t xml:space="preserve"> fusion status.</w:t>
            </w:r>
          </w:p>
          <w:p w14:paraId="403DC842" w14:textId="77777777" w:rsidR="00165E08" w:rsidRPr="00576FA3" w:rsidRDefault="00165E08" w:rsidP="00A50CB3">
            <w:pPr>
              <w:pStyle w:val="TableText0"/>
              <w:widowControl w:val="0"/>
              <w:jc w:val="center"/>
            </w:pPr>
          </w:p>
          <w:p w14:paraId="1D38545C" w14:textId="77777777" w:rsidR="00165E08" w:rsidRPr="00576FA3" w:rsidRDefault="00165E08" w:rsidP="00A50CB3">
            <w:pPr>
              <w:pStyle w:val="TableText0"/>
              <w:widowControl w:val="0"/>
              <w:jc w:val="center"/>
            </w:pPr>
            <w:r w:rsidRPr="00576FA3">
              <w:t>Refractory</w:t>
            </w:r>
          </w:p>
          <w:p w14:paraId="150912BC" w14:textId="77777777" w:rsidR="00165E08" w:rsidRPr="00576FA3" w:rsidRDefault="00165E08" w:rsidP="00A50CB3">
            <w:pPr>
              <w:pStyle w:val="TableText0"/>
              <w:widowControl w:val="0"/>
              <w:jc w:val="center"/>
            </w:pPr>
            <w:r w:rsidRPr="00576FA3">
              <w:t>Failed chemo</w:t>
            </w:r>
          </w:p>
        </w:tc>
        <w:tc>
          <w:tcPr>
            <w:tcW w:w="636" w:type="pct"/>
            <w:shd w:val="clear" w:color="auto" w:fill="auto"/>
            <w:vAlign w:val="center"/>
          </w:tcPr>
          <w:p w14:paraId="18206A73" w14:textId="77777777" w:rsidR="00165E08" w:rsidRPr="00576FA3" w:rsidRDefault="00165E08" w:rsidP="00A50CB3">
            <w:pPr>
              <w:pStyle w:val="TableText0"/>
              <w:widowControl w:val="0"/>
              <w:jc w:val="center"/>
            </w:pPr>
            <w:r w:rsidRPr="00576FA3">
              <w:t>OS, PFS, ORR, DOR</w:t>
            </w:r>
          </w:p>
        </w:tc>
        <w:tc>
          <w:tcPr>
            <w:tcW w:w="882" w:type="pct"/>
            <w:shd w:val="clear" w:color="auto" w:fill="auto"/>
            <w:vAlign w:val="center"/>
          </w:tcPr>
          <w:p w14:paraId="2EA08170" w14:textId="102049E3" w:rsidR="00165E08" w:rsidRPr="00576FA3" w:rsidRDefault="000C54D4" w:rsidP="00A50CB3">
            <w:pPr>
              <w:pStyle w:val="TableText0"/>
              <w:widowControl w:val="0"/>
              <w:jc w:val="center"/>
            </w:pPr>
            <w:r w:rsidRPr="00576FA3">
              <w:t>PFS and OS used</w:t>
            </w:r>
          </w:p>
        </w:tc>
      </w:tr>
      <w:tr w:rsidR="00165E08" w:rsidRPr="000C77A2" w14:paraId="44C0E5AB" w14:textId="77777777" w:rsidTr="00122531">
        <w:trPr>
          <w:cantSplit/>
        </w:trPr>
        <w:tc>
          <w:tcPr>
            <w:tcW w:w="5000" w:type="pct"/>
            <w:gridSpan w:val="7"/>
            <w:shd w:val="clear" w:color="auto" w:fill="auto"/>
            <w:vAlign w:val="center"/>
          </w:tcPr>
          <w:p w14:paraId="3552CE4B" w14:textId="4512C8A1" w:rsidR="00165E08" w:rsidRPr="00576FA3" w:rsidRDefault="00165E08" w:rsidP="00A50CB3">
            <w:pPr>
              <w:pStyle w:val="TableText0"/>
              <w:widowControl w:val="0"/>
            </w:pPr>
            <w:r w:rsidRPr="00576FA3">
              <w:rPr>
                <w:b/>
                <w:bCs w:val="0"/>
              </w:rPr>
              <w:t xml:space="preserve">Comparator </w:t>
            </w:r>
            <w:r w:rsidR="00292657" w:rsidRPr="00576FA3">
              <w:rPr>
                <w:b/>
                <w:bCs w:val="0"/>
              </w:rPr>
              <w:t>–</w:t>
            </w:r>
            <w:r w:rsidRPr="00576FA3">
              <w:rPr>
                <w:b/>
                <w:bCs w:val="0"/>
              </w:rPr>
              <w:t xml:space="preserve"> Pazopanib in STS (Median follow-up for OS 14.9 months)</w:t>
            </w:r>
          </w:p>
        </w:tc>
      </w:tr>
      <w:tr w:rsidR="00165E08" w:rsidRPr="000C77A2" w14:paraId="3771AB6A" w14:textId="77777777" w:rsidTr="00122531">
        <w:trPr>
          <w:cantSplit/>
        </w:trPr>
        <w:tc>
          <w:tcPr>
            <w:tcW w:w="784" w:type="pct"/>
            <w:shd w:val="clear" w:color="auto" w:fill="auto"/>
            <w:vAlign w:val="center"/>
          </w:tcPr>
          <w:p w14:paraId="3737A378" w14:textId="77777777" w:rsidR="00165E08" w:rsidRPr="00576FA3" w:rsidRDefault="00165E08" w:rsidP="00A50CB3">
            <w:pPr>
              <w:pStyle w:val="TableText0"/>
              <w:widowControl w:val="0"/>
            </w:pPr>
            <w:r w:rsidRPr="00576FA3">
              <w:t>PALETTE</w:t>
            </w:r>
          </w:p>
        </w:tc>
        <w:tc>
          <w:tcPr>
            <w:tcW w:w="415" w:type="pct"/>
            <w:shd w:val="clear" w:color="auto" w:fill="auto"/>
            <w:vAlign w:val="center"/>
          </w:tcPr>
          <w:p w14:paraId="6C86FDF8" w14:textId="77777777" w:rsidR="00165E08" w:rsidRPr="00576FA3" w:rsidRDefault="00165E08" w:rsidP="00A50CB3">
            <w:pPr>
              <w:pStyle w:val="TableText0"/>
              <w:widowControl w:val="0"/>
              <w:jc w:val="center"/>
            </w:pPr>
            <w:r w:rsidRPr="00576FA3">
              <w:t>246</w:t>
            </w:r>
          </w:p>
        </w:tc>
        <w:tc>
          <w:tcPr>
            <w:tcW w:w="791" w:type="pct"/>
            <w:shd w:val="clear" w:color="auto" w:fill="auto"/>
            <w:vAlign w:val="center"/>
          </w:tcPr>
          <w:p w14:paraId="11CA08F6" w14:textId="77777777" w:rsidR="00165E08" w:rsidRPr="00576FA3" w:rsidRDefault="00165E08" w:rsidP="00A50CB3">
            <w:pPr>
              <w:pStyle w:val="TableText0"/>
              <w:widowControl w:val="0"/>
              <w:jc w:val="center"/>
              <w:rPr>
                <w:vertAlign w:val="superscript"/>
              </w:rPr>
            </w:pPr>
            <w:r w:rsidRPr="00576FA3">
              <w:t>Single arm, OL</w:t>
            </w:r>
            <w:r w:rsidRPr="00576FA3">
              <w:rPr>
                <w:vertAlign w:val="superscript"/>
              </w:rPr>
              <w:t xml:space="preserve"> b</w:t>
            </w:r>
          </w:p>
        </w:tc>
        <w:tc>
          <w:tcPr>
            <w:tcW w:w="627" w:type="pct"/>
            <w:shd w:val="clear" w:color="auto" w:fill="auto"/>
            <w:vAlign w:val="center"/>
          </w:tcPr>
          <w:p w14:paraId="0EC66E35" w14:textId="77777777" w:rsidR="00165E08" w:rsidRPr="00576FA3" w:rsidRDefault="00165E08" w:rsidP="00A50CB3">
            <w:pPr>
              <w:pStyle w:val="TableText0"/>
              <w:widowControl w:val="0"/>
              <w:jc w:val="center"/>
              <w:rPr>
                <w:vertAlign w:val="superscript"/>
              </w:rPr>
            </w:pPr>
            <w:proofErr w:type="spellStart"/>
            <w:r w:rsidRPr="00576FA3">
              <w:t>High</w:t>
            </w:r>
            <w:r w:rsidRPr="00576FA3">
              <w:rPr>
                <w:vertAlign w:val="superscript"/>
              </w:rPr>
              <w:t>b</w:t>
            </w:r>
            <w:proofErr w:type="spellEnd"/>
          </w:p>
        </w:tc>
        <w:tc>
          <w:tcPr>
            <w:tcW w:w="865" w:type="pct"/>
            <w:shd w:val="clear" w:color="auto" w:fill="auto"/>
            <w:vAlign w:val="center"/>
          </w:tcPr>
          <w:p w14:paraId="6D7E9A81" w14:textId="77777777" w:rsidR="00165E08" w:rsidRPr="00576FA3" w:rsidRDefault="00165E08" w:rsidP="00A50CB3">
            <w:pPr>
              <w:pStyle w:val="TableText0"/>
              <w:widowControl w:val="0"/>
              <w:jc w:val="center"/>
            </w:pPr>
            <w:r w:rsidRPr="00576FA3">
              <w:t xml:space="preserve">Unselected for </w:t>
            </w:r>
            <w:r w:rsidRPr="00576FA3">
              <w:rPr>
                <w:i/>
                <w:iCs/>
              </w:rPr>
              <w:t>NTRK</w:t>
            </w:r>
            <w:r w:rsidRPr="00576FA3">
              <w:t xml:space="preserve"> fusion status. </w:t>
            </w:r>
          </w:p>
          <w:p w14:paraId="2CFA29FF" w14:textId="77777777" w:rsidR="00165E08" w:rsidRPr="00576FA3" w:rsidRDefault="00165E08" w:rsidP="00A50CB3">
            <w:pPr>
              <w:pStyle w:val="TableText0"/>
              <w:widowControl w:val="0"/>
              <w:jc w:val="center"/>
            </w:pPr>
          </w:p>
          <w:p w14:paraId="1429DB1B" w14:textId="77777777" w:rsidR="00165E08" w:rsidRPr="00576FA3" w:rsidRDefault="00165E08" w:rsidP="00A50CB3">
            <w:pPr>
              <w:pStyle w:val="TableText0"/>
              <w:widowControl w:val="0"/>
              <w:jc w:val="center"/>
            </w:pPr>
            <w:r w:rsidRPr="00576FA3">
              <w:t>Refractory</w:t>
            </w:r>
          </w:p>
          <w:p w14:paraId="24C74884" w14:textId="77777777" w:rsidR="00165E08" w:rsidRPr="00576FA3" w:rsidRDefault="00165E08" w:rsidP="00A50CB3">
            <w:pPr>
              <w:pStyle w:val="TableText0"/>
              <w:widowControl w:val="0"/>
              <w:jc w:val="center"/>
            </w:pPr>
            <w:r w:rsidRPr="00576FA3">
              <w:t>Failed chemo</w:t>
            </w:r>
          </w:p>
        </w:tc>
        <w:tc>
          <w:tcPr>
            <w:tcW w:w="636" w:type="pct"/>
            <w:shd w:val="clear" w:color="auto" w:fill="auto"/>
            <w:vAlign w:val="center"/>
          </w:tcPr>
          <w:p w14:paraId="0C35C227" w14:textId="77777777" w:rsidR="00165E08" w:rsidRPr="00576FA3" w:rsidRDefault="00165E08" w:rsidP="00A50CB3">
            <w:pPr>
              <w:pStyle w:val="TableText0"/>
              <w:widowControl w:val="0"/>
              <w:jc w:val="center"/>
            </w:pPr>
            <w:r w:rsidRPr="00576FA3">
              <w:t>OS, PFS, ORR, DOR</w:t>
            </w:r>
          </w:p>
        </w:tc>
        <w:tc>
          <w:tcPr>
            <w:tcW w:w="882" w:type="pct"/>
            <w:shd w:val="clear" w:color="auto" w:fill="auto"/>
            <w:vAlign w:val="center"/>
          </w:tcPr>
          <w:p w14:paraId="05660F9D" w14:textId="22A143F5" w:rsidR="00165E08" w:rsidRPr="00576FA3" w:rsidRDefault="000C54D4" w:rsidP="00A50CB3">
            <w:pPr>
              <w:pStyle w:val="TableText0"/>
              <w:widowControl w:val="0"/>
              <w:jc w:val="center"/>
            </w:pPr>
            <w:r w:rsidRPr="00576FA3">
              <w:t>U</w:t>
            </w:r>
            <w:r w:rsidR="00165E08" w:rsidRPr="00576FA3">
              <w:t>sed</w:t>
            </w:r>
          </w:p>
        </w:tc>
      </w:tr>
    </w:tbl>
    <w:p w14:paraId="1EC9CFE3" w14:textId="77777777" w:rsidR="00165E08" w:rsidRPr="000C77A2" w:rsidRDefault="00165E08" w:rsidP="00165E08">
      <w:pPr>
        <w:pStyle w:val="FooterTableFigure"/>
      </w:pPr>
      <w:r w:rsidRPr="000C77A2">
        <w:t>Source: Sections 2.2 to 2.6 of the resubmission.</w:t>
      </w:r>
    </w:p>
    <w:p w14:paraId="3F38EACB" w14:textId="2B529ADC" w:rsidR="00165E08" w:rsidRPr="000C77A2" w:rsidRDefault="00165E08" w:rsidP="00165E08">
      <w:pPr>
        <w:pStyle w:val="FooterTableFigure"/>
      </w:pPr>
      <w:r w:rsidRPr="000C77A2">
        <w:t xml:space="preserve">DOR = duration of response; </w:t>
      </w:r>
      <w:proofErr w:type="spellStart"/>
      <w:r w:rsidRPr="000C77A2">
        <w:t>ePAS</w:t>
      </w:r>
      <w:proofErr w:type="spellEnd"/>
      <w:r w:rsidRPr="000C77A2">
        <w:t xml:space="preserve"> = extended primary analysis set; </w:t>
      </w:r>
      <w:r w:rsidRPr="000C77A2">
        <w:rPr>
          <w:i/>
          <w:iCs/>
        </w:rPr>
        <w:t>NTRK</w:t>
      </w:r>
      <w:r w:rsidRPr="000C77A2">
        <w:t xml:space="preserve"> = neurotrophic tyrosine receptor kinase; NSCLC = non-small cell lung cancer; SCLC = small cell lung cancer; STS = soft tissue sarcoma; OL = open label; ORR = objective response rate; OS = overall survival; PFS = progression-free survival</w:t>
      </w:r>
      <w:r w:rsidR="000F193D" w:rsidRPr="000C77A2">
        <w:t>.</w:t>
      </w:r>
    </w:p>
    <w:p w14:paraId="5F2365EB" w14:textId="77777777" w:rsidR="00165E08" w:rsidRPr="000C77A2" w:rsidRDefault="00165E08" w:rsidP="00165E08">
      <w:pPr>
        <w:pStyle w:val="FooterTableFigure"/>
      </w:pPr>
      <w:proofErr w:type="spellStart"/>
      <w:r w:rsidRPr="000C77A2">
        <w:rPr>
          <w:vertAlign w:val="superscript"/>
        </w:rPr>
        <w:t>a</w:t>
      </w:r>
      <w:r w:rsidRPr="000C77A2">
        <w:t>Pooled</w:t>
      </w:r>
      <w:proofErr w:type="spellEnd"/>
      <w:r w:rsidRPr="000C77A2">
        <w:t xml:space="preserve"> analysis from three larotrectinib studies (Studies 20288, 20289 [NAVIGATE], and 20290 [SCOUT])</w:t>
      </w:r>
    </w:p>
    <w:p w14:paraId="213B1D51" w14:textId="6934FB4B" w:rsidR="00165E08" w:rsidRPr="000C77A2" w:rsidRDefault="00165E08" w:rsidP="000509AE">
      <w:pPr>
        <w:pStyle w:val="FooterTableFigure"/>
        <w:spacing w:after="0"/>
      </w:pPr>
      <w:proofErr w:type="spellStart"/>
      <w:r w:rsidRPr="000C77A2">
        <w:rPr>
          <w:vertAlign w:val="superscript"/>
        </w:rPr>
        <w:t>b</w:t>
      </w:r>
      <w:r w:rsidRPr="000C77A2">
        <w:t>Check</w:t>
      </w:r>
      <w:r w:rsidR="00F66A5D" w:rsidRPr="000C77A2">
        <w:t>M</w:t>
      </w:r>
      <w:r w:rsidRPr="000C77A2">
        <w:t>ate</w:t>
      </w:r>
      <w:proofErr w:type="spellEnd"/>
      <w:r w:rsidRPr="000C77A2">
        <w:t xml:space="preserve"> 057 and PALETTE were randomised controlled trials but only the single docetaxel and pazopanib arms, respectively, were used in the indirect comparisons with larotrectinib. Hence the risk of bias was considered high for the indirect comparisons.</w:t>
      </w:r>
    </w:p>
    <w:p w14:paraId="2D52CAA7" w14:textId="785CC4E3" w:rsidR="000509AE" w:rsidRPr="000C77A2" w:rsidRDefault="00165E08" w:rsidP="00560AEC">
      <w:pPr>
        <w:pStyle w:val="TableFooter"/>
        <w:spacing w:after="120"/>
      </w:pPr>
      <w:proofErr w:type="spellStart"/>
      <w:r w:rsidRPr="000C77A2">
        <w:rPr>
          <w:szCs w:val="18"/>
          <w:vertAlign w:val="superscript"/>
        </w:rPr>
        <w:t>c</w:t>
      </w:r>
      <w:r w:rsidRPr="000C77A2">
        <w:rPr>
          <w:szCs w:val="18"/>
        </w:rPr>
        <w:t>Of</w:t>
      </w:r>
      <w:proofErr w:type="spellEnd"/>
      <w:r w:rsidRPr="000C77A2">
        <w:rPr>
          <w:szCs w:val="18"/>
        </w:rPr>
        <w:t xml:space="preserve"> the 27 patients, one patient had atypical carcinoid tumour of the lung and one patient had SCLC</w:t>
      </w:r>
      <w:r w:rsidR="000509AE" w:rsidRPr="000C77A2">
        <w:rPr>
          <w:szCs w:val="18"/>
        </w:rPr>
        <w:t>.</w:t>
      </w:r>
    </w:p>
    <w:p w14:paraId="79D668E3" w14:textId="21C198F1" w:rsidR="00DB5004" w:rsidRPr="000C77A2" w:rsidRDefault="00DB5004" w:rsidP="00DB5004">
      <w:pPr>
        <w:pStyle w:val="3-BodyText"/>
      </w:pPr>
      <w:bookmarkStart w:id="23" w:name="_Ref163120998"/>
      <w:r w:rsidRPr="000C77A2">
        <w:t xml:space="preserve">The risk of bias </w:t>
      </w:r>
      <w:r w:rsidR="0014618A" w:rsidRPr="000C77A2">
        <w:t xml:space="preserve">associated with the evidence </w:t>
      </w:r>
      <w:r w:rsidRPr="000C77A2">
        <w:t xml:space="preserve">was considered high </w:t>
      </w:r>
      <w:r w:rsidR="0014618A" w:rsidRPr="000C77A2">
        <w:t>given the open-label, single arm, and non-matched nature of the indirect comparisons and the limited reliability of the larotrectinib data which were based on a small number of patients.</w:t>
      </w:r>
      <w:bookmarkEnd w:id="23"/>
    </w:p>
    <w:p w14:paraId="38B2F5CF" w14:textId="0BEB3183" w:rsidR="00851EC0" w:rsidRPr="000C77A2" w:rsidRDefault="00851EC0" w:rsidP="00851EC0">
      <w:pPr>
        <w:pStyle w:val="3-BodyText"/>
      </w:pPr>
      <w:bookmarkStart w:id="24" w:name="_Ref163120981"/>
      <w:r w:rsidRPr="000C77A2">
        <w:t>The ESC considered there were notable differences in baseline demographics between the larotrectinib and comparator studies (</w:t>
      </w:r>
      <w:r w:rsidR="006C77BE" w:rsidRPr="000C77A2">
        <w:fldChar w:fldCharType="begin" w:fldLock="1"/>
      </w:r>
      <w:r w:rsidR="006C77BE" w:rsidRPr="000C77A2">
        <w:instrText xml:space="preserve"> REF _Ref158984523 \h  \* MERGEFORMAT </w:instrText>
      </w:r>
      <w:r w:rsidR="006C77BE" w:rsidRPr="000C77A2">
        <w:fldChar w:fldCharType="separate"/>
      </w:r>
      <w:r w:rsidR="001B0FE7" w:rsidRPr="000C77A2">
        <w:t xml:space="preserve">Table </w:t>
      </w:r>
      <w:r w:rsidR="001B0FE7">
        <w:t>6</w:t>
      </w:r>
      <w:r w:rsidR="006C77BE" w:rsidRPr="000C77A2">
        <w:fldChar w:fldCharType="end"/>
      </w:r>
      <w:r w:rsidRPr="000C77A2">
        <w:t xml:space="preserve">) that made a comparison of outcomes problematic. In particular, the ESC noted the </w:t>
      </w:r>
      <w:r w:rsidRPr="000C77A2">
        <w:rPr>
          <w:i/>
          <w:iCs/>
        </w:rPr>
        <w:t>NTRK</w:t>
      </w:r>
      <w:r w:rsidRPr="000C77A2">
        <w:t xml:space="preserve"> status in the comparator studies was unknown and there were differences in prior lines of cancer therapies across the studies</w:t>
      </w:r>
      <w:bookmarkEnd w:id="24"/>
      <w:r w:rsidR="000C77A2">
        <w:t xml:space="preserve">. </w:t>
      </w:r>
    </w:p>
    <w:p w14:paraId="229A5738" w14:textId="3B01B6A7" w:rsidR="00851EC0" w:rsidRPr="000C77A2" w:rsidRDefault="00851EC0" w:rsidP="00851EC0">
      <w:pPr>
        <w:pStyle w:val="Caption"/>
      </w:pPr>
      <w:bookmarkStart w:id="25" w:name="_Ref158984523"/>
      <w:r w:rsidRPr="000C77A2">
        <w:lastRenderedPageBreak/>
        <w:t xml:space="preserve">Table </w:t>
      </w:r>
      <w:fldSimple w:instr=" SEQ Table \* ARABIC " w:fldLock="1">
        <w:r w:rsidR="001B0FE7">
          <w:rPr>
            <w:noProof/>
          </w:rPr>
          <w:t>6</w:t>
        </w:r>
      </w:fldSimple>
      <w:bookmarkEnd w:id="25"/>
      <w:r w:rsidRPr="00576FA3">
        <w:t xml:space="preserve">: </w:t>
      </w:r>
      <w:r w:rsidRPr="000C77A2">
        <w:t>Baseline characteristics of patients from ePAS7 across the larotrectinib and docetaxel datasets.</w:t>
      </w:r>
    </w:p>
    <w:tbl>
      <w:tblPr>
        <w:tblStyle w:val="HTATableshaded"/>
        <w:tblW w:w="9017" w:type="dxa"/>
        <w:tblLook w:val="04A0" w:firstRow="1" w:lastRow="0" w:firstColumn="1" w:lastColumn="0" w:noHBand="0" w:noVBand="1"/>
        <w:tblCaption w:val="Table 6: Baseline characteristics of patients from ePAS7 across the larotrectinib and docetaxel datasets."/>
      </w:tblPr>
      <w:tblGrid>
        <w:gridCol w:w="1555"/>
        <w:gridCol w:w="1984"/>
        <w:gridCol w:w="1884"/>
        <w:gridCol w:w="1644"/>
        <w:gridCol w:w="1950"/>
      </w:tblGrid>
      <w:tr w:rsidR="00851EC0" w:rsidRPr="000C77A2" w14:paraId="3D63B4A7" w14:textId="77777777" w:rsidTr="00227D3C">
        <w:trPr>
          <w:cnfStyle w:val="100000000000" w:firstRow="1" w:lastRow="0" w:firstColumn="0" w:lastColumn="0" w:oddVBand="0" w:evenVBand="0" w:oddHBand="0" w:evenHBand="0" w:firstRowFirstColumn="0" w:firstRowLastColumn="0" w:lastRowFirstColumn="0" w:lastRowLastColumn="0"/>
          <w:cantSplit/>
          <w:trHeight w:val="320"/>
          <w:tblHeader/>
        </w:trPr>
        <w:tc>
          <w:tcPr>
            <w:tcW w:w="1555" w:type="dxa"/>
            <w:vMerge w:val="restart"/>
            <w:shd w:val="clear" w:color="auto" w:fill="auto"/>
          </w:tcPr>
          <w:p w14:paraId="1610B6DE" w14:textId="77777777" w:rsidR="00851EC0" w:rsidRPr="000C77A2" w:rsidRDefault="00851EC0" w:rsidP="00AA08E6">
            <w:pPr>
              <w:pStyle w:val="Tabletext"/>
              <w:keepNext/>
              <w:widowControl w:val="0"/>
              <w:spacing w:before="0" w:after="0"/>
              <w:rPr>
                <w:b/>
                <w:bCs/>
              </w:rPr>
            </w:pPr>
            <w:r w:rsidRPr="000C77A2">
              <w:rPr>
                <w:b/>
                <w:bCs/>
              </w:rPr>
              <w:t>Characteristic</w:t>
            </w:r>
          </w:p>
        </w:tc>
        <w:tc>
          <w:tcPr>
            <w:tcW w:w="3868" w:type="dxa"/>
            <w:gridSpan w:val="2"/>
            <w:shd w:val="clear" w:color="auto" w:fill="auto"/>
          </w:tcPr>
          <w:p w14:paraId="1A442CFB" w14:textId="77777777" w:rsidR="00851EC0" w:rsidRPr="000C77A2" w:rsidRDefault="00851EC0" w:rsidP="00AA08E6">
            <w:pPr>
              <w:pStyle w:val="Tabletext"/>
              <w:keepNext/>
              <w:widowControl w:val="0"/>
              <w:spacing w:before="0" w:after="0"/>
              <w:rPr>
                <w:b/>
                <w:bCs/>
                <w:color w:val="000000"/>
              </w:rPr>
            </w:pPr>
            <w:r w:rsidRPr="000C77A2">
              <w:rPr>
                <w:b/>
                <w:bCs/>
              </w:rPr>
              <w:t>NSCLC</w:t>
            </w:r>
            <w:r w:rsidRPr="000C77A2">
              <w:rPr>
                <w:b/>
                <w:bCs/>
                <w:vertAlign w:val="superscript"/>
              </w:rPr>
              <w:t>a</w:t>
            </w:r>
          </w:p>
        </w:tc>
        <w:tc>
          <w:tcPr>
            <w:tcW w:w="3594" w:type="dxa"/>
            <w:gridSpan w:val="2"/>
          </w:tcPr>
          <w:p w14:paraId="447E53DA" w14:textId="77777777" w:rsidR="00851EC0" w:rsidRPr="000C77A2" w:rsidRDefault="00851EC0" w:rsidP="00AA08E6">
            <w:pPr>
              <w:pStyle w:val="Tabletext"/>
              <w:keepNext/>
              <w:widowControl w:val="0"/>
              <w:spacing w:before="0" w:after="0"/>
              <w:rPr>
                <w:b/>
                <w:bCs/>
                <w:color w:val="000000"/>
              </w:rPr>
            </w:pPr>
            <w:r w:rsidRPr="000C77A2">
              <w:rPr>
                <w:b/>
                <w:bCs/>
                <w:color w:val="000000"/>
              </w:rPr>
              <w:t>STS</w:t>
            </w:r>
          </w:p>
        </w:tc>
      </w:tr>
      <w:tr w:rsidR="00851EC0" w:rsidRPr="000C77A2" w14:paraId="677E057D" w14:textId="77777777" w:rsidTr="00227D3C">
        <w:trPr>
          <w:cnfStyle w:val="100000000000" w:firstRow="1" w:lastRow="0" w:firstColumn="0" w:lastColumn="0" w:oddVBand="0" w:evenVBand="0" w:oddHBand="0" w:evenHBand="0" w:firstRowFirstColumn="0" w:firstRowLastColumn="0" w:lastRowFirstColumn="0" w:lastRowLastColumn="0"/>
          <w:cantSplit/>
          <w:trHeight w:val="543"/>
          <w:tblHeader/>
        </w:trPr>
        <w:tc>
          <w:tcPr>
            <w:tcW w:w="1555" w:type="dxa"/>
            <w:vMerge/>
            <w:shd w:val="clear" w:color="auto" w:fill="auto"/>
          </w:tcPr>
          <w:p w14:paraId="35163812" w14:textId="77777777" w:rsidR="00851EC0" w:rsidRPr="000C77A2" w:rsidRDefault="00851EC0" w:rsidP="00AA08E6">
            <w:pPr>
              <w:pStyle w:val="Tabletext"/>
              <w:keepNext/>
              <w:widowControl w:val="0"/>
              <w:spacing w:before="0" w:after="0"/>
              <w:rPr>
                <w:b/>
                <w:bCs/>
              </w:rPr>
            </w:pPr>
          </w:p>
        </w:tc>
        <w:tc>
          <w:tcPr>
            <w:tcW w:w="1984" w:type="dxa"/>
            <w:shd w:val="clear" w:color="auto" w:fill="auto"/>
          </w:tcPr>
          <w:p w14:paraId="3071D65E" w14:textId="77777777" w:rsidR="00851EC0" w:rsidRPr="000C77A2" w:rsidRDefault="00851EC0" w:rsidP="00AA08E6">
            <w:pPr>
              <w:pStyle w:val="Tabletext"/>
              <w:keepNext/>
              <w:widowControl w:val="0"/>
              <w:spacing w:before="0" w:after="0"/>
              <w:rPr>
                <w:b/>
                <w:bCs/>
                <w:color w:val="000000"/>
              </w:rPr>
            </w:pPr>
            <w:r w:rsidRPr="000C77A2">
              <w:rPr>
                <w:b/>
                <w:bCs/>
                <w:color w:val="000000"/>
              </w:rPr>
              <w:t>Study 20288 (LOXO001), and Study 20289 (NAVIGATE)</w:t>
            </w:r>
          </w:p>
          <w:p w14:paraId="1A39A719" w14:textId="77777777" w:rsidR="00851EC0" w:rsidRPr="000C77A2" w:rsidRDefault="00851EC0" w:rsidP="00AA08E6">
            <w:pPr>
              <w:pStyle w:val="Tabletext"/>
              <w:keepNext/>
              <w:widowControl w:val="0"/>
              <w:spacing w:before="0" w:after="0"/>
              <w:rPr>
                <w:b/>
                <w:bCs/>
              </w:rPr>
            </w:pPr>
            <w:r w:rsidRPr="000C77A2">
              <w:rPr>
                <w:b/>
                <w:bCs/>
              </w:rPr>
              <w:t>Larotrectinib</w:t>
            </w:r>
          </w:p>
          <w:p w14:paraId="30CC207B" w14:textId="77777777" w:rsidR="00851EC0" w:rsidRPr="000C77A2" w:rsidRDefault="00851EC0" w:rsidP="00AA08E6">
            <w:pPr>
              <w:pStyle w:val="Tabletext"/>
              <w:keepNext/>
              <w:widowControl w:val="0"/>
              <w:spacing w:before="0" w:after="0"/>
              <w:rPr>
                <w:b/>
                <w:bCs/>
                <w:vertAlign w:val="superscript"/>
              </w:rPr>
            </w:pPr>
            <w:r w:rsidRPr="000C77A2">
              <w:rPr>
                <w:b/>
                <w:bCs/>
              </w:rPr>
              <w:t>(N=27)</w:t>
            </w:r>
            <w:r w:rsidRPr="000C77A2">
              <w:rPr>
                <w:b/>
                <w:bCs/>
                <w:vertAlign w:val="superscript"/>
              </w:rPr>
              <w:t>a</w:t>
            </w:r>
          </w:p>
        </w:tc>
        <w:tc>
          <w:tcPr>
            <w:tcW w:w="1884" w:type="dxa"/>
            <w:shd w:val="clear" w:color="auto" w:fill="auto"/>
          </w:tcPr>
          <w:p w14:paraId="2206E394" w14:textId="77777777" w:rsidR="00851EC0" w:rsidRPr="000C77A2" w:rsidRDefault="00851EC0" w:rsidP="00AA08E6">
            <w:pPr>
              <w:pStyle w:val="Tabletext"/>
              <w:keepNext/>
              <w:widowControl w:val="0"/>
              <w:spacing w:before="0" w:after="0"/>
              <w:rPr>
                <w:b/>
                <w:bCs/>
                <w:color w:val="000000"/>
              </w:rPr>
            </w:pPr>
            <w:r w:rsidRPr="000C77A2">
              <w:rPr>
                <w:b/>
                <w:bCs/>
                <w:color w:val="000000"/>
              </w:rPr>
              <w:t>CheckMate 057</w:t>
            </w:r>
          </w:p>
          <w:p w14:paraId="7D5576E2" w14:textId="77777777" w:rsidR="00851EC0" w:rsidRPr="000C77A2" w:rsidRDefault="00851EC0" w:rsidP="00AA08E6">
            <w:pPr>
              <w:pStyle w:val="Tabletext"/>
              <w:keepNext/>
              <w:widowControl w:val="0"/>
              <w:spacing w:before="0" w:after="0"/>
              <w:rPr>
                <w:b/>
                <w:bCs/>
              </w:rPr>
            </w:pPr>
            <w:r w:rsidRPr="000C77A2">
              <w:rPr>
                <w:b/>
                <w:bCs/>
              </w:rPr>
              <w:t>Docetaxel</w:t>
            </w:r>
          </w:p>
          <w:p w14:paraId="52BEBF4D" w14:textId="77777777" w:rsidR="00851EC0" w:rsidRPr="000C77A2" w:rsidRDefault="00851EC0" w:rsidP="00AA08E6">
            <w:pPr>
              <w:pStyle w:val="Tabletext"/>
              <w:keepNext/>
              <w:widowControl w:val="0"/>
              <w:spacing w:before="0" w:after="0"/>
              <w:rPr>
                <w:b/>
                <w:bCs/>
              </w:rPr>
            </w:pPr>
            <w:r w:rsidRPr="000C77A2">
              <w:rPr>
                <w:b/>
                <w:bCs/>
              </w:rPr>
              <w:t>(N=290)</w:t>
            </w:r>
          </w:p>
        </w:tc>
        <w:tc>
          <w:tcPr>
            <w:tcW w:w="1644" w:type="dxa"/>
          </w:tcPr>
          <w:p w14:paraId="7ABDC8E8" w14:textId="77777777" w:rsidR="00851EC0" w:rsidRPr="000C77A2" w:rsidRDefault="00851EC0" w:rsidP="00AA08E6">
            <w:pPr>
              <w:pStyle w:val="Tabletext"/>
              <w:keepNext/>
              <w:widowControl w:val="0"/>
              <w:spacing w:before="0" w:after="0"/>
              <w:rPr>
                <w:b/>
                <w:bCs/>
                <w:color w:val="000000"/>
                <w:vertAlign w:val="superscript"/>
              </w:rPr>
            </w:pPr>
            <w:r w:rsidRPr="000C77A2">
              <w:rPr>
                <w:b/>
                <w:bCs/>
                <w:color w:val="000000"/>
              </w:rPr>
              <w:t>Study 20288, Study 20289, and Study 20290 (SCOUT)</w:t>
            </w:r>
            <w:r w:rsidRPr="000C77A2">
              <w:rPr>
                <w:b/>
                <w:bCs/>
                <w:color w:val="000000"/>
                <w:vertAlign w:val="superscript"/>
              </w:rPr>
              <w:t>d</w:t>
            </w:r>
          </w:p>
          <w:p w14:paraId="5DD1679D" w14:textId="77777777" w:rsidR="00851EC0" w:rsidRPr="000C77A2" w:rsidRDefault="00851EC0" w:rsidP="00AA08E6">
            <w:pPr>
              <w:pStyle w:val="Tabletext"/>
              <w:keepNext/>
              <w:widowControl w:val="0"/>
              <w:spacing w:before="0" w:after="0"/>
              <w:rPr>
                <w:b/>
                <w:bCs/>
                <w:color w:val="000000"/>
              </w:rPr>
            </w:pPr>
            <w:r w:rsidRPr="000C77A2">
              <w:rPr>
                <w:b/>
                <w:bCs/>
                <w:color w:val="000000"/>
              </w:rPr>
              <w:t>Larotrectinib</w:t>
            </w:r>
          </w:p>
          <w:p w14:paraId="4580CB46" w14:textId="77777777" w:rsidR="00851EC0" w:rsidRPr="000C77A2" w:rsidRDefault="00851EC0" w:rsidP="00AA08E6">
            <w:pPr>
              <w:pStyle w:val="Tabletext"/>
              <w:keepNext/>
              <w:widowControl w:val="0"/>
              <w:spacing w:before="0" w:after="0"/>
              <w:rPr>
                <w:b/>
                <w:bCs/>
                <w:color w:val="000000"/>
              </w:rPr>
            </w:pPr>
            <w:r w:rsidRPr="000C77A2">
              <w:rPr>
                <w:b/>
                <w:bCs/>
                <w:color w:val="000000"/>
              </w:rPr>
              <w:t>(N=30)</w:t>
            </w:r>
          </w:p>
        </w:tc>
        <w:tc>
          <w:tcPr>
            <w:tcW w:w="1950" w:type="dxa"/>
          </w:tcPr>
          <w:p w14:paraId="79032314" w14:textId="77777777" w:rsidR="00851EC0" w:rsidRPr="000C77A2" w:rsidRDefault="00851EC0" w:rsidP="00AA08E6">
            <w:pPr>
              <w:pStyle w:val="Tabletext"/>
              <w:keepNext/>
              <w:widowControl w:val="0"/>
              <w:spacing w:before="0" w:after="0"/>
              <w:rPr>
                <w:b/>
                <w:bCs/>
                <w:color w:val="000000"/>
              </w:rPr>
            </w:pPr>
            <w:r w:rsidRPr="000C77A2">
              <w:rPr>
                <w:b/>
                <w:bCs/>
                <w:color w:val="000000"/>
              </w:rPr>
              <w:t>PALETTE</w:t>
            </w:r>
          </w:p>
          <w:p w14:paraId="0865B0A1" w14:textId="77777777" w:rsidR="00851EC0" w:rsidRPr="000C77A2" w:rsidRDefault="00851EC0" w:rsidP="00AA08E6">
            <w:pPr>
              <w:pStyle w:val="Tabletext"/>
              <w:keepNext/>
              <w:widowControl w:val="0"/>
              <w:spacing w:before="0" w:after="0"/>
              <w:rPr>
                <w:b/>
                <w:bCs/>
                <w:color w:val="000000"/>
              </w:rPr>
            </w:pPr>
            <w:r w:rsidRPr="000C77A2">
              <w:rPr>
                <w:b/>
                <w:bCs/>
                <w:color w:val="000000"/>
              </w:rPr>
              <w:t>Pazopanib</w:t>
            </w:r>
          </w:p>
          <w:p w14:paraId="4035B56E" w14:textId="77777777" w:rsidR="00851EC0" w:rsidRPr="000C77A2" w:rsidRDefault="00851EC0" w:rsidP="00AA08E6">
            <w:pPr>
              <w:pStyle w:val="Tabletext"/>
              <w:keepNext/>
              <w:widowControl w:val="0"/>
              <w:spacing w:before="0" w:after="0"/>
              <w:rPr>
                <w:b/>
                <w:bCs/>
                <w:color w:val="000000"/>
              </w:rPr>
            </w:pPr>
            <w:r w:rsidRPr="000C77A2">
              <w:rPr>
                <w:b/>
                <w:bCs/>
                <w:color w:val="000000"/>
              </w:rPr>
              <w:t>(N=246)</w:t>
            </w:r>
          </w:p>
        </w:tc>
      </w:tr>
      <w:tr w:rsidR="00851EC0" w:rsidRPr="000C77A2" w14:paraId="5E716E96" w14:textId="77777777" w:rsidTr="00227D3C">
        <w:trPr>
          <w:cantSplit/>
          <w:trHeight w:val="253"/>
        </w:trPr>
        <w:tc>
          <w:tcPr>
            <w:tcW w:w="1555" w:type="dxa"/>
            <w:shd w:val="clear" w:color="auto" w:fill="auto"/>
          </w:tcPr>
          <w:p w14:paraId="68A58604" w14:textId="77777777" w:rsidR="00851EC0" w:rsidRPr="000C77A2" w:rsidRDefault="00851EC0" w:rsidP="00AA08E6">
            <w:pPr>
              <w:pStyle w:val="Tabletext"/>
              <w:keepNext/>
              <w:widowControl w:val="0"/>
              <w:spacing w:before="0" w:after="0"/>
              <w:rPr>
                <w:b/>
                <w:bCs/>
              </w:rPr>
            </w:pPr>
            <w:r w:rsidRPr="000C77A2">
              <w:rPr>
                <w:b/>
                <w:bCs/>
              </w:rPr>
              <w:t>Trial start year</w:t>
            </w:r>
          </w:p>
        </w:tc>
        <w:tc>
          <w:tcPr>
            <w:tcW w:w="1984" w:type="dxa"/>
            <w:shd w:val="clear" w:color="auto" w:fill="auto"/>
          </w:tcPr>
          <w:p w14:paraId="31134017" w14:textId="77777777" w:rsidR="00851EC0" w:rsidRPr="000C77A2" w:rsidRDefault="00851EC0" w:rsidP="00AA08E6">
            <w:pPr>
              <w:pStyle w:val="Tabletext"/>
              <w:keepNext/>
              <w:widowControl w:val="0"/>
              <w:spacing w:before="0" w:after="0"/>
              <w:rPr>
                <w:b/>
                <w:bCs/>
              </w:rPr>
            </w:pPr>
            <w:r w:rsidRPr="000C77A2">
              <w:rPr>
                <w:b/>
                <w:bCs/>
              </w:rPr>
              <w:t>2015</w:t>
            </w:r>
          </w:p>
        </w:tc>
        <w:tc>
          <w:tcPr>
            <w:tcW w:w="1884" w:type="dxa"/>
            <w:shd w:val="clear" w:color="auto" w:fill="auto"/>
          </w:tcPr>
          <w:p w14:paraId="4A8E76C4" w14:textId="77777777" w:rsidR="00851EC0" w:rsidRPr="000C77A2" w:rsidRDefault="00851EC0" w:rsidP="00AA08E6">
            <w:pPr>
              <w:pStyle w:val="Tabletext"/>
              <w:keepNext/>
              <w:widowControl w:val="0"/>
              <w:spacing w:before="0" w:after="0"/>
              <w:rPr>
                <w:b/>
                <w:bCs/>
              </w:rPr>
            </w:pPr>
            <w:r w:rsidRPr="000C77A2">
              <w:rPr>
                <w:b/>
                <w:bCs/>
              </w:rPr>
              <w:t>2012</w:t>
            </w:r>
          </w:p>
        </w:tc>
        <w:tc>
          <w:tcPr>
            <w:tcW w:w="1644" w:type="dxa"/>
          </w:tcPr>
          <w:p w14:paraId="566F10D2" w14:textId="77777777" w:rsidR="00851EC0" w:rsidRPr="000C77A2" w:rsidRDefault="00851EC0" w:rsidP="00AA08E6">
            <w:pPr>
              <w:pStyle w:val="Tabletext"/>
              <w:keepNext/>
              <w:widowControl w:val="0"/>
              <w:spacing w:before="0" w:after="0"/>
              <w:rPr>
                <w:b/>
                <w:bCs/>
              </w:rPr>
            </w:pPr>
            <w:r w:rsidRPr="000C77A2">
              <w:rPr>
                <w:b/>
                <w:bCs/>
              </w:rPr>
              <w:t>2015</w:t>
            </w:r>
          </w:p>
        </w:tc>
        <w:tc>
          <w:tcPr>
            <w:tcW w:w="1950" w:type="dxa"/>
          </w:tcPr>
          <w:p w14:paraId="7DE53D66" w14:textId="77777777" w:rsidR="00851EC0" w:rsidRPr="000C77A2" w:rsidRDefault="00851EC0" w:rsidP="00AA08E6">
            <w:pPr>
              <w:pStyle w:val="Tabletext"/>
              <w:keepNext/>
              <w:widowControl w:val="0"/>
              <w:spacing w:before="0" w:after="0"/>
              <w:rPr>
                <w:b/>
                <w:bCs/>
              </w:rPr>
            </w:pPr>
            <w:r w:rsidRPr="000C77A2">
              <w:rPr>
                <w:b/>
                <w:bCs/>
              </w:rPr>
              <w:t>2008</w:t>
            </w:r>
          </w:p>
        </w:tc>
      </w:tr>
      <w:tr w:rsidR="00851EC0" w:rsidRPr="000C77A2" w14:paraId="07DA8EF0" w14:textId="77777777" w:rsidTr="00227D3C">
        <w:trPr>
          <w:cantSplit/>
          <w:trHeight w:val="272"/>
        </w:trPr>
        <w:tc>
          <w:tcPr>
            <w:tcW w:w="1555" w:type="dxa"/>
            <w:shd w:val="clear" w:color="auto" w:fill="auto"/>
          </w:tcPr>
          <w:p w14:paraId="40AC4623" w14:textId="77777777" w:rsidR="00851EC0" w:rsidRPr="000C77A2" w:rsidRDefault="00851EC0" w:rsidP="00AA08E6">
            <w:pPr>
              <w:pStyle w:val="Tabletext"/>
              <w:keepNext/>
              <w:widowControl w:val="0"/>
              <w:spacing w:before="0" w:after="0"/>
            </w:pPr>
            <w:r w:rsidRPr="000C77A2">
              <w:rPr>
                <w:i/>
                <w:iCs/>
              </w:rPr>
              <w:t>NTRK</w:t>
            </w:r>
            <w:r w:rsidRPr="000C77A2">
              <w:t xml:space="preserve"> status</w:t>
            </w:r>
          </w:p>
        </w:tc>
        <w:tc>
          <w:tcPr>
            <w:tcW w:w="1984" w:type="dxa"/>
            <w:shd w:val="clear" w:color="auto" w:fill="auto"/>
          </w:tcPr>
          <w:p w14:paraId="2C0B77CB" w14:textId="77777777" w:rsidR="00851EC0" w:rsidRPr="000C77A2" w:rsidRDefault="00851EC0" w:rsidP="00AA08E6">
            <w:pPr>
              <w:pStyle w:val="Tabletext"/>
              <w:keepNext/>
              <w:widowControl w:val="0"/>
              <w:spacing w:before="0" w:after="0"/>
            </w:pPr>
            <w:r w:rsidRPr="000C77A2">
              <w:t>Fusion only</w:t>
            </w:r>
          </w:p>
        </w:tc>
        <w:tc>
          <w:tcPr>
            <w:tcW w:w="1884" w:type="dxa"/>
            <w:shd w:val="clear" w:color="auto" w:fill="auto"/>
          </w:tcPr>
          <w:p w14:paraId="4EFF80BC" w14:textId="77777777" w:rsidR="00851EC0" w:rsidRPr="000C77A2" w:rsidRDefault="00851EC0" w:rsidP="00AA08E6">
            <w:pPr>
              <w:pStyle w:val="Tabletext"/>
              <w:keepNext/>
              <w:widowControl w:val="0"/>
              <w:spacing w:before="0" w:after="0"/>
            </w:pPr>
            <w:r w:rsidRPr="000C77A2">
              <w:t>Unselected (unknown)</w:t>
            </w:r>
          </w:p>
        </w:tc>
        <w:tc>
          <w:tcPr>
            <w:tcW w:w="1644" w:type="dxa"/>
          </w:tcPr>
          <w:p w14:paraId="3AFA8BE8" w14:textId="77777777" w:rsidR="00851EC0" w:rsidRPr="000C77A2" w:rsidRDefault="00851EC0" w:rsidP="00AA08E6">
            <w:pPr>
              <w:pStyle w:val="Tabletext"/>
              <w:keepNext/>
              <w:widowControl w:val="0"/>
              <w:spacing w:before="0" w:after="0"/>
            </w:pPr>
            <w:r w:rsidRPr="000C77A2">
              <w:t>Fusion only</w:t>
            </w:r>
          </w:p>
        </w:tc>
        <w:tc>
          <w:tcPr>
            <w:tcW w:w="1950" w:type="dxa"/>
          </w:tcPr>
          <w:p w14:paraId="38D6146E" w14:textId="77777777" w:rsidR="00851EC0" w:rsidRPr="000C77A2" w:rsidRDefault="00851EC0" w:rsidP="00AA08E6">
            <w:pPr>
              <w:pStyle w:val="Tabletext"/>
              <w:keepNext/>
              <w:widowControl w:val="0"/>
              <w:spacing w:before="0" w:after="0"/>
            </w:pPr>
            <w:r w:rsidRPr="000C77A2">
              <w:t>Unselected (unknown)</w:t>
            </w:r>
          </w:p>
        </w:tc>
      </w:tr>
      <w:tr w:rsidR="00851EC0" w:rsidRPr="000C77A2" w14:paraId="19E2C6DF" w14:textId="77777777" w:rsidTr="00227D3C">
        <w:trPr>
          <w:cantSplit/>
          <w:trHeight w:val="272"/>
        </w:trPr>
        <w:tc>
          <w:tcPr>
            <w:tcW w:w="1555" w:type="dxa"/>
            <w:shd w:val="clear" w:color="auto" w:fill="auto"/>
          </w:tcPr>
          <w:p w14:paraId="66AA51E5" w14:textId="77777777" w:rsidR="00851EC0" w:rsidRPr="000C77A2" w:rsidRDefault="00851EC0" w:rsidP="00AA08E6">
            <w:pPr>
              <w:pStyle w:val="Tabletext"/>
              <w:keepNext/>
              <w:widowControl w:val="0"/>
              <w:spacing w:before="0" w:after="0"/>
            </w:pPr>
            <w:r w:rsidRPr="000C77A2">
              <w:t>Median age, years, (range)</w:t>
            </w:r>
          </w:p>
        </w:tc>
        <w:tc>
          <w:tcPr>
            <w:tcW w:w="1984" w:type="dxa"/>
            <w:shd w:val="clear" w:color="auto" w:fill="auto"/>
          </w:tcPr>
          <w:p w14:paraId="2F14ADB0" w14:textId="77777777" w:rsidR="00851EC0" w:rsidRPr="000C77A2" w:rsidRDefault="00851EC0" w:rsidP="00AA08E6">
            <w:pPr>
              <w:pStyle w:val="Tabletext"/>
              <w:keepNext/>
              <w:widowControl w:val="0"/>
              <w:spacing w:before="0" w:after="0"/>
            </w:pPr>
            <w:r w:rsidRPr="000C77A2">
              <w:t>52 (25-76)</w:t>
            </w:r>
          </w:p>
        </w:tc>
        <w:tc>
          <w:tcPr>
            <w:tcW w:w="1884" w:type="dxa"/>
            <w:shd w:val="clear" w:color="auto" w:fill="auto"/>
          </w:tcPr>
          <w:p w14:paraId="4757F734" w14:textId="77777777" w:rsidR="00851EC0" w:rsidRPr="000C77A2" w:rsidRDefault="00851EC0" w:rsidP="00AA08E6">
            <w:pPr>
              <w:pStyle w:val="Tabletext"/>
              <w:keepNext/>
              <w:widowControl w:val="0"/>
              <w:spacing w:before="0" w:after="0"/>
            </w:pPr>
            <w:r w:rsidRPr="000C77A2">
              <w:t>64 (21-85)</w:t>
            </w:r>
          </w:p>
        </w:tc>
        <w:tc>
          <w:tcPr>
            <w:tcW w:w="1644" w:type="dxa"/>
          </w:tcPr>
          <w:p w14:paraId="14B35D8F" w14:textId="77777777" w:rsidR="00851EC0" w:rsidRPr="000C77A2" w:rsidRDefault="00851EC0" w:rsidP="00AA08E6">
            <w:pPr>
              <w:pStyle w:val="Tabletext"/>
              <w:keepNext/>
              <w:widowControl w:val="0"/>
              <w:spacing w:before="0" w:after="0"/>
            </w:pPr>
            <w:r w:rsidRPr="000C77A2">
              <w:t>40 (19-70)</w:t>
            </w:r>
          </w:p>
        </w:tc>
        <w:tc>
          <w:tcPr>
            <w:tcW w:w="1950" w:type="dxa"/>
          </w:tcPr>
          <w:p w14:paraId="4018FE5B" w14:textId="77777777" w:rsidR="00851EC0" w:rsidRPr="000C77A2" w:rsidRDefault="00851EC0" w:rsidP="00AA08E6">
            <w:pPr>
              <w:pStyle w:val="Tabletext"/>
              <w:keepNext/>
              <w:widowControl w:val="0"/>
              <w:spacing w:before="0" w:after="0"/>
            </w:pPr>
            <w:r w:rsidRPr="000C77A2">
              <w:t>57 (20-84)</w:t>
            </w:r>
          </w:p>
        </w:tc>
      </w:tr>
      <w:tr w:rsidR="00851EC0" w:rsidRPr="000C77A2" w14:paraId="761CB8E4" w14:textId="77777777" w:rsidTr="00227D3C">
        <w:trPr>
          <w:cantSplit/>
          <w:trHeight w:val="253"/>
        </w:trPr>
        <w:tc>
          <w:tcPr>
            <w:tcW w:w="1555" w:type="dxa"/>
            <w:shd w:val="clear" w:color="auto" w:fill="auto"/>
          </w:tcPr>
          <w:p w14:paraId="2BF41C60" w14:textId="77777777" w:rsidR="00851EC0" w:rsidRPr="000C77A2" w:rsidRDefault="00851EC0" w:rsidP="00AA08E6">
            <w:pPr>
              <w:pStyle w:val="Tabletext"/>
              <w:keepNext/>
              <w:widowControl w:val="0"/>
              <w:spacing w:before="0" w:after="0"/>
            </w:pPr>
            <w:r w:rsidRPr="000C77A2">
              <w:t>Male, n (%)</w:t>
            </w:r>
            <w:r w:rsidRPr="000C77A2">
              <w:rPr>
                <w:vertAlign w:val="superscript"/>
              </w:rPr>
              <w:t>b</w:t>
            </w:r>
          </w:p>
        </w:tc>
        <w:tc>
          <w:tcPr>
            <w:tcW w:w="1984" w:type="dxa"/>
            <w:shd w:val="clear" w:color="auto" w:fill="auto"/>
          </w:tcPr>
          <w:p w14:paraId="4EF14DAA" w14:textId="77777777" w:rsidR="00851EC0" w:rsidRPr="000C77A2" w:rsidRDefault="00851EC0" w:rsidP="00AA08E6">
            <w:pPr>
              <w:pStyle w:val="Tabletext"/>
              <w:keepNext/>
              <w:widowControl w:val="0"/>
              <w:spacing w:before="0" w:after="0"/>
            </w:pPr>
            <w:r w:rsidRPr="000C77A2">
              <w:t>12 (44)</w:t>
            </w:r>
          </w:p>
        </w:tc>
        <w:tc>
          <w:tcPr>
            <w:tcW w:w="1884" w:type="dxa"/>
            <w:shd w:val="clear" w:color="auto" w:fill="auto"/>
          </w:tcPr>
          <w:p w14:paraId="1A3D54D7" w14:textId="77777777" w:rsidR="00851EC0" w:rsidRPr="000C77A2" w:rsidRDefault="00851EC0" w:rsidP="00AA08E6">
            <w:pPr>
              <w:pStyle w:val="Tabletext"/>
              <w:keepNext/>
              <w:widowControl w:val="0"/>
              <w:spacing w:before="0" w:after="0"/>
            </w:pPr>
            <w:r w:rsidRPr="000C77A2">
              <w:t>168 (58)</w:t>
            </w:r>
          </w:p>
        </w:tc>
        <w:tc>
          <w:tcPr>
            <w:tcW w:w="1644" w:type="dxa"/>
          </w:tcPr>
          <w:p w14:paraId="3DEC8D07" w14:textId="77777777" w:rsidR="00851EC0" w:rsidRPr="000C77A2" w:rsidRDefault="00851EC0" w:rsidP="00AA08E6">
            <w:pPr>
              <w:pStyle w:val="Tabletext"/>
              <w:keepNext/>
              <w:widowControl w:val="0"/>
              <w:spacing w:before="0" w:after="0"/>
            </w:pPr>
            <w:r w:rsidRPr="000C77A2">
              <w:t>15 (50)</w:t>
            </w:r>
          </w:p>
        </w:tc>
        <w:tc>
          <w:tcPr>
            <w:tcW w:w="1950" w:type="dxa"/>
          </w:tcPr>
          <w:p w14:paraId="36EB25FA" w14:textId="77777777" w:rsidR="00851EC0" w:rsidRPr="000C77A2" w:rsidRDefault="00851EC0" w:rsidP="00AA08E6">
            <w:pPr>
              <w:pStyle w:val="Tabletext"/>
              <w:keepNext/>
              <w:widowControl w:val="0"/>
              <w:spacing w:before="0" w:after="0"/>
            </w:pPr>
            <w:r w:rsidRPr="000C77A2">
              <w:t>99 (40)</w:t>
            </w:r>
          </w:p>
        </w:tc>
      </w:tr>
      <w:tr w:rsidR="00851EC0" w:rsidRPr="000C77A2" w14:paraId="314AFA6F" w14:textId="77777777" w:rsidTr="00227D3C">
        <w:trPr>
          <w:cantSplit/>
          <w:trHeight w:val="272"/>
        </w:trPr>
        <w:tc>
          <w:tcPr>
            <w:tcW w:w="9017" w:type="dxa"/>
            <w:gridSpan w:val="5"/>
            <w:shd w:val="clear" w:color="auto" w:fill="auto"/>
          </w:tcPr>
          <w:p w14:paraId="46EDF133" w14:textId="77777777" w:rsidR="00851EC0" w:rsidRPr="000C77A2" w:rsidRDefault="00851EC0" w:rsidP="00AA08E6">
            <w:pPr>
              <w:pStyle w:val="Tabletext"/>
              <w:keepNext/>
              <w:widowControl w:val="0"/>
              <w:spacing w:before="0" w:after="0"/>
            </w:pPr>
            <w:r w:rsidRPr="000C77A2">
              <w:t>Race, n (%)</w:t>
            </w:r>
            <w:r w:rsidRPr="000C77A2">
              <w:rPr>
                <w:vertAlign w:val="superscript"/>
              </w:rPr>
              <w:t>b</w:t>
            </w:r>
            <w:r w:rsidRPr="000C77A2">
              <w:t xml:space="preserve"> </w:t>
            </w:r>
          </w:p>
        </w:tc>
      </w:tr>
      <w:tr w:rsidR="00851EC0" w:rsidRPr="000C77A2" w14:paraId="1CE7E185" w14:textId="77777777" w:rsidTr="00227D3C">
        <w:trPr>
          <w:cantSplit/>
          <w:trHeight w:val="253"/>
        </w:trPr>
        <w:tc>
          <w:tcPr>
            <w:tcW w:w="1555" w:type="dxa"/>
            <w:shd w:val="clear" w:color="auto" w:fill="auto"/>
          </w:tcPr>
          <w:p w14:paraId="2476440D" w14:textId="77777777" w:rsidR="00851EC0" w:rsidRPr="000C77A2" w:rsidRDefault="00851EC0" w:rsidP="00AA08E6">
            <w:pPr>
              <w:pStyle w:val="Tabletext"/>
              <w:keepNext/>
              <w:widowControl w:val="0"/>
              <w:spacing w:before="0" w:after="0"/>
              <w:ind w:left="720" w:hanging="414"/>
            </w:pPr>
            <w:r w:rsidRPr="000C77A2">
              <w:t>Caucasian</w:t>
            </w:r>
          </w:p>
        </w:tc>
        <w:tc>
          <w:tcPr>
            <w:tcW w:w="1984" w:type="dxa"/>
            <w:shd w:val="clear" w:color="auto" w:fill="auto"/>
          </w:tcPr>
          <w:p w14:paraId="681D6463" w14:textId="77777777" w:rsidR="00851EC0" w:rsidRPr="000C77A2" w:rsidRDefault="00851EC0" w:rsidP="00AA08E6">
            <w:pPr>
              <w:pStyle w:val="Tabletext"/>
              <w:keepNext/>
              <w:widowControl w:val="0"/>
              <w:spacing w:before="0" w:after="0"/>
            </w:pPr>
            <w:r w:rsidRPr="000C77A2">
              <w:t>10 (37)</w:t>
            </w:r>
          </w:p>
        </w:tc>
        <w:tc>
          <w:tcPr>
            <w:tcW w:w="1884" w:type="dxa"/>
            <w:shd w:val="clear" w:color="auto" w:fill="auto"/>
          </w:tcPr>
          <w:p w14:paraId="4AA1169C" w14:textId="77777777" w:rsidR="00851EC0" w:rsidRPr="000C77A2" w:rsidRDefault="00851EC0" w:rsidP="00AA08E6">
            <w:pPr>
              <w:pStyle w:val="Tabletext"/>
              <w:keepNext/>
              <w:widowControl w:val="0"/>
              <w:spacing w:before="0" w:after="0"/>
            </w:pPr>
            <w:r w:rsidRPr="000C77A2">
              <w:t>266 (92)</w:t>
            </w:r>
          </w:p>
        </w:tc>
        <w:tc>
          <w:tcPr>
            <w:tcW w:w="1644" w:type="dxa"/>
          </w:tcPr>
          <w:p w14:paraId="20ED470D" w14:textId="77777777" w:rsidR="00851EC0" w:rsidRPr="000C77A2" w:rsidRDefault="00851EC0" w:rsidP="00AA08E6">
            <w:pPr>
              <w:pStyle w:val="Tabletext"/>
              <w:keepNext/>
              <w:widowControl w:val="0"/>
              <w:spacing w:before="0" w:after="0"/>
            </w:pPr>
            <w:r w:rsidRPr="000C77A2">
              <w:t>12 (40)</w:t>
            </w:r>
          </w:p>
        </w:tc>
        <w:tc>
          <w:tcPr>
            <w:tcW w:w="1950" w:type="dxa"/>
            <w:vMerge w:val="restart"/>
          </w:tcPr>
          <w:p w14:paraId="49CB722C" w14:textId="77777777" w:rsidR="00851EC0" w:rsidRPr="000C77A2" w:rsidRDefault="00851EC0" w:rsidP="00AA08E6">
            <w:pPr>
              <w:pStyle w:val="Tabletext"/>
              <w:keepNext/>
              <w:widowControl w:val="0"/>
              <w:spacing w:before="0" w:after="0"/>
            </w:pPr>
            <w:r w:rsidRPr="000C77A2">
              <w:t>NR</w:t>
            </w:r>
          </w:p>
        </w:tc>
      </w:tr>
      <w:tr w:rsidR="00851EC0" w:rsidRPr="000C77A2" w14:paraId="43DAFB97" w14:textId="77777777" w:rsidTr="00227D3C">
        <w:trPr>
          <w:cantSplit/>
          <w:trHeight w:val="272"/>
        </w:trPr>
        <w:tc>
          <w:tcPr>
            <w:tcW w:w="1555" w:type="dxa"/>
            <w:shd w:val="clear" w:color="auto" w:fill="auto"/>
          </w:tcPr>
          <w:p w14:paraId="06C37580" w14:textId="77777777" w:rsidR="00851EC0" w:rsidRPr="000C77A2" w:rsidRDefault="00851EC0" w:rsidP="00AA08E6">
            <w:pPr>
              <w:pStyle w:val="Tabletext"/>
              <w:keepNext/>
              <w:widowControl w:val="0"/>
              <w:spacing w:before="0" w:after="0"/>
              <w:ind w:left="720" w:hanging="414"/>
            </w:pPr>
            <w:r w:rsidRPr="000C77A2">
              <w:t>Asian</w:t>
            </w:r>
          </w:p>
        </w:tc>
        <w:tc>
          <w:tcPr>
            <w:tcW w:w="1984" w:type="dxa"/>
            <w:shd w:val="clear" w:color="auto" w:fill="auto"/>
          </w:tcPr>
          <w:p w14:paraId="137F5C3C" w14:textId="77777777" w:rsidR="00851EC0" w:rsidRPr="000C77A2" w:rsidRDefault="00851EC0" w:rsidP="00AA08E6">
            <w:pPr>
              <w:pStyle w:val="Tabletext"/>
              <w:keepNext/>
              <w:widowControl w:val="0"/>
              <w:spacing w:before="0" w:after="0"/>
            </w:pPr>
            <w:r w:rsidRPr="000C77A2">
              <w:t>13 (48)</w:t>
            </w:r>
          </w:p>
        </w:tc>
        <w:tc>
          <w:tcPr>
            <w:tcW w:w="1884" w:type="dxa"/>
            <w:shd w:val="clear" w:color="auto" w:fill="auto"/>
          </w:tcPr>
          <w:p w14:paraId="18022E22" w14:textId="77777777" w:rsidR="00851EC0" w:rsidRPr="000C77A2" w:rsidRDefault="00851EC0" w:rsidP="00AA08E6">
            <w:pPr>
              <w:pStyle w:val="Tabletext"/>
              <w:keepNext/>
              <w:widowControl w:val="0"/>
              <w:spacing w:before="0" w:after="0"/>
            </w:pPr>
            <w:r w:rsidRPr="000C77A2">
              <w:t>8 (3)</w:t>
            </w:r>
          </w:p>
        </w:tc>
        <w:tc>
          <w:tcPr>
            <w:tcW w:w="1644" w:type="dxa"/>
          </w:tcPr>
          <w:p w14:paraId="26B09B01" w14:textId="77777777" w:rsidR="00851EC0" w:rsidRPr="000C77A2" w:rsidRDefault="00851EC0" w:rsidP="00AA08E6">
            <w:pPr>
              <w:pStyle w:val="Tabletext"/>
              <w:keepNext/>
              <w:widowControl w:val="0"/>
              <w:spacing w:before="0" w:after="0"/>
            </w:pPr>
            <w:r w:rsidRPr="000C77A2">
              <w:t>4 (13)</w:t>
            </w:r>
          </w:p>
        </w:tc>
        <w:tc>
          <w:tcPr>
            <w:tcW w:w="1950" w:type="dxa"/>
            <w:vMerge/>
          </w:tcPr>
          <w:p w14:paraId="6037483B" w14:textId="77777777" w:rsidR="00851EC0" w:rsidRPr="000C77A2" w:rsidRDefault="00851EC0" w:rsidP="00AA08E6">
            <w:pPr>
              <w:pStyle w:val="Tabletext"/>
              <w:keepNext/>
              <w:widowControl w:val="0"/>
              <w:spacing w:before="0" w:after="0"/>
            </w:pPr>
          </w:p>
        </w:tc>
      </w:tr>
      <w:tr w:rsidR="00851EC0" w:rsidRPr="000C77A2" w14:paraId="55C5BA9A" w14:textId="77777777" w:rsidTr="00227D3C">
        <w:trPr>
          <w:cantSplit/>
          <w:trHeight w:val="272"/>
        </w:trPr>
        <w:tc>
          <w:tcPr>
            <w:tcW w:w="1555" w:type="dxa"/>
            <w:shd w:val="clear" w:color="auto" w:fill="auto"/>
          </w:tcPr>
          <w:p w14:paraId="42F2A8DF" w14:textId="77777777" w:rsidR="00851EC0" w:rsidRPr="000C77A2" w:rsidRDefault="00851EC0" w:rsidP="00AA08E6">
            <w:pPr>
              <w:pStyle w:val="Tabletext"/>
              <w:keepNext/>
              <w:widowControl w:val="0"/>
              <w:spacing w:before="0" w:after="0"/>
              <w:ind w:left="720" w:hanging="414"/>
            </w:pPr>
            <w:r w:rsidRPr="000C77A2">
              <w:t xml:space="preserve">Other </w:t>
            </w:r>
          </w:p>
        </w:tc>
        <w:tc>
          <w:tcPr>
            <w:tcW w:w="1984" w:type="dxa"/>
            <w:shd w:val="clear" w:color="auto" w:fill="auto"/>
          </w:tcPr>
          <w:p w14:paraId="724544C1" w14:textId="77777777" w:rsidR="00851EC0" w:rsidRPr="000C77A2" w:rsidRDefault="00851EC0" w:rsidP="00AA08E6">
            <w:pPr>
              <w:pStyle w:val="Tabletext"/>
              <w:keepNext/>
              <w:widowControl w:val="0"/>
              <w:spacing w:before="0" w:after="0"/>
            </w:pPr>
            <w:r w:rsidRPr="000C77A2">
              <w:t>4 (15)</w:t>
            </w:r>
          </w:p>
        </w:tc>
        <w:tc>
          <w:tcPr>
            <w:tcW w:w="1884" w:type="dxa"/>
            <w:shd w:val="clear" w:color="auto" w:fill="auto"/>
          </w:tcPr>
          <w:p w14:paraId="666BA6D5" w14:textId="77777777" w:rsidR="00851EC0" w:rsidRPr="000C77A2" w:rsidRDefault="00851EC0" w:rsidP="00AA08E6">
            <w:pPr>
              <w:pStyle w:val="Tabletext"/>
              <w:keepNext/>
              <w:widowControl w:val="0"/>
              <w:spacing w:before="0" w:after="0"/>
            </w:pPr>
            <w:r w:rsidRPr="000C77A2">
              <w:t>16 (5)</w:t>
            </w:r>
          </w:p>
        </w:tc>
        <w:tc>
          <w:tcPr>
            <w:tcW w:w="1644" w:type="dxa"/>
          </w:tcPr>
          <w:p w14:paraId="4AEC29FF" w14:textId="77777777" w:rsidR="00851EC0" w:rsidRPr="000C77A2" w:rsidRDefault="00851EC0" w:rsidP="00AA08E6">
            <w:pPr>
              <w:pStyle w:val="Tabletext"/>
              <w:keepNext/>
              <w:widowControl w:val="0"/>
              <w:spacing w:before="0" w:after="0"/>
            </w:pPr>
            <w:r w:rsidRPr="000C77A2">
              <w:t>14 (47)</w:t>
            </w:r>
          </w:p>
        </w:tc>
        <w:tc>
          <w:tcPr>
            <w:tcW w:w="1950" w:type="dxa"/>
            <w:vMerge/>
          </w:tcPr>
          <w:p w14:paraId="6113F5B3" w14:textId="77777777" w:rsidR="00851EC0" w:rsidRPr="000C77A2" w:rsidRDefault="00851EC0" w:rsidP="00AA08E6">
            <w:pPr>
              <w:pStyle w:val="Tabletext"/>
              <w:keepNext/>
              <w:widowControl w:val="0"/>
              <w:spacing w:before="0" w:after="0"/>
            </w:pPr>
          </w:p>
        </w:tc>
      </w:tr>
      <w:tr w:rsidR="00851EC0" w:rsidRPr="000C77A2" w14:paraId="68CB4797" w14:textId="77777777" w:rsidTr="00227D3C">
        <w:trPr>
          <w:cantSplit/>
          <w:trHeight w:val="253"/>
        </w:trPr>
        <w:tc>
          <w:tcPr>
            <w:tcW w:w="9017" w:type="dxa"/>
            <w:gridSpan w:val="5"/>
            <w:shd w:val="clear" w:color="auto" w:fill="auto"/>
          </w:tcPr>
          <w:p w14:paraId="1D949956" w14:textId="77777777" w:rsidR="00851EC0" w:rsidRPr="000C77A2" w:rsidRDefault="00851EC0" w:rsidP="00AA08E6">
            <w:pPr>
              <w:pStyle w:val="Tabletext"/>
              <w:keepNext/>
              <w:widowControl w:val="0"/>
              <w:spacing w:before="0" w:after="0"/>
            </w:pPr>
            <w:r w:rsidRPr="000C77A2">
              <w:t>ECOG performance status, n (%)</w:t>
            </w:r>
            <w:r w:rsidRPr="000C77A2">
              <w:rPr>
                <w:vertAlign w:val="superscript"/>
              </w:rPr>
              <w:t>b</w:t>
            </w:r>
          </w:p>
        </w:tc>
      </w:tr>
      <w:tr w:rsidR="00851EC0" w:rsidRPr="000C77A2" w14:paraId="2BEF06AD" w14:textId="77777777" w:rsidTr="00227D3C">
        <w:trPr>
          <w:cantSplit/>
          <w:trHeight w:val="272"/>
        </w:trPr>
        <w:tc>
          <w:tcPr>
            <w:tcW w:w="1555" w:type="dxa"/>
            <w:shd w:val="clear" w:color="auto" w:fill="auto"/>
          </w:tcPr>
          <w:p w14:paraId="59865368" w14:textId="77777777" w:rsidR="00851EC0" w:rsidRPr="000C77A2" w:rsidRDefault="00851EC0" w:rsidP="00AA08E6">
            <w:pPr>
              <w:pStyle w:val="Tabletext"/>
              <w:keepNext/>
              <w:widowControl w:val="0"/>
              <w:spacing w:before="0" w:after="0"/>
              <w:ind w:left="720" w:hanging="414"/>
            </w:pPr>
            <w:r w:rsidRPr="000C77A2">
              <w:t>0</w:t>
            </w:r>
          </w:p>
        </w:tc>
        <w:tc>
          <w:tcPr>
            <w:tcW w:w="1984" w:type="dxa"/>
            <w:shd w:val="clear" w:color="auto" w:fill="auto"/>
          </w:tcPr>
          <w:p w14:paraId="113A97AC" w14:textId="77777777" w:rsidR="00851EC0" w:rsidRPr="000C77A2" w:rsidRDefault="00851EC0" w:rsidP="00AA08E6">
            <w:pPr>
              <w:pStyle w:val="Tabletext"/>
              <w:keepNext/>
              <w:widowControl w:val="0"/>
              <w:spacing w:before="0" w:after="0"/>
            </w:pPr>
            <w:r w:rsidRPr="000C77A2">
              <w:t>9 (33)</w:t>
            </w:r>
          </w:p>
        </w:tc>
        <w:tc>
          <w:tcPr>
            <w:tcW w:w="1884" w:type="dxa"/>
            <w:shd w:val="clear" w:color="auto" w:fill="auto"/>
          </w:tcPr>
          <w:p w14:paraId="0FD961A0" w14:textId="77777777" w:rsidR="00851EC0" w:rsidRPr="000C77A2" w:rsidRDefault="00851EC0" w:rsidP="00AA08E6">
            <w:pPr>
              <w:pStyle w:val="Tabletext"/>
              <w:keepNext/>
              <w:widowControl w:val="0"/>
              <w:spacing w:before="0" w:after="0"/>
            </w:pPr>
            <w:r w:rsidRPr="000C77A2">
              <w:t>85 (33)</w:t>
            </w:r>
          </w:p>
        </w:tc>
        <w:tc>
          <w:tcPr>
            <w:tcW w:w="1644" w:type="dxa"/>
          </w:tcPr>
          <w:p w14:paraId="2182FD2F" w14:textId="77777777" w:rsidR="00851EC0" w:rsidRPr="000C77A2" w:rsidRDefault="00851EC0" w:rsidP="00AA08E6">
            <w:pPr>
              <w:pStyle w:val="Tabletext"/>
              <w:keepNext/>
              <w:widowControl w:val="0"/>
              <w:spacing w:before="0" w:after="0"/>
            </w:pPr>
            <w:r w:rsidRPr="000C77A2">
              <w:t>13 (43)</w:t>
            </w:r>
          </w:p>
        </w:tc>
        <w:tc>
          <w:tcPr>
            <w:tcW w:w="1950" w:type="dxa"/>
          </w:tcPr>
          <w:p w14:paraId="3937C78C" w14:textId="77777777" w:rsidR="00851EC0" w:rsidRPr="000C77A2" w:rsidRDefault="00851EC0" w:rsidP="00AA08E6">
            <w:pPr>
              <w:pStyle w:val="Tabletext"/>
              <w:keepNext/>
              <w:widowControl w:val="0"/>
              <w:spacing w:before="0" w:after="0"/>
            </w:pPr>
            <w:r w:rsidRPr="000C77A2">
              <w:t>113 (46)</w:t>
            </w:r>
          </w:p>
        </w:tc>
      </w:tr>
      <w:tr w:rsidR="00851EC0" w:rsidRPr="000C77A2" w14:paraId="46DADD23" w14:textId="77777777" w:rsidTr="00227D3C">
        <w:trPr>
          <w:cantSplit/>
          <w:trHeight w:val="272"/>
        </w:trPr>
        <w:tc>
          <w:tcPr>
            <w:tcW w:w="1555" w:type="dxa"/>
            <w:shd w:val="clear" w:color="auto" w:fill="auto"/>
          </w:tcPr>
          <w:p w14:paraId="0BDFD2E6" w14:textId="77777777" w:rsidR="00851EC0" w:rsidRPr="000C77A2" w:rsidRDefault="00851EC0" w:rsidP="00AA08E6">
            <w:pPr>
              <w:pStyle w:val="Tabletext"/>
              <w:keepNext/>
              <w:widowControl w:val="0"/>
              <w:spacing w:before="0" w:after="0"/>
              <w:ind w:left="720" w:hanging="414"/>
            </w:pPr>
            <w:r w:rsidRPr="000C77A2">
              <w:t>1</w:t>
            </w:r>
          </w:p>
        </w:tc>
        <w:tc>
          <w:tcPr>
            <w:tcW w:w="1984" w:type="dxa"/>
            <w:shd w:val="clear" w:color="auto" w:fill="auto"/>
          </w:tcPr>
          <w:p w14:paraId="24AA6FF0" w14:textId="77777777" w:rsidR="00851EC0" w:rsidRPr="000C77A2" w:rsidRDefault="00851EC0" w:rsidP="00AA08E6">
            <w:pPr>
              <w:pStyle w:val="Tabletext"/>
              <w:keepNext/>
              <w:widowControl w:val="0"/>
              <w:spacing w:before="0" w:after="0"/>
            </w:pPr>
            <w:r w:rsidRPr="000C77A2">
              <w:t>15 (56)</w:t>
            </w:r>
          </w:p>
        </w:tc>
        <w:tc>
          <w:tcPr>
            <w:tcW w:w="1884" w:type="dxa"/>
            <w:shd w:val="clear" w:color="auto" w:fill="auto"/>
          </w:tcPr>
          <w:p w14:paraId="39950E5F" w14:textId="77777777" w:rsidR="00851EC0" w:rsidRPr="000C77A2" w:rsidRDefault="00851EC0" w:rsidP="00AA08E6">
            <w:pPr>
              <w:pStyle w:val="Tabletext"/>
              <w:keepNext/>
              <w:widowControl w:val="0"/>
              <w:spacing w:before="0" w:after="0"/>
            </w:pPr>
            <w:r w:rsidRPr="000C77A2">
              <w:t>194 (67)</w:t>
            </w:r>
          </w:p>
        </w:tc>
        <w:tc>
          <w:tcPr>
            <w:tcW w:w="1644" w:type="dxa"/>
          </w:tcPr>
          <w:p w14:paraId="26553798" w14:textId="77777777" w:rsidR="00851EC0" w:rsidRPr="000C77A2" w:rsidRDefault="00851EC0" w:rsidP="00AA08E6">
            <w:pPr>
              <w:pStyle w:val="Tabletext"/>
              <w:keepNext/>
              <w:widowControl w:val="0"/>
              <w:spacing w:before="0" w:after="0"/>
            </w:pPr>
            <w:r w:rsidRPr="000C77A2">
              <w:t>13 (43)</w:t>
            </w:r>
          </w:p>
        </w:tc>
        <w:tc>
          <w:tcPr>
            <w:tcW w:w="1950" w:type="dxa"/>
          </w:tcPr>
          <w:p w14:paraId="2E4276F8" w14:textId="77777777" w:rsidR="00851EC0" w:rsidRPr="000C77A2" w:rsidRDefault="00851EC0" w:rsidP="00AA08E6">
            <w:pPr>
              <w:pStyle w:val="Tabletext"/>
              <w:keepNext/>
              <w:widowControl w:val="0"/>
              <w:spacing w:before="0" w:after="0"/>
            </w:pPr>
            <w:r w:rsidRPr="000C77A2">
              <w:t>133 (54)</w:t>
            </w:r>
          </w:p>
        </w:tc>
      </w:tr>
      <w:tr w:rsidR="00851EC0" w:rsidRPr="000C77A2" w14:paraId="7EC03ED9" w14:textId="77777777" w:rsidTr="00227D3C">
        <w:trPr>
          <w:cantSplit/>
          <w:trHeight w:val="272"/>
        </w:trPr>
        <w:tc>
          <w:tcPr>
            <w:tcW w:w="1555" w:type="dxa"/>
            <w:shd w:val="clear" w:color="auto" w:fill="auto"/>
          </w:tcPr>
          <w:p w14:paraId="556267C6" w14:textId="77777777" w:rsidR="00851EC0" w:rsidRPr="000C77A2" w:rsidRDefault="00851EC0" w:rsidP="00AA08E6">
            <w:pPr>
              <w:pStyle w:val="Tabletext"/>
              <w:keepNext/>
              <w:widowControl w:val="0"/>
              <w:spacing w:before="0" w:after="0"/>
              <w:ind w:left="720" w:hanging="414"/>
            </w:pPr>
            <w:r w:rsidRPr="000C77A2">
              <w:t>2</w:t>
            </w:r>
          </w:p>
        </w:tc>
        <w:tc>
          <w:tcPr>
            <w:tcW w:w="1984" w:type="dxa"/>
            <w:shd w:val="clear" w:color="auto" w:fill="auto"/>
          </w:tcPr>
          <w:p w14:paraId="3B33EB86" w14:textId="77777777" w:rsidR="00851EC0" w:rsidRPr="000C77A2" w:rsidRDefault="00851EC0" w:rsidP="00AA08E6">
            <w:pPr>
              <w:pStyle w:val="Tabletext"/>
              <w:keepNext/>
              <w:widowControl w:val="0"/>
              <w:spacing w:before="0" w:after="0"/>
            </w:pPr>
            <w:r w:rsidRPr="000C77A2">
              <w:t>1 (4)</w:t>
            </w:r>
          </w:p>
        </w:tc>
        <w:tc>
          <w:tcPr>
            <w:tcW w:w="1884" w:type="dxa"/>
            <w:shd w:val="clear" w:color="auto" w:fill="auto"/>
          </w:tcPr>
          <w:p w14:paraId="51DF504A" w14:textId="77777777" w:rsidR="00851EC0" w:rsidRPr="000C77A2" w:rsidRDefault="00851EC0" w:rsidP="00AA08E6">
            <w:pPr>
              <w:pStyle w:val="Tabletext"/>
              <w:keepNext/>
              <w:widowControl w:val="0"/>
              <w:spacing w:before="0" w:after="0"/>
            </w:pPr>
            <w:r w:rsidRPr="000C77A2">
              <w:t>-</w:t>
            </w:r>
          </w:p>
        </w:tc>
        <w:tc>
          <w:tcPr>
            <w:tcW w:w="1644" w:type="dxa"/>
          </w:tcPr>
          <w:p w14:paraId="7F181433" w14:textId="77777777" w:rsidR="00851EC0" w:rsidRPr="000C77A2" w:rsidRDefault="00851EC0" w:rsidP="00AA08E6">
            <w:pPr>
              <w:pStyle w:val="Tabletext"/>
              <w:keepNext/>
              <w:widowControl w:val="0"/>
              <w:spacing w:before="0" w:after="0"/>
            </w:pPr>
            <w:r w:rsidRPr="000C77A2">
              <w:t>4 (13)</w:t>
            </w:r>
          </w:p>
        </w:tc>
        <w:tc>
          <w:tcPr>
            <w:tcW w:w="1950" w:type="dxa"/>
          </w:tcPr>
          <w:p w14:paraId="59CBE941" w14:textId="77777777" w:rsidR="00851EC0" w:rsidRPr="000C77A2" w:rsidRDefault="00851EC0" w:rsidP="00AA08E6">
            <w:pPr>
              <w:pStyle w:val="Tabletext"/>
              <w:keepNext/>
              <w:widowControl w:val="0"/>
              <w:spacing w:before="0" w:after="0"/>
            </w:pPr>
            <w:r w:rsidRPr="000C77A2">
              <w:t>-</w:t>
            </w:r>
          </w:p>
        </w:tc>
      </w:tr>
      <w:tr w:rsidR="00851EC0" w:rsidRPr="000C77A2" w14:paraId="6261B709" w14:textId="77777777" w:rsidTr="00227D3C">
        <w:trPr>
          <w:cantSplit/>
          <w:trHeight w:val="253"/>
        </w:trPr>
        <w:tc>
          <w:tcPr>
            <w:tcW w:w="1555" w:type="dxa"/>
            <w:shd w:val="clear" w:color="auto" w:fill="auto"/>
          </w:tcPr>
          <w:p w14:paraId="3037FBAD" w14:textId="77777777" w:rsidR="00851EC0" w:rsidRPr="000C77A2" w:rsidRDefault="00851EC0" w:rsidP="00AA08E6">
            <w:pPr>
              <w:pStyle w:val="Tabletext"/>
              <w:keepNext/>
              <w:widowControl w:val="0"/>
              <w:spacing w:before="0" w:after="0"/>
              <w:ind w:left="720" w:hanging="414"/>
            </w:pPr>
            <w:r w:rsidRPr="000C77A2">
              <w:t>3</w:t>
            </w:r>
          </w:p>
        </w:tc>
        <w:tc>
          <w:tcPr>
            <w:tcW w:w="1984" w:type="dxa"/>
            <w:shd w:val="clear" w:color="auto" w:fill="auto"/>
          </w:tcPr>
          <w:p w14:paraId="6EBEE49A" w14:textId="77777777" w:rsidR="00851EC0" w:rsidRPr="000C77A2" w:rsidRDefault="00851EC0" w:rsidP="00AA08E6">
            <w:pPr>
              <w:pStyle w:val="Tabletext"/>
              <w:keepNext/>
              <w:widowControl w:val="0"/>
              <w:spacing w:before="0" w:after="0"/>
            </w:pPr>
            <w:r w:rsidRPr="000C77A2">
              <w:t>2 (7)</w:t>
            </w:r>
          </w:p>
        </w:tc>
        <w:tc>
          <w:tcPr>
            <w:tcW w:w="1884" w:type="dxa"/>
            <w:shd w:val="clear" w:color="auto" w:fill="auto"/>
          </w:tcPr>
          <w:p w14:paraId="2C54D019" w14:textId="77777777" w:rsidR="00851EC0" w:rsidRPr="000C77A2" w:rsidRDefault="00851EC0" w:rsidP="00AA08E6">
            <w:pPr>
              <w:pStyle w:val="Tabletext"/>
              <w:keepNext/>
              <w:widowControl w:val="0"/>
              <w:spacing w:before="0" w:after="0"/>
            </w:pPr>
            <w:r w:rsidRPr="000C77A2">
              <w:t>-</w:t>
            </w:r>
          </w:p>
        </w:tc>
        <w:tc>
          <w:tcPr>
            <w:tcW w:w="1644" w:type="dxa"/>
          </w:tcPr>
          <w:p w14:paraId="4CC01524" w14:textId="77777777" w:rsidR="00851EC0" w:rsidRPr="000C77A2" w:rsidRDefault="00851EC0" w:rsidP="00AA08E6">
            <w:pPr>
              <w:pStyle w:val="Tabletext"/>
              <w:keepNext/>
              <w:widowControl w:val="0"/>
              <w:spacing w:before="0" w:after="0"/>
            </w:pPr>
            <w:r w:rsidRPr="000C77A2">
              <w:t>-</w:t>
            </w:r>
          </w:p>
        </w:tc>
        <w:tc>
          <w:tcPr>
            <w:tcW w:w="1950" w:type="dxa"/>
          </w:tcPr>
          <w:p w14:paraId="7FF7D98B" w14:textId="77777777" w:rsidR="00851EC0" w:rsidRPr="000C77A2" w:rsidRDefault="00851EC0" w:rsidP="00AA08E6">
            <w:pPr>
              <w:pStyle w:val="Tabletext"/>
              <w:keepNext/>
              <w:widowControl w:val="0"/>
              <w:spacing w:before="0" w:after="0"/>
            </w:pPr>
            <w:r w:rsidRPr="000C77A2">
              <w:t>-</w:t>
            </w:r>
          </w:p>
        </w:tc>
      </w:tr>
      <w:tr w:rsidR="00851EC0" w:rsidRPr="000C77A2" w14:paraId="775171D3" w14:textId="77777777" w:rsidTr="00227D3C">
        <w:trPr>
          <w:cantSplit/>
          <w:trHeight w:val="253"/>
        </w:trPr>
        <w:tc>
          <w:tcPr>
            <w:tcW w:w="9017" w:type="dxa"/>
            <w:gridSpan w:val="5"/>
            <w:shd w:val="clear" w:color="auto" w:fill="auto"/>
          </w:tcPr>
          <w:p w14:paraId="59B7B2C1" w14:textId="77777777" w:rsidR="00851EC0" w:rsidRPr="000C77A2" w:rsidRDefault="00851EC0" w:rsidP="00AA08E6">
            <w:pPr>
              <w:pStyle w:val="Tabletext"/>
              <w:keepNext/>
              <w:widowControl w:val="0"/>
              <w:spacing w:before="0" w:after="0"/>
              <w:rPr>
                <w:vertAlign w:val="superscript"/>
              </w:rPr>
            </w:pPr>
            <w:r w:rsidRPr="000C77A2">
              <w:t>Prior lines of anticancer treatment, n (%)</w:t>
            </w:r>
            <w:r w:rsidRPr="000C77A2">
              <w:rPr>
                <w:vertAlign w:val="superscript"/>
              </w:rPr>
              <w:t>b</w:t>
            </w:r>
          </w:p>
        </w:tc>
      </w:tr>
      <w:tr w:rsidR="00851EC0" w:rsidRPr="000C77A2" w14:paraId="315D83B3" w14:textId="77777777" w:rsidTr="00227D3C">
        <w:trPr>
          <w:cantSplit/>
          <w:trHeight w:val="253"/>
        </w:trPr>
        <w:tc>
          <w:tcPr>
            <w:tcW w:w="1555" w:type="dxa"/>
            <w:shd w:val="clear" w:color="auto" w:fill="auto"/>
          </w:tcPr>
          <w:p w14:paraId="0A889215" w14:textId="77777777" w:rsidR="00851EC0" w:rsidRPr="000C77A2" w:rsidRDefault="00851EC0" w:rsidP="00AA08E6">
            <w:pPr>
              <w:pStyle w:val="Tabletext"/>
              <w:keepNext/>
              <w:widowControl w:val="0"/>
              <w:spacing w:before="0" w:after="0"/>
              <w:ind w:left="720" w:hanging="414"/>
            </w:pPr>
            <w:r w:rsidRPr="000C77A2">
              <w:t>0</w:t>
            </w:r>
          </w:p>
        </w:tc>
        <w:tc>
          <w:tcPr>
            <w:tcW w:w="1984" w:type="dxa"/>
            <w:shd w:val="clear" w:color="auto" w:fill="auto"/>
          </w:tcPr>
          <w:p w14:paraId="3458EECB" w14:textId="77777777" w:rsidR="00851EC0" w:rsidRPr="000C77A2" w:rsidRDefault="00851EC0" w:rsidP="00AA08E6">
            <w:pPr>
              <w:pStyle w:val="Tabletext"/>
              <w:keepNext/>
              <w:widowControl w:val="0"/>
              <w:spacing w:before="0" w:after="0"/>
            </w:pPr>
            <w:r w:rsidRPr="000C77A2">
              <w:t>1 (4)</w:t>
            </w:r>
          </w:p>
        </w:tc>
        <w:tc>
          <w:tcPr>
            <w:tcW w:w="1884" w:type="dxa"/>
            <w:shd w:val="clear" w:color="auto" w:fill="auto"/>
          </w:tcPr>
          <w:p w14:paraId="52CDC04E" w14:textId="77777777" w:rsidR="00851EC0" w:rsidRPr="000C77A2" w:rsidRDefault="00851EC0" w:rsidP="00AA08E6">
            <w:pPr>
              <w:pStyle w:val="Tabletext"/>
              <w:keepNext/>
              <w:widowControl w:val="0"/>
              <w:spacing w:before="0" w:after="0"/>
            </w:pPr>
            <w:r w:rsidRPr="000C77A2">
              <w:t>0 (0)</w:t>
            </w:r>
          </w:p>
        </w:tc>
        <w:tc>
          <w:tcPr>
            <w:tcW w:w="1644" w:type="dxa"/>
          </w:tcPr>
          <w:p w14:paraId="3A575304" w14:textId="77777777" w:rsidR="00851EC0" w:rsidRPr="000C77A2" w:rsidRDefault="00851EC0" w:rsidP="00AA08E6">
            <w:pPr>
              <w:pStyle w:val="Tabletext"/>
              <w:keepNext/>
              <w:widowControl w:val="0"/>
              <w:spacing w:before="0" w:after="0"/>
            </w:pPr>
            <w:r w:rsidRPr="000C77A2">
              <w:t>12 (40)</w:t>
            </w:r>
          </w:p>
        </w:tc>
        <w:tc>
          <w:tcPr>
            <w:tcW w:w="1950" w:type="dxa"/>
            <w:vMerge w:val="restart"/>
          </w:tcPr>
          <w:p w14:paraId="4318A2C2" w14:textId="77777777" w:rsidR="00851EC0" w:rsidRPr="000C77A2" w:rsidRDefault="00851EC0" w:rsidP="00AA08E6">
            <w:pPr>
              <w:pStyle w:val="Tabletext"/>
              <w:keepNext/>
              <w:widowControl w:val="0"/>
              <w:spacing w:before="0" w:after="0"/>
            </w:pPr>
            <w:r w:rsidRPr="000C77A2">
              <w:t xml:space="preserve">Reported for whole trial (N=372) but not by </w:t>
            </w:r>
            <w:proofErr w:type="spellStart"/>
            <w:r w:rsidRPr="000C77A2">
              <w:t>arm</w:t>
            </w:r>
            <w:r w:rsidRPr="000C77A2">
              <w:rPr>
                <w:vertAlign w:val="superscript"/>
              </w:rPr>
              <w:t>c</w:t>
            </w:r>
            <w:proofErr w:type="spellEnd"/>
            <w:r w:rsidRPr="000C77A2">
              <w:t>.</w:t>
            </w:r>
          </w:p>
          <w:p w14:paraId="2328D24E" w14:textId="77777777" w:rsidR="00851EC0" w:rsidRPr="000C77A2" w:rsidRDefault="00851EC0" w:rsidP="00AA08E6">
            <w:pPr>
              <w:pStyle w:val="Tabletext"/>
              <w:keepNext/>
              <w:widowControl w:val="0"/>
              <w:spacing w:before="0" w:after="0"/>
            </w:pPr>
            <w:r w:rsidRPr="000C77A2">
              <w:t>Prior systemic: 342 (93)</w:t>
            </w:r>
          </w:p>
          <w:p w14:paraId="7018CE67" w14:textId="77777777" w:rsidR="00851EC0" w:rsidRPr="000C77A2" w:rsidRDefault="00851EC0" w:rsidP="00AA08E6">
            <w:pPr>
              <w:pStyle w:val="Tabletext"/>
              <w:keepNext/>
              <w:widowControl w:val="0"/>
              <w:spacing w:before="0" w:after="0"/>
            </w:pPr>
            <w:r w:rsidRPr="000C77A2">
              <w:t>≥2: 207 (56)</w:t>
            </w:r>
          </w:p>
          <w:p w14:paraId="02B33DFB" w14:textId="77777777" w:rsidR="00851EC0" w:rsidRPr="000C77A2" w:rsidRDefault="00851EC0" w:rsidP="00AA08E6">
            <w:pPr>
              <w:pStyle w:val="Tabletext"/>
              <w:keepNext/>
              <w:widowControl w:val="0"/>
              <w:spacing w:before="0" w:after="0"/>
            </w:pPr>
            <w:r w:rsidRPr="000C77A2">
              <w:t>≥3: 78 (21)</w:t>
            </w:r>
          </w:p>
        </w:tc>
      </w:tr>
      <w:tr w:rsidR="00851EC0" w:rsidRPr="000C77A2" w14:paraId="37F1B522" w14:textId="77777777" w:rsidTr="00227D3C">
        <w:trPr>
          <w:cantSplit/>
          <w:trHeight w:val="253"/>
        </w:trPr>
        <w:tc>
          <w:tcPr>
            <w:tcW w:w="1555" w:type="dxa"/>
            <w:shd w:val="clear" w:color="auto" w:fill="auto"/>
          </w:tcPr>
          <w:p w14:paraId="6B9248BD" w14:textId="77777777" w:rsidR="00851EC0" w:rsidRPr="000C77A2" w:rsidRDefault="00851EC0" w:rsidP="00AA08E6">
            <w:pPr>
              <w:pStyle w:val="Tabletext"/>
              <w:keepNext/>
              <w:widowControl w:val="0"/>
              <w:spacing w:before="0" w:after="0"/>
              <w:ind w:left="720" w:hanging="414"/>
            </w:pPr>
            <w:r w:rsidRPr="000C77A2">
              <w:t>1</w:t>
            </w:r>
          </w:p>
        </w:tc>
        <w:tc>
          <w:tcPr>
            <w:tcW w:w="1984" w:type="dxa"/>
            <w:shd w:val="clear" w:color="auto" w:fill="auto"/>
          </w:tcPr>
          <w:p w14:paraId="65FD5BEA" w14:textId="77777777" w:rsidR="00851EC0" w:rsidRPr="000C77A2" w:rsidRDefault="00851EC0" w:rsidP="00AA08E6">
            <w:pPr>
              <w:pStyle w:val="Tabletext"/>
              <w:keepNext/>
              <w:widowControl w:val="0"/>
              <w:spacing w:before="0" w:after="0"/>
            </w:pPr>
            <w:r w:rsidRPr="000C77A2">
              <w:t>7 (26)</w:t>
            </w:r>
          </w:p>
        </w:tc>
        <w:tc>
          <w:tcPr>
            <w:tcW w:w="1884" w:type="dxa"/>
            <w:shd w:val="clear" w:color="auto" w:fill="auto"/>
          </w:tcPr>
          <w:p w14:paraId="43BC1785" w14:textId="77777777" w:rsidR="00851EC0" w:rsidRPr="000C77A2" w:rsidRDefault="00851EC0" w:rsidP="00AA08E6">
            <w:pPr>
              <w:pStyle w:val="Tabletext"/>
              <w:keepNext/>
              <w:widowControl w:val="0"/>
              <w:spacing w:before="0" w:after="0"/>
            </w:pPr>
            <w:r w:rsidRPr="000C77A2">
              <w:t>259 (89)</w:t>
            </w:r>
          </w:p>
        </w:tc>
        <w:tc>
          <w:tcPr>
            <w:tcW w:w="1644" w:type="dxa"/>
          </w:tcPr>
          <w:p w14:paraId="21DF184B" w14:textId="77777777" w:rsidR="00851EC0" w:rsidRPr="000C77A2" w:rsidRDefault="00851EC0" w:rsidP="00AA08E6">
            <w:pPr>
              <w:pStyle w:val="Tabletext"/>
              <w:keepNext/>
              <w:widowControl w:val="0"/>
              <w:spacing w:before="0" w:after="0"/>
            </w:pPr>
            <w:r w:rsidRPr="000C77A2">
              <w:t>11 (36)</w:t>
            </w:r>
          </w:p>
        </w:tc>
        <w:tc>
          <w:tcPr>
            <w:tcW w:w="1950" w:type="dxa"/>
            <w:vMerge/>
          </w:tcPr>
          <w:p w14:paraId="06B3B9F6" w14:textId="77777777" w:rsidR="00851EC0" w:rsidRPr="000C77A2" w:rsidRDefault="00851EC0" w:rsidP="00AA08E6">
            <w:pPr>
              <w:pStyle w:val="Tabletext"/>
              <w:keepNext/>
              <w:widowControl w:val="0"/>
              <w:spacing w:before="0" w:after="0"/>
            </w:pPr>
          </w:p>
        </w:tc>
      </w:tr>
      <w:tr w:rsidR="00851EC0" w:rsidRPr="000C77A2" w14:paraId="455377E5" w14:textId="77777777" w:rsidTr="00227D3C">
        <w:trPr>
          <w:cantSplit/>
          <w:trHeight w:val="253"/>
        </w:trPr>
        <w:tc>
          <w:tcPr>
            <w:tcW w:w="1555" w:type="dxa"/>
            <w:shd w:val="clear" w:color="auto" w:fill="auto"/>
          </w:tcPr>
          <w:p w14:paraId="4EBEBDFB" w14:textId="77777777" w:rsidR="00851EC0" w:rsidRPr="000C77A2" w:rsidRDefault="00851EC0" w:rsidP="00AA08E6">
            <w:pPr>
              <w:pStyle w:val="Tabletext"/>
              <w:keepNext/>
              <w:widowControl w:val="0"/>
              <w:spacing w:before="0" w:after="0"/>
              <w:ind w:left="720" w:hanging="414"/>
            </w:pPr>
            <w:r w:rsidRPr="000C77A2">
              <w:t>2</w:t>
            </w:r>
          </w:p>
        </w:tc>
        <w:tc>
          <w:tcPr>
            <w:tcW w:w="1984" w:type="dxa"/>
            <w:shd w:val="clear" w:color="auto" w:fill="auto"/>
          </w:tcPr>
          <w:p w14:paraId="068B1DDB" w14:textId="77777777" w:rsidR="00851EC0" w:rsidRPr="000C77A2" w:rsidRDefault="00851EC0" w:rsidP="00AA08E6">
            <w:pPr>
              <w:pStyle w:val="Tabletext"/>
              <w:keepNext/>
              <w:widowControl w:val="0"/>
              <w:spacing w:before="0" w:after="0"/>
            </w:pPr>
            <w:r w:rsidRPr="000C77A2">
              <w:t>8 (30)</w:t>
            </w:r>
          </w:p>
        </w:tc>
        <w:tc>
          <w:tcPr>
            <w:tcW w:w="1884" w:type="dxa"/>
            <w:shd w:val="clear" w:color="auto" w:fill="auto"/>
          </w:tcPr>
          <w:p w14:paraId="2204FB9B" w14:textId="77777777" w:rsidR="00851EC0" w:rsidRPr="000C77A2" w:rsidRDefault="00851EC0" w:rsidP="00AA08E6">
            <w:pPr>
              <w:pStyle w:val="Tabletext"/>
              <w:keepNext/>
              <w:widowControl w:val="0"/>
              <w:spacing w:before="0" w:after="0"/>
            </w:pPr>
            <w:r w:rsidRPr="000C77A2">
              <w:t>31 (11)</w:t>
            </w:r>
          </w:p>
        </w:tc>
        <w:tc>
          <w:tcPr>
            <w:tcW w:w="1644" w:type="dxa"/>
          </w:tcPr>
          <w:p w14:paraId="343520C2" w14:textId="77777777" w:rsidR="00851EC0" w:rsidRPr="000C77A2" w:rsidRDefault="00851EC0" w:rsidP="00AA08E6">
            <w:pPr>
              <w:pStyle w:val="Tabletext"/>
              <w:keepNext/>
              <w:widowControl w:val="0"/>
              <w:spacing w:before="0" w:after="0"/>
            </w:pPr>
            <w:r w:rsidRPr="000C77A2">
              <w:t>2 (7)</w:t>
            </w:r>
          </w:p>
        </w:tc>
        <w:tc>
          <w:tcPr>
            <w:tcW w:w="1950" w:type="dxa"/>
            <w:vMerge/>
          </w:tcPr>
          <w:p w14:paraId="753675D6" w14:textId="77777777" w:rsidR="00851EC0" w:rsidRPr="000C77A2" w:rsidRDefault="00851EC0" w:rsidP="00AA08E6">
            <w:pPr>
              <w:pStyle w:val="Tabletext"/>
              <w:keepNext/>
              <w:widowControl w:val="0"/>
              <w:spacing w:before="0" w:after="0"/>
            </w:pPr>
          </w:p>
        </w:tc>
      </w:tr>
      <w:tr w:rsidR="00851EC0" w:rsidRPr="000C77A2" w14:paraId="08A48FF0" w14:textId="77777777" w:rsidTr="00227D3C">
        <w:trPr>
          <w:cantSplit/>
          <w:trHeight w:val="253"/>
        </w:trPr>
        <w:tc>
          <w:tcPr>
            <w:tcW w:w="1555" w:type="dxa"/>
            <w:shd w:val="clear" w:color="auto" w:fill="auto"/>
          </w:tcPr>
          <w:p w14:paraId="2E2B6E6C" w14:textId="77777777" w:rsidR="00851EC0" w:rsidRPr="000C77A2" w:rsidRDefault="00851EC0" w:rsidP="00AA08E6">
            <w:pPr>
              <w:pStyle w:val="Tabletext"/>
              <w:keepNext/>
              <w:widowControl w:val="0"/>
              <w:spacing w:before="0" w:after="0"/>
              <w:ind w:left="720" w:hanging="414"/>
            </w:pPr>
            <w:r w:rsidRPr="000C77A2">
              <w:t>≥3</w:t>
            </w:r>
          </w:p>
        </w:tc>
        <w:tc>
          <w:tcPr>
            <w:tcW w:w="1984" w:type="dxa"/>
            <w:shd w:val="clear" w:color="auto" w:fill="auto"/>
          </w:tcPr>
          <w:p w14:paraId="53380418" w14:textId="77777777" w:rsidR="00851EC0" w:rsidRPr="000C77A2" w:rsidRDefault="00851EC0" w:rsidP="00AA08E6">
            <w:pPr>
              <w:pStyle w:val="Tabletext"/>
              <w:keepNext/>
              <w:widowControl w:val="0"/>
              <w:spacing w:before="0" w:after="0"/>
            </w:pPr>
            <w:r w:rsidRPr="000C77A2">
              <w:t>11 (41)</w:t>
            </w:r>
          </w:p>
        </w:tc>
        <w:tc>
          <w:tcPr>
            <w:tcW w:w="1884" w:type="dxa"/>
            <w:shd w:val="clear" w:color="auto" w:fill="auto"/>
          </w:tcPr>
          <w:p w14:paraId="2701E4E9" w14:textId="77777777" w:rsidR="00851EC0" w:rsidRPr="000C77A2" w:rsidRDefault="00851EC0" w:rsidP="00AA08E6">
            <w:pPr>
              <w:pStyle w:val="Tabletext"/>
              <w:keepNext/>
              <w:widowControl w:val="0"/>
              <w:spacing w:before="0" w:after="0"/>
            </w:pPr>
            <w:r w:rsidRPr="000C77A2">
              <w:t>-</w:t>
            </w:r>
          </w:p>
        </w:tc>
        <w:tc>
          <w:tcPr>
            <w:tcW w:w="1644" w:type="dxa"/>
          </w:tcPr>
          <w:p w14:paraId="0EB79078" w14:textId="77777777" w:rsidR="00851EC0" w:rsidRPr="000C77A2" w:rsidRDefault="00851EC0" w:rsidP="00AA08E6">
            <w:pPr>
              <w:pStyle w:val="Tabletext"/>
              <w:keepNext/>
              <w:widowControl w:val="0"/>
              <w:spacing w:before="0" w:after="0"/>
            </w:pPr>
            <w:r w:rsidRPr="000C77A2">
              <w:t>5 (17)</w:t>
            </w:r>
          </w:p>
        </w:tc>
        <w:tc>
          <w:tcPr>
            <w:tcW w:w="1950" w:type="dxa"/>
            <w:vMerge/>
          </w:tcPr>
          <w:p w14:paraId="332E0C8F" w14:textId="77777777" w:rsidR="00851EC0" w:rsidRPr="000C77A2" w:rsidRDefault="00851EC0" w:rsidP="00AA08E6">
            <w:pPr>
              <w:pStyle w:val="Tabletext"/>
              <w:keepNext/>
              <w:widowControl w:val="0"/>
              <w:spacing w:before="0" w:after="0"/>
            </w:pPr>
          </w:p>
        </w:tc>
      </w:tr>
    </w:tbl>
    <w:p w14:paraId="2C329054" w14:textId="13A2B6BF" w:rsidR="00851EC0" w:rsidRPr="000C77A2" w:rsidRDefault="00851EC0" w:rsidP="00AA08E6">
      <w:pPr>
        <w:pStyle w:val="TableFooter"/>
      </w:pPr>
      <w:r w:rsidRPr="000C77A2">
        <w:t>Source: Table 2-33 of the resubmission.</w:t>
      </w:r>
    </w:p>
    <w:p w14:paraId="2AD7AB74" w14:textId="77777777" w:rsidR="00851EC0" w:rsidRPr="000C77A2" w:rsidRDefault="00851EC0" w:rsidP="00851EC0">
      <w:pPr>
        <w:pStyle w:val="TableFooter"/>
      </w:pPr>
      <w:r w:rsidRPr="000C77A2">
        <w:t>ECOG = Eastern Cooperative Oncology Group; NR = reported; NTRK = neurotrophic tyrosine receptor kinase, NSCLC = non-small cell lung cancer; SCLC = small cell lung cancer; STS = soft tissue sarcoma.</w:t>
      </w:r>
    </w:p>
    <w:p w14:paraId="2ED938D0" w14:textId="77777777" w:rsidR="00851EC0" w:rsidRPr="000C77A2" w:rsidRDefault="00851EC0" w:rsidP="00851EC0">
      <w:pPr>
        <w:pStyle w:val="TableFooter"/>
      </w:pPr>
      <w:r w:rsidRPr="000C77A2">
        <w:t>Data cutoff July 2022</w:t>
      </w:r>
    </w:p>
    <w:p w14:paraId="5E655BD4" w14:textId="77777777" w:rsidR="00851EC0" w:rsidRPr="000C77A2" w:rsidRDefault="00851EC0" w:rsidP="00851EC0">
      <w:pPr>
        <w:pStyle w:val="TableFooter"/>
      </w:pPr>
      <w:proofErr w:type="spellStart"/>
      <w:r w:rsidRPr="000C77A2">
        <w:rPr>
          <w:vertAlign w:val="superscript"/>
        </w:rPr>
        <w:t>a</w:t>
      </w:r>
      <w:r w:rsidRPr="000C77A2">
        <w:t>Data</w:t>
      </w:r>
      <w:proofErr w:type="spellEnd"/>
      <w:r w:rsidRPr="000C77A2">
        <w:t xml:space="preserve"> were not presented exclusively for NSCLC patients.; Of the 27 patients, one patient had atypical carcinoid tumour of the lung and one patient had SCLC.</w:t>
      </w:r>
    </w:p>
    <w:p w14:paraId="7180ACCE" w14:textId="77777777" w:rsidR="00851EC0" w:rsidRPr="000C77A2" w:rsidRDefault="00851EC0" w:rsidP="00851EC0">
      <w:pPr>
        <w:pStyle w:val="TableFooter"/>
      </w:pPr>
      <w:proofErr w:type="spellStart"/>
      <w:r w:rsidRPr="000C77A2">
        <w:rPr>
          <w:vertAlign w:val="superscript"/>
        </w:rPr>
        <w:t>b</w:t>
      </w:r>
      <w:r w:rsidRPr="000C77A2">
        <w:t>Percentages</w:t>
      </w:r>
      <w:proofErr w:type="spellEnd"/>
      <w:r w:rsidRPr="000C77A2">
        <w:t xml:space="preserve"> based on N as the denominator.</w:t>
      </w:r>
    </w:p>
    <w:p w14:paraId="70723E0A" w14:textId="77777777" w:rsidR="00851EC0" w:rsidRPr="000C77A2" w:rsidRDefault="00851EC0" w:rsidP="00851EC0">
      <w:pPr>
        <w:pStyle w:val="TableFooter"/>
      </w:pPr>
      <w:proofErr w:type="spellStart"/>
      <w:r w:rsidRPr="000C77A2">
        <w:rPr>
          <w:vertAlign w:val="superscript"/>
        </w:rPr>
        <w:t>c</w:t>
      </w:r>
      <w:r w:rsidRPr="000C77A2">
        <w:t>Sourced</w:t>
      </w:r>
      <w:proofErr w:type="spellEnd"/>
      <w:r w:rsidRPr="000C77A2">
        <w:t xml:space="preserve"> from van der Graaf 2012 (p1882).</w:t>
      </w:r>
    </w:p>
    <w:p w14:paraId="76D8561C" w14:textId="644981B8" w:rsidR="00851EC0" w:rsidRPr="000C77A2" w:rsidRDefault="00851EC0" w:rsidP="00560AEC">
      <w:pPr>
        <w:pStyle w:val="TableFooter"/>
        <w:spacing w:after="120"/>
      </w:pPr>
      <w:proofErr w:type="spellStart"/>
      <w:r w:rsidRPr="000C77A2">
        <w:rPr>
          <w:vertAlign w:val="superscript"/>
        </w:rPr>
        <w:t>d</w:t>
      </w:r>
      <w:r w:rsidRPr="000C77A2">
        <w:t>Two</w:t>
      </w:r>
      <w:proofErr w:type="spellEnd"/>
      <w:r w:rsidRPr="000C77A2">
        <w:t xml:space="preserve"> patients with STS from Study 20290 (SCOUT) were included in the pooled ePAS7 dataset. The SCOUT study was originally a paediatric study, two patients with NTRK fusion positive STS have since had their 18</w:t>
      </w:r>
      <w:r w:rsidRPr="000C77A2">
        <w:rPr>
          <w:vertAlign w:val="superscript"/>
        </w:rPr>
        <w:t>th</w:t>
      </w:r>
      <w:r w:rsidRPr="000C77A2">
        <w:t xml:space="preserve"> birthdays at the updated July 2022 data cutoff.</w:t>
      </w:r>
    </w:p>
    <w:p w14:paraId="44448202" w14:textId="0E40EAC4" w:rsidR="00B60939" w:rsidRPr="000C77A2" w:rsidRDefault="00C2095C" w:rsidP="00EC5836">
      <w:pPr>
        <w:pStyle w:val="4-SubsectionHeading"/>
      </w:pPr>
      <w:bookmarkStart w:id="26" w:name="_Toc22897641"/>
      <w:bookmarkStart w:id="27" w:name="_Toc156903959"/>
      <w:r w:rsidRPr="000C77A2">
        <w:t>Comparative e</w:t>
      </w:r>
      <w:r w:rsidR="00B60939" w:rsidRPr="000C77A2">
        <w:t>ffectiveness</w:t>
      </w:r>
      <w:bookmarkEnd w:id="26"/>
      <w:bookmarkEnd w:id="27"/>
    </w:p>
    <w:p w14:paraId="09ADB70E" w14:textId="7EA7759B" w:rsidR="0042066A" w:rsidRPr="000C77A2" w:rsidRDefault="0042066A" w:rsidP="009C31D1">
      <w:pPr>
        <w:spacing w:after="120"/>
        <w:rPr>
          <w:b/>
          <w:bCs/>
        </w:rPr>
      </w:pPr>
      <w:r w:rsidRPr="000C77A2">
        <w:rPr>
          <w:b/>
          <w:bCs/>
        </w:rPr>
        <w:t>Pooled OS data for larotrectinib</w:t>
      </w:r>
      <w:r w:rsidR="0014618A" w:rsidRPr="000C77A2">
        <w:rPr>
          <w:b/>
          <w:bCs/>
        </w:rPr>
        <w:t xml:space="preserve"> (ePAS7)</w:t>
      </w:r>
    </w:p>
    <w:p w14:paraId="43CDC6C0" w14:textId="3A994B95" w:rsidR="003A274C" w:rsidRPr="000C77A2" w:rsidRDefault="0014618A" w:rsidP="00EC5836">
      <w:pPr>
        <w:pStyle w:val="3-BodyText"/>
      </w:pPr>
      <w:r w:rsidRPr="000C77A2">
        <w:t>Pooled OS results from the ePAS7</w:t>
      </w:r>
      <w:r w:rsidR="00D600F4" w:rsidRPr="000C77A2">
        <w:t xml:space="preserve"> (N=272)</w:t>
      </w:r>
      <w:r w:rsidRPr="000C77A2">
        <w:t xml:space="preserve"> across all tumour types:</w:t>
      </w:r>
    </w:p>
    <w:p w14:paraId="34613EDA" w14:textId="2403E0A4" w:rsidR="0014618A" w:rsidRPr="000C77A2" w:rsidRDefault="0014618A" w:rsidP="00D85BDC">
      <w:pPr>
        <w:pStyle w:val="3-BodyText"/>
        <w:numPr>
          <w:ilvl w:val="0"/>
          <w:numId w:val="25"/>
        </w:numPr>
        <w:ind w:left="1077" w:hanging="357"/>
      </w:pPr>
      <w:r w:rsidRPr="000C77A2">
        <w:t>Based on the July 2022 data cutoff (median follow-up duration of 39.4 months), the pooled OS results remained immature. The median OS was not estimable (NE) (95% CI: 63.4 months, NE). The OS rates at 24 months, 36 months, and 48 months were 77% (95% CI: 72%, 82%), 72% (95% CI: 66%, 78%), and 65% (95% CI: 58%, 72%), respectively.</w:t>
      </w:r>
    </w:p>
    <w:p w14:paraId="2EE9F5B8" w14:textId="77777777" w:rsidR="003A274C" w:rsidRPr="000C77A2" w:rsidRDefault="0014618A" w:rsidP="005D3B1D">
      <w:pPr>
        <w:pStyle w:val="3-BodyText"/>
        <w:keepNext/>
      </w:pPr>
      <w:r w:rsidRPr="000C77A2">
        <w:lastRenderedPageBreak/>
        <w:t>OS results from the ePAS7 by primary diagnosis</w:t>
      </w:r>
      <w:r w:rsidR="003A274C" w:rsidRPr="000C77A2">
        <w:t xml:space="preserve"> or tumour type</w:t>
      </w:r>
      <w:r w:rsidRPr="000C77A2">
        <w:t>:</w:t>
      </w:r>
    </w:p>
    <w:p w14:paraId="0973BD08" w14:textId="7BFD006B" w:rsidR="0014618A" w:rsidRPr="000C77A2" w:rsidRDefault="003A274C" w:rsidP="005D3B1D">
      <w:pPr>
        <w:pStyle w:val="3-BodyText"/>
        <w:keepNext/>
        <w:numPr>
          <w:ilvl w:val="0"/>
          <w:numId w:val="25"/>
        </w:numPr>
        <w:ind w:left="1077" w:hanging="357"/>
      </w:pPr>
      <w:r w:rsidRPr="000C77A2">
        <w:t xml:space="preserve">Overall, there were small patient numbers for </w:t>
      </w:r>
      <w:proofErr w:type="gramStart"/>
      <w:r w:rsidRPr="000C77A2">
        <w:t>the majority of</w:t>
      </w:r>
      <w:proofErr w:type="gramEnd"/>
      <w:r w:rsidRPr="000C77A2">
        <w:t xml:space="preserve"> the tumour type cohorts which limited the reliability of the results. </w:t>
      </w:r>
    </w:p>
    <w:p w14:paraId="69082803" w14:textId="77777777" w:rsidR="003A274C" w:rsidRPr="000C77A2" w:rsidRDefault="003A274C" w:rsidP="00D85BDC">
      <w:pPr>
        <w:pStyle w:val="ListParagraph"/>
        <w:numPr>
          <w:ilvl w:val="0"/>
          <w:numId w:val="25"/>
        </w:numPr>
        <w:ind w:left="1077" w:hanging="357"/>
      </w:pPr>
      <w:r w:rsidRPr="000C77A2">
        <w:t>The median OS was 39.3 months for lung tumour type. Corresponding OS rates at 12 months, 24 months, 36 months, and 48 months were 89%, 67%, 57%, and 38%, respectively.</w:t>
      </w:r>
    </w:p>
    <w:p w14:paraId="4297A272" w14:textId="4634DEAE" w:rsidR="003A274C" w:rsidRPr="000C77A2" w:rsidRDefault="003A274C" w:rsidP="00D85BDC">
      <w:pPr>
        <w:pStyle w:val="ListParagraph"/>
        <w:numPr>
          <w:ilvl w:val="0"/>
          <w:numId w:val="25"/>
        </w:numPr>
        <w:ind w:left="1077" w:hanging="357"/>
        <w:rPr>
          <w:i/>
          <w:iCs/>
        </w:rPr>
      </w:pPr>
      <w:r w:rsidRPr="000C77A2">
        <w:t xml:space="preserve">The OS rates at 12 months, 24 months, 36 months, and 48 months were highest for </w:t>
      </w:r>
      <w:r w:rsidR="00051038" w:rsidRPr="000C77A2">
        <w:t>infantile sarcoma (</w:t>
      </w:r>
      <w:r w:rsidRPr="000C77A2">
        <w:t>IFS</w:t>
      </w:r>
      <w:r w:rsidR="00051038" w:rsidRPr="000C77A2">
        <w:t>)</w:t>
      </w:r>
      <w:r w:rsidRPr="000C77A2">
        <w:t xml:space="preserve"> (100%, 98%, 98%, </w:t>
      </w:r>
      <w:r w:rsidR="000F193D" w:rsidRPr="000C77A2">
        <w:t xml:space="preserve">and </w:t>
      </w:r>
      <w:r w:rsidRPr="000C77A2">
        <w:t xml:space="preserve">98%, respectively) and salivary gland (96%, 88%, 83%, </w:t>
      </w:r>
      <w:r w:rsidR="000F193D" w:rsidRPr="000C77A2">
        <w:t xml:space="preserve">and </w:t>
      </w:r>
      <w:r w:rsidRPr="000C77A2">
        <w:t xml:space="preserve">72%, respectively) tumour types, and lowest for breast tumour type (80%, 55%, 41%, </w:t>
      </w:r>
      <w:r w:rsidR="000F193D" w:rsidRPr="000C77A2">
        <w:t xml:space="preserve">and </w:t>
      </w:r>
      <w:r w:rsidRPr="000C77A2">
        <w:t xml:space="preserve">41%, respectively). </w:t>
      </w:r>
      <w:r w:rsidR="0048668F" w:rsidRPr="000C77A2">
        <w:t xml:space="preserve">The PBAC noted in its previous consideration of larotrectinib that the evidence was indicative of a larger treatment effect in patients with high frequency </w:t>
      </w:r>
      <w:r w:rsidR="0048668F" w:rsidRPr="000C77A2">
        <w:rPr>
          <w:i/>
          <w:iCs/>
        </w:rPr>
        <w:t>NTRK</w:t>
      </w:r>
      <w:r w:rsidR="0048668F" w:rsidRPr="000C77A2">
        <w:t xml:space="preserve"> fusion tumours compared to those with low frequency </w:t>
      </w:r>
      <w:r w:rsidR="0048668F" w:rsidRPr="000C77A2">
        <w:rPr>
          <w:i/>
          <w:iCs/>
        </w:rPr>
        <w:t>NTRK</w:t>
      </w:r>
      <w:r w:rsidR="0048668F" w:rsidRPr="000C77A2">
        <w:t xml:space="preserve"> fusion tumours, although the number of patients across the studies was small</w:t>
      </w:r>
      <w:r w:rsidRPr="000C77A2">
        <w:t xml:space="preserve"> (</w:t>
      </w:r>
      <w:r w:rsidR="0048668F" w:rsidRPr="000C77A2">
        <w:t xml:space="preserve">para 7.7, </w:t>
      </w:r>
      <w:r w:rsidRPr="000C77A2">
        <w:t>larotrectinib PSD</w:t>
      </w:r>
      <w:r w:rsidR="0048668F" w:rsidRPr="000C77A2">
        <w:t>, November 2021 PBAC Meeting with March 2022 Addendum).</w:t>
      </w:r>
      <w:r w:rsidRPr="000C77A2">
        <w:t xml:space="preserve"> IFS and breast cancer </w:t>
      </w:r>
      <w:r w:rsidR="0048668F" w:rsidRPr="000C77A2">
        <w:t>are</w:t>
      </w:r>
      <w:r w:rsidRPr="000C77A2">
        <w:t xml:space="preserve"> considered high and low fusion frequency tumour types, respectively</w:t>
      </w:r>
      <w:r w:rsidRPr="000C77A2">
        <w:rPr>
          <w:i/>
          <w:iCs/>
        </w:rPr>
        <w:t>.</w:t>
      </w:r>
    </w:p>
    <w:p w14:paraId="2DA01900" w14:textId="650C8C8B" w:rsidR="00051038" w:rsidRPr="000C77A2" w:rsidRDefault="003A274C" w:rsidP="00D85BDC">
      <w:pPr>
        <w:pStyle w:val="ListParagraph"/>
        <w:numPr>
          <w:ilvl w:val="0"/>
          <w:numId w:val="25"/>
        </w:numPr>
        <w:ind w:left="1077" w:hanging="357"/>
      </w:pPr>
      <w:r w:rsidRPr="000C77A2">
        <w:t xml:space="preserve">For tumour types with at least 10 patients in a cohort, the median OS ranged from 29.4 months for </w:t>
      </w:r>
      <w:r w:rsidR="003E5D4A" w:rsidRPr="000C77A2">
        <w:t>CRC</w:t>
      </w:r>
      <w:r w:rsidRPr="000C77A2">
        <w:t xml:space="preserve"> to 39.3 months for lung carcinoma; and the median OS was not reached in the STS, IFS, thyroid</w:t>
      </w:r>
      <w:r w:rsidR="000F193D" w:rsidRPr="000C77A2">
        <w:t xml:space="preserve"> </w:t>
      </w:r>
      <w:proofErr w:type="gramStart"/>
      <w:r w:rsidR="000F193D" w:rsidRPr="000C77A2">
        <w:t>cancer</w:t>
      </w:r>
      <w:proofErr w:type="gramEnd"/>
      <w:r w:rsidRPr="000C77A2">
        <w:t xml:space="preserve"> and salivary gland tumour groups.</w:t>
      </w:r>
    </w:p>
    <w:p w14:paraId="7EA8A4D6" w14:textId="32B432E8" w:rsidR="003A274C" w:rsidRPr="000C77A2" w:rsidRDefault="003A274C" w:rsidP="00D85BDC">
      <w:pPr>
        <w:pStyle w:val="ListParagraph"/>
        <w:numPr>
          <w:ilvl w:val="0"/>
          <w:numId w:val="25"/>
        </w:numPr>
        <w:ind w:left="1077" w:hanging="357"/>
        <w:rPr>
          <w:i/>
          <w:iCs/>
        </w:rPr>
      </w:pPr>
      <w:r w:rsidRPr="000C77A2">
        <w:t xml:space="preserve">The limited reliability of the data hampered the assessment of whether the treatment effect was consistent across different tumour types. Notwithstanding this, the OS results </w:t>
      </w:r>
      <w:r w:rsidR="0048668F" w:rsidRPr="000C77A2">
        <w:t>were</w:t>
      </w:r>
      <w:r w:rsidRPr="000C77A2">
        <w:t xml:space="preserve"> indicative of </w:t>
      </w:r>
      <w:r w:rsidR="0048668F" w:rsidRPr="000C77A2">
        <w:t>a variation</w:t>
      </w:r>
      <w:r w:rsidRPr="000C77A2">
        <w:t xml:space="preserve"> in the treatment benefit </w:t>
      </w:r>
      <w:r w:rsidR="0048668F" w:rsidRPr="000C77A2">
        <w:t xml:space="preserve">of larotrectinib </w:t>
      </w:r>
      <w:r w:rsidRPr="000C77A2">
        <w:t>across different tumour types. Consequently, interpreting the pooled results from the ePAS7 remains problematic.</w:t>
      </w:r>
    </w:p>
    <w:p w14:paraId="5DF8E5C1" w14:textId="563B4F92" w:rsidR="00183C0C" w:rsidRPr="000C77A2" w:rsidRDefault="00183C0C" w:rsidP="009C31D1">
      <w:pPr>
        <w:spacing w:after="120"/>
        <w:rPr>
          <w:b/>
          <w:bCs/>
        </w:rPr>
      </w:pPr>
      <w:r w:rsidRPr="000C77A2">
        <w:rPr>
          <w:b/>
          <w:bCs/>
        </w:rPr>
        <w:t>Pooled PFS data for larotrectinib (ePAS7)</w:t>
      </w:r>
    </w:p>
    <w:p w14:paraId="1DE8B534" w14:textId="3CCB2B18" w:rsidR="00183C0C" w:rsidRPr="000C77A2" w:rsidRDefault="00183C0C" w:rsidP="00183C0C">
      <w:pPr>
        <w:pStyle w:val="3-BodyText"/>
      </w:pPr>
      <w:r w:rsidRPr="000C77A2">
        <w:t>Based on the July 2022 data cutoff (median follow-up duration of 34.0 months), the median investigator assessed PFS was 27.5 months (95% CI: 19.2 months, 36.1</w:t>
      </w:r>
      <w:r w:rsidR="0094358C">
        <w:t> </w:t>
      </w:r>
      <w:r w:rsidRPr="000C77A2">
        <w:t>months). The corresponding PFS rates at 24 months, 36 months, and 48 months were 53% (95% CI: 46%, 59%), 43% (95% CI: 36%, 50%), and 37% (95% CI: 29%, 44%), respectively.</w:t>
      </w:r>
    </w:p>
    <w:p w14:paraId="45F51128" w14:textId="5D88B31D" w:rsidR="00183C0C" w:rsidRPr="000C77A2" w:rsidRDefault="00183C0C" w:rsidP="00183C0C">
      <w:pPr>
        <w:pStyle w:val="3-BodyText"/>
      </w:pPr>
      <w:r w:rsidRPr="000C77A2">
        <w:t>Based on the July 2022 data cutoff (median follow-up duration of 31.3 months), the median</w:t>
      </w:r>
      <w:r w:rsidR="003E5D4A" w:rsidRPr="000C77A2">
        <w:t xml:space="preserve"> independent review committee</w:t>
      </w:r>
      <w:r w:rsidRPr="000C77A2">
        <w:t xml:space="preserve"> </w:t>
      </w:r>
      <w:r w:rsidR="003E5D4A" w:rsidRPr="000C77A2">
        <w:t>(</w:t>
      </w:r>
      <w:r w:rsidRPr="000C77A2">
        <w:t>IRC</w:t>
      </w:r>
      <w:r w:rsidR="003E5D4A" w:rsidRPr="000C77A2">
        <w:t>)</w:t>
      </w:r>
      <w:r w:rsidRPr="000C77A2">
        <w:t xml:space="preserve"> assessed PFS was 30.8 months (95% CI: 23.4 months, 36.1 months). The corresponding PFS rates at 24 months, 36 months, and 48 months were 56% (95% CI: 49%, 62%), 43% (95% CI: 36%, 51%), and 39% (95% CI: 31%, 47%), respectively.</w:t>
      </w:r>
    </w:p>
    <w:p w14:paraId="450A8383" w14:textId="5F889752" w:rsidR="00051038" w:rsidRPr="000C77A2" w:rsidRDefault="00051038" w:rsidP="00560AEC">
      <w:pPr>
        <w:keepNext/>
        <w:spacing w:after="120"/>
        <w:rPr>
          <w:b/>
          <w:bCs/>
        </w:rPr>
      </w:pPr>
      <w:r w:rsidRPr="000C77A2">
        <w:rPr>
          <w:b/>
          <w:bCs/>
        </w:rPr>
        <w:t xml:space="preserve">Indirect comparison of effectiveness – Larotrectinib </w:t>
      </w:r>
      <w:r w:rsidRPr="000C77A2">
        <w:rPr>
          <w:b/>
          <w:bCs/>
          <w:i/>
          <w:iCs/>
        </w:rPr>
        <w:t>versus</w:t>
      </w:r>
      <w:r w:rsidRPr="000C77A2">
        <w:rPr>
          <w:b/>
          <w:bCs/>
        </w:rPr>
        <w:t xml:space="preserve"> docetaxel in NSCLC</w:t>
      </w:r>
    </w:p>
    <w:p w14:paraId="5A39C5CC" w14:textId="7D1752D7" w:rsidR="00A32712" w:rsidRPr="000C77A2" w:rsidRDefault="00A32712" w:rsidP="00EC5836">
      <w:pPr>
        <w:pStyle w:val="3-BodyText"/>
      </w:pPr>
      <w:r w:rsidRPr="000C77A2">
        <w:fldChar w:fldCharType="begin" w:fldLock="1"/>
      </w:r>
      <w:r w:rsidRPr="000C77A2">
        <w:instrText xml:space="preserve"> REF _Ref154496351 \h </w:instrText>
      </w:r>
      <w:r w:rsidRPr="000C77A2">
        <w:fldChar w:fldCharType="separate"/>
      </w:r>
      <w:r w:rsidR="001B0FE7" w:rsidRPr="000C77A2">
        <w:t xml:space="preserve">Table </w:t>
      </w:r>
      <w:r w:rsidR="001B0FE7">
        <w:rPr>
          <w:noProof/>
        </w:rPr>
        <w:t>7</w:t>
      </w:r>
      <w:r w:rsidRPr="000C77A2">
        <w:fldChar w:fldCharType="end"/>
      </w:r>
      <w:r w:rsidRPr="000C77A2">
        <w:t xml:space="preserve"> summarises the key outcomes from the ePAS7 pooled dataset for larotrectinib and from CheckMate 057 for docetaxel. For larotrectinib, data are presented for all lung cancer patients (N=27) </w:t>
      </w:r>
      <w:r w:rsidR="000F193D" w:rsidRPr="000C77A2">
        <w:t>and for</w:t>
      </w:r>
      <w:r w:rsidRPr="000C77A2">
        <w:t xml:space="preserve"> NSCLC patients</w:t>
      </w:r>
      <w:r w:rsidR="000F193D" w:rsidRPr="000C77A2">
        <w:t xml:space="preserve"> only (N=25)</w:t>
      </w:r>
      <w:r w:rsidRPr="000C77A2">
        <w:t>.</w:t>
      </w:r>
    </w:p>
    <w:p w14:paraId="49038E12" w14:textId="2A07635A" w:rsidR="00A32712" w:rsidRPr="000C77A2" w:rsidRDefault="00A32712" w:rsidP="00A32712">
      <w:pPr>
        <w:pStyle w:val="Caption"/>
      </w:pPr>
      <w:bookmarkStart w:id="28" w:name="_Ref154496351"/>
      <w:r w:rsidRPr="000C77A2">
        <w:lastRenderedPageBreak/>
        <w:t xml:space="preserve">Table </w:t>
      </w:r>
      <w:fldSimple w:instr=" SEQ Table \* ARABIC " w:fldLock="1">
        <w:r w:rsidR="001B0FE7">
          <w:rPr>
            <w:noProof/>
          </w:rPr>
          <w:t>7</w:t>
        </w:r>
      </w:fldSimple>
      <w:bookmarkEnd w:id="28"/>
      <w:r w:rsidRPr="000C77A2">
        <w:t>: Key efficacy outcomes for the larotrectinib and docetaxel datasets.</w:t>
      </w:r>
    </w:p>
    <w:tbl>
      <w:tblPr>
        <w:tblStyle w:val="HTATableshaded"/>
        <w:tblW w:w="5000" w:type="pct"/>
        <w:tblLook w:val="04A0" w:firstRow="1" w:lastRow="0" w:firstColumn="1" w:lastColumn="0" w:noHBand="0" w:noVBand="1"/>
        <w:tblCaption w:val="Table 7: Key efficacy outcomes for the larotrectinib and docetaxel datasets."/>
      </w:tblPr>
      <w:tblGrid>
        <w:gridCol w:w="2308"/>
        <w:gridCol w:w="2195"/>
        <w:gridCol w:w="2166"/>
        <w:gridCol w:w="2348"/>
      </w:tblGrid>
      <w:tr w:rsidR="00A32712" w:rsidRPr="000C77A2" w14:paraId="4C87AB61" w14:textId="77777777" w:rsidTr="00F91FD9">
        <w:trPr>
          <w:cnfStyle w:val="100000000000" w:firstRow="1" w:lastRow="0" w:firstColumn="0" w:lastColumn="0" w:oddVBand="0" w:evenVBand="0" w:oddHBand="0" w:evenHBand="0" w:firstRowFirstColumn="0" w:firstRowLastColumn="0" w:lastRowFirstColumn="0" w:lastRowLastColumn="0"/>
          <w:cantSplit/>
          <w:trHeight w:val="301"/>
        </w:trPr>
        <w:tc>
          <w:tcPr>
            <w:tcW w:w="1280" w:type="pct"/>
            <w:vMerge w:val="restart"/>
            <w:shd w:val="clear" w:color="auto" w:fill="auto"/>
          </w:tcPr>
          <w:p w14:paraId="286E1E55" w14:textId="77777777" w:rsidR="00A32712" w:rsidRPr="000C77A2" w:rsidRDefault="00A32712" w:rsidP="00F91FD9">
            <w:pPr>
              <w:pStyle w:val="Tabletext"/>
              <w:keepNext/>
              <w:widowControl w:val="0"/>
              <w:spacing w:before="0" w:after="0"/>
              <w:rPr>
                <w:b/>
                <w:bCs/>
              </w:rPr>
            </w:pPr>
            <w:r w:rsidRPr="000C77A2">
              <w:rPr>
                <w:b/>
                <w:bCs/>
              </w:rPr>
              <w:t>Outcomes</w:t>
            </w:r>
          </w:p>
        </w:tc>
        <w:tc>
          <w:tcPr>
            <w:tcW w:w="2418" w:type="pct"/>
            <w:gridSpan w:val="2"/>
            <w:shd w:val="clear" w:color="auto" w:fill="auto"/>
          </w:tcPr>
          <w:p w14:paraId="238E7BE5" w14:textId="77777777" w:rsidR="00A32712" w:rsidRPr="000C77A2" w:rsidRDefault="00A32712" w:rsidP="00F91FD9">
            <w:pPr>
              <w:pStyle w:val="Tabletext"/>
              <w:keepNext/>
              <w:widowControl w:val="0"/>
              <w:spacing w:before="0" w:after="0"/>
              <w:rPr>
                <w:b/>
                <w:bCs/>
              </w:rPr>
            </w:pPr>
            <w:r w:rsidRPr="000C77A2">
              <w:rPr>
                <w:b/>
                <w:bCs/>
              </w:rPr>
              <w:t>ePAS7</w:t>
            </w:r>
          </w:p>
          <w:p w14:paraId="2C33D1F1" w14:textId="77777777" w:rsidR="00A32712" w:rsidRPr="000C77A2" w:rsidRDefault="00A32712" w:rsidP="00F91FD9">
            <w:pPr>
              <w:pStyle w:val="Tabletext"/>
              <w:keepNext/>
              <w:widowControl w:val="0"/>
              <w:spacing w:before="0" w:after="0"/>
              <w:rPr>
                <w:b/>
                <w:bCs/>
              </w:rPr>
            </w:pPr>
            <w:r w:rsidRPr="000C77A2">
              <w:rPr>
                <w:b/>
                <w:bCs/>
              </w:rPr>
              <w:t>Larotrectinib</w:t>
            </w:r>
          </w:p>
        </w:tc>
        <w:tc>
          <w:tcPr>
            <w:tcW w:w="1302" w:type="pct"/>
            <w:vMerge w:val="restart"/>
            <w:shd w:val="clear" w:color="auto" w:fill="auto"/>
          </w:tcPr>
          <w:p w14:paraId="5B09C48B" w14:textId="77777777" w:rsidR="00A32712" w:rsidRPr="000C77A2" w:rsidRDefault="00A32712" w:rsidP="00F91FD9">
            <w:pPr>
              <w:pStyle w:val="Tabletext"/>
              <w:keepNext/>
              <w:widowControl w:val="0"/>
              <w:spacing w:before="0" w:after="0"/>
              <w:rPr>
                <w:b/>
                <w:bCs/>
              </w:rPr>
            </w:pPr>
            <w:r w:rsidRPr="000C77A2">
              <w:rPr>
                <w:b/>
                <w:bCs/>
              </w:rPr>
              <w:t>CheckMate 057 NSCLC</w:t>
            </w:r>
          </w:p>
          <w:p w14:paraId="20C5F8F7" w14:textId="77777777" w:rsidR="00A32712" w:rsidRPr="000C77A2" w:rsidRDefault="00A32712" w:rsidP="00F91FD9">
            <w:pPr>
              <w:pStyle w:val="Tabletext"/>
              <w:keepNext/>
              <w:widowControl w:val="0"/>
              <w:spacing w:before="0" w:after="0"/>
              <w:rPr>
                <w:b/>
                <w:bCs/>
              </w:rPr>
            </w:pPr>
            <w:r w:rsidRPr="000C77A2">
              <w:rPr>
                <w:b/>
                <w:bCs/>
              </w:rPr>
              <w:t>Docetaxel</w:t>
            </w:r>
          </w:p>
          <w:p w14:paraId="65ECE7DB" w14:textId="77777777" w:rsidR="00A32712" w:rsidRPr="000C77A2" w:rsidRDefault="00A32712" w:rsidP="00F91FD9">
            <w:pPr>
              <w:pStyle w:val="Tabletext"/>
              <w:keepNext/>
              <w:widowControl w:val="0"/>
              <w:spacing w:before="0" w:after="0"/>
              <w:rPr>
                <w:b/>
                <w:bCs/>
              </w:rPr>
            </w:pPr>
            <w:r w:rsidRPr="000C77A2">
              <w:rPr>
                <w:b/>
                <w:bCs/>
              </w:rPr>
              <w:t>N=290</w:t>
            </w:r>
          </w:p>
        </w:tc>
      </w:tr>
      <w:tr w:rsidR="00A32712" w:rsidRPr="000C77A2" w14:paraId="58F3C39A" w14:textId="77777777" w:rsidTr="00A50CB3">
        <w:trPr>
          <w:cantSplit/>
        </w:trPr>
        <w:tc>
          <w:tcPr>
            <w:tcW w:w="1280" w:type="pct"/>
            <w:vMerge/>
            <w:shd w:val="clear" w:color="auto" w:fill="auto"/>
          </w:tcPr>
          <w:p w14:paraId="0BC67485" w14:textId="77777777" w:rsidR="00A32712" w:rsidRPr="000C77A2" w:rsidRDefault="00A32712" w:rsidP="00F91FD9">
            <w:pPr>
              <w:pStyle w:val="Tabletext"/>
              <w:keepNext/>
              <w:widowControl w:val="0"/>
              <w:spacing w:before="0" w:after="0"/>
              <w:rPr>
                <w:b/>
                <w:bCs/>
              </w:rPr>
            </w:pPr>
          </w:p>
        </w:tc>
        <w:tc>
          <w:tcPr>
            <w:tcW w:w="1217" w:type="pct"/>
            <w:shd w:val="clear" w:color="auto" w:fill="auto"/>
          </w:tcPr>
          <w:p w14:paraId="5770C258" w14:textId="77777777" w:rsidR="00A32712" w:rsidRPr="000C77A2" w:rsidRDefault="00A32712" w:rsidP="00F91FD9">
            <w:pPr>
              <w:pStyle w:val="Tabletext"/>
              <w:keepNext/>
              <w:widowControl w:val="0"/>
              <w:spacing w:before="0" w:after="0"/>
              <w:rPr>
                <w:b/>
                <w:bCs/>
              </w:rPr>
            </w:pPr>
            <w:r w:rsidRPr="000C77A2">
              <w:rPr>
                <w:b/>
                <w:bCs/>
              </w:rPr>
              <w:t xml:space="preserve">Pooled lung </w:t>
            </w:r>
            <w:proofErr w:type="spellStart"/>
            <w:r w:rsidRPr="000C77A2">
              <w:rPr>
                <w:b/>
                <w:bCs/>
              </w:rPr>
              <w:t>cancer</w:t>
            </w:r>
            <w:r w:rsidRPr="000C77A2">
              <w:rPr>
                <w:b/>
                <w:bCs/>
                <w:vertAlign w:val="superscript"/>
              </w:rPr>
              <w:t>a</w:t>
            </w:r>
            <w:proofErr w:type="spellEnd"/>
            <w:r w:rsidRPr="000C77A2">
              <w:rPr>
                <w:b/>
                <w:bCs/>
              </w:rPr>
              <w:t>, N=27</w:t>
            </w:r>
          </w:p>
        </w:tc>
        <w:tc>
          <w:tcPr>
            <w:tcW w:w="1201" w:type="pct"/>
          </w:tcPr>
          <w:p w14:paraId="1BDC945F" w14:textId="77777777" w:rsidR="00A32712" w:rsidRPr="000C77A2" w:rsidRDefault="00A32712" w:rsidP="00F91FD9">
            <w:pPr>
              <w:pStyle w:val="Tabletext"/>
              <w:keepNext/>
              <w:widowControl w:val="0"/>
              <w:spacing w:before="0" w:after="0"/>
              <w:rPr>
                <w:b/>
                <w:bCs/>
                <w:vertAlign w:val="superscript"/>
              </w:rPr>
            </w:pPr>
            <w:r w:rsidRPr="000C77A2">
              <w:rPr>
                <w:b/>
                <w:bCs/>
              </w:rPr>
              <w:t>Pooled NSCLC</w:t>
            </w:r>
            <w:r w:rsidRPr="000C77A2">
              <w:rPr>
                <w:b/>
                <w:bCs/>
                <w:vertAlign w:val="superscript"/>
              </w:rPr>
              <w:t>a</w:t>
            </w:r>
          </w:p>
          <w:p w14:paraId="7834B149" w14:textId="77777777" w:rsidR="00A32712" w:rsidRPr="000C77A2" w:rsidRDefault="00A32712" w:rsidP="00F91FD9">
            <w:pPr>
              <w:pStyle w:val="Tabletext"/>
              <w:keepNext/>
              <w:widowControl w:val="0"/>
              <w:spacing w:before="0" w:after="0"/>
              <w:rPr>
                <w:b/>
                <w:bCs/>
              </w:rPr>
            </w:pPr>
            <w:r w:rsidRPr="000C77A2">
              <w:rPr>
                <w:b/>
                <w:bCs/>
              </w:rPr>
              <w:t>N=25</w:t>
            </w:r>
          </w:p>
        </w:tc>
        <w:tc>
          <w:tcPr>
            <w:tcW w:w="1302" w:type="pct"/>
            <w:vMerge/>
            <w:shd w:val="clear" w:color="auto" w:fill="auto"/>
          </w:tcPr>
          <w:p w14:paraId="1882473E" w14:textId="77777777" w:rsidR="00A32712" w:rsidRPr="000C77A2" w:rsidRDefault="00A32712" w:rsidP="00F91FD9">
            <w:pPr>
              <w:pStyle w:val="Tabletext"/>
              <w:keepNext/>
              <w:widowControl w:val="0"/>
              <w:spacing w:before="0" w:after="0"/>
              <w:rPr>
                <w:b/>
                <w:bCs/>
              </w:rPr>
            </w:pPr>
          </w:p>
        </w:tc>
      </w:tr>
      <w:tr w:rsidR="00A32712" w:rsidRPr="000C77A2" w14:paraId="1BD495C0" w14:textId="77777777" w:rsidTr="00A50CB3">
        <w:trPr>
          <w:cantSplit/>
        </w:trPr>
        <w:tc>
          <w:tcPr>
            <w:tcW w:w="5000" w:type="pct"/>
            <w:gridSpan w:val="4"/>
            <w:shd w:val="clear" w:color="auto" w:fill="auto"/>
          </w:tcPr>
          <w:p w14:paraId="1AA3DFFC" w14:textId="77777777" w:rsidR="00A32712" w:rsidRPr="000C77A2" w:rsidRDefault="00A32712" w:rsidP="00F91FD9">
            <w:pPr>
              <w:pStyle w:val="Tabletext"/>
              <w:keepNext/>
              <w:widowControl w:val="0"/>
              <w:spacing w:before="0" w:after="0"/>
              <w:rPr>
                <w:b/>
                <w:bCs/>
              </w:rPr>
            </w:pPr>
            <w:r w:rsidRPr="000C77A2">
              <w:rPr>
                <w:b/>
                <w:bCs/>
              </w:rPr>
              <w:t xml:space="preserve">PFS </w:t>
            </w:r>
          </w:p>
        </w:tc>
      </w:tr>
      <w:tr w:rsidR="00A32712" w:rsidRPr="000C77A2" w14:paraId="448E0804" w14:textId="77777777" w:rsidTr="00A50CB3">
        <w:trPr>
          <w:cantSplit/>
        </w:trPr>
        <w:tc>
          <w:tcPr>
            <w:tcW w:w="1280" w:type="pct"/>
            <w:shd w:val="clear" w:color="auto" w:fill="auto"/>
          </w:tcPr>
          <w:p w14:paraId="45819A00" w14:textId="77777777" w:rsidR="00A32712" w:rsidRPr="000C77A2" w:rsidRDefault="00A32712" w:rsidP="00F91FD9">
            <w:pPr>
              <w:pStyle w:val="Tabletext"/>
              <w:keepNext/>
              <w:widowControl w:val="0"/>
              <w:spacing w:before="0" w:after="0"/>
            </w:pPr>
            <w:r w:rsidRPr="000C77A2">
              <w:t>Investigator assessed, median (95% CI), months</w:t>
            </w:r>
          </w:p>
        </w:tc>
        <w:tc>
          <w:tcPr>
            <w:tcW w:w="1217" w:type="pct"/>
            <w:shd w:val="clear" w:color="auto" w:fill="auto"/>
          </w:tcPr>
          <w:p w14:paraId="17FDD522" w14:textId="77777777" w:rsidR="00A32712" w:rsidRPr="000C77A2" w:rsidRDefault="00A32712" w:rsidP="00F91FD9">
            <w:pPr>
              <w:pStyle w:val="Tabletext"/>
              <w:keepNext/>
              <w:widowControl w:val="0"/>
              <w:spacing w:before="0" w:after="0"/>
            </w:pPr>
            <w:r w:rsidRPr="000C77A2">
              <w:t>22.1 (7.2, 38.3)</w:t>
            </w:r>
          </w:p>
        </w:tc>
        <w:tc>
          <w:tcPr>
            <w:tcW w:w="1201" w:type="pct"/>
          </w:tcPr>
          <w:p w14:paraId="7FE638BD" w14:textId="77777777" w:rsidR="00A32712" w:rsidRPr="000C77A2" w:rsidRDefault="00A32712" w:rsidP="00F91FD9">
            <w:pPr>
              <w:pStyle w:val="Tabletext"/>
              <w:keepNext/>
              <w:widowControl w:val="0"/>
              <w:spacing w:before="0" w:after="0"/>
            </w:pPr>
            <w:r w:rsidRPr="000C77A2">
              <w:t>31.5 (7.2, 38.3)</w:t>
            </w:r>
          </w:p>
        </w:tc>
        <w:tc>
          <w:tcPr>
            <w:tcW w:w="1302" w:type="pct"/>
            <w:shd w:val="clear" w:color="auto" w:fill="auto"/>
          </w:tcPr>
          <w:p w14:paraId="3E1B9E20" w14:textId="77777777" w:rsidR="00A32712" w:rsidRPr="000C77A2" w:rsidRDefault="00A32712" w:rsidP="00F91FD9">
            <w:pPr>
              <w:pStyle w:val="Tabletext"/>
              <w:keepNext/>
              <w:widowControl w:val="0"/>
              <w:spacing w:before="0" w:after="0"/>
            </w:pPr>
            <w:r w:rsidRPr="000C77A2">
              <w:t>4.2 (3.5, 4.9)</w:t>
            </w:r>
          </w:p>
        </w:tc>
      </w:tr>
      <w:tr w:rsidR="00A32712" w:rsidRPr="000C77A2" w14:paraId="721B4FC2" w14:textId="77777777" w:rsidTr="00A50CB3">
        <w:trPr>
          <w:cantSplit/>
        </w:trPr>
        <w:tc>
          <w:tcPr>
            <w:tcW w:w="1280" w:type="pct"/>
            <w:shd w:val="clear" w:color="auto" w:fill="auto"/>
          </w:tcPr>
          <w:p w14:paraId="17D66BDB" w14:textId="77777777" w:rsidR="00A32712" w:rsidRPr="000C77A2" w:rsidRDefault="00A32712" w:rsidP="00F91FD9">
            <w:pPr>
              <w:pStyle w:val="Tabletext"/>
              <w:keepNext/>
              <w:widowControl w:val="0"/>
              <w:spacing w:before="0" w:after="0"/>
            </w:pPr>
            <w:r w:rsidRPr="000C77A2">
              <w:t>IRC assessed,</w:t>
            </w:r>
          </w:p>
          <w:p w14:paraId="17F46157" w14:textId="77777777" w:rsidR="00A32712" w:rsidRPr="000C77A2" w:rsidRDefault="00A32712" w:rsidP="00F91FD9">
            <w:pPr>
              <w:pStyle w:val="Tabletext"/>
              <w:keepNext/>
              <w:widowControl w:val="0"/>
              <w:spacing w:before="0" w:after="0"/>
            </w:pPr>
            <w:r w:rsidRPr="000C77A2">
              <w:t>median (95% CI), months</w:t>
            </w:r>
          </w:p>
        </w:tc>
        <w:tc>
          <w:tcPr>
            <w:tcW w:w="1217" w:type="pct"/>
            <w:shd w:val="clear" w:color="auto" w:fill="auto"/>
          </w:tcPr>
          <w:p w14:paraId="1547039A" w14:textId="77777777" w:rsidR="00A32712" w:rsidRPr="000C77A2" w:rsidRDefault="00A32712" w:rsidP="00F91FD9">
            <w:pPr>
              <w:pStyle w:val="Tabletext"/>
              <w:keepNext/>
              <w:widowControl w:val="0"/>
              <w:spacing w:before="0" w:after="0"/>
            </w:pPr>
            <w:r w:rsidRPr="000C77A2">
              <w:t>33.0 (11.3, NE)</w:t>
            </w:r>
          </w:p>
        </w:tc>
        <w:tc>
          <w:tcPr>
            <w:tcW w:w="1201" w:type="pct"/>
          </w:tcPr>
          <w:p w14:paraId="6061D8E0" w14:textId="77777777" w:rsidR="00A32712" w:rsidRPr="000C77A2" w:rsidRDefault="00A32712" w:rsidP="00F91FD9">
            <w:pPr>
              <w:pStyle w:val="Tabletext"/>
              <w:keepNext/>
              <w:widowControl w:val="0"/>
              <w:spacing w:before="0" w:after="0"/>
            </w:pPr>
            <w:r w:rsidRPr="000C77A2">
              <w:t>33.0 (9.9, NE)</w:t>
            </w:r>
          </w:p>
        </w:tc>
        <w:tc>
          <w:tcPr>
            <w:tcW w:w="1302" w:type="pct"/>
            <w:shd w:val="clear" w:color="auto" w:fill="auto"/>
          </w:tcPr>
          <w:p w14:paraId="24C9F07A" w14:textId="77777777" w:rsidR="00A32712" w:rsidRPr="000C77A2" w:rsidRDefault="00A32712" w:rsidP="00F91FD9">
            <w:pPr>
              <w:pStyle w:val="Tabletext"/>
              <w:keepNext/>
              <w:widowControl w:val="0"/>
              <w:spacing w:before="0" w:after="0"/>
            </w:pPr>
            <w:r w:rsidRPr="000C77A2">
              <w:t>NR</w:t>
            </w:r>
          </w:p>
        </w:tc>
      </w:tr>
      <w:tr w:rsidR="00A32712" w:rsidRPr="000C77A2" w14:paraId="69BA17B6" w14:textId="77777777" w:rsidTr="00A50CB3">
        <w:trPr>
          <w:cantSplit/>
        </w:trPr>
        <w:tc>
          <w:tcPr>
            <w:tcW w:w="5000" w:type="pct"/>
            <w:gridSpan w:val="4"/>
            <w:shd w:val="clear" w:color="auto" w:fill="auto"/>
          </w:tcPr>
          <w:p w14:paraId="1CCFC4B5" w14:textId="77777777" w:rsidR="00A32712" w:rsidRPr="000C77A2" w:rsidRDefault="00A32712" w:rsidP="00F91FD9">
            <w:pPr>
              <w:pStyle w:val="Tabletext"/>
              <w:keepNext/>
              <w:widowControl w:val="0"/>
              <w:spacing w:before="0" w:after="0"/>
              <w:rPr>
                <w:vertAlign w:val="superscript"/>
              </w:rPr>
            </w:pPr>
            <w:proofErr w:type="spellStart"/>
            <w:r w:rsidRPr="000C77A2">
              <w:rPr>
                <w:b/>
                <w:bCs/>
              </w:rPr>
              <w:t>OS</w:t>
            </w:r>
            <w:r w:rsidRPr="000C77A2">
              <w:rPr>
                <w:b/>
                <w:bCs/>
                <w:vertAlign w:val="superscript"/>
              </w:rPr>
              <w:t>b</w:t>
            </w:r>
            <w:proofErr w:type="spellEnd"/>
          </w:p>
        </w:tc>
      </w:tr>
      <w:tr w:rsidR="00A32712" w:rsidRPr="000C77A2" w14:paraId="78DF8581" w14:textId="77777777" w:rsidTr="00A50CB3">
        <w:trPr>
          <w:cantSplit/>
        </w:trPr>
        <w:tc>
          <w:tcPr>
            <w:tcW w:w="1280" w:type="pct"/>
            <w:shd w:val="clear" w:color="auto" w:fill="auto"/>
          </w:tcPr>
          <w:p w14:paraId="232C97A8" w14:textId="32CB01F2" w:rsidR="00A32712" w:rsidRPr="000C77A2" w:rsidRDefault="00F91FD9" w:rsidP="00F91FD9">
            <w:pPr>
              <w:pStyle w:val="Tabletext"/>
              <w:keepNext/>
              <w:widowControl w:val="0"/>
              <w:spacing w:before="0" w:after="0"/>
            </w:pPr>
            <w:r w:rsidRPr="000C77A2">
              <w:t>M</w:t>
            </w:r>
            <w:r w:rsidR="00A32712" w:rsidRPr="000C77A2">
              <w:t>edian (95% CI), months</w:t>
            </w:r>
          </w:p>
        </w:tc>
        <w:tc>
          <w:tcPr>
            <w:tcW w:w="1217" w:type="pct"/>
            <w:shd w:val="clear" w:color="auto" w:fill="auto"/>
          </w:tcPr>
          <w:p w14:paraId="00C2C926" w14:textId="77777777" w:rsidR="00A32712" w:rsidRPr="000C77A2" w:rsidRDefault="00A32712" w:rsidP="00F91FD9">
            <w:pPr>
              <w:pStyle w:val="Tabletext"/>
              <w:keepNext/>
              <w:widowControl w:val="0"/>
              <w:spacing w:before="0" w:after="0"/>
            </w:pPr>
            <w:r w:rsidRPr="000C77A2">
              <w:t>39.3 (17.2, NE)</w:t>
            </w:r>
          </w:p>
        </w:tc>
        <w:tc>
          <w:tcPr>
            <w:tcW w:w="1201" w:type="pct"/>
          </w:tcPr>
          <w:p w14:paraId="4BAB645C" w14:textId="77777777" w:rsidR="00A32712" w:rsidRPr="000C77A2" w:rsidRDefault="00A32712" w:rsidP="00F91FD9">
            <w:pPr>
              <w:pStyle w:val="Tabletext"/>
              <w:keepNext/>
              <w:widowControl w:val="0"/>
              <w:spacing w:before="0" w:after="0"/>
            </w:pPr>
            <w:r w:rsidRPr="000C77A2">
              <w:t>39.3 (17.2, NE)</w:t>
            </w:r>
          </w:p>
        </w:tc>
        <w:tc>
          <w:tcPr>
            <w:tcW w:w="1302" w:type="pct"/>
            <w:shd w:val="clear" w:color="auto" w:fill="auto"/>
          </w:tcPr>
          <w:p w14:paraId="0936080D" w14:textId="77777777" w:rsidR="00A32712" w:rsidRPr="000C77A2" w:rsidRDefault="00A32712" w:rsidP="00F91FD9">
            <w:pPr>
              <w:pStyle w:val="Tabletext"/>
              <w:keepNext/>
              <w:widowControl w:val="0"/>
              <w:spacing w:before="0" w:after="0"/>
            </w:pPr>
            <w:r w:rsidRPr="000C77A2">
              <w:t>9.4 (8.1, 10.7)</w:t>
            </w:r>
          </w:p>
        </w:tc>
      </w:tr>
      <w:tr w:rsidR="00A32712" w:rsidRPr="000C77A2" w14:paraId="687BDEBF" w14:textId="77777777" w:rsidTr="00A50CB3">
        <w:trPr>
          <w:cantSplit/>
        </w:trPr>
        <w:tc>
          <w:tcPr>
            <w:tcW w:w="5000" w:type="pct"/>
            <w:gridSpan w:val="4"/>
            <w:shd w:val="clear" w:color="auto" w:fill="auto"/>
          </w:tcPr>
          <w:p w14:paraId="32119B34" w14:textId="77777777" w:rsidR="00A32712" w:rsidRPr="000C77A2" w:rsidRDefault="00A32712" w:rsidP="00F91FD9">
            <w:pPr>
              <w:pStyle w:val="Tabletext"/>
              <w:keepNext/>
              <w:widowControl w:val="0"/>
              <w:spacing w:before="0" w:after="0"/>
            </w:pPr>
            <w:r w:rsidRPr="000C77A2">
              <w:rPr>
                <w:b/>
                <w:bCs/>
              </w:rPr>
              <w:t>ORR (CR + PR)</w:t>
            </w:r>
          </w:p>
        </w:tc>
      </w:tr>
      <w:tr w:rsidR="00A32712" w:rsidRPr="000C77A2" w14:paraId="01A12938" w14:textId="77777777" w:rsidTr="00A50CB3">
        <w:trPr>
          <w:cantSplit/>
        </w:trPr>
        <w:tc>
          <w:tcPr>
            <w:tcW w:w="1280" w:type="pct"/>
            <w:shd w:val="clear" w:color="auto" w:fill="auto"/>
          </w:tcPr>
          <w:p w14:paraId="731D42D0" w14:textId="77777777" w:rsidR="00A32712" w:rsidRPr="000C77A2" w:rsidRDefault="00A32712" w:rsidP="00F91FD9">
            <w:pPr>
              <w:pStyle w:val="Tabletext"/>
              <w:keepNext/>
              <w:widowControl w:val="0"/>
              <w:spacing w:before="0" w:after="0"/>
            </w:pPr>
            <w:r w:rsidRPr="000C77A2">
              <w:t>Investigator assessed, n (%)</w:t>
            </w:r>
          </w:p>
        </w:tc>
        <w:tc>
          <w:tcPr>
            <w:tcW w:w="1217" w:type="pct"/>
            <w:shd w:val="clear" w:color="auto" w:fill="auto"/>
          </w:tcPr>
          <w:p w14:paraId="44992850" w14:textId="77777777" w:rsidR="00A32712" w:rsidRPr="000C77A2" w:rsidRDefault="00A32712" w:rsidP="00F91FD9">
            <w:pPr>
              <w:pStyle w:val="Tabletext"/>
              <w:keepNext/>
              <w:widowControl w:val="0"/>
              <w:spacing w:before="0" w:after="0"/>
            </w:pPr>
            <w:r w:rsidRPr="000C77A2">
              <w:t>18 (66.7)</w:t>
            </w:r>
          </w:p>
        </w:tc>
        <w:tc>
          <w:tcPr>
            <w:tcW w:w="1201" w:type="pct"/>
          </w:tcPr>
          <w:p w14:paraId="42AC5D8E" w14:textId="77777777" w:rsidR="00A32712" w:rsidRPr="000C77A2" w:rsidRDefault="00A32712" w:rsidP="00F91FD9">
            <w:pPr>
              <w:pStyle w:val="Tabletext"/>
              <w:keepNext/>
              <w:widowControl w:val="0"/>
              <w:spacing w:before="0" w:after="0"/>
              <w:rPr>
                <w:vertAlign w:val="superscript"/>
              </w:rPr>
            </w:pPr>
            <w:r w:rsidRPr="000C77A2">
              <w:t>17 (68.0)</w:t>
            </w:r>
          </w:p>
        </w:tc>
        <w:tc>
          <w:tcPr>
            <w:tcW w:w="1302" w:type="pct"/>
            <w:shd w:val="clear" w:color="auto" w:fill="auto"/>
          </w:tcPr>
          <w:p w14:paraId="698DD7EA" w14:textId="77777777" w:rsidR="00A32712" w:rsidRPr="000C77A2" w:rsidRDefault="00A32712" w:rsidP="00F91FD9">
            <w:pPr>
              <w:pStyle w:val="Tabletext"/>
              <w:keepNext/>
              <w:widowControl w:val="0"/>
              <w:spacing w:before="0" w:after="0"/>
            </w:pPr>
            <w:r w:rsidRPr="000C77A2">
              <w:t>36 (12.4)</w:t>
            </w:r>
          </w:p>
        </w:tc>
      </w:tr>
      <w:tr w:rsidR="00A32712" w:rsidRPr="000C77A2" w14:paraId="4DFA2505" w14:textId="77777777" w:rsidTr="00A50CB3">
        <w:trPr>
          <w:cantSplit/>
        </w:trPr>
        <w:tc>
          <w:tcPr>
            <w:tcW w:w="1280" w:type="pct"/>
            <w:shd w:val="clear" w:color="auto" w:fill="auto"/>
          </w:tcPr>
          <w:p w14:paraId="1EB6EA77" w14:textId="77777777" w:rsidR="00A32712" w:rsidRPr="000C77A2" w:rsidRDefault="00A32712" w:rsidP="00F91FD9">
            <w:pPr>
              <w:pStyle w:val="Tabletext"/>
              <w:keepNext/>
              <w:widowControl w:val="0"/>
              <w:spacing w:before="0" w:after="0"/>
            </w:pPr>
            <w:r w:rsidRPr="000C77A2">
              <w:t>IRC assessed, n (%)</w:t>
            </w:r>
          </w:p>
        </w:tc>
        <w:tc>
          <w:tcPr>
            <w:tcW w:w="1217" w:type="pct"/>
            <w:shd w:val="clear" w:color="auto" w:fill="auto"/>
          </w:tcPr>
          <w:p w14:paraId="6A4D95A5" w14:textId="77777777" w:rsidR="00A32712" w:rsidRPr="000C77A2" w:rsidRDefault="00A32712" w:rsidP="00F91FD9">
            <w:pPr>
              <w:pStyle w:val="Tabletext"/>
              <w:keepNext/>
              <w:widowControl w:val="0"/>
              <w:spacing w:before="0" w:after="0"/>
            </w:pPr>
            <w:r w:rsidRPr="000C77A2">
              <w:t>20 (74.1)</w:t>
            </w:r>
          </w:p>
        </w:tc>
        <w:tc>
          <w:tcPr>
            <w:tcW w:w="1201" w:type="pct"/>
          </w:tcPr>
          <w:p w14:paraId="3D72CC0C" w14:textId="77777777" w:rsidR="00A32712" w:rsidRPr="000C77A2" w:rsidRDefault="00A32712" w:rsidP="00F91FD9">
            <w:pPr>
              <w:pStyle w:val="Tabletext"/>
              <w:keepNext/>
              <w:widowControl w:val="0"/>
              <w:spacing w:before="0" w:after="0"/>
              <w:rPr>
                <w:vertAlign w:val="superscript"/>
              </w:rPr>
            </w:pPr>
            <w:r w:rsidRPr="000C77A2">
              <w:t>19 (76.0)</w:t>
            </w:r>
          </w:p>
        </w:tc>
        <w:tc>
          <w:tcPr>
            <w:tcW w:w="1302" w:type="pct"/>
            <w:shd w:val="clear" w:color="auto" w:fill="auto"/>
          </w:tcPr>
          <w:p w14:paraId="780AB622" w14:textId="77777777" w:rsidR="00A32712" w:rsidRPr="000C77A2" w:rsidRDefault="00A32712" w:rsidP="00F91FD9">
            <w:pPr>
              <w:pStyle w:val="Tabletext"/>
              <w:keepNext/>
              <w:widowControl w:val="0"/>
              <w:spacing w:before="0" w:after="0"/>
            </w:pPr>
            <w:r w:rsidRPr="000C77A2">
              <w:t>NR</w:t>
            </w:r>
          </w:p>
        </w:tc>
      </w:tr>
      <w:tr w:rsidR="00A32712" w:rsidRPr="000C77A2" w14:paraId="77284DD2" w14:textId="77777777" w:rsidTr="00A50CB3">
        <w:trPr>
          <w:cantSplit/>
        </w:trPr>
        <w:tc>
          <w:tcPr>
            <w:tcW w:w="5000" w:type="pct"/>
            <w:gridSpan w:val="4"/>
            <w:shd w:val="clear" w:color="auto" w:fill="auto"/>
          </w:tcPr>
          <w:p w14:paraId="106B1599" w14:textId="77777777" w:rsidR="00A32712" w:rsidRPr="000C77A2" w:rsidRDefault="00A32712" w:rsidP="00F91FD9">
            <w:pPr>
              <w:pStyle w:val="Tabletext"/>
              <w:keepNext/>
              <w:widowControl w:val="0"/>
              <w:spacing w:before="0" w:after="0"/>
            </w:pPr>
            <w:r w:rsidRPr="000C77A2">
              <w:rPr>
                <w:b/>
                <w:bCs/>
              </w:rPr>
              <w:t xml:space="preserve">DOR </w:t>
            </w:r>
          </w:p>
        </w:tc>
      </w:tr>
      <w:tr w:rsidR="00A32712" w:rsidRPr="000C77A2" w14:paraId="5D597967" w14:textId="77777777" w:rsidTr="00A50CB3">
        <w:trPr>
          <w:cantSplit/>
        </w:trPr>
        <w:tc>
          <w:tcPr>
            <w:tcW w:w="1280" w:type="pct"/>
            <w:shd w:val="clear" w:color="auto" w:fill="auto"/>
          </w:tcPr>
          <w:p w14:paraId="603E56D1" w14:textId="77777777" w:rsidR="00A32712" w:rsidRPr="000C77A2" w:rsidRDefault="00A32712" w:rsidP="00F91FD9">
            <w:pPr>
              <w:pStyle w:val="Tabletext"/>
              <w:keepNext/>
              <w:widowControl w:val="0"/>
              <w:spacing w:before="0" w:after="0"/>
            </w:pPr>
            <w:r w:rsidRPr="000C77A2">
              <w:t>Investigator assessed, median (95% CI), months</w:t>
            </w:r>
          </w:p>
        </w:tc>
        <w:tc>
          <w:tcPr>
            <w:tcW w:w="1217" w:type="pct"/>
            <w:shd w:val="clear" w:color="auto" w:fill="auto"/>
          </w:tcPr>
          <w:p w14:paraId="52956E8F" w14:textId="77777777" w:rsidR="00A32712" w:rsidRPr="000C77A2" w:rsidRDefault="00A32712" w:rsidP="00F91FD9">
            <w:pPr>
              <w:pStyle w:val="Tabletext"/>
              <w:keepNext/>
              <w:widowControl w:val="0"/>
              <w:spacing w:before="0" w:after="0"/>
            </w:pPr>
            <w:r w:rsidRPr="000C77A2">
              <w:t>29.7 (12.4, 36.5)</w:t>
            </w:r>
          </w:p>
        </w:tc>
        <w:tc>
          <w:tcPr>
            <w:tcW w:w="1201" w:type="pct"/>
          </w:tcPr>
          <w:p w14:paraId="49BF4D99" w14:textId="77777777" w:rsidR="00A32712" w:rsidRPr="000C77A2" w:rsidRDefault="00A32712" w:rsidP="00F91FD9">
            <w:pPr>
              <w:pStyle w:val="Tabletext"/>
              <w:keepNext/>
              <w:widowControl w:val="0"/>
              <w:spacing w:before="0" w:after="0"/>
            </w:pPr>
            <w:r w:rsidRPr="000C77A2">
              <w:t>29.7 (17.4, 36.5)</w:t>
            </w:r>
          </w:p>
        </w:tc>
        <w:tc>
          <w:tcPr>
            <w:tcW w:w="1302" w:type="pct"/>
            <w:shd w:val="clear" w:color="auto" w:fill="auto"/>
          </w:tcPr>
          <w:p w14:paraId="4B10C4C4" w14:textId="77777777" w:rsidR="00A32712" w:rsidRPr="000C77A2" w:rsidRDefault="00A32712" w:rsidP="00F91FD9">
            <w:pPr>
              <w:pStyle w:val="Tabletext"/>
              <w:keepNext/>
              <w:widowControl w:val="0"/>
              <w:spacing w:before="0" w:after="0"/>
            </w:pPr>
            <w:r w:rsidRPr="000C77A2">
              <w:t>5.6 (4.4, 6.9)</w:t>
            </w:r>
          </w:p>
        </w:tc>
      </w:tr>
      <w:tr w:rsidR="00A32712" w:rsidRPr="000C77A2" w14:paraId="079D1BC1" w14:textId="77777777" w:rsidTr="00A50CB3">
        <w:trPr>
          <w:cantSplit/>
        </w:trPr>
        <w:tc>
          <w:tcPr>
            <w:tcW w:w="1280" w:type="pct"/>
            <w:shd w:val="clear" w:color="auto" w:fill="auto"/>
          </w:tcPr>
          <w:p w14:paraId="4C935B54" w14:textId="77777777" w:rsidR="00A32712" w:rsidRPr="000C77A2" w:rsidRDefault="00A32712" w:rsidP="00F91FD9">
            <w:pPr>
              <w:pStyle w:val="Tabletext"/>
              <w:keepNext/>
              <w:widowControl w:val="0"/>
              <w:spacing w:before="0" w:after="0"/>
            </w:pPr>
            <w:r w:rsidRPr="000C77A2">
              <w:t>IRC assessed, median (95% CI), months</w:t>
            </w:r>
          </w:p>
        </w:tc>
        <w:tc>
          <w:tcPr>
            <w:tcW w:w="1217" w:type="pct"/>
            <w:shd w:val="clear" w:color="auto" w:fill="auto"/>
          </w:tcPr>
          <w:p w14:paraId="4C238978" w14:textId="77777777" w:rsidR="00A32712" w:rsidRPr="000C77A2" w:rsidRDefault="00A32712" w:rsidP="00F91FD9">
            <w:pPr>
              <w:pStyle w:val="Tabletext"/>
              <w:keepNext/>
              <w:widowControl w:val="0"/>
              <w:spacing w:before="0" w:after="0"/>
            </w:pPr>
            <w:r w:rsidRPr="000C77A2">
              <w:t>33.9 (9.5, NE)</w:t>
            </w:r>
          </w:p>
        </w:tc>
        <w:tc>
          <w:tcPr>
            <w:tcW w:w="1201" w:type="pct"/>
          </w:tcPr>
          <w:p w14:paraId="0A5DA646" w14:textId="77777777" w:rsidR="00A32712" w:rsidRPr="000C77A2" w:rsidRDefault="00A32712" w:rsidP="00F91FD9">
            <w:pPr>
              <w:pStyle w:val="Tabletext"/>
              <w:keepNext/>
              <w:widowControl w:val="0"/>
              <w:spacing w:before="0" w:after="0"/>
            </w:pPr>
            <w:r w:rsidRPr="000C77A2">
              <w:t>33.9 (8.6, NE)</w:t>
            </w:r>
          </w:p>
        </w:tc>
        <w:tc>
          <w:tcPr>
            <w:tcW w:w="1302" w:type="pct"/>
            <w:shd w:val="clear" w:color="auto" w:fill="auto"/>
          </w:tcPr>
          <w:p w14:paraId="45C09190" w14:textId="77777777" w:rsidR="00A32712" w:rsidRPr="000C77A2" w:rsidRDefault="00A32712" w:rsidP="00F91FD9">
            <w:pPr>
              <w:pStyle w:val="Tabletext"/>
              <w:keepNext/>
              <w:widowControl w:val="0"/>
              <w:spacing w:before="0" w:after="0"/>
            </w:pPr>
            <w:r w:rsidRPr="000C77A2">
              <w:t>NR</w:t>
            </w:r>
          </w:p>
        </w:tc>
      </w:tr>
      <w:tr w:rsidR="0010215E" w:rsidRPr="000C77A2" w14:paraId="1823604B" w14:textId="77777777" w:rsidTr="0010215E">
        <w:trPr>
          <w:cantSplit/>
        </w:trPr>
        <w:tc>
          <w:tcPr>
            <w:tcW w:w="5000" w:type="pct"/>
            <w:gridSpan w:val="4"/>
            <w:shd w:val="clear" w:color="auto" w:fill="auto"/>
          </w:tcPr>
          <w:p w14:paraId="6872D35C" w14:textId="004283A2" w:rsidR="0010215E" w:rsidRPr="000C77A2" w:rsidRDefault="0010215E" w:rsidP="00F91FD9">
            <w:pPr>
              <w:pStyle w:val="Tabletext"/>
              <w:keepNext/>
              <w:widowControl w:val="0"/>
              <w:spacing w:before="0" w:after="0"/>
            </w:pPr>
            <w:r w:rsidRPr="000C77A2">
              <w:rPr>
                <w:b/>
                <w:bCs/>
              </w:rPr>
              <w:t>TOT</w:t>
            </w:r>
          </w:p>
        </w:tc>
      </w:tr>
      <w:tr w:rsidR="0010215E" w:rsidRPr="000C77A2" w14:paraId="3497BE9E" w14:textId="77777777" w:rsidTr="00A50CB3">
        <w:trPr>
          <w:cantSplit/>
        </w:trPr>
        <w:tc>
          <w:tcPr>
            <w:tcW w:w="1280" w:type="pct"/>
            <w:shd w:val="clear" w:color="auto" w:fill="auto"/>
          </w:tcPr>
          <w:p w14:paraId="5C8E5BAC" w14:textId="7D5DFA2C" w:rsidR="0010215E" w:rsidRPr="000C77A2" w:rsidRDefault="0010215E" w:rsidP="0010215E">
            <w:pPr>
              <w:pStyle w:val="Tabletext"/>
              <w:keepNext/>
              <w:widowControl w:val="0"/>
              <w:rPr>
                <w:b/>
                <w:bCs/>
              </w:rPr>
            </w:pPr>
            <w:r w:rsidRPr="000C77A2">
              <w:t>Median (95% CI), months</w:t>
            </w:r>
          </w:p>
        </w:tc>
        <w:tc>
          <w:tcPr>
            <w:tcW w:w="1217" w:type="pct"/>
            <w:shd w:val="clear" w:color="auto" w:fill="auto"/>
          </w:tcPr>
          <w:p w14:paraId="5C5FB4A4" w14:textId="52FBE18B" w:rsidR="0010215E" w:rsidRPr="000C77A2" w:rsidRDefault="0010215E" w:rsidP="0010215E">
            <w:pPr>
              <w:pStyle w:val="Tabletext"/>
              <w:keepNext/>
              <w:widowControl w:val="0"/>
            </w:pPr>
            <w:r w:rsidRPr="000C77A2">
              <w:t>19.9 (11.1, 35.4)</w:t>
            </w:r>
          </w:p>
        </w:tc>
        <w:tc>
          <w:tcPr>
            <w:tcW w:w="1201" w:type="pct"/>
          </w:tcPr>
          <w:p w14:paraId="5EA1EBA4" w14:textId="266DFF74" w:rsidR="0010215E" w:rsidRPr="000C77A2" w:rsidRDefault="0010215E" w:rsidP="0010215E">
            <w:pPr>
              <w:pStyle w:val="Tabletext"/>
              <w:keepNext/>
              <w:widowControl w:val="0"/>
            </w:pPr>
            <w:r w:rsidRPr="000C77A2">
              <w:t>NR</w:t>
            </w:r>
          </w:p>
        </w:tc>
        <w:tc>
          <w:tcPr>
            <w:tcW w:w="1302" w:type="pct"/>
            <w:shd w:val="clear" w:color="auto" w:fill="auto"/>
          </w:tcPr>
          <w:p w14:paraId="04D9DA48" w14:textId="64EDC5E0" w:rsidR="0010215E" w:rsidRPr="000C77A2" w:rsidRDefault="0010215E" w:rsidP="0010215E">
            <w:pPr>
              <w:pStyle w:val="Tabletext"/>
              <w:keepNext/>
              <w:widowControl w:val="0"/>
            </w:pPr>
            <w:r w:rsidRPr="000C77A2">
              <w:t>7.5 (6.4, 10.0)</w:t>
            </w:r>
          </w:p>
        </w:tc>
      </w:tr>
    </w:tbl>
    <w:p w14:paraId="2031D7FE" w14:textId="317C1EEA" w:rsidR="00A32712" w:rsidRPr="000C77A2" w:rsidRDefault="00A32712" w:rsidP="00A32712">
      <w:pPr>
        <w:pStyle w:val="TableFooter"/>
      </w:pPr>
      <w:r w:rsidRPr="000C77A2">
        <w:t>Source: Table 2-34 and Table 2-36</w:t>
      </w:r>
      <w:r w:rsidR="002B1946">
        <w:t xml:space="preserve"> </w:t>
      </w:r>
      <w:r w:rsidRPr="000C77A2">
        <w:t>of the resubmission</w:t>
      </w:r>
    </w:p>
    <w:p w14:paraId="3337EE56" w14:textId="31166699" w:rsidR="00A32712" w:rsidRPr="000C77A2" w:rsidRDefault="00A32712" w:rsidP="00A32712">
      <w:pPr>
        <w:pStyle w:val="TableFooter"/>
      </w:pPr>
      <w:r w:rsidRPr="000C77A2">
        <w:t xml:space="preserve">CI = confidence interval; CR = complete response; DOR = duration of response; </w:t>
      </w:r>
      <w:proofErr w:type="spellStart"/>
      <w:r w:rsidRPr="000C77A2">
        <w:t>ePAS</w:t>
      </w:r>
      <w:proofErr w:type="spellEnd"/>
      <w:r w:rsidRPr="000C77A2">
        <w:t xml:space="preserve"> = extended primary analysis set; </w:t>
      </w:r>
      <w:r w:rsidR="000F193D" w:rsidRPr="000C77A2">
        <w:t xml:space="preserve">IRC = independent review committee; </w:t>
      </w:r>
      <w:r w:rsidRPr="000C77A2">
        <w:t>NE = not estimable (not reached); NR = not reported; NSCLC = non-small cell lung cancer; ORR = objective response rate; OS = overall survival; PFS = progression free survival; PR = partial response; TOT = time on treatment.</w:t>
      </w:r>
    </w:p>
    <w:p w14:paraId="569C3AE1" w14:textId="77777777" w:rsidR="00A32712" w:rsidRPr="000C77A2" w:rsidRDefault="00A32712" w:rsidP="00A32712">
      <w:pPr>
        <w:pStyle w:val="TableFooter"/>
      </w:pPr>
      <w:proofErr w:type="spellStart"/>
      <w:r w:rsidRPr="000C77A2">
        <w:rPr>
          <w:vertAlign w:val="superscript"/>
        </w:rPr>
        <w:t>a</w:t>
      </w:r>
      <w:r w:rsidRPr="000C77A2">
        <w:t>Two</w:t>
      </w:r>
      <w:proofErr w:type="spellEnd"/>
      <w:r w:rsidRPr="000C77A2">
        <w:t xml:space="preserve"> lung cancer patients in the ePAS7 analysis set had non-NSCLC disease (one patient with an atypical carcinoid tumour and one patient with small cell lung carcinoma).</w:t>
      </w:r>
    </w:p>
    <w:p w14:paraId="14B72885" w14:textId="01BAC191" w:rsidR="00A32712" w:rsidRPr="000C77A2" w:rsidRDefault="0010215E" w:rsidP="00560AEC">
      <w:pPr>
        <w:pStyle w:val="TableFooter"/>
        <w:spacing w:after="120"/>
        <w:rPr>
          <w:snapToGrid w:val="0"/>
        </w:rPr>
      </w:pPr>
      <w:proofErr w:type="spellStart"/>
      <w:r w:rsidRPr="000C77A2">
        <w:rPr>
          <w:vertAlign w:val="superscript"/>
        </w:rPr>
        <w:t>b</w:t>
      </w:r>
      <w:r w:rsidRPr="000C77A2">
        <w:t>Data</w:t>
      </w:r>
      <w:proofErr w:type="spellEnd"/>
      <w:r w:rsidRPr="000C77A2">
        <w:t xml:space="preserve"> cutoff for ePAS7 July 2022. </w:t>
      </w:r>
      <w:r w:rsidR="00A32712" w:rsidRPr="000C77A2">
        <w:t>Median follow-up for OS in total ePAS7 was 39.4 months (follow-up duration specifically for lung cancer/NSCLC was not provided in the resubmission)</w:t>
      </w:r>
      <w:r w:rsidR="00F91FD9" w:rsidRPr="000C77A2">
        <w:t>.</w:t>
      </w:r>
      <w:r w:rsidR="00A32712" w:rsidRPr="000C77A2">
        <w:t xml:space="preserve"> Minimum follow-up for OS in CheckMate</w:t>
      </w:r>
      <w:r w:rsidR="009F661D" w:rsidRPr="000C77A2">
        <w:t xml:space="preserve"> 057</w:t>
      </w:r>
      <w:r w:rsidR="00A32712" w:rsidRPr="000C77A2">
        <w:t xml:space="preserve"> was 17.2 months (p1362 of </w:t>
      </w:r>
      <w:proofErr w:type="spellStart"/>
      <w:r w:rsidR="00A32712" w:rsidRPr="000C77A2">
        <w:t>Borghaie</w:t>
      </w:r>
      <w:proofErr w:type="spellEnd"/>
      <w:r w:rsidR="00A32712" w:rsidRPr="000C77A2">
        <w:t xml:space="preserve"> 2015).</w:t>
      </w:r>
    </w:p>
    <w:p w14:paraId="21427888" w14:textId="5C7C1A97" w:rsidR="00A32712" w:rsidRPr="000C77A2" w:rsidRDefault="00A32712" w:rsidP="00EC5836">
      <w:pPr>
        <w:pStyle w:val="3-BodyText"/>
      </w:pPr>
      <w:r w:rsidRPr="000C77A2">
        <w:t>The resubmission concluded that for all outcomes</w:t>
      </w:r>
      <w:r w:rsidR="000F193D" w:rsidRPr="000C77A2">
        <w:t>:</w:t>
      </w:r>
      <w:r w:rsidR="000E00F0" w:rsidRPr="000C77A2">
        <w:t xml:space="preserve"> i) the results favoured larotrectinib</w:t>
      </w:r>
      <w:r w:rsidRPr="000C77A2">
        <w:t xml:space="preserve"> </w:t>
      </w:r>
      <w:r w:rsidR="000E00F0" w:rsidRPr="000C77A2">
        <w:t xml:space="preserve">over docetaxel with substantial differences for some outcomes, and ii) with no overlap in 95% CIs which </w:t>
      </w:r>
      <w:r w:rsidR="000F193D" w:rsidRPr="000C77A2">
        <w:t>provides</w:t>
      </w:r>
      <w:r w:rsidR="000E00F0" w:rsidRPr="000C77A2">
        <w:t xml:space="preserve"> strong evidence that the medians for PFS, OS, </w:t>
      </w:r>
      <w:proofErr w:type="gramStart"/>
      <w:r w:rsidR="000E00F0" w:rsidRPr="000C77A2">
        <w:t>DOR</w:t>
      </w:r>
      <w:proofErr w:type="gramEnd"/>
      <w:r w:rsidR="000E00F0" w:rsidRPr="000C77A2">
        <w:t xml:space="preserve"> and </w:t>
      </w:r>
      <w:r w:rsidR="000F193D" w:rsidRPr="000C77A2">
        <w:t>time on treatment (</w:t>
      </w:r>
      <w:r w:rsidR="000E00F0" w:rsidRPr="000C77A2">
        <w:t>TOT</w:t>
      </w:r>
      <w:r w:rsidR="000F193D" w:rsidRPr="000C77A2">
        <w:t>)</w:t>
      </w:r>
      <w:r w:rsidR="000E00F0" w:rsidRPr="000C77A2">
        <w:t xml:space="preserve"> were larger for larotrectinib than for docetaxel.</w:t>
      </w:r>
    </w:p>
    <w:p w14:paraId="78F9EC7E" w14:textId="452DACA1" w:rsidR="00192F97" w:rsidRPr="000C77A2" w:rsidRDefault="00192F97" w:rsidP="00EC5836">
      <w:pPr>
        <w:pStyle w:val="3-BodyText"/>
      </w:pPr>
      <w:r w:rsidRPr="000C77A2">
        <w:t>Outcomes for larotrectinib were based on small patient numbers even after pooling (25 patients for NSCLC and 30 patients for STS). This limited the precision and hence the reliability of the efficacy estimates. A small number of additional patients may result in a substantial change to the outcome estimates reflecting the limited and uncertain nature of the available data.</w:t>
      </w:r>
    </w:p>
    <w:p w14:paraId="22DB17FD" w14:textId="74A080E2" w:rsidR="00DB629C" w:rsidRPr="000C77A2" w:rsidRDefault="000E00F0" w:rsidP="00EC5836">
      <w:pPr>
        <w:pStyle w:val="3-BodyText"/>
      </w:pPr>
      <w:r w:rsidRPr="000C77A2">
        <w:t xml:space="preserve">There were substantial differences in </w:t>
      </w:r>
      <w:r w:rsidR="0019466C" w:rsidRPr="000C77A2">
        <w:t>efficacy endpoints</w:t>
      </w:r>
      <w:r w:rsidRPr="000C77A2">
        <w:t xml:space="preserve"> </w:t>
      </w:r>
      <w:r w:rsidR="0019466C" w:rsidRPr="000C77A2">
        <w:t>favouring</w:t>
      </w:r>
      <w:r w:rsidRPr="000C77A2">
        <w:t xml:space="preserve"> larotrectinib </w:t>
      </w:r>
      <w:r w:rsidR="0019466C" w:rsidRPr="000C77A2">
        <w:t xml:space="preserve">over </w:t>
      </w:r>
      <w:r w:rsidRPr="000C77A2">
        <w:t>docetaxel with relatively very poor outcomes in the docetaxel arm in terms of i</w:t>
      </w:r>
      <w:r w:rsidR="00DF6686" w:rsidRPr="000C77A2">
        <w:t>)</w:t>
      </w:r>
      <w:r w:rsidR="00DF6686">
        <w:t> </w:t>
      </w:r>
      <w:r w:rsidRPr="000C77A2">
        <w:t>median OS (39.3 months versus 9.4 months), and ii) median investigator assessed PFS (22.1</w:t>
      </w:r>
      <w:r w:rsidR="00F91FD9" w:rsidRPr="000C77A2">
        <w:t> </w:t>
      </w:r>
      <w:r w:rsidRPr="000C77A2">
        <w:t>months versus 4.2 months).</w:t>
      </w:r>
    </w:p>
    <w:p w14:paraId="7A1BFAB4" w14:textId="7B18FD6B" w:rsidR="000E00F0" w:rsidRPr="000C77A2" w:rsidRDefault="000E00F0" w:rsidP="00EC5836">
      <w:pPr>
        <w:pStyle w:val="3-BodyText"/>
        <w:rPr>
          <w:i/>
          <w:iCs/>
        </w:rPr>
      </w:pPr>
      <w:r w:rsidRPr="000C77A2">
        <w:t>The robustness and reliability of the median PFS estimate</w:t>
      </w:r>
      <w:r w:rsidR="0019466C" w:rsidRPr="000C77A2">
        <w:t>s</w:t>
      </w:r>
      <w:r w:rsidRPr="000C77A2">
        <w:t xml:space="preserve"> </w:t>
      </w:r>
      <w:r w:rsidR="0019466C" w:rsidRPr="000C77A2">
        <w:t>for larotrectinib are</w:t>
      </w:r>
      <w:r w:rsidRPr="000C77A2">
        <w:t xml:space="preserve"> </w:t>
      </w:r>
      <w:r w:rsidR="00DB629C" w:rsidRPr="000C77A2">
        <w:t>uncertain</w:t>
      </w:r>
      <w:r w:rsidRPr="000C77A2">
        <w:t xml:space="preserve"> given the large disparity between the investigator assessed and IRC assessed estimates</w:t>
      </w:r>
      <w:r w:rsidR="007913A6" w:rsidRPr="000C77A2">
        <w:t xml:space="preserve"> in the lung cancer group</w:t>
      </w:r>
      <w:r w:rsidRPr="000C77A2">
        <w:t xml:space="preserve"> (22.1 months </w:t>
      </w:r>
      <w:r w:rsidR="0019466C" w:rsidRPr="000C77A2">
        <w:t>and</w:t>
      </w:r>
      <w:r w:rsidRPr="000C77A2">
        <w:t xml:space="preserve"> 33.0 months, respectively</w:t>
      </w:r>
      <w:r w:rsidRPr="000C77A2">
        <w:rPr>
          <w:i/>
          <w:iCs/>
        </w:rPr>
        <w:t>).</w:t>
      </w:r>
      <w:r w:rsidR="00FB2251" w:rsidRPr="000C77A2">
        <w:rPr>
          <w:i/>
          <w:iCs/>
        </w:rPr>
        <w:t xml:space="preserve"> </w:t>
      </w:r>
      <w:r w:rsidR="00FB2251" w:rsidRPr="000C77A2">
        <w:t xml:space="preserve">The PSCR stated that an additional analysis revealed four patients in the NSCLC dataset </w:t>
      </w:r>
      <w:r w:rsidR="00FB2251" w:rsidRPr="000C77A2">
        <w:lastRenderedPageBreak/>
        <w:t>were deemed to have progressed according to the investigator but not by IRC and none the other way around. A total of three patients’ durations were less than the median timepoints which causes the KM curve to drop and the median (the timepoint beyond which we expect 50% of patients to still be progression-free) to be reached sooner</w:t>
      </w:r>
      <w:r w:rsidR="000C77A2">
        <w:t xml:space="preserve">. </w:t>
      </w:r>
      <w:r w:rsidR="00FB2251" w:rsidRPr="000C77A2">
        <w:t>The PSCR noted that the difference in medians is a consequence of the small sample size rather than an indication of lack of robustness or reliability.</w:t>
      </w:r>
    </w:p>
    <w:p w14:paraId="339F51E2" w14:textId="667F556F" w:rsidR="00B66E69" w:rsidRPr="000C77A2" w:rsidRDefault="00B66E69" w:rsidP="00EC5836">
      <w:pPr>
        <w:pStyle w:val="3-BodyText"/>
      </w:pPr>
      <w:r w:rsidRPr="000C77A2">
        <w:t>Aside from investigator</w:t>
      </w:r>
      <w:r w:rsidR="00F91FD9" w:rsidRPr="000C77A2">
        <w:t xml:space="preserve"> </w:t>
      </w:r>
      <w:r w:rsidRPr="000C77A2">
        <w:t xml:space="preserve">assessed median PFS, </w:t>
      </w:r>
      <w:r w:rsidR="00DB629C" w:rsidRPr="000C77A2">
        <w:t xml:space="preserve">other </w:t>
      </w:r>
      <w:r w:rsidRPr="000C77A2">
        <w:t xml:space="preserve">outcomes were similar between the total lung cancer cohort and the NSCLC cohort in the </w:t>
      </w:r>
      <w:r w:rsidR="0019466C" w:rsidRPr="000C77A2">
        <w:t xml:space="preserve">larotrectinib </w:t>
      </w:r>
      <w:r w:rsidRPr="000C77A2">
        <w:t xml:space="preserve">ePAS7. This is expected as </w:t>
      </w:r>
      <w:proofErr w:type="gramStart"/>
      <w:r w:rsidRPr="000C77A2">
        <w:t>the majority of</w:t>
      </w:r>
      <w:proofErr w:type="gramEnd"/>
      <w:r w:rsidRPr="000C77A2">
        <w:t xml:space="preserve"> the lung cancer cohort were patients with NSCLC</w:t>
      </w:r>
      <w:r w:rsidR="00DB629C" w:rsidRPr="000C77A2">
        <w:t xml:space="preserve"> (25 of 27 patients).</w:t>
      </w:r>
    </w:p>
    <w:p w14:paraId="3635A2B2" w14:textId="09B20636" w:rsidR="00B66E69" w:rsidRPr="000C77A2" w:rsidRDefault="00B66E69" w:rsidP="00B66E69">
      <w:pPr>
        <w:pStyle w:val="3-BodyText"/>
      </w:pPr>
      <w:r w:rsidRPr="000C77A2">
        <w:t>The evidence may</w:t>
      </w:r>
      <w:r w:rsidR="00DB629C" w:rsidRPr="000C77A2">
        <w:t xml:space="preserve"> </w:t>
      </w:r>
      <w:r w:rsidRPr="000C77A2">
        <w:t>be indicative of a larger treatment effect associated with larotrectinib compared with docetaxel</w:t>
      </w:r>
      <w:r w:rsidR="00DB629C" w:rsidRPr="000C77A2">
        <w:t xml:space="preserve">. However, </w:t>
      </w:r>
      <w:r w:rsidRPr="000C77A2">
        <w:t>the following issues warrant cautious interpretation of the data:</w:t>
      </w:r>
    </w:p>
    <w:p w14:paraId="7A25733F" w14:textId="77777777" w:rsidR="004302EC" w:rsidRPr="000C77A2" w:rsidRDefault="00B66E69" w:rsidP="00D85BDC">
      <w:pPr>
        <w:pStyle w:val="3-BodyText"/>
        <w:numPr>
          <w:ilvl w:val="0"/>
          <w:numId w:val="26"/>
        </w:numPr>
        <w:ind w:left="1077" w:hanging="357"/>
      </w:pPr>
      <w:r w:rsidRPr="000C77A2">
        <w:t>The large differences in OS and PFS between the larotrectinib and docetaxel datasets</w:t>
      </w:r>
      <w:r w:rsidR="00DB629C" w:rsidRPr="000C77A2">
        <w:t>,</w:t>
      </w:r>
      <w:r w:rsidRPr="000C77A2">
        <w:t xml:space="preserve"> in a refractory NSCLC setting</w:t>
      </w:r>
      <w:r w:rsidR="00DB629C" w:rsidRPr="000C77A2">
        <w:t>,</w:t>
      </w:r>
      <w:r w:rsidRPr="000C77A2">
        <w:t xml:space="preserve"> raise concerns regarding whether the</w:t>
      </w:r>
      <w:r w:rsidR="00DB629C" w:rsidRPr="000C77A2">
        <w:t xml:space="preserve"> larotrectinib-treated and docetaxel-treated </w:t>
      </w:r>
      <w:r w:rsidRPr="000C77A2">
        <w:t>patient populations are comparable</w:t>
      </w:r>
      <w:r w:rsidR="00DB629C" w:rsidRPr="000C77A2">
        <w:t>,</w:t>
      </w:r>
      <w:r w:rsidRPr="000C77A2">
        <w:t xml:space="preserve"> and whether these differences </w:t>
      </w:r>
      <w:r w:rsidR="00DB629C" w:rsidRPr="000C77A2">
        <w:t xml:space="preserve">in median OS and PFS estimates </w:t>
      </w:r>
      <w:r w:rsidRPr="000C77A2">
        <w:t>a</w:t>
      </w:r>
      <w:r w:rsidR="00DB629C" w:rsidRPr="000C77A2">
        <w:t xml:space="preserve">re a result of a </w:t>
      </w:r>
      <w:r w:rsidRPr="000C77A2">
        <w:t>selection bias.</w:t>
      </w:r>
    </w:p>
    <w:p w14:paraId="5E83161C" w14:textId="3DDD2F8F" w:rsidR="00B66E69" w:rsidRPr="000C77A2" w:rsidRDefault="00D13D58" w:rsidP="00D85BDC">
      <w:pPr>
        <w:pStyle w:val="3-BodyText"/>
        <w:numPr>
          <w:ilvl w:val="0"/>
          <w:numId w:val="26"/>
        </w:numPr>
        <w:ind w:left="1077" w:hanging="357"/>
      </w:pPr>
      <w:r w:rsidRPr="000C77A2">
        <w:t>The larotrectinib studies are ongoing</w:t>
      </w:r>
      <w:r w:rsidR="00DB629C" w:rsidRPr="000C77A2">
        <w:t>,</w:t>
      </w:r>
      <w:r w:rsidRPr="000C77A2">
        <w:t xml:space="preserve"> and selection bias may arise if there is selective enrolment of </w:t>
      </w:r>
      <w:r w:rsidR="00DB629C" w:rsidRPr="000C77A2">
        <w:t xml:space="preserve">patients with a better prognosis, or highly responding patients, or patients who may have </w:t>
      </w:r>
      <w:r w:rsidR="0019466C" w:rsidRPr="000C77A2">
        <w:t xml:space="preserve">received more effective therapies (such as immunotherapy + platinum doublet chemotherapy) </w:t>
      </w:r>
      <w:r w:rsidR="00DB629C" w:rsidRPr="000C77A2">
        <w:t>in the first-line setting compared to the historical CheckMate 057 patient population</w:t>
      </w:r>
      <w:r w:rsidRPr="000C77A2">
        <w:t>.</w:t>
      </w:r>
      <w:r w:rsidR="004302EC" w:rsidRPr="000C77A2">
        <w:t xml:space="preserve"> Patients enrolled in CheckMate 057 had disease that had progressed during or after a platinum-containing chemotherapy regimen. T</w:t>
      </w:r>
      <w:r w:rsidR="00B66E69" w:rsidRPr="000C77A2">
        <w:t xml:space="preserve">here was limited information provided on the types of prior systemic therapies administered in the larotrectinib dataset. </w:t>
      </w:r>
      <w:proofErr w:type="gramStart"/>
      <w:r w:rsidR="00DB629C" w:rsidRPr="000C77A2">
        <w:t>The maj</w:t>
      </w:r>
      <w:r w:rsidR="001A41D8" w:rsidRPr="000C77A2">
        <w:t>ority of</w:t>
      </w:r>
      <w:proofErr w:type="gramEnd"/>
      <w:r w:rsidR="001A41D8" w:rsidRPr="000C77A2">
        <w:t xml:space="preserve"> disease-refractory patients in Australian clinical practice, if </w:t>
      </w:r>
      <w:r w:rsidR="005C4E4A" w:rsidRPr="000C77A2">
        <w:t>eligible, would have received first</w:t>
      </w:r>
      <w:r w:rsidR="00F91FD9" w:rsidRPr="000C77A2">
        <w:t>-</w:t>
      </w:r>
      <w:r w:rsidR="005C4E4A" w:rsidRPr="000C77A2">
        <w:t>line pembrolizumab</w:t>
      </w:r>
      <w:r w:rsidR="001A41D8" w:rsidRPr="000C77A2">
        <w:t xml:space="preserve"> </w:t>
      </w:r>
      <w:r w:rsidR="005C4E4A" w:rsidRPr="000C77A2">
        <w:t>± platinum chemotherapy</w:t>
      </w:r>
      <w:r w:rsidR="001A41D8" w:rsidRPr="000C77A2">
        <w:t xml:space="preserve"> which is associated with improved PFS and OS benefit</w:t>
      </w:r>
      <w:r w:rsidR="005C4E4A" w:rsidRPr="000C77A2">
        <w:t xml:space="preserve">. </w:t>
      </w:r>
      <w:r w:rsidR="001A41D8" w:rsidRPr="000C77A2">
        <w:t xml:space="preserve">Thus, the </w:t>
      </w:r>
      <w:r w:rsidR="00E63776" w:rsidRPr="000C77A2">
        <w:t>front-line therapeutic options</w:t>
      </w:r>
      <w:r w:rsidR="001A41D8" w:rsidRPr="000C77A2">
        <w:t xml:space="preserve"> </w:t>
      </w:r>
      <w:r w:rsidR="00E63776" w:rsidRPr="000C77A2">
        <w:t xml:space="preserve">for refractory patients enrolled in </w:t>
      </w:r>
      <w:r w:rsidR="001A41D8" w:rsidRPr="000C77A2">
        <w:t xml:space="preserve">the CheckMate 057 </w:t>
      </w:r>
      <w:r w:rsidR="00E63776" w:rsidRPr="000C77A2">
        <w:t xml:space="preserve">trial </w:t>
      </w:r>
      <w:r w:rsidR="004302EC" w:rsidRPr="000C77A2">
        <w:t>may not be representative of</w:t>
      </w:r>
      <w:r w:rsidR="00E63776" w:rsidRPr="000C77A2">
        <w:t xml:space="preserve"> those available </w:t>
      </w:r>
      <w:r w:rsidR="007A0006" w:rsidRPr="000C77A2">
        <w:t>for</w:t>
      </w:r>
      <w:r w:rsidR="001A41D8" w:rsidRPr="000C77A2">
        <w:t xml:space="preserve"> refractory patients in current clinical practice</w:t>
      </w:r>
      <w:r w:rsidR="001A41D8" w:rsidRPr="000C77A2">
        <w:rPr>
          <w:i/>
          <w:iCs/>
        </w:rPr>
        <w:t>.</w:t>
      </w:r>
      <w:r w:rsidR="004302EC" w:rsidRPr="000C77A2">
        <w:rPr>
          <w:i/>
          <w:iCs/>
        </w:rPr>
        <w:t xml:space="preserve"> </w:t>
      </w:r>
      <w:r w:rsidR="004302EC" w:rsidRPr="000C77A2">
        <w:t>The impact of this applicability issue is unknown.</w:t>
      </w:r>
    </w:p>
    <w:p w14:paraId="602DAFDF" w14:textId="42267FF4" w:rsidR="00B66E69" w:rsidRPr="000C77A2" w:rsidRDefault="005C4E4A" w:rsidP="00D85BDC">
      <w:pPr>
        <w:pStyle w:val="3-BodyText"/>
        <w:numPr>
          <w:ilvl w:val="0"/>
          <w:numId w:val="26"/>
        </w:numPr>
        <w:ind w:left="1077" w:hanging="357"/>
      </w:pPr>
      <w:r w:rsidRPr="000C77A2">
        <w:t>T</w:t>
      </w:r>
      <w:r w:rsidR="00B66E69" w:rsidRPr="000C77A2">
        <w:t xml:space="preserve">he indirect comparison </w:t>
      </w:r>
      <w:r w:rsidR="009F661D" w:rsidRPr="000C77A2">
        <w:t xml:space="preserve">between single arms </w:t>
      </w:r>
      <w:r w:rsidR="00B66E69" w:rsidRPr="000C77A2">
        <w:t xml:space="preserve">was descriptive and </w:t>
      </w:r>
      <w:r w:rsidR="009F661D" w:rsidRPr="000C77A2">
        <w:t>it is unlikely that adjustment or matching would be feasible given the small number of larotrectinib patients.</w:t>
      </w:r>
      <w:r w:rsidR="00B66E69" w:rsidRPr="000C77A2">
        <w:t xml:space="preserve"> Baseline data indicated there were substantial heterogeneities in disease characteristics (e.g., </w:t>
      </w:r>
      <w:r w:rsidR="00B66E69" w:rsidRPr="000C77A2">
        <w:rPr>
          <w:i/>
          <w:iCs/>
        </w:rPr>
        <w:t>NTRK</w:t>
      </w:r>
      <w:r w:rsidR="00B66E69" w:rsidRPr="000C77A2">
        <w:t xml:space="preserve"> status, prior lines of anticancer treatment and ECOG PS) and in demographics (e.g., age, </w:t>
      </w:r>
      <w:proofErr w:type="gramStart"/>
      <w:r w:rsidR="00B66E69" w:rsidRPr="000C77A2">
        <w:t>gender</w:t>
      </w:r>
      <w:proofErr w:type="gramEnd"/>
      <w:r w:rsidR="00B66E69" w:rsidRPr="000C77A2">
        <w:t xml:space="preserve"> and race) between the larotrectinib and docetaxel arms and the risk of bias and confounding is high.</w:t>
      </w:r>
    </w:p>
    <w:p w14:paraId="53C0D6E0" w14:textId="3BD25F84" w:rsidR="00B66E69" w:rsidRPr="000C77A2" w:rsidRDefault="005C4E4A" w:rsidP="00D85BDC">
      <w:pPr>
        <w:pStyle w:val="3-BodyText"/>
        <w:numPr>
          <w:ilvl w:val="0"/>
          <w:numId w:val="26"/>
        </w:numPr>
        <w:ind w:left="1077" w:hanging="357"/>
      </w:pPr>
      <w:r w:rsidRPr="000C77A2">
        <w:t>O</w:t>
      </w:r>
      <w:r w:rsidR="00B66E69" w:rsidRPr="000C77A2">
        <w:t xml:space="preserve">n-target resistance to larotrectinib can develop over time and is a probable contributory factor in patients developing disease progression upon treatment. Detailed information on whether patients received subsequent therapy with next </w:t>
      </w:r>
      <w:r w:rsidR="00B66E69" w:rsidRPr="000C77A2">
        <w:lastRenderedPageBreak/>
        <w:t xml:space="preserve">generation TRK inhibitors (such as </w:t>
      </w:r>
      <w:proofErr w:type="spellStart"/>
      <w:r w:rsidR="00B66E69" w:rsidRPr="000C77A2">
        <w:t>selitrectinib</w:t>
      </w:r>
      <w:proofErr w:type="spellEnd"/>
      <w:r w:rsidR="00B66E69" w:rsidRPr="000C77A2">
        <w:t xml:space="preserve"> and </w:t>
      </w:r>
      <w:proofErr w:type="spellStart"/>
      <w:r w:rsidR="00B66E69" w:rsidRPr="000C77A2">
        <w:t>repotrectinib</w:t>
      </w:r>
      <w:proofErr w:type="spellEnd"/>
      <w:r w:rsidR="00B66E69" w:rsidRPr="000C77A2">
        <w:t xml:space="preserve">) to treat resistance to larotrectinib was not provided in the resubmission. </w:t>
      </w:r>
      <w:r w:rsidR="004302EC" w:rsidRPr="000C77A2">
        <w:t>At</w:t>
      </w:r>
      <w:r w:rsidR="009F661D" w:rsidRPr="000C77A2">
        <w:t xml:space="preserve"> </w:t>
      </w:r>
      <w:r w:rsidR="00B66E69" w:rsidRPr="000C77A2">
        <w:t xml:space="preserve">the July 2019 data cutoff (no data on subsequent therapies were provided for the July 2020 data cutoff), there were 41% (15/36) of patients in the larotrectinib NAVIGATE study who were administered either </w:t>
      </w:r>
      <w:proofErr w:type="spellStart"/>
      <w:r w:rsidR="00B66E69" w:rsidRPr="000C77A2">
        <w:t>selitrectinib</w:t>
      </w:r>
      <w:proofErr w:type="spellEnd"/>
      <w:r w:rsidR="00B66E69" w:rsidRPr="000C77A2">
        <w:t xml:space="preserve"> or entrectinib post progression (para 6.16, larotrectinib PSD, November 2021 PBAC Meeting with March 2022 Addendum). Second generation TRK inhibitors </w:t>
      </w:r>
      <w:r w:rsidR="00D54BCD" w:rsidRPr="000C77A2">
        <w:t xml:space="preserve">(such as </w:t>
      </w:r>
      <w:proofErr w:type="spellStart"/>
      <w:r w:rsidR="00D54BCD" w:rsidRPr="000C77A2">
        <w:t>repotrectinib</w:t>
      </w:r>
      <w:proofErr w:type="spellEnd"/>
      <w:r w:rsidR="00D54BCD" w:rsidRPr="000C77A2">
        <w:t xml:space="preserve"> and </w:t>
      </w:r>
      <w:proofErr w:type="spellStart"/>
      <w:r w:rsidR="00D54BCD" w:rsidRPr="000C77A2">
        <w:t>selitrectinib</w:t>
      </w:r>
      <w:proofErr w:type="spellEnd"/>
      <w:r w:rsidR="00D54BCD" w:rsidRPr="000C77A2">
        <w:t xml:space="preserve">) </w:t>
      </w:r>
      <w:r w:rsidR="00B66E69" w:rsidRPr="000C77A2">
        <w:t xml:space="preserve">are not currently </w:t>
      </w:r>
      <w:r w:rsidR="00D54BCD" w:rsidRPr="000C77A2">
        <w:t>TGA registered</w:t>
      </w:r>
      <w:r w:rsidR="00B66E69" w:rsidRPr="000C77A2">
        <w:t xml:space="preserve"> and thus any observed OS benefit </w:t>
      </w:r>
      <w:r w:rsidR="009F661D" w:rsidRPr="000C77A2">
        <w:t xml:space="preserve">associated with these second generation TRK inhibitors </w:t>
      </w:r>
      <w:r w:rsidR="00B66E69" w:rsidRPr="000C77A2">
        <w:t>in the</w:t>
      </w:r>
      <w:r w:rsidR="009F661D" w:rsidRPr="000C77A2">
        <w:t xml:space="preserve"> larotrectinib </w:t>
      </w:r>
      <w:r w:rsidR="00B66E69" w:rsidRPr="000C77A2">
        <w:t>studies may not be realised in Australian clinical practice.</w:t>
      </w:r>
    </w:p>
    <w:p w14:paraId="6891A742" w14:textId="7B21759D" w:rsidR="00B66E69" w:rsidRPr="000C77A2" w:rsidRDefault="00192F97" w:rsidP="00D85BDC">
      <w:pPr>
        <w:pStyle w:val="3-BodyText"/>
        <w:numPr>
          <w:ilvl w:val="0"/>
          <w:numId w:val="26"/>
        </w:numPr>
        <w:ind w:left="1077" w:hanging="357"/>
      </w:pPr>
      <w:r w:rsidRPr="000C77A2">
        <w:t>T</w:t>
      </w:r>
      <w:r w:rsidR="00B66E69" w:rsidRPr="000C77A2">
        <w:t>he</w:t>
      </w:r>
      <w:r w:rsidR="007D55BF" w:rsidRPr="000C77A2">
        <w:t xml:space="preserve"> available evidence to support the comparative benefit of larotrectinib has </w:t>
      </w:r>
      <w:r w:rsidR="00B66E69" w:rsidRPr="000C77A2">
        <w:t>limited applicability to the target population</w:t>
      </w:r>
      <w:r w:rsidR="007D55BF" w:rsidRPr="000C77A2">
        <w:t xml:space="preserve"> in the proposed listing</w:t>
      </w:r>
      <w:r w:rsidR="00B66E69" w:rsidRPr="000C77A2">
        <w:t>. The proposed listing is line-agnostic</w:t>
      </w:r>
      <w:r w:rsidR="007D55BF" w:rsidRPr="000C77A2">
        <w:t xml:space="preserve"> but the larotrectinib and comparator studies</w:t>
      </w:r>
      <w:r w:rsidR="00B66E69" w:rsidRPr="000C77A2">
        <w:t xml:space="preserve"> </w:t>
      </w:r>
      <w:r w:rsidR="007D55BF" w:rsidRPr="000C77A2">
        <w:t xml:space="preserve">were conducted in </w:t>
      </w:r>
      <w:r w:rsidR="00B66E69" w:rsidRPr="000C77A2">
        <w:t>the refractory setting. Clinical practice guidelines are evolving with a trend towards recommend</w:t>
      </w:r>
      <w:r w:rsidRPr="000C77A2">
        <w:t xml:space="preserve">ations for </w:t>
      </w:r>
      <w:r w:rsidR="00B66E69" w:rsidRPr="000C77A2">
        <w:t xml:space="preserve">targeted therapy in the front-line setting. If larotrectinib is used in clinical practice as first-line therapy, pembrolizumab ± platinum doublet chemotherapy would be a more relevant comparator than docetaxel to larotrectinib. </w:t>
      </w:r>
      <w:r w:rsidR="009B0254" w:rsidRPr="000C77A2">
        <w:t xml:space="preserve">No comparative evidence </w:t>
      </w:r>
      <w:r w:rsidR="00B66E69" w:rsidRPr="000C77A2">
        <w:t xml:space="preserve">for larotrectinib in the first-line setting </w:t>
      </w:r>
      <w:r w:rsidR="009B0254" w:rsidRPr="000C77A2">
        <w:t xml:space="preserve">was presented </w:t>
      </w:r>
      <w:r w:rsidR="00B66E69" w:rsidRPr="000C77A2">
        <w:t>in the resubmission.</w:t>
      </w:r>
    </w:p>
    <w:p w14:paraId="3CB1182B" w14:textId="77777777" w:rsidR="006E11B6" w:rsidRPr="000C77A2" w:rsidRDefault="006E11B6" w:rsidP="006E11B6">
      <w:pPr>
        <w:pStyle w:val="3-BodyText"/>
        <w:rPr>
          <w:i/>
          <w:iCs/>
        </w:rPr>
      </w:pPr>
      <w:r w:rsidRPr="000C77A2">
        <w:t>The resubmission presented an indirect treatment comparison with a near market comparator, entrectinib, for NSCLC. The resubmission noted that due to the differences</w:t>
      </w:r>
      <w:r w:rsidRPr="000C77A2">
        <w:rPr>
          <w:i/>
          <w:iCs/>
        </w:rPr>
        <w:t xml:space="preserve"> </w:t>
      </w:r>
      <w:r w:rsidRPr="000C77A2">
        <w:t xml:space="preserve">in the patient composition of the datasets, it was difficult to make conclusions regarding the comparative effectiveness of larotrectinib and entrectinib in locally advanced or metastatic </w:t>
      </w:r>
      <w:r w:rsidRPr="000C77A2">
        <w:rPr>
          <w:i/>
          <w:iCs/>
        </w:rPr>
        <w:t>NTRK</w:t>
      </w:r>
      <w:r w:rsidRPr="000C77A2">
        <w:t xml:space="preserve"> positive solid tumour patients.</w:t>
      </w:r>
    </w:p>
    <w:p w14:paraId="7DF793E6" w14:textId="6DBDE502" w:rsidR="007A0006" w:rsidRPr="000C77A2" w:rsidRDefault="007A0006" w:rsidP="009C31D1">
      <w:pPr>
        <w:spacing w:after="120"/>
        <w:rPr>
          <w:b/>
          <w:bCs/>
        </w:rPr>
      </w:pPr>
      <w:r w:rsidRPr="000C77A2">
        <w:rPr>
          <w:b/>
          <w:bCs/>
        </w:rPr>
        <w:t xml:space="preserve">Indirect comparison of effectiveness – Larotrectinib </w:t>
      </w:r>
      <w:r w:rsidRPr="000C77A2">
        <w:rPr>
          <w:b/>
          <w:bCs/>
          <w:i/>
          <w:iCs/>
        </w:rPr>
        <w:t>versus</w:t>
      </w:r>
      <w:r w:rsidRPr="000C77A2">
        <w:rPr>
          <w:b/>
          <w:bCs/>
        </w:rPr>
        <w:t xml:space="preserve"> pazopanib in STS</w:t>
      </w:r>
    </w:p>
    <w:p w14:paraId="5ED9E863" w14:textId="7690D27A" w:rsidR="005C4E4A" w:rsidRPr="000C77A2" w:rsidRDefault="007A0006" w:rsidP="00B66E69">
      <w:pPr>
        <w:pStyle w:val="3-BodyText"/>
      </w:pPr>
      <w:r w:rsidRPr="000C77A2">
        <w:fldChar w:fldCharType="begin" w:fldLock="1"/>
      </w:r>
      <w:r w:rsidRPr="000C77A2">
        <w:instrText xml:space="preserve"> REF _Ref154581221 \h </w:instrText>
      </w:r>
      <w:r w:rsidRPr="000C77A2">
        <w:fldChar w:fldCharType="separate"/>
      </w:r>
      <w:r w:rsidR="001B0FE7" w:rsidRPr="000C77A2">
        <w:t xml:space="preserve">Table </w:t>
      </w:r>
      <w:r w:rsidR="001B0FE7">
        <w:rPr>
          <w:noProof/>
        </w:rPr>
        <w:t>8</w:t>
      </w:r>
      <w:r w:rsidRPr="000C77A2">
        <w:fldChar w:fldCharType="end"/>
      </w:r>
      <w:r w:rsidRPr="000C77A2">
        <w:t xml:space="preserve"> summarises the key outcomes in adult STS patients from the ePAS7 pooled dataset for larotrectinib and from the PALETTE trial for pazopanib.</w:t>
      </w:r>
    </w:p>
    <w:p w14:paraId="7C7A2A83" w14:textId="4EA74F5D" w:rsidR="007A0006" w:rsidRPr="000C77A2" w:rsidRDefault="007A0006" w:rsidP="007A0006">
      <w:pPr>
        <w:pStyle w:val="Caption"/>
      </w:pPr>
      <w:bookmarkStart w:id="29" w:name="_Ref154581221"/>
      <w:r w:rsidRPr="000C77A2">
        <w:lastRenderedPageBreak/>
        <w:t xml:space="preserve">Table </w:t>
      </w:r>
      <w:fldSimple w:instr=" SEQ Table \* ARABIC " w:fldLock="1">
        <w:r w:rsidR="001B0FE7">
          <w:rPr>
            <w:noProof/>
          </w:rPr>
          <w:t>8</w:t>
        </w:r>
      </w:fldSimple>
      <w:bookmarkEnd w:id="29"/>
      <w:r w:rsidRPr="000C77A2">
        <w:t>: Key efficacy outcomes for the larotrectinib and pazopanib STS datasets</w:t>
      </w:r>
    </w:p>
    <w:tbl>
      <w:tblPr>
        <w:tblStyle w:val="HTATableshaded"/>
        <w:tblW w:w="5000" w:type="pct"/>
        <w:tblLook w:val="04A0" w:firstRow="1" w:lastRow="0" w:firstColumn="1" w:lastColumn="0" w:noHBand="0" w:noVBand="1"/>
        <w:tblCaption w:val="Table 8: Key efficacy outcomes for the larotrectinib and pazopanib STS datasets"/>
      </w:tblPr>
      <w:tblGrid>
        <w:gridCol w:w="3037"/>
        <w:gridCol w:w="2896"/>
        <w:gridCol w:w="3084"/>
      </w:tblGrid>
      <w:tr w:rsidR="007A0006" w:rsidRPr="000C77A2" w14:paraId="3E7081D7" w14:textId="77777777" w:rsidTr="0010215E">
        <w:trPr>
          <w:cnfStyle w:val="100000000000" w:firstRow="1" w:lastRow="0" w:firstColumn="0" w:lastColumn="0" w:oddVBand="0" w:evenVBand="0" w:oddHBand="0" w:evenHBand="0" w:firstRowFirstColumn="0" w:firstRowLastColumn="0" w:lastRowFirstColumn="0" w:lastRowLastColumn="0"/>
          <w:cantSplit/>
        </w:trPr>
        <w:tc>
          <w:tcPr>
            <w:tcW w:w="1684" w:type="pct"/>
            <w:shd w:val="clear" w:color="auto" w:fill="auto"/>
          </w:tcPr>
          <w:p w14:paraId="75BDE42A" w14:textId="77777777" w:rsidR="007A0006" w:rsidRPr="000C77A2" w:rsidRDefault="007A0006" w:rsidP="0010215E">
            <w:pPr>
              <w:pStyle w:val="Tabletext"/>
              <w:keepNext/>
              <w:widowControl w:val="0"/>
              <w:spacing w:before="0" w:after="0"/>
              <w:rPr>
                <w:b/>
                <w:bCs/>
              </w:rPr>
            </w:pPr>
            <w:r w:rsidRPr="000C77A2">
              <w:rPr>
                <w:b/>
                <w:bCs/>
              </w:rPr>
              <w:t>Outcomes</w:t>
            </w:r>
          </w:p>
        </w:tc>
        <w:tc>
          <w:tcPr>
            <w:tcW w:w="1606" w:type="pct"/>
            <w:shd w:val="clear" w:color="auto" w:fill="auto"/>
          </w:tcPr>
          <w:p w14:paraId="10E713C6" w14:textId="77777777" w:rsidR="007A0006" w:rsidRPr="000C77A2" w:rsidRDefault="007A0006" w:rsidP="0010215E">
            <w:pPr>
              <w:pStyle w:val="Tabletext"/>
              <w:keepNext/>
              <w:widowControl w:val="0"/>
              <w:spacing w:before="0" w:after="0"/>
              <w:rPr>
                <w:b/>
                <w:bCs/>
              </w:rPr>
            </w:pPr>
            <w:r w:rsidRPr="000C77A2">
              <w:rPr>
                <w:b/>
                <w:bCs/>
              </w:rPr>
              <w:t>ePAS7</w:t>
            </w:r>
          </w:p>
          <w:p w14:paraId="0BEE57CB" w14:textId="77777777" w:rsidR="007A0006" w:rsidRPr="000C77A2" w:rsidRDefault="007A0006" w:rsidP="0010215E">
            <w:pPr>
              <w:pStyle w:val="Tabletext"/>
              <w:keepNext/>
              <w:widowControl w:val="0"/>
              <w:spacing w:before="0" w:after="0"/>
              <w:rPr>
                <w:b/>
                <w:bCs/>
              </w:rPr>
            </w:pPr>
            <w:r w:rsidRPr="000C77A2">
              <w:rPr>
                <w:b/>
                <w:bCs/>
              </w:rPr>
              <w:t>Larotrectinib</w:t>
            </w:r>
          </w:p>
          <w:p w14:paraId="51AAB773" w14:textId="77777777" w:rsidR="007A0006" w:rsidRPr="000C77A2" w:rsidRDefault="007A0006" w:rsidP="0010215E">
            <w:pPr>
              <w:pStyle w:val="Tabletext"/>
              <w:keepNext/>
              <w:widowControl w:val="0"/>
              <w:spacing w:before="0" w:after="0"/>
              <w:rPr>
                <w:b/>
                <w:bCs/>
              </w:rPr>
            </w:pPr>
            <w:r w:rsidRPr="000C77A2">
              <w:rPr>
                <w:b/>
                <w:bCs/>
              </w:rPr>
              <w:t>STS</w:t>
            </w:r>
          </w:p>
          <w:p w14:paraId="1D4C932B" w14:textId="77777777" w:rsidR="007A0006" w:rsidRPr="000C77A2" w:rsidRDefault="007A0006" w:rsidP="0010215E">
            <w:pPr>
              <w:pStyle w:val="Tabletext"/>
              <w:keepNext/>
              <w:widowControl w:val="0"/>
              <w:spacing w:before="0" w:after="0"/>
              <w:rPr>
                <w:b/>
                <w:bCs/>
              </w:rPr>
            </w:pPr>
            <w:r w:rsidRPr="000C77A2">
              <w:rPr>
                <w:b/>
                <w:bCs/>
              </w:rPr>
              <w:t>Pooled N=30</w:t>
            </w:r>
          </w:p>
        </w:tc>
        <w:tc>
          <w:tcPr>
            <w:tcW w:w="1710" w:type="pct"/>
            <w:shd w:val="clear" w:color="auto" w:fill="auto"/>
          </w:tcPr>
          <w:p w14:paraId="1DB68AAD" w14:textId="77777777" w:rsidR="007A0006" w:rsidRPr="000C77A2" w:rsidRDefault="007A0006" w:rsidP="0010215E">
            <w:pPr>
              <w:pStyle w:val="Tabletext"/>
              <w:keepNext/>
              <w:widowControl w:val="0"/>
              <w:spacing w:before="0" w:after="0"/>
              <w:rPr>
                <w:b/>
                <w:bCs/>
              </w:rPr>
            </w:pPr>
            <w:r w:rsidRPr="000C77A2">
              <w:rPr>
                <w:b/>
                <w:bCs/>
              </w:rPr>
              <w:t>PALETTE</w:t>
            </w:r>
          </w:p>
          <w:p w14:paraId="7EF2CF35" w14:textId="77777777" w:rsidR="007A0006" w:rsidRPr="000C77A2" w:rsidRDefault="007A0006" w:rsidP="0010215E">
            <w:pPr>
              <w:pStyle w:val="Tabletext"/>
              <w:keepNext/>
              <w:widowControl w:val="0"/>
              <w:spacing w:before="0" w:after="0"/>
              <w:rPr>
                <w:b/>
                <w:bCs/>
              </w:rPr>
            </w:pPr>
            <w:r w:rsidRPr="000C77A2">
              <w:rPr>
                <w:b/>
                <w:bCs/>
              </w:rPr>
              <w:t>Pazopanib</w:t>
            </w:r>
          </w:p>
          <w:p w14:paraId="44042595" w14:textId="77777777" w:rsidR="007A0006" w:rsidRPr="000C77A2" w:rsidRDefault="007A0006" w:rsidP="0010215E">
            <w:pPr>
              <w:pStyle w:val="Tabletext"/>
              <w:keepNext/>
              <w:widowControl w:val="0"/>
              <w:spacing w:before="0" w:after="0"/>
              <w:rPr>
                <w:b/>
                <w:bCs/>
              </w:rPr>
            </w:pPr>
            <w:r w:rsidRPr="000C77A2">
              <w:rPr>
                <w:b/>
                <w:bCs/>
              </w:rPr>
              <w:t>STS</w:t>
            </w:r>
          </w:p>
          <w:p w14:paraId="6E228C62" w14:textId="77777777" w:rsidR="007A0006" w:rsidRPr="000C77A2" w:rsidRDefault="007A0006" w:rsidP="0010215E">
            <w:pPr>
              <w:pStyle w:val="Tabletext"/>
              <w:keepNext/>
              <w:widowControl w:val="0"/>
              <w:spacing w:before="0" w:after="0"/>
              <w:rPr>
                <w:b/>
                <w:bCs/>
              </w:rPr>
            </w:pPr>
            <w:r w:rsidRPr="000C77A2">
              <w:rPr>
                <w:b/>
                <w:bCs/>
              </w:rPr>
              <w:t>N=246</w:t>
            </w:r>
          </w:p>
        </w:tc>
      </w:tr>
      <w:tr w:rsidR="007A0006" w:rsidRPr="000C77A2" w14:paraId="7D8C23E5" w14:textId="77777777" w:rsidTr="00A50CB3">
        <w:trPr>
          <w:cantSplit/>
        </w:trPr>
        <w:tc>
          <w:tcPr>
            <w:tcW w:w="5000" w:type="pct"/>
            <w:gridSpan w:val="3"/>
            <w:shd w:val="clear" w:color="auto" w:fill="auto"/>
          </w:tcPr>
          <w:p w14:paraId="7D31E0DB" w14:textId="77777777" w:rsidR="007A0006" w:rsidRPr="000C77A2" w:rsidRDefault="007A0006" w:rsidP="0010215E">
            <w:pPr>
              <w:pStyle w:val="Tabletext"/>
              <w:keepNext/>
              <w:widowControl w:val="0"/>
              <w:spacing w:before="0" w:after="0"/>
              <w:rPr>
                <w:b/>
                <w:bCs/>
              </w:rPr>
            </w:pPr>
            <w:r w:rsidRPr="000C77A2">
              <w:rPr>
                <w:b/>
                <w:bCs/>
              </w:rPr>
              <w:t xml:space="preserve">PFS </w:t>
            </w:r>
          </w:p>
        </w:tc>
      </w:tr>
      <w:tr w:rsidR="007A0006" w:rsidRPr="000C77A2" w14:paraId="1451CAEF" w14:textId="77777777" w:rsidTr="00A50CB3">
        <w:trPr>
          <w:cantSplit/>
        </w:trPr>
        <w:tc>
          <w:tcPr>
            <w:tcW w:w="1684" w:type="pct"/>
            <w:shd w:val="clear" w:color="auto" w:fill="auto"/>
          </w:tcPr>
          <w:p w14:paraId="044A0F97" w14:textId="77777777" w:rsidR="007A0006" w:rsidRPr="000C77A2" w:rsidRDefault="007A0006" w:rsidP="0010215E">
            <w:pPr>
              <w:pStyle w:val="Tabletext"/>
              <w:keepNext/>
              <w:widowControl w:val="0"/>
              <w:spacing w:before="0" w:after="0"/>
            </w:pPr>
            <w:r w:rsidRPr="000C77A2">
              <w:t xml:space="preserve">Investigator assessed, </w:t>
            </w:r>
            <w:r w:rsidRPr="000C77A2">
              <w:br/>
              <w:t>median (95% CI), months</w:t>
            </w:r>
          </w:p>
        </w:tc>
        <w:tc>
          <w:tcPr>
            <w:tcW w:w="1606" w:type="pct"/>
            <w:shd w:val="clear" w:color="auto" w:fill="auto"/>
          </w:tcPr>
          <w:p w14:paraId="2844D006" w14:textId="77777777" w:rsidR="007A0006" w:rsidRPr="000C77A2" w:rsidRDefault="007A0006" w:rsidP="0010215E">
            <w:pPr>
              <w:pStyle w:val="Tabletext"/>
              <w:keepNext/>
              <w:widowControl w:val="0"/>
              <w:spacing w:before="0" w:after="0"/>
            </w:pPr>
            <w:r w:rsidRPr="000C77A2">
              <w:t>37.5 (6.8, NE)</w:t>
            </w:r>
          </w:p>
        </w:tc>
        <w:tc>
          <w:tcPr>
            <w:tcW w:w="1710" w:type="pct"/>
            <w:shd w:val="clear" w:color="auto" w:fill="auto"/>
          </w:tcPr>
          <w:p w14:paraId="72ED4A8C" w14:textId="77777777" w:rsidR="007A0006" w:rsidRPr="000C77A2" w:rsidRDefault="007A0006" w:rsidP="0010215E">
            <w:pPr>
              <w:pStyle w:val="Tabletext"/>
              <w:keepNext/>
              <w:widowControl w:val="0"/>
              <w:spacing w:before="0" w:after="0"/>
            </w:pPr>
            <w:r w:rsidRPr="000C77A2">
              <w:t>4.6 (3.7, 4.8)</w:t>
            </w:r>
          </w:p>
        </w:tc>
      </w:tr>
      <w:tr w:rsidR="007A0006" w:rsidRPr="000C77A2" w14:paraId="3252F4FA" w14:textId="77777777" w:rsidTr="00A50CB3">
        <w:trPr>
          <w:cantSplit/>
        </w:trPr>
        <w:tc>
          <w:tcPr>
            <w:tcW w:w="1684" w:type="pct"/>
            <w:shd w:val="clear" w:color="auto" w:fill="auto"/>
          </w:tcPr>
          <w:p w14:paraId="20E2DFDC" w14:textId="77777777" w:rsidR="007A0006" w:rsidRPr="000C77A2" w:rsidRDefault="007A0006" w:rsidP="0010215E">
            <w:pPr>
              <w:pStyle w:val="Tabletext"/>
              <w:keepNext/>
              <w:widowControl w:val="0"/>
              <w:spacing w:before="0" w:after="0"/>
            </w:pPr>
            <w:r w:rsidRPr="000C77A2">
              <w:t>IRC assessed,</w:t>
            </w:r>
          </w:p>
          <w:p w14:paraId="3AB2B4C4" w14:textId="77777777" w:rsidR="007A0006" w:rsidRPr="000C77A2" w:rsidRDefault="007A0006" w:rsidP="0010215E">
            <w:pPr>
              <w:pStyle w:val="Tabletext"/>
              <w:keepNext/>
              <w:widowControl w:val="0"/>
              <w:spacing w:before="0" w:after="0"/>
            </w:pPr>
            <w:r w:rsidRPr="000C77A2">
              <w:t>median (95% CI), months</w:t>
            </w:r>
          </w:p>
        </w:tc>
        <w:tc>
          <w:tcPr>
            <w:tcW w:w="1606" w:type="pct"/>
            <w:shd w:val="clear" w:color="auto" w:fill="auto"/>
          </w:tcPr>
          <w:p w14:paraId="74CDA5BB" w14:textId="77777777" w:rsidR="007A0006" w:rsidRPr="000C77A2" w:rsidRDefault="007A0006" w:rsidP="0010215E">
            <w:pPr>
              <w:pStyle w:val="Tabletext"/>
              <w:keepNext/>
              <w:widowControl w:val="0"/>
              <w:spacing w:before="0" w:after="0"/>
            </w:pPr>
            <w:r w:rsidRPr="000C77A2">
              <w:t>24.8 (3.6, NE)</w:t>
            </w:r>
          </w:p>
        </w:tc>
        <w:tc>
          <w:tcPr>
            <w:tcW w:w="1710" w:type="pct"/>
            <w:shd w:val="clear" w:color="auto" w:fill="auto"/>
          </w:tcPr>
          <w:p w14:paraId="105BF1AB" w14:textId="77777777" w:rsidR="007A0006" w:rsidRPr="000C77A2" w:rsidRDefault="007A0006" w:rsidP="0010215E">
            <w:pPr>
              <w:pStyle w:val="Tabletext"/>
              <w:keepNext/>
              <w:widowControl w:val="0"/>
              <w:spacing w:before="0" w:after="0"/>
            </w:pPr>
            <w:r w:rsidRPr="000C77A2">
              <w:t>NR</w:t>
            </w:r>
          </w:p>
        </w:tc>
      </w:tr>
      <w:tr w:rsidR="007A0006" w:rsidRPr="000C77A2" w14:paraId="42AF5C43" w14:textId="77777777" w:rsidTr="00A50CB3">
        <w:trPr>
          <w:cantSplit/>
        </w:trPr>
        <w:tc>
          <w:tcPr>
            <w:tcW w:w="5000" w:type="pct"/>
            <w:gridSpan w:val="3"/>
            <w:shd w:val="clear" w:color="auto" w:fill="auto"/>
          </w:tcPr>
          <w:p w14:paraId="338CFC14" w14:textId="17CF0901" w:rsidR="007A0006" w:rsidRPr="000C77A2" w:rsidRDefault="007A0006" w:rsidP="0010215E">
            <w:pPr>
              <w:pStyle w:val="Tabletext"/>
              <w:keepNext/>
              <w:widowControl w:val="0"/>
              <w:spacing w:before="0" w:after="0"/>
              <w:rPr>
                <w:vertAlign w:val="superscript"/>
              </w:rPr>
            </w:pPr>
            <w:proofErr w:type="spellStart"/>
            <w:r w:rsidRPr="000C77A2">
              <w:rPr>
                <w:b/>
                <w:bCs/>
              </w:rPr>
              <w:t>OS</w:t>
            </w:r>
            <w:r w:rsidR="0010215E" w:rsidRPr="000C77A2">
              <w:rPr>
                <w:b/>
                <w:bCs/>
                <w:vertAlign w:val="superscript"/>
              </w:rPr>
              <w:t>a</w:t>
            </w:r>
            <w:proofErr w:type="spellEnd"/>
          </w:p>
        </w:tc>
      </w:tr>
      <w:tr w:rsidR="007A0006" w:rsidRPr="000C77A2" w14:paraId="4DF07133" w14:textId="77777777" w:rsidTr="00A50CB3">
        <w:trPr>
          <w:cantSplit/>
        </w:trPr>
        <w:tc>
          <w:tcPr>
            <w:tcW w:w="1684" w:type="pct"/>
            <w:shd w:val="clear" w:color="auto" w:fill="auto"/>
          </w:tcPr>
          <w:p w14:paraId="5C735DBD" w14:textId="06DAED52" w:rsidR="007A0006" w:rsidRPr="000C77A2" w:rsidRDefault="0010215E" w:rsidP="0010215E">
            <w:pPr>
              <w:pStyle w:val="Tabletext"/>
              <w:keepNext/>
              <w:widowControl w:val="0"/>
              <w:spacing w:before="0" w:after="0"/>
            </w:pPr>
            <w:r w:rsidRPr="000C77A2">
              <w:t>M</w:t>
            </w:r>
            <w:r w:rsidR="007A0006" w:rsidRPr="000C77A2">
              <w:t>edian (95% CI), months</w:t>
            </w:r>
          </w:p>
        </w:tc>
        <w:tc>
          <w:tcPr>
            <w:tcW w:w="1606" w:type="pct"/>
            <w:shd w:val="clear" w:color="auto" w:fill="auto"/>
          </w:tcPr>
          <w:p w14:paraId="50E00EF9" w14:textId="77777777" w:rsidR="007A0006" w:rsidRPr="000C77A2" w:rsidRDefault="007A0006" w:rsidP="0010215E">
            <w:pPr>
              <w:pStyle w:val="Tabletext"/>
              <w:keepNext/>
              <w:widowControl w:val="0"/>
              <w:spacing w:before="0" w:after="0"/>
            </w:pPr>
            <w:r w:rsidRPr="000C77A2">
              <w:t>60.2 (38.3, NE)</w:t>
            </w:r>
          </w:p>
        </w:tc>
        <w:tc>
          <w:tcPr>
            <w:tcW w:w="1710" w:type="pct"/>
            <w:shd w:val="clear" w:color="auto" w:fill="auto"/>
          </w:tcPr>
          <w:p w14:paraId="3EAB5534" w14:textId="77777777" w:rsidR="007A0006" w:rsidRPr="000C77A2" w:rsidRDefault="007A0006" w:rsidP="0010215E">
            <w:pPr>
              <w:pStyle w:val="Tabletext"/>
              <w:keepNext/>
              <w:widowControl w:val="0"/>
              <w:spacing w:before="0" w:after="0"/>
            </w:pPr>
            <w:r w:rsidRPr="000C77A2">
              <w:t>12.5 (10.6, 14.8)</w:t>
            </w:r>
          </w:p>
        </w:tc>
      </w:tr>
      <w:tr w:rsidR="007A0006" w:rsidRPr="000C77A2" w14:paraId="009045A9" w14:textId="77777777" w:rsidTr="00A50CB3">
        <w:trPr>
          <w:cantSplit/>
        </w:trPr>
        <w:tc>
          <w:tcPr>
            <w:tcW w:w="5000" w:type="pct"/>
            <w:gridSpan w:val="3"/>
            <w:shd w:val="clear" w:color="auto" w:fill="auto"/>
          </w:tcPr>
          <w:p w14:paraId="1C338C0B" w14:textId="77777777" w:rsidR="007A0006" w:rsidRPr="000C77A2" w:rsidRDefault="007A0006" w:rsidP="0010215E">
            <w:pPr>
              <w:pStyle w:val="Tabletext"/>
              <w:keepNext/>
              <w:widowControl w:val="0"/>
              <w:spacing w:before="0" w:after="0"/>
            </w:pPr>
            <w:r w:rsidRPr="000C77A2">
              <w:rPr>
                <w:b/>
                <w:bCs/>
              </w:rPr>
              <w:t>ORR (CR + PR)</w:t>
            </w:r>
          </w:p>
        </w:tc>
      </w:tr>
      <w:tr w:rsidR="007A0006" w:rsidRPr="000C77A2" w14:paraId="78A12965" w14:textId="77777777" w:rsidTr="00A50CB3">
        <w:trPr>
          <w:cantSplit/>
        </w:trPr>
        <w:tc>
          <w:tcPr>
            <w:tcW w:w="1684" w:type="pct"/>
            <w:shd w:val="clear" w:color="auto" w:fill="auto"/>
          </w:tcPr>
          <w:p w14:paraId="39CD18B2" w14:textId="77777777" w:rsidR="007A0006" w:rsidRPr="000C77A2" w:rsidRDefault="007A0006" w:rsidP="0010215E">
            <w:pPr>
              <w:pStyle w:val="Tabletext"/>
              <w:keepNext/>
              <w:widowControl w:val="0"/>
              <w:spacing w:before="0" w:after="0"/>
            </w:pPr>
            <w:r w:rsidRPr="000C77A2">
              <w:t>Investigator assessed, n (%)</w:t>
            </w:r>
          </w:p>
        </w:tc>
        <w:tc>
          <w:tcPr>
            <w:tcW w:w="1606" w:type="pct"/>
            <w:shd w:val="clear" w:color="auto" w:fill="auto"/>
          </w:tcPr>
          <w:p w14:paraId="0C393644" w14:textId="77777777" w:rsidR="007A0006" w:rsidRPr="000C77A2" w:rsidRDefault="007A0006" w:rsidP="0010215E">
            <w:pPr>
              <w:pStyle w:val="Tabletext"/>
              <w:keepNext/>
              <w:widowControl w:val="0"/>
              <w:spacing w:before="0" w:after="0"/>
            </w:pPr>
            <w:r w:rsidRPr="000C77A2">
              <w:t>16 (53.3)</w:t>
            </w:r>
          </w:p>
        </w:tc>
        <w:tc>
          <w:tcPr>
            <w:tcW w:w="1710" w:type="pct"/>
          </w:tcPr>
          <w:p w14:paraId="09E3863B" w14:textId="77777777" w:rsidR="007A0006" w:rsidRPr="000C77A2" w:rsidRDefault="007A0006" w:rsidP="0010215E">
            <w:pPr>
              <w:pStyle w:val="Tabletext"/>
              <w:spacing w:before="0" w:after="0"/>
            </w:pPr>
            <w:r w:rsidRPr="000C77A2">
              <w:t>23 (9.0)</w:t>
            </w:r>
          </w:p>
        </w:tc>
      </w:tr>
      <w:tr w:rsidR="007A0006" w:rsidRPr="000C77A2" w14:paraId="75B1C893" w14:textId="77777777" w:rsidTr="00A50CB3">
        <w:trPr>
          <w:cantSplit/>
        </w:trPr>
        <w:tc>
          <w:tcPr>
            <w:tcW w:w="1684" w:type="pct"/>
            <w:shd w:val="clear" w:color="auto" w:fill="auto"/>
          </w:tcPr>
          <w:p w14:paraId="59BE0F16" w14:textId="77777777" w:rsidR="007A0006" w:rsidRPr="000C77A2" w:rsidRDefault="007A0006" w:rsidP="0010215E">
            <w:pPr>
              <w:pStyle w:val="Tabletext"/>
              <w:keepNext/>
              <w:widowControl w:val="0"/>
              <w:spacing w:before="0" w:after="0"/>
            </w:pPr>
            <w:r w:rsidRPr="000C77A2">
              <w:t>IRC assessed, n (%)</w:t>
            </w:r>
          </w:p>
        </w:tc>
        <w:tc>
          <w:tcPr>
            <w:tcW w:w="1606" w:type="pct"/>
            <w:shd w:val="clear" w:color="auto" w:fill="auto"/>
          </w:tcPr>
          <w:p w14:paraId="6B55A185" w14:textId="77777777" w:rsidR="007A0006" w:rsidRPr="000C77A2" w:rsidRDefault="007A0006" w:rsidP="0010215E">
            <w:pPr>
              <w:pStyle w:val="Tabletext"/>
              <w:keepNext/>
              <w:widowControl w:val="0"/>
              <w:spacing w:before="0" w:after="0"/>
            </w:pPr>
            <w:r w:rsidRPr="000C77A2">
              <w:t>16 (50.0)</w:t>
            </w:r>
          </w:p>
        </w:tc>
        <w:tc>
          <w:tcPr>
            <w:tcW w:w="1710" w:type="pct"/>
          </w:tcPr>
          <w:p w14:paraId="4F22660C" w14:textId="77777777" w:rsidR="007A0006" w:rsidRPr="000C77A2" w:rsidRDefault="007A0006" w:rsidP="0010215E">
            <w:pPr>
              <w:pStyle w:val="Tabletext"/>
              <w:spacing w:before="0" w:after="0"/>
            </w:pPr>
            <w:r w:rsidRPr="000C77A2">
              <w:t>14 (6.0)</w:t>
            </w:r>
          </w:p>
        </w:tc>
      </w:tr>
      <w:tr w:rsidR="007A0006" w:rsidRPr="000C77A2" w14:paraId="0C423255" w14:textId="77777777" w:rsidTr="00A50CB3">
        <w:trPr>
          <w:cantSplit/>
        </w:trPr>
        <w:tc>
          <w:tcPr>
            <w:tcW w:w="5000" w:type="pct"/>
            <w:gridSpan w:val="3"/>
            <w:shd w:val="clear" w:color="auto" w:fill="auto"/>
          </w:tcPr>
          <w:p w14:paraId="4068B706" w14:textId="77777777" w:rsidR="007A0006" w:rsidRPr="000C77A2" w:rsidRDefault="007A0006" w:rsidP="0010215E">
            <w:pPr>
              <w:pStyle w:val="Tabletext"/>
              <w:keepNext/>
              <w:widowControl w:val="0"/>
              <w:spacing w:before="0" w:after="0"/>
            </w:pPr>
            <w:r w:rsidRPr="000C77A2">
              <w:rPr>
                <w:b/>
                <w:bCs/>
              </w:rPr>
              <w:t xml:space="preserve">DOR </w:t>
            </w:r>
          </w:p>
        </w:tc>
      </w:tr>
      <w:tr w:rsidR="007A0006" w:rsidRPr="000C77A2" w14:paraId="2263E9FA" w14:textId="77777777" w:rsidTr="00A50CB3">
        <w:trPr>
          <w:cantSplit/>
        </w:trPr>
        <w:tc>
          <w:tcPr>
            <w:tcW w:w="1684" w:type="pct"/>
            <w:shd w:val="clear" w:color="auto" w:fill="auto"/>
          </w:tcPr>
          <w:p w14:paraId="62918F7D" w14:textId="77777777" w:rsidR="007A0006" w:rsidRPr="000C77A2" w:rsidRDefault="007A0006" w:rsidP="0010215E">
            <w:pPr>
              <w:pStyle w:val="Tabletext"/>
              <w:keepNext/>
              <w:widowControl w:val="0"/>
              <w:spacing w:before="0" w:after="0"/>
            </w:pPr>
            <w:r w:rsidRPr="000C77A2">
              <w:t xml:space="preserve">Investigator assessed, </w:t>
            </w:r>
            <w:r w:rsidRPr="000C77A2">
              <w:br/>
              <w:t>median (95% CI), months</w:t>
            </w:r>
          </w:p>
        </w:tc>
        <w:tc>
          <w:tcPr>
            <w:tcW w:w="1606" w:type="pct"/>
          </w:tcPr>
          <w:p w14:paraId="053A997D" w14:textId="77777777" w:rsidR="007A0006" w:rsidRPr="000C77A2" w:rsidRDefault="007A0006" w:rsidP="0010215E">
            <w:pPr>
              <w:pStyle w:val="Tabletext"/>
              <w:spacing w:before="0" w:after="0"/>
            </w:pPr>
            <w:r w:rsidRPr="000C77A2">
              <w:t>54.7 (7.2, NE)</w:t>
            </w:r>
          </w:p>
        </w:tc>
        <w:tc>
          <w:tcPr>
            <w:tcW w:w="1710" w:type="pct"/>
            <w:shd w:val="clear" w:color="auto" w:fill="auto"/>
          </w:tcPr>
          <w:p w14:paraId="341EF32E" w14:textId="77777777" w:rsidR="007A0006" w:rsidRPr="000C77A2" w:rsidRDefault="007A0006" w:rsidP="0010215E">
            <w:pPr>
              <w:pStyle w:val="Tabletext"/>
              <w:keepNext/>
              <w:widowControl w:val="0"/>
              <w:spacing w:before="0" w:after="0"/>
            </w:pPr>
            <w:r w:rsidRPr="000C77A2">
              <w:t>NR</w:t>
            </w:r>
          </w:p>
        </w:tc>
      </w:tr>
      <w:tr w:rsidR="007A0006" w:rsidRPr="000C77A2" w14:paraId="1B25D9E5" w14:textId="77777777" w:rsidTr="00A50CB3">
        <w:trPr>
          <w:cantSplit/>
        </w:trPr>
        <w:tc>
          <w:tcPr>
            <w:tcW w:w="1684" w:type="pct"/>
            <w:shd w:val="clear" w:color="auto" w:fill="auto"/>
          </w:tcPr>
          <w:p w14:paraId="6E13F37C" w14:textId="77777777" w:rsidR="007A0006" w:rsidRPr="000C77A2" w:rsidRDefault="007A0006" w:rsidP="0010215E">
            <w:pPr>
              <w:pStyle w:val="Tabletext"/>
              <w:keepNext/>
              <w:widowControl w:val="0"/>
              <w:spacing w:before="0" w:after="0"/>
            </w:pPr>
            <w:r w:rsidRPr="000C77A2">
              <w:t xml:space="preserve">IRC assessed, </w:t>
            </w:r>
            <w:r w:rsidRPr="000C77A2">
              <w:br/>
              <w:t>median (95% CI), months</w:t>
            </w:r>
          </w:p>
        </w:tc>
        <w:tc>
          <w:tcPr>
            <w:tcW w:w="1606" w:type="pct"/>
          </w:tcPr>
          <w:p w14:paraId="0E70C9D2" w14:textId="77777777" w:rsidR="007A0006" w:rsidRPr="000C77A2" w:rsidRDefault="007A0006" w:rsidP="0010215E">
            <w:pPr>
              <w:pStyle w:val="Tabletext"/>
              <w:spacing w:before="0" w:after="0"/>
            </w:pPr>
            <w:r w:rsidRPr="000C77A2">
              <w:t>54.7 (23.0, NE)</w:t>
            </w:r>
          </w:p>
        </w:tc>
        <w:tc>
          <w:tcPr>
            <w:tcW w:w="1710" w:type="pct"/>
            <w:shd w:val="clear" w:color="auto" w:fill="auto"/>
          </w:tcPr>
          <w:p w14:paraId="17FB34D0" w14:textId="77777777" w:rsidR="007A0006" w:rsidRPr="000C77A2" w:rsidRDefault="007A0006" w:rsidP="0010215E">
            <w:pPr>
              <w:pStyle w:val="Tabletext"/>
              <w:keepNext/>
              <w:widowControl w:val="0"/>
              <w:spacing w:before="0" w:after="0"/>
            </w:pPr>
            <w:r w:rsidRPr="000C77A2">
              <w:t>NR</w:t>
            </w:r>
          </w:p>
        </w:tc>
      </w:tr>
      <w:tr w:rsidR="0010215E" w:rsidRPr="000C77A2" w14:paraId="172E93BB" w14:textId="77777777" w:rsidTr="0010215E">
        <w:trPr>
          <w:cantSplit/>
        </w:trPr>
        <w:tc>
          <w:tcPr>
            <w:tcW w:w="5000" w:type="pct"/>
            <w:gridSpan w:val="3"/>
            <w:shd w:val="clear" w:color="auto" w:fill="auto"/>
          </w:tcPr>
          <w:p w14:paraId="37822768" w14:textId="022C4BF1" w:rsidR="0010215E" w:rsidRPr="000C77A2" w:rsidRDefault="0010215E" w:rsidP="0010215E">
            <w:pPr>
              <w:pStyle w:val="Tabletext"/>
              <w:keepNext/>
              <w:widowControl w:val="0"/>
              <w:spacing w:before="0" w:after="0"/>
            </w:pPr>
            <w:r w:rsidRPr="000C77A2">
              <w:rPr>
                <w:b/>
                <w:bCs/>
              </w:rPr>
              <w:t>TOT</w:t>
            </w:r>
          </w:p>
        </w:tc>
      </w:tr>
      <w:tr w:rsidR="0010215E" w:rsidRPr="000C77A2" w14:paraId="3114CE6B" w14:textId="77777777" w:rsidTr="00A50CB3">
        <w:trPr>
          <w:cantSplit/>
        </w:trPr>
        <w:tc>
          <w:tcPr>
            <w:tcW w:w="1684" w:type="pct"/>
            <w:shd w:val="clear" w:color="auto" w:fill="auto"/>
          </w:tcPr>
          <w:p w14:paraId="51301DE1" w14:textId="07AAC9FA" w:rsidR="0010215E" w:rsidRPr="000C77A2" w:rsidRDefault="0010215E" w:rsidP="0010215E">
            <w:pPr>
              <w:pStyle w:val="Tabletext"/>
              <w:keepNext/>
              <w:widowControl w:val="0"/>
              <w:rPr>
                <w:b/>
                <w:bCs/>
              </w:rPr>
            </w:pPr>
            <w:r w:rsidRPr="000C77A2">
              <w:t>Median (95% CI), months</w:t>
            </w:r>
          </w:p>
        </w:tc>
        <w:tc>
          <w:tcPr>
            <w:tcW w:w="1606" w:type="pct"/>
            <w:shd w:val="clear" w:color="auto" w:fill="auto"/>
          </w:tcPr>
          <w:p w14:paraId="3DF73254" w14:textId="03E7069F" w:rsidR="0010215E" w:rsidRPr="000C77A2" w:rsidRDefault="0010215E" w:rsidP="0010215E">
            <w:pPr>
              <w:pStyle w:val="Tabletext"/>
              <w:keepNext/>
              <w:widowControl w:val="0"/>
            </w:pPr>
            <w:r w:rsidRPr="000C77A2">
              <w:t>15.7 (9.4, 43.0)</w:t>
            </w:r>
          </w:p>
        </w:tc>
        <w:tc>
          <w:tcPr>
            <w:tcW w:w="1710" w:type="pct"/>
            <w:shd w:val="clear" w:color="auto" w:fill="auto"/>
          </w:tcPr>
          <w:p w14:paraId="4F52A871" w14:textId="50F5C2B9" w:rsidR="0010215E" w:rsidRPr="000C77A2" w:rsidRDefault="0010215E" w:rsidP="0010215E">
            <w:pPr>
              <w:pStyle w:val="Tabletext"/>
              <w:keepNext/>
              <w:widowControl w:val="0"/>
            </w:pPr>
            <w:r w:rsidRPr="000C77A2">
              <w:t>3.8 (3.2, 4.4)</w:t>
            </w:r>
            <w:r w:rsidRPr="000C77A2">
              <w:rPr>
                <w:vertAlign w:val="superscript"/>
              </w:rPr>
              <w:t>b</w:t>
            </w:r>
          </w:p>
        </w:tc>
      </w:tr>
    </w:tbl>
    <w:p w14:paraId="70E62354" w14:textId="77777777" w:rsidR="007A0006" w:rsidRPr="000C77A2" w:rsidRDefault="007A0006" w:rsidP="007A0006">
      <w:pPr>
        <w:pStyle w:val="TableFooter"/>
      </w:pPr>
      <w:r w:rsidRPr="000C77A2">
        <w:t>Source: Table 2-38, p96 of the resubmission</w:t>
      </w:r>
    </w:p>
    <w:p w14:paraId="47E648C6" w14:textId="4187EA63" w:rsidR="007A0006" w:rsidRPr="000C77A2" w:rsidRDefault="007A0006" w:rsidP="007A0006">
      <w:pPr>
        <w:pStyle w:val="TableFooter"/>
      </w:pPr>
      <w:r w:rsidRPr="000C77A2">
        <w:t xml:space="preserve">CI = confidence interval; CR = complete response; DOR = duration of response; </w:t>
      </w:r>
      <w:proofErr w:type="spellStart"/>
      <w:r w:rsidRPr="000C77A2">
        <w:t>ePAS</w:t>
      </w:r>
      <w:proofErr w:type="spellEnd"/>
      <w:r w:rsidRPr="000C77A2">
        <w:t xml:space="preserve"> = extended primary analysis set; </w:t>
      </w:r>
      <w:r w:rsidR="004302EC" w:rsidRPr="000C77A2">
        <w:t xml:space="preserve">IRC = independent review committee; </w:t>
      </w:r>
      <w:r w:rsidRPr="000C77A2">
        <w:t>NE = not estimable (not reached); NR = not reported; NSCLC = non-small cell lung cancer; ORR = objective response rate; OS = overall survival; PFS = progression free survival; PR = partial response; TOT = time on treatment.</w:t>
      </w:r>
    </w:p>
    <w:p w14:paraId="6882A620" w14:textId="77777777" w:rsidR="007A0006" w:rsidRPr="000C77A2" w:rsidRDefault="007A0006" w:rsidP="007A0006">
      <w:pPr>
        <w:pStyle w:val="TableFooter"/>
      </w:pPr>
      <w:proofErr w:type="spellStart"/>
      <w:r w:rsidRPr="000C77A2">
        <w:rPr>
          <w:vertAlign w:val="superscript"/>
        </w:rPr>
        <w:t>a</w:t>
      </w:r>
      <w:r w:rsidRPr="000C77A2">
        <w:t>Data</w:t>
      </w:r>
      <w:proofErr w:type="spellEnd"/>
      <w:r w:rsidRPr="000C77A2">
        <w:t xml:space="preserve"> cutoff for ePAS7 July 2022. Median follow-up for OS in total ePAS7 was 39.4 months (follow-up duration specifically for STS was not provided in the resubmission); Median follow-up for OS in pazopanib arm of PALETTE was 14.9 months (p1883 van der Graaf 2012)</w:t>
      </w:r>
    </w:p>
    <w:p w14:paraId="6C3C5962" w14:textId="4C7D5A8F" w:rsidR="007A0006" w:rsidRPr="000C77A2" w:rsidRDefault="007A0006" w:rsidP="00560AEC">
      <w:pPr>
        <w:pStyle w:val="TableFooter"/>
        <w:spacing w:after="120"/>
        <w:rPr>
          <w:snapToGrid w:val="0"/>
        </w:rPr>
      </w:pPr>
      <w:r w:rsidRPr="000C77A2">
        <w:rPr>
          <w:vertAlign w:val="superscript"/>
        </w:rPr>
        <w:t>b</w:t>
      </w:r>
      <w:r w:rsidRPr="000C77A2">
        <w:t>95% CI is an approximation based on the normal distribution, with a conservative estimate of the variance based on the interquartile range</w:t>
      </w:r>
      <w:r w:rsidR="0010215E" w:rsidRPr="000C77A2">
        <w:t>.</w:t>
      </w:r>
    </w:p>
    <w:p w14:paraId="4E1ECFAD" w14:textId="4A9EAF73" w:rsidR="007A0006" w:rsidRPr="000C77A2" w:rsidRDefault="007A0006" w:rsidP="00EC5836">
      <w:pPr>
        <w:pStyle w:val="3-BodyText"/>
      </w:pPr>
      <w:r w:rsidRPr="000C77A2">
        <w:t>The resubmission noted that data on DOR in the pazopanib PALETTE trial were not provided in the publications available. The results for other outcomes favoured larotrectinib over pazopanib noting the small number of patients (N=30) in the larotrectinib dataset.</w:t>
      </w:r>
    </w:p>
    <w:p w14:paraId="433C7D3A" w14:textId="14B90F6C" w:rsidR="007A0006" w:rsidRPr="000C77A2" w:rsidRDefault="00C2095C" w:rsidP="00EC5836">
      <w:pPr>
        <w:pStyle w:val="3-BodyText"/>
      </w:pPr>
      <w:r w:rsidRPr="000C77A2">
        <w:t xml:space="preserve">As was the case for NSCLC, there were substantial differences </w:t>
      </w:r>
      <w:r w:rsidR="004302EC" w:rsidRPr="000C77A2">
        <w:t xml:space="preserve">in efficacy outcomes favouring </w:t>
      </w:r>
      <w:r w:rsidRPr="000C77A2">
        <w:t xml:space="preserve">larotrectinib </w:t>
      </w:r>
      <w:r w:rsidR="004302EC" w:rsidRPr="000C77A2">
        <w:t>versus</w:t>
      </w:r>
      <w:r w:rsidRPr="000C77A2">
        <w:t xml:space="preserve"> pazopanib with relatively very poor outcomes in the pazopanib arm (median OS: 60.2 months versus 12.5 months; median investigator assessed PFS: 37.5 months versus 4.6 months). These large differences in OS and PFS in the refractory setting also raise concerns regarding whether the patient populations are comparable in terms of disease severity and/or whether there is a high risk of selection bias.</w:t>
      </w:r>
    </w:p>
    <w:p w14:paraId="12B796AE" w14:textId="5ED5E0E3" w:rsidR="00C2095C" w:rsidRPr="000C77A2" w:rsidRDefault="00C2095C" w:rsidP="00C2095C">
      <w:pPr>
        <w:pStyle w:val="3-BodyText"/>
        <w:rPr>
          <w:i/>
          <w:iCs/>
        </w:rPr>
      </w:pPr>
      <w:r w:rsidRPr="000C77A2">
        <w:t xml:space="preserve">There is concern regarding the robustness and reliability of the median PFS </w:t>
      </w:r>
      <w:r w:rsidR="004302EC" w:rsidRPr="000C77A2">
        <w:t>estimate for larotrectinib</w:t>
      </w:r>
      <w:r w:rsidRPr="000C77A2">
        <w:t xml:space="preserve"> given the large disparity between the investigator assessed (37.5</w:t>
      </w:r>
      <w:r w:rsidR="0010215E" w:rsidRPr="000C77A2">
        <w:t> </w:t>
      </w:r>
      <w:r w:rsidRPr="000C77A2">
        <w:t>months) and IRC assessed (24.8 months) estimates</w:t>
      </w:r>
      <w:r w:rsidRPr="000C77A2">
        <w:rPr>
          <w:i/>
          <w:iCs/>
        </w:rPr>
        <w:t xml:space="preserve">. </w:t>
      </w:r>
    </w:p>
    <w:p w14:paraId="59D78B11" w14:textId="3BC94744" w:rsidR="00C2095C" w:rsidRPr="000C77A2" w:rsidRDefault="00C2095C" w:rsidP="00C2095C">
      <w:pPr>
        <w:pStyle w:val="3-BodyText"/>
      </w:pPr>
      <w:r w:rsidRPr="000C77A2">
        <w:t xml:space="preserve">Notably, the disparity between the investigator assessed and IRC assessed median PFS estimates for STS (investigator estimate </w:t>
      </w:r>
      <w:r w:rsidR="00AB25B7">
        <w:t>longer</w:t>
      </w:r>
      <w:r w:rsidR="00AB25B7" w:rsidRPr="000C77A2">
        <w:t xml:space="preserve"> </w:t>
      </w:r>
      <w:r w:rsidRPr="000C77A2">
        <w:t xml:space="preserve">than IRC estimate) appears to be in the opposite direction to that observed for </w:t>
      </w:r>
      <w:r w:rsidR="00D54BCD" w:rsidRPr="000C77A2">
        <w:t xml:space="preserve">lung cancer </w:t>
      </w:r>
      <w:r w:rsidRPr="000C77A2">
        <w:t xml:space="preserve">(investigator </w:t>
      </w:r>
      <w:r w:rsidR="004302EC" w:rsidRPr="000C77A2">
        <w:t xml:space="preserve">assessed </w:t>
      </w:r>
      <w:r w:rsidRPr="000C77A2">
        <w:t xml:space="preserve">estimate </w:t>
      </w:r>
      <w:r w:rsidR="004302EC" w:rsidRPr="000C77A2">
        <w:t>was</w:t>
      </w:r>
      <w:r w:rsidR="00AB25B7">
        <w:t xml:space="preserve"> shorter</w:t>
      </w:r>
      <w:r w:rsidRPr="000C77A2">
        <w:t xml:space="preserve"> than </w:t>
      </w:r>
      <w:r w:rsidR="004302EC" w:rsidRPr="000C77A2">
        <w:t xml:space="preserve">the </w:t>
      </w:r>
      <w:r w:rsidRPr="000C77A2">
        <w:t xml:space="preserve">IRC </w:t>
      </w:r>
      <w:r w:rsidR="004302EC" w:rsidRPr="000C77A2">
        <w:t xml:space="preserve">assessed </w:t>
      </w:r>
      <w:r w:rsidRPr="000C77A2">
        <w:t>estimate).</w:t>
      </w:r>
    </w:p>
    <w:p w14:paraId="7EEF7E3E" w14:textId="4E5267CF" w:rsidR="00C2095C" w:rsidRPr="000C77A2" w:rsidRDefault="004302EC" w:rsidP="00C2095C">
      <w:pPr>
        <w:pStyle w:val="3-BodyText"/>
      </w:pPr>
      <w:r w:rsidRPr="000C77A2">
        <w:lastRenderedPageBreak/>
        <w:t>The resubmission also presented a formal unmatched, unadjusted indirect comparison of investigator assessed response (complete and partial combined) between larotrectinib and pazopanib arms. The results indicated that there was a statistically significant difference favouring larotrectinib over pazopanib (difference in response rate of 44% [95% CI: 26%, 62%]; p&lt;0.001).</w:t>
      </w:r>
    </w:p>
    <w:p w14:paraId="1A7C2718" w14:textId="77777777" w:rsidR="00C2095C" w:rsidRPr="000C77A2" w:rsidRDefault="00C2095C" w:rsidP="00C2095C">
      <w:pPr>
        <w:pStyle w:val="3-BodyText"/>
      </w:pPr>
      <w:r w:rsidRPr="000C77A2">
        <w:t>As was the case for the comparison between larotrectinib and docetaxel in NSCLC, the indirect comparison of larotrectinib with pazopanib in STS would need to be interpreted with caution:</w:t>
      </w:r>
    </w:p>
    <w:p w14:paraId="27F474F3" w14:textId="4FD4B4AD" w:rsidR="00C2095C" w:rsidRPr="000C77A2" w:rsidRDefault="00C2095C" w:rsidP="00D85BDC">
      <w:pPr>
        <w:pStyle w:val="3-BodyText"/>
        <w:numPr>
          <w:ilvl w:val="0"/>
          <w:numId w:val="26"/>
        </w:numPr>
        <w:ind w:left="1077" w:hanging="357"/>
      </w:pPr>
      <w:r w:rsidRPr="000C77A2">
        <w:t>There is limited applicability of the data in the refractory setting to the line-agnostic proposed listing which allows use of larotrectinib in the first-line setting. As noted previously, evolving clinical practice guidelines recommend targeted therapy in the front-line setting. STS patients in the first-line setting would ideally be treated with chemotherapy including an anthracycline, which may represent a more appropriate comparator than pazopanib.</w:t>
      </w:r>
      <w:r w:rsidR="009B0254" w:rsidRPr="000C77A2">
        <w:t xml:space="preserve"> No comparative evidence in the first-line setting was presented in the resubmission. </w:t>
      </w:r>
    </w:p>
    <w:p w14:paraId="68374EB7" w14:textId="0367859C" w:rsidR="00C2095C" w:rsidRPr="000C77A2" w:rsidRDefault="00C2095C" w:rsidP="00D85BDC">
      <w:pPr>
        <w:pStyle w:val="3-BodyText"/>
        <w:numPr>
          <w:ilvl w:val="0"/>
          <w:numId w:val="26"/>
        </w:numPr>
        <w:ind w:left="1077" w:hanging="357"/>
      </w:pPr>
      <w:r w:rsidRPr="000C77A2">
        <w:t>The number of STS patients in the larotrectinib dataset was small (N=30), limiting the reliability of the results.</w:t>
      </w:r>
    </w:p>
    <w:p w14:paraId="2CD3A46A" w14:textId="430450F2" w:rsidR="00C2095C" w:rsidRPr="000C77A2" w:rsidRDefault="00C2095C" w:rsidP="00D85BDC">
      <w:pPr>
        <w:pStyle w:val="3-BodyText"/>
        <w:numPr>
          <w:ilvl w:val="0"/>
          <w:numId w:val="26"/>
        </w:numPr>
        <w:ind w:left="1077" w:hanging="357"/>
      </w:pPr>
      <w:r w:rsidRPr="000C77A2">
        <w:t>The indirect comparisons of OS and PFS were descriptive</w:t>
      </w:r>
      <w:r w:rsidR="00D23A23" w:rsidRPr="000C77A2">
        <w:t xml:space="preserve">, </w:t>
      </w:r>
      <w:r w:rsidRPr="000C77A2">
        <w:t xml:space="preserve">and between </w:t>
      </w:r>
      <w:r w:rsidR="00D23A23" w:rsidRPr="000C77A2">
        <w:t xml:space="preserve">non-matched </w:t>
      </w:r>
      <w:r w:rsidRPr="000C77A2">
        <w:t xml:space="preserve">single arms. </w:t>
      </w:r>
      <w:r w:rsidR="00D23A23" w:rsidRPr="000C77A2">
        <w:t>It is unlikely that matching would have been feasible given the small number of patients in the larotrectinib dataset. T</w:t>
      </w:r>
      <w:r w:rsidRPr="000C77A2">
        <w:t xml:space="preserve">here was apparent heterogeneity in patient baseline characteristics across the larotrectinib and pazopanib STS datasets in terms of age, ECOG PS, </w:t>
      </w:r>
      <w:r w:rsidRPr="000C77A2">
        <w:rPr>
          <w:i/>
          <w:iCs/>
        </w:rPr>
        <w:t>NTRK</w:t>
      </w:r>
      <w:r w:rsidRPr="000C77A2">
        <w:t xml:space="preserve"> status, and prior lines of therapy. </w:t>
      </w:r>
    </w:p>
    <w:p w14:paraId="3D51881D" w14:textId="48E05D03" w:rsidR="00C2095C" w:rsidRPr="000C77A2" w:rsidRDefault="00C2095C" w:rsidP="00D85BDC">
      <w:pPr>
        <w:pStyle w:val="3-BodyText"/>
        <w:numPr>
          <w:ilvl w:val="0"/>
          <w:numId w:val="26"/>
        </w:numPr>
        <w:ind w:left="1077" w:hanging="357"/>
        <w:rPr>
          <w:i/>
          <w:iCs/>
        </w:rPr>
      </w:pPr>
      <w:r w:rsidRPr="000C77A2">
        <w:t>There was no information provided on subsequent therapies with second generation TRK inhibitors to treat on-target resistance to larotrectinib. These therapies are not currently PBS-subsidised and thus any observed OS benefit in larotrectinib studies may not be realised in Australian clinical practice</w:t>
      </w:r>
      <w:r w:rsidRPr="000C77A2">
        <w:rPr>
          <w:i/>
          <w:iCs/>
        </w:rPr>
        <w:t>.</w:t>
      </w:r>
    </w:p>
    <w:p w14:paraId="5AA7E2BF" w14:textId="77777777" w:rsidR="00B60939" w:rsidRPr="000C77A2" w:rsidRDefault="00B60939" w:rsidP="00D86231">
      <w:pPr>
        <w:pStyle w:val="4-SubsectionHeading"/>
      </w:pPr>
      <w:bookmarkStart w:id="30" w:name="_Toc22897642"/>
      <w:bookmarkStart w:id="31" w:name="_Toc156903960"/>
      <w:r w:rsidRPr="000C77A2">
        <w:t>Comparative harms</w:t>
      </w:r>
      <w:bookmarkEnd w:id="30"/>
      <w:bookmarkEnd w:id="31"/>
    </w:p>
    <w:p w14:paraId="09FE9F64" w14:textId="16414923" w:rsidR="00C2095C" w:rsidRPr="000C77A2" w:rsidRDefault="00C2095C" w:rsidP="009C31D1">
      <w:pPr>
        <w:spacing w:after="120"/>
        <w:rPr>
          <w:b/>
          <w:bCs/>
        </w:rPr>
      </w:pPr>
      <w:r w:rsidRPr="000C77A2">
        <w:rPr>
          <w:b/>
          <w:bCs/>
        </w:rPr>
        <w:t>Pooled safety data for larotrectinib</w:t>
      </w:r>
      <w:r w:rsidR="00094EB4" w:rsidRPr="000C77A2">
        <w:rPr>
          <w:b/>
          <w:bCs/>
        </w:rPr>
        <w:t xml:space="preserve"> (Overall safety analysis set)</w:t>
      </w:r>
    </w:p>
    <w:p w14:paraId="0A281BFA" w14:textId="3D790F25" w:rsidR="00094EB4" w:rsidRPr="000C77A2" w:rsidRDefault="00094EB4" w:rsidP="00094EB4">
      <w:pPr>
        <w:pStyle w:val="3-BodyText"/>
      </w:pPr>
      <w:r w:rsidRPr="000C77A2">
        <w:t xml:space="preserve">The resubmission provided safety data from several safety analysis sets which included ePAS7 (N=272), an overall safety analysis set comprised of patients with or without </w:t>
      </w:r>
      <w:r w:rsidRPr="000C77A2">
        <w:rPr>
          <w:i/>
          <w:iCs/>
        </w:rPr>
        <w:t>NTRK</w:t>
      </w:r>
      <w:r w:rsidRPr="000C77A2">
        <w:t xml:space="preserve"> gene fusions from the three larotrectinib studies</w:t>
      </w:r>
      <w:r w:rsidRPr="000C77A2">
        <w:rPr>
          <w:rStyle w:val="FootnoteReference"/>
        </w:rPr>
        <w:footnoteReference w:id="10"/>
      </w:r>
      <w:r w:rsidRPr="000C77A2">
        <w:t xml:space="preserve"> included in the resubmission who received ≥1 dose of larotrectinib (N=418), and a safety analysis set of patients with a documented </w:t>
      </w:r>
      <w:r w:rsidRPr="000C77A2">
        <w:rPr>
          <w:i/>
          <w:iCs/>
        </w:rPr>
        <w:t>NTRK</w:t>
      </w:r>
      <w:r w:rsidRPr="000C77A2">
        <w:t xml:space="preserve"> gene fusion who received ≥1 dose of larotrectinib (TFCSAS; N=347).</w:t>
      </w:r>
    </w:p>
    <w:p w14:paraId="3EAFA21A" w14:textId="19A85171" w:rsidR="00094EB4" w:rsidRPr="000C77A2" w:rsidRDefault="003C3A49" w:rsidP="00094EB4">
      <w:pPr>
        <w:pStyle w:val="3-BodyText"/>
      </w:pPr>
      <w:r w:rsidRPr="000C77A2">
        <w:lastRenderedPageBreak/>
        <w:fldChar w:fldCharType="begin" w:fldLock="1"/>
      </w:r>
      <w:r w:rsidRPr="000C77A2">
        <w:instrText xml:space="preserve"> REF _Ref154653854 \h </w:instrText>
      </w:r>
      <w:r w:rsidRPr="000C77A2">
        <w:fldChar w:fldCharType="separate"/>
      </w:r>
      <w:r w:rsidR="001B0FE7" w:rsidRPr="000C77A2">
        <w:t xml:space="preserve">Table </w:t>
      </w:r>
      <w:r w:rsidR="001B0FE7">
        <w:rPr>
          <w:noProof/>
        </w:rPr>
        <w:t>9</w:t>
      </w:r>
      <w:r w:rsidRPr="000C77A2">
        <w:fldChar w:fldCharType="end"/>
      </w:r>
      <w:r w:rsidRPr="000C77A2">
        <w:t xml:space="preserve"> </w:t>
      </w:r>
      <w:r w:rsidR="00094EB4" w:rsidRPr="000C77A2">
        <w:t xml:space="preserve">summarises safety data from the overall safety analysis set based on the July 2022 data cutoff. Safety data </w:t>
      </w:r>
      <w:r w:rsidRPr="000C77A2">
        <w:t>presented in the previous submission, from the overall safety analysis set based on an earlier July 2020 data cutoff (Larotrectinib PSD, November 2021 PBAC Meeting with March 2022 Addendum)</w:t>
      </w:r>
      <w:r w:rsidR="009D2246" w:rsidRPr="000C77A2">
        <w:t>,</w:t>
      </w:r>
      <w:r w:rsidRPr="000C77A2">
        <w:t xml:space="preserve"> </w:t>
      </w:r>
      <w:r w:rsidR="00E0467F" w:rsidRPr="000C77A2">
        <w:t>have been included for comparative purposes.</w:t>
      </w:r>
      <w:r w:rsidR="00094EB4" w:rsidRPr="000C77A2">
        <w:t xml:space="preserve"> </w:t>
      </w:r>
    </w:p>
    <w:p w14:paraId="6AA53C82" w14:textId="6A54F2CF" w:rsidR="00E0467F" w:rsidRPr="000C77A2" w:rsidRDefault="00E0467F" w:rsidP="00E0467F">
      <w:pPr>
        <w:pStyle w:val="Caption"/>
      </w:pPr>
      <w:bookmarkStart w:id="32" w:name="_Ref154653854"/>
      <w:r w:rsidRPr="000C77A2">
        <w:t xml:space="preserve">Table </w:t>
      </w:r>
      <w:fldSimple w:instr=" SEQ Table \* ARABIC " w:fldLock="1">
        <w:r w:rsidR="001B0FE7">
          <w:rPr>
            <w:noProof/>
          </w:rPr>
          <w:t>9</w:t>
        </w:r>
      </w:fldSimple>
      <w:bookmarkEnd w:id="32"/>
      <w:r w:rsidRPr="000C77A2">
        <w:t xml:space="preserve">: Summary of overall safety analysis set for larotrectinib (regardless of the presence of </w:t>
      </w:r>
      <w:r w:rsidRPr="000C77A2">
        <w:rPr>
          <w:i/>
        </w:rPr>
        <w:t>NTRK</w:t>
      </w:r>
      <w:r w:rsidRPr="000C77A2">
        <w:t xml:space="preserve"> fusions)</w:t>
      </w:r>
    </w:p>
    <w:tbl>
      <w:tblPr>
        <w:tblStyle w:val="HTATableshaded20"/>
        <w:tblW w:w="5000" w:type="pct"/>
        <w:tblLook w:val="04A0" w:firstRow="1" w:lastRow="0" w:firstColumn="1" w:lastColumn="0" w:noHBand="0" w:noVBand="1"/>
        <w:tblCaption w:val="Table 9: Summary of overall safety analysis set for larotrectinib (regardless of the presence of NTRK fusions)"/>
      </w:tblPr>
      <w:tblGrid>
        <w:gridCol w:w="5102"/>
        <w:gridCol w:w="1958"/>
        <w:gridCol w:w="1957"/>
      </w:tblGrid>
      <w:tr w:rsidR="00E0467F" w:rsidRPr="000C77A2" w14:paraId="5414DBB1" w14:textId="77777777" w:rsidTr="00A50CB3">
        <w:trPr>
          <w:cnfStyle w:val="100000000000" w:firstRow="1" w:lastRow="0" w:firstColumn="0" w:lastColumn="0" w:oddVBand="0" w:evenVBand="0" w:oddHBand="0" w:evenHBand="0" w:firstRowFirstColumn="0" w:firstRowLastColumn="0" w:lastRowFirstColumn="0" w:lastRowLastColumn="0"/>
          <w:cantSplit/>
          <w:tblHeader/>
        </w:trPr>
        <w:tc>
          <w:tcPr>
            <w:tcW w:w="2829" w:type="pct"/>
            <w:vMerge w:val="restart"/>
          </w:tcPr>
          <w:p w14:paraId="600F31EC" w14:textId="77777777" w:rsidR="00E0467F" w:rsidRPr="000C77A2" w:rsidRDefault="00E0467F" w:rsidP="00B25BB5">
            <w:pPr>
              <w:keepNext/>
              <w:widowControl w:val="0"/>
              <w:spacing w:before="0" w:after="0"/>
              <w:jc w:val="left"/>
              <w:rPr>
                <w:rFonts w:ascii="Arial Narrow" w:hAnsi="Arial Narrow"/>
                <w:b/>
                <w:sz w:val="20"/>
              </w:rPr>
            </w:pPr>
            <w:r w:rsidRPr="000C77A2">
              <w:rPr>
                <w:rFonts w:ascii="Arial Narrow" w:hAnsi="Arial Narrow"/>
                <w:b/>
                <w:sz w:val="20"/>
              </w:rPr>
              <w:t>TEAE</w:t>
            </w:r>
          </w:p>
        </w:tc>
        <w:tc>
          <w:tcPr>
            <w:tcW w:w="1086" w:type="pct"/>
            <w:shd w:val="clear" w:color="auto" w:fill="C6D9F1" w:themeFill="text2" w:themeFillTint="33"/>
          </w:tcPr>
          <w:p w14:paraId="41FB1DC0"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Previous submission</w:t>
            </w:r>
          </w:p>
          <w:p w14:paraId="59B1219F"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July 2020 data cutoff</w:t>
            </w:r>
          </w:p>
        </w:tc>
        <w:tc>
          <w:tcPr>
            <w:tcW w:w="1086" w:type="pct"/>
          </w:tcPr>
          <w:p w14:paraId="7B63A68D"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Resubmission</w:t>
            </w:r>
          </w:p>
          <w:p w14:paraId="38F96E9A"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July 2022 data cutoff</w:t>
            </w:r>
          </w:p>
        </w:tc>
      </w:tr>
      <w:tr w:rsidR="00E0467F" w:rsidRPr="000C77A2" w14:paraId="719C8631" w14:textId="77777777" w:rsidTr="00A50CB3">
        <w:trPr>
          <w:cnfStyle w:val="100000000000" w:firstRow="1" w:lastRow="0" w:firstColumn="0" w:lastColumn="0" w:oddVBand="0" w:evenVBand="0" w:oddHBand="0" w:evenHBand="0" w:firstRowFirstColumn="0" w:firstRowLastColumn="0" w:lastRowFirstColumn="0" w:lastRowLastColumn="0"/>
          <w:cantSplit/>
          <w:tblHeader/>
        </w:trPr>
        <w:tc>
          <w:tcPr>
            <w:tcW w:w="2829" w:type="pct"/>
            <w:vMerge/>
          </w:tcPr>
          <w:p w14:paraId="3F3CF5A9" w14:textId="77777777" w:rsidR="00E0467F" w:rsidRPr="000C77A2" w:rsidRDefault="00E0467F" w:rsidP="00B25BB5">
            <w:pPr>
              <w:keepNext/>
              <w:widowControl w:val="0"/>
              <w:spacing w:before="0" w:after="0"/>
              <w:jc w:val="left"/>
              <w:rPr>
                <w:rFonts w:ascii="Arial Narrow" w:hAnsi="Arial Narrow"/>
                <w:b/>
                <w:sz w:val="20"/>
                <w:vertAlign w:val="superscript"/>
              </w:rPr>
            </w:pPr>
          </w:p>
        </w:tc>
        <w:tc>
          <w:tcPr>
            <w:tcW w:w="1086" w:type="pct"/>
            <w:shd w:val="clear" w:color="auto" w:fill="C6D9F1" w:themeFill="text2" w:themeFillTint="33"/>
          </w:tcPr>
          <w:p w14:paraId="20A91E80"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Overall safety set</w:t>
            </w:r>
          </w:p>
          <w:p w14:paraId="1303E0A1"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n=331</w:t>
            </w:r>
          </w:p>
        </w:tc>
        <w:tc>
          <w:tcPr>
            <w:tcW w:w="1086" w:type="pct"/>
          </w:tcPr>
          <w:p w14:paraId="16CD48F2"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Overall safety set</w:t>
            </w:r>
          </w:p>
          <w:p w14:paraId="5C743831" w14:textId="77777777" w:rsidR="00E0467F" w:rsidRPr="000C77A2" w:rsidRDefault="00E0467F" w:rsidP="00B25BB5">
            <w:pPr>
              <w:keepNext/>
              <w:widowControl w:val="0"/>
              <w:spacing w:before="0" w:after="0"/>
              <w:jc w:val="center"/>
              <w:rPr>
                <w:rFonts w:ascii="Arial Narrow" w:hAnsi="Arial Narrow"/>
                <w:b/>
                <w:sz w:val="20"/>
              </w:rPr>
            </w:pPr>
            <w:r w:rsidRPr="000C77A2">
              <w:rPr>
                <w:rFonts w:ascii="Arial Narrow" w:hAnsi="Arial Narrow"/>
                <w:b/>
                <w:sz w:val="20"/>
              </w:rPr>
              <w:t>n=418</w:t>
            </w:r>
          </w:p>
        </w:tc>
      </w:tr>
      <w:tr w:rsidR="00E0467F" w:rsidRPr="000C77A2" w14:paraId="121AF69E" w14:textId="77777777" w:rsidTr="00A50CB3">
        <w:trPr>
          <w:cantSplit/>
        </w:trPr>
        <w:tc>
          <w:tcPr>
            <w:tcW w:w="2829" w:type="pct"/>
          </w:tcPr>
          <w:p w14:paraId="1CD4F034"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TEAE</w:t>
            </w:r>
          </w:p>
        </w:tc>
        <w:tc>
          <w:tcPr>
            <w:tcW w:w="1086" w:type="pct"/>
            <w:shd w:val="clear" w:color="auto" w:fill="C6D9F1" w:themeFill="text2" w:themeFillTint="33"/>
          </w:tcPr>
          <w:p w14:paraId="300FABAC"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320 (97%)</w:t>
            </w:r>
          </w:p>
        </w:tc>
        <w:tc>
          <w:tcPr>
            <w:tcW w:w="1086" w:type="pct"/>
          </w:tcPr>
          <w:p w14:paraId="6439A279"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405 (97%)</w:t>
            </w:r>
          </w:p>
        </w:tc>
      </w:tr>
      <w:tr w:rsidR="00E0467F" w:rsidRPr="000C77A2" w14:paraId="4AF269DD" w14:textId="77777777" w:rsidTr="00A50CB3">
        <w:trPr>
          <w:cantSplit/>
        </w:trPr>
        <w:tc>
          <w:tcPr>
            <w:tcW w:w="2829" w:type="pct"/>
          </w:tcPr>
          <w:p w14:paraId="2F73CC23"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TEAE related to larotrectinib</w:t>
            </w:r>
          </w:p>
        </w:tc>
        <w:tc>
          <w:tcPr>
            <w:tcW w:w="1086" w:type="pct"/>
            <w:shd w:val="clear" w:color="auto" w:fill="C6D9F1" w:themeFill="text2" w:themeFillTint="33"/>
          </w:tcPr>
          <w:p w14:paraId="086B3229"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260 (79%)</w:t>
            </w:r>
          </w:p>
        </w:tc>
        <w:tc>
          <w:tcPr>
            <w:tcW w:w="1086" w:type="pct"/>
          </w:tcPr>
          <w:p w14:paraId="13700166"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333 (80%)</w:t>
            </w:r>
          </w:p>
        </w:tc>
      </w:tr>
      <w:tr w:rsidR="00E0467F" w:rsidRPr="000C77A2" w14:paraId="2C2C8552" w14:textId="77777777" w:rsidTr="00A50CB3">
        <w:trPr>
          <w:cantSplit/>
        </w:trPr>
        <w:tc>
          <w:tcPr>
            <w:tcW w:w="2829" w:type="pct"/>
          </w:tcPr>
          <w:p w14:paraId="50D42BE2"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TEAE Grade 3 or 4</w:t>
            </w:r>
          </w:p>
        </w:tc>
        <w:tc>
          <w:tcPr>
            <w:tcW w:w="1086" w:type="pct"/>
            <w:shd w:val="clear" w:color="auto" w:fill="C6D9F1" w:themeFill="text2" w:themeFillTint="33"/>
          </w:tcPr>
          <w:p w14:paraId="76A46CD1"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176 (53%)</w:t>
            </w:r>
          </w:p>
        </w:tc>
        <w:tc>
          <w:tcPr>
            <w:tcW w:w="1086" w:type="pct"/>
          </w:tcPr>
          <w:p w14:paraId="1CEF8776"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239 (57%)</w:t>
            </w:r>
          </w:p>
        </w:tc>
      </w:tr>
      <w:tr w:rsidR="00E0467F" w:rsidRPr="000C77A2" w14:paraId="70A5319E" w14:textId="77777777" w:rsidTr="00A50CB3">
        <w:trPr>
          <w:cantSplit/>
        </w:trPr>
        <w:tc>
          <w:tcPr>
            <w:tcW w:w="2829" w:type="pct"/>
          </w:tcPr>
          <w:p w14:paraId="43037142"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TEAE Grade 3 or 4 and related to larotrectinib</w:t>
            </w:r>
          </w:p>
        </w:tc>
        <w:tc>
          <w:tcPr>
            <w:tcW w:w="1086" w:type="pct"/>
            <w:shd w:val="clear" w:color="auto" w:fill="C6D9F1" w:themeFill="text2" w:themeFillTint="33"/>
          </w:tcPr>
          <w:p w14:paraId="761CBBFA"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59 (18%)</w:t>
            </w:r>
          </w:p>
        </w:tc>
        <w:tc>
          <w:tcPr>
            <w:tcW w:w="1086" w:type="pct"/>
          </w:tcPr>
          <w:p w14:paraId="47645F34"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81(19%)</w:t>
            </w:r>
          </w:p>
        </w:tc>
      </w:tr>
      <w:tr w:rsidR="00E0467F" w:rsidRPr="000C77A2" w14:paraId="2E81DBDB" w14:textId="77777777" w:rsidTr="00A50CB3">
        <w:trPr>
          <w:cantSplit/>
        </w:trPr>
        <w:tc>
          <w:tcPr>
            <w:tcW w:w="2829" w:type="pct"/>
          </w:tcPr>
          <w:p w14:paraId="0C6D718A"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TEAE and action taken of larotrectinib permanently discontinued</w:t>
            </w:r>
          </w:p>
        </w:tc>
        <w:tc>
          <w:tcPr>
            <w:tcW w:w="1086" w:type="pct"/>
            <w:shd w:val="clear" w:color="auto" w:fill="C6D9F1" w:themeFill="text2" w:themeFillTint="33"/>
          </w:tcPr>
          <w:p w14:paraId="5DA9676A"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33 (10%)</w:t>
            </w:r>
          </w:p>
        </w:tc>
        <w:tc>
          <w:tcPr>
            <w:tcW w:w="1086" w:type="pct"/>
          </w:tcPr>
          <w:p w14:paraId="46F134C2"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47 (11%)</w:t>
            </w:r>
          </w:p>
        </w:tc>
      </w:tr>
      <w:tr w:rsidR="00E0467F" w:rsidRPr="000C77A2" w14:paraId="1A8186A8" w14:textId="77777777" w:rsidTr="00A50CB3">
        <w:trPr>
          <w:cantSplit/>
        </w:trPr>
        <w:tc>
          <w:tcPr>
            <w:tcW w:w="2829" w:type="pct"/>
          </w:tcPr>
          <w:p w14:paraId="46DC312E"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TEAE and action taken of larotrectinib permanently discontinued and related to larotrectinib</w:t>
            </w:r>
          </w:p>
        </w:tc>
        <w:tc>
          <w:tcPr>
            <w:tcW w:w="1086" w:type="pct"/>
            <w:shd w:val="clear" w:color="auto" w:fill="C6D9F1" w:themeFill="text2" w:themeFillTint="33"/>
          </w:tcPr>
          <w:p w14:paraId="08579CA3"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8 (2%)</w:t>
            </w:r>
          </w:p>
        </w:tc>
        <w:tc>
          <w:tcPr>
            <w:tcW w:w="1086" w:type="pct"/>
          </w:tcPr>
          <w:p w14:paraId="2420D469"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9 (2%)</w:t>
            </w:r>
          </w:p>
        </w:tc>
      </w:tr>
      <w:tr w:rsidR="00E0467F" w:rsidRPr="000C77A2" w14:paraId="18813C1B" w14:textId="77777777" w:rsidTr="00A50CB3">
        <w:trPr>
          <w:cantSplit/>
        </w:trPr>
        <w:tc>
          <w:tcPr>
            <w:tcW w:w="2829" w:type="pct"/>
          </w:tcPr>
          <w:p w14:paraId="76178B95"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serious TEAE</w:t>
            </w:r>
          </w:p>
        </w:tc>
        <w:tc>
          <w:tcPr>
            <w:tcW w:w="1086" w:type="pct"/>
            <w:shd w:val="clear" w:color="auto" w:fill="C6D9F1" w:themeFill="text2" w:themeFillTint="33"/>
          </w:tcPr>
          <w:p w14:paraId="0052C7F2"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129 (39%)</w:t>
            </w:r>
          </w:p>
        </w:tc>
        <w:tc>
          <w:tcPr>
            <w:tcW w:w="1086" w:type="pct"/>
          </w:tcPr>
          <w:p w14:paraId="02CD494A"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180 (43%)</w:t>
            </w:r>
          </w:p>
        </w:tc>
      </w:tr>
      <w:tr w:rsidR="00E0467F" w:rsidRPr="000C77A2" w14:paraId="330654B9" w14:textId="77777777" w:rsidTr="00A50CB3">
        <w:trPr>
          <w:cantSplit/>
        </w:trPr>
        <w:tc>
          <w:tcPr>
            <w:tcW w:w="2829" w:type="pct"/>
          </w:tcPr>
          <w:p w14:paraId="30EB9DB5"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serious TEAE and related to larotrectinib</w:t>
            </w:r>
          </w:p>
        </w:tc>
        <w:tc>
          <w:tcPr>
            <w:tcW w:w="1086" w:type="pct"/>
            <w:shd w:val="clear" w:color="auto" w:fill="C6D9F1" w:themeFill="text2" w:themeFillTint="33"/>
          </w:tcPr>
          <w:p w14:paraId="5A0DEE66"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20 (6%)</w:t>
            </w:r>
          </w:p>
        </w:tc>
        <w:tc>
          <w:tcPr>
            <w:tcW w:w="1086" w:type="pct"/>
          </w:tcPr>
          <w:p w14:paraId="637FA5BE"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28 (7%)</w:t>
            </w:r>
          </w:p>
        </w:tc>
      </w:tr>
      <w:tr w:rsidR="00E0467F" w:rsidRPr="000C77A2" w14:paraId="433CEB26" w14:textId="77777777" w:rsidTr="00A50CB3">
        <w:trPr>
          <w:cantSplit/>
        </w:trPr>
        <w:tc>
          <w:tcPr>
            <w:tcW w:w="2829" w:type="pct"/>
          </w:tcPr>
          <w:p w14:paraId="14ED09DD" w14:textId="77777777" w:rsidR="00E0467F" w:rsidRPr="000C77A2" w:rsidRDefault="00E0467F" w:rsidP="00B25BB5">
            <w:pPr>
              <w:keepNext/>
              <w:widowControl w:val="0"/>
              <w:spacing w:before="0" w:after="0"/>
              <w:jc w:val="left"/>
              <w:rPr>
                <w:rFonts w:ascii="Arial Narrow" w:hAnsi="Arial Narrow"/>
                <w:sz w:val="20"/>
              </w:rPr>
            </w:pPr>
            <w:r w:rsidRPr="000C77A2">
              <w:rPr>
                <w:rFonts w:ascii="Arial Narrow" w:hAnsi="Arial Narrow"/>
                <w:sz w:val="20"/>
              </w:rPr>
              <w:t>Patients with fatal TEAE</w:t>
            </w:r>
          </w:p>
        </w:tc>
        <w:tc>
          <w:tcPr>
            <w:tcW w:w="1086" w:type="pct"/>
            <w:shd w:val="clear" w:color="auto" w:fill="C6D9F1" w:themeFill="text2" w:themeFillTint="33"/>
          </w:tcPr>
          <w:p w14:paraId="64A00FCA"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color w:val="000000" w:themeColor="text1"/>
                <w:sz w:val="20"/>
              </w:rPr>
              <w:t>21 (6%)</w:t>
            </w:r>
          </w:p>
        </w:tc>
        <w:tc>
          <w:tcPr>
            <w:tcW w:w="1086" w:type="pct"/>
          </w:tcPr>
          <w:p w14:paraId="6B8AB489" w14:textId="77777777" w:rsidR="00E0467F" w:rsidRPr="000C77A2" w:rsidRDefault="00E0467F" w:rsidP="00B25BB5">
            <w:pPr>
              <w:keepNext/>
              <w:widowControl w:val="0"/>
              <w:spacing w:before="0" w:after="0"/>
              <w:jc w:val="center"/>
              <w:rPr>
                <w:rFonts w:ascii="Arial Narrow" w:hAnsi="Arial Narrow"/>
                <w:sz w:val="20"/>
              </w:rPr>
            </w:pPr>
            <w:r w:rsidRPr="000C77A2">
              <w:rPr>
                <w:rFonts w:ascii="Arial Narrow" w:hAnsi="Arial Narrow"/>
                <w:sz w:val="20"/>
              </w:rPr>
              <w:t>35 (8%)</w:t>
            </w:r>
          </w:p>
        </w:tc>
      </w:tr>
    </w:tbl>
    <w:p w14:paraId="1315E28E" w14:textId="12E16EA2" w:rsidR="00E0467F" w:rsidRPr="000C77A2" w:rsidRDefault="00E0467F" w:rsidP="00E0467F">
      <w:pPr>
        <w:pStyle w:val="TableFooter"/>
        <w:rPr>
          <w:sz w:val="16"/>
        </w:rPr>
      </w:pPr>
      <w:r w:rsidRPr="000C77A2">
        <w:t xml:space="preserve">Source: For previous data cutoff, Table 20, </w:t>
      </w:r>
      <w:r w:rsidR="00D23A23" w:rsidRPr="000C77A2">
        <w:t>p40 of</w:t>
      </w:r>
      <w:r w:rsidRPr="000C77A2">
        <w:t xml:space="preserve"> </w:t>
      </w:r>
      <w:r w:rsidR="00B25BB5" w:rsidRPr="000C77A2">
        <w:t>L</w:t>
      </w:r>
      <w:r w:rsidRPr="000C77A2">
        <w:t>arotrectinib PSD, November 2021 PBAC Meeting with March 2022 Addendum. For most recent data cutoff, Table 14.4.1, p6 of the Integrated Summary of Safety report, Attachment 2.6 accompanying the resubmission.</w:t>
      </w:r>
      <w:r w:rsidRPr="000C77A2">
        <w:rPr>
          <w:sz w:val="16"/>
        </w:rPr>
        <w:t xml:space="preserve"> </w:t>
      </w:r>
    </w:p>
    <w:p w14:paraId="7A1F6520" w14:textId="77777777" w:rsidR="00D23A23" w:rsidRPr="000C77A2" w:rsidRDefault="00D23A23" w:rsidP="00E0467F">
      <w:pPr>
        <w:pStyle w:val="TableFooter"/>
        <w:rPr>
          <w:szCs w:val="18"/>
        </w:rPr>
      </w:pPr>
      <w:r w:rsidRPr="000C77A2">
        <w:t xml:space="preserve">CTCAE = Common Terminology Criteria for Adverse Events; TEAE = treatment emergent adverse event; </w:t>
      </w:r>
      <w:r w:rsidRPr="000C77A2">
        <w:rPr>
          <w:i/>
          <w:iCs/>
          <w:szCs w:val="18"/>
        </w:rPr>
        <w:t>NTRK</w:t>
      </w:r>
      <w:r w:rsidRPr="000C77A2">
        <w:rPr>
          <w:szCs w:val="18"/>
        </w:rPr>
        <w:t xml:space="preserve"> = neurotrophic tyrosine receptor kinase; PSD = public summary document.</w:t>
      </w:r>
    </w:p>
    <w:p w14:paraId="49A11B95" w14:textId="03F8C80E" w:rsidR="00E0467F" w:rsidRPr="000C77A2" w:rsidRDefault="00E0467F" w:rsidP="00E0467F">
      <w:pPr>
        <w:pStyle w:val="TableFooter"/>
      </w:pPr>
      <w:r w:rsidRPr="000C77A2">
        <w:rPr>
          <w:shd w:val="clear" w:color="auto" w:fill="C6D9F1" w:themeFill="text2" w:themeFillTint="33"/>
        </w:rPr>
        <w:t xml:space="preserve">Blue </w:t>
      </w:r>
      <w:r w:rsidRPr="000C77A2">
        <w:t>shading represents information previously considered by the PBAC.</w:t>
      </w:r>
    </w:p>
    <w:p w14:paraId="4F399118" w14:textId="0008057B" w:rsidR="00E0467F" w:rsidRPr="000C77A2" w:rsidRDefault="00E0467F" w:rsidP="00560AEC">
      <w:pPr>
        <w:pStyle w:val="TableFooter"/>
        <w:spacing w:after="120"/>
      </w:pPr>
      <w:r w:rsidRPr="000C77A2">
        <w:t xml:space="preserve">TEAEs were defined as adverse events that start on or after the first administration of </w:t>
      </w:r>
      <w:r w:rsidR="004679BE" w:rsidRPr="000C77A2">
        <w:t>l</w:t>
      </w:r>
      <w:r w:rsidRPr="000C77A2">
        <w:t>arotrectinib. Related events are those judged by the Investigator as related to larotrectinib. Severity grade assignment based on CTCAE (v4.03): Grade 3 (severe), Grade 4 (life-threatening). Percentages are calculated based on the number of patients in the column heading as the denominator.</w:t>
      </w:r>
    </w:p>
    <w:p w14:paraId="1E3FAE8F" w14:textId="4220556C" w:rsidR="00E0467F" w:rsidRPr="000C77A2" w:rsidRDefault="00E0467F" w:rsidP="00D86231">
      <w:pPr>
        <w:pStyle w:val="3-BodyText"/>
      </w:pPr>
      <w:r w:rsidRPr="000C77A2">
        <w:t xml:space="preserve">The overall safety </w:t>
      </w:r>
      <w:r w:rsidR="009D2246" w:rsidRPr="000C77A2">
        <w:t xml:space="preserve">profile </w:t>
      </w:r>
      <w:r w:rsidRPr="000C77A2">
        <w:t>w</w:t>
      </w:r>
      <w:r w:rsidR="009D2246" w:rsidRPr="000C77A2">
        <w:t>as</w:t>
      </w:r>
      <w:r w:rsidRPr="000C77A2">
        <w:t xml:space="preserve"> reasonably similar between the July 2020 and July 2022 data </w:t>
      </w:r>
      <w:r w:rsidR="00D85BDC" w:rsidRPr="000C77A2">
        <w:t>cut-offs</w:t>
      </w:r>
      <w:r w:rsidRPr="000C77A2">
        <w:t>. At the July 2022 data cutoff, 57% of patients had at least one Grade 3 or Grade 4 treatment emergent adverse event (TEAE). The proportion of patients with Grade 3 or Grade 4 TEAEs potentially related to larotrectinib was 19%. There were</w:t>
      </w:r>
      <w:r w:rsidR="00326FBC">
        <w:t xml:space="preserve"> </w:t>
      </w:r>
      <w:r w:rsidRPr="000C77A2">
        <w:t>47</w:t>
      </w:r>
      <w:r w:rsidR="00326FBC">
        <w:t> </w:t>
      </w:r>
      <w:r w:rsidRPr="000C77A2">
        <w:t>patients (11%) who had TEAEs that led to permanent treatment discontinuation. Neurologic TEAEs were reported in 254 (61%) patients in the overall safety analysis set (Grade 1 [n=132; 32%], Grade 2 [n=71; 17%], with Grades 3, 4, and 5 events occurring in 42 [10%], 7 [2%], and 2 [&lt;1%] patients, respectively). The available data indicated that the safety profile of larotrectinib was manageable. However, long</w:t>
      </w:r>
      <w:r w:rsidR="009D2246" w:rsidRPr="000C77A2">
        <w:t>er</w:t>
      </w:r>
      <w:r w:rsidRPr="000C77A2">
        <w:t xml:space="preserve">-term </w:t>
      </w:r>
      <w:r w:rsidR="00307357" w:rsidRPr="000C77A2">
        <w:t>adverse event (</w:t>
      </w:r>
      <w:r w:rsidR="009D2246" w:rsidRPr="000C77A2">
        <w:t>AE</w:t>
      </w:r>
      <w:r w:rsidR="00307357" w:rsidRPr="000C77A2">
        <w:t>)</w:t>
      </w:r>
      <w:r w:rsidR="009D2246" w:rsidRPr="000C77A2">
        <w:t xml:space="preserve"> data </w:t>
      </w:r>
      <w:r w:rsidRPr="000C77A2">
        <w:t xml:space="preserve">from a larger </w:t>
      </w:r>
      <w:r w:rsidR="009D2246" w:rsidRPr="000C77A2">
        <w:t xml:space="preserve">larotrectinib-treated </w:t>
      </w:r>
      <w:r w:rsidRPr="000C77A2">
        <w:t xml:space="preserve">cohort </w:t>
      </w:r>
      <w:r w:rsidR="009D2246" w:rsidRPr="000C77A2">
        <w:t xml:space="preserve">are required </w:t>
      </w:r>
      <w:r w:rsidRPr="000C77A2">
        <w:t>to assess rare neurological or other relevant TEAEs to fully characterise the toxicity profile of larotrectinib.</w:t>
      </w:r>
    </w:p>
    <w:p w14:paraId="0932E736" w14:textId="64AF7613" w:rsidR="00E0467F" w:rsidRPr="000C77A2" w:rsidRDefault="005E55A4" w:rsidP="009C31D1">
      <w:pPr>
        <w:spacing w:after="120"/>
        <w:rPr>
          <w:b/>
          <w:bCs/>
        </w:rPr>
      </w:pPr>
      <w:r w:rsidRPr="000C77A2">
        <w:rPr>
          <w:b/>
          <w:bCs/>
        </w:rPr>
        <w:t xml:space="preserve">Indirect comparison of safety – Larotrectinib </w:t>
      </w:r>
      <w:r w:rsidRPr="000C77A2">
        <w:rPr>
          <w:b/>
          <w:bCs/>
          <w:i/>
          <w:iCs/>
        </w:rPr>
        <w:t>versus</w:t>
      </w:r>
      <w:r w:rsidRPr="000C77A2">
        <w:rPr>
          <w:b/>
          <w:bCs/>
        </w:rPr>
        <w:t xml:space="preserve"> docetaxel in NSCLC</w:t>
      </w:r>
    </w:p>
    <w:p w14:paraId="21BE4A25" w14:textId="55DA9A98" w:rsidR="00E0467F" w:rsidRPr="000C77A2" w:rsidRDefault="005E55A4" w:rsidP="00D86231">
      <w:pPr>
        <w:pStyle w:val="3-BodyText"/>
      </w:pPr>
      <w:r w:rsidRPr="000C77A2">
        <w:t xml:space="preserve">The resubmission noted that safety data for larotrectinib were pooled across all tumour types in Studies 20288 and 20289 because i) only pooled results across different tumour types were available from Study 20288, ii) pooling the results provided a more adequate number of patients to reliably assess incidence of </w:t>
      </w:r>
      <w:r w:rsidR="00326FBC" w:rsidRPr="000C77A2">
        <w:t>A</w:t>
      </w:r>
      <w:r w:rsidR="00326FBC">
        <w:t>E</w:t>
      </w:r>
      <w:r w:rsidR="00326FBC" w:rsidRPr="000C77A2">
        <w:t>s</w:t>
      </w:r>
      <w:r w:rsidRPr="000C77A2">
        <w:t xml:space="preserve">, and </w:t>
      </w:r>
      <w:r w:rsidRPr="000C77A2">
        <w:lastRenderedPageBreak/>
        <w:t>iii) it was reasonable to expect the safety profile of larotrectinib to be similar across different tumour types.</w:t>
      </w:r>
    </w:p>
    <w:p w14:paraId="2D20EEB0" w14:textId="68C343F5" w:rsidR="00A370BA" w:rsidRPr="000C77A2" w:rsidRDefault="00A370BA" w:rsidP="00D86231">
      <w:pPr>
        <w:pStyle w:val="3-BodyText"/>
      </w:pPr>
      <w:r w:rsidRPr="000C77A2">
        <w:t xml:space="preserve">“Drug-related treatment-emergent events” were considered in the resubmission to be equivalent to what was described as “treatment-related events” in the CheckMate 057 trial. </w:t>
      </w:r>
    </w:p>
    <w:p w14:paraId="6E2710F4" w14:textId="7313C7AD" w:rsidR="0089365C" w:rsidRPr="000C77A2" w:rsidRDefault="0089365C" w:rsidP="00D86231">
      <w:pPr>
        <w:pStyle w:val="3-BodyText"/>
      </w:pPr>
      <w:r w:rsidRPr="000C77A2">
        <w:fldChar w:fldCharType="begin" w:fldLock="1"/>
      </w:r>
      <w:r w:rsidRPr="000C77A2">
        <w:instrText xml:space="preserve"> REF _Ref154655467 \h </w:instrText>
      </w:r>
      <w:r w:rsidRPr="000C77A2">
        <w:fldChar w:fldCharType="separate"/>
      </w:r>
      <w:r w:rsidR="001B0FE7" w:rsidRPr="000C77A2">
        <w:t xml:space="preserve">Table </w:t>
      </w:r>
      <w:r w:rsidR="001B0FE7">
        <w:rPr>
          <w:noProof/>
        </w:rPr>
        <w:t>10</w:t>
      </w:r>
      <w:r w:rsidRPr="000C77A2">
        <w:fldChar w:fldCharType="end"/>
      </w:r>
      <w:r w:rsidRPr="000C77A2">
        <w:t xml:space="preserve"> summarises the indirect comparison of safety between larotrectinib and docetaxel.</w:t>
      </w:r>
    </w:p>
    <w:p w14:paraId="3DB27DF6" w14:textId="3E6989EB" w:rsidR="0089365C" w:rsidRPr="000C77A2" w:rsidRDefault="0089365C" w:rsidP="0089365C">
      <w:pPr>
        <w:pStyle w:val="Caption"/>
      </w:pPr>
      <w:bookmarkStart w:id="33" w:name="_Ref154655467"/>
      <w:r w:rsidRPr="000C77A2">
        <w:t xml:space="preserve">Table </w:t>
      </w:r>
      <w:fldSimple w:instr=" SEQ Table \* ARABIC " w:fldLock="1">
        <w:r w:rsidR="001B0FE7">
          <w:rPr>
            <w:noProof/>
          </w:rPr>
          <w:t>10</w:t>
        </w:r>
      </w:fldSimple>
      <w:bookmarkEnd w:id="33"/>
      <w:r w:rsidRPr="000C77A2">
        <w:t>: Comparison of treatment-related A</w:t>
      </w:r>
      <w:r w:rsidR="0094358C">
        <w:t>E</w:t>
      </w:r>
      <w:r w:rsidRPr="000C77A2">
        <w:t>s between larotrectinib and docetaxel</w:t>
      </w:r>
    </w:p>
    <w:tbl>
      <w:tblPr>
        <w:tblStyle w:val="HTATableshaded"/>
        <w:tblW w:w="5000" w:type="pct"/>
        <w:tblLayout w:type="fixed"/>
        <w:tblLook w:val="04A0" w:firstRow="1" w:lastRow="0" w:firstColumn="1" w:lastColumn="0" w:noHBand="0" w:noVBand="1"/>
        <w:tblCaption w:val="Table 10: Comparison of treatment-related AEs between larotrectinib and docetaxel"/>
      </w:tblPr>
      <w:tblGrid>
        <w:gridCol w:w="2471"/>
        <w:gridCol w:w="1665"/>
        <w:gridCol w:w="1775"/>
        <w:gridCol w:w="2071"/>
        <w:gridCol w:w="1035"/>
      </w:tblGrid>
      <w:tr w:rsidR="0089365C" w:rsidRPr="000C77A2" w14:paraId="7A5A9AC4" w14:textId="77777777" w:rsidTr="0094358C">
        <w:trPr>
          <w:cnfStyle w:val="100000000000" w:firstRow="1" w:lastRow="0" w:firstColumn="0" w:lastColumn="0" w:oddVBand="0" w:evenVBand="0" w:oddHBand="0" w:evenHBand="0" w:firstRowFirstColumn="0" w:firstRowLastColumn="0" w:lastRowFirstColumn="0" w:lastRowLastColumn="0"/>
          <w:cantSplit/>
          <w:trHeight w:val="339"/>
        </w:trPr>
        <w:tc>
          <w:tcPr>
            <w:tcW w:w="2368" w:type="dxa"/>
            <w:shd w:val="clear" w:color="auto" w:fill="auto"/>
          </w:tcPr>
          <w:p w14:paraId="03970B15" w14:textId="77777777" w:rsidR="0089365C" w:rsidRPr="000C77A2" w:rsidRDefault="0089365C" w:rsidP="00307357">
            <w:pPr>
              <w:pStyle w:val="Tabletext"/>
              <w:keepNext/>
              <w:widowControl w:val="0"/>
              <w:spacing w:before="0" w:after="0"/>
              <w:rPr>
                <w:b/>
                <w:bCs/>
              </w:rPr>
            </w:pPr>
          </w:p>
        </w:tc>
        <w:tc>
          <w:tcPr>
            <w:tcW w:w="1596" w:type="dxa"/>
            <w:shd w:val="clear" w:color="auto" w:fill="auto"/>
          </w:tcPr>
          <w:p w14:paraId="5490C765" w14:textId="77777777" w:rsidR="0089365C" w:rsidRPr="000C77A2" w:rsidRDefault="0089365C" w:rsidP="00307357">
            <w:pPr>
              <w:pStyle w:val="Tabletext"/>
              <w:keepNext/>
              <w:widowControl w:val="0"/>
              <w:spacing w:before="0" w:after="0"/>
              <w:rPr>
                <w:b/>
                <w:bCs/>
              </w:rPr>
            </w:pPr>
            <w:r w:rsidRPr="000C77A2">
              <w:rPr>
                <w:b/>
                <w:bCs/>
              </w:rPr>
              <w:t>Study 20288 and Study 20289</w:t>
            </w:r>
          </w:p>
          <w:p w14:paraId="513E5252" w14:textId="77777777" w:rsidR="0089365C" w:rsidRPr="000C77A2" w:rsidRDefault="0089365C" w:rsidP="00307357">
            <w:pPr>
              <w:pStyle w:val="Tabletext"/>
              <w:keepNext/>
              <w:widowControl w:val="0"/>
              <w:spacing w:before="0" w:after="0"/>
              <w:rPr>
                <w:b/>
                <w:bCs/>
              </w:rPr>
            </w:pPr>
            <w:r w:rsidRPr="000C77A2">
              <w:rPr>
                <w:b/>
                <w:bCs/>
              </w:rPr>
              <w:t>Larotrectinib (N=191)</w:t>
            </w:r>
          </w:p>
        </w:tc>
        <w:tc>
          <w:tcPr>
            <w:tcW w:w="1701" w:type="dxa"/>
            <w:shd w:val="clear" w:color="auto" w:fill="auto"/>
          </w:tcPr>
          <w:p w14:paraId="5EE8EB74" w14:textId="77777777" w:rsidR="0089365C" w:rsidRPr="000C77A2" w:rsidRDefault="0089365C" w:rsidP="00307357">
            <w:pPr>
              <w:pStyle w:val="Tabletext"/>
              <w:keepNext/>
              <w:widowControl w:val="0"/>
              <w:spacing w:before="0" w:after="0"/>
              <w:rPr>
                <w:b/>
                <w:bCs/>
              </w:rPr>
            </w:pPr>
            <w:r w:rsidRPr="000C77A2">
              <w:rPr>
                <w:b/>
                <w:bCs/>
              </w:rPr>
              <w:t>CheckMate 057</w:t>
            </w:r>
          </w:p>
          <w:p w14:paraId="289DAEEA" w14:textId="77777777" w:rsidR="0089365C" w:rsidRPr="000C77A2" w:rsidRDefault="0089365C" w:rsidP="00307357">
            <w:pPr>
              <w:pStyle w:val="Tabletext"/>
              <w:keepNext/>
              <w:widowControl w:val="0"/>
              <w:spacing w:before="0" w:after="0"/>
              <w:rPr>
                <w:b/>
                <w:bCs/>
              </w:rPr>
            </w:pPr>
            <w:r w:rsidRPr="000C77A2">
              <w:rPr>
                <w:b/>
                <w:bCs/>
              </w:rPr>
              <w:t>Docetaxel (N=268)</w:t>
            </w:r>
          </w:p>
        </w:tc>
        <w:tc>
          <w:tcPr>
            <w:tcW w:w="1985" w:type="dxa"/>
            <w:shd w:val="clear" w:color="auto" w:fill="auto"/>
          </w:tcPr>
          <w:p w14:paraId="444BFE74" w14:textId="77777777" w:rsidR="0089365C" w:rsidRPr="000C77A2" w:rsidRDefault="0089365C" w:rsidP="00307357">
            <w:pPr>
              <w:pStyle w:val="Tabletext"/>
              <w:keepNext/>
              <w:widowControl w:val="0"/>
              <w:spacing w:before="0" w:after="0"/>
              <w:rPr>
                <w:b/>
                <w:bCs/>
              </w:rPr>
            </w:pPr>
            <w:r w:rsidRPr="000C77A2">
              <w:rPr>
                <w:b/>
                <w:bCs/>
              </w:rPr>
              <w:t xml:space="preserve">Difference </w:t>
            </w:r>
          </w:p>
          <w:p w14:paraId="326D91DE" w14:textId="77777777" w:rsidR="0089365C" w:rsidRPr="000C77A2" w:rsidRDefault="0089365C" w:rsidP="00307357">
            <w:pPr>
              <w:pStyle w:val="Tabletext"/>
              <w:keepNext/>
              <w:widowControl w:val="0"/>
              <w:spacing w:before="0" w:after="0"/>
              <w:rPr>
                <w:b/>
                <w:bCs/>
              </w:rPr>
            </w:pPr>
            <w:r w:rsidRPr="000C77A2">
              <w:rPr>
                <w:b/>
                <w:bCs/>
              </w:rPr>
              <w:t>(95% CI)</w:t>
            </w:r>
          </w:p>
        </w:tc>
        <w:tc>
          <w:tcPr>
            <w:tcW w:w="992" w:type="dxa"/>
            <w:shd w:val="clear" w:color="auto" w:fill="auto"/>
          </w:tcPr>
          <w:p w14:paraId="3081B071" w14:textId="77777777" w:rsidR="0089365C" w:rsidRPr="000C77A2" w:rsidRDefault="0089365C" w:rsidP="00307357">
            <w:pPr>
              <w:pStyle w:val="Tabletext"/>
              <w:keepNext/>
              <w:widowControl w:val="0"/>
              <w:spacing w:before="0" w:after="0"/>
              <w:rPr>
                <w:b/>
                <w:bCs/>
              </w:rPr>
            </w:pPr>
            <w:r w:rsidRPr="000C77A2">
              <w:rPr>
                <w:b/>
                <w:bCs/>
              </w:rPr>
              <w:t>p-value</w:t>
            </w:r>
          </w:p>
        </w:tc>
      </w:tr>
      <w:tr w:rsidR="0089365C" w:rsidRPr="000C77A2" w14:paraId="6BFF2223" w14:textId="77777777" w:rsidTr="0094358C">
        <w:trPr>
          <w:cantSplit/>
        </w:trPr>
        <w:tc>
          <w:tcPr>
            <w:tcW w:w="2368" w:type="dxa"/>
            <w:shd w:val="clear" w:color="auto" w:fill="auto"/>
          </w:tcPr>
          <w:p w14:paraId="00F0487E" w14:textId="77777777" w:rsidR="0089365C" w:rsidRPr="000C77A2" w:rsidRDefault="0089365C" w:rsidP="00307357">
            <w:pPr>
              <w:pStyle w:val="Tabletext"/>
              <w:keepNext/>
              <w:widowControl w:val="0"/>
              <w:spacing w:before="0" w:after="0"/>
            </w:pPr>
            <w:r w:rsidRPr="000C77A2">
              <w:t>Any AE</w:t>
            </w:r>
          </w:p>
        </w:tc>
        <w:tc>
          <w:tcPr>
            <w:tcW w:w="1596" w:type="dxa"/>
            <w:shd w:val="clear" w:color="auto" w:fill="auto"/>
          </w:tcPr>
          <w:p w14:paraId="1D19C3D8" w14:textId="77777777" w:rsidR="0089365C" w:rsidRPr="000C77A2" w:rsidRDefault="0089365C" w:rsidP="00307357">
            <w:pPr>
              <w:pStyle w:val="Tabletext"/>
              <w:keepNext/>
              <w:widowControl w:val="0"/>
              <w:spacing w:before="0" w:after="0"/>
            </w:pPr>
            <w:r w:rsidRPr="000C77A2">
              <w:t>154 (81%)</w:t>
            </w:r>
          </w:p>
        </w:tc>
        <w:tc>
          <w:tcPr>
            <w:tcW w:w="1701" w:type="dxa"/>
            <w:shd w:val="clear" w:color="auto" w:fill="auto"/>
          </w:tcPr>
          <w:p w14:paraId="007B068C" w14:textId="77777777" w:rsidR="0089365C" w:rsidRPr="000C77A2" w:rsidRDefault="0089365C" w:rsidP="00307357">
            <w:pPr>
              <w:pStyle w:val="Tabletext"/>
              <w:keepNext/>
              <w:widowControl w:val="0"/>
              <w:spacing w:before="0" w:after="0"/>
            </w:pPr>
            <w:r w:rsidRPr="000C77A2">
              <w:t>236 (88%)</w:t>
            </w:r>
          </w:p>
        </w:tc>
        <w:tc>
          <w:tcPr>
            <w:tcW w:w="1985" w:type="dxa"/>
            <w:shd w:val="clear" w:color="auto" w:fill="auto"/>
          </w:tcPr>
          <w:p w14:paraId="0AB6D602" w14:textId="77777777" w:rsidR="0089365C" w:rsidRPr="000C77A2" w:rsidRDefault="0089365C" w:rsidP="00307357">
            <w:pPr>
              <w:pStyle w:val="Tabletext"/>
              <w:keepNext/>
              <w:widowControl w:val="0"/>
              <w:spacing w:before="0" w:after="0"/>
            </w:pPr>
            <w:r w:rsidRPr="000C77A2">
              <w:t>-7% (-14%, -1%)</w:t>
            </w:r>
          </w:p>
        </w:tc>
        <w:tc>
          <w:tcPr>
            <w:tcW w:w="992" w:type="dxa"/>
            <w:shd w:val="clear" w:color="auto" w:fill="auto"/>
          </w:tcPr>
          <w:p w14:paraId="233CBBD8" w14:textId="77777777" w:rsidR="0089365C" w:rsidRPr="000C77A2" w:rsidRDefault="0089365C" w:rsidP="00307357">
            <w:pPr>
              <w:pStyle w:val="Tabletext"/>
              <w:keepNext/>
              <w:widowControl w:val="0"/>
              <w:spacing w:before="0" w:after="0"/>
            </w:pPr>
            <w:r w:rsidRPr="000C77A2">
              <w:t>0.034</w:t>
            </w:r>
          </w:p>
        </w:tc>
      </w:tr>
      <w:tr w:rsidR="0089365C" w:rsidRPr="000C77A2" w14:paraId="41C4FB8B" w14:textId="77777777" w:rsidTr="0094358C">
        <w:trPr>
          <w:cantSplit/>
        </w:trPr>
        <w:tc>
          <w:tcPr>
            <w:tcW w:w="2368" w:type="dxa"/>
            <w:shd w:val="clear" w:color="auto" w:fill="auto"/>
          </w:tcPr>
          <w:p w14:paraId="35CD7C4C" w14:textId="77777777" w:rsidR="0089365C" w:rsidRPr="000C77A2" w:rsidRDefault="0089365C" w:rsidP="00307357">
            <w:pPr>
              <w:pStyle w:val="Tabletext"/>
              <w:keepNext/>
              <w:widowControl w:val="0"/>
              <w:spacing w:before="0" w:after="0"/>
            </w:pPr>
            <w:r w:rsidRPr="000C77A2">
              <w:t>Any Grade 3 or 4 AE</w:t>
            </w:r>
          </w:p>
        </w:tc>
        <w:tc>
          <w:tcPr>
            <w:tcW w:w="1596" w:type="dxa"/>
            <w:shd w:val="clear" w:color="auto" w:fill="auto"/>
          </w:tcPr>
          <w:p w14:paraId="27263286" w14:textId="77777777" w:rsidR="0089365C" w:rsidRPr="000C77A2" w:rsidRDefault="0089365C" w:rsidP="00307357">
            <w:pPr>
              <w:pStyle w:val="Tabletext"/>
              <w:keepNext/>
              <w:widowControl w:val="0"/>
              <w:spacing w:before="0" w:after="0"/>
            </w:pPr>
            <w:r w:rsidRPr="000C77A2">
              <w:t>26 (14%)</w:t>
            </w:r>
          </w:p>
        </w:tc>
        <w:tc>
          <w:tcPr>
            <w:tcW w:w="1701" w:type="dxa"/>
            <w:shd w:val="clear" w:color="auto" w:fill="auto"/>
          </w:tcPr>
          <w:p w14:paraId="7F6CFA05" w14:textId="77777777" w:rsidR="0089365C" w:rsidRPr="000C77A2" w:rsidRDefault="0089365C" w:rsidP="00307357">
            <w:pPr>
              <w:pStyle w:val="Tabletext"/>
              <w:keepNext/>
              <w:widowControl w:val="0"/>
              <w:spacing w:before="0" w:after="0"/>
            </w:pPr>
            <w:r w:rsidRPr="000C77A2">
              <w:t>144 (54%)</w:t>
            </w:r>
          </w:p>
        </w:tc>
        <w:tc>
          <w:tcPr>
            <w:tcW w:w="1985" w:type="dxa"/>
            <w:shd w:val="clear" w:color="auto" w:fill="auto"/>
          </w:tcPr>
          <w:p w14:paraId="12C08CA1" w14:textId="77777777" w:rsidR="0089365C" w:rsidRPr="000C77A2" w:rsidRDefault="0089365C" w:rsidP="00307357">
            <w:pPr>
              <w:pStyle w:val="Tabletext"/>
              <w:keepNext/>
              <w:widowControl w:val="0"/>
              <w:spacing w:before="0" w:after="0"/>
            </w:pPr>
            <w:r w:rsidRPr="000C77A2">
              <w:t>-40% (-48%, -32%)</w:t>
            </w:r>
          </w:p>
        </w:tc>
        <w:tc>
          <w:tcPr>
            <w:tcW w:w="992" w:type="dxa"/>
            <w:shd w:val="clear" w:color="auto" w:fill="auto"/>
          </w:tcPr>
          <w:p w14:paraId="7FDFA4DF" w14:textId="77777777" w:rsidR="0089365C" w:rsidRPr="000C77A2" w:rsidRDefault="0089365C" w:rsidP="00307357">
            <w:pPr>
              <w:pStyle w:val="Tabletext"/>
              <w:keepNext/>
              <w:widowControl w:val="0"/>
              <w:spacing w:before="0" w:after="0"/>
            </w:pPr>
            <w:r w:rsidRPr="000C77A2">
              <w:t>&lt;0.001</w:t>
            </w:r>
          </w:p>
        </w:tc>
      </w:tr>
      <w:tr w:rsidR="0089365C" w:rsidRPr="000C77A2" w14:paraId="14D362DE" w14:textId="77777777" w:rsidTr="0094358C">
        <w:trPr>
          <w:cantSplit/>
        </w:trPr>
        <w:tc>
          <w:tcPr>
            <w:tcW w:w="2368" w:type="dxa"/>
            <w:shd w:val="clear" w:color="auto" w:fill="auto"/>
          </w:tcPr>
          <w:p w14:paraId="3CF2D924" w14:textId="77777777" w:rsidR="0089365C" w:rsidRPr="000C77A2" w:rsidRDefault="0089365C" w:rsidP="00307357">
            <w:pPr>
              <w:pStyle w:val="Tabletext"/>
              <w:keepNext/>
              <w:widowControl w:val="0"/>
              <w:spacing w:before="0" w:after="0"/>
            </w:pPr>
            <w:r w:rsidRPr="000C77A2">
              <w:t>Fatigue</w:t>
            </w:r>
          </w:p>
        </w:tc>
        <w:tc>
          <w:tcPr>
            <w:tcW w:w="1596" w:type="dxa"/>
            <w:shd w:val="clear" w:color="auto" w:fill="auto"/>
          </w:tcPr>
          <w:p w14:paraId="4B810528" w14:textId="77777777" w:rsidR="0089365C" w:rsidRPr="000C77A2" w:rsidRDefault="0089365C" w:rsidP="00307357">
            <w:pPr>
              <w:pStyle w:val="Tabletext"/>
              <w:keepNext/>
              <w:widowControl w:val="0"/>
              <w:spacing w:before="0" w:after="0"/>
            </w:pPr>
            <w:r w:rsidRPr="000C77A2">
              <w:t>40 (21%)</w:t>
            </w:r>
          </w:p>
        </w:tc>
        <w:tc>
          <w:tcPr>
            <w:tcW w:w="1701" w:type="dxa"/>
            <w:shd w:val="clear" w:color="auto" w:fill="auto"/>
          </w:tcPr>
          <w:p w14:paraId="2FAFA985" w14:textId="77777777" w:rsidR="0089365C" w:rsidRPr="000C77A2" w:rsidRDefault="0089365C" w:rsidP="00307357">
            <w:pPr>
              <w:pStyle w:val="Tabletext"/>
              <w:keepNext/>
              <w:widowControl w:val="0"/>
              <w:spacing w:before="0" w:after="0"/>
            </w:pPr>
            <w:r w:rsidRPr="000C77A2">
              <w:t>78 (29%)</w:t>
            </w:r>
          </w:p>
        </w:tc>
        <w:tc>
          <w:tcPr>
            <w:tcW w:w="1985" w:type="dxa"/>
            <w:shd w:val="clear" w:color="auto" w:fill="auto"/>
          </w:tcPr>
          <w:p w14:paraId="010732EE" w14:textId="77777777" w:rsidR="0089365C" w:rsidRPr="000C77A2" w:rsidRDefault="0089365C" w:rsidP="00307357">
            <w:pPr>
              <w:pStyle w:val="Tabletext"/>
              <w:keepNext/>
              <w:widowControl w:val="0"/>
              <w:spacing w:before="0" w:after="0"/>
            </w:pPr>
            <w:r w:rsidRPr="000C77A2">
              <w:t>-8% (-16%, 0%)</w:t>
            </w:r>
          </w:p>
        </w:tc>
        <w:tc>
          <w:tcPr>
            <w:tcW w:w="992" w:type="dxa"/>
            <w:shd w:val="clear" w:color="auto" w:fill="auto"/>
          </w:tcPr>
          <w:p w14:paraId="0C397F40" w14:textId="77777777" w:rsidR="0089365C" w:rsidRPr="000C77A2" w:rsidRDefault="0089365C" w:rsidP="00307357">
            <w:pPr>
              <w:pStyle w:val="Tabletext"/>
              <w:keepNext/>
              <w:widowControl w:val="0"/>
              <w:spacing w:before="0" w:after="0"/>
            </w:pPr>
            <w:r w:rsidRPr="000C77A2">
              <w:t>0.052</w:t>
            </w:r>
          </w:p>
        </w:tc>
      </w:tr>
      <w:tr w:rsidR="0089365C" w:rsidRPr="000C77A2" w14:paraId="20F55C19" w14:textId="77777777" w:rsidTr="0094358C">
        <w:trPr>
          <w:cantSplit/>
        </w:trPr>
        <w:tc>
          <w:tcPr>
            <w:tcW w:w="2368" w:type="dxa"/>
            <w:shd w:val="clear" w:color="auto" w:fill="auto"/>
          </w:tcPr>
          <w:p w14:paraId="0C848880" w14:textId="77777777" w:rsidR="0089365C" w:rsidRPr="000C77A2" w:rsidRDefault="0089365C" w:rsidP="00307357">
            <w:pPr>
              <w:pStyle w:val="Tabletext"/>
              <w:keepNext/>
              <w:widowControl w:val="0"/>
              <w:spacing w:before="0" w:after="0"/>
            </w:pPr>
            <w:r w:rsidRPr="000C77A2">
              <w:t>Nausea</w:t>
            </w:r>
          </w:p>
        </w:tc>
        <w:tc>
          <w:tcPr>
            <w:tcW w:w="1596" w:type="dxa"/>
            <w:shd w:val="clear" w:color="auto" w:fill="auto"/>
          </w:tcPr>
          <w:p w14:paraId="537547EA" w14:textId="77777777" w:rsidR="0089365C" w:rsidRPr="000C77A2" w:rsidRDefault="0089365C" w:rsidP="00307357">
            <w:pPr>
              <w:pStyle w:val="Tabletext"/>
              <w:keepNext/>
              <w:widowControl w:val="0"/>
              <w:spacing w:before="0" w:after="0"/>
            </w:pPr>
            <w:r w:rsidRPr="000C77A2">
              <w:t>27 (14%)</w:t>
            </w:r>
          </w:p>
        </w:tc>
        <w:tc>
          <w:tcPr>
            <w:tcW w:w="1701" w:type="dxa"/>
            <w:shd w:val="clear" w:color="auto" w:fill="auto"/>
          </w:tcPr>
          <w:p w14:paraId="5554C10C" w14:textId="77777777" w:rsidR="0089365C" w:rsidRPr="000C77A2" w:rsidRDefault="0089365C" w:rsidP="00307357">
            <w:pPr>
              <w:pStyle w:val="Tabletext"/>
              <w:keepNext/>
              <w:widowControl w:val="0"/>
              <w:spacing w:before="0" w:after="0"/>
            </w:pPr>
            <w:r w:rsidRPr="000C77A2">
              <w:t>70 (26%)</w:t>
            </w:r>
          </w:p>
        </w:tc>
        <w:tc>
          <w:tcPr>
            <w:tcW w:w="1985" w:type="dxa"/>
            <w:shd w:val="clear" w:color="auto" w:fill="auto"/>
          </w:tcPr>
          <w:p w14:paraId="2F7ED435" w14:textId="77777777" w:rsidR="0089365C" w:rsidRPr="000C77A2" w:rsidRDefault="0089365C" w:rsidP="00307357">
            <w:pPr>
              <w:pStyle w:val="Tabletext"/>
              <w:keepNext/>
              <w:widowControl w:val="0"/>
              <w:spacing w:before="0" w:after="0"/>
            </w:pPr>
            <w:r w:rsidRPr="000C77A2">
              <w:t>-11% (-19%, -5%)</w:t>
            </w:r>
          </w:p>
        </w:tc>
        <w:tc>
          <w:tcPr>
            <w:tcW w:w="992" w:type="dxa"/>
            <w:shd w:val="clear" w:color="auto" w:fill="auto"/>
          </w:tcPr>
          <w:p w14:paraId="2F9FCFD8" w14:textId="77777777" w:rsidR="0089365C" w:rsidRPr="000C77A2" w:rsidRDefault="0089365C" w:rsidP="00307357">
            <w:pPr>
              <w:pStyle w:val="Tabletext"/>
              <w:keepNext/>
              <w:widowControl w:val="0"/>
              <w:spacing w:before="0" w:after="0"/>
            </w:pPr>
            <w:r w:rsidRPr="000C77A2">
              <w:t>0.002</w:t>
            </w:r>
          </w:p>
        </w:tc>
      </w:tr>
    </w:tbl>
    <w:p w14:paraId="7FDB019F" w14:textId="77777777" w:rsidR="0089365C" w:rsidRPr="000C77A2" w:rsidRDefault="0089365C" w:rsidP="0089365C">
      <w:pPr>
        <w:pStyle w:val="TableFooter"/>
      </w:pPr>
      <w:r w:rsidRPr="000C77A2">
        <w:t>Source: Table 2-35, p95 of the resubmission.</w:t>
      </w:r>
    </w:p>
    <w:p w14:paraId="0FDA291A" w14:textId="4BF8FDAB" w:rsidR="0089365C" w:rsidRPr="000C77A2" w:rsidRDefault="0089365C" w:rsidP="0089365C">
      <w:pPr>
        <w:pStyle w:val="TableFooter"/>
      </w:pPr>
      <w:r w:rsidRPr="000C77A2">
        <w:t>AE = adverse event; CI = confidence interval.</w:t>
      </w:r>
    </w:p>
    <w:p w14:paraId="3F677322" w14:textId="77777777" w:rsidR="0089365C" w:rsidRPr="000C77A2" w:rsidRDefault="0089365C" w:rsidP="0089365C">
      <w:pPr>
        <w:pStyle w:val="TableFooter"/>
      </w:pPr>
      <w:r w:rsidRPr="000C77A2">
        <w:t>There were no Grade 5 treatment-related adverse events observed in patients treated with larotrectinib or docetaxel.</w:t>
      </w:r>
    </w:p>
    <w:p w14:paraId="49B837BA" w14:textId="71DCC7E5" w:rsidR="0089365C" w:rsidRPr="000C77A2" w:rsidRDefault="0089365C" w:rsidP="00560AEC">
      <w:pPr>
        <w:pStyle w:val="TableFooter"/>
        <w:spacing w:after="120"/>
      </w:pPr>
      <w:r w:rsidRPr="000C77A2">
        <w:t>95% CIs were based on a normal approximation and p-values were based on Fisher’s exact test</w:t>
      </w:r>
    </w:p>
    <w:p w14:paraId="6A852D6A" w14:textId="48B5EC13" w:rsidR="0089365C" w:rsidRPr="000C77A2" w:rsidRDefault="0089365C" w:rsidP="00D86231">
      <w:pPr>
        <w:pStyle w:val="3-BodyText"/>
      </w:pPr>
      <w:r w:rsidRPr="000C77A2">
        <w:t xml:space="preserve">The resubmission concluded that </w:t>
      </w:r>
      <w:r w:rsidR="004679BE" w:rsidRPr="000C77A2">
        <w:t xml:space="preserve">results of </w:t>
      </w:r>
      <w:r w:rsidRPr="000C77A2">
        <w:t xml:space="preserve">the indirect comparison </w:t>
      </w:r>
      <w:r w:rsidR="004679BE" w:rsidRPr="000C77A2">
        <w:t xml:space="preserve">of safety </w:t>
      </w:r>
      <w:r w:rsidRPr="000C77A2">
        <w:t>were highly statistically significant which favoured larotrectinib</w:t>
      </w:r>
      <w:r w:rsidR="004679BE" w:rsidRPr="000C77A2">
        <w:t xml:space="preserve"> over </w:t>
      </w:r>
      <w:r w:rsidR="00953EDF" w:rsidRPr="000C77A2">
        <w:t>docetaxel</w:t>
      </w:r>
      <w:r w:rsidRPr="000C77A2">
        <w:t>.</w:t>
      </w:r>
    </w:p>
    <w:p w14:paraId="17688908" w14:textId="53071B29" w:rsidR="00FC24EC" w:rsidRPr="000C77A2" w:rsidRDefault="0089365C" w:rsidP="00D86231">
      <w:pPr>
        <w:pStyle w:val="3-BodyText"/>
      </w:pPr>
      <w:r w:rsidRPr="000C77A2">
        <w:t xml:space="preserve">The indirect comparison of safety presented in the resubmission was problematic given the single arm, non-matched, and non-blinded nature of the indirect comparison between heterogeneous patient populations. Moreover, the resubmission </w:t>
      </w:r>
      <w:r w:rsidR="004679BE" w:rsidRPr="000C77A2">
        <w:t>excluded</w:t>
      </w:r>
      <w:r w:rsidRPr="000C77A2">
        <w:t xml:space="preserve"> </w:t>
      </w:r>
      <w:r w:rsidR="00326FBC" w:rsidRPr="000C77A2">
        <w:t>A</w:t>
      </w:r>
      <w:r w:rsidR="00326FBC">
        <w:t>E</w:t>
      </w:r>
      <w:r w:rsidR="00326FBC" w:rsidRPr="000C77A2">
        <w:t xml:space="preserve">s </w:t>
      </w:r>
      <w:r w:rsidRPr="000C77A2">
        <w:t xml:space="preserve">of special interest (AESI) associated with larotrectinib such as neurological </w:t>
      </w:r>
      <w:r w:rsidR="00326FBC" w:rsidRPr="000C77A2">
        <w:t>A</w:t>
      </w:r>
      <w:r w:rsidR="00326FBC">
        <w:t>E</w:t>
      </w:r>
      <w:r w:rsidR="00326FBC" w:rsidRPr="000C77A2">
        <w:t xml:space="preserve">s </w:t>
      </w:r>
      <w:r w:rsidRPr="000C77A2">
        <w:t xml:space="preserve">which are reflective of </w:t>
      </w:r>
      <w:r w:rsidR="00D85BDC" w:rsidRPr="000C77A2">
        <w:t xml:space="preserve">the mechanism of action of </w:t>
      </w:r>
      <w:r w:rsidRPr="000C77A2">
        <w:t>larotrectinib</w:t>
      </w:r>
      <w:r w:rsidR="00D85BDC" w:rsidRPr="000C77A2">
        <w:t xml:space="preserve"> an</w:t>
      </w:r>
      <w:r w:rsidR="00E85E36" w:rsidRPr="000C77A2">
        <w:t>d</w:t>
      </w:r>
      <w:r w:rsidRPr="000C77A2">
        <w:t xml:space="preserve"> are relevant in the assessment of benefit/risk. </w:t>
      </w:r>
      <w:r w:rsidR="00A370BA" w:rsidRPr="000C77A2">
        <w:t xml:space="preserve">Moreover, the management of chemotherapy-related </w:t>
      </w:r>
      <w:r w:rsidR="00326FBC" w:rsidRPr="000C77A2">
        <w:t>A</w:t>
      </w:r>
      <w:r w:rsidR="00326FBC">
        <w:t>E</w:t>
      </w:r>
      <w:r w:rsidR="00326FBC" w:rsidRPr="000C77A2">
        <w:t xml:space="preserve">s </w:t>
      </w:r>
      <w:r w:rsidR="00A370BA" w:rsidRPr="000C77A2">
        <w:t>has improved over time since the conduct of the historical CheckMate 057 trial</w:t>
      </w:r>
      <w:r w:rsidR="00FC24EC" w:rsidRPr="000C77A2">
        <w:t xml:space="preserve"> (2012</w:t>
      </w:r>
      <w:r w:rsidR="00FC24EC" w:rsidRPr="000C77A2">
        <w:rPr>
          <w:i/>
          <w:iCs/>
        </w:rPr>
        <w:t xml:space="preserve"> </w:t>
      </w:r>
      <w:r w:rsidR="00FC24EC" w:rsidRPr="000C77A2">
        <w:t>to 2015)</w:t>
      </w:r>
      <w:r w:rsidR="00FC24EC" w:rsidRPr="000C77A2">
        <w:rPr>
          <w:rStyle w:val="FootnoteReference"/>
        </w:rPr>
        <w:footnoteReference w:id="11"/>
      </w:r>
      <w:r w:rsidR="00A370BA" w:rsidRPr="000C77A2">
        <w:t xml:space="preserve"> with more frequent monitoring and earlier recognition of these events, and more effective prophylaxis </w:t>
      </w:r>
      <w:r w:rsidR="00FC24EC" w:rsidRPr="000C77A2">
        <w:t xml:space="preserve">and </w:t>
      </w:r>
      <w:r w:rsidR="00A370BA" w:rsidRPr="000C77A2">
        <w:t>treatment in current clinical practice.</w:t>
      </w:r>
    </w:p>
    <w:p w14:paraId="1EFE8FA3" w14:textId="6F0DC77F" w:rsidR="00FC24EC" w:rsidRPr="000C77A2" w:rsidRDefault="00FC24EC" w:rsidP="009C31D1">
      <w:pPr>
        <w:spacing w:after="120"/>
        <w:rPr>
          <w:b/>
          <w:bCs/>
        </w:rPr>
      </w:pPr>
      <w:r w:rsidRPr="000C77A2">
        <w:rPr>
          <w:b/>
          <w:bCs/>
        </w:rPr>
        <w:t xml:space="preserve">Indirect comparison of safety – Larotrectinib </w:t>
      </w:r>
      <w:r w:rsidRPr="000C77A2">
        <w:rPr>
          <w:b/>
          <w:bCs/>
          <w:i/>
          <w:iCs/>
        </w:rPr>
        <w:t>versus</w:t>
      </w:r>
      <w:r w:rsidRPr="000C77A2">
        <w:rPr>
          <w:b/>
          <w:bCs/>
        </w:rPr>
        <w:t xml:space="preserve"> pazopanib in STS</w:t>
      </w:r>
    </w:p>
    <w:p w14:paraId="69A8451F" w14:textId="5C594830" w:rsidR="0089365C" w:rsidRPr="000C77A2" w:rsidRDefault="00FC24EC" w:rsidP="00D86231">
      <w:pPr>
        <w:pStyle w:val="3-BodyText"/>
      </w:pPr>
      <w:r w:rsidRPr="000C77A2">
        <w:t xml:space="preserve">Larotrectinib safety data were pooled across all tumour types in the 20288 and 20289 studies. Treatment-related </w:t>
      </w:r>
      <w:r w:rsidR="00326FBC" w:rsidRPr="000C77A2">
        <w:t>AEs</w:t>
      </w:r>
      <w:r w:rsidRPr="000C77A2">
        <w:t xml:space="preserve"> were referred to as “drug-related treatment-emergent” events, which were considered in the resubmission to be equivalent to what was described as “treatment-related” </w:t>
      </w:r>
      <w:r w:rsidR="00326FBC" w:rsidRPr="000C77A2">
        <w:t>AEs</w:t>
      </w:r>
      <w:r w:rsidRPr="000C77A2">
        <w:t xml:space="preserve"> in the PALETTE trial. </w:t>
      </w:r>
      <w:r w:rsidR="00375C9D" w:rsidRPr="000C77A2">
        <w:t>“Treatment-emergent” events reported in larotrectinib studies were also considered equivalent to “on-therapy” events reported in the pazopanib study, which included all recorded events. S</w:t>
      </w:r>
      <w:r w:rsidRPr="000C77A2">
        <w:t xml:space="preserve">pecific AE types </w:t>
      </w:r>
      <w:r w:rsidR="00375C9D" w:rsidRPr="000C77A2">
        <w:t xml:space="preserve">for pazopanib in PALETTE </w:t>
      </w:r>
      <w:r w:rsidRPr="000C77A2">
        <w:t xml:space="preserve">were not presented separately for treatment-related </w:t>
      </w:r>
      <w:r w:rsidR="00326FBC" w:rsidRPr="000C77A2">
        <w:t>AEs</w:t>
      </w:r>
      <w:r w:rsidRPr="000C77A2">
        <w:t xml:space="preserve">, only for all </w:t>
      </w:r>
      <w:r w:rsidR="00326FBC" w:rsidRPr="000C77A2">
        <w:t>AEs</w:t>
      </w:r>
      <w:r w:rsidRPr="000C77A2">
        <w:t xml:space="preserve">. Thus, the resubmission presented an indirect </w:t>
      </w:r>
      <w:r w:rsidRPr="000C77A2">
        <w:lastRenderedPageBreak/>
        <w:t xml:space="preserve">comparison of all types of </w:t>
      </w:r>
      <w:r w:rsidR="00326FBC" w:rsidRPr="000C77A2">
        <w:t>AEs</w:t>
      </w:r>
      <w:r w:rsidRPr="000C77A2">
        <w:t>.</w:t>
      </w:r>
      <w:r w:rsidR="00375C9D" w:rsidRPr="000C77A2">
        <w:t xml:space="preserve"> Data on </w:t>
      </w:r>
      <w:r w:rsidR="00326FBC" w:rsidRPr="000C77A2">
        <w:t>AEs</w:t>
      </w:r>
      <w:r w:rsidR="00375C9D" w:rsidRPr="000C77A2">
        <w:t xml:space="preserve"> by grade were not available for pazopanib for an indirect comparison.</w:t>
      </w:r>
    </w:p>
    <w:p w14:paraId="78264A3F" w14:textId="14CBBF11" w:rsidR="00375C9D" w:rsidRPr="000C77A2" w:rsidRDefault="00C7154B" w:rsidP="00D86231">
      <w:pPr>
        <w:pStyle w:val="3-BodyText"/>
      </w:pPr>
      <w:r w:rsidRPr="000C77A2">
        <w:fldChar w:fldCharType="begin" w:fldLock="1"/>
      </w:r>
      <w:r w:rsidRPr="000C77A2">
        <w:instrText xml:space="preserve"> REF _Ref154658785 \h </w:instrText>
      </w:r>
      <w:r w:rsidRPr="000C77A2">
        <w:fldChar w:fldCharType="separate"/>
      </w:r>
      <w:r w:rsidR="001B0FE7" w:rsidRPr="000C77A2">
        <w:t xml:space="preserve">Table </w:t>
      </w:r>
      <w:r w:rsidR="001B0FE7">
        <w:rPr>
          <w:noProof/>
        </w:rPr>
        <w:t>11</w:t>
      </w:r>
      <w:r w:rsidRPr="000C77A2">
        <w:fldChar w:fldCharType="end"/>
      </w:r>
      <w:r w:rsidRPr="000C77A2">
        <w:t xml:space="preserve"> </w:t>
      </w:r>
      <w:r w:rsidR="00375C9D" w:rsidRPr="000C77A2">
        <w:t>summarises the indirect comparison of safety between larotrectinib and</w:t>
      </w:r>
      <w:r w:rsidR="00953EDF" w:rsidRPr="000C77A2">
        <w:t xml:space="preserve"> pazopanib</w:t>
      </w:r>
      <w:r w:rsidR="00375C9D" w:rsidRPr="000C77A2">
        <w:t>.</w:t>
      </w:r>
    </w:p>
    <w:p w14:paraId="1A4B7AD5" w14:textId="683340E9" w:rsidR="00375C9D" w:rsidRPr="000C77A2" w:rsidRDefault="00375C9D" w:rsidP="00375C9D">
      <w:pPr>
        <w:pStyle w:val="Caption"/>
      </w:pPr>
      <w:bookmarkStart w:id="34" w:name="_Ref154658785"/>
      <w:r w:rsidRPr="000C77A2">
        <w:t xml:space="preserve">Table </w:t>
      </w:r>
      <w:fldSimple w:instr=" SEQ Table \* ARABIC " w:fldLock="1">
        <w:r w:rsidR="001B0FE7">
          <w:rPr>
            <w:noProof/>
          </w:rPr>
          <w:t>11</w:t>
        </w:r>
      </w:fldSimple>
      <w:bookmarkEnd w:id="34"/>
      <w:r w:rsidRPr="000C77A2">
        <w:t>: Comparison of A</w:t>
      </w:r>
      <w:r w:rsidR="0094358C">
        <w:t>E</w:t>
      </w:r>
      <w:r w:rsidRPr="000C77A2">
        <w:t>s between larotrectinib and pazopanib</w:t>
      </w:r>
    </w:p>
    <w:tbl>
      <w:tblPr>
        <w:tblStyle w:val="HTATableshaded"/>
        <w:tblW w:w="5000" w:type="pct"/>
        <w:tblLook w:val="04A0" w:firstRow="1" w:lastRow="0" w:firstColumn="1" w:lastColumn="0" w:noHBand="0" w:noVBand="1"/>
        <w:tblCaption w:val="Table 11: Comparison of AEs between larotrectinib and pazopanib"/>
      </w:tblPr>
      <w:tblGrid>
        <w:gridCol w:w="2910"/>
        <w:gridCol w:w="1600"/>
        <w:gridCol w:w="1454"/>
        <w:gridCol w:w="2036"/>
        <w:gridCol w:w="1017"/>
      </w:tblGrid>
      <w:tr w:rsidR="00375C9D" w:rsidRPr="000C77A2" w14:paraId="018D2FF9" w14:textId="77777777" w:rsidTr="00122531">
        <w:trPr>
          <w:cnfStyle w:val="100000000000" w:firstRow="1" w:lastRow="0" w:firstColumn="0" w:lastColumn="0" w:oddVBand="0" w:evenVBand="0" w:oddHBand="0" w:evenHBand="0" w:firstRowFirstColumn="0" w:firstRowLastColumn="0" w:lastRowFirstColumn="0" w:lastRowLastColumn="0"/>
          <w:cantSplit/>
          <w:trHeight w:val="339"/>
        </w:trPr>
        <w:tc>
          <w:tcPr>
            <w:tcW w:w="1613" w:type="pct"/>
            <w:shd w:val="clear" w:color="auto" w:fill="auto"/>
          </w:tcPr>
          <w:p w14:paraId="5CB40323" w14:textId="77777777" w:rsidR="00375C9D" w:rsidRPr="000C77A2" w:rsidRDefault="00375C9D" w:rsidP="00307357">
            <w:pPr>
              <w:pStyle w:val="Tabletext"/>
              <w:keepNext/>
              <w:widowControl w:val="0"/>
              <w:spacing w:before="0" w:after="0"/>
              <w:rPr>
                <w:b/>
                <w:bCs/>
              </w:rPr>
            </w:pPr>
          </w:p>
        </w:tc>
        <w:tc>
          <w:tcPr>
            <w:tcW w:w="887" w:type="pct"/>
            <w:shd w:val="clear" w:color="auto" w:fill="auto"/>
          </w:tcPr>
          <w:p w14:paraId="00E933AE" w14:textId="77777777" w:rsidR="00375C9D" w:rsidRPr="000C77A2" w:rsidRDefault="00375C9D" w:rsidP="00307357">
            <w:pPr>
              <w:pStyle w:val="Tabletext"/>
              <w:keepNext/>
              <w:widowControl w:val="0"/>
              <w:spacing w:before="0" w:after="0"/>
              <w:rPr>
                <w:b/>
                <w:bCs/>
              </w:rPr>
            </w:pPr>
            <w:r w:rsidRPr="000C77A2">
              <w:rPr>
                <w:b/>
                <w:bCs/>
              </w:rPr>
              <w:t>Study 20288 and Study 20289</w:t>
            </w:r>
          </w:p>
          <w:p w14:paraId="0D704526" w14:textId="77777777" w:rsidR="00375C9D" w:rsidRPr="000C77A2" w:rsidRDefault="00375C9D" w:rsidP="00307357">
            <w:pPr>
              <w:pStyle w:val="Tabletext"/>
              <w:keepNext/>
              <w:widowControl w:val="0"/>
              <w:spacing w:before="0" w:after="0"/>
              <w:rPr>
                <w:b/>
                <w:bCs/>
              </w:rPr>
            </w:pPr>
            <w:r w:rsidRPr="000C77A2">
              <w:rPr>
                <w:b/>
                <w:bCs/>
              </w:rPr>
              <w:t>Larotrectinib (N=191)</w:t>
            </w:r>
          </w:p>
        </w:tc>
        <w:tc>
          <w:tcPr>
            <w:tcW w:w="806" w:type="pct"/>
            <w:shd w:val="clear" w:color="auto" w:fill="auto"/>
          </w:tcPr>
          <w:p w14:paraId="2719795B" w14:textId="77777777" w:rsidR="00375C9D" w:rsidRPr="000C77A2" w:rsidRDefault="00375C9D" w:rsidP="00307357">
            <w:pPr>
              <w:pStyle w:val="Tabletext"/>
              <w:keepNext/>
              <w:widowControl w:val="0"/>
              <w:spacing w:before="0" w:after="0"/>
              <w:rPr>
                <w:b/>
                <w:bCs/>
              </w:rPr>
            </w:pPr>
            <w:r w:rsidRPr="000C77A2">
              <w:rPr>
                <w:b/>
                <w:bCs/>
              </w:rPr>
              <w:t>PALETTE</w:t>
            </w:r>
          </w:p>
          <w:p w14:paraId="17516008" w14:textId="77777777" w:rsidR="00375C9D" w:rsidRPr="000C77A2" w:rsidRDefault="00375C9D" w:rsidP="00307357">
            <w:pPr>
              <w:pStyle w:val="Tabletext"/>
              <w:keepNext/>
              <w:widowControl w:val="0"/>
              <w:spacing w:before="0" w:after="0"/>
              <w:rPr>
                <w:b/>
                <w:bCs/>
              </w:rPr>
            </w:pPr>
            <w:r w:rsidRPr="000C77A2">
              <w:rPr>
                <w:b/>
                <w:bCs/>
              </w:rPr>
              <w:t>Pazopanib (N=239)</w:t>
            </w:r>
          </w:p>
        </w:tc>
        <w:tc>
          <w:tcPr>
            <w:tcW w:w="1129" w:type="pct"/>
            <w:shd w:val="clear" w:color="auto" w:fill="auto"/>
          </w:tcPr>
          <w:p w14:paraId="27DDC513" w14:textId="77777777" w:rsidR="00375C9D" w:rsidRPr="000C77A2" w:rsidRDefault="00375C9D" w:rsidP="00307357">
            <w:pPr>
              <w:pStyle w:val="Tabletext"/>
              <w:keepNext/>
              <w:widowControl w:val="0"/>
              <w:spacing w:before="0" w:after="0"/>
              <w:rPr>
                <w:b/>
                <w:bCs/>
              </w:rPr>
            </w:pPr>
            <w:r w:rsidRPr="000C77A2">
              <w:rPr>
                <w:b/>
                <w:bCs/>
              </w:rPr>
              <w:t xml:space="preserve">Difference </w:t>
            </w:r>
          </w:p>
          <w:p w14:paraId="01DE218A" w14:textId="77777777" w:rsidR="00375C9D" w:rsidRPr="000C77A2" w:rsidRDefault="00375C9D" w:rsidP="00307357">
            <w:pPr>
              <w:pStyle w:val="Tabletext"/>
              <w:keepNext/>
              <w:widowControl w:val="0"/>
              <w:spacing w:before="0" w:after="0"/>
              <w:rPr>
                <w:b/>
                <w:bCs/>
              </w:rPr>
            </w:pPr>
            <w:r w:rsidRPr="000C77A2">
              <w:rPr>
                <w:b/>
                <w:bCs/>
              </w:rPr>
              <w:t>(95% CI)</w:t>
            </w:r>
          </w:p>
        </w:tc>
        <w:tc>
          <w:tcPr>
            <w:tcW w:w="564" w:type="pct"/>
            <w:shd w:val="clear" w:color="auto" w:fill="auto"/>
          </w:tcPr>
          <w:p w14:paraId="41B96CBC" w14:textId="77777777" w:rsidR="00375C9D" w:rsidRPr="000C77A2" w:rsidRDefault="00375C9D" w:rsidP="00307357">
            <w:pPr>
              <w:pStyle w:val="Tabletext"/>
              <w:keepNext/>
              <w:widowControl w:val="0"/>
              <w:spacing w:before="0" w:after="0"/>
              <w:rPr>
                <w:b/>
                <w:bCs/>
              </w:rPr>
            </w:pPr>
            <w:r w:rsidRPr="000C77A2">
              <w:rPr>
                <w:b/>
                <w:bCs/>
              </w:rPr>
              <w:t>p-value</w:t>
            </w:r>
          </w:p>
        </w:tc>
      </w:tr>
      <w:tr w:rsidR="00375C9D" w:rsidRPr="000C77A2" w14:paraId="61364F1A" w14:textId="77777777" w:rsidTr="00122531">
        <w:trPr>
          <w:cantSplit/>
        </w:trPr>
        <w:tc>
          <w:tcPr>
            <w:tcW w:w="1613" w:type="pct"/>
            <w:shd w:val="clear" w:color="auto" w:fill="auto"/>
          </w:tcPr>
          <w:p w14:paraId="207610B7" w14:textId="77777777" w:rsidR="00375C9D" w:rsidRPr="000C77A2" w:rsidRDefault="00375C9D" w:rsidP="00307357">
            <w:pPr>
              <w:pStyle w:val="Tabletext"/>
              <w:keepNext/>
              <w:widowControl w:val="0"/>
              <w:spacing w:before="0" w:after="0"/>
            </w:pPr>
            <w:r w:rsidRPr="000C77A2">
              <w:t>Any AE</w:t>
            </w:r>
          </w:p>
        </w:tc>
        <w:tc>
          <w:tcPr>
            <w:tcW w:w="887" w:type="pct"/>
            <w:shd w:val="clear" w:color="auto" w:fill="auto"/>
          </w:tcPr>
          <w:p w14:paraId="6C6C0B3B" w14:textId="77777777" w:rsidR="00375C9D" w:rsidRPr="000C77A2" w:rsidRDefault="00375C9D" w:rsidP="00307357">
            <w:pPr>
              <w:pStyle w:val="Tabletext"/>
              <w:keepNext/>
              <w:widowControl w:val="0"/>
              <w:spacing w:before="0" w:after="0"/>
            </w:pPr>
            <w:r w:rsidRPr="000C77A2">
              <w:t>190 (99%)</w:t>
            </w:r>
          </w:p>
        </w:tc>
        <w:tc>
          <w:tcPr>
            <w:tcW w:w="806" w:type="pct"/>
            <w:shd w:val="clear" w:color="auto" w:fill="auto"/>
          </w:tcPr>
          <w:p w14:paraId="07F7B81B" w14:textId="77777777" w:rsidR="00375C9D" w:rsidRPr="000C77A2" w:rsidRDefault="00375C9D" w:rsidP="00307357">
            <w:pPr>
              <w:pStyle w:val="Tabletext"/>
              <w:keepNext/>
              <w:widowControl w:val="0"/>
              <w:spacing w:before="0" w:after="0"/>
            </w:pPr>
            <w:r w:rsidRPr="000C77A2">
              <w:t>237 (99%)</w:t>
            </w:r>
          </w:p>
        </w:tc>
        <w:tc>
          <w:tcPr>
            <w:tcW w:w="1129" w:type="pct"/>
            <w:shd w:val="clear" w:color="auto" w:fill="auto"/>
          </w:tcPr>
          <w:p w14:paraId="455EA1A0" w14:textId="77777777" w:rsidR="00375C9D" w:rsidRPr="000C77A2" w:rsidRDefault="00375C9D" w:rsidP="00307357">
            <w:pPr>
              <w:pStyle w:val="Tabletext"/>
              <w:keepNext/>
              <w:widowControl w:val="0"/>
              <w:spacing w:before="0" w:after="0"/>
            </w:pPr>
            <w:r w:rsidRPr="000C77A2">
              <w:t>0% (-1%, 2%)</w:t>
            </w:r>
          </w:p>
        </w:tc>
        <w:tc>
          <w:tcPr>
            <w:tcW w:w="564" w:type="pct"/>
            <w:shd w:val="clear" w:color="auto" w:fill="auto"/>
          </w:tcPr>
          <w:p w14:paraId="5A6B4B58" w14:textId="77777777" w:rsidR="00375C9D" w:rsidRPr="000C77A2" w:rsidRDefault="00375C9D" w:rsidP="00307357">
            <w:pPr>
              <w:pStyle w:val="Tabletext"/>
              <w:keepNext/>
              <w:widowControl w:val="0"/>
              <w:spacing w:before="0" w:after="0"/>
            </w:pPr>
            <w:r w:rsidRPr="000C77A2">
              <w:t>&gt; 0.99</w:t>
            </w:r>
          </w:p>
        </w:tc>
      </w:tr>
      <w:tr w:rsidR="00375C9D" w:rsidRPr="000C77A2" w14:paraId="72EEB1B6" w14:textId="77777777" w:rsidTr="00122531">
        <w:trPr>
          <w:cantSplit/>
        </w:trPr>
        <w:tc>
          <w:tcPr>
            <w:tcW w:w="1613" w:type="pct"/>
            <w:shd w:val="clear" w:color="auto" w:fill="auto"/>
          </w:tcPr>
          <w:p w14:paraId="7B857401" w14:textId="77777777" w:rsidR="00375C9D" w:rsidRPr="000C77A2" w:rsidRDefault="00375C9D" w:rsidP="00307357">
            <w:pPr>
              <w:pStyle w:val="Tabletext"/>
              <w:keepNext/>
              <w:widowControl w:val="0"/>
              <w:spacing w:before="0" w:after="0"/>
            </w:pPr>
            <w:r w:rsidRPr="000C77A2">
              <w:t>Fatigue</w:t>
            </w:r>
          </w:p>
        </w:tc>
        <w:tc>
          <w:tcPr>
            <w:tcW w:w="887" w:type="pct"/>
            <w:shd w:val="clear" w:color="auto" w:fill="auto"/>
          </w:tcPr>
          <w:p w14:paraId="49C04937" w14:textId="77777777" w:rsidR="00375C9D" w:rsidRPr="000C77A2" w:rsidRDefault="00375C9D" w:rsidP="00307357">
            <w:pPr>
              <w:pStyle w:val="Tabletext"/>
              <w:keepNext/>
              <w:widowControl w:val="0"/>
              <w:spacing w:before="0" w:after="0"/>
            </w:pPr>
            <w:r w:rsidRPr="000C77A2">
              <w:t>73 (38%)</w:t>
            </w:r>
          </w:p>
        </w:tc>
        <w:tc>
          <w:tcPr>
            <w:tcW w:w="806" w:type="pct"/>
            <w:shd w:val="clear" w:color="auto" w:fill="auto"/>
          </w:tcPr>
          <w:p w14:paraId="70C5B0BF" w14:textId="77777777" w:rsidR="00375C9D" w:rsidRPr="000C77A2" w:rsidRDefault="00375C9D" w:rsidP="00307357">
            <w:pPr>
              <w:pStyle w:val="Tabletext"/>
              <w:keepNext/>
              <w:widowControl w:val="0"/>
              <w:spacing w:before="0" w:after="0"/>
            </w:pPr>
            <w:r w:rsidRPr="000C77A2">
              <w:t>155 (65%)</w:t>
            </w:r>
          </w:p>
        </w:tc>
        <w:tc>
          <w:tcPr>
            <w:tcW w:w="1129" w:type="pct"/>
            <w:shd w:val="clear" w:color="auto" w:fill="auto"/>
          </w:tcPr>
          <w:p w14:paraId="6B1A938F" w14:textId="77777777" w:rsidR="00375C9D" w:rsidRPr="000C77A2" w:rsidRDefault="00375C9D" w:rsidP="00307357">
            <w:pPr>
              <w:pStyle w:val="Tabletext"/>
              <w:keepNext/>
              <w:widowControl w:val="0"/>
              <w:spacing w:before="0" w:after="0"/>
            </w:pPr>
            <w:r w:rsidRPr="000C77A2">
              <w:t>-27% (-36%, -17%)</w:t>
            </w:r>
          </w:p>
        </w:tc>
        <w:tc>
          <w:tcPr>
            <w:tcW w:w="564" w:type="pct"/>
            <w:shd w:val="clear" w:color="auto" w:fill="auto"/>
          </w:tcPr>
          <w:p w14:paraId="759BBEAC" w14:textId="77777777" w:rsidR="00375C9D" w:rsidRPr="000C77A2" w:rsidRDefault="00375C9D" w:rsidP="00307357">
            <w:pPr>
              <w:pStyle w:val="Tabletext"/>
              <w:keepNext/>
              <w:widowControl w:val="0"/>
              <w:spacing w:before="0" w:after="0"/>
            </w:pPr>
            <w:r w:rsidRPr="000C77A2">
              <w:t>&lt;0.001</w:t>
            </w:r>
          </w:p>
        </w:tc>
      </w:tr>
      <w:tr w:rsidR="00375C9D" w:rsidRPr="000C77A2" w14:paraId="1949BBE3" w14:textId="77777777" w:rsidTr="00122531">
        <w:trPr>
          <w:cantSplit/>
        </w:trPr>
        <w:tc>
          <w:tcPr>
            <w:tcW w:w="1613" w:type="pct"/>
            <w:shd w:val="clear" w:color="auto" w:fill="auto"/>
          </w:tcPr>
          <w:p w14:paraId="4A247C3E" w14:textId="77777777" w:rsidR="00375C9D" w:rsidRPr="000C77A2" w:rsidRDefault="00375C9D" w:rsidP="00307357">
            <w:pPr>
              <w:pStyle w:val="Tabletext"/>
              <w:keepNext/>
              <w:widowControl w:val="0"/>
              <w:spacing w:before="0" w:after="0"/>
            </w:pPr>
            <w:r w:rsidRPr="000C77A2">
              <w:t>Nausea</w:t>
            </w:r>
          </w:p>
        </w:tc>
        <w:tc>
          <w:tcPr>
            <w:tcW w:w="887" w:type="pct"/>
            <w:shd w:val="clear" w:color="auto" w:fill="auto"/>
          </w:tcPr>
          <w:p w14:paraId="74BF2A5E" w14:textId="77777777" w:rsidR="00375C9D" w:rsidRPr="000C77A2" w:rsidRDefault="00375C9D" w:rsidP="00307357">
            <w:pPr>
              <w:pStyle w:val="Tabletext"/>
              <w:keepNext/>
              <w:widowControl w:val="0"/>
              <w:spacing w:before="0" w:after="0"/>
            </w:pPr>
            <w:r w:rsidRPr="000C77A2">
              <w:t>51 (27%)</w:t>
            </w:r>
          </w:p>
        </w:tc>
        <w:tc>
          <w:tcPr>
            <w:tcW w:w="806" w:type="pct"/>
            <w:shd w:val="clear" w:color="auto" w:fill="auto"/>
          </w:tcPr>
          <w:p w14:paraId="64C93BCD" w14:textId="77777777" w:rsidR="00375C9D" w:rsidRPr="000C77A2" w:rsidRDefault="00375C9D" w:rsidP="00307357">
            <w:pPr>
              <w:pStyle w:val="Tabletext"/>
              <w:keepNext/>
              <w:widowControl w:val="0"/>
              <w:spacing w:before="0" w:after="0"/>
            </w:pPr>
            <w:r w:rsidRPr="000C77A2">
              <w:t>129 (54%)</w:t>
            </w:r>
          </w:p>
        </w:tc>
        <w:tc>
          <w:tcPr>
            <w:tcW w:w="1129" w:type="pct"/>
            <w:shd w:val="clear" w:color="auto" w:fill="auto"/>
          </w:tcPr>
          <w:p w14:paraId="170817CB" w14:textId="77777777" w:rsidR="00375C9D" w:rsidRPr="000C77A2" w:rsidRDefault="00375C9D" w:rsidP="00307357">
            <w:pPr>
              <w:pStyle w:val="Tabletext"/>
              <w:keepNext/>
              <w:widowControl w:val="0"/>
              <w:spacing w:before="0" w:after="0"/>
            </w:pPr>
            <w:r w:rsidRPr="000C77A2">
              <w:t>-27% (-36%, -18%)</w:t>
            </w:r>
          </w:p>
        </w:tc>
        <w:tc>
          <w:tcPr>
            <w:tcW w:w="564" w:type="pct"/>
            <w:shd w:val="clear" w:color="auto" w:fill="auto"/>
          </w:tcPr>
          <w:p w14:paraId="2C8584F0" w14:textId="77777777" w:rsidR="00375C9D" w:rsidRPr="000C77A2" w:rsidRDefault="00375C9D" w:rsidP="00307357">
            <w:pPr>
              <w:pStyle w:val="Tabletext"/>
              <w:keepNext/>
              <w:widowControl w:val="0"/>
              <w:spacing w:before="0" w:after="0"/>
            </w:pPr>
            <w:r w:rsidRPr="000C77A2">
              <w:t>&lt;0.001</w:t>
            </w:r>
          </w:p>
        </w:tc>
      </w:tr>
      <w:tr w:rsidR="00375C9D" w:rsidRPr="000C77A2" w14:paraId="5CDC6315" w14:textId="77777777" w:rsidTr="00122531">
        <w:trPr>
          <w:cantSplit/>
        </w:trPr>
        <w:tc>
          <w:tcPr>
            <w:tcW w:w="1613" w:type="pct"/>
            <w:shd w:val="clear" w:color="auto" w:fill="auto"/>
          </w:tcPr>
          <w:p w14:paraId="3CB9BEFE" w14:textId="77777777" w:rsidR="00375C9D" w:rsidRPr="000C77A2" w:rsidRDefault="00375C9D" w:rsidP="00307357">
            <w:pPr>
              <w:pStyle w:val="Tabletext"/>
              <w:keepNext/>
              <w:widowControl w:val="0"/>
              <w:spacing w:before="0" w:after="0"/>
            </w:pPr>
            <w:r w:rsidRPr="000C77A2">
              <w:t>Vomiting</w:t>
            </w:r>
          </w:p>
        </w:tc>
        <w:tc>
          <w:tcPr>
            <w:tcW w:w="887" w:type="pct"/>
            <w:shd w:val="clear" w:color="auto" w:fill="auto"/>
          </w:tcPr>
          <w:p w14:paraId="3CE0F3B6" w14:textId="77777777" w:rsidR="00375C9D" w:rsidRPr="000C77A2" w:rsidRDefault="00375C9D" w:rsidP="00307357">
            <w:pPr>
              <w:pStyle w:val="Tabletext"/>
              <w:keepNext/>
              <w:widowControl w:val="0"/>
              <w:spacing w:before="0" w:after="0"/>
            </w:pPr>
            <w:r w:rsidRPr="000C77A2">
              <w:t>32 (17%)</w:t>
            </w:r>
          </w:p>
        </w:tc>
        <w:tc>
          <w:tcPr>
            <w:tcW w:w="806" w:type="pct"/>
            <w:shd w:val="clear" w:color="auto" w:fill="auto"/>
          </w:tcPr>
          <w:p w14:paraId="1CF25400" w14:textId="77777777" w:rsidR="00375C9D" w:rsidRPr="000C77A2" w:rsidRDefault="00375C9D" w:rsidP="00307357">
            <w:pPr>
              <w:pStyle w:val="Tabletext"/>
              <w:keepNext/>
              <w:widowControl w:val="0"/>
              <w:spacing w:before="0" w:after="0"/>
            </w:pPr>
            <w:r w:rsidRPr="000C77A2">
              <w:t>80 (33%)</w:t>
            </w:r>
          </w:p>
        </w:tc>
        <w:tc>
          <w:tcPr>
            <w:tcW w:w="1129" w:type="pct"/>
            <w:shd w:val="clear" w:color="auto" w:fill="auto"/>
          </w:tcPr>
          <w:p w14:paraId="178D5766" w14:textId="77777777" w:rsidR="00375C9D" w:rsidRPr="000C77A2" w:rsidRDefault="00375C9D" w:rsidP="00307357">
            <w:pPr>
              <w:pStyle w:val="Tabletext"/>
              <w:keepNext/>
              <w:widowControl w:val="0"/>
              <w:spacing w:before="0" w:after="0"/>
            </w:pPr>
            <w:r w:rsidRPr="000C77A2">
              <w:t>-16% (-25%, -9%)</w:t>
            </w:r>
          </w:p>
        </w:tc>
        <w:tc>
          <w:tcPr>
            <w:tcW w:w="564" w:type="pct"/>
            <w:shd w:val="clear" w:color="auto" w:fill="auto"/>
          </w:tcPr>
          <w:p w14:paraId="245E9DE7" w14:textId="77777777" w:rsidR="00375C9D" w:rsidRPr="000C77A2" w:rsidRDefault="00375C9D" w:rsidP="00307357">
            <w:pPr>
              <w:pStyle w:val="Tabletext"/>
              <w:keepNext/>
              <w:widowControl w:val="0"/>
              <w:spacing w:before="0" w:after="0"/>
            </w:pPr>
            <w:r w:rsidRPr="000C77A2">
              <w:t>&lt;0.001</w:t>
            </w:r>
          </w:p>
        </w:tc>
      </w:tr>
      <w:tr w:rsidR="00375C9D" w:rsidRPr="000C77A2" w14:paraId="7EA9FE06" w14:textId="77777777" w:rsidTr="00122531">
        <w:trPr>
          <w:cantSplit/>
        </w:trPr>
        <w:tc>
          <w:tcPr>
            <w:tcW w:w="1613" w:type="pct"/>
            <w:shd w:val="clear" w:color="auto" w:fill="auto"/>
          </w:tcPr>
          <w:p w14:paraId="0DD2175D" w14:textId="77777777" w:rsidR="00375C9D" w:rsidRPr="000C77A2" w:rsidRDefault="00375C9D" w:rsidP="00307357">
            <w:pPr>
              <w:pStyle w:val="Tabletext"/>
              <w:keepNext/>
              <w:widowControl w:val="0"/>
              <w:spacing w:before="0" w:after="0"/>
            </w:pPr>
            <w:r w:rsidRPr="000C77A2">
              <w:t>Treatment-related AE only</w:t>
            </w:r>
          </w:p>
        </w:tc>
        <w:tc>
          <w:tcPr>
            <w:tcW w:w="887" w:type="pct"/>
            <w:shd w:val="clear" w:color="auto" w:fill="auto"/>
          </w:tcPr>
          <w:p w14:paraId="4FD7127E" w14:textId="77777777" w:rsidR="00375C9D" w:rsidRPr="000C77A2" w:rsidRDefault="00375C9D" w:rsidP="00307357">
            <w:pPr>
              <w:pStyle w:val="Tabletext"/>
              <w:keepNext/>
              <w:widowControl w:val="0"/>
              <w:spacing w:before="0" w:after="0"/>
            </w:pPr>
            <w:r w:rsidRPr="000C77A2">
              <w:t>154 (81%)</w:t>
            </w:r>
          </w:p>
        </w:tc>
        <w:tc>
          <w:tcPr>
            <w:tcW w:w="806" w:type="pct"/>
            <w:shd w:val="clear" w:color="auto" w:fill="auto"/>
          </w:tcPr>
          <w:p w14:paraId="08ED3F19" w14:textId="77777777" w:rsidR="00375C9D" w:rsidRPr="000C77A2" w:rsidRDefault="00375C9D" w:rsidP="00307357">
            <w:pPr>
              <w:pStyle w:val="Tabletext"/>
              <w:keepNext/>
              <w:widowControl w:val="0"/>
              <w:spacing w:before="0" w:after="0"/>
            </w:pPr>
            <w:r w:rsidRPr="000C77A2">
              <w:t>219 (92%)</w:t>
            </w:r>
          </w:p>
        </w:tc>
        <w:tc>
          <w:tcPr>
            <w:tcW w:w="1129" w:type="pct"/>
            <w:shd w:val="clear" w:color="auto" w:fill="auto"/>
          </w:tcPr>
          <w:p w14:paraId="109A54F6" w14:textId="77777777" w:rsidR="00375C9D" w:rsidRPr="000C77A2" w:rsidRDefault="00375C9D" w:rsidP="00307357">
            <w:pPr>
              <w:pStyle w:val="Tabletext"/>
              <w:keepNext/>
              <w:widowControl w:val="0"/>
              <w:spacing w:before="0" w:after="0"/>
            </w:pPr>
            <w:r w:rsidRPr="000C77A2">
              <w:t>-11% (-18%, -4%)</w:t>
            </w:r>
          </w:p>
        </w:tc>
        <w:tc>
          <w:tcPr>
            <w:tcW w:w="564" w:type="pct"/>
            <w:shd w:val="clear" w:color="auto" w:fill="auto"/>
          </w:tcPr>
          <w:p w14:paraId="0BBA21A9" w14:textId="77777777" w:rsidR="00375C9D" w:rsidRPr="000C77A2" w:rsidRDefault="00375C9D" w:rsidP="00307357">
            <w:pPr>
              <w:pStyle w:val="Tabletext"/>
              <w:keepNext/>
              <w:widowControl w:val="0"/>
              <w:spacing w:before="0" w:after="0"/>
            </w:pPr>
            <w:r w:rsidRPr="000C77A2">
              <w:t>0.001</w:t>
            </w:r>
          </w:p>
        </w:tc>
      </w:tr>
    </w:tbl>
    <w:p w14:paraId="5A831DC5" w14:textId="114E24EE" w:rsidR="00375C9D" w:rsidRPr="000C77A2" w:rsidRDefault="00375C9D" w:rsidP="00375C9D">
      <w:pPr>
        <w:pStyle w:val="TableFooter"/>
      </w:pPr>
      <w:r w:rsidRPr="000C77A2">
        <w:t>Source: Table 2-39 of the resubmission.</w:t>
      </w:r>
    </w:p>
    <w:p w14:paraId="7319F67D" w14:textId="77777777" w:rsidR="00375C9D" w:rsidRPr="000C77A2" w:rsidRDefault="00375C9D" w:rsidP="00375C9D">
      <w:pPr>
        <w:pStyle w:val="TableFooter"/>
      </w:pPr>
      <w:r w:rsidRPr="000C77A2">
        <w:t>AE = adverse events. CI = confidence interval.</w:t>
      </w:r>
    </w:p>
    <w:p w14:paraId="31240306" w14:textId="7DEB82B8" w:rsidR="00375C9D" w:rsidRPr="000C77A2" w:rsidRDefault="00375C9D" w:rsidP="00560AEC">
      <w:pPr>
        <w:pStyle w:val="TableFooter"/>
        <w:spacing w:after="120"/>
      </w:pPr>
      <w:r w:rsidRPr="000C77A2">
        <w:t>95% CIs were based on a normal approximation and p-values were based on Fisher’s exact test</w:t>
      </w:r>
    </w:p>
    <w:p w14:paraId="067D0AE7" w14:textId="4865E273" w:rsidR="00375C9D" w:rsidRPr="000C77A2" w:rsidRDefault="00375C9D" w:rsidP="00D86231">
      <w:pPr>
        <w:pStyle w:val="3-BodyText"/>
      </w:pPr>
      <w:r w:rsidRPr="000C77A2">
        <w:t xml:space="preserve">The resubmission concluded that the indirect comparison results were statistically significant for </w:t>
      </w:r>
      <w:r w:rsidR="00372DAD" w:rsidRPr="000C77A2">
        <w:t xml:space="preserve">treatment-related </w:t>
      </w:r>
      <w:r w:rsidR="0094358C" w:rsidRPr="000C77A2">
        <w:t>A</w:t>
      </w:r>
      <w:r w:rsidR="0094358C">
        <w:t>E</w:t>
      </w:r>
      <w:r w:rsidR="0094358C" w:rsidRPr="000C77A2">
        <w:t>s</w:t>
      </w:r>
      <w:r w:rsidR="00A711AF" w:rsidRPr="000C77A2">
        <w:t>,</w:t>
      </w:r>
      <w:r w:rsidRPr="000C77A2">
        <w:t xml:space="preserve"> </w:t>
      </w:r>
      <w:r w:rsidR="00A711AF" w:rsidRPr="000C77A2">
        <w:t xml:space="preserve">for </w:t>
      </w:r>
      <w:r w:rsidRPr="000C77A2">
        <w:t>nausea</w:t>
      </w:r>
      <w:r w:rsidR="00A711AF" w:rsidRPr="000C77A2">
        <w:t xml:space="preserve"> and for fatigue</w:t>
      </w:r>
      <w:r w:rsidRPr="000C77A2">
        <w:t>, which favoured larotrectinib over pazopanib.</w:t>
      </w:r>
    </w:p>
    <w:p w14:paraId="60799482" w14:textId="65CA5E36" w:rsidR="00375C9D" w:rsidRPr="000C77A2" w:rsidRDefault="00375C9D" w:rsidP="00D86231">
      <w:pPr>
        <w:pStyle w:val="3-BodyText"/>
      </w:pPr>
      <w:r w:rsidRPr="000C77A2">
        <w:t>As was the case for NSCLC, the indirect comparison of safety between larotrectinib and pazopanib in STS was associated with several limitations including the single arm, non-matched, and non-blinded nature of the comparison</w:t>
      </w:r>
      <w:r w:rsidR="00C7154B" w:rsidRPr="000C77A2">
        <w:t>, and the exclusion of neurological AESI that are specifically related to larotrectinib.</w:t>
      </w:r>
    </w:p>
    <w:p w14:paraId="0A0F78F2" w14:textId="77777777" w:rsidR="007F1017" w:rsidRPr="000C77A2" w:rsidRDefault="007F1017" w:rsidP="00D86231">
      <w:pPr>
        <w:pStyle w:val="4-SubsectionHeading"/>
      </w:pPr>
      <w:bookmarkStart w:id="35" w:name="_Toc22897643"/>
      <w:bookmarkStart w:id="36" w:name="_Toc156903961"/>
      <w:r w:rsidRPr="000C77A2">
        <w:t>Benefits/harms</w:t>
      </w:r>
      <w:bookmarkEnd w:id="35"/>
      <w:bookmarkEnd w:id="36"/>
    </w:p>
    <w:p w14:paraId="2A4C6827" w14:textId="633789E3" w:rsidR="00FC1884" w:rsidRPr="000C77A2" w:rsidRDefault="00C7154B" w:rsidP="00EA1FD2">
      <w:pPr>
        <w:pStyle w:val="3-BodyText"/>
      </w:pPr>
      <w:r w:rsidRPr="000C77A2">
        <w:t xml:space="preserve">The basis of the evidence for effectiveness in the resubmission, in terms of PFS and OS, was a descriptive indirect comparison between single arms from heterogeneous studies, and the magnitude of the incremental benefit of larotrectinib </w:t>
      </w:r>
      <w:r w:rsidR="004679BE" w:rsidRPr="000C77A2">
        <w:t xml:space="preserve">versus the nominated comparators </w:t>
      </w:r>
      <w:r w:rsidRPr="000C77A2">
        <w:t xml:space="preserve">could not be </w:t>
      </w:r>
      <w:r w:rsidR="004679BE" w:rsidRPr="000C77A2">
        <w:t xml:space="preserve">reliably </w:t>
      </w:r>
      <w:r w:rsidRPr="000C77A2">
        <w:t xml:space="preserve">quantified. </w:t>
      </w:r>
      <w:r w:rsidR="001F4794" w:rsidRPr="000C77A2">
        <w:t>In terms of comparative safety, the claim in the resubmission was that larotrectinib had a comparable safety profile to SoC in NSCLC and STS. The indirect comparisons of safety were based on non-matched single arms with the exclusion of AESI associated with larotrectinib and the inclusion of specific A</w:t>
      </w:r>
      <w:r w:rsidR="00F25F45" w:rsidRPr="000C77A2">
        <w:t>E</w:t>
      </w:r>
      <w:r w:rsidR="001F4794" w:rsidRPr="000C77A2">
        <w:t xml:space="preserve">s characteristic of the comparators. These indirect comparisons were not considered informative. </w:t>
      </w:r>
      <w:r w:rsidRPr="000C77A2">
        <w:t>Accordingly, a benefits/harms table has not been presented</w:t>
      </w:r>
      <w:r w:rsidR="001F4794" w:rsidRPr="000C77A2">
        <w:t>.</w:t>
      </w:r>
    </w:p>
    <w:p w14:paraId="5044719D" w14:textId="77777777" w:rsidR="00B60939" w:rsidRPr="000C77A2" w:rsidRDefault="00B60939" w:rsidP="00E9094A">
      <w:pPr>
        <w:pStyle w:val="4-SubsectionHeading"/>
      </w:pPr>
      <w:bookmarkStart w:id="37" w:name="_Toc22897644"/>
      <w:bookmarkStart w:id="38" w:name="_Toc156903962"/>
      <w:r w:rsidRPr="000C77A2">
        <w:t>Clinical claim</w:t>
      </w:r>
      <w:bookmarkEnd w:id="37"/>
      <w:bookmarkEnd w:id="38"/>
    </w:p>
    <w:p w14:paraId="0BAABD08" w14:textId="77777777" w:rsidR="001F4794" w:rsidRPr="000C77A2" w:rsidRDefault="001F4794" w:rsidP="001F4794">
      <w:pPr>
        <w:pStyle w:val="3-BodyText"/>
      </w:pPr>
      <w:r w:rsidRPr="000C77A2">
        <w:t>The resubmission described larotrectinib as superior in terms of effectiveness and with a comparable safety profile compared with SoC in the proposed population with NSCLC or STS.</w:t>
      </w:r>
    </w:p>
    <w:p w14:paraId="373A076A" w14:textId="05FB2E41" w:rsidR="001F4794" w:rsidRPr="000C77A2" w:rsidRDefault="001F4794" w:rsidP="001F4794">
      <w:pPr>
        <w:pStyle w:val="3-BodyText"/>
      </w:pPr>
      <w:bookmarkStart w:id="39" w:name="_Ref163061066"/>
      <w:r w:rsidRPr="000C77A2">
        <w:t xml:space="preserve">The </w:t>
      </w:r>
      <w:r w:rsidR="00E01C44" w:rsidRPr="000C77A2">
        <w:t xml:space="preserve">ESC considered the </w:t>
      </w:r>
      <w:r w:rsidR="00A14641" w:rsidRPr="000C77A2">
        <w:t>claim</w:t>
      </w:r>
      <w:r w:rsidRPr="000C77A2">
        <w:t xml:space="preserve"> o</w:t>
      </w:r>
      <w:r w:rsidR="00A14641" w:rsidRPr="000C77A2">
        <w:t>f</w:t>
      </w:r>
      <w:r w:rsidRPr="000C77A2">
        <w:t xml:space="preserve"> superior effectiveness was not adequately supported by the evidence presented in the resubmission. Collectively, the following limitations engender a high degree of uncertainty regarding the magnitude of </w:t>
      </w:r>
      <w:r w:rsidR="00A14641" w:rsidRPr="000C77A2">
        <w:t>the</w:t>
      </w:r>
      <w:r w:rsidRPr="000C77A2">
        <w:t xml:space="preserve"> incremental </w:t>
      </w:r>
      <w:r w:rsidRPr="000C77A2">
        <w:lastRenderedPageBreak/>
        <w:t>benefit associated with larotrectinib</w:t>
      </w:r>
      <w:r w:rsidR="00A14641" w:rsidRPr="000C77A2">
        <w:t xml:space="preserve"> versus docetaxel in NSCLC and versus pazopanib in STS</w:t>
      </w:r>
      <w:r w:rsidRPr="000C77A2">
        <w:t>:</w:t>
      </w:r>
      <w:bookmarkEnd w:id="39"/>
    </w:p>
    <w:p w14:paraId="483B4300" w14:textId="332C714B" w:rsidR="001F4794" w:rsidRPr="000C77A2" w:rsidRDefault="009B0254" w:rsidP="00D85BDC">
      <w:pPr>
        <w:pStyle w:val="3-BodyText"/>
        <w:numPr>
          <w:ilvl w:val="0"/>
          <w:numId w:val="27"/>
        </w:numPr>
        <w:ind w:left="1077" w:hanging="357"/>
      </w:pPr>
      <w:r w:rsidRPr="000C77A2">
        <w:t>T</w:t>
      </w:r>
      <w:r w:rsidR="001F4794" w:rsidRPr="000C77A2">
        <w:t xml:space="preserve">he requested listing for larotrectinib in NSCLC and STS was line-agnostic which allows use of the medicine in the </w:t>
      </w:r>
      <w:r w:rsidRPr="000C77A2">
        <w:t>first</w:t>
      </w:r>
      <w:r w:rsidR="001F4794" w:rsidRPr="000C77A2">
        <w:t xml:space="preserve">-line treatment setting, whereas the evidence for larotrectinib and SoC was based on studies conducted in the refractory setting. </w:t>
      </w:r>
      <w:r w:rsidRPr="000C77A2">
        <w:t>N</w:t>
      </w:r>
      <w:r w:rsidR="001F4794" w:rsidRPr="000C77A2">
        <w:t>o evidence was available to inform the incremental benefit of larotrectinib versus first-line SoC for advanced or metastatic NSCLC and STS</w:t>
      </w:r>
      <w:r w:rsidRPr="000C77A2">
        <w:t>.</w:t>
      </w:r>
      <w:r w:rsidR="001F4794" w:rsidRPr="000C77A2">
        <w:t xml:space="preserve"> </w:t>
      </w:r>
      <w:r w:rsidRPr="000C77A2">
        <w:t>E</w:t>
      </w:r>
      <w:r w:rsidR="001F4794" w:rsidRPr="000C77A2">
        <w:t xml:space="preserve">volving clinical practice guidelines show a trend towards recommending targeted therapy </w:t>
      </w:r>
      <w:r w:rsidRPr="000C77A2">
        <w:t>in</w:t>
      </w:r>
      <w:r w:rsidR="001F4794" w:rsidRPr="000C77A2">
        <w:t xml:space="preserve"> an earlier treatment line for advanced disease</w:t>
      </w:r>
      <w:r w:rsidRPr="000C77A2">
        <w:t xml:space="preserve"> which may possibly reflect the likely use of larotrectinib</w:t>
      </w:r>
      <w:r w:rsidR="001F4794" w:rsidRPr="000C77A2">
        <w:t xml:space="preserve">. </w:t>
      </w:r>
    </w:p>
    <w:p w14:paraId="24863A82" w14:textId="4B030A76" w:rsidR="001F4794" w:rsidRPr="000C77A2" w:rsidRDefault="009A366E" w:rsidP="00122531">
      <w:pPr>
        <w:pStyle w:val="3-BodyText"/>
        <w:keepNext/>
        <w:keepLines/>
        <w:numPr>
          <w:ilvl w:val="0"/>
          <w:numId w:val="27"/>
        </w:numPr>
        <w:ind w:left="1077" w:hanging="357"/>
      </w:pPr>
      <w:r w:rsidRPr="000C77A2">
        <w:t>T</w:t>
      </w:r>
      <w:r w:rsidR="001F4794" w:rsidRPr="000C77A2">
        <w:t xml:space="preserve">he evidence was based on indirect comparisons between </w:t>
      </w:r>
      <w:r w:rsidR="009B0254" w:rsidRPr="000C77A2">
        <w:t xml:space="preserve">non-matched </w:t>
      </w:r>
      <w:r w:rsidR="001F4794" w:rsidRPr="000C77A2">
        <w:t xml:space="preserve">single arms from heterogeneous studies. For OS and PFS outcomes, the indirect comparisons were essentially descriptive and likely to be associated with a high risk of bias and confounding. </w:t>
      </w:r>
    </w:p>
    <w:p w14:paraId="4C7F4918" w14:textId="246AB00D" w:rsidR="001F4794" w:rsidRPr="000C77A2" w:rsidRDefault="009A366E" w:rsidP="00D85BDC">
      <w:pPr>
        <w:pStyle w:val="3-BodyText"/>
        <w:numPr>
          <w:ilvl w:val="0"/>
          <w:numId w:val="27"/>
        </w:numPr>
        <w:ind w:left="1077" w:hanging="357"/>
      </w:pPr>
      <w:r w:rsidRPr="000C77A2">
        <w:t>O</w:t>
      </w:r>
      <w:r w:rsidR="001F4794" w:rsidRPr="000C77A2">
        <w:t>utcomes for larotrectinib were based on small patient numbers even after pooling (25 patients for NSCLC and 30 patients for STS). This limited the precision and hence the reliability of the efficacy estimates.</w:t>
      </w:r>
    </w:p>
    <w:p w14:paraId="619D91F4" w14:textId="2C6CEF9A" w:rsidR="001F4794" w:rsidRPr="000C77A2" w:rsidRDefault="009A366E" w:rsidP="00D85BDC">
      <w:pPr>
        <w:pStyle w:val="3-BodyText"/>
        <w:numPr>
          <w:ilvl w:val="0"/>
          <w:numId w:val="27"/>
        </w:numPr>
        <w:ind w:left="1077" w:hanging="357"/>
      </w:pPr>
      <w:r w:rsidRPr="000C77A2">
        <w:t>T</w:t>
      </w:r>
      <w:r w:rsidR="001F4794" w:rsidRPr="000C77A2">
        <w:t xml:space="preserve">here was </w:t>
      </w:r>
      <w:r w:rsidR="009B0254" w:rsidRPr="000C77A2">
        <w:t xml:space="preserve">lack of information on </w:t>
      </w:r>
      <w:r w:rsidR="001F4794" w:rsidRPr="000C77A2">
        <w:t xml:space="preserve">whether patients who </w:t>
      </w:r>
      <w:r w:rsidR="009B0254" w:rsidRPr="000C77A2">
        <w:t>had</w:t>
      </w:r>
      <w:r w:rsidR="001F4794" w:rsidRPr="000C77A2">
        <w:t xml:space="preserve"> progressed on larotrectinib received subsequent second generation TRK inhibitor</w:t>
      </w:r>
      <w:r w:rsidR="009B0254" w:rsidRPr="000C77A2">
        <w:t>s</w:t>
      </w:r>
      <w:r w:rsidR="001F4794" w:rsidRPr="000C77A2">
        <w:t xml:space="preserve"> to treat on-target resistance to larotrectinib. These therapies are not currently available for this indication in Australian clinical practice. Consequently, any OS benefit observed in the larotrectinib studies may not be realised in </w:t>
      </w:r>
      <w:r w:rsidR="009B0254" w:rsidRPr="000C77A2">
        <w:t xml:space="preserve">current clinical </w:t>
      </w:r>
      <w:r w:rsidR="001F4794" w:rsidRPr="000C77A2">
        <w:t>practice.</w:t>
      </w:r>
    </w:p>
    <w:p w14:paraId="1D181702" w14:textId="07AD2A13" w:rsidR="005F7588" w:rsidRPr="000C77A2" w:rsidRDefault="00E01C44" w:rsidP="00E01C44">
      <w:pPr>
        <w:pStyle w:val="3-BodyText"/>
        <w:rPr>
          <w:i/>
          <w:iCs/>
        </w:rPr>
      </w:pPr>
      <w:r w:rsidRPr="000C77A2">
        <w:t>T</w:t>
      </w:r>
      <w:r w:rsidR="00A14641" w:rsidRPr="000C77A2">
        <w:t xml:space="preserve">he indirect comparisons presented in the resubmission </w:t>
      </w:r>
      <w:r w:rsidRPr="000C77A2">
        <w:t xml:space="preserve">to support the claim of comparable safety </w:t>
      </w:r>
      <w:r w:rsidR="00A14641" w:rsidRPr="000C77A2">
        <w:t>were between non-matched single arms which comprised of heterogeneous patient populations. Furthermore, the resubmission excluded AESI associated with larotrectinib such as neurological events whilst including A</w:t>
      </w:r>
      <w:r w:rsidR="00575ACA">
        <w:t>E</w:t>
      </w:r>
      <w:r w:rsidR="00A14641" w:rsidRPr="000C77A2">
        <w:t xml:space="preserve">s characteristic of chemotherapy and vascular endothelial growth factor (VEGF) inhibitors such as pazopanib. Overall, </w:t>
      </w:r>
      <w:r w:rsidRPr="000C77A2">
        <w:t xml:space="preserve">the ESC considered </w:t>
      </w:r>
      <w:r w:rsidR="00A14641" w:rsidRPr="000C77A2">
        <w:t>a reasonable conclusion based on the available data is that larotrectinib has a manageable safety profile, pending the availability of longer-term safety data, and that the safety profile of larotrectinib is different to that of docetaxel or pazopanib</w:t>
      </w:r>
      <w:r w:rsidR="009353FF" w:rsidRPr="000C77A2">
        <w:t>.</w:t>
      </w:r>
    </w:p>
    <w:p w14:paraId="6572692E" w14:textId="3F19ECD2" w:rsidR="00953EDF" w:rsidRPr="000C77A2" w:rsidRDefault="00953EDF" w:rsidP="00E01C44">
      <w:pPr>
        <w:pStyle w:val="3-BodyText"/>
        <w:rPr>
          <w:i/>
          <w:iCs/>
        </w:rPr>
      </w:pPr>
      <w:r w:rsidRPr="000C77A2">
        <w:t>The PBAC</w:t>
      </w:r>
      <w:r w:rsidR="00E83193" w:rsidRPr="000C77A2">
        <w:t xml:space="preserve"> considered the claim of superior effectiveness compared with the nominated comparators was reasonable but the magnitude of benefit remained highly uncertain</w:t>
      </w:r>
      <w:r w:rsidR="000C77A2">
        <w:t xml:space="preserve">. </w:t>
      </w:r>
      <w:r w:rsidR="00E83193" w:rsidRPr="000C77A2">
        <w:t>The PBAC considered the claim of comparable safety was reasonable</w:t>
      </w:r>
      <w:r w:rsidR="000C77A2">
        <w:t xml:space="preserve">. </w:t>
      </w:r>
    </w:p>
    <w:p w14:paraId="2A194FE1" w14:textId="77777777" w:rsidR="00066ED6" w:rsidRPr="000C77A2" w:rsidRDefault="00066ED6" w:rsidP="006D02B3">
      <w:pPr>
        <w:pStyle w:val="4-SubsectionHeading"/>
      </w:pPr>
      <w:bookmarkStart w:id="40" w:name="_Toc22897645"/>
      <w:bookmarkStart w:id="41" w:name="_Toc156903963"/>
      <w:bookmarkStart w:id="42" w:name="_Toc22897649"/>
      <w:r w:rsidRPr="000C77A2">
        <w:t>Economic analysis</w:t>
      </w:r>
      <w:bookmarkEnd w:id="40"/>
      <w:bookmarkEnd w:id="41"/>
      <w:r w:rsidRPr="000C77A2">
        <w:t xml:space="preserve"> </w:t>
      </w:r>
    </w:p>
    <w:p w14:paraId="271CE99B" w14:textId="09ADFBEA" w:rsidR="00097911" w:rsidRPr="000C77A2" w:rsidRDefault="00097911" w:rsidP="00097911">
      <w:pPr>
        <w:numPr>
          <w:ilvl w:val="1"/>
          <w:numId w:val="1"/>
        </w:numPr>
        <w:spacing w:after="120"/>
        <w:rPr>
          <w:rFonts w:asciiTheme="minorHAnsi" w:hAnsiTheme="minorHAnsi"/>
          <w:b/>
          <w:bCs/>
          <w:snapToGrid w:val="0"/>
        </w:rPr>
      </w:pPr>
      <w:bookmarkStart w:id="43" w:name="_Toc22897646"/>
      <w:bookmarkStart w:id="44" w:name="_Toc107927632"/>
      <w:bookmarkEnd w:id="42"/>
      <w:r w:rsidRPr="000C77A2">
        <w:rPr>
          <w:rFonts w:asciiTheme="minorHAnsi" w:hAnsiTheme="minorHAnsi"/>
          <w:snapToGrid w:val="0"/>
        </w:rPr>
        <w:t xml:space="preserve">The resubmission presented separate modelled economic evaluations for the use of larotrectinib in </w:t>
      </w:r>
      <w:r w:rsidRPr="000C77A2">
        <w:rPr>
          <w:rFonts w:asciiTheme="minorHAnsi" w:hAnsiTheme="minorHAnsi"/>
          <w:i/>
          <w:iCs/>
          <w:snapToGrid w:val="0"/>
        </w:rPr>
        <w:t>NTRK</w:t>
      </w:r>
      <w:r w:rsidRPr="000C77A2">
        <w:rPr>
          <w:rFonts w:asciiTheme="minorHAnsi" w:hAnsiTheme="minorHAnsi"/>
          <w:snapToGrid w:val="0"/>
        </w:rPr>
        <w:t xml:space="preserve">-positive, locally </w:t>
      </w:r>
      <w:proofErr w:type="gramStart"/>
      <w:r w:rsidRPr="000C77A2">
        <w:rPr>
          <w:rFonts w:asciiTheme="minorHAnsi" w:hAnsiTheme="minorHAnsi"/>
          <w:snapToGrid w:val="0"/>
        </w:rPr>
        <w:t>advanced</w:t>
      </w:r>
      <w:proofErr w:type="gramEnd"/>
      <w:r w:rsidRPr="000C77A2">
        <w:rPr>
          <w:rFonts w:asciiTheme="minorHAnsi" w:hAnsiTheme="minorHAnsi"/>
          <w:snapToGrid w:val="0"/>
        </w:rPr>
        <w:t xml:space="preserve"> and unresectable, or metastatic, NSCLC and STS and was based on descriptive indirect comparisons of non-matched single arms from heterogeneous studies. This was changed from the previous </w:t>
      </w:r>
      <w:r w:rsidRPr="000C77A2">
        <w:rPr>
          <w:rFonts w:asciiTheme="minorHAnsi" w:hAnsiTheme="minorHAnsi"/>
          <w:snapToGrid w:val="0"/>
        </w:rPr>
        <w:lastRenderedPageBreak/>
        <w:t xml:space="preserve">submission where additional adult low </w:t>
      </w:r>
      <w:r w:rsidRPr="000C77A2">
        <w:rPr>
          <w:rFonts w:asciiTheme="minorHAnsi" w:hAnsiTheme="minorHAnsi"/>
          <w:i/>
          <w:iCs/>
          <w:snapToGrid w:val="0"/>
        </w:rPr>
        <w:t>NTRK</w:t>
      </w:r>
      <w:r w:rsidRPr="000C77A2">
        <w:rPr>
          <w:rFonts w:asciiTheme="minorHAnsi" w:hAnsiTheme="minorHAnsi"/>
          <w:snapToGrid w:val="0"/>
        </w:rPr>
        <w:t xml:space="preserve"> fusion frequency tumour types were included (colorectal and thyroid) and where results were weighted across the specified tumour types requested. </w:t>
      </w:r>
    </w:p>
    <w:p w14:paraId="1B3AA7D7" w14:textId="7E18F2F7" w:rsidR="00097911" w:rsidRPr="000C77A2" w:rsidRDefault="00097911" w:rsidP="00097911">
      <w:pPr>
        <w:numPr>
          <w:ilvl w:val="1"/>
          <w:numId w:val="1"/>
        </w:numPr>
        <w:spacing w:after="120"/>
        <w:rPr>
          <w:rFonts w:asciiTheme="minorHAnsi" w:hAnsiTheme="minorHAnsi"/>
          <w:b/>
          <w:bCs/>
          <w:snapToGrid w:val="0"/>
        </w:rPr>
      </w:pPr>
      <w:r w:rsidRPr="000C77A2">
        <w:rPr>
          <w:rFonts w:asciiTheme="minorHAnsi" w:hAnsiTheme="minorHAnsi"/>
          <w:snapToGrid w:val="0"/>
        </w:rPr>
        <w:t>The types of economic evaluation presented were a cost-effectiveness analysis and cost-utility analysis with outcomes measured in terms of life-years (L</w:t>
      </w:r>
      <w:r w:rsidR="00EA6AD5" w:rsidRPr="000C77A2">
        <w:rPr>
          <w:rFonts w:asciiTheme="minorHAnsi" w:hAnsiTheme="minorHAnsi"/>
          <w:snapToGrid w:val="0"/>
        </w:rPr>
        <w:t>Y</w:t>
      </w:r>
      <w:r w:rsidRPr="000C77A2">
        <w:rPr>
          <w:rFonts w:asciiTheme="minorHAnsi" w:hAnsiTheme="minorHAnsi"/>
          <w:snapToGrid w:val="0"/>
        </w:rPr>
        <w:t>s) gained and quality-adjusted life years (QALYs) gained. This was unchanged from the previous submissions</w:t>
      </w:r>
      <w:r w:rsidRPr="000C77A2">
        <w:rPr>
          <w:rFonts w:asciiTheme="minorHAnsi" w:hAnsiTheme="minorHAnsi"/>
          <w:i/>
          <w:iCs/>
          <w:snapToGrid w:val="0"/>
        </w:rPr>
        <w:t xml:space="preserve">. </w:t>
      </w:r>
      <w:r w:rsidRPr="000C77A2">
        <w:rPr>
          <w:rFonts w:asciiTheme="minorHAnsi" w:hAnsiTheme="minorHAnsi"/>
          <w:snapToGrid w:val="0"/>
        </w:rPr>
        <w:t xml:space="preserve">The key components of the economic evaluation are summarised in </w:t>
      </w:r>
      <w:r w:rsidRPr="000C77A2">
        <w:rPr>
          <w:rFonts w:asciiTheme="minorHAnsi" w:hAnsiTheme="minorHAnsi"/>
          <w:snapToGrid w:val="0"/>
        </w:rPr>
        <w:fldChar w:fldCharType="begin" w:fldLock="1"/>
      </w:r>
      <w:r w:rsidRPr="000C77A2">
        <w:rPr>
          <w:rFonts w:asciiTheme="minorHAnsi" w:hAnsiTheme="minorHAnsi"/>
          <w:snapToGrid w:val="0"/>
        </w:rPr>
        <w:instrText xml:space="preserve"> REF _Ref155634347 \h </w:instrText>
      </w:r>
      <w:r w:rsidR="00AA08E6" w:rsidRPr="000C77A2">
        <w:rPr>
          <w:rFonts w:asciiTheme="minorHAnsi" w:hAnsiTheme="minorHAnsi"/>
          <w:snapToGrid w:val="0"/>
        </w:rPr>
        <w:instrText xml:space="preserve"> \* MERGEFORMAT </w:instrText>
      </w:r>
      <w:r w:rsidRPr="000C77A2">
        <w:rPr>
          <w:rFonts w:asciiTheme="minorHAnsi" w:hAnsiTheme="minorHAnsi"/>
          <w:snapToGrid w:val="0"/>
        </w:rPr>
      </w:r>
      <w:r w:rsidRPr="000C77A2">
        <w:rPr>
          <w:rFonts w:asciiTheme="minorHAnsi" w:hAnsiTheme="minorHAnsi"/>
          <w:snapToGrid w:val="0"/>
        </w:rPr>
        <w:fldChar w:fldCharType="separate"/>
      </w:r>
      <w:r w:rsidR="001B0FE7" w:rsidRPr="001B0FE7">
        <w:rPr>
          <w:rFonts w:asciiTheme="minorHAnsi" w:hAnsiTheme="minorHAnsi"/>
          <w:snapToGrid w:val="0"/>
        </w:rPr>
        <w:t>Table 12</w:t>
      </w:r>
      <w:r w:rsidRPr="000C77A2">
        <w:rPr>
          <w:rFonts w:asciiTheme="minorHAnsi" w:hAnsiTheme="minorHAnsi"/>
          <w:snapToGrid w:val="0"/>
        </w:rPr>
        <w:fldChar w:fldCharType="end"/>
      </w:r>
      <w:r w:rsidRPr="000C77A2">
        <w:rPr>
          <w:rFonts w:asciiTheme="minorHAnsi" w:hAnsiTheme="minorHAnsi"/>
          <w:snapToGrid w:val="0"/>
        </w:rPr>
        <w:t xml:space="preserve">. </w:t>
      </w:r>
    </w:p>
    <w:p w14:paraId="3445B65A" w14:textId="7DA9A7DD" w:rsidR="00097911" w:rsidRPr="000C77A2" w:rsidRDefault="00097911" w:rsidP="00097911">
      <w:pPr>
        <w:keepNext/>
        <w:keepLines/>
        <w:rPr>
          <w:rFonts w:ascii="Arial Narrow" w:hAnsi="Arial Narrow"/>
          <w:b/>
          <w:bCs/>
          <w:sz w:val="20"/>
          <w:szCs w:val="18"/>
        </w:rPr>
      </w:pPr>
      <w:bookmarkStart w:id="45" w:name="_Ref155634347"/>
      <w:r w:rsidRPr="000C77A2">
        <w:rPr>
          <w:rFonts w:ascii="Arial Narrow" w:hAnsi="Arial Narrow"/>
          <w:b/>
          <w:bCs/>
          <w:sz w:val="20"/>
          <w:szCs w:val="18"/>
        </w:rPr>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12</w:t>
      </w:r>
      <w:r w:rsidRPr="00576FA3">
        <w:rPr>
          <w:rFonts w:ascii="Arial Narrow" w:hAnsi="Arial Narrow"/>
          <w:b/>
          <w:bCs/>
          <w:sz w:val="20"/>
          <w:szCs w:val="18"/>
        </w:rPr>
        <w:fldChar w:fldCharType="end"/>
      </w:r>
      <w:bookmarkEnd w:id="45"/>
      <w:r w:rsidRPr="000C77A2">
        <w:rPr>
          <w:rFonts w:ascii="Arial Narrow" w:hAnsi="Arial Narrow"/>
          <w:b/>
          <w:bCs/>
          <w:sz w:val="20"/>
          <w:szCs w:val="18"/>
        </w:rPr>
        <w:t xml:space="preserve">: Summary of model structure, key </w:t>
      </w:r>
      <w:proofErr w:type="gramStart"/>
      <w:r w:rsidRPr="000C77A2">
        <w:rPr>
          <w:rFonts w:ascii="Arial Narrow" w:hAnsi="Arial Narrow"/>
          <w:b/>
          <w:bCs/>
          <w:sz w:val="20"/>
          <w:szCs w:val="18"/>
        </w:rPr>
        <w:t>inputs</w:t>
      </w:r>
      <w:proofErr w:type="gramEnd"/>
      <w:r w:rsidRPr="000C77A2">
        <w:rPr>
          <w:rFonts w:ascii="Arial Narrow" w:hAnsi="Arial Narrow"/>
          <w:b/>
          <w:bCs/>
          <w:sz w:val="20"/>
          <w:szCs w:val="18"/>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Summary of model structure, key inputs and rationale"/>
      </w:tblPr>
      <w:tblGrid>
        <w:gridCol w:w="1555"/>
        <w:gridCol w:w="7462"/>
      </w:tblGrid>
      <w:tr w:rsidR="00097911" w:rsidRPr="000C77A2" w14:paraId="48616A8F" w14:textId="77777777" w:rsidTr="00504411">
        <w:trPr>
          <w:tblHeader/>
        </w:trPr>
        <w:tc>
          <w:tcPr>
            <w:tcW w:w="862" w:type="pct"/>
            <w:shd w:val="clear" w:color="auto" w:fill="auto"/>
            <w:vAlign w:val="center"/>
          </w:tcPr>
          <w:p w14:paraId="71716CF7"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Component</w:t>
            </w:r>
          </w:p>
        </w:tc>
        <w:tc>
          <w:tcPr>
            <w:tcW w:w="4138" w:type="pct"/>
            <w:shd w:val="clear" w:color="auto" w:fill="auto"/>
            <w:vAlign w:val="center"/>
          </w:tcPr>
          <w:p w14:paraId="276E2A81"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Summary</w:t>
            </w:r>
          </w:p>
        </w:tc>
      </w:tr>
      <w:tr w:rsidR="00097911" w:rsidRPr="000C77A2" w14:paraId="79C7BD28" w14:textId="77777777" w:rsidTr="00504411">
        <w:tc>
          <w:tcPr>
            <w:tcW w:w="862" w:type="pct"/>
            <w:shd w:val="clear" w:color="auto" w:fill="auto"/>
            <w:vAlign w:val="center"/>
          </w:tcPr>
          <w:p w14:paraId="5C41C5AA"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Comparisons presented</w:t>
            </w:r>
          </w:p>
        </w:tc>
        <w:tc>
          <w:tcPr>
            <w:tcW w:w="4138" w:type="pct"/>
            <w:shd w:val="clear" w:color="auto" w:fill="auto"/>
            <w:vAlign w:val="center"/>
          </w:tcPr>
          <w:p w14:paraId="6249032A"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Two separate analyses were presented:</w:t>
            </w:r>
          </w:p>
          <w:p w14:paraId="260B5E7E" w14:textId="77777777" w:rsidR="00097911" w:rsidRPr="000C77A2" w:rsidRDefault="00097911" w:rsidP="00EE5409">
            <w:pPr>
              <w:keepNext/>
              <w:numPr>
                <w:ilvl w:val="0"/>
                <w:numId w:val="31"/>
              </w:numPr>
              <w:ind w:left="395" w:hanging="284"/>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larotrectinib vs docetaxel in patients with </w:t>
            </w:r>
            <w:r w:rsidRPr="000C77A2">
              <w:rPr>
                <w:rFonts w:ascii="Arial Narrow" w:eastAsiaTheme="majorEastAsia" w:hAnsi="Arial Narrow" w:cs="Times New Roman"/>
                <w:i/>
                <w:iCs/>
                <w:snapToGrid w:val="0"/>
                <w:sz w:val="20"/>
              </w:rPr>
              <w:t>NTRK</w:t>
            </w:r>
            <w:r w:rsidRPr="000C77A2">
              <w:rPr>
                <w:rFonts w:ascii="Arial Narrow" w:eastAsiaTheme="majorEastAsia" w:hAnsi="Arial Narrow" w:cs="Times New Roman"/>
                <w:snapToGrid w:val="0"/>
                <w:sz w:val="20"/>
              </w:rPr>
              <w:t>-positive locally advanced or metastatic NSCLC</w:t>
            </w:r>
          </w:p>
          <w:p w14:paraId="0BEC0D52" w14:textId="539A773D" w:rsidR="00097911" w:rsidRPr="000C77A2" w:rsidRDefault="00097911" w:rsidP="00F25F45">
            <w:pPr>
              <w:keepNext/>
              <w:numPr>
                <w:ilvl w:val="0"/>
                <w:numId w:val="31"/>
              </w:numPr>
              <w:ind w:left="395" w:hanging="284"/>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larotrectinib vs pazopanib in patients with </w:t>
            </w:r>
            <w:r w:rsidRPr="000C77A2">
              <w:rPr>
                <w:rFonts w:ascii="Arial Narrow" w:eastAsiaTheme="majorEastAsia" w:hAnsi="Arial Narrow" w:cs="Times New Roman"/>
                <w:i/>
                <w:iCs/>
                <w:snapToGrid w:val="0"/>
                <w:sz w:val="20"/>
              </w:rPr>
              <w:t>NTRK</w:t>
            </w:r>
            <w:r w:rsidRPr="000C77A2">
              <w:rPr>
                <w:rFonts w:ascii="Arial Narrow" w:eastAsiaTheme="majorEastAsia" w:hAnsi="Arial Narrow" w:cs="Times New Roman"/>
                <w:snapToGrid w:val="0"/>
                <w:sz w:val="20"/>
              </w:rPr>
              <w:t>-positive locally advanced or metastatic STS</w:t>
            </w:r>
          </w:p>
        </w:tc>
      </w:tr>
      <w:tr w:rsidR="00097911" w:rsidRPr="000C77A2" w14:paraId="56F77D66" w14:textId="77777777" w:rsidTr="00504411">
        <w:tc>
          <w:tcPr>
            <w:tcW w:w="862" w:type="pct"/>
            <w:shd w:val="clear" w:color="auto" w:fill="B8CCE4" w:themeFill="accent1" w:themeFillTint="66"/>
            <w:vAlign w:val="center"/>
          </w:tcPr>
          <w:p w14:paraId="7EB09479"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Type of analysis</w:t>
            </w:r>
          </w:p>
        </w:tc>
        <w:tc>
          <w:tcPr>
            <w:tcW w:w="4138" w:type="pct"/>
            <w:shd w:val="clear" w:color="auto" w:fill="B8CCE4" w:themeFill="accent1" w:themeFillTint="66"/>
            <w:vAlign w:val="center"/>
          </w:tcPr>
          <w:p w14:paraId="573CEA5B" w14:textId="149A9CCD"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Cost-utility analysis and cost-effectiveness analysis. </w:t>
            </w:r>
          </w:p>
        </w:tc>
      </w:tr>
      <w:tr w:rsidR="00097911" w:rsidRPr="000C77A2" w14:paraId="01C2221E" w14:textId="77777777" w:rsidTr="00504411">
        <w:tc>
          <w:tcPr>
            <w:tcW w:w="862" w:type="pct"/>
            <w:shd w:val="clear" w:color="auto" w:fill="B8CCE4" w:themeFill="accent1" w:themeFillTint="66"/>
            <w:vAlign w:val="center"/>
          </w:tcPr>
          <w:p w14:paraId="6F9291CF"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Outcomes</w:t>
            </w:r>
          </w:p>
        </w:tc>
        <w:tc>
          <w:tcPr>
            <w:tcW w:w="4138" w:type="pct"/>
            <w:shd w:val="clear" w:color="auto" w:fill="B8CCE4" w:themeFill="accent1" w:themeFillTint="66"/>
            <w:vAlign w:val="center"/>
          </w:tcPr>
          <w:p w14:paraId="64F0B7A5" w14:textId="5C18AE5F"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Life-years gained; quality-adjusted life years. </w:t>
            </w:r>
          </w:p>
        </w:tc>
      </w:tr>
      <w:tr w:rsidR="00097911" w:rsidRPr="000C77A2" w14:paraId="5C44B0D2" w14:textId="77777777" w:rsidTr="00504411">
        <w:tc>
          <w:tcPr>
            <w:tcW w:w="862" w:type="pct"/>
            <w:shd w:val="clear" w:color="auto" w:fill="auto"/>
            <w:vAlign w:val="center"/>
          </w:tcPr>
          <w:p w14:paraId="0FA37EF7"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Time horizon</w:t>
            </w:r>
          </w:p>
        </w:tc>
        <w:tc>
          <w:tcPr>
            <w:tcW w:w="4138" w:type="pct"/>
            <w:shd w:val="clear" w:color="auto" w:fill="auto"/>
            <w:vAlign w:val="center"/>
          </w:tcPr>
          <w:p w14:paraId="0E4A87B4" w14:textId="58B70D86"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10 years in the model (compared to a median follow-up for OS of 40 months across all patients in the pooled ePAS7 dataset, not reported for the tumour type subgroups). </w:t>
            </w:r>
          </w:p>
        </w:tc>
      </w:tr>
      <w:tr w:rsidR="00097911" w:rsidRPr="000C77A2" w14:paraId="111ECFE1" w14:textId="77777777" w:rsidTr="00504411">
        <w:tc>
          <w:tcPr>
            <w:tcW w:w="862" w:type="pct"/>
            <w:shd w:val="clear" w:color="auto" w:fill="B8CCE4" w:themeFill="accent1" w:themeFillTint="66"/>
            <w:vAlign w:val="center"/>
          </w:tcPr>
          <w:p w14:paraId="52405D7A"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Methods used to generate results</w:t>
            </w:r>
          </w:p>
        </w:tc>
        <w:tc>
          <w:tcPr>
            <w:tcW w:w="4138" w:type="pct"/>
            <w:shd w:val="clear" w:color="auto" w:fill="B8CCE4" w:themeFill="accent1" w:themeFillTint="66"/>
            <w:vAlign w:val="center"/>
          </w:tcPr>
          <w:p w14:paraId="0A4EEE76" w14:textId="3ACE0E42"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Partitioned survival model. </w:t>
            </w:r>
          </w:p>
        </w:tc>
      </w:tr>
      <w:tr w:rsidR="00097911" w:rsidRPr="000C77A2" w14:paraId="40A4CE68" w14:textId="77777777" w:rsidTr="00504411">
        <w:tc>
          <w:tcPr>
            <w:tcW w:w="862" w:type="pct"/>
            <w:shd w:val="clear" w:color="auto" w:fill="B8CCE4" w:themeFill="accent1" w:themeFillTint="66"/>
            <w:vAlign w:val="center"/>
          </w:tcPr>
          <w:p w14:paraId="6619A841"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Health states</w:t>
            </w:r>
          </w:p>
        </w:tc>
        <w:tc>
          <w:tcPr>
            <w:tcW w:w="4138" w:type="pct"/>
            <w:shd w:val="clear" w:color="auto" w:fill="B8CCE4" w:themeFill="accent1" w:themeFillTint="66"/>
            <w:vAlign w:val="center"/>
          </w:tcPr>
          <w:p w14:paraId="0158A454" w14:textId="599994AD"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PF, PP and Dead. </w:t>
            </w:r>
          </w:p>
        </w:tc>
      </w:tr>
      <w:tr w:rsidR="00097911" w:rsidRPr="000C77A2" w14:paraId="1AE4A39A" w14:textId="77777777" w:rsidTr="00504411">
        <w:tc>
          <w:tcPr>
            <w:tcW w:w="862" w:type="pct"/>
            <w:shd w:val="clear" w:color="auto" w:fill="B8CCE4" w:themeFill="accent1" w:themeFillTint="66"/>
            <w:vAlign w:val="center"/>
          </w:tcPr>
          <w:p w14:paraId="0D8F45DA"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Cycle length</w:t>
            </w:r>
          </w:p>
        </w:tc>
        <w:tc>
          <w:tcPr>
            <w:tcW w:w="4138" w:type="pct"/>
            <w:shd w:val="clear" w:color="auto" w:fill="B8CCE4" w:themeFill="accent1" w:themeFillTint="66"/>
            <w:vAlign w:val="center"/>
          </w:tcPr>
          <w:p w14:paraId="4C776182" w14:textId="23A83F9C"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Weekly. </w:t>
            </w:r>
          </w:p>
        </w:tc>
      </w:tr>
      <w:tr w:rsidR="00097911" w:rsidRPr="000C77A2" w14:paraId="2285AD62" w14:textId="77777777" w:rsidTr="00504411">
        <w:tc>
          <w:tcPr>
            <w:tcW w:w="862" w:type="pct"/>
            <w:shd w:val="clear" w:color="auto" w:fill="auto"/>
            <w:vAlign w:val="center"/>
          </w:tcPr>
          <w:p w14:paraId="50650996"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Transition probabilities</w:t>
            </w:r>
          </w:p>
        </w:tc>
        <w:tc>
          <w:tcPr>
            <w:tcW w:w="4138" w:type="pct"/>
            <w:shd w:val="clear" w:color="auto" w:fill="auto"/>
            <w:vAlign w:val="center"/>
          </w:tcPr>
          <w:p w14:paraId="4F2D93A3" w14:textId="3203F3C8"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Health state allocation was derived from extrapolated time-to-event analyses of the </w:t>
            </w:r>
            <w:r w:rsidR="00F25F45" w:rsidRPr="000C77A2">
              <w:rPr>
                <w:rFonts w:ascii="Arial Narrow" w:eastAsiaTheme="majorEastAsia" w:hAnsi="Arial Narrow" w:cs="Times New Roman"/>
                <w:snapToGrid w:val="0"/>
                <w:sz w:val="20"/>
              </w:rPr>
              <w:t xml:space="preserve">lung cancer </w:t>
            </w:r>
            <w:r w:rsidRPr="000C77A2">
              <w:rPr>
                <w:rFonts w:ascii="Arial Narrow" w:eastAsiaTheme="majorEastAsia" w:hAnsi="Arial Narrow" w:cs="Times New Roman"/>
                <w:snapToGrid w:val="0"/>
                <w:sz w:val="20"/>
              </w:rPr>
              <w:t xml:space="preserve">and STS subgroups of ePAS7 and comparator studies (CheckMate 057 for docetaxel and PALETTE for pazopanib). </w:t>
            </w:r>
          </w:p>
        </w:tc>
      </w:tr>
      <w:tr w:rsidR="00097911" w:rsidRPr="000C77A2" w14:paraId="4EDC05F5" w14:textId="77777777" w:rsidTr="00504411">
        <w:tc>
          <w:tcPr>
            <w:tcW w:w="862" w:type="pct"/>
            <w:shd w:val="clear" w:color="auto" w:fill="auto"/>
            <w:vAlign w:val="center"/>
          </w:tcPr>
          <w:p w14:paraId="7D5941EB"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Extrapolation method</w:t>
            </w:r>
          </w:p>
        </w:tc>
        <w:tc>
          <w:tcPr>
            <w:tcW w:w="4138" w:type="pct"/>
            <w:shd w:val="clear" w:color="auto" w:fill="auto"/>
            <w:vAlign w:val="center"/>
          </w:tcPr>
          <w:p w14:paraId="6442D2D9" w14:textId="2CFBC4F1"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KM data was used up until 12 months for PFS and up to 24 months for OS. The selection of these time points was inadequately justified in the resubmission</w:t>
            </w:r>
            <w:r w:rsidR="00F25F45" w:rsidRPr="000C77A2">
              <w:rPr>
                <w:rFonts w:ascii="Arial Narrow" w:eastAsiaTheme="majorEastAsia" w:hAnsi="Arial Narrow" w:cs="Times New Roman"/>
                <w:snapToGrid w:val="0"/>
                <w:sz w:val="20"/>
              </w:rPr>
              <w:t xml:space="preserve">. </w:t>
            </w:r>
            <w:r w:rsidRPr="000C77A2">
              <w:rPr>
                <w:rFonts w:ascii="Arial Narrow" w:eastAsiaTheme="majorEastAsia" w:hAnsi="Arial Narrow" w:cs="Times New Roman"/>
                <w:snapToGrid w:val="0"/>
                <w:sz w:val="20"/>
              </w:rPr>
              <w:t xml:space="preserve">Parametric models were fitted to each treatment arm based on goodness of fit (AIC and BIC). </w:t>
            </w:r>
          </w:p>
          <w:p w14:paraId="729FC00C" w14:textId="77777777" w:rsidR="00097911" w:rsidRPr="000C77A2" w:rsidRDefault="00097911" w:rsidP="00097911">
            <w:pPr>
              <w:keepNext/>
              <w:jc w:val="left"/>
              <w:rPr>
                <w:rFonts w:ascii="Arial Narrow" w:eastAsiaTheme="majorEastAsia" w:hAnsi="Arial Narrow" w:cs="Times New Roman"/>
                <w:snapToGrid w:val="0"/>
                <w:sz w:val="20"/>
              </w:rPr>
            </w:pPr>
          </w:p>
          <w:p w14:paraId="759777CE" w14:textId="57745641"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76% and 84% of the L</w:t>
            </w:r>
            <w:r w:rsidR="00A370D8" w:rsidRPr="000C77A2">
              <w:rPr>
                <w:rFonts w:ascii="Arial Narrow" w:eastAsiaTheme="majorEastAsia" w:hAnsi="Arial Narrow" w:cs="Times New Roman"/>
                <w:snapToGrid w:val="0"/>
                <w:sz w:val="20"/>
              </w:rPr>
              <w:t>Y</w:t>
            </w:r>
            <w:r w:rsidRPr="000C77A2">
              <w:rPr>
                <w:rFonts w:ascii="Arial Narrow" w:eastAsiaTheme="majorEastAsia" w:hAnsi="Arial Narrow" w:cs="Times New Roman"/>
                <w:snapToGrid w:val="0"/>
                <w:sz w:val="20"/>
              </w:rPr>
              <w:t xml:space="preserve">s (undiscounted) for NSCLC and STS were gained in the extrapolated period. </w:t>
            </w:r>
          </w:p>
        </w:tc>
      </w:tr>
      <w:tr w:rsidR="00097911" w:rsidRPr="000C77A2" w14:paraId="3D720158" w14:textId="77777777" w:rsidTr="00504411">
        <w:tc>
          <w:tcPr>
            <w:tcW w:w="862" w:type="pct"/>
            <w:shd w:val="clear" w:color="auto" w:fill="auto"/>
            <w:vAlign w:val="center"/>
          </w:tcPr>
          <w:p w14:paraId="69DD6609" w14:textId="77777777"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Utilities </w:t>
            </w:r>
          </w:p>
        </w:tc>
        <w:tc>
          <w:tcPr>
            <w:tcW w:w="4138" w:type="pct"/>
            <w:shd w:val="clear" w:color="auto" w:fill="auto"/>
            <w:vAlign w:val="center"/>
          </w:tcPr>
          <w:p w14:paraId="6DA065E5" w14:textId="563292C4" w:rsidR="00097911" w:rsidRPr="000C77A2" w:rsidRDefault="00097911" w:rsidP="00097911">
            <w:pPr>
              <w:keepNext/>
              <w:jc w:val="left"/>
              <w:rPr>
                <w:rFonts w:ascii="Arial Narrow" w:eastAsiaTheme="majorEastAsia" w:hAnsi="Arial Narrow" w:cs="Times New Roman"/>
                <w:snapToGrid w:val="0"/>
                <w:sz w:val="20"/>
              </w:rPr>
            </w:pPr>
            <w:r w:rsidRPr="000C77A2">
              <w:rPr>
                <w:rFonts w:ascii="Arial Narrow" w:eastAsiaTheme="majorEastAsia" w:hAnsi="Arial Narrow" w:cs="Times New Roman"/>
                <w:snapToGrid w:val="0"/>
                <w:sz w:val="20"/>
              </w:rPr>
              <w:t xml:space="preserve">Utility values were sourced from the CheckMate 057 trial for NSCLC (PF: 0.713 and PD: 0.688) and from the PALETTE trial for STS patients (PF: 0.674 and PD: 0.568). These were changed from the previous submission (PF: 0.80 and PD: 0.73). </w:t>
            </w:r>
          </w:p>
        </w:tc>
      </w:tr>
    </w:tbl>
    <w:p w14:paraId="59AA703F" w14:textId="1933DBA5" w:rsidR="00097911" w:rsidRPr="000C77A2"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Source: Table 3-1 of the submission.</w:t>
      </w:r>
    </w:p>
    <w:p w14:paraId="7AA11493" w14:textId="77777777" w:rsidR="00097911" w:rsidRPr="000C77A2" w:rsidRDefault="00097911" w:rsidP="00097911">
      <w:pPr>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 xml:space="preserve">AIC = Akaike information criterion; BIC = Bayesian information criterion; KM = Kaplan Meier; LY = life years; NSCLC = non-small cell lung cancer; </w:t>
      </w:r>
      <w:r w:rsidRPr="000C77A2">
        <w:rPr>
          <w:rFonts w:ascii="Arial Narrow" w:hAnsi="Arial Narrow"/>
          <w:i/>
          <w:iCs/>
          <w:snapToGrid w:val="0"/>
          <w:sz w:val="18"/>
          <w:szCs w:val="22"/>
          <w:lang w:eastAsia="en-US"/>
        </w:rPr>
        <w:t>NTRK</w:t>
      </w:r>
      <w:r w:rsidRPr="000C77A2">
        <w:rPr>
          <w:rFonts w:ascii="Arial Narrow" w:hAnsi="Arial Narrow"/>
          <w:snapToGrid w:val="0"/>
          <w:sz w:val="18"/>
          <w:szCs w:val="22"/>
          <w:lang w:eastAsia="en-US"/>
        </w:rPr>
        <w:t xml:space="preserve"> = neurotrophic tropomyosin receptor kinase; OS = overall survival; PP= post progression; PF = progression-free; PFS = progression-free survival; STS = soft tissue sarcoma; QALYs = quality-adjusted life years</w:t>
      </w:r>
    </w:p>
    <w:p w14:paraId="46FF6F44" w14:textId="757DFA04" w:rsidR="00097911" w:rsidRPr="000C77A2" w:rsidRDefault="00097911" w:rsidP="00097911">
      <w:pPr>
        <w:spacing w:after="120"/>
        <w:rPr>
          <w:rFonts w:ascii="Arial Narrow" w:hAnsi="Arial Narrow"/>
          <w:snapToGrid w:val="0"/>
          <w:sz w:val="18"/>
          <w:szCs w:val="22"/>
        </w:rPr>
      </w:pPr>
      <w:r w:rsidRPr="000C77A2">
        <w:rPr>
          <w:rFonts w:ascii="Arial Narrow" w:hAnsi="Arial Narrow"/>
          <w:sz w:val="18"/>
          <w:shd w:val="clear" w:color="auto" w:fill="C6D9F1" w:themeFill="text2" w:themeFillTint="33"/>
        </w:rPr>
        <w:t xml:space="preserve">Blue </w:t>
      </w:r>
      <w:r w:rsidRPr="000C77A2">
        <w:rPr>
          <w:rFonts w:ascii="Arial Narrow" w:hAnsi="Arial Narrow"/>
          <w:sz w:val="18"/>
        </w:rPr>
        <w:t>shading represents information previously considered by the PBAC.</w:t>
      </w:r>
    </w:p>
    <w:p w14:paraId="206E1EE2" w14:textId="0EFE07B1" w:rsidR="00B62EA6" w:rsidRPr="000C77A2" w:rsidRDefault="00097911" w:rsidP="00F25F45">
      <w:pPr>
        <w:pStyle w:val="3-BodyText"/>
        <w:rPr>
          <w:rFonts w:ascii="Arial Narrow" w:hAnsi="Arial Narrow" w:cs="Calibri"/>
          <w:sz w:val="18"/>
          <w:szCs w:val="18"/>
          <w:lang w:eastAsia="en-US"/>
          <w14:ligatures w14:val="standardContextual"/>
        </w:rPr>
      </w:pPr>
      <w:bookmarkStart w:id="46" w:name="_Ref158987385"/>
      <w:r w:rsidRPr="000C77A2">
        <w:t xml:space="preserve">The PBAC previously advised that for adult low </w:t>
      </w:r>
      <w:r w:rsidRPr="000C77A2">
        <w:rPr>
          <w:i/>
          <w:iCs/>
        </w:rPr>
        <w:t>NTRK</w:t>
      </w:r>
      <w:r w:rsidRPr="000C77A2">
        <w:t xml:space="preserve"> fusion frequency tumour types, given there would unlikely be sufficient data forthcoming to address the uncertainty around the effectiveness of larotrectinib, a further price reduction would be required to achieve a cost-effective price. The magnitude of the price reduction advised </w:t>
      </w:r>
      <w:r w:rsidR="00A370D8" w:rsidRPr="000C77A2">
        <w:t xml:space="preserve">was </w:t>
      </w:r>
      <w:r w:rsidRPr="000C77A2">
        <w:t xml:space="preserve">to achieve an ICER within the range of </w:t>
      </w:r>
      <w:r w:rsidR="002B1946" w:rsidRPr="002B1946">
        <w:t>$55,000 to &lt; $75,000</w:t>
      </w:r>
      <w:r w:rsidRPr="000C77A2">
        <w:t xml:space="preserve">/QALY to </w:t>
      </w:r>
      <w:r w:rsidR="002B1946" w:rsidRPr="002B1946">
        <w:t>$75,000</w:t>
      </w:r>
      <w:r w:rsidR="003E6FD3">
        <w:t> </w:t>
      </w:r>
      <w:r w:rsidR="002B1946" w:rsidRPr="002B1946">
        <w:t>to &lt;</w:t>
      </w:r>
      <w:r w:rsidR="00326FBC">
        <w:t> </w:t>
      </w:r>
      <w:r w:rsidR="002B1946" w:rsidRPr="002B1946">
        <w:t>$95,000</w:t>
      </w:r>
      <w:r w:rsidRPr="000C77A2">
        <w:t xml:space="preserve">/QALY using more conservative extrapolations and a shorter time horizon. While the time horizon applied in the resubmission was reduced (from 15 years to </w:t>
      </w:r>
      <w:r w:rsidR="00326FBC" w:rsidRPr="000C77A2">
        <w:t>10</w:t>
      </w:r>
      <w:r w:rsidR="00326FBC">
        <w:t> </w:t>
      </w:r>
      <w:r w:rsidRPr="000C77A2">
        <w:t xml:space="preserve">years), the resubmission did not apply the most conservative parametric extrapolations for OS and PFS, nor was a further price reduction proposed. The resulting incremental cost-effectiveness ratios (ICERs) presented </w:t>
      </w:r>
      <w:r w:rsidR="002B1946">
        <w:t>(</w:t>
      </w:r>
      <w:r w:rsidR="002B1946" w:rsidRPr="002B1946">
        <w:t>$135,000</w:t>
      </w:r>
      <w:r w:rsidR="003E6FD3">
        <w:t> </w:t>
      </w:r>
      <w:r w:rsidR="002B1946" w:rsidRPr="002B1946">
        <w:t>to &lt;</w:t>
      </w:r>
      <w:r w:rsidR="00326FBC">
        <w:t> </w:t>
      </w:r>
      <w:r w:rsidR="002B1946" w:rsidRPr="002B1946">
        <w:t>$155,000</w:t>
      </w:r>
      <w:r w:rsidR="002B1946">
        <w:t xml:space="preserve"> </w:t>
      </w:r>
      <w:r w:rsidRPr="000C77A2">
        <w:t xml:space="preserve">in NSCLC, and </w:t>
      </w:r>
      <w:r w:rsidR="002B1946" w:rsidRPr="002B1946">
        <w:t>$95,000 to &lt;</w:t>
      </w:r>
      <w:r w:rsidR="00326FBC">
        <w:t> </w:t>
      </w:r>
      <w:r w:rsidR="002B1946" w:rsidRPr="002B1946">
        <w:t xml:space="preserve">$115,000 </w:t>
      </w:r>
      <w:r w:rsidRPr="000C77A2">
        <w:t xml:space="preserve">in STS) exceeded the range the PBAC </w:t>
      </w:r>
      <w:r w:rsidRPr="000C77A2">
        <w:lastRenderedPageBreak/>
        <w:t>had previously considered cost-effective.</w:t>
      </w:r>
      <w:bookmarkEnd w:id="46"/>
      <w:r w:rsidRPr="000C77A2">
        <w:t xml:space="preserve"> </w:t>
      </w:r>
      <w:r w:rsidR="00B62EA6" w:rsidRPr="000C77A2">
        <w:t xml:space="preserve">The pre-PBAC response proposed a price reduction with resulted in an ICER of </w:t>
      </w:r>
      <w:r w:rsidR="008D3128" w:rsidRPr="008D3128">
        <w:t>$95,000 to &lt;</w:t>
      </w:r>
      <w:r w:rsidR="00326FBC">
        <w:t> </w:t>
      </w:r>
      <w:r w:rsidR="008D3128" w:rsidRPr="008D3128">
        <w:t xml:space="preserve">$115,000 </w:t>
      </w:r>
      <w:r w:rsidR="00B62EA6" w:rsidRPr="000C77A2">
        <w:t xml:space="preserve">per QALY gained for NSCLC and </w:t>
      </w:r>
      <w:r w:rsidR="002B1946" w:rsidRPr="002B1946">
        <w:rPr>
          <w:snapToGrid/>
        </w:rPr>
        <w:t>$75,000 to &lt;</w:t>
      </w:r>
      <w:r w:rsidR="00326FBC">
        <w:rPr>
          <w:snapToGrid/>
        </w:rPr>
        <w:t> </w:t>
      </w:r>
      <w:r w:rsidR="002B1946" w:rsidRPr="002B1946">
        <w:rPr>
          <w:snapToGrid/>
        </w:rPr>
        <w:t>$95,000</w:t>
      </w:r>
      <w:r w:rsidR="002B1946">
        <w:rPr>
          <w:snapToGrid/>
        </w:rPr>
        <w:t xml:space="preserve"> </w:t>
      </w:r>
      <w:r w:rsidR="00B62EA6" w:rsidRPr="000C77A2">
        <w:t>per QALY gained for STS.</w:t>
      </w:r>
    </w:p>
    <w:p w14:paraId="03EA7EBF" w14:textId="506619FD" w:rsidR="00097911" w:rsidRPr="000C77A2" w:rsidRDefault="00097911" w:rsidP="005522CB">
      <w:pPr>
        <w:pStyle w:val="3-BodyText"/>
      </w:pPr>
      <w:r w:rsidRPr="000C77A2">
        <w:t xml:space="preserve">In addition to updating the larotrectinib data used in the model (from the July 2020 data cut to the July 2022 data cut), the main additional changes included in the resubmission’s model were changing the comparator in STS to pazopanib (from dacarbazine previously) and excluding </w:t>
      </w:r>
      <w:r w:rsidRPr="000C77A2">
        <w:rPr>
          <w:i/>
          <w:iCs/>
        </w:rPr>
        <w:t>NTRK</w:t>
      </w:r>
      <w:r w:rsidRPr="000C77A2">
        <w:t xml:space="preserve"> testing.</w:t>
      </w:r>
      <w:r w:rsidRPr="000C77A2">
        <w:rPr>
          <w:i/>
          <w:iCs/>
        </w:rPr>
        <w:t xml:space="preserve"> </w:t>
      </w:r>
      <w:proofErr w:type="gramStart"/>
      <w:r w:rsidRPr="000C77A2">
        <w:t>A number of</w:t>
      </w:r>
      <w:proofErr w:type="gramEnd"/>
      <w:r w:rsidRPr="000C77A2">
        <w:t xml:space="preserve"> other changes were additionally made, including using tumour-specific health state utility values, excluding costs and disutility due to A</w:t>
      </w:r>
      <w:r w:rsidR="00A370D8" w:rsidRPr="000C77A2">
        <w:t>E</w:t>
      </w:r>
      <w:r w:rsidRPr="000C77A2">
        <w:t xml:space="preserve">s and excluding terminal care costs. </w:t>
      </w:r>
      <w:r w:rsidR="005522CB" w:rsidRPr="000C77A2">
        <w:t xml:space="preserve">While the proposed AEMP for larotrectinib was unchanged in the resubmission, the average daily dose applied was increased from 188.6 mg per day to 200 mg. </w:t>
      </w:r>
      <w:r w:rsidRPr="000C77A2">
        <w:t xml:space="preserve">These changes were in general observed to increase the ICER relative to estimates and assumptions presented previously (see </w:t>
      </w:r>
      <w:r w:rsidRPr="000C77A2">
        <w:fldChar w:fldCharType="begin" w:fldLock="1"/>
      </w:r>
      <w:r w:rsidRPr="000C77A2">
        <w:instrText xml:space="preserve"> REF _Ref155626121 \h </w:instrText>
      </w:r>
      <w:r w:rsidR="00BE3AE8" w:rsidRPr="000C77A2">
        <w:instrText xml:space="preserve"> \* MERGEFORMAT </w:instrText>
      </w:r>
      <w:r w:rsidRPr="000C77A2">
        <w:fldChar w:fldCharType="separate"/>
      </w:r>
      <w:r w:rsidR="001B0FE7" w:rsidRPr="001B0FE7">
        <w:t>Table 19</w:t>
      </w:r>
      <w:r w:rsidRPr="000C77A2">
        <w:fldChar w:fldCharType="end"/>
      </w:r>
      <w:r w:rsidRPr="000C77A2">
        <w:t xml:space="preserve"> and </w:t>
      </w:r>
      <w:r w:rsidRPr="000C77A2">
        <w:fldChar w:fldCharType="begin" w:fldLock="1"/>
      </w:r>
      <w:r w:rsidRPr="000C77A2">
        <w:instrText xml:space="preserve"> REF _Ref155626126 \h </w:instrText>
      </w:r>
      <w:r w:rsidR="00BE3AE8" w:rsidRPr="000C77A2">
        <w:instrText xml:space="preserve"> \* MERGEFORMAT </w:instrText>
      </w:r>
      <w:r w:rsidRPr="000C77A2">
        <w:fldChar w:fldCharType="separate"/>
      </w:r>
      <w:r w:rsidR="001B0FE7" w:rsidRPr="001B0FE7">
        <w:t>Table 20</w:t>
      </w:r>
      <w:r w:rsidRPr="000C77A2">
        <w:fldChar w:fldCharType="end"/>
      </w:r>
      <w:r w:rsidRPr="000C77A2">
        <w:t>).</w:t>
      </w:r>
    </w:p>
    <w:p w14:paraId="560D2620" w14:textId="4983086E"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In each of the NSCLC and STS analyses, modelled </w:t>
      </w:r>
      <w:proofErr w:type="gramStart"/>
      <w:r w:rsidRPr="000C77A2">
        <w:rPr>
          <w:rFonts w:asciiTheme="minorHAnsi" w:hAnsiTheme="minorHAnsi"/>
          <w:snapToGrid w:val="0"/>
        </w:rPr>
        <w:t>costs</w:t>
      </w:r>
      <w:proofErr w:type="gramEnd"/>
      <w:r w:rsidRPr="000C77A2">
        <w:rPr>
          <w:rFonts w:asciiTheme="minorHAnsi" w:hAnsiTheme="minorHAnsi"/>
          <w:snapToGrid w:val="0"/>
        </w:rPr>
        <w:t xml:space="preserve"> and outcomes from larotrectinib or SoC treatment were generated through a partitioned survival analysis which allocated patients across three mutually exclusive health states: progression-free, progressed disease and dead. For patients treated with larotrectinib, health state allocation over the model time horizon was derived from the PFS and OS curves for the subgroups (lung and STS subgroups) of the ePAS7 pooled dataset. These subgroups were noted to include a small number of patients (</w:t>
      </w:r>
      <w:r w:rsidRPr="000C77A2">
        <w:rPr>
          <w:rFonts w:asciiTheme="minorHAnsi" w:hAnsiTheme="minorHAnsi" w:cstheme="minorHAnsi"/>
          <w:snapToGrid w:val="0"/>
        </w:rPr>
        <w:t xml:space="preserve">≤ 30) and so </w:t>
      </w:r>
      <w:r w:rsidRPr="000C77A2">
        <w:rPr>
          <w:rFonts w:asciiTheme="minorHAnsi" w:hAnsiTheme="minorHAnsi"/>
          <w:snapToGrid w:val="0"/>
        </w:rPr>
        <w:t xml:space="preserve">are associated with substantial uncertainty. For docetaxel and pazopanib, health state allocation was derived from the survival curves from the Checkmate 057 and PALETTE trials respectively. </w:t>
      </w:r>
    </w:p>
    <w:p w14:paraId="2E0A720B" w14:textId="3C895DA7"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Observed Kaplan-Meier data for PFS and OS were used until 12 and 24 months respectively. The selection of these time points was not justified in the resubmission. Given that the PBAC Guidelines state a preference for observed data to be used until unreliable, the </w:t>
      </w:r>
      <w:r w:rsidR="00B62EA6" w:rsidRPr="000C77A2">
        <w:rPr>
          <w:rFonts w:asciiTheme="minorHAnsi" w:hAnsiTheme="minorHAnsi"/>
          <w:snapToGrid w:val="0"/>
        </w:rPr>
        <w:t xml:space="preserve">evaluation considered the </w:t>
      </w:r>
      <w:r w:rsidRPr="000C77A2">
        <w:rPr>
          <w:rFonts w:asciiTheme="minorHAnsi" w:hAnsiTheme="minorHAnsi"/>
          <w:snapToGrid w:val="0"/>
        </w:rPr>
        <w:t>application of the same truncation time point across tumour type and treatment received may not be reasonable. Given the small number of patients treated with larotrectinib and small number of events experienced, the use of only modelled data may be more appropriate. However, the analyses are not sensitive to this change.</w:t>
      </w:r>
    </w:p>
    <w:p w14:paraId="61C5D3CE" w14:textId="79AA6E95"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Beyond these time points, survival data were extrapolated using parametric functions chosen based on the goodness of fit by AIC/BIC. </w:t>
      </w:r>
      <w:r w:rsidRPr="000C77A2">
        <w:rPr>
          <w:rFonts w:asciiTheme="minorHAnsi" w:hAnsiTheme="minorHAnsi" w:cstheme="minorHAnsi"/>
          <w:snapToGrid w:val="0"/>
        </w:rPr>
        <w:t>Exponential models were chosen to extrapolate larotrectinib OS (in both NSCLC and STS), while log-normal models were used to extrapolate OS for docetaxel and pazopanib.</w:t>
      </w:r>
      <w:r w:rsidRPr="000C77A2">
        <w:rPr>
          <w:rFonts w:asciiTheme="minorHAnsi" w:hAnsiTheme="minorHAnsi" w:cstheme="minorHAnsi"/>
          <w:i/>
          <w:iCs/>
          <w:snapToGrid w:val="0"/>
        </w:rPr>
        <w:t xml:space="preserve"> </w:t>
      </w:r>
      <w:r w:rsidRPr="000C77A2">
        <w:rPr>
          <w:rFonts w:asciiTheme="minorHAnsi" w:hAnsiTheme="minorHAnsi" w:cstheme="minorHAnsi"/>
          <w:snapToGrid w:val="0"/>
        </w:rPr>
        <w:t>The PBAC previously considered that the most conservative OS and PFS extrapolations should be used (para 6.73, larotrectinib PSD, November 2020</w:t>
      </w:r>
      <w:r w:rsidR="00B62EA6" w:rsidRPr="000C77A2">
        <w:rPr>
          <w:rFonts w:asciiTheme="minorHAnsi" w:hAnsiTheme="minorHAnsi" w:cstheme="minorHAnsi"/>
          <w:snapToGrid w:val="0"/>
        </w:rPr>
        <w:t xml:space="preserve"> PBAC meeting</w:t>
      </w:r>
      <w:r w:rsidRPr="000C77A2">
        <w:rPr>
          <w:rFonts w:asciiTheme="minorHAnsi" w:hAnsiTheme="minorHAnsi" w:cstheme="minorHAnsi"/>
          <w:snapToGrid w:val="0"/>
        </w:rPr>
        <w:t xml:space="preserve">). The most conservative extrapolations and best fitting models by visual inspection were Weibull and Gompertz for larotrectinib (for NSCLC and STS patients, respectively), and log-logistic for docetaxel and pazopanib. The ICERs are moderately sensitive to the use of the most conservative extrapolations (see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_Ref155598536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rPr>
          <w:rFonts w:asciiTheme="minorHAnsi" w:hAnsiTheme="minorHAnsi" w:cstheme="minorHAnsi"/>
        </w:rPr>
        <w:t>Table 22</w:t>
      </w:r>
      <w:r w:rsidRPr="000C77A2">
        <w:rPr>
          <w:rFonts w:asciiTheme="minorHAnsi" w:hAnsiTheme="minorHAnsi" w:cstheme="minorHAnsi"/>
          <w:snapToGrid w:val="0"/>
        </w:rPr>
        <w:fldChar w:fldCharType="end"/>
      </w:r>
      <w:r w:rsidRPr="000C77A2">
        <w:rPr>
          <w:rFonts w:asciiTheme="minorHAnsi" w:hAnsiTheme="minorHAnsi" w:cstheme="minorHAnsi"/>
          <w:snapToGrid w:val="0"/>
        </w:rPr>
        <w:t xml:space="preserve"> and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_Ref155612022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t>Table 23</w:t>
      </w:r>
      <w:r w:rsidRPr="000C77A2">
        <w:rPr>
          <w:rFonts w:asciiTheme="minorHAnsi" w:hAnsiTheme="minorHAnsi" w:cstheme="minorHAnsi"/>
          <w:snapToGrid w:val="0"/>
        </w:rPr>
        <w:fldChar w:fldCharType="end"/>
      </w:r>
      <w:r w:rsidRPr="000C77A2">
        <w:rPr>
          <w:rFonts w:asciiTheme="minorHAnsi" w:hAnsiTheme="minorHAnsi" w:cstheme="minorHAnsi"/>
          <w:snapToGrid w:val="0"/>
        </w:rPr>
        <w:t>)</w:t>
      </w:r>
      <w:r w:rsidR="000C77A2">
        <w:rPr>
          <w:rFonts w:asciiTheme="minorHAnsi" w:hAnsiTheme="minorHAnsi" w:cstheme="minorHAnsi"/>
          <w:snapToGrid w:val="0"/>
        </w:rPr>
        <w:t xml:space="preserve">. </w:t>
      </w:r>
    </w:p>
    <w:p w14:paraId="7D5B6E6F" w14:textId="0C8A0671"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lastRenderedPageBreak/>
        <w:t>Extrapolated survival data were used to determine health state membership over the modelled time horizon of 10 years. This was reduced from 15 years used previously.</w:t>
      </w:r>
      <w:r w:rsidRPr="000C77A2">
        <w:rPr>
          <w:rFonts w:asciiTheme="minorHAnsi" w:hAnsiTheme="minorHAnsi"/>
          <w:i/>
          <w:iCs/>
          <w:snapToGrid w:val="0"/>
        </w:rPr>
        <w:t xml:space="preserve"> </w:t>
      </w:r>
      <w:r w:rsidRPr="000C77A2">
        <w:rPr>
          <w:rFonts w:asciiTheme="minorHAnsi" w:hAnsiTheme="minorHAnsi"/>
          <w:snapToGrid w:val="0"/>
        </w:rPr>
        <w:t xml:space="preserve">The resubmission justified the choice of time horizon based on the additional follow-up data in the pooled ePAS7 dataset (40 months median follow-up for OS). Follow-up times from the overall pooled dataset may have limited applicability to those of the subgroups of interest (NSCLC and STS). Further, the chosen time horizon remains substantially longer than what the PBAC have previously accepted in the later-line setting of NSCLC (para 6.57 larotrectinib PSD, November 2021 PBAC meeting; 6.06 pembrolizumab PSD, March 2019 PBAC meeting) and STS (para 6.30, eribulin PSD, November 2016 PBAC meeting), a shorter time horizon of 5 or 6 years may have been more appropriate. As depicted in </w:t>
      </w:r>
      <w:r w:rsidRPr="000C77A2">
        <w:rPr>
          <w:rFonts w:asciiTheme="minorHAnsi" w:hAnsiTheme="minorHAnsi"/>
          <w:snapToGrid w:val="0"/>
        </w:rPr>
        <w:fldChar w:fldCharType="begin" w:fldLock="1"/>
      </w:r>
      <w:r w:rsidRPr="000C77A2">
        <w:rPr>
          <w:rFonts w:asciiTheme="minorHAnsi" w:hAnsiTheme="minorHAnsi"/>
          <w:snapToGrid w:val="0"/>
        </w:rPr>
        <w:instrText xml:space="preserve"> REF _Ref155626238 \h  \* MERGEFORMAT </w:instrText>
      </w:r>
      <w:r w:rsidRPr="000C77A2">
        <w:rPr>
          <w:rFonts w:asciiTheme="minorHAnsi" w:hAnsiTheme="minorHAnsi"/>
          <w:snapToGrid w:val="0"/>
        </w:rPr>
      </w:r>
      <w:r w:rsidRPr="000C77A2">
        <w:rPr>
          <w:rFonts w:asciiTheme="minorHAnsi" w:hAnsiTheme="minorHAnsi"/>
          <w:snapToGrid w:val="0"/>
        </w:rPr>
        <w:fldChar w:fldCharType="separate"/>
      </w:r>
      <w:r w:rsidR="001B0FE7" w:rsidRPr="001B0FE7">
        <w:t>Table 13</w:t>
      </w:r>
      <w:r w:rsidRPr="000C77A2">
        <w:rPr>
          <w:rFonts w:asciiTheme="minorHAnsi" w:hAnsiTheme="minorHAnsi"/>
          <w:snapToGrid w:val="0"/>
        </w:rPr>
        <w:fldChar w:fldCharType="end"/>
      </w:r>
      <w:r w:rsidRPr="000C77A2">
        <w:rPr>
          <w:rFonts w:asciiTheme="minorHAnsi" w:hAnsiTheme="minorHAnsi"/>
          <w:snapToGrid w:val="0"/>
        </w:rPr>
        <w:t xml:space="preserve">, </w:t>
      </w:r>
      <w:proofErr w:type="gramStart"/>
      <w:r w:rsidRPr="000C77A2">
        <w:rPr>
          <w:rFonts w:asciiTheme="minorHAnsi" w:hAnsiTheme="minorHAnsi"/>
          <w:snapToGrid w:val="0"/>
        </w:rPr>
        <w:t>the majority of</w:t>
      </w:r>
      <w:proofErr w:type="gramEnd"/>
      <w:r w:rsidRPr="000C77A2">
        <w:rPr>
          <w:rFonts w:asciiTheme="minorHAnsi" w:hAnsiTheme="minorHAnsi"/>
          <w:snapToGrid w:val="0"/>
        </w:rPr>
        <w:t xml:space="preserve"> the life years (undiscounted) gained</w:t>
      </w:r>
      <w:r w:rsidRPr="000C77A2">
        <w:rPr>
          <w:rFonts w:asciiTheme="minorHAnsi" w:eastAsiaTheme="majorEastAsia" w:hAnsiTheme="minorHAnsi"/>
          <w:snapToGrid w:val="0"/>
        </w:rPr>
        <w:t xml:space="preserve"> (</w:t>
      </w:r>
      <w:r w:rsidRPr="000C77A2">
        <w:rPr>
          <w:rFonts w:asciiTheme="minorHAnsi" w:eastAsiaTheme="majorEastAsia" w:hAnsiTheme="minorHAnsi" w:cstheme="minorHAnsi"/>
          <w:bCs/>
          <w:snapToGrid w:val="0"/>
          <w:szCs w:val="32"/>
        </w:rPr>
        <w:t>76% for NSCLC and 84% for STS) were gained in the extrapolated period</w:t>
      </w:r>
      <w:r w:rsidR="000C77A2">
        <w:rPr>
          <w:rFonts w:asciiTheme="minorHAnsi" w:eastAsiaTheme="majorEastAsia" w:hAnsiTheme="minorHAnsi" w:cstheme="minorHAnsi"/>
          <w:bCs/>
          <w:snapToGrid w:val="0"/>
          <w:szCs w:val="32"/>
        </w:rPr>
        <w:t xml:space="preserve">. </w:t>
      </w:r>
    </w:p>
    <w:p w14:paraId="37A8880B" w14:textId="289F4AC9" w:rsidR="00097911" w:rsidRPr="000C77A2" w:rsidRDefault="00097911" w:rsidP="00097911">
      <w:pPr>
        <w:keepNext/>
        <w:keepLines/>
        <w:rPr>
          <w:rFonts w:ascii="Arial Narrow" w:hAnsi="Arial Narrow"/>
          <w:b/>
          <w:bCs/>
          <w:sz w:val="20"/>
          <w:szCs w:val="18"/>
        </w:rPr>
      </w:pPr>
      <w:bookmarkStart w:id="47" w:name="_Ref155626238"/>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13</w:t>
      </w:r>
      <w:r w:rsidRPr="00576FA3">
        <w:rPr>
          <w:rFonts w:ascii="Arial Narrow" w:hAnsi="Arial Narrow"/>
          <w:b/>
          <w:bCs/>
          <w:sz w:val="20"/>
          <w:szCs w:val="18"/>
        </w:rPr>
        <w:fldChar w:fldCharType="end"/>
      </w:r>
      <w:bookmarkEnd w:id="47"/>
      <w:r w:rsidRPr="000C77A2">
        <w:rPr>
          <w:rFonts w:ascii="Arial Narrow" w:hAnsi="Arial Narrow"/>
          <w:b/>
          <w:bCs/>
          <w:sz w:val="20"/>
          <w:szCs w:val="18"/>
        </w:rPr>
        <w:t>: Life-years gained over the modelled time horizon by tumour type</w:t>
      </w:r>
    </w:p>
    <w:tbl>
      <w:tblPr>
        <w:tblStyle w:val="TableGrid"/>
        <w:tblW w:w="5000" w:type="pct"/>
        <w:tblLook w:val="04A0" w:firstRow="1" w:lastRow="0" w:firstColumn="1" w:lastColumn="0" w:noHBand="0" w:noVBand="1"/>
        <w:tblCaption w:val="Table 13: Life-years gained over the modelled time horizon by tumour type"/>
      </w:tblPr>
      <w:tblGrid>
        <w:gridCol w:w="1322"/>
        <w:gridCol w:w="7695"/>
      </w:tblGrid>
      <w:tr w:rsidR="00097911" w:rsidRPr="000C77A2" w14:paraId="47982B85" w14:textId="77777777" w:rsidTr="00122531">
        <w:tc>
          <w:tcPr>
            <w:tcW w:w="834" w:type="pct"/>
          </w:tcPr>
          <w:p w14:paraId="5777E13E" w14:textId="65689EB4" w:rsidR="00097911" w:rsidRPr="00576FA3" w:rsidRDefault="00CC1605"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Tumour</w:t>
            </w:r>
            <w:r w:rsidR="00097911" w:rsidRPr="00576FA3">
              <w:rPr>
                <w:rFonts w:ascii="Arial Narrow" w:eastAsiaTheme="majorEastAsia" w:hAnsi="Arial Narrow" w:cs="Times New Roman"/>
                <w:b/>
                <w:sz w:val="20"/>
              </w:rPr>
              <w:t xml:space="preserve"> type</w:t>
            </w:r>
          </w:p>
        </w:tc>
        <w:tc>
          <w:tcPr>
            <w:tcW w:w="4166" w:type="pct"/>
          </w:tcPr>
          <w:p w14:paraId="2D08D9CC"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Life-years gained (undiscounted)</w:t>
            </w:r>
          </w:p>
        </w:tc>
      </w:tr>
      <w:tr w:rsidR="00097911" w:rsidRPr="000C77A2" w14:paraId="6BEBBE5A" w14:textId="77777777" w:rsidTr="003E6FD3">
        <w:trPr>
          <w:trHeight w:val="3402"/>
        </w:trPr>
        <w:tc>
          <w:tcPr>
            <w:tcW w:w="834" w:type="pct"/>
          </w:tcPr>
          <w:p w14:paraId="33CA60F0"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 xml:space="preserve">Adult </w:t>
            </w:r>
            <w:r w:rsidRPr="000C77A2">
              <w:rPr>
                <w:rFonts w:ascii="Arial Narrow" w:eastAsiaTheme="majorEastAsia" w:hAnsi="Arial Narrow" w:cstheme="majorBidi"/>
                <w:b/>
                <w:i/>
                <w:iCs/>
                <w:sz w:val="20"/>
              </w:rPr>
              <w:t xml:space="preserve">NTRK </w:t>
            </w:r>
            <w:r w:rsidRPr="000C77A2">
              <w:rPr>
                <w:rFonts w:ascii="Arial Narrow" w:eastAsiaTheme="majorEastAsia" w:hAnsi="Arial Narrow" w:cstheme="majorBidi"/>
                <w:b/>
                <w:sz w:val="20"/>
              </w:rPr>
              <w:t>positive NSCLC</w:t>
            </w:r>
          </w:p>
        </w:tc>
        <w:tc>
          <w:tcPr>
            <w:tcW w:w="4166" w:type="pct"/>
          </w:tcPr>
          <w:p w14:paraId="75F5A5EF" w14:textId="3EC13D59" w:rsidR="00097911" w:rsidRPr="000C77A2" w:rsidRDefault="00097911" w:rsidP="003E6FD3">
            <w:pPr>
              <w:keepNext/>
              <w:jc w:val="left"/>
              <w:rPr>
                <w:rFonts w:ascii="Arial Narrow" w:hAnsi="Arial Narrow"/>
                <w:sz w:val="18"/>
                <w:szCs w:val="22"/>
              </w:rPr>
            </w:pPr>
            <w:r w:rsidRPr="005C58C7">
              <w:rPr>
                <w:rFonts w:ascii="Arial Narrow" w:hAnsi="Arial Narrow"/>
                <w:noProof/>
                <w:sz w:val="18"/>
                <w:szCs w:val="22"/>
              </w:rPr>
              <w:drawing>
                <wp:inline distT="0" distB="0" distL="0" distR="0" wp14:anchorId="7CA23F1B" wp14:editId="37E1F074">
                  <wp:extent cx="4749743" cy="2752725"/>
                  <wp:effectExtent l="0" t="0" r="0" b="0"/>
                  <wp:docPr id="1976521340" name="Picture 1" descr="Life-years gained (undiscounted) in Adult NTRK positive NS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1340" name="Picture 1" descr="Life-years gained (undiscounted) in Adult NTRK positive NSCLC"/>
                          <pic:cNvPicPr/>
                        </pic:nvPicPr>
                        <pic:blipFill>
                          <a:blip r:embed="rId12"/>
                          <a:stretch>
                            <a:fillRect/>
                          </a:stretch>
                        </pic:blipFill>
                        <pic:spPr>
                          <a:xfrm>
                            <a:off x="0" y="0"/>
                            <a:ext cx="4757364" cy="2757142"/>
                          </a:xfrm>
                          <a:prstGeom prst="rect">
                            <a:avLst/>
                          </a:prstGeom>
                        </pic:spPr>
                      </pic:pic>
                    </a:graphicData>
                  </a:graphic>
                </wp:inline>
              </w:drawing>
            </w:r>
          </w:p>
        </w:tc>
      </w:tr>
      <w:tr w:rsidR="00097911" w:rsidRPr="000C77A2" w14:paraId="1C16D775" w14:textId="77777777" w:rsidTr="00122531">
        <w:tc>
          <w:tcPr>
            <w:tcW w:w="834" w:type="pct"/>
          </w:tcPr>
          <w:p w14:paraId="4DF27EB3"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 xml:space="preserve">Adult </w:t>
            </w:r>
            <w:r w:rsidRPr="000C77A2">
              <w:rPr>
                <w:rFonts w:ascii="Arial Narrow" w:eastAsiaTheme="majorEastAsia" w:hAnsi="Arial Narrow" w:cstheme="majorBidi"/>
                <w:b/>
                <w:i/>
                <w:iCs/>
                <w:sz w:val="20"/>
              </w:rPr>
              <w:t xml:space="preserve">NTRK </w:t>
            </w:r>
            <w:r w:rsidRPr="000C77A2">
              <w:rPr>
                <w:rFonts w:ascii="Arial Narrow" w:eastAsiaTheme="majorEastAsia" w:hAnsi="Arial Narrow" w:cstheme="majorBidi"/>
                <w:b/>
                <w:sz w:val="20"/>
              </w:rPr>
              <w:t>positive STS</w:t>
            </w:r>
          </w:p>
        </w:tc>
        <w:tc>
          <w:tcPr>
            <w:tcW w:w="4166" w:type="pct"/>
          </w:tcPr>
          <w:p w14:paraId="6AF38A8B" w14:textId="02D1156B" w:rsidR="00097911" w:rsidRPr="000C77A2" w:rsidRDefault="00097911" w:rsidP="003E6FD3">
            <w:pPr>
              <w:keepNext/>
              <w:jc w:val="left"/>
              <w:rPr>
                <w:rFonts w:ascii="Arial Narrow" w:hAnsi="Arial Narrow"/>
                <w:sz w:val="18"/>
                <w:szCs w:val="22"/>
              </w:rPr>
            </w:pPr>
            <w:r w:rsidRPr="005C58C7">
              <w:rPr>
                <w:rFonts w:ascii="Arial Narrow" w:hAnsi="Arial Narrow"/>
                <w:noProof/>
                <w:sz w:val="18"/>
                <w:szCs w:val="22"/>
              </w:rPr>
              <w:drawing>
                <wp:inline distT="0" distB="0" distL="0" distR="0" wp14:anchorId="19947E61" wp14:editId="30086A18">
                  <wp:extent cx="4748400" cy="2869245"/>
                  <wp:effectExtent l="0" t="0" r="0" b="0"/>
                  <wp:docPr id="615727850" name="Picture 2" descr="Life-years gained (undiscounted) in Adult NTRK positive 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27850" name="Picture 2" descr="Life-years gained (undiscounted) in Adult NTRK positive STS"/>
                          <pic:cNvPicPr/>
                        </pic:nvPicPr>
                        <pic:blipFill>
                          <a:blip r:embed="rId13"/>
                          <a:stretch>
                            <a:fillRect/>
                          </a:stretch>
                        </pic:blipFill>
                        <pic:spPr>
                          <a:xfrm>
                            <a:off x="0" y="0"/>
                            <a:ext cx="4748400" cy="2869245"/>
                          </a:xfrm>
                          <a:prstGeom prst="rect">
                            <a:avLst/>
                          </a:prstGeom>
                        </pic:spPr>
                      </pic:pic>
                    </a:graphicData>
                  </a:graphic>
                </wp:inline>
              </w:drawing>
            </w:r>
          </w:p>
        </w:tc>
      </w:tr>
    </w:tbl>
    <w:p w14:paraId="335458C7" w14:textId="77777777" w:rsidR="00097911" w:rsidRPr="000C77A2"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Source: constructed during evaluation from the “Attachment 3.1 – Section 3 Workbook – cost effectiveness model” workbook provided in the submission.</w:t>
      </w:r>
    </w:p>
    <w:p w14:paraId="67B8673F" w14:textId="4B1F4F81" w:rsidR="00747BD0" w:rsidRPr="000C77A2" w:rsidRDefault="00097911" w:rsidP="00326FBC">
      <w:pPr>
        <w:spacing w:after="120"/>
        <w:rPr>
          <w:rFonts w:ascii="Arial Narrow" w:hAnsi="Arial Narrow"/>
          <w:snapToGrid w:val="0"/>
          <w:sz w:val="18"/>
          <w:szCs w:val="22"/>
          <w:lang w:eastAsia="en-US"/>
        </w:rPr>
      </w:pPr>
      <w:r w:rsidRPr="000C77A2">
        <w:rPr>
          <w:rFonts w:ascii="Arial Narrow" w:hAnsi="Arial Narrow"/>
          <w:snapToGrid w:val="0"/>
          <w:sz w:val="18"/>
          <w:szCs w:val="22"/>
          <w:lang w:eastAsia="en-US"/>
        </w:rPr>
        <w:t>L</w:t>
      </w:r>
      <w:r w:rsidR="00292657" w:rsidRPr="000C77A2">
        <w:rPr>
          <w:rFonts w:ascii="Arial Narrow" w:hAnsi="Arial Narrow"/>
          <w:snapToGrid w:val="0"/>
          <w:sz w:val="18"/>
          <w:szCs w:val="22"/>
          <w:lang w:eastAsia="en-US"/>
        </w:rPr>
        <w:t>y</w:t>
      </w:r>
      <w:r w:rsidRPr="000C77A2">
        <w:rPr>
          <w:rFonts w:ascii="Arial Narrow" w:hAnsi="Arial Narrow"/>
          <w:snapToGrid w:val="0"/>
          <w:sz w:val="18"/>
          <w:szCs w:val="22"/>
          <w:lang w:eastAsia="en-US"/>
        </w:rPr>
        <w:t>s = life-years; NSCLC = non-small cell lung cancer; STS = soft tissue sarcoma</w:t>
      </w:r>
    </w:p>
    <w:p w14:paraId="0A231454" w14:textId="1C31BC50"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A comparison of the observed</w:t>
      </w:r>
      <w:r w:rsidRPr="000C77A2">
        <w:rPr>
          <w:rFonts w:asciiTheme="minorHAnsi" w:hAnsiTheme="minorHAnsi" w:cstheme="minorHAnsi"/>
          <w:snapToGrid w:val="0"/>
        </w:rPr>
        <w:t xml:space="preserve"> Kaplan-Meier PFS and OS data, to the curves used in the model, by tumour type, are presented below in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_Ref155624987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t>Table 14</w:t>
      </w:r>
      <w:r w:rsidRPr="000C77A2">
        <w:rPr>
          <w:rFonts w:asciiTheme="minorHAnsi" w:hAnsiTheme="minorHAnsi" w:cstheme="minorHAnsi"/>
          <w:snapToGrid w:val="0"/>
        </w:rPr>
        <w:fldChar w:fldCharType="end"/>
      </w:r>
      <w:r w:rsidRPr="000C77A2">
        <w:rPr>
          <w:rFonts w:asciiTheme="minorHAnsi" w:hAnsiTheme="minorHAnsi" w:cstheme="minorHAnsi"/>
          <w:snapToGrid w:val="0"/>
        </w:rPr>
        <w:t xml:space="preserve">. </w:t>
      </w:r>
    </w:p>
    <w:p w14:paraId="7ECF8B5E" w14:textId="5D4FE121" w:rsidR="00097911" w:rsidRPr="000C77A2" w:rsidRDefault="00097911" w:rsidP="00097911">
      <w:pPr>
        <w:keepNext/>
        <w:keepLines/>
        <w:rPr>
          <w:rFonts w:ascii="Arial Narrow" w:hAnsi="Arial Narrow"/>
          <w:b/>
          <w:bCs/>
          <w:sz w:val="20"/>
          <w:szCs w:val="18"/>
        </w:rPr>
      </w:pPr>
      <w:bookmarkStart w:id="48" w:name="_Ref155624987"/>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14</w:t>
      </w:r>
      <w:r w:rsidRPr="00576FA3">
        <w:rPr>
          <w:rFonts w:ascii="Arial Narrow" w:hAnsi="Arial Narrow"/>
          <w:b/>
          <w:bCs/>
          <w:sz w:val="20"/>
          <w:szCs w:val="18"/>
        </w:rPr>
        <w:fldChar w:fldCharType="end"/>
      </w:r>
      <w:bookmarkEnd w:id="48"/>
      <w:r w:rsidRPr="000C77A2">
        <w:rPr>
          <w:rFonts w:ascii="Arial Narrow" w:hAnsi="Arial Narrow"/>
          <w:b/>
          <w:bCs/>
          <w:sz w:val="20"/>
          <w:szCs w:val="18"/>
        </w:rPr>
        <w:t>: Kaplan-Meier and modelled PFS and OS curves by tumour type</w:t>
      </w:r>
    </w:p>
    <w:tbl>
      <w:tblPr>
        <w:tblStyle w:val="TableGrid"/>
        <w:tblW w:w="5000" w:type="pct"/>
        <w:tblLook w:val="04A0" w:firstRow="1" w:lastRow="0" w:firstColumn="1" w:lastColumn="0" w:noHBand="0" w:noVBand="1"/>
        <w:tblCaption w:val="Table 14: Kaplan-Meier and modelled PFS and OS curves by tumour type"/>
      </w:tblPr>
      <w:tblGrid>
        <w:gridCol w:w="1176"/>
        <w:gridCol w:w="7841"/>
      </w:tblGrid>
      <w:tr w:rsidR="00097911" w:rsidRPr="000C77A2" w14:paraId="666420E0" w14:textId="77777777" w:rsidTr="00122531">
        <w:tc>
          <w:tcPr>
            <w:tcW w:w="652" w:type="pct"/>
          </w:tcPr>
          <w:p w14:paraId="7B227F78" w14:textId="77777777" w:rsidR="00097911" w:rsidRPr="000C77A2" w:rsidRDefault="00097911" w:rsidP="00097911">
            <w:pPr>
              <w:keepNext/>
              <w:jc w:val="left"/>
              <w:rPr>
                <w:rFonts w:ascii="Arial Narrow" w:hAnsi="Arial Narrow"/>
                <w:b/>
                <w:bCs/>
                <w:sz w:val="20"/>
                <w:szCs w:val="20"/>
              </w:rPr>
            </w:pPr>
            <w:r w:rsidRPr="000C77A2">
              <w:rPr>
                <w:rFonts w:ascii="Arial Narrow" w:hAnsi="Arial Narrow"/>
                <w:b/>
                <w:bCs/>
                <w:sz w:val="20"/>
                <w:szCs w:val="20"/>
              </w:rPr>
              <w:t xml:space="preserve">Adult </w:t>
            </w:r>
            <w:r w:rsidRPr="000C77A2">
              <w:rPr>
                <w:rFonts w:ascii="Arial Narrow" w:hAnsi="Arial Narrow"/>
                <w:b/>
                <w:bCs/>
                <w:i/>
                <w:iCs/>
                <w:sz w:val="20"/>
                <w:szCs w:val="20"/>
              </w:rPr>
              <w:t>NTRK-</w:t>
            </w:r>
            <w:r w:rsidRPr="000C77A2">
              <w:rPr>
                <w:rFonts w:ascii="Arial Narrow" w:hAnsi="Arial Narrow"/>
                <w:b/>
                <w:bCs/>
                <w:sz w:val="20"/>
                <w:szCs w:val="20"/>
              </w:rPr>
              <w:t>positive NSCLC</w:t>
            </w:r>
          </w:p>
          <w:p w14:paraId="75811534" w14:textId="77777777" w:rsidR="00097911" w:rsidRPr="000C77A2" w:rsidRDefault="00097911" w:rsidP="00097911">
            <w:pPr>
              <w:keepNext/>
              <w:jc w:val="left"/>
              <w:rPr>
                <w:rFonts w:ascii="Arial Narrow" w:hAnsi="Arial Narrow"/>
                <w:sz w:val="20"/>
                <w:szCs w:val="20"/>
              </w:rPr>
            </w:pPr>
          </w:p>
          <w:p w14:paraId="74175A68" w14:textId="77777777" w:rsidR="00097911" w:rsidRPr="000C77A2" w:rsidRDefault="00097911" w:rsidP="00097911">
            <w:pPr>
              <w:keepNext/>
              <w:jc w:val="left"/>
              <w:rPr>
                <w:rFonts w:ascii="Arial Narrow" w:hAnsi="Arial Narrow"/>
                <w:sz w:val="20"/>
                <w:szCs w:val="20"/>
              </w:rPr>
            </w:pPr>
            <w:r w:rsidRPr="000C77A2">
              <w:rPr>
                <w:rFonts w:ascii="Arial Narrow" w:hAnsi="Arial Narrow"/>
                <w:sz w:val="20"/>
                <w:szCs w:val="20"/>
              </w:rPr>
              <w:t xml:space="preserve">Intervention: </w:t>
            </w:r>
          </w:p>
          <w:p w14:paraId="3EF444FD" w14:textId="77777777" w:rsidR="00097911" w:rsidRPr="000C77A2" w:rsidRDefault="00097911" w:rsidP="00097911">
            <w:pPr>
              <w:keepNext/>
              <w:jc w:val="left"/>
              <w:rPr>
                <w:rFonts w:ascii="Arial Narrow" w:hAnsi="Arial Narrow"/>
                <w:sz w:val="20"/>
                <w:szCs w:val="20"/>
              </w:rPr>
            </w:pPr>
            <w:r w:rsidRPr="000C77A2">
              <w:rPr>
                <w:rFonts w:ascii="Arial Narrow" w:hAnsi="Arial Narrow"/>
                <w:sz w:val="20"/>
                <w:szCs w:val="20"/>
              </w:rPr>
              <w:t>Larotrectinib</w:t>
            </w:r>
          </w:p>
          <w:p w14:paraId="3C076578" w14:textId="77777777" w:rsidR="00097911" w:rsidRPr="000C77A2" w:rsidRDefault="00097911" w:rsidP="00097911">
            <w:pPr>
              <w:keepNext/>
              <w:jc w:val="left"/>
              <w:rPr>
                <w:rFonts w:ascii="Arial Narrow" w:hAnsi="Arial Narrow"/>
                <w:sz w:val="20"/>
                <w:szCs w:val="20"/>
              </w:rPr>
            </w:pPr>
          </w:p>
          <w:p w14:paraId="02CC71FB" w14:textId="77777777" w:rsidR="00097911" w:rsidRPr="000C77A2" w:rsidRDefault="00097911" w:rsidP="00097911">
            <w:pPr>
              <w:keepNext/>
              <w:jc w:val="left"/>
              <w:rPr>
                <w:rFonts w:ascii="Arial Narrow" w:hAnsi="Arial Narrow"/>
                <w:sz w:val="20"/>
                <w:szCs w:val="20"/>
              </w:rPr>
            </w:pPr>
            <w:r w:rsidRPr="000C77A2">
              <w:rPr>
                <w:rFonts w:ascii="Arial Narrow" w:hAnsi="Arial Narrow"/>
                <w:sz w:val="20"/>
                <w:szCs w:val="20"/>
              </w:rPr>
              <w:t xml:space="preserve">Comparator: docetaxel </w:t>
            </w:r>
          </w:p>
        </w:tc>
        <w:tc>
          <w:tcPr>
            <w:tcW w:w="4348" w:type="pct"/>
          </w:tcPr>
          <w:p w14:paraId="783D654D" w14:textId="77777777" w:rsidR="00097911" w:rsidRPr="000C77A2" w:rsidRDefault="00097911" w:rsidP="00097911">
            <w:pPr>
              <w:keepNext/>
              <w:jc w:val="left"/>
              <w:rPr>
                <w:rFonts w:ascii="Arial Narrow" w:hAnsi="Arial Narrow"/>
                <w:sz w:val="20"/>
                <w:szCs w:val="20"/>
              </w:rPr>
            </w:pPr>
            <w:r w:rsidRPr="005C58C7">
              <w:rPr>
                <w:rFonts w:ascii="Arial Narrow" w:hAnsi="Arial Narrow" w:cs="Times New Roman"/>
                <w:b/>
                <w:noProof/>
                <w:sz w:val="20"/>
                <w:szCs w:val="16"/>
              </w:rPr>
              <w:drawing>
                <wp:inline distT="0" distB="0" distL="0" distR="0" wp14:anchorId="38A02BFF" wp14:editId="4245D168">
                  <wp:extent cx="4810539" cy="3601301"/>
                  <wp:effectExtent l="0" t="0" r="9525" b="0"/>
                  <wp:docPr id="1869091431" name="Picture 1869091431" descr="Kaplan-Meier and modelled PFS and OS curves by tumour type - Adult NTRK-positive NS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91431" name="Picture 1869091431" descr="Kaplan-Meier and modelled PFS and OS curves by tumour type - Adult NTRK-positive NSCLC"/>
                          <pic:cNvPicPr/>
                        </pic:nvPicPr>
                        <pic:blipFill>
                          <a:blip r:embed="rId14"/>
                          <a:stretch>
                            <a:fillRect/>
                          </a:stretch>
                        </pic:blipFill>
                        <pic:spPr>
                          <a:xfrm>
                            <a:off x="0" y="0"/>
                            <a:ext cx="4827424" cy="3613942"/>
                          </a:xfrm>
                          <a:prstGeom prst="rect">
                            <a:avLst/>
                          </a:prstGeom>
                        </pic:spPr>
                      </pic:pic>
                    </a:graphicData>
                  </a:graphic>
                </wp:inline>
              </w:drawing>
            </w:r>
          </w:p>
        </w:tc>
      </w:tr>
      <w:tr w:rsidR="00097911" w:rsidRPr="000C77A2" w14:paraId="5223ED01" w14:textId="77777777" w:rsidTr="00122531">
        <w:trPr>
          <w:trHeight w:val="5546"/>
        </w:trPr>
        <w:tc>
          <w:tcPr>
            <w:tcW w:w="652" w:type="pct"/>
          </w:tcPr>
          <w:p w14:paraId="2A4E237E" w14:textId="77777777" w:rsidR="00097911" w:rsidRPr="000C77A2" w:rsidRDefault="00097911" w:rsidP="00097911">
            <w:pPr>
              <w:keepNext/>
              <w:jc w:val="left"/>
              <w:rPr>
                <w:rFonts w:ascii="Arial Narrow" w:hAnsi="Arial Narrow"/>
                <w:b/>
                <w:bCs/>
                <w:sz w:val="20"/>
                <w:szCs w:val="20"/>
              </w:rPr>
            </w:pPr>
            <w:r w:rsidRPr="000C77A2">
              <w:rPr>
                <w:rFonts w:ascii="Arial Narrow" w:hAnsi="Arial Narrow"/>
                <w:b/>
                <w:bCs/>
                <w:sz w:val="20"/>
                <w:szCs w:val="20"/>
              </w:rPr>
              <w:t xml:space="preserve">Adult </w:t>
            </w:r>
            <w:r w:rsidRPr="000C77A2">
              <w:rPr>
                <w:rFonts w:ascii="Arial Narrow" w:hAnsi="Arial Narrow"/>
                <w:b/>
                <w:bCs/>
                <w:i/>
                <w:iCs/>
                <w:sz w:val="20"/>
                <w:szCs w:val="20"/>
              </w:rPr>
              <w:t>NTRK-</w:t>
            </w:r>
            <w:r w:rsidRPr="000C77A2">
              <w:rPr>
                <w:rFonts w:ascii="Arial Narrow" w:hAnsi="Arial Narrow"/>
                <w:b/>
                <w:bCs/>
                <w:sz w:val="20"/>
                <w:szCs w:val="20"/>
              </w:rPr>
              <w:t>positive STS</w:t>
            </w:r>
          </w:p>
          <w:p w14:paraId="12B464C1" w14:textId="77777777" w:rsidR="00097911" w:rsidRPr="000C77A2" w:rsidRDefault="00097911" w:rsidP="00097911">
            <w:pPr>
              <w:keepNext/>
              <w:jc w:val="left"/>
              <w:rPr>
                <w:rFonts w:ascii="Arial Narrow" w:hAnsi="Arial Narrow"/>
                <w:sz w:val="20"/>
                <w:szCs w:val="20"/>
              </w:rPr>
            </w:pPr>
          </w:p>
          <w:p w14:paraId="2D89FAA2" w14:textId="77777777" w:rsidR="00097911" w:rsidRPr="000C77A2" w:rsidRDefault="00097911" w:rsidP="00097911">
            <w:pPr>
              <w:keepNext/>
              <w:jc w:val="left"/>
              <w:rPr>
                <w:rFonts w:ascii="Arial Narrow" w:hAnsi="Arial Narrow"/>
                <w:sz w:val="20"/>
                <w:szCs w:val="20"/>
              </w:rPr>
            </w:pPr>
            <w:r w:rsidRPr="000C77A2">
              <w:rPr>
                <w:rFonts w:ascii="Arial Narrow" w:hAnsi="Arial Narrow"/>
                <w:sz w:val="20"/>
                <w:szCs w:val="20"/>
              </w:rPr>
              <w:t xml:space="preserve">Intervention: </w:t>
            </w:r>
          </w:p>
          <w:p w14:paraId="2160ED5F" w14:textId="77777777" w:rsidR="00097911" w:rsidRPr="000C77A2" w:rsidRDefault="00097911" w:rsidP="00097911">
            <w:pPr>
              <w:keepNext/>
              <w:jc w:val="left"/>
              <w:rPr>
                <w:rFonts w:ascii="Arial Narrow" w:hAnsi="Arial Narrow"/>
                <w:sz w:val="20"/>
                <w:szCs w:val="20"/>
              </w:rPr>
            </w:pPr>
            <w:r w:rsidRPr="000C77A2">
              <w:rPr>
                <w:rFonts w:ascii="Arial Narrow" w:hAnsi="Arial Narrow"/>
                <w:sz w:val="20"/>
                <w:szCs w:val="20"/>
              </w:rPr>
              <w:t>Larotrectinib</w:t>
            </w:r>
          </w:p>
          <w:p w14:paraId="1E7F2B28" w14:textId="77777777" w:rsidR="00097911" w:rsidRPr="000C77A2" w:rsidRDefault="00097911" w:rsidP="00097911">
            <w:pPr>
              <w:keepNext/>
              <w:jc w:val="left"/>
              <w:rPr>
                <w:rFonts w:ascii="Arial Narrow" w:hAnsi="Arial Narrow"/>
                <w:sz w:val="20"/>
                <w:szCs w:val="20"/>
              </w:rPr>
            </w:pPr>
          </w:p>
          <w:p w14:paraId="0FA7689D" w14:textId="77777777" w:rsidR="00097911" w:rsidRPr="000C77A2" w:rsidRDefault="00097911" w:rsidP="00097911">
            <w:pPr>
              <w:keepNext/>
              <w:jc w:val="left"/>
              <w:rPr>
                <w:rFonts w:ascii="Arial Narrow" w:hAnsi="Arial Narrow"/>
                <w:sz w:val="20"/>
                <w:szCs w:val="20"/>
              </w:rPr>
            </w:pPr>
            <w:r w:rsidRPr="000C77A2">
              <w:rPr>
                <w:rFonts w:ascii="Arial Narrow" w:hAnsi="Arial Narrow"/>
                <w:sz w:val="20"/>
                <w:szCs w:val="20"/>
              </w:rPr>
              <w:t>Comparator: pazopanib</w:t>
            </w:r>
          </w:p>
        </w:tc>
        <w:tc>
          <w:tcPr>
            <w:tcW w:w="4348" w:type="pct"/>
          </w:tcPr>
          <w:p w14:paraId="246502AA" w14:textId="77777777" w:rsidR="00097911" w:rsidRPr="000C77A2" w:rsidRDefault="00097911" w:rsidP="00097911">
            <w:pPr>
              <w:keepNext/>
              <w:jc w:val="left"/>
              <w:rPr>
                <w:rFonts w:ascii="Arial Narrow" w:hAnsi="Arial Narrow"/>
                <w:sz w:val="20"/>
                <w:szCs w:val="20"/>
              </w:rPr>
            </w:pPr>
            <w:r w:rsidRPr="005C58C7">
              <w:rPr>
                <w:rFonts w:ascii="Arial Narrow" w:hAnsi="Arial Narrow" w:cs="Times New Roman"/>
                <w:b/>
                <w:noProof/>
                <w:sz w:val="20"/>
                <w:szCs w:val="16"/>
              </w:rPr>
              <w:drawing>
                <wp:inline distT="0" distB="0" distL="0" distR="0" wp14:anchorId="5AEBB43C" wp14:editId="3E448503">
                  <wp:extent cx="4842344" cy="3601720"/>
                  <wp:effectExtent l="0" t="0" r="0" b="0"/>
                  <wp:docPr id="1624775055" name="Picture 1624775055" descr="Kaplan-Meier and modelled PFS and OS curves by tumour type - Adult NTRK-positive 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75055" name="Picture 1624775055" descr="Kaplan-Meier and modelled PFS and OS curves by tumour type - Adult NTRK-positive STS"/>
                          <pic:cNvPicPr/>
                        </pic:nvPicPr>
                        <pic:blipFill>
                          <a:blip r:embed="rId15"/>
                          <a:stretch>
                            <a:fillRect/>
                          </a:stretch>
                        </pic:blipFill>
                        <pic:spPr>
                          <a:xfrm>
                            <a:off x="0" y="0"/>
                            <a:ext cx="4842344" cy="3601720"/>
                          </a:xfrm>
                          <a:prstGeom prst="rect">
                            <a:avLst/>
                          </a:prstGeom>
                        </pic:spPr>
                      </pic:pic>
                    </a:graphicData>
                  </a:graphic>
                </wp:inline>
              </w:drawing>
            </w:r>
          </w:p>
        </w:tc>
      </w:tr>
    </w:tbl>
    <w:p w14:paraId="47481083" w14:textId="77777777" w:rsidR="00097911" w:rsidRPr="000C77A2"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 xml:space="preserve">* denotes the most conservative extrapolation (as identified in the evaluation) </w:t>
      </w:r>
    </w:p>
    <w:p w14:paraId="32AE4091" w14:textId="77777777" w:rsidR="00097911" w:rsidRPr="000C77A2"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Source: Constructed during the evaluation from “</w:t>
      </w:r>
      <w:proofErr w:type="spellStart"/>
      <w:r w:rsidRPr="000C77A2">
        <w:rPr>
          <w:rFonts w:ascii="Arial Narrow" w:hAnsi="Arial Narrow"/>
          <w:snapToGrid w:val="0"/>
          <w:sz w:val="18"/>
          <w:szCs w:val="22"/>
          <w:lang w:eastAsia="en-US"/>
        </w:rPr>
        <w:t>PFS_Est</w:t>
      </w:r>
      <w:proofErr w:type="spellEnd"/>
      <w:r w:rsidRPr="000C77A2">
        <w:rPr>
          <w:rFonts w:ascii="Arial Narrow" w:hAnsi="Arial Narrow"/>
          <w:snapToGrid w:val="0"/>
          <w:sz w:val="18"/>
          <w:szCs w:val="22"/>
          <w:lang w:eastAsia="en-US"/>
        </w:rPr>
        <w:t>” and “</w:t>
      </w:r>
      <w:proofErr w:type="spellStart"/>
      <w:r w:rsidRPr="000C77A2">
        <w:rPr>
          <w:rFonts w:ascii="Arial Narrow" w:hAnsi="Arial Narrow"/>
          <w:snapToGrid w:val="0"/>
          <w:sz w:val="18"/>
          <w:szCs w:val="22"/>
          <w:lang w:eastAsia="en-US"/>
        </w:rPr>
        <w:t>OS_Est</w:t>
      </w:r>
      <w:proofErr w:type="spellEnd"/>
      <w:r w:rsidRPr="000C77A2">
        <w:rPr>
          <w:rFonts w:ascii="Arial Narrow" w:hAnsi="Arial Narrow"/>
          <w:snapToGrid w:val="0"/>
          <w:sz w:val="18"/>
          <w:szCs w:val="22"/>
          <w:lang w:eastAsia="en-US"/>
        </w:rPr>
        <w:t>” worksheets of the “Attachment 3.1 – Section 3 Workbook – cost effectiveness model” workbook provided in the submission.</w:t>
      </w:r>
    </w:p>
    <w:p w14:paraId="61EFBF62" w14:textId="77777777" w:rsidR="00097911" w:rsidRPr="000C77A2" w:rsidRDefault="00097911" w:rsidP="00097911">
      <w:pPr>
        <w:spacing w:after="120"/>
        <w:contextualSpacing/>
        <w:rPr>
          <w:rFonts w:ascii="Arial Narrow" w:hAnsi="Arial Narrow"/>
          <w:snapToGrid w:val="0"/>
          <w:sz w:val="18"/>
          <w:szCs w:val="22"/>
          <w:lang w:eastAsia="en-US"/>
        </w:rPr>
      </w:pPr>
      <w:proofErr w:type="spellStart"/>
      <w:r w:rsidRPr="000C77A2">
        <w:rPr>
          <w:rFonts w:ascii="Arial Narrow" w:hAnsi="Arial Narrow"/>
          <w:snapToGrid w:val="0"/>
          <w:sz w:val="18"/>
          <w:szCs w:val="22"/>
          <w:lang w:eastAsia="en-US"/>
        </w:rPr>
        <w:t>Dtx</w:t>
      </w:r>
      <w:proofErr w:type="spellEnd"/>
      <w:r w:rsidRPr="000C77A2">
        <w:rPr>
          <w:rFonts w:ascii="Arial Narrow" w:hAnsi="Arial Narrow"/>
          <w:snapToGrid w:val="0"/>
          <w:sz w:val="18"/>
          <w:szCs w:val="22"/>
          <w:lang w:eastAsia="en-US"/>
        </w:rPr>
        <w:t xml:space="preserve"> = docetaxel; KM = Kaplan-Meier; NSCLC = non-small cell lung cancer; </w:t>
      </w:r>
      <w:proofErr w:type="spellStart"/>
      <w:r w:rsidRPr="000C77A2">
        <w:rPr>
          <w:rFonts w:ascii="Arial Narrow" w:hAnsi="Arial Narrow"/>
          <w:snapToGrid w:val="0"/>
          <w:sz w:val="18"/>
          <w:szCs w:val="22"/>
          <w:lang w:eastAsia="en-US"/>
        </w:rPr>
        <w:t>Laro</w:t>
      </w:r>
      <w:proofErr w:type="spellEnd"/>
      <w:r w:rsidRPr="000C77A2">
        <w:rPr>
          <w:rFonts w:ascii="Arial Narrow" w:hAnsi="Arial Narrow"/>
          <w:snapToGrid w:val="0"/>
          <w:sz w:val="18"/>
          <w:szCs w:val="22"/>
          <w:lang w:eastAsia="en-US"/>
        </w:rPr>
        <w:t xml:space="preserve"> = larotrectinib; OS = overall survival; Paz = pazopanib; PFS=progression-free survival; STS = soft tissue sarcoma; TOT = time on treatment </w:t>
      </w:r>
    </w:p>
    <w:p w14:paraId="09056000" w14:textId="0B39F27D" w:rsidR="00EA1FD2" w:rsidRPr="000C77A2" w:rsidRDefault="00097911" w:rsidP="00097911">
      <w:pPr>
        <w:spacing w:after="120"/>
        <w:rPr>
          <w:rFonts w:ascii="Arial Narrow" w:hAnsi="Arial Narrow"/>
          <w:snapToGrid w:val="0"/>
          <w:sz w:val="18"/>
          <w:szCs w:val="22"/>
          <w:lang w:eastAsia="en-US"/>
        </w:rPr>
      </w:pPr>
      <w:r w:rsidRPr="000C77A2">
        <w:rPr>
          <w:rFonts w:ascii="Arial Narrow" w:hAnsi="Arial Narrow"/>
          <w:snapToGrid w:val="0"/>
          <w:sz w:val="18"/>
          <w:szCs w:val="22"/>
          <w:lang w:eastAsia="en-US"/>
        </w:rPr>
        <w:lastRenderedPageBreak/>
        <w:t xml:space="preserve">Note: PFS and OS KM data for docetaxel were truncated at 4 and 9 months, respectively, while PFS and OS KM data for pazopanib were truncated at 5 and 12 months, respectively (in line with publication). </w:t>
      </w:r>
    </w:p>
    <w:p w14:paraId="73F33758" w14:textId="36CD64B1"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The model did not employ a per-cycle transition probability to determine health state allocation over the modelled time horizon. Instead, the model used the minimum of the previous cycle’s health state allocation and the observed data up until the truncation point (beyond which modelled data was used). This may not be appropriate and resulted </w:t>
      </w:r>
      <w:r w:rsidR="00B62EA6" w:rsidRPr="000C77A2">
        <w:rPr>
          <w:rFonts w:asciiTheme="minorHAnsi" w:hAnsiTheme="minorHAnsi"/>
          <w:snapToGrid w:val="0"/>
        </w:rPr>
        <w:t xml:space="preserve">in </w:t>
      </w:r>
      <w:r w:rsidRPr="000C77A2">
        <w:rPr>
          <w:rFonts w:asciiTheme="minorHAnsi" w:hAnsiTheme="minorHAnsi"/>
          <w:snapToGrid w:val="0"/>
        </w:rPr>
        <w:t xml:space="preserve">the apparent truncation point of larotrectinib OS in NSCLC extending to 2.2 years (compared to 2.0 years) and modelled larotrectinib PFS data exceeding the observed data in STS (as observed in the graphs presented in the above table). </w:t>
      </w:r>
    </w:p>
    <w:p w14:paraId="549F28FF" w14:textId="0787CF08"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The key drivers of the economic models are summarised in </w:t>
      </w:r>
      <w:r w:rsidRPr="000C77A2">
        <w:rPr>
          <w:rFonts w:asciiTheme="minorHAnsi" w:hAnsiTheme="minorHAnsi"/>
          <w:snapToGrid w:val="0"/>
        </w:rPr>
        <w:fldChar w:fldCharType="begin" w:fldLock="1"/>
      </w:r>
      <w:r w:rsidRPr="000C77A2">
        <w:rPr>
          <w:rFonts w:asciiTheme="minorHAnsi" w:hAnsiTheme="minorHAnsi"/>
          <w:snapToGrid w:val="0"/>
        </w:rPr>
        <w:instrText xml:space="preserve"> REF _Ref155625009 \h  \* MERGEFORMAT </w:instrText>
      </w:r>
      <w:r w:rsidRPr="000C77A2">
        <w:rPr>
          <w:rFonts w:asciiTheme="minorHAnsi" w:hAnsiTheme="minorHAnsi"/>
          <w:snapToGrid w:val="0"/>
        </w:rPr>
      </w:r>
      <w:r w:rsidRPr="000C77A2">
        <w:rPr>
          <w:rFonts w:asciiTheme="minorHAnsi" w:hAnsiTheme="minorHAnsi"/>
          <w:snapToGrid w:val="0"/>
        </w:rPr>
        <w:fldChar w:fldCharType="separate"/>
      </w:r>
      <w:r w:rsidR="001B0FE7" w:rsidRPr="001B0FE7">
        <w:t>Table 15</w:t>
      </w:r>
      <w:r w:rsidRPr="000C77A2">
        <w:rPr>
          <w:rFonts w:asciiTheme="minorHAnsi" w:hAnsiTheme="minorHAnsi"/>
          <w:snapToGrid w:val="0"/>
        </w:rPr>
        <w:fldChar w:fldCharType="end"/>
      </w:r>
      <w:r w:rsidRPr="000C77A2">
        <w:rPr>
          <w:rFonts w:asciiTheme="minorHAnsi" w:hAnsiTheme="minorHAnsi"/>
          <w:snapToGrid w:val="0"/>
        </w:rPr>
        <w:t xml:space="preserve"> and </w:t>
      </w:r>
      <w:r w:rsidRPr="000C77A2">
        <w:rPr>
          <w:rFonts w:asciiTheme="minorHAnsi" w:hAnsiTheme="minorHAnsi" w:cstheme="minorHAnsi"/>
          <w:snapToGrid w:val="0"/>
        </w:rPr>
        <w:fldChar w:fldCharType="begin" w:fldLock="1"/>
      </w:r>
      <w:r w:rsidRPr="000C77A2">
        <w:rPr>
          <w:rFonts w:asciiTheme="minorHAnsi" w:hAnsiTheme="minorHAnsi"/>
          <w:snapToGrid w:val="0"/>
        </w:rPr>
        <w:instrText xml:space="preserve"> REF _Ref155625016 \h </w:instrText>
      </w:r>
      <w:r w:rsidRPr="000C77A2">
        <w:rPr>
          <w:rFonts w:asciiTheme="minorHAnsi" w:hAnsiTheme="minorHAnsi" w:cstheme="minorHAnsi"/>
          <w:snapToGrid w:val="0"/>
        </w:rPr>
        <w:instrText xml:space="preserve">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t>Table</w:t>
      </w:r>
      <w:r w:rsidR="001B0FE7" w:rsidRPr="001B0FE7">
        <w:rPr>
          <w:b/>
          <w:bCs/>
        </w:rPr>
        <w:t xml:space="preserve"> </w:t>
      </w:r>
      <w:r w:rsidR="001B0FE7" w:rsidRPr="001B0FE7">
        <w:t>16</w:t>
      </w:r>
      <w:r w:rsidRPr="000C77A2">
        <w:rPr>
          <w:rFonts w:asciiTheme="minorHAnsi" w:hAnsiTheme="minorHAnsi" w:cstheme="minorHAnsi"/>
          <w:snapToGrid w:val="0"/>
        </w:rPr>
        <w:fldChar w:fldCharType="end"/>
      </w:r>
      <w:r w:rsidRPr="000C77A2">
        <w:rPr>
          <w:rFonts w:asciiTheme="minorHAnsi" w:hAnsiTheme="minorHAnsi" w:cstheme="minorHAnsi"/>
          <w:snapToGrid w:val="0"/>
        </w:rPr>
        <w:t xml:space="preserve"> for NSCLC and STS, respectively. </w:t>
      </w:r>
    </w:p>
    <w:p w14:paraId="78F4AC8E" w14:textId="6230CA64" w:rsidR="00097911" w:rsidRPr="000C77A2" w:rsidRDefault="00097911" w:rsidP="00097911">
      <w:pPr>
        <w:keepNext/>
        <w:keepLines/>
        <w:rPr>
          <w:rFonts w:ascii="Arial Narrow" w:hAnsi="Arial Narrow"/>
          <w:b/>
          <w:bCs/>
          <w:sz w:val="20"/>
          <w:szCs w:val="18"/>
        </w:rPr>
      </w:pPr>
      <w:bookmarkStart w:id="49" w:name="_Ref155625009"/>
      <w:r w:rsidRPr="000C77A2">
        <w:rPr>
          <w:rFonts w:ascii="Arial Narrow" w:hAnsi="Arial Narrow"/>
          <w:b/>
          <w:bCs/>
          <w:sz w:val="20"/>
          <w:szCs w:val="18"/>
        </w:rPr>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15</w:t>
      </w:r>
      <w:r w:rsidRPr="00576FA3">
        <w:rPr>
          <w:rFonts w:ascii="Arial Narrow" w:hAnsi="Arial Narrow"/>
          <w:b/>
          <w:bCs/>
          <w:sz w:val="20"/>
          <w:szCs w:val="18"/>
        </w:rPr>
        <w:fldChar w:fldCharType="end"/>
      </w:r>
      <w:bookmarkEnd w:id="49"/>
      <w:r w:rsidRPr="000C77A2">
        <w:rPr>
          <w:rFonts w:ascii="Arial Narrow" w:hAnsi="Arial Narrow"/>
          <w:b/>
          <w:bCs/>
          <w:sz w:val="20"/>
          <w:szCs w:val="18"/>
        </w:rPr>
        <w:t>: Key drivers of the NSCLC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drivers of the NSCLC model"/>
      </w:tblPr>
      <w:tblGrid>
        <w:gridCol w:w="1127"/>
        <w:gridCol w:w="4254"/>
        <w:gridCol w:w="3636"/>
      </w:tblGrid>
      <w:tr w:rsidR="00097911" w:rsidRPr="000C77A2" w14:paraId="665F2105" w14:textId="77777777" w:rsidTr="00504411">
        <w:trPr>
          <w:tblHeader/>
        </w:trPr>
        <w:tc>
          <w:tcPr>
            <w:tcW w:w="625" w:type="pct"/>
            <w:shd w:val="clear" w:color="auto" w:fill="auto"/>
            <w:vAlign w:val="center"/>
          </w:tcPr>
          <w:p w14:paraId="5D8CAF55"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Description</w:t>
            </w:r>
          </w:p>
        </w:tc>
        <w:tc>
          <w:tcPr>
            <w:tcW w:w="2359" w:type="pct"/>
            <w:shd w:val="clear" w:color="auto" w:fill="auto"/>
            <w:vAlign w:val="center"/>
          </w:tcPr>
          <w:p w14:paraId="792F3182"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Method/Value</w:t>
            </w:r>
          </w:p>
        </w:tc>
        <w:tc>
          <w:tcPr>
            <w:tcW w:w="2016" w:type="pct"/>
            <w:shd w:val="clear" w:color="auto" w:fill="auto"/>
            <w:vAlign w:val="center"/>
          </w:tcPr>
          <w:p w14:paraId="228B3C11"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Impact</w:t>
            </w:r>
          </w:p>
          <w:p w14:paraId="528C2B1F" w14:textId="60F36C14"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(Revised base case: $</w:t>
            </w:r>
            <w:r w:rsidR="00C66EC7" w:rsidRPr="00C66EC7">
              <w:rPr>
                <w:rFonts w:ascii="Arial Narrow" w:eastAsiaTheme="majorEastAsia" w:hAnsi="Arial Narrow" w:cs="Times New Roman"/>
                <w:b/>
                <w:color w:val="000000"/>
                <w:spacing w:val="53"/>
                <w:sz w:val="20"/>
                <w:shd w:val="solid" w:color="000000" w:fill="000000"/>
                <w:fitText w:val="345" w:id="-962355191"/>
                <w14:textFill>
                  <w14:solidFill>
                    <w14:srgbClr w14:val="000000">
                      <w14:alpha w14:val="100000"/>
                    </w14:srgbClr>
                  </w14:solidFill>
                </w14:textFill>
              </w:rPr>
              <w:t>|||</w:t>
            </w:r>
            <w:r w:rsidR="00C66EC7" w:rsidRPr="00C66EC7">
              <w:rPr>
                <w:rFonts w:ascii="Arial Narrow" w:eastAsiaTheme="majorEastAsia" w:hAnsi="Arial Narrow" w:cs="Times New Roman"/>
                <w:b/>
                <w:color w:val="000000"/>
                <w:spacing w:val="3"/>
                <w:sz w:val="20"/>
                <w:shd w:val="solid" w:color="000000" w:fill="000000"/>
                <w:fitText w:val="345" w:id="-962355191"/>
                <w14:textFill>
                  <w14:solidFill>
                    <w14:srgbClr w14:val="000000">
                      <w14:alpha w14:val="100000"/>
                    </w14:srgbClr>
                  </w14:solidFill>
                </w14:textFill>
              </w:rPr>
              <w:t>|</w:t>
            </w:r>
            <w:r w:rsidR="002F0548" w:rsidRPr="00560AEC">
              <w:rPr>
                <w:rFonts w:ascii="Arial Narrow" w:eastAsiaTheme="majorEastAsia" w:hAnsi="Arial Narrow" w:cs="Times New Roman"/>
                <w:b/>
                <w:sz w:val="20"/>
                <w:vertAlign w:val="superscript"/>
              </w:rPr>
              <w:t>1</w:t>
            </w:r>
            <w:r w:rsidR="0093038C" w:rsidRPr="00560AEC">
              <w:rPr>
                <w:rFonts w:ascii="Arial Narrow" w:eastAsiaTheme="majorEastAsia" w:hAnsi="Arial Narrow" w:cs="Times New Roman"/>
                <w:b/>
                <w:sz w:val="20"/>
                <w:vertAlign w:val="superscript"/>
              </w:rPr>
              <w:t>/</w:t>
            </w:r>
            <w:r w:rsidRPr="00576FA3">
              <w:rPr>
                <w:rFonts w:ascii="Arial Narrow" w:eastAsiaTheme="majorEastAsia" w:hAnsi="Arial Narrow" w:cs="Times New Roman"/>
                <w:b/>
                <w:sz w:val="20"/>
              </w:rPr>
              <w:t>QALY gained)</w:t>
            </w:r>
          </w:p>
        </w:tc>
      </w:tr>
      <w:tr w:rsidR="00097911" w:rsidRPr="000C77A2" w14:paraId="3BD92751" w14:textId="77777777" w:rsidTr="00504411">
        <w:trPr>
          <w:tblHeader/>
        </w:trPr>
        <w:tc>
          <w:tcPr>
            <w:tcW w:w="625" w:type="pct"/>
            <w:shd w:val="clear" w:color="auto" w:fill="auto"/>
            <w:vAlign w:val="center"/>
          </w:tcPr>
          <w:p w14:paraId="6A82B812" w14:textId="77777777" w:rsidR="00097911" w:rsidRPr="00576FA3" w:rsidRDefault="00097911" w:rsidP="00097911">
            <w:pPr>
              <w:jc w:val="left"/>
              <w:rPr>
                <w:rFonts w:ascii="Arial Narrow" w:eastAsiaTheme="majorEastAsia" w:hAnsi="Arial Narrow" w:cs="Times New Roman"/>
                <w:snapToGrid w:val="0"/>
                <w:sz w:val="20"/>
              </w:rPr>
            </w:pPr>
            <w:r w:rsidRPr="00576FA3">
              <w:rPr>
                <w:rFonts w:ascii="Arial Narrow" w:eastAsiaTheme="majorEastAsia" w:hAnsi="Arial Narrow" w:cs="Times New Roman"/>
                <w:snapToGrid w:val="0"/>
                <w:sz w:val="20"/>
              </w:rPr>
              <w:t>Incremental benefit of larotrectinib</w:t>
            </w:r>
          </w:p>
        </w:tc>
        <w:tc>
          <w:tcPr>
            <w:tcW w:w="2359" w:type="pct"/>
            <w:shd w:val="clear" w:color="auto" w:fill="auto"/>
            <w:vAlign w:val="center"/>
          </w:tcPr>
          <w:p w14:paraId="33DC8306" w14:textId="77777777" w:rsidR="00097911" w:rsidRPr="00576FA3" w:rsidRDefault="00097911" w:rsidP="00097911">
            <w:pPr>
              <w:jc w:val="left"/>
              <w:rPr>
                <w:rFonts w:ascii="Arial Narrow" w:eastAsiaTheme="majorEastAsia" w:hAnsi="Arial Narrow" w:cs="Times New Roman"/>
                <w:snapToGrid w:val="0"/>
                <w:sz w:val="20"/>
              </w:rPr>
            </w:pPr>
            <w:r w:rsidRPr="00576FA3">
              <w:rPr>
                <w:rFonts w:ascii="Arial Narrow" w:eastAsiaTheme="majorEastAsia" w:hAnsi="Arial Narrow" w:cs="Times New Roman"/>
                <w:snapToGrid w:val="0"/>
                <w:sz w:val="20"/>
              </w:rPr>
              <w:t xml:space="preserve">Based on indirect comparison of single arm studies which contain major transitivity issues. </w:t>
            </w:r>
          </w:p>
        </w:tc>
        <w:tc>
          <w:tcPr>
            <w:tcW w:w="2016" w:type="pct"/>
            <w:shd w:val="clear" w:color="auto" w:fill="auto"/>
            <w:vAlign w:val="center"/>
          </w:tcPr>
          <w:p w14:paraId="2D9B5A04" w14:textId="77777777" w:rsidR="00097911" w:rsidRPr="00576FA3" w:rsidRDefault="00097911" w:rsidP="00097911">
            <w:pPr>
              <w:jc w:val="left"/>
              <w:rPr>
                <w:rFonts w:ascii="Arial Narrow" w:eastAsiaTheme="majorEastAsia" w:hAnsi="Arial Narrow" w:cs="Times New Roman"/>
                <w:snapToGrid w:val="0"/>
                <w:sz w:val="20"/>
              </w:rPr>
            </w:pPr>
            <w:r w:rsidRPr="00576FA3">
              <w:rPr>
                <w:rFonts w:ascii="Arial Narrow" w:eastAsiaTheme="majorEastAsia" w:hAnsi="Arial Narrow" w:cs="Times New Roman"/>
                <w:snapToGrid w:val="0"/>
                <w:sz w:val="20"/>
              </w:rPr>
              <w:t xml:space="preserve">Likely high but not testable. </w:t>
            </w:r>
          </w:p>
        </w:tc>
      </w:tr>
      <w:tr w:rsidR="00097911" w:rsidRPr="000C77A2" w14:paraId="6473A4E4" w14:textId="77777777" w:rsidTr="00504411">
        <w:trPr>
          <w:tblHeader/>
        </w:trPr>
        <w:tc>
          <w:tcPr>
            <w:tcW w:w="625" w:type="pct"/>
            <w:shd w:val="clear" w:color="auto" w:fill="auto"/>
            <w:vAlign w:val="center"/>
          </w:tcPr>
          <w:p w14:paraId="14C61C6E" w14:textId="77777777" w:rsidR="00097911" w:rsidRPr="00576FA3" w:rsidRDefault="00097911" w:rsidP="00097911">
            <w:pPr>
              <w:jc w:val="left"/>
              <w:rPr>
                <w:rFonts w:ascii="Arial Narrow" w:eastAsiaTheme="majorEastAsia" w:hAnsi="Arial Narrow" w:cs="Times New Roman"/>
                <w:snapToGrid w:val="0"/>
                <w:sz w:val="20"/>
              </w:rPr>
            </w:pPr>
            <w:r w:rsidRPr="00576FA3">
              <w:rPr>
                <w:rFonts w:ascii="Arial Narrow" w:eastAsiaTheme="majorEastAsia" w:hAnsi="Arial Narrow" w:cs="Times New Roman"/>
                <w:snapToGrid w:val="0"/>
                <w:sz w:val="20"/>
              </w:rPr>
              <w:t>Time horizon</w:t>
            </w:r>
          </w:p>
        </w:tc>
        <w:tc>
          <w:tcPr>
            <w:tcW w:w="2359" w:type="pct"/>
            <w:shd w:val="clear" w:color="auto" w:fill="auto"/>
            <w:vAlign w:val="center"/>
          </w:tcPr>
          <w:p w14:paraId="0F3D5ED0" w14:textId="77777777" w:rsidR="00097911" w:rsidRPr="00576FA3" w:rsidRDefault="00097911" w:rsidP="00097911">
            <w:pPr>
              <w:jc w:val="left"/>
              <w:rPr>
                <w:rFonts w:ascii="Arial Narrow" w:eastAsiaTheme="majorEastAsia" w:hAnsi="Arial Narrow" w:cs="Times New Roman"/>
                <w:snapToGrid w:val="0"/>
                <w:sz w:val="20"/>
              </w:rPr>
            </w:pPr>
            <w:r w:rsidRPr="00576FA3">
              <w:rPr>
                <w:rFonts w:ascii="Arial Narrow" w:eastAsiaTheme="majorEastAsia" w:hAnsi="Arial Narrow" w:cs="Times New Roman"/>
                <w:snapToGrid w:val="0"/>
                <w:sz w:val="20"/>
              </w:rPr>
              <w:t xml:space="preserve">10 years. While this was reduced from the previous submission (15 years previously), the time horizon chosen was substantially longer than what the PBAC have previously accepted in the later-line setting of NSCLC </w:t>
            </w:r>
            <w:r w:rsidRPr="000C77A2">
              <w:rPr>
                <w:rFonts w:ascii="Arial Narrow" w:hAnsi="Arial Narrow" w:cs="Times New Roman"/>
                <w:snapToGrid w:val="0"/>
                <w:sz w:val="20"/>
                <w:szCs w:val="20"/>
              </w:rPr>
              <w:t xml:space="preserve">(para 6.57 larotrectinib PSD, November 2021 PBAC meeting; 6.06 pembrolizumab PSD, March 2019 PBAC meeting). </w:t>
            </w:r>
          </w:p>
        </w:tc>
        <w:tc>
          <w:tcPr>
            <w:tcW w:w="2016" w:type="pct"/>
            <w:shd w:val="clear" w:color="auto" w:fill="auto"/>
            <w:vAlign w:val="center"/>
          </w:tcPr>
          <w:p w14:paraId="406B038A" w14:textId="7AF4876E" w:rsidR="00097911" w:rsidRPr="00576FA3" w:rsidRDefault="00097911" w:rsidP="00097911">
            <w:pPr>
              <w:jc w:val="left"/>
              <w:rPr>
                <w:rFonts w:ascii="Arial Narrow" w:eastAsiaTheme="majorEastAsia" w:hAnsi="Arial Narrow" w:cs="Times New Roman"/>
                <w:b/>
                <w:snapToGrid w:val="0"/>
                <w:sz w:val="20"/>
              </w:rPr>
            </w:pPr>
            <w:r w:rsidRPr="00576FA3">
              <w:rPr>
                <w:rFonts w:ascii="Arial Narrow" w:eastAsiaTheme="majorEastAsia" w:hAnsi="Arial Narrow" w:cs="Times New Roman"/>
                <w:snapToGrid w:val="0"/>
                <w:sz w:val="20"/>
              </w:rPr>
              <w:t xml:space="preserve">High </w:t>
            </w:r>
            <w:r w:rsidR="00292657" w:rsidRPr="00576FA3">
              <w:rPr>
                <w:rFonts w:ascii="Arial Narrow" w:eastAsiaTheme="majorEastAsia" w:hAnsi="Arial Narrow" w:cs="Times New Roman"/>
                <w:snapToGrid w:val="0"/>
                <w:sz w:val="20"/>
              </w:rPr>
              <w:t>–</w:t>
            </w:r>
            <w:r w:rsidRPr="00576FA3">
              <w:rPr>
                <w:rFonts w:ascii="Arial Narrow" w:eastAsiaTheme="majorEastAsia" w:hAnsi="Arial Narrow" w:cs="Times New Roman"/>
                <w:snapToGrid w:val="0"/>
                <w:sz w:val="20"/>
              </w:rPr>
              <w:t xml:space="preserve"> favours larotrectinib. The ICER increases to $</w:t>
            </w:r>
            <w:r w:rsidR="00C66EC7" w:rsidRPr="00C66EC7">
              <w:rPr>
                <w:rFonts w:ascii="Arial Narrow" w:eastAsiaTheme="majorEastAsia" w:hAnsi="Arial Narrow" w:cs="Times New Roman"/>
                <w:snapToGrid w:val="0"/>
                <w:color w:val="000000"/>
                <w:spacing w:val="48"/>
                <w:sz w:val="20"/>
                <w:shd w:val="solid" w:color="000000" w:fill="000000"/>
                <w:fitText w:val="315" w:id="-962355190"/>
                <w14:textFill>
                  <w14:solidFill>
                    <w14:srgbClr w14:val="000000">
                      <w14:alpha w14:val="100000"/>
                    </w14:srgbClr>
                  </w14:solidFill>
                </w14:textFill>
              </w:rPr>
              <w:t>|||</w:t>
            </w:r>
            <w:r w:rsidR="00C66EC7" w:rsidRPr="00C66EC7">
              <w:rPr>
                <w:rFonts w:ascii="Arial Narrow" w:eastAsiaTheme="majorEastAsia" w:hAnsi="Arial Narrow" w:cs="Times New Roman"/>
                <w:snapToGrid w:val="0"/>
                <w:color w:val="000000"/>
                <w:spacing w:val="1"/>
                <w:sz w:val="20"/>
                <w:shd w:val="solid" w:color="000000" w:fill="000000"/>
                <w:fitText w:val="315" w:id="-962355190"/>
                <w14:textFill>
                  <w14:solidFill>
                    <w14:srgbClr w14:val="000000">
                      <w14:alpha w14:val="100000"/>
                    </w14:srgbClr>
                  </w14:solidFill>
                </w14:textFill>
              </w:rPr>
              <w:t>|</w:t>
            </w:r>
            <w:r w:rsidR="002F0548" w:rsidRPr="00560AEC">
              <w:rPr>
                <w:rFonts w:ascii="Arial Narrow" w:eastAsiaTheme="majorEastAsia" w:hAnsi="Arial Narrow" w:cs="Times New Roman"/>
                <w:snapToGrid w:val="0"/>
                <w:sz w:val="20"/>
                <w:vertAlign w:val="superscript"/>
              </w:rPr>
              <w:t>2</w:t>
            </w:r>
            <w:r w:rsidRPr="005A69D8">
              <w:rPr>
                <w:rFonts w:ascii="Arial Narrow" w:eastAsiaTheme="majorEastAsia" w:hAnsi="Arial Narrow" w:cs="Times New Roman"/>
                <w:snapToGrid w:val="0"/>
                <w:sz w:val="20"/>
              </w:rPr>
              <w:t>/</w:t>
            </w:r>
            <w:r w:rsidRPr="002F0548">
              <w:rPr>
                <w:rFonts w:ascii="Arial Narrow" w:eastAsiaTheme="majorEastAsia" w:hAnsi="Arial Narrow" w:cs="Times New Roman"/>
                <w:snapToGrid w:val="0"/>
                <w:sz w:val="20"/>
              </w:rPr>
              <w:t>QALY</w:t>
            </w:r>
            <w:r w:rsidRPr="00576FA3">
              <w:rPr>
                <w:rFonts w:ascii="Arial Narrow" w:eastAsiaTheme="majorEastAsia" w:hAnsi="Arial Narrow" w:cs="Times New Roman"/>
                <w:snapToGrid w:val="0"/>
                <w:sz w:val="20"/>
              </w:rPr>
              <w:t xml:space="preserve"> when the time horizon decreased to </w:t>
            </w:r>
            <w:r w:rsidR="00F25F45" w:rsidRPr="00576FA3">
              <w:rPr>
                <w:rFonts w:ascii="Arial Narrow" w:eastAsiaTheme="majorEastAsia" w:hAnsi="Arial Narrow" w:cs="Times New Roman"/>
                <w:snapToGrid w:val="0"/>
                <w:sz w:val="20"/>
              </w:rPr>
              <w:t>5</w:t>
            </w:r>
            <w:r w:rsidRPr="00576FA3">
              <w:rPr>
                <w:rFonts w:ascii="Arial Narrow" w:eastAsiaTheme="majorEastAsia" w:hAnsi="Arial Narrow" w:cs="Times New Roman"/>
                <w:snapToGrid w:val="0"/>
                <w:sz w:val="20"/>
              </w:rPr>
              <w:t xml:space="preserve"> years. </w:t>
            </w:r>
          </w:p>
        </w:tc>
      </w:tr>
      <w:tr w:rsidR="00097911" w:rsidRPr="000C77A2" w14:paraId="66F1BD22" w14:textId="77777777" w:rsidTr="00504411">
        <w:tc>
          <w:tcPr>
            <w:tcW w:w="625" w:type="pct"/>
            <w:shd w:val="clear" w:color="auto" w:fill="auto"/>
            <w:vAlign w:val="center"/>
          </w:tcPr>
          <w:p w14:paraId="43899DEA" w14:textId="77777777" w:rsidR="00097911" w:rsidRPr="00576FA3" w:rsidRDefault="00097911" w:rsidP="00097911">
            <w:pPr>
              <w:jc w:val="left"/>
              <w:rPr>
                <w:rFonts w:ascii="Arial Narrow" w:eastAsiaTheme="majorEastAsia" w:hAnsi="Arial Narrow" w:cstheme="majorBidi"/>
                <w:snapToGrid w:val="0"/>
                <w:sz w:val="20"/>
              </w:rPr>
            </w:pPr>
            <w:r w:rsidRPr="00576FA3">
              <w:rPr>
                <w:rFonts w:ascii="Arial Narrow" w:eastAsiaTheme="majorEastAsia" w:hAnsi="Arial Narrow" w:cstheme="majorBidi"/>
                <w:snapToGrid w:val="0"/>
                <w:sz w:val="20"/>
              </w:rPr>
              <w:t>Utility weights</w:t>
            </w:r>
          </w:p>
        </w:tc>
        <w:tc>
          <w:tcPr>
            <w:tcW w:w="2359" w:type="pct"/>
            <w:shd w:val="clear" w:color="auto" w:fill="auto"/>
            <w:vAlign w:val="center"/>
          </w:tcPr>
          <w:p w14:paraId="117BE0BE" w14:textId="77777777" w:rsidR="00097911" w:rsidRPr="00576FA3" w:rsidRDefault="00097911" w:rsidP="00097911">
            <w:pPr>
              <w:jc w:val="left"/>
              <w:rPr>
                <w:rFonts w:ascii="Arial Narrow" w:eastAsiaTheme="majorEastAsia" w:hAnsi="Arial Narrow" w:cstheme="majorBidi"/>
                <w:snapToGrid w:val="0"/>
                <w:sz w:val="20"/>
              </w:rPr>
            </w:pPr>
            <w:r w:rsidRPr="00576FA3">
              <w:rPr>
                <w:rFonts w:ascii="Arial Narrow" w:eastAsiaTheme="majorEastAsia" w:hAnsi="Arial Narrow" w:cstheme="majorBidi"/>
                <w:snapToGrid w:val="0"/>
                <w:sz w:val="20"/>
              </w:rPr>
              <w:t xml:space="preserve">PF = 0.713, PD = 0.688. The utility weights were lower than those applied in the previous submission (PF = 0.80, PD = 0.73) and in other submissions presented to the PBAC </w:t>
            </w:r>
            <w:r w:rsidRPr="000C77A2">
              <w:rPr>
                <w:rFonts w:ascii="Arial Narrow" w:hAnsi="Arial Narrow" w:cs="Times New Roman"/>
                <w:snapToGrid w:val="0"/>
                <w:sz w:val="20"/>
                <w:szCs w:val="20"/>
              </w:rPr>
              <w:t>(PF=0.81, PD=0.72; para 6.48, atezolizumab PSD, July 2022 PBAC meeting)</w:t>
            </w:r>
          </w:p>
        </w:tc>
        <w:tc>
          <w:tcPr>
            <w:tcW w:w="2016" w:type="pct"/>
            <w:shd w:val="clear" w:color="auto" w:fill="auto"/>
            <w:vAlign w:val="center"/>
          </w:tcPr>
          <w:p w14:paraId="58699E7B" w14:textId="15014660" w:rsidR="00097911" w:rsidRPr="00576FA3" w:rsidRDefault="00097911" w:rsidP="00097911">
            <w:pPr>
              <w:jc w:val="left"/>
              <w:rPr>
                <w:rFonts w:ascii="Arial Narrow" w:eastAsiaTheme="majorEastAsia" w:hAnsi="Arial Narrow" w:cstheme="majorBidi"/>
                <w:snapToGrid w:val="0"/>
                <w:sz w:val="20"/>
              </w:rPr>
            </w:pPr>
            <w:r w:rsidRPr="00576FA3">
              <w:rPr>
                <w:rFonts w:ascii="Arial Narrow" w:eastAsiaTheme="majorEastAsia" w:hAnsi="Arial Narrow" w:cstheme="majorBidi"/>
                <w:snapToGrid w:val="0"/>
                <w:sz w:val="20"/>
              </w:rPr>
              <w:t>Moderate – favours docetaxel. Applying alternate utility values leads to a reduction in the ICER ($</w:t>
            </w:r>
            <w:r w:rsidR="00C66EC7" w:rsidRPr="00C66EC7">
              <w:rPr>
                <w:rFonts w:ascii="Arial Narrow" w:eastAsiaTheme="majorEastAsia" w:hAnsi="Arial Narrow" w:cstheme="majorBidi"/>
                <w:snapToGrid w:val="0"/>
                <w:color w:val="000000"/>
                <w:spacing w:val="53"/>
                <w:sz w:val="20"/>
                <w:shd w:val="solid" w:color="000000" w:fill="000000"/>
                <w:fitText w:val="330" w:id="-962355189"/>
                <w14:textFill>
                  <w14:solidFill>
                    <w14:srgbClr w14:val="000000">
                      <w14:alpha w14:val="100000"/>
                    </w14:srgbClr>
                  </w14:solidFill>
                </w14:textFill>
              </w:rPr>
              <w:t>|||</w:t>
            </w:r>
            <w:r w:rsidR="00C66EC7" w:rsidRPr="00C66EC7">
              <w:rPr>
                <w:rFonts w:ascii="Arial Narrow" w:eastAsiaTheme="majorEastAsia" w:hAnsi="Arial Narrow" w:cstheme="majorBidi"/>
                <w:snapToGrid w:val="0"/>
                <w:color w:val="000000"/>
                <w:spacing w:val="1"/>
                <w:sz w:val="20"/>
                <w:shd w:val="solid" w:color="000000" w:fill="000000"/>
                <w:fitText w:val="330" w:id="-962355189"/>
                <w14:textFill>
                  <w14:solidFill>
                    <w14:srgbClr w14:val="000000">
                      <w14:alpha w14:val="100000"/>
                    </w14:srgbClr>
                  </w14:solidFill>
                </w14:textFill>
              </w:rPr>
              <w:t>|</w:t>
            </w:r>
            <w:r w:rsidR="005A69D8">
              <w:rPr>
                <w:rFonts w:ascii="Arial Narrow" w:eastAsiaTheme="majorEastAsia" w:hAnsi="Arial Narrow" w:cs="Times New Roman"/>
                <w:snapToGrid w:val="0"/>
                <w:sz w:val="20"/>
                <w:vertAlign w:val="superscript"/>
              </w:rPr>
              <w:t>3</w:t>
            </w:r>
            <w:r w:rsidR="008F6578" w:rsidRPr="00576FA3">
              <w:rPr>
                <w:rFonts w:ascii="Arial Narrow" w:eastAsiaTheme="majorEastAsia" w:hAnsi="Arial Narrow" w:cstheme="majorBidi"/>
                <w:snapToGrid w:val="0"/>
                <w:sz w:val="20"/>
              </w:rPr>
              <w:t>/</w:t>
            </w:r>
            <w:r w:rsidRPr="00576FA3">
              <w:rPr>
                <w:rFonts w:ascii="Arial Narrow" w:eastAsiaTheme="majorEastAsia" w:hAnsi="Arial Narrow" w:cstheme="majorBidi"/>
                <w:snapToGrid w:val="0"/>
                <w:sz w:val="20"/>
              </w:rPr>
              <w:t>QALY gained with previous submission estimates (</w:t>
            </w:r>
            <w:proofErr w:type="gramStart"/>
            <w:r w:rsidRPr="00576FA3">
              <w:rPr>
                <w:rFonts w:ascii="Arial Narrow" w:eastAsiaTheme="majorEastAsia" w:hAnsi="Arial Narrow" w:cstheme="majorBidi"/>
                <w:snapToGrid w:val="0"/>
                <w:sz w:val="20"/>
              </w:rPr>
              <w:t>similar to</w:t>
            </w:r>
            <w:proofErr w:type="gramEnd"/>
            <w:r w:rsidRPr="00576FA3">
              <w:rPr>
                <w:rFonts w:ascii="Arial Narrow" w:eastAsiaTheme="majorEastAsia" w:hAnsi="Arial Narrow" w:cstheme="majorBidi"/>
                <w:snapToGrid w:val="0"/>
                <w:sz w:val="20"/>
              </w:rPr>
              <w:t xml:space="preserve"> that for previously accepted PBAC values). </w:t>
            </w:r>
          </w:p>
        </w:tc>
      </w:tr>
      <w:tr w:rsidR="00097911" w:rsidRPr="000C77A2" w14:paraId="191FC121" w14:textId="77777777" w:rsidTr="00504411">
        <w:tc>
          <w:tcPr>
            <w:tcW w:w="625" w:type="pct"/>
            <w:shd w:val="clear" w:color="auto" w:fill="auto"/>
            <w:vAlign w:val="center"/>
          </w:tcPr>
          <w:p w14:paraId="62F1A322" w14:textId="77777777" w:rsidR="00097911" w:rsidRPr="00576FA3" w:rsidRDefault="00097911" w:rsidP="00097911">
            <w:pPr>
              <w:jc w:val="left"/>
              <w:rPr>
                <w:rFonts w:ascii="Arial Narrow" w:eastAsiaTheme="majorEastAsia" w:hAnsi="Arial Narrow" w:cstheme="majorBidi"/>
                <w:snapToGrid w:val="0"/>
                <w:sz w:val="20"/>
              </w:rPr>
            </w:pPr>
            <w:r w:rsidRPr="00576FA3">
              <w:rPr>
                <w:rFonts w:ascii="Arial Narrow" w:eastAsiaTheme="majorEastAsia" w:hAnsi="Arial Narrow" w:cstheme="majorBidi"/>
                <w:snapToGrid w:val="0"/>
                <w:sz w:val="20"/>
              </w:rPr>
              <w:t>OS and PFS extrapolations</w:t>
            </w:r>
          </w:p>
        </w:tc>
        <w:tc>
          <w:tcPr>
            <w:tcW w:w="2359" w:type="pct"/>
            <w:shd w:val="clear" w:color="auto" w:fill="auto"/>
            <w:vAlign w:val="center"/>
          </w:tcPr>
          <w:p w14:paraId="6B0C2AC3" w14:textId="499F0BBC" w:rsidR="00097911" w:rsidRPr="00576FA3" w:rsidRDefault="00097911" w:rsidP="00097911">
            <w:pPr>
              <w:jc w:val="left"/>
              <w:rPr>
                <w:rFonts w:ascii="Arial Narrow" w:eastAsiaTheme="majorEastAsia" w:hAnsi="Arial Narrow" w:cstheme="majorBidi"/>
                <w:snapToGrid w:val="0"/>
                <w:sz w:val="20"/>
              </w:rPr>
            </w:pPr>
            <w:r w:rsidRPr="00576FA3">
              <w:rPr>
                <w:rFonts w:ascii="Arial Narrow" w:eastAsiaTheme="majorEastAsia" w:hAnsi="Arial Narrow" w:cstheme="majorBidi"/>
                <w:snapToGrid w:val="0"/>
                <w:sz w:val="20"/>
              </w:rPr>
              <w:t xml:space="preserve">Parametric models were selected based on AIC/BIC values only (exponential models used for both OS and PFS for larotrectinib; log-normal models for both OS and PFS for docetaxel). The parametric models chosen in the resubmission were not the most conservative extrapolations which was inconsistent with previous PBAC advice </w:t>
            </w:r>
            <w:r w:rsidRPr="000C77A2">
              <w:rPr>
                <w:rFonts w:ascii="Arial Narrow" w:hAnsi="Arial Narrow" w:cs="Times New Roman"/>
                <w:snapToGrid w:val="0"/>
                <w:sz w:val="20"/>
                <w:lang w:bidi="en-US"/>
              </w:rPr>
              <w:t>(para 7.16, November 2021 PBAC Meeting</w:t>
            </w:r>
            <w:r w:rsidRPr="000C77A2">
              <w:rPr>
                <w:rFonts w:ascii="Arial Narrow" w:hAnsi="Arial Narrow" w:cs="Times New Roman"/>
                <w:snapToGrid w:val="0"/>
                <w:sz w:val="20"/>
              </w:rPr>
              <w:t xml:space="preserve"> </w:t>
            </w:r>
            <w:r w:rsidRPr="000C77A2">
              <w:rPr>
                <w:rFonts w:ascii="Arial Narrow" w:hAnsi="Arial Narrow" w:cs="Times New Roman"/>
                <w:snapToGrid w:val="0"/>
                <w:sz w:val="20"/>
                <w:lang w:bidi="en-US"/>
              </w:rPr>
              <w:t>with March 2022 Addendum).</w:t>
            </w:r>
          </w:p>
        </w:tc>
        <w:tc>
          <w:tcPr>
            <w:tcW w:w="2016" w:type="pct"/>
            <w:shd w:val="clear" w:color="auto" w:fill="auto"/>
            <w:vAlign w:val="center"/>
          </w:tcPr>
          <w:p w14:paraId="4CD16BC2" w14:textId="7A2E89AB" w:rsidR="00097911" w:rsidRPr="00576FA3" w:rsidRDefault="00097911" w:rsidP="00097911">
            <w:pPr>
              <w:jc w:val="left"/>
              <w:rPr>
                <w:rFonts w:ascii="Arial Narrow" w:eastAsiaTheme="majorEastAsia" w:hAnsi="Arial Narrow" w:cstheme="majorBidi"/>
                <w:snapToGrid w:val="0"/>
                <w:sz w:val="20"/>
              </w:rPr>
            </w:pPr>
            <w:r w:rsidRPr="00576FA3">
              <w:rPr>
                <w:rFonts w:ascii="Arial Narrow" w:eastAsiaTheme="majorEastAsia" w:hAnsi="Arial Narrow" w:cstheme="majorBidi"/>
                <w:snapToGrid w:val="0"/>
                <w:sz w:val="20"/>
              </w:rPr>
              <w:t xml:space="preserve">Moderate </w:t>
            </w:r>
            <w:r w:rsidR="00292657" w:rsidRPr="00576FA3">
              <w:rPr>
                <w:rFonts w:ascii="Arial Narrow" w:eastAsiaTheme="majorEastAsia" w:hAnsi="Arial Narrow" w:cstheme="majorBidi"/>
                <w:snapToGrid w:val="0"/>
                <w:sz w:val="20"/>
              </w:rPr>
              <w:t>–</w:t>
            </w:r>
            <w:r w:rsidRPr="00576FA3">
              <w:rPr>
                <w:rFonts w:ascii="Arial Narrow" w:eastAsiaTheme="majorEastAsia" w:hAnsi="Arial Narrow" w:cstheme="majorBidi"/>
                <w:snapToGrid w:val="0"/>
                <w:sz w:val="20"/>
              </w:rPr>
              <w:t xml:space="preserve"> favours larotrectinib. When the most conservative extrapolations are chosen (OS: Weibull and Log-logistic; PFS: Gompertz and Log-logistic [for larotrectinib and docetaxel, respectively] the ICER increases to $</w:t>
            </w:r>
            <w:r w:rsidR="00C66EC7" w:rsidRPr="00C66EC7">
              <w:rPr>
                <w:rFonts w:ascii="Arial Narrow" w:eastAsiaTheme="majorEastAsia" w:hAnsi="Arial Narrow" w:cstheme="majorBidi"/>
                <w:snapToGrid w:val="0"/>
                <w:color w:val="000000"/>
                <w:spacing w:val="53"/>
                <w:sz w:val="20"/>
                <w:shd w:val="solid" w:color="000000" w:fill="000000"/>
                <w:fitText w:val="330" w:id="-962355188"/>
                <w14:textFill>
                  <w14:solidFill>
                    <w14:srgbClr w14:val="000000">
                      <w14:alpha w14:val="100000"/>
                    </w14:srgbClr>
                  </w14:solidFill>
                </w14:textFill>
              </w:rPr>
              <w:t>|||</w:t>
            </w:r>
            <w:r w:rsidR="00C66EC7" w:rsidRPr="00C66EC7">
              <w:rPr>
                <w:rFonts w:ascii="Arial Narrow" w:eastAsiaTheme="majorEastAsia" w:hAnsi="Arial Narrow" w:cstheme="majorBidi"/>
                <w:snapToGrid w:val="0"/>
                <w:color w:val="000000"/>
                <w:spacing w:val="1"/>
                <w:sz w:val="20"/>
                <w:shd w:val="solid" w:color="000000" w:fill="000000"/>
                <w:fitText w:val="330" w:id="-962355188"/>
                <w14:textFill>
                  <w14:solidFill>
                    <w14:srgbClr w14:val="000000">
                      <w14:alpha w14:val="100000"/>
                    </w14:srgbClr>
                  </w14:solidFill>
                </w14:textFill>
              </w:rPr>
              <w:t>|</w:t>
            </w:r>
            <w:r w:rsidR="005A69D8" w:rsidRPr="00162C9D">
              <w:rPr>
                <w:rFonts w:ascii="Arial Narrow" w:eastAsiaTheme="majorEastAsia" w:hAnsi="Arial Narrow" w:cs="Times New Roman"/>
                <w:snapToGrid w:val="0"/>
                <w:sz w:val="20"/>
                <w:vertAlign w:val="superscript"/>
              </w:rPr>
              <w:t>2</w:t>
            </w:r>
            <w:r w:rsidRPr="00576FA3">
              <w:rPr>
                <w:rFonts w:ascii="Arial Narrow" w:eastAsiaTheme="majorEastAsia" w:hAnsi="Arial Narrow" w:cstheme="majorBidi"/>
                <w:snapToGrid w:val="0"/>
                <w:sz w:val="20"/>
              </w:rPr>
              <w:t xml:space="preserve">/QALY gained. </w:t>
            </w:r>
          </w:p>
        </w:tc>
      </w:tr>
    </w:tbl>
    <w:p w14:paraId="7240C5AF" w14:textId="77777777" w:rsidR="00097911" w:rsidRPr="000C77A2"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 xml:space="preserve">Source: compiled during the evaluation. </w:t>
      </w:r>
    </w:p>
    <w:p w14:paraId="39ECBB58" w14:textId="77777777" w:rsidR="00097911"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AIC/BIC = Akaike information criterion/Bayesian information criterion; ICER = incremental cost-effectiveness ratio; NSCLC = non-small cell lung cancer; OS = overall survival; PD = progressive disease; PF = progression-free; PFS= progression-free survival; QALY = quality-adjusted life year.</w:t>
      </w:r>
    </w:p>
    <w:p w14:paraId="03A66299" w14:textId="77777777" w:rsidR="002F0548" w:rsidRPr="00560AEC" w:rsidRDefault="002F0548" w:rsidP="002F0548">
      <w:pPr>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212129D4" w14:textId="70296B7B" w:rsidR="002F0548" w:rsidRPr="00560AEC" w:rsidRDefault="002F0548" w:rsidP="002F0548">
      <w:pPr>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w:t>
      </w:r>
      <w:r w:rsidRPr="002F0548">
        <w:rPr>
          <w:rFonts w:ascii="Arial Narrow" w:hAnsi="Arial Narrow" w:cstheme="minorHAnsi"/>
          <w:bCs/>
          <w:i/>
          <w:iCs/>
          <w:sz w:val="18"/>
          <w:szCs w:val="18"/>
        </w:rPr>
        <w:t>$135,000 to &lt; $155,000</w:t>
      </w:r>
    </w:p>
    <w:p w14:paraId="104E5DDF" w14:textId="133D44AB" w:rsidR="002F0548" w:rsidRPr="00560AEC" w:rsidRDefault="002F0548" w:rsidP="002F0548">
      <w:pPr>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w:t>
      </w:r>
      <w:r w:rsidRPr="002F0548">
        <w:rPr>
          <w:rFonts w:ascii="Arial Narrow" w:hAnsi="Arial Narrow" w:cstheme="minorHAnsi"/>
          <w:bCs/>
          <w:i/>
          <w:iCs/>
          <w:sz w:val="18"/>
          <w:szCs w:val="18"/>
        </w:rPr>
        <w:t>$1</w:t>
      </w:r>
      <w:r>
        <w:rPr>
          <w:rFonts w:ascii="Arial Narrow" w:hAnsi="Arial Narrow" w:cstheme="minorHAnsi"/>
          <w:bCs/>
          <w:i/>
          <w:iCs/>
          <w:sz w:val="18"/>
          <w:szCs w:val="18"/>
        </w:rPr>
        <w:t>5</w:t>
      </w:r>
      <w:r w:rsidRPr="002F0548">
        <w:rPr>
          <w:rFonts w:ascii="Arial Narrow" w:hAnsi="Arial Narrow" w:cstheme="minorHAnsi"/>
          <w:bCs/>
          <w:i/>
          <w:iCs/>
          <w:sz w:val="18"/>
          <w:szCs w:val="18"/>
        </w:rPr>
        <w:t>5,000 to &lt; $</w:t>
      </w:r>
      <w:r>
        <w:rPr>
          <w:rFonts w:ascii="Arial Narrow" w:hAnsi="Arial Narrow" w:cstheme="minorHAnsi"/>
          <w:bCs/>
          <w:i/>
          <w:iCs/>
          <w:sz w:val="18"/>
          <w:szCs w:val="18"/>
        </w:rPr>
        <w:t>2</w:t>
      </w:r>
      <w:r w:rsidRPr="002F0548">
        <w:rPr>
          <w:rFonts w:ascii="Arial Narrow" w:hAnsi="Arial Narrow" w:cstheme="minorHAnsi"/>
          <w:bCs/>
          <w:i/>
          <w:iCs/>
          <w:sz w:val="18"/>
          <w:szCs w:val="18"/>
        </w:rPr>
        <w:t>55,000</w:t>
      </w:r>
    </w:p>
    <w:p w14:paraId="49DBE0AE" w14:textId="20C5718A" w:rsidR="00097911" w:rsidRPr="000C77A2" w:rsidRDefault="002F0548" w:rsidP="00560AEC">
      <w:pPr>
        <w:spacing w:after="120"/>
        <w:jc w:val="left"/>
        <w:rPr>
          <w:rFonts w:ascii="Arial Narrow" w:hAnsi="Arial Narrow"/>
          <w:snapToGrid w:val="0"/>
          <w:sz w:val="18"/>
          <w:szCs w:val="22"/>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w:t>
      </w:r>
      <w:r w:rsidR="005A69D8" w:rsidRPr="002F0548">
        <w:rPr>
          <w:rFonts w:ascii="Arial Narrow" w:hAnsi="Arial Narrow" w:cstheme="minorHAnsi"/>
          <w:bCs/>
          <w:i/>
          <w:iCs/>
          <w:sz w:val="18"/>
          <w:szCs w:val="18"/>
        </w:rPr>
        <w:t>$1</w:t>
      </w:r>
      <w:r w:rsidR="005A69D8">
        <w:rPr>
          <w:rFonts w:ascii="Arial Narrow" w:hAnsi="Arial Narrow" w:cstheme="minorHAnsi"/>
          <w:bCs/>
          <w:i/>
          <w:iCs/>
          <w:sz w:val="18"/>
          <w:szCs w:val="18"/>
        </w:rPr>
        <w:t>1</w:t>
      </w:r>
      <w:r w:rsidR="005A69D8" w:rsidRPr="002F0548">
        <w:rPr>
          <w:rFonts w:ascii="Arial Narrow" w:hAnsi="Arial Narrow" w:cstheme="minorHAnsi"/>
          <w:bCs/>
          <w:i/>
          <w:iCs/>
          <w:sz w:val="18"/>
          <w:szCs w:val="18"/>
        </w:rPr>
        <w:t>5,000 to &lt; $</w:t>
      </w:r>
      <w:r w:rsidR="005A69D8">
        <w:rPr>
          <w:rFonts w:ascii="Arial Narrow" w:hAnsi="Arial Narrow" w:cstheme="minorHAnsi"/>
          <w:bCs/>
          <w:i/>
          <w:iCs/>
          <w:sz w:val="18"/>
          <w:szCs w:val="18"/>
        </w:rPr>
        <w:t>13</w:t>
      </w:r>
      <w:r w:rsidR="005A69D8" w:rsidRPr="002F0548">
        <w:rPr>
          <w:rFonts w:ascii="Arial Narrow" w:hAnsi="Arial Narrow" w:cstheme="minorHAnsi"/>
          <w:bCs/>
          <w:i/>
          <w:iCs/>
          <w:sz w:val="18"/>
          <w:szCs w:val="18"/>
        </w:rPr>
        <w:t>5,000</w:t>
      </w:r>
    </w:p>
    <w:p w14:paraId="13475884" w14:textId="32048FF7" w:rsidR="00097911" w:rsidRPr="000C77A2" w:rsidRDefault="00097911" w:rsidP="00097911">
      <w:pPr>
        <w:keepNext/>
        <w:keepLines/>
        <w:rPr>
          <w:rFonts w:ascii="Arial Narrow" w:hAnsi="Arial Narrow"/>
          <w:b/>
          <w:bCs/>
          <w:sz w:val="20"/>
          <w:szCs w:val="18"/>
        </w:rPr>
      </w:pPr>
      <w:bookmarkStart w:id="50" w:name="_Ref155625016"/>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16</w:t>
      </w:r>
      <w:r w:rsidRPr="00576FA3">
        <w:rPr>
          <w:rFonts w:ascii="Arial Narrow" w:hAnsi="Arial Narrow"/>
          <w:b/>
          <w:bCs/>
          <w:sz w:val="20"/>
          <w:szCs w:val="18"/>
        </w:rPr>
        <w:fldChar w:fldCharType="end"/>
      </w:r>
      <w:bookmarkEnd w:id="50"/>
      <w:r w:rsidRPr="000C77A2">
        <w:rPr>
          <w:rFonts w:ascii="Arial Narrow" w:hAnsi="Arial Narrow"/>
          <w:b/>
          <w:bCs/>
          <w:sz w:val="20"/>
          <w:szCs w:val="18"/>
        </w:rPr>
        <w:t>: Key drivers of the STS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drivers of the STS model"/>
      </w:tblPr>
      <w:tblGrid>
        <w:gridCol w:w="1129"/>
        <w:gridCol w:w="4252"/>
        <w:gridCol w:w="3636"/>
      </w:tblGrid>
      <w:tr w:rsidR="00097911" w:rsidRPr="000C77A2" w14:paraId="03E7D2BB" w14:textId="77777777" w:rsidTr="00504411">
        <w:trPr>
          <w:tblHeader/>
        </w:trPr>
        <w:tc>
          <w:tcPr>
            <w:tcW w:w="626" w:type="pct"/>
            <w:shd w:val="clear" w:color="auto" w:fill="auto"/>
            <w:vAlign w:val="center"/>
          </w:tcPr>
          <w:p w14:paraId="331B899C" w14:textId="77777777" w:rsidR="00097911" w:rsidRPr="00576FA3" w:rsidRDefault="00097911" w:rsidP="00097911">
            <w:pPr>
              <w:keepNext/>
              <w:jc w:val="left"/>
              <w:rPr>
                <w:rFonts w:ascii="Arial Narrow" w:eastAsiaTheme="majorEastAsia" w:hAnsi="Arial Narrow" w:cstheme="majorBidi"/>
                <w:b/>
                <w:bCs/>
                <w:sz w:val="20"/>
              </w:rPr>
            </w:pPr>
            <w:r w:rsidRPr="00576FA3">
              <w:rPr>
                <w:rFonts w:ascii="Arial Narrow" w:eastAsiaTheme="majorEastAsia" w:hAnsi="Arial Narrow" w:cstheme="majorBidi"/>
                <w:b/>
                <w:bCs/>
                <w:sz w:val="20"/>
              </w:rPr>
              <w:t>Description</w:t>
            </w:r>
          </w:p>
        </w:tc>
        <w:tc>
          <w:tcPr>
            <w:tcW w:w="2358" w:type="pct"/>
            <w:shd w:val="clear" w:color="auto" w:fill="auto"/>
            <w:vAlign w:val="center"/>
          </w:tcPr>
          <w:p w14:paraId="427AEE5A" w14:textId="77777777" w:rsidR="00097911" w:rsidRPr="00576FA3" w:rsidRDefault="00097911" w:rsidP="00097911">
            <w:pPr>
              <w:keepNext/>
              <w:jc w:val="left"/>
              <w:rPr>
                <w:rFonts w:ascii="Arial Narrow" w:eastAsiaTheme="majorEastAsia" w:hAnsi="Arial Narrow" w:cstheme="majorBidi"/>
                <w:b/>
                <w:bCs/>
                <w:sz w:val="20"/>
              </w:rPr>
            </w:pPr>
            <w:r w:rsidRPr="00576FA3">
              <w:rPr>
                <w:rFonts w:ascii="Arial Narrow" w:eastAsiaTheme="majorEastAsia" w:hAnsi="Arial Narrow" w:cstheme="majorBidi"/>
                <w:b/>
                <w:bCs/>
                <w:sz w:val="20"/>
              </w:rPr>
              <w:t>Method/Value</w:t>
            </w:r>
          </w:p>
        </w:tc>
        <w:tc>
          <w:tcPr>
            <w:tcW w:w="2016" w:type="pct"/>
            <w:shd w:val="clear" w:color="auto" w:fill="auto"/>
            <w:vAlign w:val="center"/>
          </w:tcPr>
          <w:p w14:paraId="0116D3E2" w14:textId="77777777" w:rsidR="00097911" w:rsidRPr="00576FA3" w:rsidRDefault="00097911" w:rsidP="00097911">
            <w:pPr>
              <w:keepNext/>
              <w:jc w:val="left"/>
              <w:rPr>
                <w:rFonts w:ascii="Arial Narrow" w:eastAsiaTheme="majorEastAsia" w:hAnsi="Arial Narrow" w:cstheme="majorBidi"/>
                <w:b/>
                <w:bCs/>
                <w:sz w:val="20"/>
              </w:rPr>
            </w:pPr>
            <w:r w:rsidRPr="00576FA3">
              <w:rPr>
                <w:rFonts w:ascii="Arial Narrow" w:eastAsiaTheme="majorEastAsia" w:hAnsi="Arial Narrow" w:cstheme="majorBidi"/>
                <w:b/>
                <w:bCs/>
                <w:sz w:val="20"/>
              </w:rPr>
              <w:t>Impact</w:t>
            </w:r>
          </w:p>
          <w:p w14:paraId="63CB28C4" w14:textId="2D48661C" w:rsidR="00097911" w:rsidRPr="00576FA3" w:rsidRDefault="00097911" w:rsidP="00097911">
            <w:pPr>
              <w:keepNext/>
              <w:jc w:val="left"/>
              <w:rPr>
                <w:rFonts w:ascii="Arial Narrow" w:eastAsiaTheme="majorEastAsia" w:hAnsi="Arial Narrow" w:cstheme="majorBidi"/>
                <w:b/>
                <w:bCs/>
                <w:sz w:val="20"/>
              </w:rPr>
            </w:pPr>
            <w:r w:rsidRPr="00576FA3">
              <w:rPr>
                <w:rFonts w:ascii="Arial Narrow" w:eastAsiaTheme="majorEastAsia" w:hAnsi="Arial Narrow" w:cstheme="majorBidi"/>
                <w:b/>
                <w:bCs/>
                <w:sz w:val="20"/>
              </w:rPr>
              <w:t>(Revised base case: $</w:t>
            </w:r>
            <w:r w:rsidR="00C66EC7" w:rsidRPr="00C66EC7">
              <w:rPr>
                <w:rFonts w:ascii="Arial Narrow" w:eastAsiaTheme="majorEastAsia" w:hAnsi="Arial Narrow" w:cstheme="majorBidi"/>
                <w:b/>
                <w:bCs/>
                <w:color w:val="000000"/>
                <w:spacing w:val="53"/>
                <w:sz w:val="20"/>
                <w:shd w:val="solid" w:color="000000" w:fill="000000"/>
                <w:fitText w:val="345" w:id="-962355187"/>
                <w14:textFill>
                  <w14:solidFill>
                    <w14:srgbClr w14:val="000000">
                      <w14:alpha w14:val="100000"/>
                    </w14:srgbClr>
                  </w14:solidFill>
                </w14:textFill>
              </w:rPr>
              <w:t>|||</w:t>
            </w:r>
            <w:r w:rsidR="00C66EC7" w:rsidRPr="00C66EC7">
              <w:rPr>
                <w:rFonts w:ascii="Arial Narrow" w:eastAsiaTheme="majorEastAsia" w:hAnsi="Arial Narrow" w:cstheme="majorBidi"/>
                <w:b/>
                <w:bCs/>
                <w:color w:val="000000"/>
                <w:spacing w:val="3"/>
                <w:sz w:val="20"/>
                <w:shd w:val="solid" w:color="000000" w:fill="000000"/>
                <w:fitText w:val="345" w:id="-962355187"/>
                <w14:textFill>
                  <w14:solidFill>
                    <w14:srgbClr w14:val="000000">
                      <w14:alpha w14:val="100000"/>
                    </w14:srgbClr>
                  </w14:solidFill>
                </w14:textFill>
              </w:rPr>
              <w:t>|</w:t>
            </w:r>
            <w:r w:rsidR="00D96203" w:rsidRPr="00162C9D">
              <w:rPr>
                <w:rFonts w:ascii="Arial Narrow" w:eastAsiaTheme="majorEastAsia" w:hAnsi="Arial Narrow" w:cstheme="majorBidi"/>
                <w:bCs/>
                <w:sz w:val="20"/>
                <w:vertAlign w:val="superscript"/>
              </w:rPr>
              <w:t>1</w:t>
            </w:r>
            <w:r w:rsidRPr="00576FA3">
              <w:rPr>
                <w:rFonts w:ascii="Arial Narrow" w:eastAsiaTheme="majorEastAsia" w:hAnsi="Arial Narrow" w:cstheme="majorBidi"/>
                <w:b/>
                <w:bCs/>
                <w:sz w:val="20"/>
              </w:rPr>
              <w:t xml:space="preserve">/QALY gained) </w:t>
            </w:r>
          </w:p>
        </w:tc>
      </w:tr>
      <w:tr w:rsidR="00097911" w:rsidRPr="000C77A2" w14:paraId="52FC8F86" w14:textId="77777777" w:rsidTr="00504411">
        <w:trPr>
          <w:tblHeader/>
        </w:trPr>
        <w:tc>
          <w:tcPr>
            <w:tcW w:w="626" w:type="pct"/>
            <w:shd w:val="clear" w:color="auto" w:fill="auto"/>
            <w:vAlign w:val="center"/>
          </w:tcPr>
          <w:p w14:paraId="6F8C019C"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Incremental benefit of larotrectinib</w:t>
            </w:r>
          </w:p>
        </w:tc>
        <w:tc>
          <w:tcPr>
            <w:tcW w:w="2358" w:type="pct"/>
            <w:shd w:val="clear" w:color="auto" w:fill="auto"/>
            <w:vAlign w:val="center"/>
          </w:tcPr>
          <w:p w14:paraId="6926A7EB"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Based on indirect comparison of single arm studies which contain major transitivity issue</w:t>
            </w:r>
          </w:p>
        </w:tc>
        <w:tc>
          <w:tcPr>
            <w:tcW w:w="2016" w:type="pct"/>
            <w:shd w:val="clear" w:color="auto" w:fill="auto"/>
            <w:vAlign w:val="center"/>
          </w:tcPr>
          <w:p w14:paraId="0B04D218"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 xml:space="preserve">Likely high but not testable. </w:t>
            </w:r>
          </w:p>
        </w:tc>
      </w:tr>
      <w:tr w:rsidR="00097911" w:rsidRPr="000C77A2" w14:paraId="424E2BAD" w14:textId="77777777" w:rsidTr="00504411">
        <w:trPr>
          <w:tblHeader/>
        </w:trPr>
        <w:tc>
          <w:tcPr>
            <w:tcW w:w="626" w:type="pct"/>
            <w:shd w:val="clear" w:color="auto" w:fill="auto"/>
            <w:vAlign w:val="center"/>
          </w:tcPr>
          <w:p w14:paraId="3E1AF959"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Time horizon</w:t>
            </w:r>
          </w:p>
        </w:tc>
        <w:tc>
          <w:tcPr>
            <w:tcW w:w="2358" w:type="pct"/>
            <w:shd w:val="clear" w:color="auto" w:fill="auto"/>
            <w:vAlign w:val="center"/>
          </w:tcPr>
          <w:p w14:paraId="2BDC93DD"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10 years. While this was reduced from the previous submission (15 years previously), the time horizon chosen was substantially longer than what the PBAC have previously accepted in the later-line setting of STS (</w:t>
            </w:r>
            <w:r w:rsidRPr="000C77A2">
              <w:rPr>
                <w:rFonts w:ascii="Arial Narrow" w:eastAsiaTheme="majorEastAsia" w:hAnsi="Arial Narrow" w:cstheme="majorBidi"/>
                <w:bCs/>
                <w:sz w:val="20"/>
              </w:rPr>
              <w:t>para 6.48, atezolizumab PSD, July 2022 PBAC meeting</w:t>
            </w:r>
            <w:r w:rsidRPr="00576FA3">
              <w:rPr>
                <w:rFonts w:ascii="Arial Narrow" w:eastAsiaTheme="majorEastAsia" w:hAnsi="Arial Narrow" w:cstheme="majorBidi"/>
                <w:bCs/>
                <w:sz w:val="20"/>
              </w:rPr>
              <w:t>).</w:t>
            </w:r>
          </w:p>
        </w:tc>
        <w:tc>
          <w:tcPr>
            <w:tcW w:w="2016" w:type="pct"/>
            <w:shd w:val="clear" w:color="auto" w:fill="auto"/>
            <w:vAlign w:val="center"/>
          </w:tcPr>
          <w:p w14:paraId="48215888" w14:textId="438FF61D" w:rsidR="00097911" w:rsidRPr="00576FA3" w:rsidRDefault="00097911" w:rsidP="00097911">
            <w:pPr>
              <w:keepNext/>
              <w:jc w:val="left"/>
              <w:rPr>
                <w:rFonts w:ascii="Arial Narrow" w:eastAsiaTheme="majorEastAsia" w:hAnsi="Arial Narrow" w:cstheme="majorBidi"/>
                <w:b/>
                <w:bCs/>
                <w:sz w:val="20"/>
              </w:rPr>
            </w:pPr>
            <w:r w:rsidRPr="00576FA3">
              <w:rPr>
                <w:rFonts w:ascii="Arial Narrow" w:eastAsiaTheme="majorEastAsia" w:hAnsi="Arial Narrow" w:cstheme="majorBidi"/>
                <w:bCs/>
                <w:sz w:val="20"/>
              </w:rPr>
              <w:t xml:space="preserve">High </w:t>
            </w:r>
            <w:r w:rsidR="00292657" w:rsidRPr="00576FA3">
              <w:rPr>
                <w:rFonts w:ascii="Arial Narrow" w:eastAsiaTheme="majorEastAsia" w:hAnsi="Arial Narrow" w:cstheme="majorBidi"/>
                <w:bCs/>
                <w:sz w:val="20"/>
              </w:rPr>
              <w:t>–</w:t>
            </w:r>
            <w:r w:rsidRPr="00576FA3">
              <w:rPr>
                <w:rFonts w:ascii="Arial Narrow" w:eastAsiaTheme="majorEastAsia" w:hAnsi="Arial Narrow" w:cstheme="majorBidi"/>
                <w:bCs/>
                <w:sz w:val="20"/>
              </w:rPr>
              <w:t xml:space="preserve"> favours larotrectinib. The ICER increases to $</w:t>
            </w:r>
            <w:r w:rsidR="00C66EC7" w:rsidRPr="00C66EC7">
              <w:rPr>
                <w:rFonts w:ascii="Arial Narrow" w:eastAsiaTheme="majorEastAsia" w:hAnsi="Arial Narrow" w:cstheme="majorBidi"/>
                <w:bCs/>
                <w:color w:val="000000"/>
                <w:spacing w:val="48"/>
                <w:sz w:val="20"/>
                <w:shd w:val="solid" w:color="000000" w:fill="000000"/>
                <w:fitText w:val="315" w:id="-962355186"/>
                <w14:textFill>
                  <w14:solidFill>
                    <w14:srgbClr w14:val="000000">
                      <w14:alpha w14:val="100000"/>
                    </w14:srgbClr>
                  </w14:solidFill>
                </w14:textFill>
              </w:rPr>
              <w:t>|||</w:t>
            </w:r>
            <w:r w:rsidR="00C66EC7" w:rsidRPr="00C66EC7">
              <w:rPr>
                <w:rFonts w:ascii="Arial Narrow" w:eastAsiaTheme="majorEastAsia" w:hAnsi="Arial Narrow" w:cstheme="majorBidi"/>
                <w:bCs/>
                <w:color w:val="000000"/>
                <w:spacing w:val="1"/>
                <w:sz w:val="20"/>
                <w:shd w:val="solid" w:color="000000" w:fill="000000"/>
                <w:fitText w:val="315" w:id="-962355186"/>
                <w14:textFill>
                  <w14:solidFill>
                    <w14:srgbClr w14:val="000000">
                      <w14:alpha w14:val="100000"/>
                    </w14:srgbClr>
                  </w14:solidFill>
                </w14:textFill>
              </w:rPr>
              <w:t>|</w:t>
            </w:r>
            <w:r w:rsidR="00D96203">
              <w:rPr>
                <w:rFonts w:ascii="Arial Narrow" w:eastAsiaTheme="majorEastAsia" w:hAnsi="Arial Narrow" w:cstheme="majorBidi"/>
                <w:bCs/>
                <w:sz w:val="20"/>
                <w:vertAlign w:val="superscript"/>
              </w:rPr>
              <w:t>2</w:t>
            </w:r>
            <w:r w:rsidRPr="00576FA3">
              <w:rPr>
                <w:rFonts w:ascii="Arial Narrow" w:eastAsiaTheme="majorEastAsia" w:hAnsi="Arial Narrow" w:cstheme="majorBidi"/>
                <w:bCs/>
                <w:sz w:val="20"/>
              </w:rPr>
              <w:t>/QALY gained when the time horizon is decreased to 5 years.</w:t>
            </w:r>
          </w:p>
        </w:tc>
      </w:tr>
      <w:tr w:rsidR="00097911" w:rsidRPr="000C77A2" w14:paraId="0AB585DE" w14:textId="77777777" w:rsidTr="00504411">
        <w:tc>
          <w:tcPr>
            <w:tcW w:w="626" w:type="pct"/>
            <w:shd w:val="clear" w:color="auto" w:fill="auto"/>
            <w:vAlign w:val="center"/>
          </w:tcPr>
          <w:p w14:paraId="4BEE769F"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Utility weights</w:t>
            </w:r>
          </w:p>
        </w:tc>
        <w:tc>
          <w:tcPr>
            <w:tcW w:w="2358" w:type="pct"/>
            <w:shd w:val="clear" w:color="auto" w:fill="auto"/>
            <w:vAlign w:val="center"/>
          </w:tcPr>
          <w:p w14:paraId="16498562"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 xml:space="preserve">PF = 0.674, PD = 0.568. The utility weights were lower than those applied in the previous submission (PF = 0.80, PD = 0.73) and in other submissions presented to the PBAC </w:t>
            </w:r>
            <w:r w:rsidRPr="000C77A2">
              <w:rPr>
                <w:rFonts w:ascii="Arial Narrow" w:eastAsiaTheme="majorEastAsia" w:hAnsi="Arial Narrow" w:cstheme="majorBidi"/>
                <w:bCs/>
                <w:sz w:val="20"/>
                <w:szCs w:val="20"/>
              </w:rPr>
              <w:t xml:space="preserve">(PF=0.73, PD=0.67; Table 10, eribulin PSD, November 2016 PBAC meeting). </w:t>
            </w:r>
          </w:p>
        </w:tc>
        <w:tc>
          <w:tcPr>
            <w:tcW w:w="2016" w:type="pct"/>
            <w:shd w:val="clear" w:color="auto" w:fill="auto"/>
            <w:vAlign w:val="center"/>
          </w:tcPr>
          <w:p w14:paraId="1D8ECF5B" w14:textId="57F78900"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 xml:space="preserve">Moderate </w:t>
            </w:r>
            <w:r w:rsidR="00292657" w:rsidRPr="00576FA3">
              <w:rPr>
                <w:rFonts w:ascii="Arial Narrow" w:eastAsiaTheme="majorEastAsia" w:hAnsi="Arial Narrow" w:cstheme="majorBidi"/>
                <w:bCs/>
                <w:sz w:val="20"/>
              </w:rPr>
              <w:t>–</w:t>
            </w:r>
            <w:r w:rsidRPr="00576FA3">
              <w:rPr>
                <w:rFonts w:ascii="Arial Narrow" w:eastAsiaTheme="majorEastAsia" w:hAnsi="Arial Narrow" w:cstheme="majorBidi"/>
                <w:bCs/>
                <w:sz w:val="20"/>
              </w:rPr>
              <w:t xml:space="preserve"> favours pazopanib. Applying alternate utility values lead to a reduction in the ICER ($</w:t>
            </w:r>
            <w:r w:rsidR="00C66EC7" w:rsidRPr="00C66EC7">
              <w:rPr>
                <w:rFonts w:ascii="Arial Narrow" w:eastAsiaTheme="majorEastAsia" w:hAnsi="Arial Narrow" w:cstheme="majorBidi"/>
                <w:bCs/>
                <w:color w:val="000000"/>
                <w:spacing w:val="53"/>
                <w:sz w:val="20"/>
                <w:shd w:val="solid" w:color="000000" w:fill="000000"/>
                <w:fitText w:val="330" w:id="-962355185"/>
                <w14:textFill>
                  <w14:solidFill>
                    <w14:srgbClr w14:val="000000">
                      <w14:alpha w14:val="100000"/>
                    </w14:srgbClr>
                  </w14:solidFill>
                </w14:textFill>
              </w:rPr>
              <w:t>|||</w:t>
            </w:r>
            <w:r w:rsidR="00C66EC7" w:rsidRPr="00C66EC7">
              <w:rPr>
                <w:rFonts w:ascii="Arial Narrow" w:eastAsiaTheme="majorEastAsia" w:hAnsi="Arial Narrow" w:cstheme="majorBidi"/>
                <w:bCs/>
                <w:color w:val="000000"/>
                <w:spacing w:val="1"/>
                <w:sz w:val="20"/>
                <w:shd w:val="solid" w:color="000000" w:fill="000000"/>
                <w:fitText w:val="330" w:id="-962355185"/>
                <w14:textFill>
                  <w14:solidFill>
                    <w14:srgbClr w14:val="000000">
                      <w14:alpha w14:val="100000"/>
                    </w14:srgbClr>
                  </w14:solidFill>
                </w14:textFill>
              </w:rPr>
              <w:t>|</w:t>
            </w:r>
            <w:r w:rsidR="00D96203">
              <w:rPr>
                <w:rFonts w:ascii="Arial Narrow" w:eastAsiaTheme="majorEastAsia" w:hAnsi="Arial Narrow" w:cstheme="majorBidi"/>
                <w:bCs/>
                <w:sz w:val="20"/>
                <w:vertAlign w:val="superscript"/>
              </w:rPr>
              <w:t>3</w:t>
            </w:r>
            <w:r w:rsidRPr="00576FA3">
              <w:rPr>
                <w:rFonts w:ascii="Arial Narrow" w:eastAsiaTheme="majorEastAsia" w:hAnsi="Arial Narrow" w:cstheme="majorBidi"/>
                <w:bCs/>
                <w:sz w:val="20"/>
              </w:rPr>
              <w:t>/QALY gained using the previous submission estimates and $</w:t>
            </w:r>
            <w:r w:rsidR="00C66EC7" w:rsidRPr="00C66EC7">
              <w:rPr>
                <w:rFonts w:ascii="Arial Narrow" w:eastAsiaTheme="majorEastAsia" w:hAnsi="Arial Narrow" w:cstheme="majorBidi"/>
                <w:bCs/>
                <w:color w:val="000000"/>
                <w:spacing w:val="53"/>
                <w:sz w:val="20"/>
                <w:shd w:val="solid" w:color="000000" w:fill="000000"/>
                <w:fitText w:val="330" w:id="-962355184"/>
                <w14:textFill>
                  <w14:solidFill>
                    <w14:srgbClr w14:val="000000">
                      <w14:alpha w14:val="100000"/>
                    </w14:srgbClr>
                  </w14:solidFill>
                </w14:textFill>
              </w:rPr>
              <w:t>|||</w:t>
            </w:r>
            <w:r w:rsidR="00C66EC7" w:rsidRPr="00C66EC7">
              <w:rPr>
                <w:rFonts w:ascii="Arial Narrow" w:eastAsiaTheme="majorEastAsia" w:hAnsi="Arial Narrow" w:cstheme="majorBidi"/>
                <w:bCs/>
                <w:color w:val="000000"/>
                <w:spacing w:val="1"/>
                <w:sz w:val="20"/>
                <w:shd w:val="solid" w:color="000000" w:fill="000000"/>
                <w:fitText w:val="330" w:id="-962355184"/>
                <w14:textFill>
                  <w14:solidFill>
                    <w14:srgbClr w14:val="000000">
                      <w14:alpha w14:val="100000"/>
                    </w14:srgbClr>
                  </w14:solidFill>
                </w14:textFill>
              </w:rPr>
              <w:t>|</w:t>
            </w:r>
            <w:r w:rsidR="00D96203">
              <w:rPr>
                <w:rFonts w:ascii="Arial Narrow" w:eastAsiaTheme="majorEastAsia" w:hAnsi="Arial Narrow" w:cstheme="majorBidi"/>
                <w:bCs/>
                <w:sz w:val="20"/>
                <w:vertAlign w:val="superscript"/>
              </w:rPr>
              <w:t>3</w:t>
            </w:r>
            <w:r w:rsidRPr="00576FA3">
              <w:rPr>
                <w:rFonts w:ascii="Arial Narrow" w:eastAsiaTheme="majorEastAsia" w:hAnsi="Arial Narrow" w:cstheme="majorBidi"/>
                <w:bCs/>
                <w:sz w:val="20"/>
              </w:rPr>
              <w:t xml:space="preserve">/QALY gained using values from the eribulin submission. </w:t>
            </w:r>
          </w:p>
        </w:tc>
      </w:tr>
      <w:tr w:rsidR="00097911" w:rsidRPr="000C77A2" w14:paraId="71B67D89" w14:textId="77777777" w:rsidTr="00504411">
        <w:tc>
          <w:tcPr>
            <w:tcW w:w="626" w:type="pct"/>
            <w:shd w:val="clear" w:color="auto" w:fill="auto"/>
            <w:vAlign w:val="center"/>
          </w:tcPr>
          <w:p w14:paraId="70DD44C7" w14:textId="77777777"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OS and PFS extrapolations</w:t>
            </w:r>
          </w:p>
        </w:tc>
        <w:tc>
          <w:tcPr>
            <w:tcW w:w="2358" w:type="pct"/>
            <w:shd w:val="clear" w:color="auto" w:fill="auto"/>
            <w:vAlign w:val="center"/>
          </w:tcPr>
          <w:p w14:paraId="73A469CB" w14:textId="7B9FDB1F"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 xml:space="preserve">Parametric models were selected based on AIC/BIC values only (exponential model used for OS and PFS for larotrectinib; log-normal models for both OS and PFS for </w:t>
            </w:r>
            <w:r w:rsidR="007774AB" w:rsidRPr="00576FA3">
              <w:rPr>
                <w:rFonts w:ascii="Arial Narrow" w:eastAsiaTheme="majorEastAsia" w:hAnsi="Arial Narrow" w:cstheme="majorBidi"/>
                <w:bCs/>
                <w:sz w:val="20"/>
              </w:rPr>
              <w:t>pazopanib</w:t>
            </w:r>
            <w:r w:rsidRPr="00576FA3">
              <w:rPr>
                <w:rFonts w:ascii="Arial Narrow" w:eastAsiaTheme="majorEastAsia" w:hAnsi="Arial Narrow" w:cstheme="majorBidi"/>
                <w:bCs/>
                <w:sz w:val="20"/>
              </w:rPr>
              <w:t xml:space="preserve">). The parametric models chosen in the resubmission were not the most conservative extrapolations which was inconsistent with previous PBAC advice </w:t>
            </w:r>
            <w:r w:rsidRPr="000C77A2">
              <w:rPr>
                <w:rFonts w:ascii="Arial Narrow" w:eastAsiaTheme="majorEastAsia" w:hAnsi="Arial Narrow" w:cstheme="majorBidi"/>
                <w:bCs/>
                <w:sz w:val="20"/>
                <w:lang w:bidi="en-US"/>
              </w:rPr>
              <w:t>(para 7.16, November 2021 PBAC Meeting</w:t>
            </w:r>
            <w:r w:rsidRPr="000C77A2">
              <w:rPr>
                <w:rFonts w:ascii="Arial Narrow" w:eastAsiaTheme="majorEastAsia" w:hAnsi="Arial Narrow" w:cstheme="majorBidi"/>
                <w:bCs/>
                <w:sz w:val="20"/>
              </w:rPr>
              <w:t xml:space="preserve"> </w:t>
            </w:r>
            <w:r w:rsidRPr="000C77A2">
              <w:rPr>
                <w:rFonts w:ascii="Arial Narrow" w:eastAsiaTheme="majorEastAsia" w:hAnsi="Arial Narrow" w:cstheme="majorBidi"/>
                <w:bCs/>
                <w:sz w:val="20"/>
                <w:lang w:bidi="en-US"/>
              </w:rPr>
              <w:t>with March 2022 Addendum).</w:t>
            </w:r>
          </w:p>
        </w:tc>
        <w:tc>
          <w:tcPr>
            <w:tcW w:w="2016" w:type="pct"/>
            <w:shd w:val="clear" w:color="auto" w:fill="auto"/>
            <w:vAlign w:val="center"/>
          </w:tcPr>
          <w:p w14:paraId="057B9958" w14:textId="31303732" w:rsidR="00097911" w:rsidRPr="00576FA3" w:rsidRDefault="00097911" w:rsidP="00097911">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 xml:space="preserve">Moderate </w:t>
            </w:r>
            <w:r w:rsidR="00292657" w:rsidRPr="00576FA3">
              <w:rPr>
                <w:rFonts w:ascii="Arial Narrow" w:eastAsiaTheme="majorEastAsia" w:hAnsi="Arial Narrow" w:cstheme="majorBidi"/>
                <w:bCs/>
                <w:sz w:val="20"/>
              </w:rPr>
              <w:t>–</w:t>
            </w:r>
            <w:r w:rsidRPr="00576FA3">
              <w:rPr>
                <w:rFonts w:ascii="Arial Narrow" w:eastAsiaTheme="majorEastAsia" w:hAnsi="Arial Narrow" w:cstheme="majorBidi"/>
                <w:bCs/>
                <w:sz w:val="20"/>
              </w:rPr>
              <w:t xml:space="preserve"> favours pazopanib. When the most conservative extrapolations are chosen (OS: Gompertz and Log-logistic; PFS: Exponential and Weibull [for larotrectinib and </w:t>
            </w:r>
            <w:r w:rsidR="007774AB" w:rsidRPr="00576FA3">
              <w:rPr>
                <w:rFonts w:ascii="Arial Narrow" w:eastAsiaTheme="majorEastAsia" w:hAnsi="Arial Narrow" w:cstheme="majorBidi"/>
                <w:bCs/>
                <w:sz w:val="20"/>
              </w:rPr>
              <w:t>pazopanib</w:t>
            </w:r>
            <w:r w:rsidRPr="00576FA3">
              <w:rPr>
                <w:rFonts w:ascii="Arial Narrow" w:eastAsiaTheme="majorEastAsia" w:hAnsi="Arial Narrow" w:cstheme="majorBidi"/>
                <w:bCs/>
                <w:sz w:val="20"/>
              </w:rPr>
              <w:t>, respectively], the ICER to $</w:t>
            </w:r>
            <w:r w:rsidR="00C66EC7" w:rsidRPr="00C66EC7">
              <w:rPr>
                <w:rFonts w:ascii="Arial Narrow" w:eastAsiaTheme="majorEastAsia" w:hAnsi="Arial Narrow" w:cstheme="majorBidi"/>
                <w:bCs/>
                <w:color w:val="000000"/>
                <w:spacing w:val="53"/>
                <w:sz w:val="20"/>
                <w:shd w:val="solid" w:color="000000" w:fill="000000"/>
                <w:fitText w:val="330" w:id="-962355200"/>
                <w14:textFill>
                  <w14:solidFill>
                    <w14:srgbClr w14:val="000000">
                      <w14:alpha w14:val="100000"/>
                    </w14:srgbClr>
                  </w14:solidFill>
                </w14:textFill>
              </w:rPr>
              <w:t>|||</w:t>
            </w:r>
            <w:r w:rsidR="00C66EC7" w:rsidRPr="00C66EC7">
              <w:rPr>
                <w:rFonts w:ascii="Arial Narrow" w:eastAsiaTheme="majorEastAsia" w:hAnsi="Arial Narrow" w:cstheme="majorBidi"/>
                <w:bCs/>
                <w:color w:val="000000"/>
                <w:spacing w:val="1"/>
                <w:sz w:val="20"/>
                <w:shd w:val="solid" w:color="000000" w:fill="000000"/>
                <w:fitText w:val="330" w:id="-962355200"/>
                <w14:textFill>
                  <w14:solidFill>
                    <w14:srgbClr w14:val="000000">
                      <w14:alpha w14:val="100000"/>
                    </w14:srgbClr>
                  </w14:solidFill>
                </w14:textFill>
              </w:rPr>
              <w:t>|</w:t>
            </w:r>
            <w:r w:rsidR="00D96203" w:rsidRPr="00560AEC">
              <w:rPr>
                <w:rFonts w:ascii="Arial Narrow" w:eastAsiaTheme="majorEastAsia" w:hAnsi="Arial Narrow" w:cstheme="majorBidi"/>
                <w:bCs/>
                <w:sz w:val="20"/>
                <w:vertAlign w:val="superscript"/>
              </w:rPr>
              <w:t>1</w:t>
            </w:r>
            <w:r w:rsidRPr="00576FA3">
              <w:rPr>
                <w:rFonts w:ascii="Arial Narrow" w:eastAsiaTheme="majorEastAsia" w:hAnsi="Arial Narrow" w:cstheme="majorBidi"/>
                <w:bCs/>
                <w:sz w:val="20"/>
              </w:rPr>
              <w:t xml:space="preserve">/QALY gained. </w:t>
            </w:r>
          </w:p>
        </w:tc>
      </w:tr>
    </w:tbl>
    <w:p w14:paraId="00FAF64C" w14:textId="77777777" w:rsidR="00097911" w:rsidRPr="000C77A2"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 xml:space="preserve">Source: compiled during the evaluation. </w:t>
      </w:r>
    </w:p>
    <w:p w14:paraId="36C76919" w14:textId="77777777" w:rsidR="00097911" w:rsidRDefault="00097911" w:rsidP="00097911">
      <w:pPr>
        <w:spacing w:after="120"/>
        <w:contextualSpacing/>
        <w:rPr>
          <w:rFonts w:ascii="Arial Narrow" w:hAnsi="Arial Narrow"/>
          <w:snapToGrid w:val="0"/>
          <w:sz w:val="18"/>
          <w:szCs w:val="22"/>
          <w:lang w:eastAsia="en-US"/>
        </w:rPr>
      </w:pPr>
      <w:r w:rsidRPr="000C77A2">
        <w:rPr>
          <w:rFonts w:ascii="Arial Narrow" w:hAnsi="Arial Narrow"/>
          <w:snapToGrid w:val="0"/>
          <w:sz w:val="18"/>
          <w:szCs w:val="22"/>
          <w:lang w:eastAsia="en-US"/>
        </w:rPr>
        <w:t>AIC/BIC = Akaike information criterion/Bayesian information criterion; ICER = incremental cost-effectiveness ratio; NSCLC = non-small cell lung cancer; OS = overall survival; PD = progressive disease; PF = progression-free; PFS= progression-free survival; QALY = quality-adjusted life year; STS = soft tissue sarcoma</w:t>
      </w:r>
    </w:p>
    <w:p w14:paraId="0EAB67F3" w14:textId="77777777" w:rsidR="00D96203" w:rsidRPr="00560AEC" w:rsidRDefault="00D96203" w:rsidP="00D96203">
      <w:pPr>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60BF9FE7" w14:textId="0503D587" w:rsidR="00D96203" w:rsidRPr="00560AEC" w:rsidRDefault="00D96203" w:rsidP="00D96203">
      <w:pPr>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w:t>
      </w:r>
      <w:r w:rsidRPr="00D96203">
        <w:rPr>
          <w:rFonts w:ascii="Arial Narrow" w:hAnsi="Arial Narrow" w:cstheme="minorHAnsi"/>
          <w:bCs/>
          <w:i/>
          <w:iCs/>
          <w:sz w:val="18"/>
          <w:szCs w:val="18"/>
        </w:rPr>
        <w:t>$115,000 to &lt; $135,000</w:t>
      </w:r>
    </w:p>
    <w:p w14:paraId="32665DD3" w14:textId="47027F37" w:rsidR="00D96203" w:rsidRPr="00560AEC" w:rsidRDefault="00D96203" w:rsidP="00D96203">
      <w:pPr>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w:t>
      </w:r>
      <w:r w:rsidRPr="00D96203">
        <w:rPr>
          <w:rFonts w:ascii="Arial Narrow" w:hAnsi="Arial Narrow" w:cstheme="minorHAnsi"/>
          <w:bCs/>
          <w:i/>
          <w:iCs/>
          <w:sz w:val="18"/>
          <w:szCs w:val="18"/>
        </w:rPr>
        <w:t>$1</w:t>
      </w:r>
      <w:r>
        <w:rPr>
          <w:rFonts w:ascii="Arial Narrow" w:hAnsi="Arial Narrow" w:cstheme="minorHAnsi"/>
          <w:bCs/>
          <w:i/>
          <w:iCs/>
          <w:sz w:val="18"/>
          <w:szCs w:val="18"/>
        </w:rPr>
        <w:t>5</w:t>
      </w:r>
      <w:r w:rsidRPr="00D96203">
        <w:rPr>
          <w:rFonts w:ascii="Arial Narrow" w:hAnsi="Arial Narrow" w:cstheme="minorHAnsi"/>
          <w:bCs/>
          <w:i/>
          <w:iCs/>
          <w:sz w:val="18"/>
          <w:szCs w:val="18"/>
        </w:rPr>
        <w:t>5,000 to &lt; $</w:t>
      </w:r>
      <w:r>
        <w:rPr>
          <w:rFonts w:ascii="Arial Narrow" w:hAnsi="Arial Narrow" w:cstheme="minorHAnsi"/>
          <w:bCs/>
          <w:i/>
          <w:iCs/>
          <w:sz w:val="18"/>
          <w:szCs w:val="18"/>
        </w:rPr>
        <w:t>25</w:t>
      </w:r>
      <w:r w:rsidRPr="00D96203">
        <w:rPr>
          <w:rFonts w:ascii="Arial Narrow" w:hAnsi="Arial Narrow" w:cstheme="minorHAnsi"/>
          <w:bCs/>
          <w:i/>
          <w:iCs/>
          <w:sz w:val="18"/>
          <w:szCs w:val="18"/>
        </w:rPr>
        <w:t>5,000</w:t>
      </w:r>
    </w:p>
    <w:p w14:paraId="1B17B35C" w14:textId="591A3293" w:rsidR="00097911" w:rsidRPr="000C77A2" w:rsidRDefault="00D96203" w:rsidP="00575ACA">
      <w:pPr>
        <w:spacing w:after="120"/>
        <w:rPr>
          <w:rFonts w:ascii="Arial Narrow" w:hAnsi="Arial Narrow"/>
          <w:snapToGrid w:val="0"/>
          <w:sz w:val="18"/>
          <w:szCs w:val="22"/>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w:t>
      </w:r>
      <w:r w:rsidR="00575ACA" w:rsidRPr="00D96203">
        <w:rPr>
          <w:rFonts w:ascii="Arial Narrow" w:hAnsi="Arial Narrow" w:cstheme="minorHAnsi"/>
          <w:bCs/>
          <w:i/>
          <w:iCs/>
          <w:sz w:val="18"/>
          <w:szCs w:val="18"/>
        </w:rPr>
        <w:t>$</w:t>
      </w:r>
      <w:r w:rsidR="00575ACA">
        <w:rPr>
          <w:rFonts w:ascii="Arial Narrow" w:hAnsi="Arial Narrow" w:cstheme="minorHAnsi"/>
          <w:bCs/>
          <w:i/>
          <w:iCs/>
          <w:sz w:val="18"/>
          <w:szCs w:val="18"/>
        </w:rPr>
        <w:t>9</w:t>
      </w:r>
      <w:r w:rsidR="00575ACA" w:rsidRPr="00D96203">
        <w:rPr>
          <w:rFonts w:ascii="Arial Narrow" w:hAnsi="Arial Narrow" w:cstheme="minorHAnsi"/>
          <w:bCs/>
          <w:i/>
          <w:iCs/>
          <w:sz w:val="18"/>
          <w:szCs w:val="18"/>
        </w:rPr>
        <w:t>5,000 to &lt; $1</w:t>
      </w:r>
      <w:r w:rsidR="00575ACA">
        <w:rPr>
          <w:rFonts w:ascii="Arial Narrow" w:hAnsi="Arial Narrow" w:cstheme="minorHAnsi"/>
          <w:bCs/>
          <w:i/>
          <w:iCs/>
          <w:sz w:val="18"/>
          <w:szCs w:val="18"/>
        </w:rPr>
        <w:t>1</w:t>
      </w:r>
      <w:r w:rsidR="00575ACA" w:rsidRPr="00D96203">
        <w:rPr>
          <w:rFonts w:ascii="Arial Narrow" w:hAnsi="Arial Narrow" w:cstheme="minorHAnsi"/>
          <w:bCs/>
          <w:i/>
          <w:iCs/>
          <w:sz w:val="18"/>
          <w:szCs w:val="18"/>
        </w:rPr>
        <w:t>5,00</w:t>
      </w:r>
      <w:r w:rsidR="00575ACA">
        <w:rPr>
          <w:rFonts w:ascii="Arial Narrow" w:hAnsi="Arial Narrow" w:cstheme="minorHAnsi"/>
          <w:bCs/>
          <w:i/>
          <w:iCs/>
          <w:sz w:val="18"/>
          <w:szCs w:val="18"/>
        </w:rPr>
        <w:t>0</w:t>
      </w:r>
    </w:p>
    <w:p w14:paraId="7748961A" w14:textId="692F958F" w:rsidR="00097911" w:rsidRPr="000C77A2" w:rsidRDefault="00097911" w:rsidP="00097911">
      <w:pPr>
        <w:numPr>
          <w:ilvl w:val="1"/>
          <w:numId w:val="1"/>
        </w:numPr>
        <w:spacing w:after="120"/>
        <w:rPr>
          <w:rFonts w:asciiTheme="minorHAnsi" w:hAnsiTheme="minorHAnsi"/>
          <w:i/>
          <w:iCs/>
          <w:snapToGrid w:val="0"/>
        </w:rPr>
      </w:pPr>
      <w:bookmarkStart w:id="51" w:name="_Ref158986938"/>
      <w:r w:rsidRPr="000C77A2">
        <w:rPr>
          <w:rFonts w:asciiTheme="minorHAnsi" w:hAnsiTheme="minorHAnsi"/>
          <w:snapToGrid w:val="0"/>
        </w:rPr>
        <w:t>The results of the economic evaluation for the two tumour types are presented in</w:t>
      </w:r>
      <w:r w:rsidRPr="000C77A2">
        <w:rPr>
          <w:rFonts w:asciiTheme="minorHAnsi" w:hAnsiTheme="minorHAnsi" w:cstheme="minorHAnsi"/>
          <w:snapToGrid w:val="0"/>
        </w:rPr>
        <w:t xml:space="preserve">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_Ref155624885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t>Table 17</w:t>
      </w:r>
      <w:r w:rsidRPr="000C77A2">
        <w:rPr>
          <w:rFonts w:asciiTheme="minorHAnsi" w:hAnsiTheme="minorHAnsi" w:cstheme="minorHAnsi"/>
          <w:snapToGrid w:val="0"/>
        </w:rPr>
        <w:fldChar w:fldCharType="end"/>
      </w:r>
      <w:r w:rsidRPr="000C77A2">
        <w:rPr>
          <w:rFonts w:asciiTheme="minorHAnsi" w:hAnsiTheme="minorHAnsi" w:cstheme="minorHAnsi"/>
          <w:snapToGrid w:val="0"/>
        </w:rPr>
        <w:t xml:space="preserve"> and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_Ref155624893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t>Table 18</w:t>
      </w:r>
      <w:r w:rsidRPr="000C77A2">
        <w:rPr>
          <w:rFonts w:asciiTheme="minorHAnsi" w:hAnsiTheme="minorHAnsi" w:cstheme="minorHAnsi"/>
          <w:snapToGrid w:val="0"/>
        </w:rPr>
        <w:fldChar w:fldCharType="end"/>
      </w:r>
      <w:r w:rsidRPr="000C77A2">
        <w:rPr>
          <w:rFonts w:asciiTheme="minorHAnsi" w:hAnsiTheme="minorHAnsi" w:cstheme="minorHAnsi"/>
          <w:snapToGrid w:val="0"/>
        </w:rPr>
        <w:t xml:space="preserve">. </w:t>
      </w:r>
      <w:r w:rsidRPr="000C77A2">
        <w:rPr>
          <w:rFonts w:asciiTheme="minorHAnsi" w:hAnsiTheme="minorHAnsi"/>
          <w:snapToGrid w:val="0"/>
        </w:rPr>
        <w:t>The results were revised during the evaluation to apply the proposed dispensed prices of larotrectinib rather than AEMPs used in the resubmission base case. The STS analysis was further revised to correctly apply the cost of continuing larotrectinib scripts (rather than the cost of initial scripts across the course of treatment)</w:t>
      </w:r>
      <w:r w:rsidR="00EA1FD2" w:rsidRPr="000C77A2">
        <w:rPr>
          <w:rFonts w:asciiTheme="minorHAnsi" w:hAnsiTheme="minorHAnsi"/>
          <w:snapToGrid w:val="0"/>
        </w:rPr>
        <w:t xml:space="preserve"> </w:t>
      </w:r>
      <w:r w:rsidRPr="000C77A2">
        <w:rPr>
          <w:rFonts w:asciiTheme="minorHAnsi" w:hAnsiTheme="minorHAnsi"/>
          <w:snapToGrid w:val="0"/>
          <w:vertAlign w:val="superscript"/>
        </w:rPr>
        <w:footnoteReference w:id="12"/>
      </w:r>
      <w:r w:rsidRPr="000C77A2">
        <w:rPr>
          <w:rFonts w:asciiTheme="minorHAnsi" w:hAnsiTheme="minorHAnsi"/>
          <w:snapToGrid w:val="0"/>
        </w:rPr>
        <w:t xml:space="preserve">. The NSCLC analysis was further revised to apply a maximum of four cycles of docetaxel treatment, as per eviQ guidelines and as used in the previous submission. </w:t>
      </w:r>
      <w:r w:rsidR="00AD46C1" w:rsidRPr="000C77A2">
        <w:rPr>
          <w:rFonts w:asciiTheme="minorHAnsi" w:hAnsiTheme="minorHAnsi"/>
          <w:snapToGrid w:val="0"/>
        </w:rPr>
        <w:t>The PSCR accepted the model revisions applied by the evaluators.</w:t>
      </w:r>
      <w:r w:rsidR="004F3A68" w:rsidRPr="000C77A2">
        <w:rPr>
          <w:rFonts w:asciiTheme="minorHAnsi" w:hAnsiTheme="minorHAnsi"/>
          <w:snapToGrid w:val="0"/>
        </w:rPr>
        <w:t xml:space="preserve"> T</w:t>
      </w:r>
      <w:r w:rsidRPr="000C77A2">
        <w:rPr>
          <w:rFonts w:asciiTheme="minorHAnsi" w:hAnsiTheme="minorHAnsi"/>
          <w:snapToGrid w:val="0"/>
        </w:rPr>
        <w:t>he resubmission did not present a stepped economic evaluation</w:t>
      </w:r>
      <w:r w:rsidR="004F3A68" w:rsidRPr="000C77A2">
        <w:rPr>
          <w:rFonts w:asciiTheme="minorHAnsi" w:hAnsiTheme="minorHAnsi"/>
          <w:snapToGrid w:val="0"/>
        </w:rPr>
        <w:t xml:space="preserve">; </w:t>
      </w:r>
      <w:r w:rsidR="00F25F45" w:rsidRPr="000C77A2">
        <w:rPr>
          <w:rFonts w:asciiTheme="minorHAnsi" w:hAnsiTheme="minorHAnsi"/>
          <w:snapToGrid w:val="0"/>
        </w:rPr>
        <w:t>t</w:t>
      </w:r>
      <w:r w:rsidRPr="000C77A2">
        <w:rPr>
          <w:rFonts w:asciiTheme="minorHAnsi" w:hAnsiTheme="minorHAnsi"/>
          <w:snapToGrid w:val="0"/>
        </w:rPr>
        <w:t>his was conducted during the evaluation.</w:t>
      </w:r>
      <w:r w:rsidR="006E11B6" w:rsidRPr="000C77A2">
        <w:rPr>
          <w:rFonts w:asciiTheme="minorHAnsi" w:hAnsiTheme="minorHAnsi"/>
          <w:snapToGrid w:val="0"/>
        </w:rPr>
        <w:t xml:space="preserve"> </w:t>
      </w:r>
      <w:bookmarkEnd w:id="51"/>
    </w:p>
    <w:p w14:paraId="36B360CD" w14:textId="3B3BBB39" w:rsidR="00097911" w:rsidRPr="000C77A2" w:rsidRDefault="00097911" w:rsidP="00097911">
      <w:pPr>
        <w:keepNext/>
        <w:keepLines/>
        <w:rPr>
          <w:rFonts w:ascii="Arial Narrow" w:hAnsi="Arial Narrow"/>
          <w:b/>
          <w:bCs/>
          <w:sz w:val="20"/>
          <w:szCs w:val="18"/>
        </w:rPr>
      </w:pPr>
      <w:bookmarkStart w:id="52" w:name="_Ref155624885"/>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17</w:t>
      </w:r>
      <w:r w:rsidRPr="00576FA3">
        <w:rPr>
          <w:rFonts w:ascii="Arial Narrow" w:hAnsi="Arial Narrow"/>
          <w:b/>
          <w:bCs/>
          <w:sz w:val="20"/>
          <w:szCs w:val="18"/>
        </w:rPr>
        <w:fldChar w:fldCharType="end"/>
      </w:r>
      <w:bookmarkEnd w:id="52"/>
      <w:r w:rsidRPr="000C77A2">
        <w:rPr>
          <w:rFonts w:ascii="Arial Narrow" w:hAnsi="Arial Narrow"/>
          <w:b/>
          <w:bCs/>
          <w:sz w:val="20"/>
          <w:szCs w:val="18"/>
        </w:rPr>
        <w:t xml:space="preserve">: Results of the stepped economic evaluation </w:t>
      </w:r>
      <w:r w:rsidR="00137680" w:rsidRPr="000C77A2">
        <w:rPr>
          <w:rFonts w:ascii="Arial Narrow" w:hAnsi="Arial Narrow"/>
          <w:b/>
          <w:bCs/>
          <w:sz w:val="20"/>
          <w:szCs w:val="18"/>
        </w:rPr>
        <w:t xml:space="preserve">for </w:t>
      </w:r>
      <w:r w:rsidRPr="000C77A2">
        <w:rPr>
          <w:rFonts w:ascii="Arial Narrow" w:hAnsi="Arial Narrow"/>
          <w:b/>
          <w:bCs/>
          <w:sz w:val="20"/>
          <w:szCs w:val="18"/>
        </w:rPr>
        <w:t>NSCLC</w:t>
      </w:r>
      <w:r w:rsidR="00137680" w:rsidRPr="000C77A2">
        <w:rPr>
          <w:rFonts w:ascii="Arial Narrow" w:hAnsi="Arial Narrow"/>
          <w:b/>
          <w:bCs/>
          <w:sz w:val="20"/>
          <w:szCs w:val="18"/>
        </w:rPr>
        <w:t xml:space="preserve">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stepped economic evaluation for NSCLC (discounted)"/>
      </w:tblPr>
      <w:tblGrid>
        <w:gridCol w:w="2757"/>
        <w:gridCol w:w="2451"/>
        <w:gridCol w:w="2298"/>
        <w:gridCol w:w="1511"/>
      </w:tblGrid>
      <w:tr w:rsidR="00097911" w:rsidRPr="000C77A2" w14:paraId="66E6E67A" w14:textId="77777777" w:rsidTr="00122531">
        <w:trPr>
          <w:tblHeader/>
        </w:trPr>
        <w:tc>
          <w:tcPr>
            <w:tcW w:w="1529" w:type="pct"/>
            <w:vAlign w:val="center"/>
          </w:tcPr>
          <w:p w14:paraId="1A956DF8"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Step and component</w:t>
            </w:r>
          </w:p>
        </w:tc>
        <w:tc>
          <w:tcPr>
            <w:tcW w:w="1359" w:type="pct"/>
            <w:vAlign w:val="center"/>
          </w:tcPr>
          <w:p w14:paraId="71A8803C"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Larotrectinib</w:t>
            </w:r>
          </w:p>
        </w:tc>
        <w:tc>
          <w:tcPr>
            <w:tcW w:w="1274" w:type="pct"/>
            <w:vAlign w:val="center"/>
          </w:tcPr>
          <w:p w14:paraId="684C6007"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Docetaxel</w:t>
            </w:r>
          </w:p>
        </w:tc>
        <w:tc>
          <w:tcPr>
            <w:tcW w:w="838" w:type="pct"/>
            <w:vAlign w:val="center"/>
          </w:tcPr>
          <w:p w14:paraId="550CCB7A"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Increment</w:t>
            </w:r>
          </w:p>
        </w:tc>
      </w:tr>
      <w:tr w:rsidR="00097911" w:rsidRPr="000C77A2" w14:paraId="7574F94D" w14:textId="77777777" w:rsidTr="00122531">
        <w:trPr>
          <w:tblHeader/>
        </w:trPr>
        <w:tc>
          <w:tcPr>
            <w:tcW w:w="5000" w:type="pct"/>
            <w:gridSpan w:val="4"/>
            <w:tcBorders>
              <w:bottom w:val="single" w:sz="4" w:space="0" w:color="auto"/>
            </w:tcBorders>
            <w:vAlign w:val="center"/>
          </w:tcPr>
          <w:p w14:paraId="4324CA62" w14:textId="77777777" w:rsidR="00097911" w:rsidRPr="00576FA3" w:rsidRDefault="00097911" w:rsidP="00097911">
            <w:pPr>
              <w:keepNext/>
              <w:jc w:val="left"/>
              <w:rPr>
                <w:rFonts w:ascii="Arial Narrow" w:eastAsiaTheme="majorEastAsia" w:hAnsi="Arial Narrow" w:cstheme="majorBidi"/>
                <w:b/>
                <w:sz w:val="20"/>
              </w:rPr>
            </w:pPr>
            <w:r w:rsidRPr="00576FA3">
              <w:rPr>
                <w:rFonts w:ascii="Arial Narrow" w:eastAsiaTheme="majorEastAsia" w:hAnsi="Arial Narrow" w:cstheme="majorBidi"/>
                <w:b/>
                <w:sz w:val="20"/>
              </w:rPr>
              <w:t>Step 1: trial-based costs and outcomes (27 months)</w:t>
            </w:r>
          </w:p>
        </w:tc>
      </w:tr>
      <w:tr w:rsidR="006E11B6" w:rsidRPr="000C77A2" w14:paraId="04875242" w14:textId="77777777" w:rsidTr="00122531">
        <w:trPr>
          <w:tblHeader/>
        </w:trPr>
        <w:tc>
          <w:tcPr>
            <w:tcW w:w="1529" w:type="pct"/>
            <w:tcBorders>
              <w:bottom w:val="nil"/>
            </w:tcBorders>
            <w:vAlign w:val="center"/>
          </w:tcPr>
          <w:p w14:paraId="238CE7CD"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Costs</w:t>
            </w:r>
          </w:p>
        </w:tc>
        <w:tc>
          <w:tcPr>
            <w:tcW w:w="1359" w:type="pct"/>
            <w:tcBorders>
              <w:bottom w:val="nil"/>
            </w:tcBorders>
            <w:vAlign w:val="center"/>
          </w:tcPr>
          <w:p w14:paraId="6FA55B71" w14:textId="6FBD263A"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Borders>
              <w:bottom w:val="nil"/>
            </w:tcBorders>
            <w:vAlign w:val="center"/>
          </w:tcPr>
          <w:p w14:paraId="35B1F231" w14:textId="47B1475F"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$6,236</w:t>
            </w:r>
          </w:p>
        </w:tc>
        <w:tc>
          <w:tcPr>
            <w:tcW w:w="838" w:type="pct"/>
            <w:tcBorders>
              <w:bottom w:val="nil"/>
            </w:tcBorders>
            <w:vAlign w:val="center"/>
          </w:tcPr>
          <w:p w14:paraId="06A50A43" w14:textId="7F5A661D"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6E11B6" w:rsidRPr="000C77A2" w14:paraId="4A481CE1" w14:textId="77777777" w:rsidTr="00122531">
        <w:trPr>
          <w:tblHeader/>
        </w:trPr>
        <w:tc>
          <w:tcPr>
            <w:tcW w:w="1529" w:type="pct"/>
            <w:tcBorders>
              <w:bottom w:val="single" w:sz="4" w:space="0" w:color="auto"/>
            </w:tcBorders>
            <w:vAlign w:val="center"/>
          </w:tcPr>
          <w:p w14:paraId="5714C197"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LYG</w:t>
            </w:r>
          </w:p>
        </w:tc>
        <w:tc>
          <w:tcPr>
            <w:tcW w:w="1359" w:type="pct"/>
            <w:tcBorders>
              <w:bottom w:val="single" w:sz="4" w:space="0" w:color="auto"/>
            </w:tcBorders>
            <w:vAlign w:val="center"/>
          </w:tcPr>
          <w:p w14:paraId="525395BF"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1.82</w:t>
            </w:r>
          </w:p>
        </w:tc>
        <w:tc>
          <w:tcPr>
            <w:tcW w:w="1274" w:type="pct"/>
            <w:tcBorders>
              <w:bottom w:val="single" w:sz="4" w:space="0" w:color="auto"/>
            </w:tcBorders>
            <w:vAlign w:val="center"/>
          </w:tcPr>
          <w:p w14:paraId="6BA49CB2"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0.98</w:t>
            </w:r>
          </w:p>
        </w:tc>
        <w:tc>
          <w:tcPr>
            <w:tcW w:w="838" w:type="pct"/>
            <w:tcBorders>
              <w:bottom w:val="single" w:sz="4" w:space="0" w:color="auto"/>
            </w:tcBorders>
            <w:vAlign w:val="center"/>
          </w:tcPr>
          <w:p w14:paraId="251C507A" w14:textId="397463B5"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0.84</w:t>
            </w:r>
          </w:p>
        </w:tc>
      </w:tr>
      <w:tr w:rsidR="006E11B6" w:rsidRPr="000C77A2" w14:paraId="4BE844D1" w14:textId="77777777" w:rsidTr="00122531">
        <w:trPr>
          <w:tblHeader/>
        </w:trPr>
        <w:tc>
          <w:tcPr>
            <w:tcW w:w="4162" w:type="pct"/>
            <w:gridSpan w:val="3"/>
            <w:tcBorders>
              <w:bottom w:val="nil"/>
            </w:tcBorders>
            <w:vAlign w:val="center"/>
          </w:tcPr>
          <w:p w14:paraId="4B88C54B"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Incremental cost/extra LYG gained</w:t>
            </w:r>
          </w:p>
        </w:tc>
        <w:tc>
          <w:tcPr>
            <w:tcW w:w="838" w:type="pct"/>
            <w:tcBorders>
              <w:bottom w:val="nil"/>
            </w:tcBorders>
            <w:vAlign w:val="center"/>
          </w:tcPr>
          <w:p w14:paraId="5905BB1E" w14:textId="01666CB1"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A477B7" w:rsidRPr="00560AEC">
              <w:rPr>
                <w:rFonts w:ascii="Arial Narrow" w:eastAsiaTheme="majorEastAsia" w:hAnsi="Arial Narrow" w:cstheme="majorBidi"/>
                <w:bCs/>
                <w:sz w:val="20"/>
                <w:vertAlign w:val="superscript"/>
              </w:rPr>
              <w:t>1</w:t>
            </w:r>
          </w:p>
        </w:tc>
      </w:tr>
      <w:tr w:rsidR="006E11B6" w:rsidRPr="000C77A2" w14:paraId="453B17FD" w14:textId="77777777" w:rsidTr="00122531">
        <w:trPr>
          <w:tblHeader/>
        </w:trPr>
        <w:tc>
          <w:tcPr>
            <w:tcW w:w="1529" w:type="pct"/>
            <w:tcBorders>
              <w:bottom w:val="single" w:sz="4" w:space="0" w:color="auto"/>
              <w:right w:val="nil"/>
            </w:tcBorders>
            <w:vAlign w:val="center"/>
          </w:tcPr>
          <w:p w14:paraId="19731B9C" w14:textId="77777777" w:rsidR="006E11B6" w:rsidRPr="00576FA3" w:rsidRDefault="006E11B6" w:rsidP="006E11B6">
            <w:pPr>
              <w:keepNext/>
              <w:jc w:val="left"/>
              <w:rPr>
                <w:rFonts w:ascii="Arial Narrow" w:eastAsiaTheme="majorEastAsia" w:hAnsi="Arial Narrow" w:cstheme="majorBidi"/>
                <w:b/>
                <w:sz w:val="20"/>
              </w:rPr>
            </w:pPr>
            <w:r w:rsidRPr="00576FA3">
              <w:rPr>
                <w:rFonts w:ascii="Arial Narrow" w:eastAsiaTheme="majorEastAsia" w:hAnsi="Arial Narrow" w:cstheme="majorBidi"/>
                <w:b/>
                <w:sz w:val="20"/>
              </w:rPr>
              <w:t xml:space="preserve">Step 2: extrapolated to 10 years </w:t>
            </w:r>
          </w:p>
        </w:tc>
        <w:tc>
          <w:tcPr>
            <w:tcW w:w="1359" w:type="pct"/>
            <w:tcBorders>
              <w:left w:val="nil"/>
              <w:bottom w:val="single" w:sz="4" w:space="0" w:color="auto"/>
              <w:right w:val="nil"/>
            </w:tcBorders>
            <w:vAlign w:val="center"/>
          </w:tcPr>
          <w:p w14:paraId="6FF6F9A0" w14:textId="77777777" w:rsidR="006E11B6" w:rsidRPr="00576FA3" w:rsidRDefault="006E11B6" w:rsidP="006E11B6">
            <w:pPr>
              <w:keepNext/>
              <w:jc w:val="left"/>
              <w:rPr>
                <w:rFonts w:ascii="Arial Narrow" w:eastAsiaTheme="majorEastAsia" w:hAnsi="Arial Narrow" w:cstheme="majorBidi"/>
                <w:b/>
                <w:sz w:val="20"/>
              </w:rPr>
            </w:pPr>
          </w:p>
        </w:tc>
        <w:tc>
          <w:tcPr>
            <w:tcW w:w="1274" w:type="pct"/>
            <w:tcBorders>
              <w:left w:val="nil"/>
              <w:bottom w:val="single" w:sz="4" w:space="0" w:color="auto"/>
              <w:right w:val="nil"/>
            </w:tcBorders>
            <w:vAlign w:val="center"/>
          </w:tcPr>
          <w:p w14:paraId="70D353AD" w14:textId="77777777" w:rsidR="006E11B6" w:rsidRPr="00576FA3" w:rsidRDefault="006E11B6" w:rsidP="006E11B6">
            <w:pPr>
              <w:keepNext/>
              <w:jc w:val="left"/>
              <w:rPr>
                <w:rFonts w:ascii="Arial Narrow" w:eastAsiaTheme="majorEastAsia" w:hAnsi="Arial Narrow" w:cstheme="majorBidi"/>
                <w:b/>
                <w:sz w:val="20"/>
              </w:rPr>
            </w:pPr>
          </w:p>
        </w:tc>
        <w:tc>
          <w:tcPr>
            <w:tcW w:w="838" w:type="pct"/>
            <w:tcBorders>
              <w:left w:val="nil"/>
              <w:bottom w:val="single" w:sz="4" w:space="0" w:color="auto"/>
            </w:tcBorders>
            <w:vAlign w:val="center"/>
          </w:tcPr>
          <w:p w14:paraId="763E0B0E" w14:textId="77777777" w:rsidR="006E11B6" w:rsidRPr="00576FA3" w:rsidRDefault="006E11B6" w:rsidP="006E11B6">
            <w:pPr>
              <w:keepNext/>
              <w:jc w:val="left"/>
              <w:rPr>
                <w:rFonts w:ascii="Arial Narrow" w:eastAsiaTheme="majorEastAsia" w:hAnsi="Arial Narrow" w:cstheme="majorBidi"/>
                <w:b/>
                <w:sz w:val="20"/>
              </w:rPr>
            </w:pPr>
          </w:p>
        </w:tc>
      </w:tr>
      <w:tr w:rsidR="006E11B6" w:rsidRPr="000C77A2" w14:paraId="0C3B9542" w14:textId="77777777" w:rsidTr="00122531">
        <w:trPr>
          <w:tblHeader/>
        </w:trPr>
        <w:tc>
          <w:tcPr>
            <w:tcW w:w="1529" w:type="pct"/>
            <w:tcBorders>
              <w:bottom w:val="nil"/>
            </w:tcBorders>
            <w:vAlign w:val="center"/>
          </w:tcPr>
          <w:p w14:paraId="07142127"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Costs</w:t>
            </w:r>
          </w:p>
        </w:tc>
        <w:tc>
          <w:tcPr>
            <w:tcW w:w="1359" w:type="pct"/>
            <w:tcBorders>
              <w:bottom w:val="nil"/>
            </w:tcBorders>
            <w:vAlign w:val="center"/>
          </w:tcPr>
          <w:p w14:paraId="2A487949" w14:textId="2D10DF6B"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Borders>
              <w:bottom w:val="nil"/>
            </w:tcBorders>
            <w:vAlign w:val="center"/>
          </w:tcPr>
          <w:p w14:paraId="3961AE20" w14:textId="51D89E63"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$7,517</w:t>
            </w:r>
          </w:p>
        </w:tc>
        <w:tc>
          <w:tcPr>
            <w:tcW w:w="838" w:type="pct"/>
            <w:tcBorders>
              <w:bottom w:val="nil"/>
            </w:tcBorders>
            <w:vAlign w:val="center"/>
          </w:tcPr>
          <w:p w14:paraId="7361DBD6" w14:textId="459682FA"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6E11B6" w:rsidRPr="000C77A2" w14:paraId="491F939D" w14:textId="77777777" w:rsidTr="00122531">
        <w:trPr>
          <w:tblHeader/>
        </w:trPr>
        <w:tc>
          <w:tcPr>
            <w:tcW w:w="1529" w:type="pct"/>
            <w:tcBorders>
              <w:bottom w:val="single" w:sz="4" w:space="0" w:color="auto"/>
            </w:tcBorders>
            <w:vAlign w:val="center"/>
          </w:tcPr>
          <w:p w14:paraId="0DE58AB1" w14:textId="5EE2CE2B"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LYG</w:t>
            </w:r>
          </w:p>
        </w:tc>
        <w:tc>
          <w:tcPr>
            <w:tcW w:w="1359" w:type="pct"/>
            <w:tcBorders>
              <w:bottom w:val="single" w:sz="4" w:space="0" w:color="auto"/>
            </w:tcBorders>
            <w:vAlign w:val="center"/>
          </w:tcPr>
          <w:p w14:paraId="3A066F69"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3.85</w:t>
            </w:r>
          </w:p>
        </w:tc>
        <w:tc>
          <w:tcPr>
            <w:tcW w:w="1274" w:type="pct"/>
            <w:tcBorders>
              <w:bottom w:val="single" w:sz="4" w:space="0" w:color="auto"/>
            </w:tcBorders>
            <w:vAlign w:val="center"/>
          </w:tcPr>
          <w:p w14:paraId="23ECD115"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1.18</w:t>
            </w:r>
          </w:p>
        </w:tc>
        <w:tc>
          <w:tcPr>
            <w:tcW w:w="838" w:type="pct"/>
            <w:tcBorders>
              <w:bottom w:val="single" w:sz="4" w:space="0" w:color="auto"/>
            </w:tcBorders>
            <w:vAlign w:val="center"/>
          </w:tcPr>
          <w:p w14:paraId="4F1DE679"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theme="majorBidi"/>
                <w:bCs/>
                <w:sz w:val="20"/>
              </w:rPr>
              <w:t>2.67</w:t>
            </w:r>
          </w:p>
        </w:tc>
      </w:tr>
      <w:tr w:rsidR="006E11B6" w:rsidRPr="000C77A2" w14:paraId="3AA35726" w14:textId="77777777" w:rsidTr="00122531">
        <w:trPr>
          <w:tblHeader/>
        </w:trPr>
        <w:tc>
          <w:tcPr>
            <w:tcW w:w="4162" w:type="pct"/>
            <w:gridSpan w:val="3"/>
            <w:tcBorders>
              <w:bottom w:val="nil"/>
            </w:tcBorders>
            <w:vAlign w:val="center"/>
          </w:tcPr>
          <w:p w14:paraId="5B6EB7D7"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Incremental cost/extra LYG gained</w:t>
            </w:r>
          </w:p>
        </w:tc>
        <w:tc>
          <w:tcPr>
            <w:tcW w:w="838" w:type="pct"/>
            <w:tcBorders>
              <w:bottom w:val="nil"/>
            </w:tcBorders>
            <w:vAlign w:val="center"/>
          </w:tcPr>
          <w:p w14:paraId="418F89B9" w14:textId="3A24772B"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993C5E">
              <w:rPr>
                <w:rFonts w:ascii="Arial Narrow" w:eastAsiaTheme="majorEastAsia" w:hAnsi="Arial Narrow" w:cstheme="majorBidi"/>
                <w:bCs/>
                <w:sz w:val="20"/>
                <w:vertAlign w:val="superscript"/>
              </w:rPr>
              <w:t>2</w:t>
            </w:r>
          </w:p>
        </w:tc>
      </w:tr>
      <w:tr w:rsidR="006E11B6" w:rsidRPr="000C77A2" w14:paraId="0CE07E67" w14:textId="77777777" w:rsidTr="00122531">
        <w:trPr>
          <w:tblHeader/>
        </w:trPr>
        <w:tc>
          <w:tcPr>
            <w:tcW w:w="1529" w:type="pct"/>
            <w:tcBorders>
              <w:bottom w:val="single" w:sz="4" w:space="0" w:color="auto"/>
              <w:right w:val="nil"/>
            </w:tcBorders>
            <w:vAlign w:val="center"/>
          </w:tcPr>
          <w:p w14:paraId="1011EC12" w14:textId="77777777" w:rsidR="006E11B6" w:rsidRPr="00576FA3" w:rsidRDefault="006E11B6" w:rsidP="006E11B6">
            <w:pPr>
              <w:keepNext/>
              <w:jc w:val="left"/>
              <w:rPr>
                <w:rFonts w:ascii="Arial Narrow" w:eastAsiaTheme="majorEastAsia" w:hAnsi="Arial Narrow" w:cstheme="majorBidi"/>
                <w:b/>
                <w:sz w:val="20"/>
              </w:rPr>
            </w:pPr>
            <w:r w:rsidRPr="00576FA3">
              <w:rPr>
                <w:rFonts w:ascii="Arial Narrow" w:eastAsiaTheme="majorEastAsia" w:hAnsi="Arial Narrow" w:cstheme="majorBidi"/>
                <w:b/>
                <w:sz w:val="20"/>
              </w:rPr>
              <w:t>Step 3: transformation into QALYs</w:t>
            </w:r>
          </w:p>
        </w:tc>
        <w:tc>
          <w:tcPr>
            <w:tcW w:w="1359" w:type="pct"/>
            <w:tcBorders>
              <w:left w:val="nil"/>
              <w:bottom w:val="single" w:sz="4" w:space="0" w:color="auto"/>
              <w:right w:val="nil"/>
            </w:tcBorders>
            <w:vAlign w:val="center"/>
          </w:tcPr>
          <w:p w14:paraId="1A9A253D" w14:textId="77777777" w:rsidR="006E11B6" w:rsidRPr="00576FA3" w:rsidRDefault="006E11B6" w:rsidP="006E11B6">
            <w:pPr>
              <w:keepNext/>
              <w:jc w:val="left"/>
              <w:rPr>
                <w:rFonts w:ascii="Arial Narrow" w:eastAsiaTheme="majorEastAsia" w:hAnsi="Arial Narrow" w:cstheme="majorBidi"/>
                <w:b/>
                <w:sz w:val="20"/>
              </w:rPr>
            </w:pPr>
          </w:p>
        </w:tc>
        <w:tc>
          <w:tcPr>
            <w:tcW w:w="1274" w:type="pct"/>
            <w:tcBorders>
              <w:left w:val="nil"/>
              <w:bottom w:val="single" w:sz="4" w:space="0" w:color="auto"/>
              <w:right w:val="nil"/>
            </w:tcBorders>
            <w:vAlign w:val="center"/>
          </w:tcPr>
          <w:p w14:paraId="26935F91" w14:textId="77777777" w:rsidR="006E11B6" w:rsidRPr="00576FA3" w:rsidRDefault="006E11B6" w:rsidP="006E11B6">
            <w:pPr>
              <w:keepNext/>
              <w:jc w:val="left"/>
              <w:rPr>
                <w:rFonts w:ascii="Arial Narrow" w:eastAsiaTheme="majorEastAsia" w:hAnsi="Arial Narrow" w:cstheme="majorBidi"/>
                <w:b/>
                <w:sz w:val="20"/>
              </w:rPr>
            </w:pPr>
          </w:p>
        </w:tc>
        <w:tc>
          <w:tcPr>
            <w:tcW w:w="838" w:type="pct"/>
            <w:tcBorders>
              <w:left w:val="nil"/>
              <w:bottom w:val="single" w:sz="4" w:space="0" w:color="auto"/>
            </w:tcBorders>
            <w:vAlign w:val="center"/>
          </w:tcPr>
          <w:p w14:paraId="7EC5FF4F" w14:textId="77777777" w:rsidR="006E11B6" w:rsidRPr="00576FA3" w:rsidRDefault="006E11B6" w:rsidP="006E11B6">
            <w:pPr>
              <w:keepNext/>
              <w:jc w:val="right"/>
              <w:rPr>
                <w:rFonts w:ascii="Arial Narrow" w:eastAsiaTheme="majorEastAsia" w:hAnsi="Arial Narrow" w:cstheme="majorBidi"/>
                <w:b/>
                <w:sz w:val="20"/>
              </w:rPr>
            </w:pPr>
          </w:p>
        </w:tc>
      </w:tr>
      <w:tr w:rsidR="006E11B6" w:rsidRPr="000C77A2" w14:paraId="234FD990" w14:textId="77777777" w:rsidTr="00122531">
        <w:trPr>
          <w:tblHeader/>
        </w:trPr>
        <w:tc>
          <w:tcPr>
            <w:tcW w:w="1529" w:type="pct"/>
            <w:tcBorders>
              <w:bottom w:val="nil"/>
            </w:tcBorders>
            <w:vAlign w:val="center"/>
          </w:tcPr>
          <w:p w14:paraId="1B5DDCE8"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Costs</w:t>
            </w:r>
          </w:p>
        </w:tc>
        <w:tc>
          <w:tcPr>
            <w:tcW w:w="1359" w:type="pct"/>
            <w:tcBorders>
              <w:bottom w:val="nil"/>
            </w:tcBorders>
            <w:vAlign w:val="center"/>
          </w:tcPr>
          <w:p w14:paraId="7AF07F8D" w14:textId="67024C36"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Borders>
              <w:bottom w:val="nil"/>
            </w:tcBorders>
            <w:vAlign w:val="center"/>
          </w:tcPr>
          <w:p w14:paraId="775A4B2A" w14:textId="6D6804BF"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$7,517</w:t>
            </w:r>
          </w:p>
        </w:tc>
        <w:tc>
          <w:tcPr>
            <w:tcW w:w="838" w:type="pct"/>
            <w:tcBorders>
              <w:bottom w:val="nil"/>
            </w:tcBorders>
            <w:vAlign w:val="center"/>
          </w:tcPr>
          <w:p w14:paraId="5E028FB4" w14:textId="146CCA00" w:rsidR="006E11B6" w:rsidRPr="00576FA3"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6E11B6" w:rsidRPr="000C77A2" w14:paraId="4FDA2167" w14:textId="77777777" w:rsidTr="00122531">
        <w:trPr>
          <w:tblHeader/>
        </w:trPr>
        <w:tc>
          <w:tcPr>
            <w:tcW w:w="1529" w:type="pct"/>
            <w:tcBorders>
              <w:bottom w:val="single" w:sz="4" w:space="0" w:color="auto"/>
            </w:tcBorders>
            <w:vAlign w:val="center"/>
          </w:tcPr>
          <w:p w14:paraId="7B3DFBDB" w14:textId="77777777" w:rsidR="006E11B6" w:rsidRPr="00576FA3" w:rsidRDefault="006E11B6" w:rsidP="006E11B6">
            <w:pPr>
              <w:keepNext/>
              <w:jc w:val="left"/>
              <w:rPr>
                <w:rFonts w:ascii="Arial Narrow" w:eastAsiaTheme="majorEastAsia" w:hAnsi="Arial Narrow" w:cstheme="majorBidi"/>
                <w:bCs/>
                <w:sz w:val="20"/>
              </w:rPr>
            </w:pPr>
            <w:r w:rsidRPr="00576FA3">
              <w:rPr>
                <w:rFonts w:ascii="Arial Narrow" w:eastAsiaTheme="majorEastAsia" w:hAnsi="Arial Narrow" w:cstheme="majorBidi"/>
                <w:bCs/>
                <w:sz w:val="20"/>
              </w:rPr>
              <w:t>QALYs</w:t>
            </w:r>
          </w:p>
        </w:tc>
        <w:tc>
          <w:tcPr>
            <w:tcW w:w="1359" w:type="pct"/>
            <w:tcBorders>
              <w:bottom w:val="single" w:sz="4" w:space="0" w:color="auto"/>
            </w:tcBorders>
            <w:vAlign w:val="bottom"/>
          </w:tcPr>
          <w:p w14:paraId="13F3EB69"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Calibri"/>
                <w:bCs/>
                <w:color w:val="000000"/>
                <w:sz w:val="20"/>
              </w:rPr>
              <w:t>2.70</w:t>
            </w:r>
          </w:p>
        </w:tc>
        <w:tc>
          <w:tcPr>
            <w:tcW w:w="1274" w:type="pct"/>
            <w:tcBorders>
              <w:bottom w:val="single" w:sz="4" w:space="0" w:color="auto"/>
            </w:tcBorders>
            <w:vAlign w:val="bottom"/>
          </w:tcPr>
          <w:p w14:paraId="0F9ACF86"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Calibri"/>
                <w:bCs/>
                <w:color w:val="000000"/>
                <w:sz w:val="20"/>
              </w:rPr>
              <w:t>0.83</w:t>
            </w:r>
          </w:p>
        </w:tc>
        <w:tc>
          <w:tcPr>
            <w:tcW w:w="838" w:type="pct"/>
            <w:tcBorders>
              <w:bottom w:val="single" w:sz="4" w:space="0" w:color="auto"/>
            </w:tcBorders>
            <w:vAlign w:val="bottom"/>
          </w:tcPr>
          <w:p w14:paraId="4117F9E2" w14:textId="77777777" w:rsidR="006E11B6" w:rsidRPr="00576FA3" w:rsidRDefault="006E11B6" w:rsidP="006E11B6">
            <w:pPr>
              <w:keepNext/>
              <w:jc w:val="right"/>
              <w:rPr>
                <w:rFonts w:ascii="Arial Narrow" w:eastAsiaTheme="majorEastAsia" w:hAnsi="Arial Narrow" w:cstheme="majorBidi"/>
                <w:bCs/>
                <w:sz w:val="20"/>
              </w:rPr>
            </w:pPr>
            <w:r w:rsidRPr="00576FA3">
              <w:rPr>
                <w:rFonts w:ascii="Arial Narrow" w:eastAsiaTheme="majorEastAsia" w:hAnsi="Arial Narrow" w:cs="Calibri"/>
                <w:bCs/>
                <w:color w:val="000000"/>
                <w:sz w:val="20"/>
              </w:rPr>
              <w:t>1.88</w:t>
            </w:r>
          </w:p>
        </w:tc>
      </w:tr>
      <w:tr w:rsidR="006E11B6" w:rsidRPr="000C77A2" w14:paraId="33472528" w14:textId="77777777" w:rsidTr="00122531">
        <w:trPr>
          <w:tblHeader/>
        </w:trPr>
        <w:tc>
          <w:tcPr>
            <w:tcW w:w="4162" w:type="pct"/>
            <w:gridSpan w:val="3"/>
            <w:tcBorders>
              <w:bottom w:val="nil"/>
            </w:tcBorders>
            <w:vAlign w:val="center"/>
          </w:tcPr>
          <w:p w14:paraId="7E403F23" w14:textId="77777777" w:rsidR="006E11B6" w:rsidRPr="00576FA3" w:rsidRDefault="006E11B6" w:rsidP="006E11B6">
            <w:pPr>
              <w:keepNext/>
              <w:jc w:val="left"/>
              <w:rPr>
                <w:rFonts w:ascii="Arial Narrow" w:eastAsiaTheme="majorEastAsia" w:hAnsi="Arial Narrow" w:cstheme="majorBidi"/>
                <w:b/>
                <w:sz w:val="20"/>
              </w:rPr>
            </w:pPr>
            <w:r w:rsidRPr="00576FA3">
              <w:rPr>
                <w:rFonts w:ascii="Arial Narrow" w:eastAsiaTheme="majorEastAsia" w:hAnsi="Arial Narrow" w:cstheme="majorBidi"/>
                <w:b/>
                <w:sz w:val="20"/>
              </w:rPr>
              <w:t>Incremental cost/extra QALY gained (base case)</w:t>
            </w:r>
          </w:p>
        </w:tc>
        <w:tc>
          <w:tcPr>
            <w:tcW w:w="838" w:type="pct"/>
            <w:tcBorders>
              <w:bottom w:val="nil"/>
            </w:tcBorders>
            <w:vAlign w:val="center"/>
          </w:tcPr>
          <w:p w14:paraId="01C30FF0" w14:textId="0F9FC091" w:rsidR="006E11B6" w:rsidRPr="00576FA3" w:rsidRDefault="006E11B6" w:rsidP="006E11B6">
            <w:pPr>
              <w:keepNext/>
              <w:jc w:val="right"/>
              <w:rPr>
                <w:rFonts w:ascii="Arial Narrow" w:eastAsiaTheme="majorEastAsia" w:hAnsi="Arial Narrow" w:cstheme="majorBidi"/>
                <w:b/>
                <w:sz w:val="20"/>
              </w:rPr>
            </w:pPr>
            <w:r w:rsidRPr="000C77A2">
              <w:rPr>
                <w:rFonts w:ascii="Arial Narrow" w:eastAsiaTheme="majorEastAsia" w:hAnsi="Arial Narrow" w:cstheme="majorBidi"/>
                <w:b/>
                <w:sz w:val="20"/>
              </w:rPr>
              <w:t>$</w:t>
            </w:r>
            <w:r w:rsidR="00C66EC7" w:rsidRPr="00C66EC7">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sidR="004D1484">
              <w:rPr>
                <w:rFonts w:ascii="Arial Narrow" w:eastAsiaTheme="majorEastAsia" w:hAnsi="Arial Narrow" w:cstheme="majorBidi"/>
                <w:bCs/>
                <w:sz w:val="20"/>
                <w:vertAlign w:val="superscript"/>
              </w:rPr>
              <w:t>3</w:t>
            </w:r>
          </w:p>
        </w:tc>
      </w:tr>
      <w:tr w:rsidR="006E11B6" w:rsidRPr="000C77A2" w14:paraId="1FFD9448" w14:textId="77777777" w:rsidTr="00122531">
        <w:tc>
          <w:tcPr>
            <w:tcW w:w="5000" w:type="pct"/>
            <w:gridSpan w:val="4"/>
            <w:shd w:val="clear" w:color="auto" w:fill="B8CCE4" w:themeFill="accent1" w:themeFillTint="66"/>
            <w:vAlign w:val="center"/>
          </w:tcPr>
          <w:p w14:paraId="69D809D1" w14:textId="77777777" w:rsidR="006E11B6" w:rsidRPr="000C77A2" w:rsidRDefault="006E11B6" w:rsidP="006E11B6">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 xml:space="preserve">Previous submission </w:t>
            </w:r>
            <w:r w:rsidRPr="000C77A2">
              <w:rPr>
                <w:rFonts w:ascii="Arial Narrow" w:eastAsiaTheme="majorEastAsia" w:hAnsi="Arial Narrow" w:cstheme="majorBidi"/>
                <w:b/>
                <w:sz w:val="20"/>
                <w:vertAlign w:val="superscript"/>
              </w:rPr>
              <w:t>a</w:t>
            </w:r>
            <w:r w:rsidRPr="000C77A2">
              <w:rPr>
                <w:rFonts w:ascii="Arial Narrow" w:eastAsiaTheme="majorEastAsia" w:hAnsi="Arial Narrow" w:cstheme="majorBidi"/>
                <w:b/>
                <w:sz w:val="20"/>
              </w:rPr>
              <w:t xml:space="preserve"> </w:t>
            </w:r>
          </w:p>
        </w:tc>
      </w:tr>
      <w:tr w:rsidR="006E11B6" w:rsidRPr="000C77A2" w14:paraId="105D2C1D" w14:textId="77777777" w:rsidTr="00C66EC7">
        <w:tc>
          <w:tcPr>
            <w:tcW w:w="1529" w:type="pct"/>
            <w:shd w:val="clear" w:color="auto" w:fill="B8CCE4" w:themeFill="accent1" w:themeFillTint="66"/>
            <w:vAlign w:val="center"/>
          </w:tcPr>
          <w:p w14:paraId="5E2E6393" w14:textId="77777777" w:rsidR="006E11B6" w:rsidRPr="000C77A2" w:rsidRDefault="006E11B6" w:rsidP="006E11B6">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Costs</w:t>
            </w:r>
          </w:p>
        </w:tc>
        <w:tc>
          <w:tcPr>
            <w:tcW w:w="1359" w:type="pct"/>
            <w:shd w:val="solid" w:color="000000" w:fill="000000"/>
          </w:tcPr>
          <w:p w14:paraId="34AEDAF1" w14:textId="788F732A" w:rsidR="006E11B6" w:rsidRPr="000C77A2" w:rsidRDefault="00C66EC7" w:rsidP="006E11B6">
            <w:pPr>
              <w:keepNext/>
              <w:jc w:val="right"/>
              <w:rPr>
                <w:rFonts w:ascii="Arial Narrow" w:eastAsiaTheme="majorEastAsia" w:hAnsi="Arial Narrow" w:cstheme="majorBidi"/>
                <w:bCs/>
                <w:sz w:val="20"/>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274" w:type="pct"/>
            <w:shd w:val="clear" w:color="auto" w:fill="B8CCE4" w:themeFill="accent1" w:themeFillTint="66"/>
          </w:tcPr>
          <w:p w14:paraId="33120F8A" w14:textId="77777777" w:rsidR="006E11B6" w:rsidRPr="000C77A2"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$58,199</w:t>
            </w:r>
          </w:p>
        </w:tc>
        <w:tc>
          <w:tcPr>
            <w:tcW w:w="838" w:type="pct"/>
            <w:shd w:val="clear" w:color="auto" w:fill="B8CCE4" w:themeFill="accent1" w:themeFillTint="66"/>
          </w:tcPr>
          <w:p w14:paraId="56EAFF9E" w14:textId="21785230" w:rsidR="006E11B6" w:rsidRPr="000C77A2"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w:t>
            </w:r>
            <w:r w:rsidR="00C66EC7" w:rsidRPr="00C66EC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6E11B6" w:rsidRPr="000C77A2" w14:paraId="33164416" w14:textId="77777777" w:rsidTr="00122531">
        <w:tc>
          <w:tcPr>
            <w:tcW w:w="1529" w:type="pct"/>
            <w:shd w:val="clear" w:color="auto" w:fill="B8CCE4" w:themeFill="accent1" w:themeFillTint="66"/>
            <w:vAlign w:val="center"/>
          </w:tcPr>
          <w:p w14:paraId="61721499" w14:textId="77777777" w:rsidR="006E11B6" w:rsidRPr="000C77A2" w:rsidRDefault="006E11B6" w:rsidP="006E11B6">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QALYs</w:t>
            </w:r>
          </w:p>
        </w:tc>
        <w:tc>
          <w:tcPr>
            <w:tcW w:w="1359" w:type="pct"/>
            <w:shd w:val="clear" w:color="auto" w:fill="B8CCE4" w:themeFill="accent1" w:themeFillTint="66"/>
          </w:tcPr>
          <w:p w14:paraId="708D1708" w14:textId="77777777" w:rsidR="006E11B6" w:rsidRPr="000C77A2"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0.858</w:t>
            </w:r>
          </w:p>
        </w:tc>
        <w:tc>
          <w:tcPr>
            <w:tcW w:w="1274" w:type="pct"/>
            <w:shd w:val="clear" w:color="auto" w:fill="B8CCE4" w:themeFill="accent1" w:themeFillTint="66"/>
          </w:tcPr>
          <w:p w14:paraId="6FB98BDC" w14:textId="77777777" w:rsidR="006E11B6" w:rsidRPr="000C77A2"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0.852</w:t>
            </w:r>
          </w:p>
        </w:tc>
        <w:tc>
          <w:tcPr>
            <w:tcW w:w="838" w:type="pct"/>
            <w:shd w:val="clear" w:color="auto" w:fill="B8CCE4" w:themeFill="accent1" w:themeFillTint="66"/>
          </w:tcPr>
          <w:p w14:paraId="3C375DCD" w14:textId="77777777" w:rsidR="006E11B6" w:rsidRPr="000C77A2" w:rsidRDefault="006E11B6" w:rsidP="006E11B6">
            <w:pPr>
              <w:keepNext/>
              <w:jc w:val="right"/>
              <w:rPr>
                <w:rFonts w:ascii="Arial Narrow" w:eastAsiaTheme="majorEastAsia" w:hAnsi="Arial Narrow" w:cstheme="majorBidi"/>
                <w:bCs/>
                <w:sz w:val="20"/>
              </w:rPr>
            </w:pPr>
            <w:r w:rsidRPr="000C77A2">
              <w:rPr>
                <w:rFonts w:ascii="Arial Narrow" w:eastAsiaTheme="majorEastAsia" w:hAnsi="Arial Narrow" w:cstheme="majorBidi"/>
                <w:bCs/>
                <w:sz w:val="20"/>
              </w:rPr>
              <w:t>0.006</w:t>
            </w:r>
          </w:p>
        </w:tc>
      </w:tr>
      <w:tr w:rsidR="006E11B6" w:rsidRPr="000C77A2" w14:paraId="517A6561" w14:textId="77777777" w:rsidTr="00122531">
        <w:tc>
          <w:tcPr>
            <w:tcW w:w="4162" w:type="pct"/>
            <w:gridSpan w:val="3"/>
            <w:shd w:val="clear" w:color="auto" w:fill="B8CCE4" w:themeFill="accent1" w:themeFillTint="66"/>
            <w:vAlign w:val="center"/>
          </w:tcPr>
          <w:p w14:paraId="783EC5D2" w14:textId="77777777" w:rsidR="006E11B6" w:rsidRPr="000C77A2" w:rsidRDefault="006E11B6" w:rsidP="006E11B6">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 xml:space="preserve">Incremental cost/extra QALY gained </w:t>
            </w:r>
          </w:p>
        </w:tc>
        <w:tc>
          <w:tcPr>
            <w:tcW w:w="838" w:type="pct"/>
            <w:shd w:val="clear" w:color="auto" w:fill="B8CCE4" w:themeFill="accent1" w:themeFillTint="66"/>
            <w:vAlign w:val="center"/>
          </w:tcPr>
          <w:p w14:paraId="1B381495" w14:textId="7D528A27" w:rsidR="006E11B6" w:rsidRPr="000C77A2" w:rsidRDefault="006E11B6" w:rsidP="006E11B6">
            <w:pPr>
              <w:keepNext/>
              <w:jc w:val="right"/>
              <w:rPr>
                <w:rFonts w:ascii="Arial Narrow" w:eastAsiaTheme="majorEastAsia" w:hAnsi="Arial Narrow" w:cstheme="majorBidi"/>
                <w:b/>
                <w:sz w:val="20"/>
              </w:rPr>
            </w:pPr>
            <w:r w:rsidRPr="000C77A2">
              <w:rPr>
                <w:rFonts w:ascii="Arial Narrow" w:eastAsiaTheme="majorEastAsia" w:hAnsi="Arial Narrow" w:cstheme="majorBidi"/>
                <w:b/>
                <w:sz w:val="20"/>
              </w:rPr>
              <w:t>$</w:t>
            </w:r>
            <w:r w:rsidR="00C66EC7" w:rsidRPr="00C66EC7">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sidR="00993C5E">
              <w:rPr>
                <w:rFonts w:ascii="Arial Narrow" w:eastAsiaTheme="majorEastAsia" w:hAnsi="Arial Narrow" w:cstheme="majorBidi"/>
                <w:bCs/>
                <w:sz w:val="20"/>
                <w:vertAlign w:val="superscript"/>
              </w:rPr>
              <w:t>2</w:t>
            </w:r>
          </w:p>
        </w:tc>
      </w:tr>
    </w:tbl>
    <w:p w14:paraId="5F901E7E" w14:textId="77777777" w:rsidR="00097911" w:rsidRPr="000C77A2" w:rsidRDefault="00097911" w:rsidP="00575ACA">
      <w:pPr>
        <w:rPr>
          <w:rFonts w:ascii="Arial Narrow" w:hAnsi="Arial Narrow"/>
          <w:snapToGrid w:val="0"/>
          <w:sz w:val="18"/>
        </w:rPr>
      </w:pPr>
      <w:r w:rsidRPr="000C77A2">
        <w:rPr>
          <w:rFonts w:ascii="Arial Narrow" w:hAnsi="Arial Narrow"/>
          <w:snapToGrid w:val="0"/>
          <w:sz w:val="18"/>
        </w:rPr>
        <w:t xml:space="preserve">Source: tabulated during evaluation from the “Attachment 3.1 – Section 3 Workbook – cost effectiveness model” workbook provided in the submission. </w:t>
      </w:r>
    </w:p>
    <w:p w14:paraId="36EEA2F6" w14:textId="77777777" w:rsidR="00097911" w:rsidRPr="000C77A2" w:rsidRDefault="00097911" w:rsidP="00575ACA">
      <w:pPr>
        <w:rPr>
          <w:rFonts w:ascii="Arial Narrow" w:hAnsi="Arial Narrow"/>
          <w:snapToGrid w:val="0"/>
          <w:sz w:val="18"/>
        </w:rPr>
      </w:pPr>
      <w:r w:rsidRPr="000C77A2">
        <w:rPr>
          <w:rFonts w:ascii="Arial Narrow" w:hAnsi="Arial Narrow"/>
          <w:snapToGrid w:val="0"/>
          <w:sz w:val="18"/>
        </w:rPr>
        <w:t>LYG =  life year gained; NSCLC = non-small cell lung cancer; QALYs = quality-adjusted life years</w:t>
      </w:r>
    </w:p>
    <w:p w14:paraId="0A98CC2E" w14:textId="77777777" w:rsidR="00097911" w:rsidRPr="000C77A2" w:rsidRDefault="00097911" w:rsidP="00575ACA">
      <w:pPr>
        <w:rPr>
          <w:rFonts w:ascii="Arial Narrow" w:hAnsi="Arial Narrow"/>
          <w:sz w:val="18"/>
        </w:rPr>
      </w:pPr>
      <w:r w:rsidRPr="000C77A2">
        <w:rPr>
          <w:rFonts w:ascii="Arial Narrow" w:hAnsi="Arial Narrow"/>
          <w:sz w:val="18"/>
          <w:shd w:val="clear" w:color="auto" w:fill="C6D9F1" w:themeFill="text2" w:themeFillTint="33"/>
        </w:rPr>
        <w:t xml:space="preserve">Blue </w:t>
      </w:r>
      <w:r w:rsidRPr="000C77A2">
        <w:rPr>
          <w:rFonts w:ascii="Arial Narrow" w:hAnsi="Arial Narrow"/>
          <w:sz w:val="18"/>
        </w:rPr>
        <w:t>shading represents results previously considered by the PBAC.</w:t>
      </w:r>
    </w:p>
    <w:p w14:paraId="22DDAF65" w14:textId="77777777" w:rsidR="00097911" w:rsidRPr="000C77A2" w:rsidRDefault="00097911" w:rsidP="00575ACA">
      <w:pPr>
        <w:rPr>
          <w:rFonts w:ascii="Arial Narrow" w:hAnsi="Arial Narrow"/>
          <w:i/>
          <w:iCs/>
          <w:sz w:val="18"/>
        </w:rPr>
      </w:pPr>
      <w:r w:rsidRPr="000C77A2">
        <w:rPr>
          <w:rFonts w:ascii="Arial Narrow" w:hAnsi="Arial Narrow"/>
          <w:snapToGrid w:val="0"/>
          <w:sz w:val="18"/>
          <w:lang w:eastAsia="en-US"/>
        </w:rPr>
        <w:t>Follow-up OS data for larotrectinib was available for NSCLC patients treated with larotrectinib for 77 months, while only 27 months of follow-up OS data was available for docetaxel. Therefore, the minimum duration of follow-up OS data was chosen for the stepped economic evaluation.</w:t>
      </w:r>
      <w:r w:rsidRPr="000C77A2">
        <w:rPr>
          <w:rFonts w:ascii="Arial Narrow" w:hAnsi="Arial Narrow"/>
          <w:i/>
          <w:iCs/>
          <w:sz w:val="18"/>
        </w:rPr>
        <w:t xml:space="preserve"> </w:t>
      </w:r>
    </w:p>
    <w:p w14:paraId="31D0D34A" w14:textId="5D130CE3" w:rsidR="00A477B7" w:rsidRDefault="00097911" w:rsidP="00560AEC">
      <w:pPr>
        <w:rPr>
          <w:rFonts w:ascii="Arial Narrow" w:hAnsi="Arial Narrow"/>
          <w:sz w:val="18"/>
        </w:rPr>
      </w:pPr>
      <w:proofErr w:type="spellStart"/>
      <w:r w:rsidRPr="000C77A2">
        <w:rPr>
          <w:rFonts w:ascii="Arial Narrow" w:hAnsi="Arial Narrow"/>
          <w:sz w:val="18"/>
          <w:vertAlign w:val="superscript"/>
        </w:rPr>
        <w:t>a</w:t>
      </w:r>
      <w:proofErr w:type="spellEnd"/>
      <w:r w:rsidRPr="000C77A2">
        <w:rPr>
          <w:rFonts w:ascii="Arial Narrow" w:hAnsi="Arial Narrow"/>
          <w:sz w:val="18"/>
          <w:vertAlign w:val="superscript"/>
        </w:rPr>
        <w:t xml:space="preserve"> </w:t>
      </w:r>
      <w:r w:rsidRPr="000C77A2">
        <w:rPr>
          <w:rFonts w:ascii="Arial Narrow" w:hAnsi="Arial Narrow"/>
          <w:sz w:val="18"/>
        </w:rPr>
        <w:t>In the previous submission, the analysis compared costs and outcomes in the tested population (</w:t>
      </w:r>
      <w:proofErr w:type="spellStart"/>
      <w:r w:rsidRPr="000C77A2">
        <w:rPr>
          <w:rFonts w:ascii="Arial Narrow" w:hAnsi="Arial Narrow"/>
          <w:sz w:val="18"/>
        </w:rPr>
        <w:t>i.e.,‘NTRK</w:t>
      </w:r>
      <w:proofErr w:type="spellEnd"/>
      <w:r w:rsidRPr="000C77A2">
        <w:rPr>
          <w:rFonts w:ascii="Arial Narrow" w:hAnsi="Arial Narrow"/>
          <w:sz w:val="18"/>
        </w:rPr>
        <w:t xml:space="preserve"> testing and larotrectinib in NTRK+ and SoC in NTRK−’ to ‘No testing and SoC’) and as such, the benefit of larotrectinib treatment was diluted. Costs in each model arm were driven by terminal care costs, which were excluded in the resubmission.</w:t>
      </w:r>
    </w:p>
    <w:p w14:paraId="2AE7A453" w14:textId="77777777" w:rsidR="00A477B7" w:rsidRPr="00560AEC" w:rsidRDefault="00A477B7" w:rsidP="00560AEC">
      <w:pPr>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1397D4C7" w14:textId="6ABB557D" w:rsidR="00A477B7" w:rsidRPr="00560AEC" w:rsidRDefault="00A477B7" w:rsidP="00560AEC">
      <w:pPr>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w:t>
      </w:r>
      <w:r w:rsidR="004D1484" w:rsidRPr="00560AEC">
        <w:rPr>
          <w:rFonts w:ascii="Arial Narrow" w:hAnsi="Arial Narrow" w:cstheme="minorHAnsi"/>
          <w:bCs/>
          <w:i/>
          <w:iCs/>
          <w:sz w:val="18"/>
          <w:szCs w:val="18"/>
        </w:rPr>
        <w:t>$155,000 to &lt; $255,000</w:t>
      </w:r>
    </w:p>
    <w:p w14:paraId="42CA9ADA" w14:textId="279B2355" w:rsidR="00A477B7" w:rsidRPr="00560AEC" w:rsidRDefault="00A477B7" w:rsidP="00560AEC">
      <w:pPr>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w:t>
      </w:r>
      <w:r w:rsidR="004D1484" w:rsidRPr="00560AEC">
        <w:rPr>
          <w:rFonts w:ascii="Arial Narrow" w:hAnsi="Arial Narrow" w:cstheme="minorHAnsi"/>
          <w:bCs/>
          <w:i/>
          <w:iCs/>
          <w:sz w:val="18"/>
          <w:szCs w:val="18"/>
        </w:rPr>
        <w:t xml:space="preserve"> $</w:t>
      </w:r>
      <w:r w:rsidR="00993C5E" w:rsidRPr="00560AEC">
        <w:rPr>
          <w:rFonts w:ascii="Arial Narrow" w:hAnsi="Arial Narrow" w:cstheme="minorHAnsi"/>
          <w:bCs/>
          <w:i/>
          <w:iCs/>
          <w:sz w:val="18"/>
          <w:szCs w:val="18"/>
        </w:rPr>
        <w:t>9</w:t>
      </w:r>
      <w:r w:rsidR="004D1484" w:rsidRPr="00560AEC">
        <w:rPr>
          <w:rFonts w:ascii="Arial Narrow" w:hAnsi="Arial Narrow" w:cstheme="minorHAnsi"/>
          <w:bCs/>
          <w:i/>
          <w:iCs/>
          <w:sz w:val="18"/>
          <w:szCs w:val="18"/>
        </w:rPr>
        <w:t>5,000 to &lt; $</w:t>
      </w:r>
      <w:r w:rsidR="00993C5E" w:rsidRPr="00560AEC">
        <w:rPr>
          <w:rFonts w:ascii="Arial Narrow" w:hAnsi="Arial Narrow" w:cstheme="minorHAnsi"/>
          <w:bCs/>
          <w:i/>
          <w:iCs/>
          <w:sz w:val="18"/>
          <w:szCs w:val="18"/>
        </w:rPr>
        <w:t>11</w:t>
      </w:r>
      <w:r w:rsidR="004D1484" w:rsidRPr="00560AEC">
        <w:rPr>
          <w:rFonts w:ascii="Arial Narrow" w:hAnsi="Arial Narrow" w:cstheme="minorHAnsi"/>
          <w:bCs/>
          <w:i/>
          <w:iCs/>
          <w:sz w:val="18"/>
          <w:szCs w:val="18"/>
        </w:rPr>
        <w:t>5,000</w:t>
      </w:r>
    </w:p>
    <w:p w14:paraId="29C33390" w14:textId="64B5EF2A" w:rsidR="00097911" w:rsidRPr="00560AEC" w:rsidRDefault="00A477B7" w:rsidP="00560AEC">
      <w:pPr>
        <w:spacing w:after="120"/>
        <w:rPr>
          <w:rFonts w:ascii="Arial Narrow" w:hAnsi="Arial Narrow"/>
          <w:snapToGrid w:val="0"/>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w:t>
      </w:r>
      <w:r w:rsidR="004D1484" w:rsidRPr="00560AEC">
        <w:rPr>
          <w:rFonts w:ascii="Arial Narrow" w:hAnsi="Arial Narrow" w:cstheme="minorHAnsi"/>
          <w:bCs/>
          <w:i/>
          <w:iCs/>
          <w:sz w:val="18"/>
          <w:szCs w:val="18"/>
        </w:rPr>
        <w:t xml:space="preserve"> $1</w:t>
      </w:r>
      <w:r w:rsidR="00AB2574" w:rsidRPr="00560AEC">
        <w:rPr>
          <w:rFonts w:ascii="Arial Narrow" w:hAnsi="Arial Narrow" w:cstheme="minorHAnsi"/>
          <w:bCs/>
          <w:i/>
          <w:iCs/>
          <w:sz w:val="18"/>
          <w:szCs w:val="18"/>
        </w:rPr>
        <w:t>3</w:t>
      </w:r>
      <w:r w:rsidR="004D1484" w:rsidRPr="00560AEC">
        <w:rPr>
          <w:rFonts w:ascii="Arial Narrow" w:hAnsi="Arial Narrow" w:cstheme="minorHAnsi"/>
          <w:bCs/>
          <w:i/>
          <w:iCs/>
          <w:sz w:val="18"/>
          <w:szCs w:val="18"/>
        </w:rPr>
        <w:t>5,000 to &lt; $</w:t>
      </w:r>
      <w:r w:rsidR="00AB2574" w:rsidRPr="00560AEC">
        <w:rPr>
          <w:rFonts w:ascii="Arial Narrow" w:hAnsi="Arial Narrow" w:cstheme="minorHAnsi"/>
          <w:bCs/>
          <w:i/>
          <w:iCs/>
          <w:sz w:val="18"/>
          <w:szCs w:val="18"/>
        </w:rPr>
        <w:t>1</w:t>
      </w:r>
      <w:r w:rsidR="004D1484" w:rsidRPr="00560AEC">
        <w:rPr>
          <w:rFonts w:ascii="Arial Narrow" w:hAnsi="Arial Narrow" w:cstheme="minorHAnsi"/>
          <w:bCs/>
          <w:i/>
          <w:iCs/>
          <w:sz w:val="18"/>
          <w:szCs w:val="18"/>
        </w:rPr>
        <w:t>55,000</w:t>
      </w:r>
    </w:p>
    <w:p w14:paraId="409DE245" w14:textId="6F4E904B" w:rsidR="00097911" w:rsidRPr="000C77A2" w:rsidRDefault="00097911" w:rsidP="007F0A22">
      <w:pPr>
        <w:keepNext/>
        <w:keepLines/>
        <w:rPr>
          <w:rFonts w:ascii="Arial Narrow" w:hAnsi="Arial Narrow"/>
          <w:b/>
          <w:bCs/>
          <w:sz w:val="20"/>
          <w:szCs w:val="18"/>
        </w:rPr>
      </w:pPr>
      <w:bookmarkStart w:id="53" w:name="_Ref155624893"/>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18</w:t>
      </w:r>
      <w:r w:rsidRPr="00576FA3">
        <w:rPr>
          <w:rFonts w:ascii="Arial Narrow" w:hAnsi="Arial Narrow"/>
          <w:b/>
          <w:bCs/>
          <w:sz w:val="20"/>
          <w:szCs w:val="18"/>
        </w:rPr>
        <w:fldChar w:fldCharType="end"/>
      </w:r>
      <w:bookmarkEnd w:id="53"/>
      <w:r w:rsidRPr="000C77A2">
        <w:rPr>
          <w:rFonts w:ascii="Arial Narrow" w:hAnsi="Arial Narrow"/>
          <w:b/>
          <w:bCs/>
          <w:sz w:val="20"/>
          <w:szCs w:val="18"/>
        </w:rPr>
        <w:t xml:space="preserve">: Results of the stepped economic evaluation </w:t>
      </w:r>
      <w:r w:rsidR="00137680" w:rsidRPr="000C77A2">
        <w:rPr>
          <w:rFonts w:ascii="Arial Narrow" w:hAnsi="Arial Narrow"/>
          <w:b/>
          <w:bCs/>
          <w:sz w:val="20"/>
          <w:szCs w:val="18"/>
        </w:rPr>
        <w:t xml:space="preserve">for STS </w:t>
      </w:r>
      <w:r w:rsidRPr="000C77A2">
        <w:rPr>
          <w:rFonts w:ascii="Arial Narrow" w:hAnsi="Arial Narrow"/>
          <w:b/>
          <w:bCs/>
          <w:sz w:val="20"/>
          <w:szCs w:val="18"/>
        </w:rPr>
        <w:t>(</w:t>
      </w:r>
      <w:r w:rsidR="00137680" w:rsidRPr="000C77A2">
        <w:rPr>
          <w:rFonts w:ascii="Arial Narrow" w:hAnsi="Arial Narrow"/>
          <w:b/>
          <w:bCs/>
          <w:sz w:val="20"/>
          <w:szCs w:val="18"/>
        </w:rPr>
        <w:t>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8: Results of the stepped economic evaluation for STS (discounted)"/>
      </w:tblPr>
      <w:tblGrid>
        <w:gridCol w:w="2757"/>
        <w:gridCol w:w="2451"/>
        <w:gridCol w:w="2298"/>
        <w:gridCol w:w="1511"/>
      </w:tblGrid>
      <w:tr w:rsidR="00097911" w:rsidRPr="000C77A2" w14:paraId="7278B1AF" w14:textId="77777777" w:rsidTr="00504411">
        <w:trPr>
          <w:tblHeader/>
        </w:trPr>
        <w:tc>
          <w:tcPr>
            <w:tcW w:w="1529" w:type="pct"/>
            <w:vAlign w:val="center"/>
          </w:tcPr>
          <w:p w14:paraId="03FE4B6F" w14:textId="77777777" w:rsidR="00097911" w:rsidRPr="00576FA3" w:rsidRDefault="00097911" w:rsidP="00560AEC">
            <w:pPr>
              <w:keepNext/>
              <w:keepLines/>
              <w:jc w:val="left"/>
              <w:rPr>
                <w:rFonts w:ascii="Arial Narrow" w:eastAsiaTheme="majorEastAsia" w:hAnsi="Arial Narrow" w:cs="Times New Roman"/>
                <w:b/>
                <w:sz w:val="20"/>
              </w:rPr>
            </w:pPr>
            <w:r w:rsidRPr="00576FA3">
              <w:rPr>
                <w:rFonts w:ascii="Arial Narrow" w:eastAsiaTheme="majorEastAsia" w:hAnsi="Arial Narrow" w:cs="Times New Roman"/>
                <w:b/>
                <w:sz w:val="20"/>
              </w:rPr>
              <w:t>Step and component</w:t>
            </w:r>
          </w:p>
        </w:tc>
        <w:tc>
          <w:tcPr>
            <w:tcW w:w="1359" w:type="pct"/>
            <w:vAlign w:val="center"/>
          </w:tcPr>
          <w:p w14:paraId="4DA0970C" w14:textId="77777777" w:rsidR="00097911" w:rsidRPr="00576FA3" w:rsidRDefault="00097911" w:rsidP="00560AEC">
            <w:pPr>
              <w:keepNext/>
              <w:keepLines/>
              <w:jc w:val="left"/>
              <w:rPr>
                <w:rFonts w:ascii="Arial Narrow" w:eastAsiaTheme="majorEastAsia" w:hAnsi="Arial Narrow" w:cs="Times New Roman"/>
                <w:b/>
                <w:sz w:val="20"/>
              </w:rPr>
            </w:pPr>
            <w:r w:rsidRPr="00576FA3">
              <w:rPr>
                <w:rFonts w:ascii="Arial Narrow" w:eastAsiaTheme="majorEastAsia" w:hAnsi="Arial Narrow" w:cs="Times New Roman"/>
                <w:b/>
                <w:sz w:val="20"/>
              </w:rPr>
              <w:t>Larotrectinib</w:t>
            </w:r>
          </w:p>
        </w:tc>
        <w:tc>
          <w:tcPr>
            <w:tcW w:w="1274" w:type="pct"/>
            <w:vAlign w:val="center"/>
          </w:tcPr>
          <w:p w14:paraId="24CF8A44" w14:textId="77777777" w:rsidR="00097911" w:rsidRPr="00576FA3" w:rsidRDefault="00097911" w:rsidP="00560AEC">
            <w:pPr>
              <w:keepNext/>
              <w:keepLines/>
              <w:jc w:val="left"/>
              <w:rPr>
                <w:rFonts w:ascii="Arial Narrow" w:eastAsiaTheme="majorEastAsia" w:hAnsi="Arial Narrow" w:cs="Times New Roman"/>
                <w:b/>
                <w:sz w:val="20"/>
              </w:rPr>
            </w:pPr>
            <w:r w:rsidRPr="00576FA3">
              <w:rPr>
                <w:rFonts w:ascii="Arial Narrow" w:eastAsiaTheme="majorEastAsia" w:hAnsi="Arial Narrow" w:cs="Times New Roman"/>
                <w:b/>
                <w:sz w:val="20"/>
              </w:rPr>
              <w:t>Pazopanib</w:t>
            </w:r>
          </w:p>
        </w:tc>
        <w:tc>
          <w:tcPr>
            <w:tcW w:w="838" w:type="pct"/>
            <w:vAlign w:val="center"/>
          </w:tcPr>
          <w:p w14:paraId="48F8238D" w14:textId="77777777" w:rsidR="00097911" w:rsidRPr="00576FA3" w:rsidRDefault="00097911" w:rsidP="00560AEC">
            <w:pPr>
              <w:keepNext/>
              <w:keepLines/>
              <w:jc w:val="left"/>
              <w:rPr>
                <w:rFonts w:ascii="Arial Narrow" w:eastAsiaTheme="majorEastAsia" w:hAnsi="Arial Narrow" w:cs="Times New Roman"/>
                <w:b/>
                <w:sz w:val="20"/>
              </w:rPr>
            </w:pPr>
            <w:r w:rsidRPr="00576FA3">
              <w:rPr>
                <w:rFonts w:ascii="Arial Narrow" w:eastAsiaTheme="majorEastAsia" w:hAnsi="Arial Narrow" w:cs="Times New Roman"/>
                <w:b/>
                <w:sz w:val="20"/>
              </w:rPr>
              <w:t>Increment</w:t>
            </w:r>
          </w:p>
        </w:tc>
      </w:tr>
      <w:tr w:rsidR="00097911" w:rsidRPr="000C77A2" w14:paraId="549E1A0F" w14:textId="77777777" w:rsidTr="00504411">
        <w:trPr>
          <w:tblHeader/>
        </w:trPr>
        <w:tc>
          <w:tcPr>
            <w:tcW w:w="5000" w:type="pct"/>
            <w:gridSpan w:val="4"/>
            <w:tcBorders>
              <w:bottom w:val="single" w:sz="4" w:space="0" w:color="auto"/>
            </w:tcBorders>
            <w:vAlign w:val="center"/>
          </w:tcPr>
          <w:p w14:paraId="1B458222" w14:textId="77777777" w:rsidR="00097911" w:rsidRPr="00576FA3" w:rsidRDefault="00097911" w:rsidP="00560AEC">
            <w:pPr>
              <w:keepNext/>
              <w:keepLines/>
              <w:jc w:val="left"/>
              <w:rPr>
                <w:rFonts w:ascii="Arial Narrow" w:eastAsiaTheme="majorEastAsia" w:hAnsi="Arial Narrow" w:cs="Times New Roman"/>
                <w:b/>
                <w:sz w:val="20"/>
                <w:szCs w:val="20"/>
              </w:rPr>
            </w:pPr>
            <w:r w:rsidRPr="00576FA3">
              <w:rPr>
                <w:rFonts w:ascii="Arial Narrow" w:eastAsiaTheme="majorEastAsia" w:hAnsi="Arial Narrow" w:cs="Times New Roman"/>
                <w:b/>
                <w:sz w:val="20"/>
                <w:szCs w:val="20"/>
              </w:rPr>
              <w:t>Step 1: trial-based costs and outcomes (48 months)</w:t>
            </w:r>
          </w:p>
        </w:tc>
      </w:tr>
      <w:tr w:rsidR="006E11B6" w:rsidRPr="000C77A2" w14:paraId="65E19B02" w14:textId="77777777" w:rsidTr="00504411">
        <w:trPr>
          <w:tblHeader/>
        </w:trPr>
        <w:tc>
          <w:tcPr>
            <w:tcW w:w="1529" w:type="pct"/>
            <w:tcBorders>
              <w:bottom w:val="nil"/>
            </w:tcBorders>
            <w:vAlign w:val="center"/>
          </w:tcPr>
          <w:p w14:paraId="505A84C5"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Costs</w:t>
            </w:r>
          </w:p>
        </w:tc>
        <w:tc>
          <w:tcPr>
            <w:tcW w:w="1359" w:type="pct"/>
            <w:tcBorders>
              <w:bottom w:val="nil"/>
            </w:tcBorders>
            <w:vAlign w:val="center"/>
          </w:tcPr>
          <w:p w14:paraId="3BA452CE" w14:textId="7D9617F0"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tcBorders>
              <w:bottom w:val="nil"/>
            </w:tcBorders>
            <w:vAlign w:val="center"/>
          </w:tcPr>
          <w:p w14:paraId="2A098F7D" w14:textId="3E405DE2"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$36,786</w:t>
            </w:r>
          </w:p>
        </w:tc>
        <w:tc>
          <w:tcPr>
            <w:tcW w:w="838" w:type="pct"/>
            <w:tcBorders>
              <w:bottom w:val="nil"/>
            </w:tcBorders>
            <w:vAlign w:val="center"/>
          </w:tcPr>
          <w:p w14:paraId="4BD28268" w14:textId="5ADC65C5"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6E11B6" w:rsidRPr="000C77A2" w14:paraId="6771E52A" w14:textId="77777777" w:rsidTr="00504411">
        <w:trPr>
          <w:tblHeader/>
        </w:trPr>
        <w:tc>
          <w:tcPr>
            <w:tcW w:w="1529" w:type="pct"/>
            <w:tcBorders>
              <w:bottom w:val="single" w:sz="4" w:space="0" w:color="auto"/>
            </w:tcBorders>
            <w:vAlign w:val="center"/>
          </w:tcPr>
          <w:p w14:paraId="0B7A6ABB"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LYG</w:t>
            </w:r>
          </w:p>
        </w:tc>
        <w:tc>
          <w:tcPr>
            <w:tcW w:w="1359" w:type="pct"/>
            <w:tcBorders>
              <w:bottom w:val="single" w:sz="4" w:space="0" w:color="auto"/>
            </w:tcBorders>
            <w:vAlign w:val="center"/>
          </w:tcPr>
          <w:p w14:paraId="725D5063" w14:textId="7072FE10"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2.87</w:t>
            </w:r>
          </w:p>
        </w:tc>
        <w:tc>
          <w:tcPr>
            <w:tcW w:w="1274" w:type="pct"/>
            <w:tcBorders>
              <w:bottom w:val="single" w:sz="4" w:space="0" w:color="auto"/>
            </w:tcBorders>
            <w:vAlign w:val="center"/>
          </w:tcPr>
          <w:p w14:paraId="00E1D89C"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1.40</w:t>
            </w:r>
          </w:p>
        </w:tc>
        <w:tc>
          <w:tcPr>
            <w:tcW w:w="838" w:type="pct"/>
            <w:tcBorders>
              <w:bottom w:val="single" w:sz="4" w:space="0" w:color="auto"/>
            </w:tcBorders>
            <w:vAlign w:val="center"/>
          </w:tcPr>
          <w:p w14:paraId="733F88D9" w14:textId="35F2ECE0"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1.47</w:t>
            </w:r>
          </w:p>
        </w:tc>
      </w:tr>
      <w:tr w:rsidR="006E11B6" w:rsidRPr="000C77A2" w14:paraId="230FB2A6" w14:textId="77777777" w:rsidTr="00504411">
        <w:trPr>
          <w:tblHeader/>
        </w:trPr>
        <w:tc>
          <w:tcPr>
            <w:tcW w:w="4162" w:type="pct"/>
            <w:gridSpan w:val="3"/>
            <w:tcBorders>
              <w:bottom w:val="nil"/>
            </w:tcBorders>
            <w:vAlign w:val="center"/>
          </w:tcPr>
          <w:p w14:paraId="17717D10"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Incremental cost/extra LYG gained</w:t>
            </w:r>
          </w:p>
        </w:tc>
        <w:tc>
          <w:tcPr>
            <w:tcW w:w="838" w:type="pct"/>
            <w:tcBorders>
              <w:bottom w:val="nil"/>
            </w:tcBorders>
            <w:vAlign w:val="center"/>
          </w:tcPr>
          <w:p w14:paraId="77D78B80" w14:textId="47B859A1"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AB2574">
              <w:rPr>
                <w:rFonts w:ascii="Arial Narrow" w:eastAsiaTheme="majorEastAsia" w:hAnsi="Arial Narrow" w:cstheme="majorBidi"/>
                <w:bCs/>
                <w:sz w:val="20"/>
                <w:szCs w:val="20"/>
                <w:vertAlign w:val="superscript"/>
              </w:rPr>
              <w:t>1</w:t>
            </w:r>
          </w:p>
        </w:tc>
      </w:tr>
      <w:tr w:rsidR="006E11B6" w:rsidRPr="000C77A2" w14:paraId="7EAEA593" w14:textId="77777777" w:rsidTr="00504411">
        <w:trPr>
          <w:tblHeader/>
        </w:trPr>
        <w:tc>
          <w:tcPr>
            <w:tcW w:w="1529" w:type="pct"/>
            <w:tcBorders>
              <w:bottom w:val="single" w:sz="4" w:space="0" w:color="auto"/>
              <w:right w:val="nil"/>
            </w:tcBorders>
            <w:vAlign w:val="center"/>
          </w:tcPr>
          <w:p w14:paraId="38486148" w14:textId="77777777" w:rsidR="006E11B6" w:rsidRPr="00576FA3" w:rsidRDefault="006E11B6" w:rsidP="00560AEC">
            <w:pPr>
              <w:keepNext/>
              <w:keepLines/>
              <w:jc w:val="left"/>
              <w:rPr>
                <w:rFonts w:ascii="Arial Narrow" w:eastAsiaTheme="majorEastAsia" w:hAnsi="Arial Narrow" w:cs="Times New Roman"/>
                <w:b/>
                <w:sz w:val="20"/>
                <w:szCs w:val="20"/>
              </w:rPr>
            </w:pPr>
            <w:r w:rsidRPr="00576FA3">
              <w:rPr>
                <w:rFonts w:ascii="Arial Narrow" w:eastAsiaTheme="majorEastAsia" w:hAnsi="Arial Narrow" w:cs="Times New Roman"/>
                <w:b/>
                <w:sz w:val="20"/>
                <w:szCs w:val="20"/>
              </w:rPr>
              <w:t xml:space="preserve">Step 2: extrapolated to 10 years </w:t>
            </w:r>
          </w:p>
        </w:tc>
        <w:tc>
          <w:tcPr>
            <w:tcW w:w="1359" w:type="pct"/>
            <w:tcBorders>
              <w:left w:val="nil"/>
              <w:bottom w:val="single" w:sz="4" w:space="0" w:color="auto"/>
              <w:right w:val="nil"/>
            </w:tcBorders>
            <w:vAlign w:val="center"/>
          </w:tcPr>
          <w:p w14:paraId="4BC8EBB6" w14:textId="77777777" w:rsidR="006E11B6" w:rsidRPr="00576FA3" w:rsidRDefault="006E11B6" w:rsidP="00560AEC">
            <w:pPr>
              <w:keepNext/>
              <w:keepLines/>
              <w:jc w:val="center"/>
              <w:rPr>
                <w:rFonts w:ascii="Arial Narrow" w:eastAsiaTheme="majorEastAsia" w:hAnsi="Arial Narrow" w:cs="Times New Roman"/>
                <w:b/>
                <w:sz w:val="20"/>
                <w:szCs w:val="20"/>
              </w:rPr>
            </w:pPr>
          </w:p>
        </w:tc>
        <w:tc>
          <w:tcPr>
            <w:tcW w:w="1274" w:type="pct"/>
            <w:tcBorders>
              <w:left w:val="nil"/>
              <w:bottom w:val="single" w:sz="4" w:space="0" w:color="auto"/>
              <w:right w:val="nil"/>
            </w:tcBorders>
            <w:vAlign w:val="center"/>
          </w:tcPr>
          <w:p w14:paraId="760775D0" w14:textId="77777777" w:rsidR="006E11B6" w:rsidRPr="00576FA3" w:rsidRDefault="006E11B6" w:rsidP="00560AEC">
            <w:pPr>
              <w:keepNext/>
              <w:keepLines/>
              <w:jc w:val="center"/>
              <w:rPr>
                <w:rFonts w:ascii="Arial Narrow" w:eastAsiaTheme="majorEastAsia" w:hAnsi="Arial Narrow" w:cs="Times New Roman"/>
                <w:b/>
                <w:sz w:val="20"/>
                <w:szCs w:val="20"/>
              </w:rPr>
            </w:pPr>
          </w:p>
        </w:tc>
        <w:tc>
          <w:tcPr>
            <w:tcW w:w="838" w:type="pct"/>
            <w:tcBorders>
              <w:left w:val="nil"/>
              <w:bottom w:val="single" w:sz="4" w:space="0" w:color="auto"/>
            </w:tcBorders>
            <w:vAlign w:val="center"/>
          </w:tcPr>
          <w:p w14:paraId="173F9E75" w14:textId="77777777" w:rsidR="006E11B6" w:rsidRPr="00576FA3" w:rsidRDefault="006E11B6" w:rsidP="00560AEC">
            <w:pPr>
              <w:keepNext/>
              <w:keepLines/>
              <w:jc w:val="center"/>
              <w:rPr>
                <w:rFonts w:ascii="Arial Narrow" w:eastAsiaTheme="majorEastAsia" w:hAnsi="Arial Narrow" w:cs="Times New Roman"/>
                <w:b/>
                <w:sz w:val="20"/>
                <w:szCs w:val="20"/>
              </w:rPr>
            </w:pPr>
          </w:p>
        </w:tc>
      </w:tr>
      <w:tr w:rsidR="006E11B6" w:rsidRPr="000C77A2" w14:paraId="515B6A4A" w14:textId="77777777" w:rsidTr="00504411">
        <w:trPr>
          <w:tblHeader/>
        </w:trPr>
        <w:tc>
          <w:tcPr>
            <w:tcW w:w="1529" w:type="pct"/>
            <w:tcBorders>
              <w:bottom w:val="nil"/>
            </w:tcBorders>
            <w:vAlign w:val="center"/>
          </w:tcPr>
          <w:p w14:paraId="0D12E5A7"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Costs</w:t>
            </w:r>
          </w:p>
        </w:tc>
        <w:tc>
          <w:tcPr>
            <w:tcW w:w="1359" w:type="pct"/>
            <w:tcBorders>
              <w:bottom w:val="nil"/>
            </w:tcBorders>
            <w:vAlign w:val="center"/>
          </w:tcPr>
          <w:p w14:paraId="2900E4DA" w14:textId="394A7A9B"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274" w:type="pct"/>
            <w:tcBorders>
              <w:bottom w:val="nil"/>
            </w:tcBorders>
            <w:vAlign w:val="center"/>
          </w:tcPr>
          <w:p w14:paraId="225846FB" w14:textId="16D2A571"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$38,333</w:t>
            </w:r>
          </w:p>
        </w:tc>
        <w:tc>
          <w:tcPr>
            <w:tcW w:w="838" w:type="pct"/>
            <w:tcBorders>
              <w:bottom w:val="nil"/>
            </w:tcBorders>
            <w:vAlign w:val="center"/>
          </w:tcPr>
          <w:p w14:paraId="2FA7BF1C" w14:textId="328F7F42"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6E11B6" w:rsidRPr="000C77A2" w14:paraId="69BD84D5" w14:textId="77777777" w:rsidTr="00504411">
        <w:trPr>
          <w:tblHeader/>
        </w:trPr>
        <w:tc>
          <w:tcPr>
            <w:tcW w:w="1529" w:type="pct"/>
            <w:tcBorders>
              <w:bottom w:val="single" w:sz="4" w:space="0" w:color="auto"/>
            </w:tcBorders>
            <w:vAlign w:val="center"/>
          </w:tcPr>
          <w:p w14:paraId="1CAD6FB3"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LYG</w:t>
            </w:r>
          </w:p>
        </w:tc>
        <w:tc>
          <w:tcPr>
            <w:tcW w:w="1359" w:type="pct"/>
            <w:tcBorders>
              <w:bottom w:val="single" w:sz="4" w:space="0" w:color="auto"/>
            </w:tcBorders>
            <w:vAlign w:val="center"/>
          </w:tcPr>
          <w:p w14:paraId="44A2F7B3"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4.61</w:t>
            </w:r>
          </w:p>
        </w:tc>
        <w:tc>
          <w:tcPr>
            <w:tcW w:w="1274" w:type="pct"/>
            <w:tcBorders>
              <w:bottom w:val="single" w:sz="4" w:space="0" w:color="auto"/>
            </w:tcBorders>
            <w:vAlign w:val="center"/>
          </w:tcPr>
          <w:p w14:paraId="3B05676B"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1.57</w:t>
            </w:r>
          </w:p>
        </w:tc>
        <w:tc>
          <w:tcPr>
            <w:tcW w:w="838" w:type="pct"/>
            <w:tcBorders>
              <w:bottom w:val="single" w:sz="4" w:space="0" w:color="auto"/>
            </w:tcBorders>
            <w:vAlign w:val="center"/>
          </w:tcPr>
          <w:p w14:paraId="595D4218"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3.04</w:t>
            </w:r>
          </w:p>
        </w:tc>
      </w:tr>
      <w:tr w:rsidR="006E11B6" w:rsidRPr="000C77A2" w14:paraId="3E229417" w14:textId="77777777" w:rsidTr="00504411">
        <w:trPr>
          <w:tblHeader/>
        </w:trPr>
        <w:tc>
          <w:tcPr>
            <w:tcW w:w="4162" w:type="pct"/>
            <w:gridSpan w:val="3"/>
            <w:tcBorders>
              <w:bottom w:val="nil"/>
            </w:tcBorders>
            <w:vAlign w:val="center"/>
          </w:tcPr>
          <w:p w14:paraId="269DD1B9"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Incremental cost/extra LYG gained</w:t>
            </w:r>
          </w:p>
        </w:tc>
        <w:tc>
          <w:tcPr>
            <w:tcW w:w="838" w:type="pct"/>
            <w:tcBorders>
              <w:bottom w:val="nil"/>
            </w:tcBorders>
            <w:vAlign w:val="center"/>
          </w:tcPr>
          <w:p w14:paraId="0F8360BB" w14:textId="73AD2F74"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AB2574">
              <w:rPr>
                <w:rFonts w:ascii="Arial Narrow" w:eastAsiaTheme="majorEastAsia" w:hAnsi="Arial Narrow" w:cstheme="majorBidi"/>
                <w:bCs/>
                <w:sz w:val="20"/>
                <w:szCs w:val="20"/>
                <w:vertAlign w:val="superscript"/>
              </w:rPr>
              <w:t>2</w:t>
            </w:r>
          </w:p>
        </w:tc>
      </w:tr>
      <w:tr w:rsidR="006E11B6" w:rsidRPr="000C77A2" w14:paraId="7DFB1BCF" w14:textId="77777777" w:rsidTr="00504411">
        <w:trPr>
          <w:tblHeader/>
        </w:trPr>
        <w:tc>
          <w:tcPr>
            <w:tcW w:w="1529" w:type="pct"/>
            <w:tcBorders>
              <w:bottom w:val="single" w:sz="4" w:space="0" w:color="auto"/>
              <w:right w:val="nil"/>
            </w:tcBorders>
            <w:vAlign w:val="center"/>
          </w:tcPr>
          <w:p w14:paraId="29511139" w14:textId="77777777" w:rsidR="006E11B6" w:rsidRPr="00576FA3" w:rsidRDefault="006E11B6" w:rsidP="00560AEC">
            <w:pPr>
              <w:keepNext/>
              <w:keepLines/>
              <w:jc w:val="left"/>
              <w:rPr>
                <w:rFonts w:ascii="Arial Narrow" w:eastAsiaTheme="majorEastAsia" w:hAnsi="Arial Narrow" w:cs="Times New Roman"/>
                <w:b/>
                <w:sz w:val="20"/>
                <w:szCs w:val="20"/>
              </w:rPr>
            </w:pPr>
            <w:r w:rsidRPr="00576FA3">
              <w:rPr>
                <w:rFonts w:ascii="Arial Narrow" w:eastAsiaTheme="majorEastAsia" w:hAnsi="Arial Narrow" w:cs="Times New Roman"/>
                <w:b/>
                <w:sz w:val="20"/>
                <w:szCs w:val="20"/>
              </w:rPr>
              <w:t>Step 3: utility weights applied</w:t>
            </w:r>
          </w:p>
        </w:tc>
        <w:tc>
          <w:tcPr>
            <w:tcW w:w="1359" w:type="pct"/>
            <w:tcBorders>
              <w:left w:val="nil"/>
              <w:bottom w:val="single" w:sz="4" w:space="0" w:color="auto"/>
              <w:right w:val="nil"/>
            </w:tcBorders>
            <w:vAlign w:val="center"/>
          </w:tcPr>
          <w:p w14:paraId="260E88DB" w14:textId="77777777" w:rsidR="006E11B6" w:rsidRPr="00576FA3" w:rsidRDefault="006E11B6" w:rsidP="00560AEC">
            <w:pPr>
              <w:keepNext/>
              <w:keepLines/>
              <w:jc w:val="center"/>
              <w:rPr>
                <w:rFonts w:ascii="Arial Narrow" w:eastAsiaTheme="majorEastAsia" w:hAnsi="Arial Narrow" w:cs="Times New Roman"/>
                <w:bCs/>
                <w:sz w:val="20"/>
                <w:szCs w:val="20"/>
              </w:rPr>
            </w:pPr>
          </w:p>
        </w:tc>
        <w:tc>
          <w:tcPr>
            <w:tcW w:w="1274" w:type="pct"/>
            <w:tcBorders>
              <w:left w:val="nil"/>
              <w:bottom w:val="single" w:sz="4" w:space="0" w:color="auto"/>
              <w:right w:val="nil"/>
            </w:tcBorders>
            <w:vAlign w:val="center"/>
          </w:tcPr>
          <w:p w14:paraId="16A50889" w14:textId="77777777" w:rsidR="006E11B6" w:rsidRPr="00576FA3" w:rsidRDefault="006E11B6" w:rsidP="00560AEC">
            <w:pPr>
              <w:keepNext/>
              <w:keepLines/>
              <w:jc w:val="center"/>
              <w:rPr>
                <w:rFonts w:ascii="Arial Narrow" w:eastAsiaTheme="majorEastAsia" w:hAnsi="Arial Narrow" w:cs="Times New Roman"/>
                <w:bCs/>
                <w:sz w:val="20"/>
                <w:szCs w:val="20"/>
              </w:rPr>
            </w:pPr>
          </w:p>
        </w:tc>
        <w:tc>
          <w:tcPr>
            <w:tcW w:w="838" w:type="pct"/>
            <w:tcBorders>
              <w:left w:val="nil"/>
              <w:bottom w:val="single" w:sz="4" w:space="0" w:color="auto"/>
            </w:tcBorders>
            <w:vAlign w:val="center"/>
          </w:tcPr>
          <w:p w14:paraId="5445347A" w14:textId="77777777" w:rsidR="006E11B6" w:rsidRPr="00576FA3" w:rsidRDefault="006E11B6" w:rsidP="00560AEC">
            <w:pPr>
              <w:keepNext/>
              <w:keepLines/>
              <w:jc w:val="center"/>
              <w:rPr>
                <w:rFonts w:ascii="Arial Narrow" w:eastAsiaTheme="majorEastAsia" w:hAnsi="Arial Narrow" w:cs="Times New Roman"/>
                <w:bCs/>
                <w:sz w:val="20"/>
                <w:szCs w:val="20"/>
              </w:rPr>
            </w:pPr>
          </w:p>
        </w:tc>
      </w:tr>
      <w:tr w:rsidR="006E11B6" w:rsidRPr="000C77A2" w14:paraId="2EE85CDE" w14:textId="77777777" w:rsidTr="006E11B6">
        <w:trPr>
          <w:tblHeader/>
        </w:trPr>
        <w:tc>
          <w:tcPr>
            <w:tcW w:w="1529" w:type="pct"/>
            <w:tcBorders>
              <w:bottom w:val="nil"/>
            </w:tcBorders>
            <w:vAlign w:val="center"/>
          </w:tcPr>
          <w:p w14:paraId="2566DF31"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Costs</w:t>
            </w:r>
          </w:p>
        </w:tc>
        <w:tc>
          <w:tcPr>
            <w:tcW w:w="1359" w:type="pct"/>
            <w:tcBorders>
              <w:bottom w:val="nil"/>
            </w:tcBorders>
            <w:vAlign w:val="bottom"/>
          </w:tcPr>
          <w:p w14:paraId="768D328A" w14:textId="61DA9767"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Calibri"/>
                <w:bCs/>
                <w:color w:val="000000"/>
                <w:sz w:val="20"/>
                <w:szCs w:val="20"/>
              </w:rPr>
              <w:t>$</w:t>
            </w:r>
            <w:r w:rsidR="00C66EC7" w:rsidRPr="00C66EC7">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1274" w:type="pct"/>
            <w:tcBorders>
              <w:bottom w:val="nil"/>
            </w:tcBorders>
            <w:vAlign w:val="bottom"/>
          </w:tcPr>
          <w:p w14:paraId="21D8CCE0" w14:textId="6D7BE948"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$38,333</w:t>
            </w:r>
          </w:p>
        </w:tc>
        <w:tc>
          <w:tcPr>
            <w:tcW w:w="838" w:type="pct"/>
            <w:tcBorders>
              <w:bottom w:val="nil"/>
            </w:tcBorders>
            <w:vAlign w:val="bottom"/>
          </w:tcPr>
          <w:p w14:paraId="153860DB" w14:textId="22C6C971" w:rsidR="006E11B6" w:rsidRPr="00576FA3" w:rsidRDefault="006E11B6" w:rsidP="00560AEC">
            <w:pPr>
              <w:keepNext/>
              <w:keepLines/>
              <w:jc w:val="right"/>
              <w:rPr>
                <w:rFonts w:ascii="Arial Narrow" w:eastAsiaTheme="majorEastAsia" w:hAnsi="Arial Narrow" w:cs="Times New Roman"/>
                <w:bCs/>
                <w:sz w:val="20"/>
                <w:szCs w:val="20"/>
              </w:rPr>
            </w:pPr>
            <w:r w:rsidRPr="000C77A2">
              <w:rPr>
                <w:rFonts w:ascii="Arial Narrow" w:eastAsiaTheme="majorEastAsia" w:hAnsi="Arial Narrow" w:cs="Calibri"/>
                <w:bCs/>
                <w:color w:val="000000"/>
                <w:sz w:val="20"/>
                <w:szCs w:val="20"/>
              </w:rPr>
              <w:t>$</w:t>
            </w:r>
            <w:r w:rsidR="00C66EC7" w:rsidRPr="00C66EC7">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r>
      <w:tr w:rsidR="006E11B6" w:rsidRPr="000C77A2" w14:paraId="6D5760DB" w14:textId="77777777" w:rsidTr="00504411">
        <w:trPr>
          <w:tblHeader/>
        </w:trPr>
        <w:tc>
          <w:tcPr>
            <w:tcW w:w="1529" w:type="pct"/>
            <w:tcBorders>
              <w:bottom w:val="single" w:sz="4" w:space="0" w:color="auto"/>
            </w:tcBorders>
            <w:vAlign w:val="center"/>
          </w:tcPr>
          <w:p w14:paraId="5473654A" w14:textId="77777777" w:rsidR="006E11B6" w:rsidRPr="00576FA3" w:rsidRDefault="006E11B6" w:rsidP="00560AEC">
            <w:pPr>
              <w:keepNext/>
              <w:keepLines/>
              <w:jc w:val="lef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QALYs</w:t>
            </w:r>
          </w:p>
        </w:tc>
        <w:tc>
          <w:tcPr>
            <w:tcW w:w="1359" w:type="pct"/>
            <w:tcBorders>
              <w:bottom w:val="single" w:sz="4" w:space="0" w:color="auto"/>
            </w:tcBorders>
            <w:vAlign w:val="center"/>
          </w:tcPr>
          <w:p w14:paraId="6A019D86"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2.91</w:t>
            </w:r>
          </w:p>
        </w:tc>
        <w:tc>
          <w:tcPr>
            <w:tcW w:w="1274" w:type="pct"/>
            <w:tcBorders>
              <w:bottom w:val="single" w:sz="4" w:space="0" w:color="auto"/>
            </w:tcBorders>
            <w:vAlign w:val="center"/>
          </w:tcPr>
          <w:p w14:paraId="5B050F1F"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0.95</w:t>
            </w:r>
          </w:p>
        </w:tc>
        <w:tc>
          <w:tcPr>
            <w:tcW w:w="838" w:type="pct"/>
            <w:tcBorders>
              <w:bottom w:val="single" w:sz="4" w:space="0" w:color="auto"/>
            </w:tcBorders>
            <w:vAlign w:val="center"/>
          </w:tcPr>
          <w:p w14:paraId="6C21F240" w14:textId="77777777" w:rsidR="006E11B6" w:rsidRPr="00576FA3" w:rsidRDefault="006E11B6" w:rsidP="00560AEC">
            <w:pPr>
              <w:keepNext/>
              <w:keepLines/>
              <w:jc w:val="right"/>
              <w:rPr>
                <w:rFonts w:ascii="Arial Narrow" w:eastAsiaTheme="majorEastAsia" w:hAnsi="Arial Narrow" w:cs="Times New Roman"/>
                <w:bCs/>
                <w:sz w:val="20"/>
                <w:szCs w:val="20"/>
              </w:rPr>
            </w:pPr>
            <w:r w:rsidRPr="00576FA3">
              <w:rPr>
                <w:rFonts w:ascii="Arial Narrow" w:eastAsiaTheme="majorEastAsia" w:hAnsi="Arial Narrow" w:cs="Times New Roman"/>
                <w:bCs/>
                <w:sz w:val="20"/>
                <w:szCs w:val="20"/>
              </w:rPr>
              <w:t>1.95</w:t>
            </w:r>
          </w:p>
        </w:tc>
      </w:tr>
      <w:tr w:rsidR="006E11B6" w:rsidRPr="000C77A2" w14:paraId="5DF7FA88" w14:textId="77777777" w:rsidTr="00504411">
        <w:trPr>
          <w:tblHeader/>
        </w:trPr>
        <w:tc>
          <w:tcPr>
            <w:tcW w:w="4162" w:type="pct"/>
            <w:gridSpan w:val="3"/>
            <w:tcBorders>
              <w:bottom w:val="nil"/>
            </w:tcBorders>
            <w:vAlign w:val="center"/>
          </w:tcPr>
          <w:p w14:paraId="4C2BA912" w14:textId="77777777" w:rsidR="006E11B6" w:rsidRPr="00576FA3" w:rsidRDefault="006E11B6" w:rsidP="00560AEC">
            <w:pPr>
              <w:keepNext/>
              <w:keepLines/>
              <w:jc w:val="left"/>
              <w:rPr>
                <w:rFonts w:ascii="Arial Narrow" w:eastAsiaTheme="majorEastAsia" w:hAnsi="Arial Narrow" w:cs="Times New Roman"/>
                <w:b/>
                <w:sz w:val="20"/>
                <w:szCs w:val="20"/>
              </w:rPr>
            </w:pPr>
            <w:r w:rsidRPr="00576FA3">
              <w:rPr>
                <w:rFonts w:ascii="Arial Narrow" w:eastAsiaTheme="majorEastAsia" w:hAnsi="Arial Narrow" w:cs="Times New Roman"/>
                <w:b/>
                <w:sz w:val="20"/>
                <w:szCs w:val="20"/>
              </w:rPr>
              <w:t>Incremental cost/extra QALY gained (base case)</w:t>
            </w:r>
          </w:p>
        </w:tc>
        <w:tc>
          <w:tcPr>
            <w:tcW w:w="838" w:type="pct"/>
            <w:tcBorders>
              <w:bottom w:val="nil"/>
            </w:tcBorders>
            <w:vAlign w:val="center"/>
          </w:tcPr>
          <w:p w14:paraId="4201E697" w14:textId="69068D0E" w:rsidR="006E11B6" w:rsidRPr="00576FA3" w:rsidRDefault="006E11B6" w:rsidP="00560AEC">
            <w:pPr>
              <w:keepNext/>
              <w:keepLines/>
              <w:jc w:val="right"/>
              <w:rPr>
                <w:rFonts w:ascii="Arial Narrow" w:eastAsiaTheme="majorEastAsia" w:hAnsi="Arial Narrow" w:cs="Times New Roman"/>
                <w:b/>
                <w:sz w:val="20"/>
                <w:szCs w:val="20"/>
              </w:rPr>
            </w:pPr>
            <w:r w:rsidRPr="000C77A2">
              <w:rPr>
                <w:rFonts w:ascii="Arial Narrow" w:eastAsiaTheme="majorEastAsia" w:hAnsi="Arial Narrow" w:cstheme="majorBidi"/>
                <w:b/>
                <w:bCs/>
                <w:sz w:val="20"/>
                <w:szCs w:val="20"/>
              </w:rPr>
              <w:t>$</w:t>
            </w:r>
            <w:r w:rsidR="00C66EC7" w:rsidRPr="00C66EC7">
              <w:rPr>
                <w:rFonts w:ascii="Arial Narrow" w:eastAsiaTheme="majorEastAsia" w:hAnsi="Arial Narrow" w:cstheme="majorBidi"/>
                <w:b/>
                <w:bCs/>
                <w:color w:val="000000"/>
                <w:sz w:val="20"/>
                <w:szCs w:val="20"/>
                <w:shd w:val="solid" w:color="000000" w:fill="000000"/>
                <w14:textFill>
                  <w14:solidFill>
                    <w14:srgbClr w14:val="000000">
                      <w14:alpha w14:val="100000"/>
                    </w14:srgbClr>
                  </w14:solidFill>
                </w14:textFill>
              </w:rPr>
              <w:t>|</w:t>
            </w:r>
            <w:r w:rsidR="00575ACA">
              <w:rPr>
                <w:rFonts w:ascii="Arial Narrow" w:eastAsiaTheme="majorEastAsia" w:hAnsi="Arial Narrow" w:cstheme="majorBidi"/>
                <w:bCs/>
                <w:sz w:val="20"/>
                <w:szCs w:val="20"/>
                <w:vertAlign w:val="superscript"/>
              </w:rPr>
              <w:t>1</w:t>
            </w:r>
          </w:p>
        </w:tc>
      </w:tr>
      <w:tr w:rsidR="006E11B6" w:rsidRPr="000C77A2" w14:paraId="29DB547A" w14:textId="77777777" w:rsidTr="00504411">
        <w:tc>
          <w:tcPr>
            <w:tcW w:w="5000" w:type="pct"/>
            <w:gridSpan w:val="4"/>
            <w:shd w:val="clear" w:color="auto" w:fill="B8CCE4" w:themeFill="accent1" w:themeFillTint="66"/>
            <w:vAlign w:val="center"/>
          </w:tcPr>
          <w:p w14:paraId="5DD40547" w14:textId="77777777" w:rsidR="006E11B6" w:rsidRPr="000C77A2" w:rsidRDefault="006E11B6" w:rsidP="00560AEC">
            <w:pPr>
              <w:keepNext/>
              <w:keepLines/>
              <w:rPr>
                <w:rFonts w:ascii="Arial Narrow" w:eastAsiaTheme="majorEastAsia" w:hAnsi="Arial Narrow" w:cstheme="majorBidi"/>
                <w:b/>
                <w:bCs/>
                <w:sz w:val="20"/>
                <w:szCs w:val="20"/>
                <w:vertAlign w:val="superscript"/>
              </w:rPr>
            </w:pPr>
            <w:r w:rsidRPr="000C77A2">
              <w:rPr>
                <w:rFonts w:ascii="Arial Narrow" w:eastAsiaTheme="majorEastAsia" w:hAnsi="Arial Narrow" w:cstheme="majorBidi"/>
                <w:b/>
                <w:bCs/>
                <w:sz w:val="20"/>
                <w:szCs w:val="20"/>
              </w:rPr>
              <w:t xml:space="preserve">Previous submission </w:t>
            </w:r>
            <w:r w:rsidRPr="000C77A2">
              <w:rPr>
                <w:rFonts w:ascii="Arial Narrow" w:eastAsiaTheme="majorEastAsia" w:hAnsi="Arial Narrow" w:cstheme="majorBidi"/>
                <w:b/>
                <w:bCs/>
                <w:sz w:val="20"/>
                <w:szCs w:val="20"/>
                <w:vertAlign w:val="superscript"/>
              </w:rPr>
              <w:t>a</w:t>
            </w:r>
          </w:p>
        </w:tc>
      </w:tr>
      <w:tr w:rsidR="006E11B6" w:rsidRPr="000C77A2" w14:paraId="4E671BAF" w14:textId="77777777" w:rsidTr="00504411">
        <w:tc>
          <w:tcPr>
            <w:tcW w:w="1529" w:type="pct"/>
            <w:shd w:val="clear" w:color="auto" w:fill="B8CCE4" w:themeFill="accent1" w:themeFillTint="66"/>
            <w:vAlign w:val="center"/>
          </w:tcPr>
          <w:p w14:paraId="5E44A46F" w14:textId="77777777" w:rsidR="006E11B6" w:rsidRPr="000C77A2" w:rsidRDefault="006E11B6" w:rsidP="00560AEC">
            <w:pPr>
              <w:keepNext/>
              <w:keepLines/>
              <w:jc w:val="left"/>
              <w:rPr>
                <w:rFonts w:ascii="Arial Narrow" w:eastAsiaTheme="majorEastAsia" w:hAnsi="Arial Narrow" w:cstheme="majorBidi"/>
                <w:bCs/>
                <w:sz w:val="20"/>
                <w:szCs w:val="20"/>
              </w:rPr>
            </w:pPr>
            <w:r w:rsidRPr="000C77A2">
              <w:rPr>
                <w:rFonts w:ascii="Arial Narrow" w:eastAsiaTheme="majorEastAsia" w:hAnsi="Arial Narrow" w:cstheme="majorBidi"/>
                <w:bCs/>
                <w:sz w:val="20"/>
                <w:szCs w:val="20"/>
              </w:rPr>
              <w:t>Costs</w:t>
            </w:r>
          </w:p>
        </w:tc>
        <w:tc>
          <w:tcPr>
            <w:tcW w:w="1359" w:type="pct"/>
            <w:shd w:val="clear" w:color="auto" w:fill="B8CCE4" w:themeFill="accent1" w:themeFillTint="66"/>
          </w:tcPr>
          <w:p w14:paraId="0A65278B" w14:textId="32D398B2" w:rsidR="006E11B6" w:rsidRPr="000C77A2" w:rsidRDefault="006E11B6" w:rsidP="00560AEC">
            <w:pPr>
              <w:keepNext/>
              <w:keepLines/>
              <w:jc w:val="right"/>
              <w:rPr>
                <w:rFonts w:ascii="Arial Narrow" w:eastAsiaTheme="majorEastAsia" w:hAnsi="Arial Narrow" w:cs="Calibri"/>
                <w:bCs/>
                <w:color w:val="000000"/>
                <w:sz w:val="20"/>
                <w:szCs w:val="20"/>
              </w:rPr>
            </w:pPr>
            <w:r w:rsidRPr="000C77A2">
              <w:rPr>
                <w:rFonts w:ascii="Arial Narrow" w:eastAsiaTheme="majorEastAsia" w:hAnsi="Arial Narrow" w:cs="Calibri"/>
                <w:bCs/>
                <w:color w:val="000000"/>
                <w:sz w:val="20"/>
                <w:szCs w:val="20"/>
              </w:rPr>
              <w:t>$</w:t>
            </w:r>
            <w:r w:rsidR="00C66EC7" w:rsidRPr="00C66EC7">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c>
          <w:tcPr>
            <w:tcW w:w="1274" w:type="pct"/>
            <w:shd w:val="clear" w:color="auto" w:fill="B8CCE4" w:themeFill="accent1" w:themeFillTint="66"/>
          </w:tcPr>
          <w:p w14:paraId="65AAC494" w14:textId="77777777" w:rsidR="006E11B6" w:rsidRPr="000C77A2" w:rsidRDefault="006E11B6" w:rsidP="00560AEC">
            <w:pPr>
              <w:keepNext/>
              <w:keepLines/>
              <w:jc w:val="right"/>
              <w:rPr>
                <w:rFonts w:ascii="Arial Narrow" w:eastAsiaTheme="majorEastAsia" w:hAnsi="Arial Narrow" w:cs="Calibri"/>
                <w:bCs/>
                <w:color w:val="000000"/>
                <w:sz w:val="20"/>
                <w:szCs w:val="20"/>
              </w:rPr>
            </w:pPr>
            <w:r w:rsidRPr="000C77A2">
              <w:rPr>
                <w:rFonts w:ascii="Arial Narrow" w:eastAsiaTheme="majorEastAsia" w:hAnsi="Arial Narrow" w:cs="Calibri"/>
                <w:bCs/>
                <w:color w:val="000000"/>
                <w:sz w:val="20"/>
                <w:szCs w:val="20"/>
              </w:rPr>
              <w:t>$58,096</w:t>
            </w:r>
          </w:p>
        </w:tc>
        <w:tc>
          <w:tcPr>
            <w:tcW w:w="838" w:type="pct"/>
            <w:shd w:val="clear" w:color="auto" w:fill="B8CCE4" w:themeFill="accent1" w:themeFillTint="66"/>
          </w:tcPr>
          <w:p w14:paraId="63444DBC" w14:textId="13B2E9AB" w:rsidR="006E11B6" w:rsidRPr="000C77A2" w:rsidRDefault="006E11B6" w:rsidP="00560AEC">
            <w:pPr>
              <w:keepNext/>
              <w:keepLines/>
              <w:jc w:val="right"/>
              <w:rPr>
                <w:rFonts w:ascii="Arial Narrow" w:eastAsiaTheme="majorEastAsia" w:hAnsi="Arial Narrow" w:cs="Calibri"/>
                <w:bCs/>
                <w:color w:val="000000"/>
                <w:sz w:val="20"/>
                <w:szCs w:val="20"/>
              </w:rPr>
            </w:pPr>
            <w:r w:rsidRPr="000C77A2">
              <w:rPr>
                <w:rFonts w:ascii="Arial Narrow" w:eastAsiaTheme="majorEastAsia" w:hAnsi="Arial Narrow" w:cs="Calibri"/>
                <w:bCs/>
                <w:color w:val="000000"/>
                <w:sz w:val="20"/>
                <w:szCs w:val="20"/>
              </w:rPr>
              <w:t>$</w:t>
            </w:r>
            <w:r w:rsidR="00C66EC7" w:rsidRPr="00C66EC7">
              <w:rPr>
                <w:rFonts w:ascii="Arial Narrow" w:eastAsiaTheme="majorEastAsia" w:hAnsi="Arial Narrow" w:cs="Calibri"/>
                <w:bCs/>
                <w:color w:val="000000"/>
                <w:sz w:val="20"/>
                <w:szCs w:val="20"/>
                <w:shd w:val="solid" w:color="000000" w:fill="000000"/>
                <w14:textFill>
                  <w14:solidFill>
                    <w14:srgbClr w14:val="000000">
                      <w14:alpha w14:val="100000"/>
                    </w14:srgbClr>
                  </w14:solidFill>
                </w14:textFill>
              </w:rPr>
              <w:t>|</w:t>
            </w:r>
          </w:p>
        </w:tc>
      </w:tr>
      <w:tr w:rsidR="006E11B6" w:rsidRPr="000C77A2" w14:paraId="230F6FC3" w14:textId="77777777" w:rsidTr="00504411">
        <w:tc>
          <w:tcPr>
            <w:tcW w:w="1529" w:type="pct"/>
            <w:shd w:val="clear" w:color="auto" w:fill="B8CCE4" w:themeFill="accent1" w:themeFillTint="66"/>
            <w:vAlign w:val="center"/>
          </w:tcPr>
          <w:p w14:paraId="649DE21D" w14:textId="77777777" w:rsidR="006E11B6" w:rsidRPr="000C77A2" w:rsidRDefault="006E11B6" w:rsidP="00560AEC">
            <w:pPr>
              <w:keepNext/>
              <w:keepLines/>
              <w:jc w:val="left"/>
              <w:rPr>
                <w:rFonts w:ascii="Arial Narrow" w:eastAsiaTheme="majorEastAsia" w:hAnsi="Arial Narrow" w:cstheme="majorBidi"/>
                <w:bCs/>
                <w:sz w:val="20"/>
                <w:szCs w:val="20"/>
              </w:rPr>
            </w:pPr>
            <w:r w:rsidRPr="000C77A2">
              <w:rPr>
                <w:rFonts w:ascii="Arial Narrow" w:eastAsiaTheme="majorEastAsia" w:hAnsi="Arial Narrow" w:cstheme="majorBidi"/>
                <w:bCs/>
                <w:sz w:val="20"/>
                <w:szCs w:val="20"/>
              </w:rPr>
              <w:t>QALYs</w:t>
            </w:r>
          </w:p>
        </w:tc>
        <w:tc>
          <w:tcPr>
            <w:tcW w:w="1359" w:type="pct"/>
            <w:shd w:val="clear" w:color="auto" w:fill="B8CCE4" w:themeFill="accent1" w:themeFillTint="66"/>
          </w:tcPr>
          <w:p w14:paraId="17F84EB3" w14:textId="77777777" w:rsidR="006E11B6" w:rsidRPr="000C77A2" w:rsidRDefault="006E11B6" w:rsidP="00560AEC">
            <w:pPr>
              <w:keepNext/>
              <w:keepLines/>
              <w:jc w:val="right"/>
              <w:rPr>
                <w:rFonts w:ascii="Arial Narrow" w:eastAsiaTheme="majorEastAsia" w:hAnsi="Arial Narrow" w:cs="Calibri"/>
                <w:bCs/>
                <w:color w:val="000000"/>
                <w:sz w:val="20"/>
                <w:szCs w:val="20"/>
              </w:rPr>
            </w:pPr>
            <w:r w:rsidRPr="000C77A2">
              <w:rPr>
                <w:rFonts w:ascii="Arial Narrow" w:eastAsiaTheme="majorEastAsia" w:hAnsi="Arial Narrow" w:cs="Calibri"/>
                <w:bCs/>
                <w:color w:val="000000"/>
                <w:sz w:val="20"/>
                <w:szCs w:val="20"/>
              </w:rPr>
              <w:t>1.023</w:t>
            </w:r>
          </w:p>
        </w:tc>
        <w:tc>
          <w:tcPr>
            <w:tcW w:w="1274" w:type="pct"/>
            <w:shd w:val="clear" w:color="auto" w:fill="B8CCE4" w:themeFill="accent1" w:themeFillTint="66"/>
          </w:tcPr>
          <w:p w14:paraId="2BEFEC8A" w14:textId="77777777" w:rsidR="006E11B6" w:rsidRPr="000C77A2" w:rsidRDefault="006E11B6" w:rsidP="00560AEC">
            <w:pPr>
              <w:keepNext/>
              <w:keepLines/>
              <w:jc w:val="right"/>
              <w:rPr>
                <w:rFonts w:ascii="Arial Narrow" w:eastAsiaTheme="majorEastAsia" w:hAnsi="Arial Narrow" w:cs="Calibri"/>
                <w:bCs/>
                <w:color w:val="000000"/>
                <w:sz w:val="20"/>
                <w:szCs w:val="20"/>
              </w:rPr>
            </w:pPr>
            <w:r w:rsidRPr="000C77A2">
              <w:rPr>
                <w:rFonts w:ascii="Arial Narrow" w:eastAsiaTheme="majorEastAsia" w:hAnsi="Arial Narrow" w:cs="Calibri"/>
                <w:bCs/>
                <w:color w:val="000000"/>
                <w:sz w:val="20"/>
                <w:szCs w:val="20"/>
              </w:rPr>
              <w:t>0.985</w:t>
            </w:r>
          </w:p>
        </w:tc>
        <w:tc>
          <w:tcPr>
            <w:tcW w:w="838" w:type="pct"/>
            <w:shd w:val="clear" w:color="auto" w:fill="B8CCE4" w:themeFill="accent1" w:themeFillTint="66"/>
          </w:tcPr>
          <w:p w14:paraId="2E5236DC" w14:textId="77777777" w:rsidR="006E11B6" w:rsidRPr="000C77A2" w:rsidRDefault="006E11B6" w:rsidP="00560AEC">
            <w:pPr>
              <w:keepNext/>
              <w:keepLines/>
              <w:jc w:val="right"/>
              <w:rPr>
                <w:rFonts w:ascii="Arial Narrow" w:eastAsiaTheme="majorEastAsia" w:hAnsi="Arial Narrow" w:cs="Calibri"/>
                <w:bCs/>
                <w:color w:val="000000"/>
                <w:sz w:val="20"/>
                <w:szCs w:val="20"/>
              </w:rPr>
            </w:pPr>
            <w:r w:rsidRPr="000C77A2">
              <w:rPr>
                <w:rFonts w:ascii="Arial Narrow" w:eastAsiaTheme="majorEastAsia" w:hAnsi="Arial Narrow" w:cs="Calibri"/>
                <w:bCs/>
                <w:color w:val="000000"/>
                <w:sz w:val="20"/>
                <w:szCs w:val="20"/>
              </w:rPr>
              <w:t>0.037</w:t>
            </w:r>
          </w:p>
        </w:tc>
      </w:tr>
      <w:tr w:rsidR="006E11B6" w:rsidRPr="000C77A2" w14:paraId="5683C268" w14:textId="77777777" w:rsidTr="00504411">
        <w:tc>
          <w:tcPr>
            <w:tcW w:w="4162" w:type="pct"/>
            <w:gridSpan w:val="3"/>
            <w:shd w:val="clear" w:color="auto" w:fill="B8CCE4" w:themeFill="accent1" w:themeFillTint="66"/>
            <w:vAlign w:val="center"/>
          </w:tcPr>
          <w:p w14:paraId="223F5D84" w14:textId="77777777" w:rsidR="006E11B6" w:rsidRPr="000C77A2" w:rsidRDefault="006E11B6" w:rsidP="00560AEC">
            <w:pPr>
              <w:keepNext/>
              <w:keepLines/>
              <w:jc w:val="left"/>
              <w:rPr>
                <w:rFonts w:ascii="Arial Narrow" w:eastAsiaTheme="majorEastAsia" w:hAnsi="Arial Narrow" w:cstheme="majorBidi"/>
                <w:b/>
                <w:bCs/>
                <w:sz w:val="20"/>
                <w:szCs w:val="20"/>
              </w:rPr>
            </w:pPr>
            <w:r w:rsidRPr="000C77A2">
              <w:rPr>
                <w:rFonts w:ascii="Arial Narrow" w:eastAsiaTheme="majorEastAsia" w:hAnsi="Arial Narrow" w:cstheme="majorBidi"/>
                <w:b/>
                <w:bCs/>
                <w:sz w:val="20"/>
                <w:szCs w:val="20"/>
              </w:rPr>
              <w:t xml:space="preserve">Incremental cost/extra QALY gained </w:t>
            </w:r>
          </w:p>
        </w:tc>
        <w:tc>
          <w:tcPr>
            <w:tcW w:w="838" w:type="pct"/>
            <w:shd w:val="clear" w:color="auto" w:fill="B8CCE4" w:themeFill="accent1" w:themeFillTint="66"/>
            <w:vAlign w:val="center"/>
          </w:tcPr>
          <w:p w14:paraId="73F343FA" w14:textId="1895F689" w:rsidR="006E11B6" w:rsidRPr="000C77A2" w:rsidRDefault="006E11B6" w:rsidP="00560AEC">
            <w:pPr>
              <w:keepNext/>
              <w:keepLines/>
              <w:jc w:val="right"/>
              <w:rPr>
                <w:rFonts w:ascii="Arial Narrow" w:eastAsiaTheme="majorEastAsia" w:hAnsi="Arial Narrow" w:cstheme="majorBidi"/>
                <w:b/>
                <w:bCs/>
                <w:sz w:val="20"/>
                <w:szCs w:val="20"/>
              </w:rPr>
            </w:pPr>
            <w:r w:rsidRPr="000C77A2">
              <w:rPr>
                <w:rFonts w:ascii="Arial Narrow" w:eastAsiaTheme="majorEastAsia" w:hAnsi="Arial Narrow" w:cstheme="majorBidi"/>
                <w:b/>
                <w:bCs/>
                <w:sz w:val="20"/>
                <w:szCs w:val="20"/>
              </w:rPr>
              <w:t>$</w:t>
            </w:r>
            <w:r w:rsidR="00C66EC7" w:rsidRPr="00C66EC7">
              <w:rPr>
                <w:rFonts w:ascii="Arial Narrow" w:eastAsiaTheme="majorEastAsia" w:hAnsi="Arial Narrow" w:cstheme="majorBidi"/>
                <w:b/>
                <w:bCs/>
                <w:color w:val="000000"/>
                <w:sz w:val="20"/>
                <w:szCs w:val="20"/>
                <w:shd w:val="solid" w:color="000000" w:fill="000000"/>
                <w14:textFill>
                  <w14:solidFill>
                    <w14:srgbClr w14:val="000000">
                      <w14:alpha w14:val="100000"/>
                    </w14:srgbClr>
                  </w14:solidFill>
                </w14:textFill>
              </w:rPr>
              <w:t>|</w:t>
            </w:r>
            <w:r w:rsidR="00575ACA">
              <w:rPr>
                <w:rFonts w:ascii="Arial Narrow" w:eastAsiaTheme="majorEastAsia" w:hAnsi="Arial Narrow" w:cstheme="majorBidi"/>
                <w:bCs/>
                <w:sz w:val="20"/>
                <w:szCs w:val="20"/>
                <w:vertAlign w:val="superscript"/>
              </w:rPr>
              <w:t>3</w:t>
            </w:r>
          </w:p>
        </w:tc>
      </w:tr>
    </w:tbl>
    <w:p w14:paraId="17C601E6" w14:textId="77777777" w:rsidR="00097911" w:rsidRPr="000C77A2" w:rsidRDefault="00097911" w:rsidP="00560AEC">
      <w:pPr>
        <w:keepNext/>
        <w:keepLines/>
        <w:rPr>
          <w:rFonts w:ascii="Arial Narrow" w:hAnsi="Arial Narrow"/>
          <w:snapToGrid w:val="0"/>
          <w:sz w:val="18"/>
        </w:rPr>
      </w:pPr>
      <w:r w:rsidRPr="000C77A2">
        <w:rPr>
          <w:rFonts w:ascii="Arial Narrow" w:hAnsi="Arial Narrow"/>
          <w:snapToGrid w:val="0"/>
          <w:sz w:val="18"/>
        </w:rPr>
        <w:t xml:space="preserve">Source: tabulated during evaluation from the “Attachment 3.1 – Section 3 Workbook – cost effectiveness model” workbook provided in the submission. </w:t>
      </w:r>
    </w:p>
    <w:p w14:paraId="2243A089" w14:textId="77777777" w:rsidR="00097911" w:rsidRPr="000C77A2" w:rsidRDefault="00097911" w:rsidP="00560AEC">
      <w:pPr>
        <w:keepNext/>
        <w:keepLines/>
        <w:rPr>
          <w:rFonts w:ascii="Arial Narrow" w:hAnsi="Arial Narrow"/>
          <w:snapToGrid w:val="0"/>
          <w:sz w:val="18"/>
        </w:rPr>
      </w:pPr>
      <w:r w:rsidRPr="000C77A2">
        <w:rPr>
          <w:rFonts w:ascii="Arial Narrow" w:hAnsi="Arial Narrow"/>
          <w:snapToGrid w:val="0"/>
          <w:sz w:val="18"/>
        </w:rPr>
        <w:t>LYG =  life year gained; STS = soft tissue sarcoma; QALYs = quality-adjusted life years</w:t>
      </w:r>
    </w:p>
    <w:p w14:paraId="1A318568" w14:textId="77777777" w:rsidR="00097911" w:rsidRPr="000C77A2" w:rsidRDefault="00097911" w:rsidP="00560AEC">
      <w:pPr>
        <w:keepNext/>
        <w:keepLines/>
        <w:rPr>
          <w:rFonts w:ascii="Arial Narrow" w:hAnsi="Arial Narrow"/>
          <w:sz w:val="18"/>
        </w:rPr>
      </w:pPr>
      <w:r w:rsidRPr="000C77A2">
        <w:rPr>
          <w:rFonts w:ascii="Arial Narrow" w:hAnsi="Arial Narrow"/>
          <w:sz w:val="18"/>
          <w:shd w:val="clear" w:color="auto" w:fill="C6D9F1" w:themeFill="text2" w:themeFillTint="33"/>
        </w:rPr>
        <w:t xml:space="preserve">Blue </w:t>
      </w:r>
      <w:r w:rsidRPr="000C77A2">
        <w:rPr>
          <w:rFonts w:ascii="Arial Narrow" w:hAnsi="Arial Narrow"/>
          <w:sz w:val="18"/>
        </w:rPr>
        <w:t>shading represents results previously considered by the PBAC.</w:t>
      </w:r>
    </w:p>
    <w:p w14:paraId="78D7960F" w14:textId="77777777" w:rsidR="00097911" w:rsidRPr="000C77A2" w:rsidRDefault="00097911" w:rsidP="00560AEC">
      <w:pPr>
        <w:keepNext/>
        <w:keepLines/>
        <w:rPr>
          <w:rFonts w:ascii="Arial Narrow" w:hAnsi="Arial Narrow"/>
          <w:snapToGrid w:val="0"/>
          <w:sz w:val="18"/>
          <w:lang w:eastAsia="en-US"/>
        </w:rPr>
      </w:pPr>
      <w:r w:rsidRPr="000C77A2">
        <w:rPr>
          <w:rFonts w:ascii="Arial Narrow" w:hAnsi="Arial Narrow"/>
          <w:snapToGrid w:val="0"/>
          <w:sz w:val="18"/>
          <w:lang w:eastAsia="en-US"/>
        </w:rPr>
        <w:t>For STS patients treated with larotrectinib, 77 months of follow-up OS data was available while only 48 months of follow-up OS data was available for patients treated with pazopanib. The minimum duration of follow-up OS data was chosen for the stepped economic evaluation.</w:t>
      </w:r>
    </w:p>
    <w:p w14:paraId="25D63AF8" w14:textId="77777777" w:rsidR="00097911" w:rsidRDefault="00097911" w:rsidP="00575ACA">
      <w:pPr>
        <w:rPr>
          <w:rFonts w:ascii="Arial Narrow" w:hAnsi="Arial Narrow"/>
          <w:snapToGrid w:val="0"/>
          <w:sz w:val="18"/>
          <w:lang w:eastAsia="en-US"/>
        </w:rPr>
      </w:pPr>
      <w:proofErr w:type="spellStart"/>
      <w:r w:rsidRPr="000C77A2">
        <w:rPr>
          <w:rFonts w:ascii="Arial Narrow" w:hAnsi="Arial Narrow"/>
          <w:snapToGrid w:val="0"/>
          <w:sz w:val="18"/>
          <w:vertAlign w:val="superscript"/>
          <w:lang w:eastAsia="en-US"/>
        </w:rPr>
        <w:t>a</w:t>
      </w:r>
      <w:proofErr w:type="spellEnd"/>
      <w:r w:rsidRPr="000C77A2">
        <w:rPr>
          <w:rFonts w:ascii="Arial Narrow" w:hAnsi="Arial Narrow"/>
          <w:snapToGrid w:val="0"/>
          <w:sz w:val="18"/>
          <w:vertAlign w:val="superscript"/>
          <w:lang w:eastAsia="en-US"/>
        </w:rPr>
        <w:t xml:space="preserve"> </w:t>
      </w:r>
      <w:r w:rsidRPr="000C77A2">
        <w:rPr>
          <w:rFonts w:ascii="Arial Narrow" w:hAnsi="Arial Narrow"/>
          <w:snapToGrid w:val="0"/>
          <w:sz w:val="18"/>
          <w:lang w:eastAsia="en-US"/>
        </w:rPr>
        <w:t>In the previous submission, the analysis compared costs and outcomes in the tested population (</w:t>
      </w:r>
      <w:proofErr w:type="spellStart"/>
      <w:r w:rsidRPr="000C77A2">
        <w:rPr>
          <w:rFonts w:ascii="Arial Narrow" w:hAnsi="Arial Narrow"/>
          <w:snapToGrid w:val="0"/>
          <w:sz w:val="18"/>
          <w:lang w:eastAsia="en-US"/>
        </w:rPr>
        <w:t>i.e.,‘NTRK</w:t>
      </w:r>
      <w:proofErr w:type="spellEnd"/>
      <w:r w:rsidRPr="000C77A2">
        <w:rPr>
          <w:rFonts w:ascii="Arial Narrow" w:hAnsi="Arial Narrow"/>
          <w:snapToGrid w:val="0"/>
          <w:sz w:val="18"/>
          <w:lang w:eastAsia="en-US"/>
        </w:rPr>
        <w:t xml:space="preserve"> testing and larotrectinib in NTRK+ and SoC in NTRK−’ to ‘No testing and SoC’) and as such, the benefit of larotrectinib treatment was diluted. Costs in each model arm were driven by terminal care costs, which were excluded in the resubmission.</w:t>
      </w:r>
    </w:p>
    <w:p w14:paraId="2E253A03" w14:textId="77777777" w:rsidR="0002633E" w:rsidRPr="00560AEC" w:rsidRDefault="0002633E" w:rsidP="00560AEC">
      <w:pPr>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652F5E7A" w14:textId="7CFDC845" w:rsidR="0002633E" w:rsidRPr="00560AEC" w:rsidRDefault="0002633E" w:rsidP="00560AEC">
      <w:pPr>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w:t>
      </w:r>
      <w:r w:rsidR="00575ACA" w:rsidRPr="005704B3">
        <w:rPr>
          <w:rFonts w:ascii="Arial Narrow" w:hAnsi="Arial Narrow" w:cstheme="minorHAnsi"/>
          <w:bCs/>
          <w:i/>
          <w:iCs/>
          <w:sz w:val="18"/>
          <w:szCs w:val="18"/>
        </w:rPr>
        <w:t>$115,000 to &lt; $135,000</w:t>
      </w:r>
      <w:r w:rsidR="00575ACA">
        <w:rPr>
          <w:rFonts w:ascii="Arial Narrow" w:hAnsi="Arial Narrow" w:cstheme="minorHAnsi"/>
          <w:bCs/>
          <w:i/>
          <w:iCs/>
          <w:sz w:val="18"/>
          <w:szCs w:val="18"/>
        </w:rPr>
        <w:t xml:space="preserve"> </w:t>
      </w:r>
    </w:p>
    <w:p w14:paraId="654862E8" w14:textId="17BF3B2B" w:rsidR="0002633E" w:rsidRPr="00560AEC" w:rsidRDefault="0002633E" w:rsidP="00560AEC">
      <w:pPr>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$75,000 to &lt; $95,000</w:t>
      </w:r>
    </w:p>
    <w:p w14:paraId="26A10347" w14:textId="42C60BC7" w:rsidR="00097911" w:rsidRPr="000C77A2" w:rsidRDefault="0002633E" w:rsidP="00560AEC">
      <w:pPr>
        <w:spacing w:after="120"/>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w:t>
      </w:r>
      <w:r w:rsidR="00575ACA" w:rsidRPr="005704B3">
        <w:rPr>
          <w:rFonts w:ascii="Arial Narrow" w:hAnsi="Arial Narrow" w:cstheme="minorHAnsi"/>
          <w:bCs/>
          <w:i/>
          <w:iCs/>
          <w:sz w:val="18"/>
          <w:szCs w:val="18"/>
        </w:rPr>
        <w:t>$55,000 to &lt; $75,000</w:t>
      </w:r>
    </w:p>
    <w:p w14:paraId="0A078F34" w14:textId="1210AC34" w:rsidR="00097911" w:rsidRPr="000C77A2" w:rsidRDefault="00097911" w:rsidP="00097911">
      <w:pPr>
        <w:numPr>
          <w:ilvl w:val="1"/>
          <w:numId w:val="1"/>
        </w:numPr>
        <w:spacing w:after="120"/>
        <w:rPr>
          <w:snapToGrid w:val="0"/>
          <w:lang w:eastAsia="en-US"/>
        </w:rPr>
      </w:pPr>
      <w:r w:rsidRPr="000C77A2">
        <w:rPr>
          <w:rFonts w:asciiTheme="minorHAnsi" w:hAnsiTheme="minorHAnsi"/>
          <w:snapToGrid w:val="0"/>
        </w:rPr>
        <w:t xml:space="preserve">The proposed price of larotrectinib </w:t>
      </w:r>
      <w:r w:rsidR="00F25F45" w:rsidRPr="000C77A2">
        <w:rPr>
          <w:rFonts w:asciiTheme="minorHAnsi" w:hAnsiTheme="minorHAnsi"/>
          <w:snapToGrid w:val="0"/>
        </w:rPr>
        <w:t xml:space="preserve">is </w:t>
      </w:r>
      <w:r w:rsidRPr="000C77A2">
        <w:rPr>
          <w:rFonts w:asciiTheme="minorHAnsi" w:hAnsiTheme="minorHAnsi"/>
          <w:snapToGrid w:val="0"/>
        </w:rPr>
        <w:t xml:space="preserve">the same </w:t>
      </w:r>
      <w:r w:rsidR="00F25F45" w:rsidRPr="000C77A2">
        <w:rPr>
          <w:rFonts w:asciiTheme="minorHAnsi" w:hAnsiTheme="minorHAnsi"/>
          <w:snapToGrid w:val="0"/>
        </w:rPr>
        <w:t xml:space="preserve">as the previous submission </w:t>
      </w:r>
      <w:r w:rsidRPr="000C77A2">
        <w:rPr>
          <w:rFonts w:asciiTheme="minorHAnsi" w:hAnsiTheme="minorHAnsi"/>
          <w:snapToGrid w:val="0"/>
        </w:rPr>
        <w:t>(</w:t>
      </w:r>
      <w:r w:rsidR="00AB2574" w:rsidRPr="00AB2574">
        <w:rPr>
          <w:rFonts w:asciiTheme="minorHAnsi" w:hAnsiTheme="minorHAnsi"/>
          <w:snapToGrid w:val="0"/>
        </w:rPr>
        <w:t>$95,000</w:t>
      </w:r>
      <w:r w:rsidR="00575ACA">
        <w:rPr>
          <w:rFonts w:asciiTheme="minorHAnsi" w:hAnsiTheme="minorHAnsi"/>
          <w:snapToGrid w:val="0"/>
        </w:rPr>
        <w:t> </w:t>
      </w:r>
      <w:r w:rsidR="00AB2574" w:rsidRPr="00AB2574">
        <w:rPr>
          <w:rFonts w:asciiTheme="minorHAnsi" w:hAnsiTheme="minorHAnsi"/>
          <w:snapToGrid w:val="0"/>
        </w:rPr>
        <w:t>to &lt;</w:t>
      </w:r>
      <w:r w:rsidR="00575ACA">
        <w:rPr>
          <w:rFonts w:asciiTheme="minorHAnsi" w:hAnsiTheme="minorHAnsi"/>
          <w:snapToGrid w:val="0"/>
        </w:rPr>
        <w:t> </w:t>
      </w:r>
      <w:r w:rsidR="00AB2574" w:rsidRPr="00AB2574">
        <w:rPr>
          <w:rFonts w:asciiTheme="minorHAnsi" w:hAnsiTheme="minorHAnsi"/>
          <w:snapToGrid w:val="0"/>
        </w:rPr>
        <w:t xml:space="preserve">$115,000 </w:t>
      </w:r>
      <w:r w:rsidR="00B02242" w:rsidRPr="000C77A2">
        <w:rPr>
          <w:rFonts w:asciiTheme="minorHAnsi" w:hAnsiTheme="minorHAnsi"/>
          <w:snapToGrid w:val="0"/>
        </w:rPr>
        <w:t>per</w:t>
      </w:r>
      <w:r w:rsidRPr="000C77A2">
        <w:rPr>
          <w:rFonts w:asciiTheme="minorHAnsi" w:hAnsiTheme="minorHAnsi"/>
          <w:snapToGrid w:val="0"/>
        </w:rPr>
        <w:t xml:space="preserve"> year of treatment). Further, the ICERs presented in this resubmission </w:t>
      </w:r>
      <w:r w:rsidR="00782CB9">
        <w:rPr>
          <w:rFonts w:asciiTheme="minorHAnsi" w:hAnsiTheme="minorHAnsi"/>
          <w:snapToGrid w:val="0"/>
        </w:rPr>
        <w:t>(</w:t>
      </w:r>
      <w:r w:rsidR="00782CB9" w:rsidRPr="00782CB9">
        <w:rPr>
          <w:rFonts w:asciiTheme="minorHAnsi" w:hAnsiTheme="minorHAnsi"/>
          <w:snapToGrid w:val="0"/>
        </w:rPr>
        <w:t>$135,000</w:t>
      </w:r>
      <w:r w:rsidR="00575ACA">
        <w:rPr>
          <w:rFonts w:asciiTheme="minorHAnsi" w:hAnsiTheme="minorHAnsi"/>
          <w:snapToGrid w:val="0"/>
        </w:rPr>
        <w:t> </w:t>
      </w:r>
      <w:r w:rsidR="00782CB9" w:rsidRPr="00782CB9">
        <w:rPr>
          <w:rFonts w:asciiTheme="minorHAnsi" w:hAnsiTheme="minorHAnsi"/>
          <w:snapToGrid w:val="0"/>
        </w:rPr>
        <w:t>to</w:t>
      </w:r>
      <w:r w:rsidR="00575ACA">
        <w:rPr>
          <w:rFonts w:asciiTheme="minorHAnsi" w:hAnsiTheme="minorHAnsi"/>
          <w:snapToGrid w:val="0"/>
        </w:rPr>
        <w:t> </w:t>
      </w:r>
      <w:r w:rsidR="00782CB9" w:rsidRPr="00782CB9">
        <w:rPr>
          <w:rFonts w:asciiTheme="minorHAnsi" w:hAnsiTheme="minorHAnsi"/>
          <w:snapToGrid w:val="0"/>
        </w:rPr>
        <w:t>&lt;</w:t>
      </w:r>
      <w:r w:rsidR="007F0A22">
        <w:rPr>
          <w:rFonts w:asciiTheme="minorHAnsi" w:hAnsiTheme="minorHAnsi"/>
          <w:snapToGrid w:val="0"/>
        </w:rPr>
        <w:t> </w:t>
      </w:r>
      <w:r w:rsidR="00782CB9" w:rsidRPr="00782CB9">
        <w:rPr>
          <w:rFonts w:asciiTheme="minorHAnsi" w:hAnsiTheme="minorHAnsi"/>
          <w:snapToGrid w:val="0"/>
        </w:rPr>
        <w:t>$155,000</w:t>
      </w:r>
      <w:r w:rsidR="00782CB9">
        <w:rPr>
          <w:rFonts w:asciiTheme="minorHAnsi" w:hAnsiTheme="minorHAnsi"/>
          <w:snapToGrid w:val="0"/>
        </w:rPr>
        <w:t xml:space="preserve"> </w:t>
      </w:r>
      <w:r w:rsidRPr="000C77A2">
        <w:rPr>
          <w:rFonts w:asciiTheme="minorHAnsi" w:hAnsiTheme="minorHAnsi"/>
          <w:snapToGrid w:val="0"/>
        </w:rPr>
        <w:t>for NSCLC and $</w:t>
      </w:r>
      <w:r w:rsidR="00782CB9" w:rsidRPr="00782CB9">
        <w:rPr>
          <w:rFonts w:asciiTheme="minorHAnsi" w:hAnsiTheme="minorHAnsi"/>
          <w:snapToGrid w:val="0"/>
        </w:rPr>
        <w:t>115,000 to &lt;</w:t>
      </w:r>
      <w:r w:rsidR="007F0A22">
        <w:rPr>
          <w:rFonts w:asciiTheme="minorHAnsi" w:hAnsiTheme="minorHAnsi"/>
          <w:snapToGrid w:val="0"/>
        </w:rPr>
        <w:t> </w:t>
      </w:r>
      <w:r w:rsidR="00782CB9" w:rsidRPr="00782CB9">
        <w:rPr>
          <w:rFonts w:asciiTheme="minorHAnsi" w:hAnsiTheme="minorHAnsi"/>
          <w:snapToGrid w:val="0"/>
        </w:rPr>
        <w:t>$135,000</w:t>
      </w:r>
      <w:r w:rsidR="00137680" w:rsidRPr="000C77A2">
        <w:rPr>
          <w:rFonts w:asciiTheme="minorHAnsi" w:hAnsiTheme="minorHAnsi"/>
          <w:snapToGrid w:val="0"/>
        </w:rPr>
        <w:t xml:space="preserve"> </w:t>
      </w:r>
      <w:r w:rsidRPr="000C77A2">
        <w:rPr>
          <w:rFonts w:asciiTheme="minorHAnsi" w:hAnsiTheme="minorHAnsi"/>
          <w:snapToGrid w:val="0"/>
        </w:rPr>
        <w:t xml:space="preserve">for STS) </w:t>
      </w:r>
      <w:r w:rsidR="00B02242" w:rsidRPr="000C77A2">
        <w:rPr>
          <w:rFonts w:asciiTheme="minorHAnsi" w:hAnsiTheme="minorHAnsi"/>
          <w:snapToGrid w:val="0"/>
        </w:rPr>
        <w:t xml:space="preserve">were </w:t>
      </w:r>
      <w:r w:rsidRPr="000C77A2">
        <w:rPr>
          <w:rFonts w:asciiTheme="minorHAnsi" w:hAnsiTheme="minorHAnsi"/>
          <w:snapToGrid w:val="0"/>
        </w:rPr>
        <w:t xml:space="preserve">considerably higher than those presented in </w:t>
      </w:r>
      <w:r w:rsidR="004F3A68" w:rsidRPr="000C77A2">
        <w:rPr>
          <w:rFonts w:asciiTheme="minorHAnsi" w:hAnsiTheme="minorHAnsi"/>
          <w:snapToGrid w:val="0"/>
        </w:rPr>
        <w:t xml:space="preserve">the </w:t>
      </w:r>
      <w:r w:rsidRPr="000C77A2">
        <w:rPr>
          <w:rFonts w:asciiTheme="minorHAnsi" w:hAnsiTheme="minorHAnsi"/>
          <w:snapToGrid w:val="0"/>
        </w:rPr>
        <w:t>previous submission (</w:t>
      </w:r>
      <w:r w:rsidR="00782CB9" w:rsidRPr="00782CB9">
        <w:rPr>
          <w:rFonts w:asciiTheme="minorHAnsi" w:hAnsiTheme="minorHAnsi"/>
          <w:snapToGrid w:val="0"/>
        </w:rPr>
        <w:t>$95,000</w:t>
      </w:r>
      <w:r w:rsidR="00575ACA">
        <w:rPr>
          <w:rFonts w:asciiTheme="minorHAnsi" w:hAnsiTheme="minorHAnsi"/>
          <w:snapToGrid w:val="0"/>
        </w:rPr>
        <w:t> </w:t>
      </w:r>
      <w:r w:rsidR="00782CB9" w:rsidRPr="00782CB9">
        <w:rPr>
          <w:rFonts w:asciiTheme="minorHAnsi" w:hAnsiTheme="minorHAnsi"/>
          <w:snapToGrid w:val="0"/>
        </w:rPr>
        <w:t>to &lt;</w:t>
      </w:r>
      <w:r w:rsidR="007F0A22">
        <w:rPr>
          <w:rFonts w:asciiTheme="minorHAnsi" w:hAnsiTheme="minorHAnsi"/>
          <w:snapToGrid w:val="0"/>
        </w:rPr>
        <w:t> </w:t>
      </w:r>
      <w:r w:rsidR="00782CB9" w:rsidRPr="00782CB9">
        <w:rPr>
          <w:rFonts w:asciiTheme="minorHAnsi" w:hAnsiTheme="minorHAnsi"/>
          <w:snapToGrid w:val="0"/>
        </w:rPr>
        <w:t xml:space="preserve">$115,000 </w:t>
      </w:r>
      <w:r w:rsidRPr="000C77A2">
        <w:rPr>
          <w:rFonts w:asciiTheme="minorHAnsi" w:hAnsiTheme="minorHAnsi"/>
          <w:snapToGrid w:val="0"/>
        </w:rPr>
        <w:t xml:space="preserve">for NSCLC and </w:t>
      </w:r>
      <w:r w:rsidR="00782CB9" w:rsidRPr="00782CB9">
        <w:rPr>
          <w:rFonts w:asciiTheme="minorHAnsi" w:hAnsiTheme="minorHAnsi"/>
          <w:snapToGrid w:val="0"/>
        </w:rPr>
        <w:t>$55,000 to &lt;</w:t>
      </w:r>
      <w:r w:rsidR="007F0A22">
        <w:rPr>
          <w:rFonts w:asciiTheme="minorHAnsi" w:hAnsiTheme="minorHAnsi"/>
          <w:snapToGrid w:val="0"/>
        </w:rPr>
        <w:t> </w:t>
      </w:r>
      <w:r w:rsidR="00782CB9" w:rsidRPr="00782CB9">
        <w:rPr>
          <w:rFonts w:asciiTheme="minorHAnsi" w:hAnsiTheme="minorHAnsi"/>
          <w:snapToGrid w:val="0"/>
        </w:rPr>
        <w:t xml:space="preserve">$75,000 </w:t>
      </w:r>
      <w:r w:rsidRPr="000C77A2">
        <w:rPr>
          <w:rFonts w:asciiTheme="minorHAnsi" w:hAnsiTheme="minorHAnsi"/>
          <w:snapToGrid w:val="0"/>
        </w:rPr>
        <w:t xml:space="preserve"> for STS)</w:t>
      </w:r>
      <w:r w:rsidR="000C77A2">
        <w:rPr>
          <w:rFonts w:asciiTheme="minorHAnsi" w:hAnsiTheme="minorHAnsi"/>
          <w:snapToGrid w:val="0"/>
        </w:rPr>
        <w:t xml:space="preserve">. </w:t>
      </w:r>
      <w:r w:rsidRPr="000C77A2">
        <w:rPr>
          <w:rFonts w:asciiTheme="minorHAnsi" w:hAnsiTheme="minorHAnsi"/>
          <w:snapToGrid w:val="0"/>
          <w:lang w:eastAsia="en-US"/>
        </w:rPr>
        <w:t>The stepped incorporation of changes from the previous submission results are presented in the tables below</w:t>
      </w:r>
      <w:r w:rsidRPr="000C77A2">
        <w:rPr>
          <w:rFonts w:asciiTheme="minorHAnsi" w:hAnsiTheme="minorHAnsi"/>
          <w:i/>
          <w:iCs/>
          <w:snapToGrid w:val="0"/>
          <w:lang w:eastAsia="en-US"/>
        </w:rPr>
        <w:t xml:space="preserve">. </w:t>
      </w:r>
    </w:p>
    <w:p w14:paraId="5F0D75E6" w14:textId="55ABCA43" w:rsidR="00097911" w:rsidRPr="000C77A2" w:rsidRDefault="00097911" w:rsidP="00097911">
      <w:pPr>
        <w:keepNext/>
        <w:keepLines/>
        <w:rPr>
          <w:rFonts w:ascii="Arial Narrow" w:hAnsi="Arial Narrow"/>
          <w:b/>
          <w:bCs/>
          <w:sz w:val="20"/>
          <w:szCs w:val="18"/>
        </w:rPr>
      </w:pPr>
      <w:bookmarkStart w:id="54" w:name="_Ref155626121"/>
      <w:r w:rsidRPr="000C77A2">
        <w:rPr>
          <w:rFonts w:ascii="Arial Narrow" w:hAnsi="Arial Narrow"/>
          <w:b/>
          <w:bCs/>
          <w:sz w:val="20"/>
          <w:szCs w:val="18"/>
        </w:rPr>
        <w:lastRenderedPageBreak/>
        <w:t xml:space="preserve">Table </w:t>
      </w:r>
      <w:r w:rsidRPr="000C77A2">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0C77A2">
        <w:rPr>
          <w:rFonts w:ascii="Arial Narrow" w:hAnsi="Arial Narrow"/>
          <w:b/>
          <w:bCs/>
          <w:sz w:val="20"/>
          <w:szCs w:val="18"/>
        </w:rPr>
        <w:fldChar w:fldCharType="separate"/>
      </w:r>
      <w:r w:rsidR="001B0FE7">
        <w:rPr>
          <w:rFonts w:ascii="Arial Narrow" w:hAnsi="Arial Narrow"/>
          <w:b/>
          <w:bCs/>
          <w:noProof/>
          <w:sz w:val="20"/>
          <w:szCs w:val="18"/>
        </w:rPr>
        <w:t>19</w:t>
      </w:r>
      <w:r w:rsidRPr="000C77A2">
        <w:rPr>
          <w:rFonts w:ascii="Arial Narrow" w:hAnsi="Arial Narrow"/>
          <w:b/>
          <w:bCs/>
          <w:sz w:val="20"/>
          <w:szCs w:val="18"/>
        </w:rPr>
        <w:fldChar w:fldCharType="end"/>
      </w:r>
      <w:bookmarkEnd w:id="54"/>
      <w:r w:rsidRPr="000C77A2">
        <w:rPr>
          <w:rFonts w:ascii="Arial Narrow" w:hAnsi="Arial Narrow"/>
          <w:b/>
          <w:bCs/>
          <w:sz w:val="20"/>
          <w:szCs w:val="18"/>
        </w:rPr>
        <w:t>: Stepped incorporation of changes from the previous submission (NSCLC)</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9: Stepped incorporation of changes from the previous submission (NSCLC)"/>
      </w:tblPr>
      <w:tblGrid>
        <w:gridCol w:w="4678"/>
        <w:gridCol w:w="1475"/>
        <w:gridCol w:w="1650"/>
        <w:gridCol w:w="1160"/>
      </w:tblGrid>
      <w:tr w:rsidR="00097911" w:rsidRPr="000C77A2" w14:paraId="05C3E8F9" w14:textId="77777777" w:rsidTr="00C66EC7">
        <w:trPr>
          <w:tblHeader/>
        </w:trPr>
        <w:tc>
          <w:tcPr>
            <w:tcW w:w="4678" w:type="dxa"/>
            <w:vAlign w:val="center"/>
          </w:tcPr>
          <w:p w14:paraId="2270DD00" w14:textId="77777777" w:rsidR="00097911" w:rsidRPr="00576FA3" w:rsidRDefault="00097911" w:rsidP="00EB4A10">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Analyses</w:t>
            </w:r>
          </w:p>
        </w:tc>
        <w:tc>
          <w:tcPr>
            <w:tcW w:w="1475" w:type="dxa"/>
            <w:tcBorders>
              <w:bottom w:val="single" w:sz="4" w:space="0" w:color="auto"/>
            </w:tcBorders>
            <w:vAlign w:val="center"/>
          </w:tcPr>
          <w:p w14:paraId="5EDAFC19" w14:textId="6A03E7DA" w:rsidR="00097911" w:rsidRPr="00576FA3" w:rsidRDefault="00097911" w:rsidP="00560AEC">
            <w:pPr>
              <w:keepNext/>
              <w:jc w:val="center"/>
              <w:rPr>
                <w:rFonts w:ascii="Arial Narrow" w:eastAsiaTheme="majorEastAsia" w:hAnsi="Arial Narrow" w:cs="Times New Roman"/>
                <w:b/>
                <w:sz w:val="20"/>
              </w:rPr>
            </w:pPr>
            <w:r w:rsidRPr="00576FA3">
              <w:rPr>
                <w:rFonts w:ascii="Arial Narrow" w:eastAsiaTheme="majorEastAsia" w:hAnsi="Arial Narrow" w:cs="Times New Roman"/>
                <w:b/>
                <w:sz w:val="20"/>
              </w:rPr>
              <w:t>Incremental cost</w:t>
            </w:r>
            <w:r w:rsidR="00782CB9">
              <w:rPr>
                <w:rFonts w:ascii="Arial Narrow" w:eastAsiaTheme="majorEastAsia" w:hAnsi="Arial Narrow" w:cs="Times New Roman"/>
                <w:b/>
                <w:sz w:val="20"/>
              </w:rPr>
              <w:t xml:space="preserve"> ($)</w:t>
            </w:r>
          </w:p>
        </w:tc>
        <w:tc>
          <w:tcPr>
            <w:tcW w:w="1650" w:type="dxa"/>
            <w:vAlign w:val="center"/>
          </w:tcPr>
          <w:p w14:paraId="120646A4" w14:textId="77777777" w:rsidR="00097911" w:rsidRPr="00576FA3" w:rsidRDefault="00097911" w:rsidP="00560AEC">
            <w:pPr>
              <w:keepNext/>
              <w:jc w:val="center"/>
              <w:rPr>
                <w:rFonts w:ascii="Arial Narrow" w:eastAsiaTheme="majorEastAsia" w:hAnsi="Arial Narrow" w:cs="Times New Roman"/>
                <w:b/>
                <w:sz w:val="20"/>
              </w:rPr>
            </w:pPr>
            <w:r w:rsidRPr="00576FA3">
              <w:rPr>
                <w:rFonts w:ascii="Arial Narrow" w:eastAsiaTheme="majorEastAsia" w:hAnsi="Arial Narrow" w:cs="Times New Roman"/>
                <w:b/>
                <w:sz w:val="20"/>
              </w:rPr>
              <w:t>Incremental QALY</w:t>
            </w:r>
          </w:p>
        </w:tc>
        <w:tc>
          <w:tcPr>
            <w:tcW w:w="1160" w:type="dxa"/>
            <w:vAlign w:val="center"/>
          </w:tcPr>
          <w:p w14:paraId="15D0C936" w14:textId="3A458DA7" w:rsidR="00097911" w:rsidRPr="00576FA3" w:rsidRDefault="00097911" w:rsidP="00560AEC">
            <w:pPr>
              <w:keepNext/>
              <w:jc w:val="center"/>
              <w:rPr>
                <w:rFonts w:ascii="Arial Narrow" w:eastAsiaTheme="majorEastAsia" w:hAnsi="Arial Narrow" w:cs="Times New Roman"/>
                <w:b/>
                <w:sz w:val="20"/>
              </w:rPr>
            </w:pPr>
            <w:r w:rsidRPr="00576FA3">
              <w:rPr>
                <w:rFonts w:ascii="Arial Narrow" w:eastAsiaTheme="majorEastAsia" w:hAnsi="Arial Narrow" w:cs="Times New Roman"/>
                <w:b/>
                <w:sz w:val="20"/>
              </w:rPr>
              <w:t>ICER</w:t>
            </w:r>
            <w:r w:rsidR="001117A5">
              <w:rPr>
                <w:rFonts w:ascii="Arial Narrow" w:eastAsiaTheme="majorEastAsia" w:hAnsi="Arial Narrow" w:cs="Times New Roman"/>
                <w:b/>
                <w:sz w:val="20"/>
              </w:rPr>
              <w:t xml:space="preserve"> ($)</w:t>
            </w:r>
          </w:p>
        </w:tc>
      </w:tr>
      <w:tr w:rsidR="00097911" w:rsidRPr="000C77A2" w14:paraId="6D640029" w14:textId="77777777" w:rsidTr="00C66EC7">
        <w:tc>
          <w:tcPr>
            <w:tcW w:w="4678" w:type="dxa"/>
          </w:tcPr>
          <w:p w14:paraId="47CD4F74"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Previous submission subgroup base case ICER (revised)</w:t>
            </w:r>
          </w:p>
        </w:tc>
        <w:tc>
          <w:tcPr>
            <w:tcW w:w="1475" w:type="dxa"/>
            <w:tcBorders>
              <w:bottom w:val="single" w:sz="4" w:space="0" w:color="auto"/>
            </w:tcBorders>
            <w:shd w:val="solid" w:color="000000" w:fill="000000"/>
            <w:vAlign w:val="center"/>
          </w:tcPr>
          <w:p w14:paraId="2A6DFB6B" w14:textId="45F47621" w:rsidR="00097911" w:rsidRPr="00560AEC" w:rsidRDefault="00C66EC7" w:rsidP="00560AEC">
            <w:pPr>
              <w:keepNext/>
              <w:jc w:val="center"/>
              <w:rPr>
                <w:rFonts w:ascii="Arial Narrow" w:eastAsiaTheme="majorEastAsia" w:hAnsi="Arial Narrow" w:cstheme="majorBidi"/>
                <w:b/>
                <w:sz w:val="20"/>
                <w:highlight w:val="lightGray"/>
              </w:rPr>
            </w:pPr>
            <w:r w:rsidRPr="00C66EC7">
              <w:rPr>
                <w:rFonts w:ascii="Arial Narrow" w:eastAsiaTheme="majorEastAsia" w:hAnsi="Arial Narrow" w:cstheme="majorBidi"/>
                <w:b/>
                <w:color w:val="000000"/>
                <w:sz w:val="20"/>
                <w14:textFill>
                  <w14:solidFill>
                    <w14:srgbClr w14:val="000000">
                      <w14:alpha w14:val="100000"/>
                    </w14:srgbClr>
                  </w14:solidFill>
                </w14:textFill>
              </w:rPr>
              <w:t>|</w:t>
            </w:r>
          </w:p>
        </w:tc>
        <w:tc>
          <w:tcPr>
            <w:tcW w:w="1650" w:type="dxa"/>
            <w:vAlign w:val="center"/>
          </w:tcPr>
          <w:p w14:paraId="58530F63" w14:textId="77777777" w:rsidR="00097911" w:rsidRPr="000C77A2" w:rsidRDefault="00097911" w:rsidP="00560AEC">
            <w:pPr>
              <w:keepNext/>
              <w:jc w:val="center"/>
              <w:rPr>
                <w:rFonts w:ascii="Arial Narrow" w:eastAsiaTheme="majorEastAsia" w:hAnsi="Arial Narrow" w:cstheme="majorBidi"/>
                <w:b/>
                <w:sz w:val="20"/>
              </w:rPr>
            </w:pPr>
            <w:r w:rsidRPr="000C77A2">
              <w:rPr>
                <w:rFonts w:ascii="Arial Narrow" w:eastAsiaTheme="majorEastAsia" w:hAnsi="Arial Narrow" w:cstheme="majorBidi"/>
                <w:b/>
                <w:sz w:val="20"/>
              </w:rPr>
              <w:t>0.0060</w:t>
            </w:r>
          </w:p>
        </w:tc>
        <w:tc>
          <w:tcPr>
            <w:tcW w:w="1160" w:type="dxa"/>
            <w:vAlign w:val="center"/>
          </w:tcPr>
          <w:p w14:paraId="058228CD" w14:textId="6ECE5ADE" w:rsidR="00097911" w:rsidRPr="00560AEC" w:rsidRDefault="00C66EC7" w:rsidP="00560AEC">
            <w:pPr>
              <w:keepNext/>
              <w:jc w:val="center"/>
              <w:rPr>
                <w:rFonts w:ascii="Arial Narrow" w:eastAsiaTheme="majorEastAsia" w:hAnsi="Arial Narrow" w:cstheme="majorBidi"/>
                <w:b/>
                <w:sz w:val="20"/>
                <w:highlight w:val="lightGray"/>
              </w:rPr>
            </w:pPr>
            <w:r w:rsidRPr="00C66EC7">
              <w:rPr>
                <w:rFonts w:ascii="Arial Narrow" w:eastAsiaTheme="majorEastAsia" w:hAnsi="Arial Narrow" w:cstheme="majorBidi" w:hint="eastAsia"/>
                <w:b/>
                <w:color w:val="000000"/>
                <w:w w:val="30"/>
                <w:sz w:val="20"/>
                <w:shd w:val="solid" w:color="000000" w:fill="000000"/>
                <w:fitText w:val="135" w:id="-962355199"/>
                <w14:textFill>
                  <w14:solidFill>
                    <w14:srgbClr w14:val="000000">
                      <w14:alpha w14:val="100000"/>
                    </w14:srgbClr>
                  </w14:solidFill>
                </w14:textFill>
              </w:rPr>
              <w:t xml:space="preserve">　</w:t>
            </w:r>
            <w:r w:rsidRPr="00C66EC7">
              <w:rPr>
                <w:rFonts w:ascii="Arial Narrow" w:eastAsiaTheme="majorEastAsia" w:hAnsi="Arial Narrow" w:cstheme="majorBidi"/>
                <w:b/>
                <w:color w:val="000000"/>
                <w:w w:val="30"/>
                <w:sz w:val="20"/>
                <w:shd w:val="solid" w:color="000000" w:fill="000000"/>
                <w:fitText w:val="135" w:id="-962355199"/>
                <w14:textFill>
                  <w14:solidFill>
                    <w14:srgbClr w14:val="000000">
                      <w14:alpha w14:val="100000"/>
                    </w14:srgbClr>
                  </w14:solidFill>
                </w14:textFill>
              </w:rPr>
              <w:t>|</w:t>
            </w:r>
            <w:r w:rsidRPr="00C66EC7">
              <w:rPr>
                <w:rFonts w:ascii="Arial Narrow" w:eastAsiaTheme="majorEastAsia" w:hAnsi="Arial Narrow" w:cstheme="majorBidi" w:hint="eastAsia"/>
                <w:b/>
                <w:color w:val="000000"/>
                <w:spacing w:val="2"/>
                <w:w w:val="30"/>
                <w:sz w:val="20"/>
                <w:shd w:val="solid" w:color="000000" w:fill="000000"/>
                <w:fitText w:val="135" w:id="-962355199"/>
                <w14:textFill>
                  <w14:solidFill>
                    <w14:srgbClr w14:val="000000">
                      <w14:alpha w14:val="100000"/>
                    </w14:srgbClr>
                  </w14:solidFill>
                </w14:textFill>
              </w:rPr>
              <w:t xml:space="preserve">　</w:t>
            </w:r>
            <w:r w:rsidR="001117A5" w:rsidRPr="00560AEC">
              <w:rPr>
                <w:rFonts w:ascii="Arial Narrow" w:eastAsiaTheme="majorEastAsia" w:hAnsi="Arial Narrow" w:cstheme="majorBidi"/>
                <w:b/>
                <w:sz w:val="20"/>
                <w:vertAlign w:val="superscript"/>
              </w:rPr>
              <w:t>1</w:t>
            </w:r>
          </w:p>
        </w:tc>
      </w:tr>
      <w:tr w:rsidR="00097911" w:rsidRPr="000C77A2" w14:paraId="289E2AED" w14:textId="77777777" w:rsidTr="00C66EC7">
        <w:tc>
          <w:tcPr>
            <w:tcW w:w="4678" w:type="dxa"/>
          </w:tcPr>
          <w:p w14:paraId="30670DDF"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Adjustment of cycle length for model compatibility</w:t>
            </w:r>
          </w:p>
        </w:tc>
        <w:tc>
          <w:tcPr>
            <w:tcW w:w="1475" w:type="dxa"/>
            <w:tcBorders>
              <w:bottom w:val="single" w:sz="4" w:space="0" w:color="auto"/>
            </w:tcBorders>
            <w:shd w:val="solid" w:color="000000" w:fill="000000"/>
            <w:vAlign w:val="center"/>
          </w:tcPr>
          <w:p w14:paraId="7C8BE9EB" w14:textId="44034045"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1E99C845"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0.0060</w:t>
            </w:r>
          </w:p>
        </w:tc>
        <w:tc>
          <w:tcPr>
            <w:tcW w:w="1160" w:type="dxa"/>
            <w:vAlign w:val="center"/>
          </w:tcPr>
          <w:p w14:paraId="0CA4C820" w14:textId="41326FCF"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8"/>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8"/>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8"/>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3688944E" w14:textId="77777777" w:rsidTr="00C66EC7">
        <w:tc>
          <w:tcPr>
            <w:tcW w:w="4678" w:type="dxa"/>
          </w:tcPr>
          <w:p w14:paraId="56E17B85"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Patients enter model at point of treatment</w:t>
            </w:r>
          </w:p>
        </w:tc>
        <w:tc>
          <w:tcPr>
            <w:tcW w:w="1475" w:type="dxa"/>
            <w:tcBorders>
              <w:bottom w:val="single" w:sz="4" w:space="0" w:color="auto"/>
            </w:tcBorders>
            <w:shd w:val="solid" w:color="000000" w:fill="000000"/>
            <w:vAlign w:val="center"/>
          </w:tcPr>
          <w:p w14:paraId="234C8AB7" w14:textId="3A68BAD0"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4A724973"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2.9665</w:t>
            </w:r>
          </w:p>
        </w:tc>
        <w:tc>
          <w:tcPr>
            <w:tcW w:w="1160" w:type="dxa"/>
            <w:vAlign w:val="center"/>
          </w:tcPr>
          <w:p w14:paraId="1D7898BF" w14:textId="1FC75E27"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7"/>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7"/>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7"/>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4149BDD1" w14:textId="77777777" w:rsidTr="00C66EC7">
        <w:tc>
          <w:tcPr>
            <w:tcW w:w="4678" w:type="dxa"/>
          </w:tcPr>
          <w:p w14:paraId="30AE41AA"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Exclude cost of testing</w:t>
            </w:r>
          </w:p>
        </w:tc>
        <w:tc>
          <w:tcPr>
            <w:tcW w:w="1475" w:type="dxa"/>
            <w:tcBorders>
              <w:bottom w:val="single" w:sz="4" w:space="0" w:color="auto"/>
            </w:tcBorders>
            <w:shd w:val="solid" w:color="000000" w:fill="000000"/>
            <w:vAlign w:val="center"/>
          </w:tcPr>
          <w:p w14:paraId="2819DB9E" w14:textId="268B670E"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030B1378"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2.9665</w:t>
            </w:r>
          </w:p>
        </w:tc>
        <w:tc>
          <w:tcPr>
            <w:tcW w:w="1160" w:type="dxa"/>
            <w:vAlign w:val="center"/>
          </w:tcPr>
          <w:p w14:paraId="5AF6989E" w14:textId="75053439"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6"/>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6"/>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6"/>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02D41B8A" w14:textId="77777777" w:rsidTr="00C66EC7">
        <w:tc>
          <w:tcPr>
            <w:tcW w:w="4678" w:type="dxa"/>
          </w:tcPr>
          <w:p w14:paraId="4503D24B"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Update data used in the model</w:t>
            </w:r>
          </w:p>
        </w:tc>
        <w:tc>
          <w:tcPr>
            <w:tcW w:w="1475" w:type="dxa"/>
            <w:tcBorders>
              <w:bottom w:val="single" w:sz="4" w:space="0" w:color="auto"/>
            </w:tcBorders>
            <w:shd w:val="solid" w:color="000000" w:fill="000000"/>
            <w:vAlign w:val="center"/>
          </w:tcPr>
          <w:p w14:paraId="3EA75925" w14:textId="75116882"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3513A860"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2.2844</w:t>
            </w:r>
          </w:p>
        </w:tc>
        <w:tc>
          <w:tcPr>
            <w:tcW w:w="1160" w:type="dxa"/>
            <w:vAlign w:val="center"/>
          </w:tcPr>
          <w:p w14:paraId="4E2F2CBD" w14:textId="7B72B36C"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5"/>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5"/>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5"/>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21D93920" w14:textId="77777777" w:rsidTr="00C66EC7">
        <w:tc>
          <w:tcPr>
            <w:tcW w:w="4678" w:type="dxa"/>
          </w:tcPr>
          <w:p w14:paraId="1E313E8C"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Update time horizon</w:t>
            </w:r>
          </w:p>
        </w:tc>
        <w:tc>
          <w:tcPr>
            <w:tcW w:w="1475" w:type="dxa"/>
            <w:tcBorders>
              <w:bottom w:val="single" w:sz="4" w:space="0" w:color="auto"/>
            </w:tcBorders>
            <w:shd w:val="solid" w:color="000000" w:fill="000000"/>
            <w:vAlign w:val="center"/>
          </w:tcPr>
          <w:p w14:paraId="62394A4A" w14:textId="7E871792"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4AE3EA06"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2.0421</w:t>
            </w:r>
          </w:p>
        </w:tc>
        <w:tc>
          <w:tcPr>
            <w:tcW w:w="1160" w:type="dxa"/>
            <w:vAlign w:val="center"/>
          </w:tcPr>
          <w:p w14:paraId="2495CCA9" w14:textId="177B5702"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4"/>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4"/>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4"/>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7A32A0AA" w14:textId="77777777" w:rsidTr="00C66EC7">
        <w:tc>
          <w:tcPr>
            <w:tcW w:w="4678" w:type="dxa"/>
          </w:tcPr>
          <w:p w14:paraId="25715047"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Update utility values</w:t>
            </w:r>
          </w:p>
        </w:tc>
        <w:tc>
          <w:tcPr>
            <w:tcW w:w="1475" w:type="dxa"/>
            <w:tcBorders>
              <w:bottom w:val="single" w:sz="4" w:space="0" w:color="auto"/>
            </w:tcBorders>
            <w:shd w:val="solid" w:color="000000" w:fill="000000"/>
            <w:vAlign w:val="center"/>
          </w:tcPr>
          <w:p w14:paraId="07216A7F" w14:textId="63CDE7E0"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27FF2E2E"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1.7879</w:t>
            </w:r>
          </w:p>
        </w:tc>
        <w:tc>
          <w:tcPr>
            <w:tcW w:w="1160" w:type="dxa"/>
            <w:vAlign w:val="center"/>
          </w:tcPr>
          <w:p w14:paraId="039B5C5A" w14:textId="4DF06132"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3"/>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3"/>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3"/>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2</w:t>
            </w:r>
          </w:p>
        </w:tc>
      </w:tr>
      <w:tr w:rsidR="00097911" w:rsidRPr="000C77A2" w14:paraId="7CD1A0D3" w14:textId="77777777" w:rsidTr="00C66EC7">
        <w:tc>
          <w:tcPr>
            <w:tcW w:w="4678" w:type="dxa"/>
          </w:tcPr>
          <w:p w14:paraId="034A8DE7" w14:textId="77777777" w:rsidR="00097911" w:rsidRPr="000C77A2" w:rsidRDefault="00097911" w:rsidP="00097911">
            <w:pPr>
              <w:keepNext/>
              <w:jc w:val="left"/>
              <w:rPr>
                <w:rFonts w:ascii="Arial Narrow" w:eastAsiaTheme="majorEastAsia" w:hAnsi="Arial Narrow" w:cstheme="majorBidi"/>
                <w:bCs/>
                <w:sz w:val="20"/>
                <w:vertAlign w:val="superscript"/>
              </w:rPr>
            </w:pPr>
            <w:r w:rsidRPr="000C77A2">
              <w:rPr>
                <w:rFonts w:ascii="Arial Narrow" w:eastAsiaTheme="majorEastAsia" w:hAnsi="Arial Narrow" w:cstheme="majorBidi"/>
                <w:bCs/>
                <w:sz w:val="20"/>
              </w:rPr>
              <w:t xml:space="preserve">Update larotrectinib dose and dispensing fees </w:t>
            </w:r>
            <w:r w:rsidRPr="000C77A2">
              <w:rPr>
                <w:rFonts w:ascii="Arial Narrow" w:eastAsiaTheme="majorEastAsia" w:hAnsi="Arial Narrow" w:cstheme="majorBidi"/>
                <w:bCs/>
                <w:sz w:val="20"/>
                <w:vertAlign w:val="superscript"/>
              </w:rPr>
              <w:t>a</w:t>
            </w:r>
          </w:p>
        </w:tc>
        <w:tc>
          <w:tcPr>
            <w:tcW w:w="1475" w:type="dxa"/>
            <w:tcBorders>
              <w:bottom w:val="single" w:sz="4" w:space="0" w:color="auto"/>
            </w:tcBorders>
            <w:shd w:val="solid" w:color="000000" w:fill="000000"/>
            <w:vAlign w:val="center"/>
          </w:tcPr>
          <w:p w14:paraId="5E327902" w14:textId="04F6EA6A"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5159345E"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1.7879</w:t>
            </w:r>
          </w:p>
        </w:tc>
        <w:tc>
          <w:tcPr>
            <w:tcW w:w="1160" w:type="dxa"/>
            <w:vAlign w:val="center"/>
          </w:tcPr>
          <w:p w14:paraId="663AE78B" w14:textId="1F0473BF"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2"/>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2"/>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2"/>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097911" w:rsidRPr="000C77A2" w14:paraId="3500D4AC" w14:textId="77777777" w:rsidTr="00C66EC7">
        <w:tc>
          <w:tcPr>
            <w:tcW w:w="4678" w:type="dxa"/>
          </w:tcPr>
          <w:p w14:paraId="1113BCFC" w14:textId="77777777" w:rsidR="00097911" w:rsidRPr="000C77A2" w:rsidRDefault="00097911" w:rsidP="00097911">
            <w:pPr>
              <w:keepNext/>
              <w:jc w:val="left"/>
              <w:rPr>
                <w:rFonts w:ascii="Arial Narrow" w:eastAsiaTheme="majorEastAsia" w:hAnsi="Arial Narrow" w:cstheme="majorBidi"/>
                <w:bCs/>
                <w:sz w:val="20"/>
              </w:rPr>
            </w:pPr>
            <w:r w:rsidRPr="000C77A2">
              <w:rPr>
                <w:rFonts w:ascii="Arial Narrow" w:eastAsiaTheme="majorEastAsia" w:hAnsi="Arial Narrow" w:cstheme="majorBidi"/>
                <w:bCs/>
                <w:sz w:val="20"/>
              </w:rPr>
              <w:t>Exclude terminal care costs</w:t>
            </w:r>
          </w:p>
        </w:tc>
        <w:tc>
          <w:tcPr>
            <w:tcW w:w="1475" w:type="dxa"/>
            <w:tcBorders>
              <w:bottom w:val="single" w:sz="4" w:space="0" w:color="auto"/>
            </w:tcBorders>
            <w:shd w:val="solid" w:color="000000" w:fill="000000"/>
            <w:vAlign w:val="center"/>
          </w:tcPr>
          <w:p w14:paraId="3D45CC9D" w14:textId="2E8D329B"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bCs/>
                <w:color w:val="000000"/>
                <w:sz w:val="20"/>
                <w14:textFill>
                  <w14:solidFill>
                    <w14:srgbClr w14:val="000000">
                      <w14:alpha w14:val="100000"/>
                    </w14:srgbClr>
                  </w14:solidFill>
                </w14:textFill>
              </w:rPr>
              <w:t>|</w:t>
            </w:r>
          </w:p>
        </w:tc>
        <w:tc>
          <w:tcPr>
            <w:tcW w:w="1650" w:type="dxa"/>
            <w:vAlign w:val="center"/>
          </w:tcPr>
          <w:p w14:paraId="39C77E4C" w14:textId="77777777" w:rsidR="00097911" w:rsidRPr="000C77A2" w:rsidRDefault="00097911" w:rsidP="00560AEC">
            <w:pPr>
              <w:keepNext/>
              <w:jc w:val="center"/>
              <w:rPr>
                <w:rFonts w:ascii="Arial Narrow" w:eastAsiaTheme="majorEastAsia" w:hAnsi="Arial Narrow" w:cstheme="majorBidi"/>
                <w:bCs/>
                <w:sz w:val="20"/>
              </w:rPr>
            </w:pPr>
            <w:r w:rsidRPr="000C77A2">
              <w:rPr>
                <w:rFonts w:ascii="Arial Narrow" w:eastAsiaTheme="majorEastAsia" w:hAnsi="Arial Narrow" w:cstheme="majorBidi"/>
                <w:bCs/>
                <w:sz w:val="20"/>
              </w:rPr>
              <w:t>1.7879</w:t>
            </w:r>
          </w:p>
        </w:tc>
        <w:tc>
          <w:tcPr>
            <w:tcW w:w="1160" w:type="dxa"/>
            <w:vAlign w:val="center"/>
          </w:tcPr>
          <w:p w14:paraId="35450C97" w14:textId="211A4713" w:rsidR="00097911" w:rsidRPr="00560AEC" w:rsidRDefault="00C66EC7" w:rsidP="00560AEC">
            <w:pPr>
              <w:keepNext/>
              <w:jc w:val="center"/>
              <w:rPr>
                <w:rFonts w:ascii="Arial Narrow" w:eastAsiaTheme="majorEastAsia" w:hAnsi="Arial Narrow" w:cstheme="majorBidi"/>
                <w:bCs/>
                <w:sz w:val="20"/>
                <w:highlight w:val="lightGray"/>
              </w:rPr>
            </w:pPr>
            <w:r w:rsidRPr="00C66EC7">
              <w:rPr>
                <w:rFonts w:ascii="Arial Narrow" w:eastAsiaTheme="majorEastAsia" w:hAnsi="Arial Narrow" w:cstheme="majorBidi" w:hint="eastAsia"/>
                <w:bCs/>
                <w:color w:val="000000"/>
                <w:w w:val="23"/>
                <w:sz w:val="20"/>
                <w:shd w:val="solid" w:color="000000" w:fill="000000"/>
                <w:fitText w:val="105" w:id="-962355191"/>
                <w14:textFill>
                  <w14:solidFill>
                    <w14:srgbClr w14:val="000000">
                      <w14:alpha w14:val="100000"/>
                    </w14:srgbClr>
                  </w14:solidFill>
                </w14:textFill>
              </w:rPr>
              <w:t xml:space="preserve">　</w:t>
            </w:r>
            <w:r w:rsidRPr="00C66EC7">
              <w:rPr>
                <w:rFonts w:ascii="Arial Narrow" w:eastAsiaTheme="majorEastAsia" w:hAnsi="Arial Narrow" w:cstheme="majorBidi"/>
                <w:bCs/>
                <w:color w:val="000000"/>
                <w:w w:val="23"/>
                <w:sz w:val="20"/>
                <w:shd w:val="solid" w:color="000000" w:fill="000000"/>
                <w:fitText w:val="105" w:id="-962355191"/>
                <w14:textFill>
                  <w14:solidFill>
                    <w14:srgbClr w14:val="000000">
                      <w14:alpha w14:val="100000"/>
                    </w14:srgbClr>
                  </w14:solidFill>
                </w14:textFill>
              </w:rPr>
              <w:t>|</w:t>
            </w:r>
            <w:r w:rsidRPr="00C66EC7">
              <w:rPr>
                <w:rFonts w:ascii="Arial Narrow" w:eastAsiaTheme="majorEastAsia" w:hAnsi="Arial Narrow" w:cstheme="majorBidi" w:hint="eastAsia"/>
                <w:bCs/>
                <w:color w:val="000000"/>
                <w:spacing w:val="4"/>
                <w:w w:val="23"/>
                <w:sz w:val="20"/>
                <w:shd w:val="solid" w:color="000000" w:fill="000000"/>
                <w:fitText w:val="105" w:id="-962355191"/>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097911" w:rsidRPr="000C77A2" w14:paraId="7540BB9A" w14:textId="77777777" w:rsidTr="00C66EC7">
        <w:trPr>
          <w:trHeight w:val="70"/>
        </w:trPr>
        <w:tc>
          <w:tcPr>
            <w:tcW w:w="4678" w:type="dxa"/>
          </w:tcPr>
          <w:p w14:paraId="7BEB9FD3"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Other minor model updates/changes </w:t>
            </w:r>
            <w:r w:rsidRPr="000C77A2">
              <w:rPr>
                <w:rFonts w:ascii="Arial Narrow" w:eastAsiaTheme="majorEastAsia" w:hAnsi="Arial Narrow" w:cstheme="majorBidi"/>
                <w:b/>
                <w:sz w:val="20"/>
                <w:vertAlign w:val="superscript"/>
              </w:rPr>
              <w:t>b</w:t>
            </w:r>
          </w:p>
          <w:p w14:paraId="195F5D96"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(resubmission base case)</w:t>
            </w:r>
          </w:p>
        </w:tc>
        <w:tc>
          <w:tcPr>
            <w:tcW w:w="1475" w:type="dxa"/>
            <w:tcBorders>
              <w:bottom w:val="single" w:sz="4" w:space="0" w:color="auto"/>
            </w:tcBorders>
            <w:shd w:val="solid" w:color="000000" w:fill="000000"/>
            <w:vAlign w:val="center"/>
          </w:tcPr>
          <w:p w14:paraId="7A9607C0" w14:textId="4F5AA128" w:rsidR="00097911" w:rsidRPr="00560AEC" w:rsidRDefault="00C66EC7" w:rsidP="00560AEC">
            <w:pPr>
              <w:keepNext/>
              <w:jc w:val="center"/>
              <w:rPr>
                <w:rFonts w:ascii="Arial Narrow" w:eastAsiaTheme="majorEastAsia" w:hAnsi="Arial Narrow" w:cstheme="majorBidi"/>
                <w:b/>
                <w:sz w:val="20"/>
                <w:highlight w:val="lightGray"/>
              </w:rPr>
            </w:pPr>
            <w:r w:rsidRPr="00C66EC7">
              <w:rPr>
                <w:rFonts w:ascii="Arial Narrow" w:eastAsiaTheme="majorEastAsia" w:hAnsi="Arial Narrow" w:cstheme="majorBidi"/>
                <w:b/>
                <w:color w:val="000000"/>
                <w:sz w:val="20"/>
                <w14:textFill>
                  <w14:solidFill>
                    <w14:srgbClr w14:val="000000">
                      <w14:alpha w14:val="100000"/>
                    </w14:srgbClr>
                  </w14:solidFill>
                </w14:textFill>
              </w:rPr>
              <w:t>|</w:t>
            </w:r>
          </w:p>
        </w:tc>
        <w:tc>
          <w:tcPr>
            <w:tcW w:w="1650" w:type="dxa"/>
            <w:vAlign w:val="center"/>
          </w:tcPr>
          <w:p w14:paraId="68B43CCB" w14:textId="77777777" w:rsidR="00097911" w:rsidRPr="000C77A2" w:rsidRDefault="00097911" w:rsidP="00560AEC">
            <w:pPr>
              <w:keepNext/>
              <w:jc w:val="center"/>
              <w:rPr>
                <w:rFonts w:ascii="Arial Narrow" w:eastAsiaTheme="majorEastAsia" w:hAnsi="Arial Narrow" w:cstheme="majorBidi"/>
                <w:b/>
                <w:sz w:val="20"/>
              </w:rPr>
            </w:pPr>
            <w:r w:rsidRPr="000C77A2">
              <w:rPr>
                <w:rFonts w:ascii="Arial Narrow" w:eastAsiaTheme="majorEastAsia" w:hAnsi="Arial Narrow" w:cstheme="majorBidi"/>
                <w:b/>
                <w:sz w:val="20"/>
              </w:rPr>
              <w:t>1.8773</w:t>
            </w:r>
          </w:p>
        </w:tc>
        <w:tc>
          <w:tcPr>
            <w:tcW w:w="1160" w:type="dxa"/>
            <w:vAlign w:val="center"/>
          </w:tcPr>
          <w:p w14:paraId="658D3540" w14:textId="03CA65D8" w:rsidR="00097911" w:rsidRPr="00560AEC" w:rsidRDefault="00C66EC7" w:rsidP="00560AEC">
            <w:pPr>
              <w:keepNext/>
              <w:jc w:val="center"/>
              <w:rPr>
                <w:rFonts w:ascii="Arial Narrow" w:eastAsiaTheme="majorEastAsia" w:hAnsi="Arial Narrow" w:cstheme="majorBidi"/>
                <w:b/>
                <w:sz w:val="20"/>
                <w:highlight w:val="lightGray"/>
              </w:rPr>
            </w:pPr>
            <w:r w:rsidRPr="00C66EC7">
              <w:rPr>
                <w:rFonts w:ascii="Arial Narrow" w:eastAsiaTheme="majorEastAsia" w:hAnsi="Arial Narrow" w:cstheme="majorBidi" w:hint="eastAsia"/>
                <w:b/>
                <w:color w:val="000000"/>
                <w:w w:val="30"/>
                <w:sz w:val="20"/>
                <w:shd w:val="solid" w:color="000000" w:fill="000000"/>
                <w:fitText w:val="135" w:id="-962355190"/>
                <w14:textFill>
                  <w14:solidFill>
                    <w14:srgbClr w14:val="000000">
                      <w14:alpha w14:val="100000"/>
                    </w14:srgbClr>
                  </w14:solidFill>
                </w14:textFill>
              </w:rPr>
              <w:t xml:space="preserve">　</w:t>
            </w:r>
            <w:r w:rsidRPr="00C66EC7">
              <w:rPr>
                <w:rFonts w:ascii="Arial Narrow" w:eastAsiaTheme="majorEastAsia" w:hAnsi="Arial Narrow" w:cstheme="majorBidi"/>
                <w:b/>
                <w:color w:val="000000"/>
                <w:w w:val="30"/>
                <w:sz w:val="20"/>
                <w:shd w:val="solid" w:color="000000" w:fill="000000"/>
                <w:fitText w:val="135" w:id="-962355190"/>
                <w14:textFill>
                  <w14:solidFill>
                    <w14:srgbClr w14:val="000000">
                      <w14:alpha w14:val="100000"/>
                    </w14:srgbClr>
                  </w14:solidFill>
                </w14:textFill>
              </w:rPr>
              <w:t>|</w:t>
            </w:r>
            <w:r w:rsidRPr="00C66EC7">
              <w:rPr>
                <w:rFonts w:ascii="Arial Narrow" w:eastAsiaTheme="majorEastAsia" w:hAnsi="Arial Narrow" w:cstheme="majorBidi" w:hint="eastAsia"/>
                <w:b/>
                <w:color w:val="000000"/>
                <w:spacing w:val="2"/>
                <w:w w:val="30"/>
                <w:sz w:val="20"/>
                <w:shd w:val="solid" w:color="000000" w:fill="000000"/>
                <w:fitText w:val="135" w:id="-962355190"/>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5B0B92" w:rsidRPr="000C77A2" w14:paraId="7AD529F0" w14:textId="77777777" w:rsidTr="00C66EC7">
        <w:trPr>
          <w:trHeight w:val="70"/>
        </w:trPr>
        <w:tc>
          <w:tcPr>
            <w:tcW w:w="4678" w:type="dxa"/>
          </w:tcPr>
          <w:p w14:paraId="18DBE7CC" w14:textId="6ADC8BB1" w:rsidR="005B0B92" w:rsidRPr="000C77A2" w:rsidRDefault="006C77BE"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Base case including model corrections by evaluators</w:t>
            </w:r>
          </w:p>
        </w:tc>
        <w:tc>
          <w:tcPr>
            <w:tcW w:w="1475" w:type="dxa"/>
            <w:shd w:val="solid" w:color="000000" w:fill="000000"/>
            <w:vAlign w:val="center"/>
          </w:tcPr>
          <w:p w14:paraId="4758468A" w14:textId="63ECFA08" w:rsidR="005B0B92" w:rsidRPr="00560AEC" w:rsidRDefault="00C66EC7" w:rsidP="00560AEC">
            <w:pPr>
              <w:keepNext/>
              <w:jc w:val="center"/>
              <w:rPr>
                <w:rFonts w:ascii="Arial Narrow" w:eastAsiaTheme="majorEastAsia" w:hAnsi="Arial Narrow" w:cstheme="majorBidi"/>
                <w:b/>
                <w:sz w:val="20"/>
                <w:highlight w:val="lightGray"/>
              </w:rPr>
            </w:pPr>
            <w:r w:rsidRPr="00C66EC7">
              <w:rPr>
                <w:rFonts w:ascii="Arial Narrow" w:eastAsiaTheme="majorEastAsia" w:hAnsi="Arial Narrow" w:cstheme="majorBidi"/>
                <w:b/>
                <w:color w:val="000000"/>
                <w:sz w:val="20"/>
                <w14:textFill>
                  <w14:solidFill>
                    <w14:srgbClr w14:val="000000">
                      <w14:alpha w14:val="100000"/>
                    </w14:srgbClr>
                  </w14:solidFill>
                </w14:textFill>
              </w:rPr>
              <w:t>|</w:t>
            </w:r>
          </w:p>
        </w:tc>
        <w:tc>
          <w:tcPr>
            <w:tcW w:w="1650" w:type="dxa"/>
            <w:vAlign w:val="center"/>
          </w:tcPr>
          <w:p w14:paraId="2096F646" w14:textId="47441931" w:rsidR="005B0B92" w:rsidRPr="000C77A2" w:rsidRDefault="006C77BE" w:rsidP="00560AEC">
            <w:pPr>
              <w:keepNext/>
              <w:jc w:val="center"/>
              <w:rPr>
                <w:rFonts w:ascii="Arial Narrow" w:eastAsiaTheme="majorEastAsia" w:hAnsi="Arial Narrow" w:cstheme="majorBidi"/>
                <w:b/>
                <w:sz w:val="20"/>
              </w:rPr>
            </w:pPr>
            <w:r w:rsidRPr="00576FA3">
              <w:rPr>
                <w:rFonts w:ascii="Arial Narrow" w:eastAsiaTheme="majorEastAsia" w:hAnsi="Arial Narrow" w:cs="Calibri"/>
                <w:b/>
                <w:color w:val="000000"/>
                <w:sz w:val="20"/>
              </w:rPr>
              <w:t>1.8</w:t>
            </w:r>
            <w:r w:rsidR="00AA08E6" w:rsidRPr="00576FA3">
              <w:rPr>
                <w:rFonts w:ascii="Arial Narrow" w:eastAsiaTheme="majorEastAsia" w:hAnsi="Arial Narrow" w:cs="Calibri"/>
                <w:b/>
                <w:color w:val="000000"/>
                <w:sz w:val="20"/>
              </w:rPr>
              <w:t>773</w:t>
            </w:r>
          </w:p>
        </w:tc>
        <w:tc>
          <w:tcPr>
            <w:tcW w:w="1160" w:type="dxa"/>
            <w:vAlign w:val="center"/>
          </w:tcPr>
          <w:p w14:paraId="5A72A29C" w14:textId="3BB6E0DF" w:rsidR="005B0B92" w:rsidRPr="00560AEC" w:rsidRDefault="00C66EC7" w:rsidP="00560AEC">
            <w:pPr>
              <w:keepNext/>
              <w:jc w:val="center"/>
              <w:rPr>
                <w:rFonts w:ascii="Arial Narrow" w:eastAsiaTheme="majorEastAsia" w:hAnsi="Arial Narrow" w:cstheme="majorBidi"/>
                <w:b/>
                <w:sz w:val="20"/>
                <w:highlight w:val="lightGray"/>
              </w:rPr>
            </w:pPr>
            <w:r w:rsidRPr="00C66EC7">
              <w:rPr>
                <w:rFonts w:ascii="Arial Narrow" w:eastAsiaTheme="majorEastAsia" w:hAnsi="Arial Narrow" w:cstheme="majorBidi" w:hint="eastAsia"/>
                <w:b/>
                <w:color w:val="000000"/>
                <w:w w:val="30"/>
                <w:sz w:val="20"/>
                <w:shd w:val="solid" w:color="000000" w:fill="000000"/>
                <w:fitText w:val="135" w:id="-962355189"/>
                <w14:textFill>
                  <w14:solidFill>
                    <w14:srgbClr w14:val="000000">
                      <w14:alpha w14:val="100000"/>
                    </w14:srgbClr>
                  </w14:solidFill>
                </w14:textFill>
              </w:rPr>
              <w:t xml:space="preserve">　</w:t>
            </w:r>
            <w:r w:rsidRPr="00C66EC7">
              <w:rPr>
                <w:rFonts w:ascii="Arial Narrow" w:eastAsiaTheme="majorEastAsia" w:hAnsi="Arial Narrow" w:cstheme="majorBidi"/>
                <w:b/>
                <w:color w:val="000000"/>
                <w:w w:val="30"/>
                <w:sz w:val="20"/>
                <w:shd w:val="solid" w:color="000000" w:fill="000000"/>
                <w:fitText w:val="135" w:id="-962355189"/>
                <w14:textFill>
                  <w14:solidFill>
                    <w14:srgbClr w14:val="000000">
                      <w14:alpha w14:val="100000"/>
                    </w14:srgbClr>
                  </w14:solidFill>
                </w14:textFill>
              </w:rPr>
              <w:t>|</w:t>
            </w:r>
            <w:r w:rsidRPr="00C66EC7">
              <w:rPr>
                <w:rFonts w:ascii="Arial Narrow" w:eastAsiaTheme="majorEastAsia" w:hAnsi="Arial Narrow" w:cstheme="majorBidi" w:hint="eastAsia"/>
                <w:b/>
                <w:color w:val="000000"/>
                <w:spacing w:val="2"/>
                <w:w w:val="30"/>
                <w:sz w:val="20"/>
                <w:shd w:val="solid" w:color="000000" w:fill="000000"/>
                <w:fitText w:val="135" w:id="-962355189"/>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bl>
    <w:p w14:paraId="4F69FD9A" w14:textId="77777777" w:rsidR="00097911" w:rsidRPr="000C77A2" w:rsidRDefault="00097911" w:rsidP="00560AEC">
      <w:pPr>
        <w:keepNext/>
        <w:rPr>
          <w:rFonts w:ascii="Arial Narrow" w:hAnsi="Arial Narrow"/>
          <w:sz w:val="18"/>
        </w:rPr>
      </w:pPr>
      <w:r w:rsidRPr="000C77A2">
        <w:rPr>
          <w:rFonts w:ascii="Arial Narrow" w:hAnsi="Arial Narrow"/>
          <w:sz w:val="18"/>
        </w:rPr>
        <w:t>Source: constructed from the “Attachment 3.1 – Section 3 Workbook – cost effectiveness model” workbook provided in the resubmission (November 2023) and the “A3.1+Larotrectinib_PBACMSAC_CEA_June21_resub_6June21” workbook provided with the previous submission (November 2021)</w:t>
      </w:r>
    </w:p>
    <w:p w14:paraId="3032E41F" w14:textId="77777777" w:rsidR="00097911" w:rsidRPr="000C77A2" w:rsidRDefault="00097911" w:rsidP="00560AEC">
      <w:pPr>
        <w:keepNext/>
        <w:rPr>
          <w:rFonts w:ascii="Arial Narrow" w:hAnsi="Arial Narrow"/>
          <w:sz w:val="18"/>
        </w:rPr>
      </w:pPr>
      <w:proofErr w:type="spellStart"/>
      <w:r w:rsidRPr="000C77A2">
        <w:rPr>
          <w:rFonts w:ascii="Arial Narrow" w:hAnsi="Arial Narrow"/>
          <w:sz w:val="18"/>
          <w:vertAlign w:val="superscript"/>
        </w:rPr>
        <w:t>a</w:t>
      </w:r>
      <w:proofErr w:type="spellEnd"/>
      <w:r w:rsidRPr="000C77A2">
        <w:rPr>
          <w:rFonts w:ascii="Arial Narrow" w:hAnsi="Arial Narrow"/>
          <w:sz w:val="18"/>
        </w:rPr>
        <w:t xml:space="preserve"> The dose was updated to 200 mg (compared to 188.6 mg used previously); the dispensing fees was updated as the resubmission proposed a general schedule listing as opposed to a s100 listing in the previous submission. </w:t>
      </w:r>
    </w:p>
    <w:p w14:paraId="2B6657AC" w14:textId="6B912AC8" w:rsidR="00097911" w:rsidRPr="000C77A2" w:rsidRDefault="00097911" w:rsidP="00560AEC">
      <w:pPr>
        <w:keepNext/>
        <w:rPr>
          <w:rFonts w:ascii="Arial Narrow" w:hAnsi="Arial Narrow"/>
          <w:sz w:val="18"/>
        </w:rPr>
      </w:pPr>
      <w:r w:rsidRPr="000C77A2">
        <w:rPr>
          <w:rFonts w:ascii="Arial Narrow" w:hAnsi="Arial Narrow"/>
          <w:sz w:val="18"/>
          <w:vertAlign w:val="superscript"/>
        </w:rPr>
        <w:t xml:space="preserve">b </w:t>
      </w:r>
      <w:r w:rsidRPr="000C77A2">
        <w:rPr>
          <w:rFonts w:ascii="Arial Narrow" w:hAnsi="Arial Narrow"/>
          <w:sz w:val="18"/>
        </w:rPr>
        <w:t xml:space="preserve">Other minor model updates/changes included: the exclusion of costs and outcomes associated with </w:t>
      </w:r>
      <w:r w:rsidR="007F0A22" w:rsidRPr="000C77A2">
        <w:rPr>
          <w:rFonts w:ascii="Arial Narrow" w:hAnsi="Arial Narrow"/>
          <w:sz w:val="18"/>
        </w:rPr>
        <w:t>A</w:t>
      </w:r>
      <w:r w:rsidR="007F0A22">
        <w:rPr>
          <w:rFonts w:ascii="Arial Narrow" w:hAnsi="Arial Narrow"/>
          <w:sz w:val="18"/>
        </w:rPr>
        <w:t>E</w:t>
      </w:r>
      <w:r w:rsidR="007F0A22" w:rsidRPr="000C77A2">
        <w:rPr>
          <w:rFonts w:ascii="Arial Narrow" w:hAnsi="Arial Narrow"/>
          <w:sz w:val="18"/>
        </w:rPr>
        <w:t>s</w:t>
      </w:r>
      <w:r w:rsidRPr="000C77A2">
        <w:rPr>
          <w:rFonts w:ascii="Arial Narrow" w:hAnsi="Arial Narrow"/>
          <w:sz w:val="18"/>
        </w:rPr>
        <w:t>, updated disease management costs, updated approach to costing subsequent treatment, updated docetaxel cost (and approach – weekly cost applied, rather than every third cycle), updated number of cycles in which initial larotrectinib script cost applies (12 from 14 previously) and updated application of discounting (applied per whole year, rather than partial year)</w:t>
      </w:r>
    </w:p>
    <w:p w14:paraId="4ADD9191" w14:textId="77777777" w:rsidR="001117A5" w:rsidRPr="00560AEC" w:rsidRDefault="001117A5" w:rsidP="00560AEC">
      <w:pPr>
        <w:keepNext/>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31263993" w14:textId="6F45E34F" w:rsidR="001117A5" w:rsidRPr="00560AEC" w:rsidRDefault="001117A5" w:rsidP="00560AEC">
      <w:pPr>
        <w:keepNext/>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$95,000 to &lt; $115,000</w:t>
      </w:r>
    </w:p>
    <w:p w14:paraId="227B8456" w14:textId="15680FD4" w:rsidR="001117A5" w:rsidRPr="00560AEC" w:rsidRDefault="001117A5" w:rsidP="00560AEC">
      <w:pPr>
        <w:keepNext/>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$115,000 to &lt; $135,000</w:t>
      </w:r>
    </w:p>
    <w:p w14:paraId="38D2BA80" w14:textId="6A12C6C1" w:rsidR="001117A5" w:rsidRPr="00560AEC" w:rsidRDefault="001117A5" w:rsidP="00560AEC">
      <w:pPr>
        <w:spacing w:after="120"/>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$135,000 to &lt; $155,000</w:t>
      </w:r>
    </w:p>
    <w:p w14:paraId="3DB3399E" w14:textId="00C8B455" w:rsidR="00097911" w:rsidRPr="000C77A2" w:rsidRDefault="00097911" w:rsidP="007F0A22">
      <w:pPr>
        <w:keepNext/>
        <w:keepLines/>
        <w:rPr>
          <w:rFonts w:ascii="Arial Narrow" w:hAnsi="Arial Narrow"/>
          <w:b/>
          <w:bCs/>
          <w:sz w:val="20"/>
          <w:szCs w:val="18"/>
        </w:rPr>
      </w:pPr>
      <w:bookmarkStart w:id="55" w:name="_Ref155626126"/>
      <w:r w:rsidRPr="000C77A2">
        <w:rPr>
          <w:rFonts w:ascii="Arial Narrow" w:hAnsi="Arial Narrow"/>
          <w:b/>
          <w:bCs/>
          <w:sz w:val="20"/>
          <w:szCs w:val="18"/>
        </w:rPr>
        <w:lastRenderedPageBreak/>
        <w:t xml:space="preserve">Table </w:t>
      </w:r>
      <w:r w:rsidRPr="000C77A2">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0C77A2">
        <w:rPr>
          <w:rFonts w:ascii="Arial Narrow" w:hAnsi="Arial Narrow"/>
          <w:b/>
          <w:bCs/>
          <w:sz w:val="20"/>
          <w:szCs w:val="18"/>
        </w:rPr>
        <w:fldChar w:fldCharType="separate"/>
      </w:r>
      <w:r w:rsidR="001B0FE7">
        <w:rPr>
          <w:rFonts w:ascii="Arial Narrow" w:hAnsi="Arial Narrow"/>
          <w:b/>
          <w:bCs/>
          <w:noProof/>
          <w:sz w:val="20"/>
          <w:szCs w:val="18"/>
        </w:rPr>
        <w:t>20</w:t>
      </w:r>
      <w:r w:rsidRPr="000C77A2">
        <w:rPr>
          <w:rFonts w:ascii="Arial Narrow" w:hAnsi="Arial Narrow"/>
          <w:b/>
          <w:bCs/>
          <w:sz w:val="20"/>
          <w:szCs w:val="18"/>
        </w:rPr>
        <w:fldChar w:fldCharType="end"/>
      </w:r>
      <w:bookmarkEnd w:id="55"/>
      <w:r w:rsidRPr="000C77A2">
        <w:rPr>
          <w:rFonts w:ascii="Arial Narrow" w:hAnsi="Arial Narrow"/>
          <w:b/>
          <w:bCs/>
          <w:sz w:val="20"/>
          <w:szCs w:val="18"/>
        </w:rPr>
        <w:t>: Stepped incorporation of changes from the previous submission (STS)</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Stepped incorporation of changes from the previous submission (STS)"/>
      </w:tblPr>
      <w:tblGrid>
        <w:gridCol w:w="4678"/>
        <w:gridCol w:w="1443"/>
        <w:gridCol w:w="1667"/>
        <w:gridCol w:w="1175"/>
      </w:tblGrid>
      <w:tr w:rsidR="00097911" w:rsidRPr="000C77A2" w14:paraId="16B638DA" w14:textId="77777777" w:rsidTr="00C66EC7">
        <w:trPr>
          <w:tblHeader/>
        </w:trPr>
        <w:tc>
          <w:tcPr>
            <w:tcW w:w="4678" w:type="dxa"/>
            <w:vAlign w:val="center"/>
          </w:tcPr>
          <w:p w14:paraId="1FB6477B" w14:textId="77777777" w:rsidR="00097911" w:rsidRPr="00576FA3" w:rsidRDefault="00097911" w:rsidP="00EB4A10">
            <w:pPr>
              <w:keepNext/>
              <w:jc w:val="left"/>
              <w:rPr>
                <w:rFonts w:ascii="Arial Narrow" w:hAnsi="Arial Narrow" w:cs="Times New Roman"/>
                <w:b/>
                <w:sz w:val="20"/>
              </w:rPr>
            </w:pPr>
            <w:r w:rsidRPr="00576FA3">
              <w:rPr>
                <w:rFonts w:ascii="Arial Narrow" w:hAnsi="Arial Narrow" w:cs="Times New Roman"/>
                <w:b/>
                <w:sz w:val="20"/>
              </w:rPr>
              <w:t>Analyses</w:t>
            </w:r>
          </w:p>
        </w:tc>
        <w:tc>
          <w:tcPr>
            <w:tcW w:w="1443" w:type="dxa"/>
            <w:tcBorders>
              <w:bottom w:val="single" w:sz="4" w:space="0" w:color="auto"/>
            </w:tcBorders>
            <w:vAlign w:val="center"/>
          </w:tcPr>
          <w:p w14:paraId="2EE0EE6F" w14:textId="34E97766" w:rsidR="00097911" w:rsidRPr="00576FA3" w:rsidRDefault="00097911" w:rsidP="00EB4A10">
            <w:pPr>
              <w:keepNext/>
              <w:jc w:val="center"/>
              <w:rPr>
                <w:rFonts w:ascii="Arial Narrow" w:hAnsi="Arial Narrow" w:cs="Times New Roman"/>
                <w:b/>
                <w:sz w:val="20"/>
              </w:rPr>
            </w:pPr>
            <w:r w:rsidRPr="00576FA3">
              <w:rPr>
                <w:rFonts w:ascii="Arial Narrow" w:hAnsi="Arial Narrow" w:cs="Times New Roman"/>
                <w:b/>
                <w:sz w:val="20"/>
              </w:rPr>
              <w:t>Incremental cost</w:t>
            </w:r>
            <w:r w:rsidR="00400B9F">
              <w:rPr>
                <w:rFonts w:ascii="Arial Narrow" w:hAnsi="Arial Narrow" w:cs="Times New Roman"/>
                <w:b/>
                <w:sz w:val="20"/>
              </w:rPr>
              <w:t xml:space="preserve"> ($)</w:t>
            </w:r>
          </w:p>
        </w:tc>
        <w:tc>
          <w:tcPr>
            <w:tcW w:w="1667" w:type="dxa"/>
            <w:vAlign w:val="center"/>
          </w:tcPr>
          <w:p w14:paraId="0627ED5F" w14:textId="77777777" w:rsidR="00097911" w:rsidRPr="00576FA3" w:rsidRDefault="00097911" w:rsidP="00EB4A10">
            <w:pPr>
              <w:keepNext/>
              <w:jc w:val="center"/>
              <w:rPr>
                <w:rFonts w:ascii="Arial Narrow" w:hAnsi="Arial Narrow" w:cs="Times New Roman"/>
                <w:b/>
                <w:sz w:val="20"/>
              </w:rPr>
            </w:pPr>
            <w:r w:rsidRPr="00576FA3">
              <w:rPr>
                <w:rFonts w:ascii="Arial Narrow" w:hAnsi="Arial Narrow" w:cs="Times New Roman"/>
                <w:b/>
                <w:sz w:val="20"/>
              </w:rPr>
              <w:t>Incremental QALY</w:t>
            </w:r>
          </w:p>
        </w:tc>
        <w:tc>
          <w:tcPr>
            <w:tcW w:w="1175" w:type="dxa"/>
            <w:vAlign w:val="center"/>
          </w:tcPr>
          <w:p w14:paraId="44CA0F35" w14:textId="3829B55B" w:rsidR="00097911" w:rsidRPr="00576FA3" w:rsidRDefault="00097911" w:rsidP="00EB4A10">
            <w:pPr>
              <w:keepNext/>
              <w:jc w:val="center"/>
              <w:rPr>
                <w:rFonts w:ascii="Arial Narrow" w:hAnsi="Arial Narrow" w:cs="Times New Roman"/>
                <w:b/>
                <w:sz w:val="20"/>
              </w:rPr>
            </w:pPr>
            <w:r w:rsidRPr="00576FA3">
              <w:rPr>
                <w:rFonts w:ascii="Arial Narrow" w:hAnsi="Arial Narrow" w:cs="Times New Roman"/>
                <w:b/>
                <w:sz w:val="20"/>
              </w:rPr>
              <w:t>ICER</w:t>
            </w:r>
            <w:r w:rsidR="00400B9F">
              <w:rPr>
                <w:rFonts w:ascii="Arial Narrow" w:hAnsi="Arial Narrow" w:cs="Times New Roman"/>
                <w:b/>
                <w:sz w:val="20"/>
              </w:rPr>
              <w:t xml:space="preserve"> ($)</w:t>
            </w:r>
          </w:p>
        </w:tc>
      </w:tr>
      <w:tr w:rsidR="00097911" w:rsidRPr="000C77A2" w14:paraId="3A06C5C6" w14:textId="77777777" w:rsidTr="00C66EC7">
        <w:tc>
          <w:tcPr>
            <w:tcW w:w="4678" w:type="dxa"/>
          </w:tcPr>
          <w:p w14:paraId="67AFB971" w14:textId="77777777" w:rsidR="00097911" w:rsidRPr="000C77A2" w:rsidRDefault="00097911" w:rsidP="007F0A22">
            <w:pPr>
              <w:keepNext/>
              <w:jc w:val="left"/>
              <w:rPr>
                <w:rFonts w:ascii="Arial Narrow" w:hAnsi="Arial Narrow" w:cs="Times New Roman"/>
                <w:b/>
                <w:sz w:val="20"/>
              </w:rPr>
            </w:pPr>
            <w:r w:rsidRPr="000C77A2">
              <w:rPr>
                <w:rFonts w:ascii="Arial Narrow" w:hAnsi="Arial Narrow" w:cs="Times New Roman"/>
                <w:b/>
                <w:sz w:val="20"/>
              </w:rPr>
              <w:t>Previous submission subgroup base case ICER (revised)</w:t>
            </w:r>
          </w:p>
        </w:tc>
        <w:tc>
          <w:tcPr>
            <w:tcW w:w="1443" w:type="dxa"/>
            <w:tcBorders>
              <w:bottom w:val="single" w:sz="4" w:space="0" w:color="auto"/>
            </w:tcBorders>
            <w:shd w:val="solid" w:color="000000" w:fill="000000"/>
            <w:vAlign w:val="center"/>
          </w:tcPr>
          <w:p w14:paraId="5B6A115F" w14:textId="7C83F353" w:rsidR="00097911" w:rsidRPr="00560AEC" w:rsidRDefault="00C66EC7" w:rsidP="00560AEC">
            <w:pPr>
              <w:keepNext/>
              <w:jc w:val="center"/>
              <w:rPr>
                <w:rFonts w:ascii="Arial Narrow" w:hAnsi="Arial Narrow" w:cs="Times New Roman"/>
                <w:b/>
                <w:sz w:val="20"/>
                <w:highlight w:val="lightGray"/>
              </w:rPr>
            </w:pPr>
            <w:r w:rsidRPr="00C66EC7">
              <w:rPr>
                <w:rFonts w:ascii="Arial Narrow" w:hAnsi="Arial Narrow" w:cs="Times New Roman"/>
                <w:b/>
                <w:color w:val="000000"/>
                <w:sz w:val="20"/>
                <w14:textFill>
                  <w14:solidFill>
                    <w14:srgbClr w14:val="000000">
                      <w14:alpha w14:val="100000"/>
                    </w14:srgbClr>
                  </w14:solidFill>
                </w14:textFill>
              </w:rPr>
              <w:t>|</w:t>
            </w:r>
          </w:p>
        </w:tc>
        <w:tc>
          <w:tcPr>
            <w:tcW w:w="1667" w:type="dxa"/>
            <w:vAlign w:val="center"/>
          </w:tcPr>
          <w:p w14:paraId="0F2943E1" w14:textId="77777777" w:rsidR="00097911" w:rsidRPr="000C77A2" w:rsidRDefault="00097911" w:rsidP="00560AEC">
            <w:pPr>
              <w:keepNext/>
              <w:jc w:val="center"/>
              <w:rPr>
                <w:rFonts w:ascii="Arial Narrow" w:hAnsi="Arial Narrow" w:cs="Times New Roman"/>
                <w:b/>
                <w:sz w:val="20"/>
              </w:rPr>
            </w:pPr>
            <w:r w:rsidRPr="000C77A2">
              <w:rPr>
                <w:rFonts w:ascii="Arial Narrow" w:hAnsi="Arial Narrow" w:cs="Times New Roman"/>
                <w:b/>
                <w:sz w:val="20"/>
              </w:rPr>
              <w:t>0.0373</w:t>
            </w:r>
          </w:p>
        </w:tc>
        <w:tc>
          <w:tcPr>
            <w:tcW w:w="1175" w:type="dxa"/>
            <w:vAlign w:val="center"/>
          </w:tcPr>
          <w:p w14:paraId="3D1DC476" w14:textId="5D14C12A" w:rsidR="00097911" w:rsidRPr="00560AEC" w:rsidRDefault="00C66EC7" w:rsidP="00560AEC">
            <w:pPr>
              <w:keepNext/>
              <w:jc w:val="center"/>
              <w:rPr>
                <w:rFonts w:ascii="Arial Narrow" w:hAnsi="Arial Narrow" w:cs="Times New Roman"/>
                <w:b/>
                <w:sz w:val="20"/>
                <w:highlight w:val="lightGray"/>
              </w:rPr>
            </w:pPr>
            <w:r w:rsidRPr="00C66EC7">
              <w:rPr>
                <w:rFonts w:ascii="Arial Narrow" w:hAnsi="Arial Narrow" w:cs="Times New Roman" w:hint="eastAsia"/>
                <w:b/>
                <w:color w:val="000000"/>
                <w:w w:val="33"/>
                <w:sz w:val="20"/>
                <w:shd w:val="solid" w:color="000000" w:fill="000000"/>
                <w:fitText w:val="150" w:id="-962355188"/>
                <w14:textFill>
                  <w14:solidFill>
                    <w14:srgbClr w14:val="000000">
                      <w14:alpha w14:val="100000"/>
                    </w14:srgbClr>
                  </w14:solidFill>
                </w14:textFill>
              </w:rPr>
              <w:t xml:space="preserve">　</w:t>
            </w:r>
            <w:r w:rsidRPr="00C66EC7">
              <w:rPr>
                <w:rFonts w:ascii="Arial Narrow" w:hAnsi="Arial Narrow" w:cs="Times New Roman"/>
                <w:b/>
                <w:color w:val="000000"/>
                <w:w w:val="33"/>
                <w:sz w:val="20"/>
                <w:shd w:val="solid" w:color="000000" w:fill="000000"/>
                <w:fitText w:val="150" w:id="-962355188"/>
                <w14:textFill>
                  <w14:solidFill>
                    <w14:srgbClr w14:val="000000">
                      <w14:alpha w14:val="100000"/>
                    </w14:srgbClr>
                  </w14:solidFill>
                </w14:textFill>
              </w:rPr>
              <w:t>|</w:t>
            </w:r>
            <w:r w:rsidRPr="00C66EC7">
              <w:rPr>
                <w:rFonts w:ascii="Arial Narrow" w:hAnsi="Arial Narrow" w:cs="Times New Roman" w:hint="eastAsia"/>
                <w:b/>
                <w:color w:val="000000"/>
                <w:spacing w:val="3"/>
                <w:w w:val="33"/>
                <w:sz w:val="20"/>
                <w:shd w:val="solid" w:color="000000" w:fill="000000"/>
                <w:fitText w:val="150" w:id="-962355188"/>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7889343F" w14:textId="77777777" w:rsidTr="00C66EC7">
        <w:tc>
          <w:tcPr>
            <w:tcW w:w="4678" w:type="dxa"/>
          </w:tcPr>
          <w:p w14:paraId="30DE0DC7"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Adjustment of cycle length for model compatibility</w:t>
            </w:r>
          </w:p>
        </w:tc>
        <w:tc>
          <w:tcPr>
            <w:tcW w:w="1443" w:type="dxa"/>
            <w:tcBorders>
              <w:bottom w:val="single" w:sz="4" w:space="0" w:color="auto"/>
            </w:tcBorders>
            <w:shd w:val="solid" w:color="000000" w:fill="000000"/>
            <w:vAlign w:val="center"/>
          </w:tcPr>
          <w:p w14:paraId="51C364C2" w14:textId="1AECD5AD"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4FFD3BAB"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0.0372</w:t>
            </w:r>
          </w:p>
        </w:tc>
        <w:tc>
          <w:tcPr>
            <w:tcW w:w="1175" w:type="dxa"/>
            <w:vAlign w:val="center"/>
          </w:tcPr>
          <w:p w14:paraId="40E6FD1E" w14:textId="7CA4BD98"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87"/>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87"/>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87"/>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0ADC493B" w14:textId="77777777" w:rsidTr="00C66EC7">
        <w:tc>
          <w:tcPr>
            <w:tcW w:w="4678" w:type="dxa"/>
          </w:tcPr>
          <w:p w14:paraId="42A6589C"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Patients enter model at point of treatment</w:t>
            </w:r>
          </w:p>
        </w:tc>
        <w:tc>
          <w:tcPr>
            <w:tcW w:w="1443" w:type="dxa"/>
            <w:tcBorders>
              <w:bottom w:val="single" w:sz="4" w:space="0" w:color="auto"/>
            </w:tcBorders>
            <w:shd w:val="solid" w:color="000000" w:fill="000000"/>
            <w:vAlign w:val="center"/>
          </w:tcPr>
          <w:p w14:paraId="02A23F1A" w14:textId="57C10751"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255B8789"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3.3248</w:t>
            </w:r>
          </w:p>
        </w:tc>
        <w:tc>
          <w:tcPr>
            <w:tcW w:w="1175" w:type="dxa"/>
            <w:vAlign w:val="center"/>
          </w:tcPr>
          <w:p w14:paraId="436B6A5D" w14:textId="143E83EA"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86"/>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86"/>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86"/>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2CCF1B20" w14:textId="77777777" w:rsidTr="00C66EC7">
        <w:tc>
          <w:tcPr>
            <w:tcW w:w="4678" w:type="dxa"/>
          </w:tcPr>
          <w:p w14:paraId="3FF20EF0"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Exclude cost of testing</w:t>
            </w:r>
          </w:p>
        </w:tc>
        <w:tc>
          <w:tcPr>
            <w:tcW w:w="1443" w:type="dxa"/>
            <w:tcBorders>
              <w:bottom w:val="single" w:sz="4" w:space="0" w:color="auto"/>
            </w:tcBorders>
            <w:shd w:val="solid" w:color="000000" w:fill="000000"/>
            <w:vAlign w:val="center"/>
          </w:tcPr>
          <w:p w14:paraId="4433D0FF" w14:textId="7DBD6462"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12E5AF3D"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3.3248</w:t>
            </w:r>
          </w:p>
        </w:tc>
        <w:tc>
          <w:tcPr>
            <w:tcW w:w="1175" w:type="dxa"/>
            <w:vAlign w:val="center"/>
          </w:tcPr>
          <w:p w14:paraId="10808085" w14:textId="164B1950"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85"/>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85"/>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85"/>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4D5C0F44" w14:textId="77777777" w:rsidTr="00C66EC7">
        <w:tc>
          <w:tcPr>
            <w:tcW w:w="4678" w:type="dxa"/>
          </w:tcPr>
          <w:p w14:paraId="205065EE"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Update data (and SoC cost) used in the model</w:t>
            </w:r>
          </w:p>
        </w:tc>
        <w:tc>
          <w:tcPr>
            <w:tcW w:w="1443" w:type="dxa"/>
            <w:tcBorders>
              <w:bottom w:val="single" w:sz="4" w:space="0" w:color="auto"/>
            </w:tcBorders>
            <w:shd w:val="solid" w:color="000000" w:fill="000000"/>
            <w:vAlign w:val="center"/>
          </w:tcPr>
          <w:p w14:paraId="476323FE" w14:textId="6ED31ED2"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41689A85"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2.7782</w:t>
            </w:r>
          </w:p>
        </w:tc>
        <w:tc>
          <w:tcPr>
            <w:tcW w:w="1175" w:type="dxa"/>
            <w:vAlign w:val="center"/>
          </w:tcPr>
          <w:p w14:paraId="64FCB296" w14:textId="3B0E345A"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84"/>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84"/>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84"/>
                <w14:textFill>
                  <w14:solidFill>
                    <w14:srgbClr w14:val="000000">
                      <w14:alpha w14:val="100000"/>
                    </w14:srgbClr>
                  </w14:solidFill>
                </w14:textFill>
              </w:rPr>
              <w:t xml:space="preserve">　</w:t>
            </w:r>
            <w:r w:rsidR="001117A5" w:rsidRPr="00162C9D">
              <w:rPr>
                <w:rFonts w:ascii="Arial Narrow" w:eastAsiaTheme="majorEastAsia" w:hAnsi="Arial Narrow" w:cstheme="majorBidi"/>
                <w:b/>
                <w:sz w:val="20"/>
                <w:vertAlign w:val="superscript"/>
              </w:rPr>
              <w:t>1</w:t>
            </w:r>
          </w:p>
        </w:tc>
      </w:tr>
      <w:tr w:rsidR="00097911" w:rsidRPr="000C77A2" w14:paraId="6759E68D" w14:textId="77777777" w:rsidTr="00C66EC7">
        <w:tc>
          <w:tcPr>
            <w:tcW w:w="4678" w:type="dxa"/>
          </w:tcPr>
          <w:p w14:paraId="5FC27752"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Update time horizon</w:t>
            </w:r>
          </w:p>
        </w:tc>
        <w:tc>
          <w:tcPr>
            <w:tcW w:w="1443" w:type="dxa"/>
            <w:tcBorders>
              <w:bottom w:val="single" w:sz="4" w:space="0" w:color="auto"/>
            </w:tcBorders>
            <w:shd w:val="solid" w:color="000000" w:fill="000000"/>
            <w:vAlign w:val="center"/>
          </w:tcPr>
          <w:p w14:paraId="426879E7" w14:textId="49BA5B64"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3D196916"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2.2993</w:t>
            </w:r>
          </w:p>
        </w:tc>
        <w:tc>
          <w:tcPr>
            <w:tcW w:w="1175" w:type="dxa"/>
            <w:vAlign w:val="center"/>
          </w:tcPr>
          <w:p w14:paraId="12E1467D" w14:textId="41524902"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200"/>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200"/>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200"/>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2</w:t>
            </w:r>
          </w:p>
        </w:tc>
      </w:tr>
      <w:tr w:rsidR="00097911" w:rsidRPr="000C77A2" w14:paraId="2722B205" w14:textId="77777777" w:rsidTr="00C66EC7">
        <w:tc>
          <w:tcPr>
            <w:tcW w:w="4678" w:type="dxa"/>
          </w:tcPr>
          <w:p w14:paraId="7EEE9173"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Update utility values</w:t>
            </w:r>
          </w:p>
        </w:tc>
        <w:tc>
          <w:tcPr>
            <w:tcW w:w="1443" w:type="dxa"/>
            <w:tcBorders>
              <w:bottom w:val="single" w:sz="4" w:space="0" w:color="auto"/>
            </w:tcBorders>
            <w:shd w:val="solid" w:color="000000" w:fill="000000"/>
            <w:vAlign w:val="center"/>
          </w:tcPr>
          <w:p w14:paraId="214EEE01" w14:textId="4C726007"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6C0D4E57"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1.8246</w:t>
            </w:r>
          </w:p>
        </w:tc>
        <w:tc>
          <w:tcPr>
            <w:tcW w:w="1175" w:type="dxa"/>
            <w:vAlign w:val="center"/>
          </w:tcPr>
          <w:p w14:paraId="55833F5D" w14:textId="4E4701ED"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99"/>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99"/>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99"/>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097911" w:rsidRPr="000C77A2" w14:paraId="4F048049" w14:textId="77777777" w:rsidTr="00C66EC7">
        <w:tc>
          <w:tcPr>
            <w:tcW w:w="4678" w:type="dxa"/>
          </w:tcPr>
          <w:p w14:paraId="79143E7B" w14:textId="77777777" w:rsidR="00097911" w:rsidRPr="000C77A2" w:rsidRDefault="00097911" w:rsidP="007F0A22">
            <w:pPr>
              <w:keepNext/>
              <w:jc w:val="left"/>
              <w:rPr>
                <w:rFonts w:ascii="Arial Narrow" w:hAnsi="Arial Narrow" w:cs="Times New Roman"/>
                <w:bCs/>
                <w:sz w:val="20"/>
                <w:vertAlign w:val="superscript"/>
              </w:rPr>
            </w:pPr>
            <w:r w:rsidRPr="000C77A2">
              <w:rPr>
                <w:rFonts w:ascii="Arial Narrow" w:hAnsi="Arial Narrow" w:cs="Times New Roman"/>
                <w:bCs/>
                <w:sz w:val="20"/>
              </w:rPr>
              <w:t>Update larotrectinib dose and dispensing fees (noting that this was erroneous)</w:t>
            </w:r>
            <w:r w:rsidRPr="000C77A2">
              <w:rPr>
                <w:rFonts w:ascii="Arial Narrow" w:hAnsi="Arial Narrow" w:cs="Times New Roman"/>
                <w:bCs/>
                <w:sz w:val="20"/>
                <w:vertAlign w:val="superscript"/>
              </w:rPr>
              <w:t>a</w:t>
            </w:r>
          </w:p>
        </w:tc>
        <w:tc>
          <w:tcPr>
            <w:tcW w:w="1443" w:type="dxa"/>
            <w:tcBorders>
              <w:bottom w:val="single" w:sz="4" w:space="0" w:color="auto"/>
            </w:tcBorders>
            <w:shd w:val="solid" w:color="000000" w:fill="000000"/>
            <w:vAlign w:val="center"/>
          </w:tcPr>
          <w:p w14:paraId="18ADFEA1" w14:textId="4B8EFF34"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660E2966"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1.8246</w:t>
            </w:r>
          </w:p>
        </w:tc>
        <w:tc>
          <w:tcPr>
            <w:tcW w:w="1175" w:type="dxa"/>
            <w:vAlign w:val="center"/>
          </w:tcPr>
          <w:p w14:paraId="48570FC3" w14:textId="7EDF982E"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98"/>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98"/>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98"/>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097911" w:rsidRPr="000C77A2" w14:paraId="727F17B7" w14:textId="77777777" w:rsidTr="00C66EC7">
        <w:tc>
          <w:tcPr>
            <w:tcW w:w="4678" w:type="dxa"/>
          </w:tcPr>
          <w:p w14:paraId="7ABA3F31" w14:textId="77777777" w:rsidR="00097911" w:rsidRPr="000C77A2" w:rsidRDefault="00097911" w:rsidP="007F0A22">
            <w:pPr>
              <w:keepNext/>
              <w:jc w:val="left"/>
              <w:rPr>
                <w:rFonts w:ascii="Arial Narrow" w:hAnsi="Arial Narrow" w:cs="Times New Roman"/>
                <w:bCs/>
                <w:sz w:val="20"/>
              </w:rPr>
            </w:pPr>
            <w:r w:rsidRPr="000C77A2">
              <w:rPr>
                <w:rFonts w:ascii="Arial Narrow" w:hAnsi="Arial Narrow" w:cs="Times New Roman"/>
                <w:bCs/>
                <w:sz w:val="20"/>
              </w:rPr>
              <w:t>Exclude terminal care costs</w:t>
            </w:r>
          </w:p>
        </w:tc>
        <w:tc>
          <w:tcPr>
            <w:tcW w:w="1443" w:type="dxa"/>
            <w:tcBorders>
              <w:bottom w:val="single" w:sz="4" w:space="0" w:color="auto"/>
            </w:tcBorders>
            <w:shd w:val="solid" w:color="000000" w:fill="000000"/>
            <w:vAlign w:val="center"/>
          </w:tcPr>
          <w:p w14:paraId="5617305D" w14:textId="54D93150"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bCs/>
                <w:color w:val="000000"/>
                <w:sz w:val="20"/>
                <w14:textFill>
                  <w14:solidFill>
                    <w14:srgbClr w14:val="000000">
                      <w14:alpha w14:val="100000"/>
                    </w14:srgbClr>
                  </w14:solidFill>
                </w14:textFill>
              </w:rPr>
              <w:t>|</w:t>
            </w:r>
          </w:p>
        </w:tc>
        <w:tc>
          <w:tcPr>
            <w:tcW w:w="1667" w:type="dxa"/>
            <w:vAlign w:val="center"/>
          </w:tcPr>
          <w:p w14:paraId="52A73979" w14:textId="77777777" w:rsidR="00097911" w:rsidRPr="000C77A2" w:rsidRDefault="00097911" w:rsidP="00560AEC">
            <w:pPr>
              <w:keepNext/>
              <w:jc w:val="center"/>
              <w:rPr>
                <w:rFonts w:ascii="Arial Narrow" w:hAnsi="Arial Narrow" w:cs="Times New Roman"/>
                <w:bCs/>
                <w:sz w:val="20"/>
              </w:rPr>
            </w:pPr>
            <w:r w:rsidRPr="000C77A2">
              <w:rPr>
                <w:rFonts w:ascii="Arial Narrow" w:hAnsi="Arial Narrow" w:cs="Times New Roman"/>
                <w:bCs/>
                <w:sz w:val="20"/>
              </w:rPr>
              <w:t>1.8246</w:t>
            </w:r>
          </w:p>
        </w:tc>
        <w:tc>
          <w:tcPr>
            <w:tcW w:w="1175" w:type="dxa"/>
            <w:vAlign w:val="center"/>
          </w:tcPr>
          <w:p w14:paraId="7454C10D" w14:textId="6A867DE4" w:rsidR="00097911" w:rsidRPr="00560AEC" w:rsidRDefault="00C66EC7" w:rsidP="00560AEC">
            <w:pPr>
              <w:keepNext/>
              <w:jc w:val="center"/>
              <w:rPr>
                <w:rFonts w:ascii="Arial Narrow" w:hAnsi="Arial Narrow" w:cs="Times New Roman"/>
                <w:bCs/>
                <w:sz w:val="20"/>
                <w:highlight w:val="lightGray"/>
              </w:rPr>
            </w:pPr>
            <w:r w:rsidRPr="00C66EC7">
              <w:rPr>
                <w:rFonts w:ascii="Arial Narrow" w:hAnsi="Arial Narrow" w:cs="Times New Roman" w:hint="eastAsia"/>
                <w:bCs/>
                <w:color w:val="000000"/>
                <w:w w:val="23"/>
                <w:sz w:val="20"/>
                <w:shd w:val="solid" w:color="000000" w:fill="000000"/>
                <w:fitText w:val="105" w:id="-962355197"/>
                <w14:textFill>
                  <w14:solidFill>
                    <w14:srgbClr w14:val="000000">
                      <w14:alpha w14:val="100000"/>
                    </w14:srgbClr>
                  </w14:solidFill>
                </w14:textFill>
              </w:rPr>
              <w:t xml:space="preserve">　</w:t>
            </w:r>
            <w:r w:rsidRPr="00C66EC7">
              <w:rPr>
                <w:rFonts w:ascii="Arial Narrow" w:hAnsi="Arial Narrow" w:cs="Times New Roman"/>
                <w:bCs/>
                <w:color w:val="000000"/>
                <w:w w:val="23"/>
                <w:sz w:val="20"/>
                <w:shd w:val="solid" w:color="000000" w:fill="000000"/>
                <w:fitText w:val="105" w:id="-962355197"/>
                <w14:textFill>
                  <w14:solidFill>
                    <w14:srgbClr w14:val="000000">
                      <w14:alpha w14:val="100000"/>
                    </w14:srgbClr>
                  </w14:solidFill>
                </w14:textFill>
              </w:rPr>
              <w:t>|</w:t>
            </w:r>
            <w:r w:rsidRPr="00C66EC7">
              <w:rPr>
                <w:rFonts w:ascii="Arial Narrow" w:hAnsi="Arial Narrow" w:cs="Times New Roman" w:hint="eastAsia"/>
                <w:bCs/>
                <w:color w:val="000000"/>
                <w:spacing w:val="4"/>
                <w:w w:val="23"/>
                <w:sz w:val="20"/>
                <w:shd w:val="solid" w:color="000000" w:fill="000000"/>
                <w:fitText w:val="105" w:id="-962355197"/>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097911" w:rsidRPr="000C77A2" w14:paraId="08C250BC" w14:textId="77777777" w:rsidTr="00C66EC7">
        <w:tc>
          <w:tcPr>
            <w:tcW w:w="4678" w:type="dxa"/>
          </w:tcPr>
          <w:p w14:paraId="10BDBB66" w14:textId="77777777" w:rsidR="00097911" w:rsidRPr="000C77A2" w:rsidRDefault="00097911" w:rsidP="007F0A22">
            <w:pPr>
              <w:keepNext/>
              <w:jc w:val="left"/>
              <w:rPr>
                <w:rFonts w:ascii="Arial Narrow" w:hAnsi="Arial Narrow" w:cs="Times New Roman"/>
                <w:b/>
                <w:sz w:val="20"/>
              </w:rPr>
            </w:pPr>
            <w:r w:rsidRPr="000C77A2">
              <w:rPr>
                <w:rFonts w:ascii="Arial Narrow" w:hAnsi="Arial Narrow" w:cs="Times New Roman"/>
                <w:b/>
                <w:sz w:val="20"/>
              </w:rPr>
              <w:t>Other minor model updates/changes </w:t>
            </w:r>
            <w:r w:rsidRPr="000C77A2">
              <w:rPr>
                <w:rFonts w:ascii="Arial Narrow" w:hAnsi="Arial Narrow" w:cs="Times New Roman"/>
                <w:b/>
                <w:sz w:val="20"/>
                <w:vertAlign w:val="superscript"/>
              </w:rPr>
              <w:t>b</w:t>
            </w:r>
          </w:p>
          <w:p w14:paraId="59CAEB87" w14:textId="77777777" w:rsidR="00097911" w:rsidRPr="000C77A2" w:rsidRDefault="00097911" w:rsidP="007F0A22">
            <w:pPr>
              <w:keepNext/>
              <w:jc w:val="left"/>
              <w:rPr>
                <w:rFonts w:ascii="Arial Narrow" w:hAnsi="Arial Narrow" w:cs="Times New Roman"/>
                <w:b/>
                <w:sz w:val="20"/>
              </w:rPr>
            </w:pPr>
            <w:r w:rsidRPr="000C77A2">
              <w:rPr>
                <w:rFonts w:ascii="Arial Narrow" w:hAnsi="Arial Narrow" w:cs="Times New Roman"/>
                <w:b/>
                <w:sz w:val="20"/>
              </w:rPr>
              <w:t>(resubmission base case)</w:t>
            </w:r>
          </w:p>
        </w:tc>
        <w:tc>
          <w:tcPr>
            <w:tcW w:w="1443" w:type="dxa"/>
            <w:tcBorders>
              <w:bottom w:val="single" w:sz="4" w:space="0" w:color="auto"/>
            </w:tcBorders>
            <w:shd w:val="solid" w:color="000000" w:fill="000000"/>
            <w:vAlign w:val="center"/>
          </w:tcPr>
          <w:p w14:paraId="58BA9214" w14:textId="3D64C18C" w:rsidR="00097911" w:rsidRPr="00560AEC" w:rsidRDefault="00C66EC7" w:rsidP="00560AEC">
            <w:pPr>
              <w:keepNext/>
              <w:jc w:val="center"/>
              <w:rPr>
                <w:rFonts w:ascii="Arial Narrow" w:hAnsi="Arial Narrow" w:cs="Times New Roman"/>
                <w:b/>
                <w:sz w:val="20"/>
                <w:highlight w:val="lightGray"/>
              </w:rPr>
            </w:pPr>
            <w:r w:rsidRPr="00C66EC7">
              <w:rPr>
                <w:rFonts w:ascii="Arial Narrow" w:hAnsi="Arial Narrow" w:cs="Times New Roman"/>
                <w:b/>
                <w:color w:val="000000"/>
                <w:sz w:val="20"/>
                <w14:textFill>
                  <w14:solidFill>
                    <w14:srgbClr w14:val="000000">
                      <w14:alpha w14:val="100000"/>
                    </w14:srgbClr>
                  </w14:solidFill>
                </w14:textFill>
              </w:rPr>
              <w:t>|</w:t>
            </w:r>
          </w:p>
        </w:tc>
        <w:tc>
          <w:tcPr>
            <w:tcW w:w="1667" w:type="dxa"/>
            <w:vAlign w:val="center"/>
          </w:tcPr>
          <w:p w14:paraId="0882E2A9" w14:textId="77777777" w:rsidR="00097911" w:rsidRPr="000C77A2" w:rsidRDefault="00097911" w:rsidP="00560AEC">
            <w:pPr>
              <w:keepNext/>
              <w:jc w:val="center"/>
              <w:rPr>
                <w:rFonts w:ascii="Arial Narrow" w:hAnsi="Arial Narrow" w:cs="Times New Roman"/>
                <w:b/>
                <w:sz w:val="20"/>
              </w:rPr>
            </w:pPr>
            <w:r w:rsidRPr="000C77A2">
              <w:rPr>
                <w:rFonts w:ascii="Arial Narrow" w:hAnsi="Arial Narrow" w:cs="Times New Roman"/>
                <w:b/>
                <w:sz w:val="20"/>
              </w:rPr>
              <w:t>1.9527</w:t>
            </w:r>
          </w:p>
        </w:tc>
        <w:tc>
          <w:tcPr>
            <w:tcW w:w="1175" w:type="dxa"/>
            <w:vAlign w:val="center"/>
          </w:tcPr>
          <w:p w14:paraId="203E1542" w14:textId="3B77F9C9" w:rsidR="00097911" w:rsidRPr="00560AEC" w:rsidRDefault="00C66EC7" w:rsidP="00560AEC">
            <w:pPr>
              <w:keepNext/>
              <w:jc w:val="center"/>
              <w:rPr>
                <w:rFonts w:ascii="Arial Narrow" w:hAnsi="Arial Narrow" w:cs="Times New Roman"/>
                <w:b/>
                <w:sz w:val="20"/>
                <w:highlight w:val="lightGray"/>
              </w:rPr>
            </w:pPr>
            <w:r w:rsidRPr="00C66EC7">
              <w:rPr>
                <w:rFonts w:ascii="Arial Narrow" w:hAnsi="Arial Narrow" w:cs="Times New Roman" w:hint="eastAsia"/>
                <w:b/>
                <w:color w:val="000000"/>
                <w:w w:val="33"/>
                <w:sz w:val="20"/>
                <w:shd w:val="solid" w:color="000000" w:fill="000000"/>
                <w:fitText w:val="150" w:id="-962355196"/>
                <w14:textFill>
                  <w14:solidFill>
                    <w14:srgbClr w14:val="000000">
                      <w14:alpha w14:val="100000"/>
                    </w14:srgbClr>
                  </w14:solidFill>
                </w14:textFill>
              </w:rPr>
              <w:t xml:space="preserve">　</w:t>
            </w:r>
            <w:r w:rsidRPr="00C66EC7">
              <w:rPr>
                <w:rFonts w:ascii="Arial Narrow" w:hAnsi="Arial Narrow" w:cs="Times New Roman"/>
                <w:b/>
                <w:color w:val="000000"/>
                <w:w w:val="33"/>
                <w:sz w:val="20"/>
                <w:shd w:val="solid" w:color="000000" w:fill="000000"/>
                <w:fitText w:val="150" w:id="-962355196"/>
                <w14:textFill>
                  <w14:solidFill>
                    <w14:srgbClr w14:val="000000">
                      <w14:alpha w14:val="100000"/>
                    </w14:srgbClr>
                  </w14:solidFill>
                </w14:textFill>
              </w:rPr>
              <w:t>|</w:t>
            </w:r>
            <w:r w:rsidRPr="00C66EC7">
              <w:rPr>
                <w:rFonts w:ascii="Arial Narrow" w:hAnsi="Arial Narrow" w:cs="Times New Roman" w:hint="eastAsia"/>
                <w:b/>
                <w:color w:val="000000"/>
                <w:spacing w:val="3"/>
                <w:w w:val="33"/>
                <w:sz w:val="20"/>
                <w:shd w:val="solid" w:color="000000" w:fill="000000"/>
                <w:fitText w:val="150" w:id="-962355196"/>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3</w:t>
            </w:r>
          </w:p>
        </w:tc>
      </w:tr>
      <w:tr w:rsidR="005B0B92" w:rsidRPr="000C77A2" w14:paraId="54156F0F" w14:textId="77777777" w:rsidTr="00C66EC7">
        <w:tc>
          <w:tcPr>
            <w:tcW w:w="4678" w:type="dxa"/>
          </w:tcPr>
          <w:p w14:paraId="7C96E76A" w14:textId="3B51E83E" w:rsidR="005B0B92" w:rsidRPr="000C77A2" w:rsidRDefault="006C77BE" w:rsidP="007F0A22">
            <w:pPr>
              <w:keepNext/>
              <w:jc w:val="left"/>
              <w:rPr>
                <w:rFonts w:ascii="Arial Narrow" w:hAnsi="Arial Narrow" w:cs="Times New Roman"/>
                <w:b/>
                <w:sz w:val="20"/>
              </w:rPr>
            </w:pPr>
            <w:r w:rsidRPr="000C77A2">
              <w:rPr>
                <w:rFonts w:ascii="Arial Narrow" w:eastAsiaTheme="majorEastAsia" w:hAnsi="Arial Narrow" w:cstheme="majorBidi"/>
                <w:b/>
                <w:sz w:val="20"/>
              </w:rPr>
              <w:t>Base case including model corrections by evaluators</w:t>
            </w:r>
          </w:p>
        </w:tc>
        <w:tc>
          <w:tcPr>
            <w:tcW w:w="1443" w:type="dxa"/>
            <w:shd w:val="solid" w:color="000000" w:fill="000000"/>
            <w:vAlign w:val="center"/>
          </w:tcPr>
          <w:p w14:paraId="4438BDD3" w14:textId="76131F93" w:rsidR="005B0B92" w:rsidRPr="00560AEC" w:rsidRDefault="00C66EC7" w:rsidP="00560AEC">
            <w:pPr>
              <w:keepNext/>
              <w:jc w:val="center"/>
              <w:rPr>
                <w:rFonts w:ascii="Arial Narrow" w:hAnsi="Arial Narrow" w:cs="Times New Roman"/>
                <w:b/>
                <w:sz w:val="20"/>
                <w:highlight w:val="lightGray"/>
              </w:rPr>
            </w:pPr>
            <w:r w:rsidRPr="00C66EC7">
              <w:rPr>
                <w:rFonts w:ascii="Arial Narrow" w:eastAsiaTheme="majorEastAsia" w:hAnsi="Arial Narrow" w:cs="Calibri"/>
                <w:b/>
                <w:color w:val="000000"/>
                <w:sz w:val="20"/>
                <w:szCs w:val="20"/>
                <w14:textFill>
                  <w14:solidFill>
                    <w14:srgbClr w14:val="000000">
                      <w14:alpha w14:val="100000"/>
                    </w14:srgbClr>
                  </w14:solidFill>
                </w14:textFill>
              </w:rPr>
              <w:t>|</w:t>
            </w:r>
          </w:p>
        </w:tc>
        <w:tc>
          <w:tcPr>
            <w:tcW w:w="1667" w:type="dxa"/>
            <w:vAlign w:val="center"/>
          </w:tcPr>
          <w:p w14:paraId="4FD72C48" w14:textId="0AB25B60" w:rsidR="005B0B92" w:rsidRPr="000C77A2" w:rsidRDefault="00AA08E6" w:rsidP="00560AEC">
            <w:pPr>
              <w:keepNext/>
              <w:jc w:val="center"/>
              <w:rPr>
                <w:rFonts w:ascii="Arial Narrow" w:hAnsi="Arial Narrow" w:cs="Times New Roman"/>
                <w:b/>
                <w:sz w:val="20"/>
              </w:rPr>
            </w:pPr>
            <w:r w:rsidRPr="000C77A2">
              <w:rPr>
                <w:rFonts w:ascii="Arial Narrow" w:hAnsi="Arial Narrow" w:cs="Times New Roman"/>
                <w:b/>
                <w:sz w:val="20"/>
              </w:rPr>
              <w:t>1.9527</w:t>
            </w:r>
          </w:p>
        </w:tc>
        <w:tc>
          <w:tcPr>
            <w:tcW w:w="1175" w:type="dxa"/>
            <w:vAlign w:val="center"/>
          </w:tcPr>
          <w:p w14:paraId="0CCA9DD3" w14:textId="17A7796E" w:rsidR="005B0B92" w:rsidRPr="00560AEC" w:rsidRDefault="00C66EC7" w:rsidP="00560AEC">
            <w:pPr>
              <w:keepNext/>
              <w:jc w:val="center"/>
              <w:rPr>
                <w:rFonts w:ascii="Arial Narrow" w:hAnsi="Arial Narrow" w:cs="Times New Roman"/>
                <w:b/>
                <w:sz w:val="20"/>
                <w:highlight w:val="lightGray"/>
              </w:rPr>
            </w:pPr>
            <w:r w:rsidRPr="00C66EC7">
              <w:rPr>
                <w:rFonts w:ascii="Arial Narrow" w:eastAsiaTheme="majorEastAsia" w:hAnsi="Arial Narrow" w:cstheme="majorBidi" w:hint="eastAsia"/>
                <w:b/>
                <w:color w:val="000000"/>
                <w:w w:val="33"/>
                <w:sz w:val="20"/>
                <w:szCs w:val="20"/>
                <w:shd w:val="solid" w:color="000000" w:fill="000000"/>
                <w:fitText w:val="150" w:id="-962355195"/>
                <w14:textFill>
                  <w14:solidFill>
                    <w14:srgbClr w14:val="000000">
                      <w14:alpha w14:val="100000"/>
                    </w14:srgbClr>
                  </w14:solidFill>
                </w14:textFill>
              </w:rPr>
              <w:t xml:space="preserve">　</w:t>
            </w:r>
            <w:r w:rsidRPr="00C66EC7">
              <w:rPr>
                <w:rFonts w:ascii="Arial Narrow" w:eastAsiaTheme="majorEastAsia" w:hAnsi="Arial Narrow" w:cstheme="majorBidi"/>
                <w:b/>
                <w:color w:val="000000"/>
                <w:w w:val="33"/>
                <w:sz w:val="20"/>
                <w:szCs w:val="20"/>
                <w:shd w:val="solid" w:color="000000" w:fill="000000"/>
                <w:fitText w:val="150" w:id="-962355195"/>
                <w14:textFill>
                  <w14:solidFill>
                    <w14:srgbClr w14:val="000000">
                      <w14:alpha w14:val="100000"/>
                    </w14:srgbClr>
                  </w14:solidFill>
                </w14:textFill>
              </w:rPr>
              <w:t>|</w:t>
            </w:r>
            <w:r w:rsidRPr="00C66EC7">
              <w:rPr>
                <w:rFonts w:ascii="Arial Narrow" w:eastAsiaTheme="majorEastAsia" w:hAnsi="Arial Narrow" w:cstheme="majorBidi" w:hint="eastAsia"/>
                <w:b/>
                <w:color w:val="000000"/>
                <w:spacing w:val="3"/>
                <w:w w:val="33"/>
                <w:sz w:val="20"/>
                <w:szCs w:val="20"/>
                <w:shd w:val="solid" w:color="000000" w:fill="000000"/>
                <w:fitText w:val="150" w:id="-962355195"/>
                <w14:textFill>
                  <w14:solidFill>
                    <w14:srgbClr w14:val="000000">
                      <w14:alpha w14:val="100000"/>
                    </w14:srgbClr>
                  </w14:solidFill>
                </w14:textFill>
              </w:rPr>
              <w:t xml:space="preserve">　</w:t>
            </w:r>
            <w:r w:rsidR="001117A5">
              <w:rPr>
                <w:rFonts w:ascii="Arial Narrow" w:eastAsiaTheme="majorEastAsia" w:hAnsi="Arial Narrow" w:cstheme="majorBidi"/>
                <w:b/>
                <w:sz w:val="20"/>
                <w:vertAlign w:val="superscript"/>
              </w:rPr>
              <w:t>4</w:t>
            </w:r>
          </w:p>
        </w:tc>
      </w:tr>
    </w:tbl>
    <w:p w14:paraId="219FE1EA" w14:textId="77777777" w:rsidR="00097911" w:rsidRPr="000C77A2" w:rsidRDefault="00097911" w:rsidP="00560AEC">
      <w:pPr>
        <w:keepNext/>
        <w:keepLines/>
        <w:rPr>
          <w:rFonts w:ascii="Arial Narrow" w:hAnsi="Arial Narrow"/>
          <w:snapToGrid w:val="0"/>
          <w:sz w:val="20"/>
          <w:szCs w:val="22"/>
        </w:rPr>
      </w:pPr>
      <w:r w:rsidRPr="000C77A2">
        <w:rPr>
          <w:rFonts w:ascii="Arial Narrow" w:hAnsi="Arial Narrow"/>
          <w:snapToGrid w:val="0"/>
          <w:sz w:val="18"/>
          <w:szCs w:val="22"/>
        </w:rPr>
        <w:t xml:space="preserve">Source: </w:t>
      </w:r>
      <w:r w:rsidRPr="000C77A2">
        <w:rPr>
          <w:rFonts w:ascii="Arial Narrow" w:hAnsi="Arial Narrow"/>
          <w:snapToGrid w:val="0"/>
          <w:sz w:val="18"/>
          <w:lang w:eastAsia="en-US"/>
        </w:rPr>
        <w:t>constructed from the “Attachment 3.1 – Section 3 Workbook – cost effectiveness model” workbook provided in the resubmission (November 2023) and the “A3.1+Larotrectinib_PBACMSAC_CEA_June21_resub_6June21” workbook provided with the previous submission (November 2021)</w:t>
      </w:r>
    </w:p>
    <w:p w14:paraId="0DAA8888" w14:textId="77777777" w:rsidR="00097911" w:rsidRPr="000C77A2" w:rsidRDefault="00097911" w:rsidP="00560AEC">
      <w:pPr>
        <w:keepNext/>
        <w:keepLines/>
        <w:rPr>
          <w:rFonts w:ascii="Arial Narrow" w:hAnsi="Arial Narrow"/>
          <w:snapToGrid w:val="0"/>
          <w:sz w:val="18"/>
          <w:szCs w:val="22"/>
        </w:rPr>
      </w:pPr>
      <w:proofErr w:type="spellStart"/>
      <w:r w:rsidRPr="000C77A2">
        <w:rPr>
          <w:rFonts w:ascii="Arial Narrow" w:hAnsi="Arial Narrow"/>
          <w:snapToGrid w:val="0"/>
          <w:sz w:val="18"/>
          <w:szCs w:val="22"/>
          <w:vertAlign w:val="superscript"/>
        </w:rPr>
        <w:t>a</w:t>
      </w:r>
      <w:proofErr w:type="spellEnd"/>
      <w:r w:rsidRPr="000C77A2">
        <w:rPr>
          <w:rFonts w:ascii="Arial Narrow" w:hAnsi="Arial Narrow"/>
          <w:snapToGrid w:val="0"/>
          <w:sz w:val="18"/>
          <w:szCs w:val="22"/>
        </w:rPr>
        <w:t xml:space="preserve"> </w:t>
      </w:r>
      <w:r w:rsidRPr="000C77A2">
        <w:rPr>
          <w:rFonts w:ascii="Arial Narrow" w:hAnsi="Arial Narrow"/>
          <w:sz w:val="18"/>
        </w:rPr>
        <w:t xml:space="preserve">The dose was updated to 200 mg (compared to 188.6 mg used previously); the dispensing fees was updated as the resubmission proposed a general schedule listing as opposed to a s100 listing in the previous submission. Further, the cost of the initial script was applied to all scripts, instead of only the first 12 scripts (in line with the proposed listing). </w:t>
      </w:r>
    </w:p>
    <w:p w14:paraId="6244778F" w14:textId="6DE1EEF7" w:rsidR="00097911" w:rsidRDefault="00097911" w:rsidP="00560AEC">
      <w:pPr>
        <w:keepNext/>
        <w:keepLines/>
        <w:rPr>
          <w:rFonts w:ascii="Arial Narrow" w:hAnsi="Arial Narrow"/>
          <w:snapToGrid w:val="0"/>
          <w:sz w:val="18"/>
          <w:szCs w:val="22"/>
        </w:rPr>
      </w:pPr>
      <w:r w:rsidRPr="000C77A2">
        <w:rPr>
          <w:rFonts w:ascii="Arial Narrow" w:hAnsi="Arial Narrow"/>
          <w:snapToGrid w:val="0"/>
          <w:sz w:val="18"/>
          <w:szCs w:val="22"/>
          <w:vertAlign w:val="superscript"/>
        </w:rPr>
        <w:t xml:space="preserve">b </w:t>
      </w:r>
      <w:r w:rsidRPr="000C77A2">
        <w:rPr>
          <w:rFonts w:ascii="Arial Narrow" w:hAnsi="Arial Narrow"/>
          <w:snapToGrid w:val="0"/>
          <w:sz w:val="18"/>
          <w:szCs w:val="22"/>
        </w:rPr>
        <w:t xml:space="preserve">Other minor model updates/changes included: the exclusion of costs and outcomes associated with </w:t>
      </w:r>
      <w:r w:rsidR="007F0A22" w:rsidRPr="000C77A2">
        <w:rPr>
          <w:rFonts w:ascii="Arial Narrow" w:hAnsi="Arial Narrow"/>
          <w:snapToGrid w:val="0"/>
          <w:sz w:val="18"/>
          <w:szCs w:val="22"/>
        </w:rPr>
        <w:t>A</w:t>
      </w:r>
      <w:r w:rsidR="007F0A22">
        <w:rPr>
          <w:rFonts w:ascii="Arial Narrow" w:hAnsi="Arial Narrow"/>
          <w:snapToGrid w:val="0"/>
          <w:sz w:val="18"/>
          <w:szCs w:val="22"/>
        </w:rPr>
        <w:t>E</w:t>
      </w:r>
      <w:r w:rsidR="007F0A22" w:rsidRPr="000C77A2">
        <w:rPr>
          <w:rFonts w:ascii="Arial Narrow" w:hAnsi="Arial Narrow"/>
          <w:snapToGrid w:val="0"/>
          <w:sz w:val="18"/>
          <w:szCs w:val="22"/>
        </w:rPr>
        <w:t>s</w:t>
      </w:r>
      <w:r w:rsidRPr="000C77A2">
        <w:rPr>
          <w:rFonts w:ascii="Arial Narrow" w:hAnsi="Arial Narrow"/>
          <w:snapToGrid w:val="0"/>
          <w:sz w:val="18"/>
          <w:szCs w:val="22"/>
        </w:rPr>
        <w:t>, updated disease management costs, updated approach to costing subsequent treatment, updated docetaxel cost (and approach – weekly cost applied, rather than every third cycle), updated number of cycles in which initial larotrectinib script cost applies (12 from 14 previously) and updated application of discounting (applied per whole year, rather than partial year)</w:t>
      </w:r>
    </w:p>
    <w:p w14:paraId="782C076E" w14:textId="77777777" w:rsidR="001117A5" w:rsidRPr="00560AEC" w:rsidRDefault="001117A5"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4C25F302" w14:textId="59407BE5" w:rsidR="001117A5" w:rsidRPr="00560AEC" w:rsidRDefault="001117A5"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$55,000 to &lt; $75,000</w:t>
      </w:r>
    </w:p>
    <w:p w14:paraId="66E86ADE" w14:textId="58DA1313" w:rsidR="001117A5" w:rsidRPr="00560AEC" w:rsidRDefault="001117A5"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$75,000 to &lt; $95,000</w:t>
      </w:r>
    </w:p>
    <w:p w14:paraId="38A566E5" w14:textId="69AB125E" w:rsidR="001117A5" w:rsidRPr="00560AEC" w:rsidRDefault="001117A5"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$95,000 to &lt; $115,000</w:t>
      </w:r>
    </w:p>
    <w:p w14:paraId="77ABA4F4" w14:textId="0C9FE651" w:rsidR="00097911" w:rsidRPr="000C77A2" w:rsidRDefault="001117A5" w:rsidP="00560AEC">
      <w:pPr>
        <w:spacing w:after="120"/>
        <w:rPr>
          <w:rFonts w:ascii="Arial Narrow" w:hAnsi="Arial Narrow"/>
          <w:snapToGrid w:val="0"/>
          <w:sz w:val="20"/>
          <w:szCs w:val="22"/>
        </w:rPr>
      </w:pPr>
      <w:r w:rsidRPr="00560AEC">
        <w:rPr>
          <w:rFonts w:ascii="Arial Narrow" w:hAnsi="Arial Narrow" w:cstheme="minorHAnsi"/>
          <w:bCs/>
          <w:i/>
          <w:iCs/>
          <w:sz w:val="18"/>
          <w:szCs w:val="18"/>
          <w:vertAlign w:val="superscript"/>
        </w:rPr>
        <w:t>4</w:t>
      </w:r>
      <w:r w:rsidRPr="00560AEC">
        <w:rPr>
          <w:rFonts w:ascii="Arial Narrow" w:hAnsi="Arial Narrow" w:cstheme="minorHAnsi"/>
          <w:bCs/>
          <w:i/>
          <w:iCs/>
          <w:sz w:val="18"/>
          <w:szCs w:val="18"/>
        </w:rPr>
        <w:t xml:space="preserve"> $115,000 to &lt; $135,000</w:t>
      </w:r>
    </w:p>
    <w:p w14:paraId="0EE41616" w14:textId="6DA7A4C4"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The main change that led to a decrease in the ICER </w:t>
      </w:r>
      <w:r w:rsidR="004F3A68" w:rsidRPr="000C77A2">
        <w:rPr>
          <w:rFonts w:asciiTheme="minorHAnsi" w:hAnsiTheme="minorHAnsi"/>
          <w:snapToGrid w:val="0"/>
        </w:rPr>
        <w:t xml:space="preserve">(compared to November 2021) </w:t>
      </w:r>
      <w:r w:rsidRPr="000C77A2">
        <w:rPr>
          <w:rFonts w:asciiTheme="minorHAnsi" w:hAnsiTheme="minorHAnsi"/>
          <w:snapToGrid w:val="0"/>
        </w:rPr>
        <w:t xml:space="preserve">was the exclusion of testing. The increases in the ICER were driven </w:t>
      </w:r>
      <w:proofErr w:type="gramStart"/>
      <w:r w:rsidRPr="000C77A2">
        <w:rPr>
          <w:rFonts w:asciiTheme="minorHAnsi" w:hAnsiTheme="minorHAnsi"/>
          <w:snapToGrid w:val="0"/>
        </w:rPr>
        <w:t>by the use of</w:t>
      </w:r>
      <w:proofErr w:type="gramEnd"/>
      <w:r w:rsidRPr="000C77A2">
        <w:rPr>
          <w:rFonts w:asciiTheme="minorHAnsi" w:hAnsiTheme="minorHAnsi"/>
          <w:snapToGrid w:val="0"/>
        </w:rPr>
        <w:t xml:space="preserve"> the updated data, reduction in time horizon, updated utility values, and to a lesser degree, the exclusion of terminal care costs. A comparison of the larotrectinib data used in the previous and current submission are presented in </w:t>
      </w:r>
      <w:r w:rsidRPr="000C77A2">
        <w:rPr>
          <w:rFonts w:asciiTheme="minorHAnsi" w:hAnsiTheme="minorHAnsi"/>
          <w:snapToGrid w:val="0"/>
        </w:rPr>
        <w:fldChar w:fldCharType="begin" w:fldLock="1"/>
      </w:r>
      <w:r w:rsidRPr="000C77A2">
        <w:rPr>
          <w:rFonts w:asciiTheme="minorHAnsi" w:hAnsiTheme="minorHAnsi"/>
          <w:snapToGrid w:val="0"/>
        </w:rPr>
        <w:instrText xml:space="preserve"> REF _Ref155612606 \h  \* MERGEFORMAT </w:instrText>
      </w:r>
      <w:r w:rsidRPr="000C77A2">
        <w:rPr>
          <w:rFonts w:asciiTheme="minorHAnsi" w:hAnsiTheme="minorHAnsi"/>
          <w:snapToGrid w:val="0"/>
        </w:rPr>
      </w:r>
      <w:r w:rsidRPr="000C77A2">
        <w:rPr>
          <w:rFonts w:asciiTheme="minorHAnsi" w:hAnsiTheme="minorHAnsi"/>
          <w:snapToGrid w:val="0"/>
        </w:rPr>
        <w:fldChar w:fldCharType="separate"/>
      </w:r>
      <w:r w:rsidR="001B0FE7" w:rsidRPr="001B0FE7">
        <w:rPr>
          <w:rFonts w:asciiTheme="minorHAnsi" w:hAnsiTheme="minorHAnsi"/>
          <w:snapToGrid w:val="0"/>
        </w:rPr>
        <w:t>Table 21</w:t>
      </w:r>
      <w:r w:rsidRPr="000C77A2">
        <w:rPr>
          <w:rFonts w:asciiTheme="minorHAnsi" w:hAnsiTheme="minorHAnsi"/>
          <w:snapToGrid w:val="0"/>
        </w:rPr>
        <w:fldChar w:fldCharType="end"/>
      </w:r>
      <w:r w:rsidRPr="000C77A2">
        <w:rPr>
          <w:rFonts w:asciiTheme="minorHAnsi" w:hAnsiTheme="minorHAnsi"/>
          <w:i/>
          <w:iCs/>
          <w:snapToGrid w:val="0"/>
        </w:rPr>
        <w:t xml:space="preserve">. </w:t>
      </w:r>
    </w:p>
    <w:p w14:paraId="4F2735BF" w14:textId="559AE348" w:rsidR="00097911" w:rsidRPr="000C77A2" w:rsidRDefault="00097911" w:rsidP="00097911">
      <w:pPr>
        <w:keepNext/>
        <w:keepLines/>
        <w:rPr>
          <w:rFonts w:ascii="Arial Narrow" w:hAnsi="Arial Narrow"/>
          <w:b/>
          <w:bCs/>
          <w:sz w:val="20"/>
          <w:szCs w:val="18"/>
        </w:rPr>
      </w:pPr>
      <w:bookmarkStart w:id="56" w:name="_Ref155612606"/>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21</w:t>
      </w:r>
      <w:r w:rsidRPr="00576FA3">
        <w:rPr>
          <w:rFonts w:ascii="Arial Narrow" w:hAnsi="Arial Narrow"/>
          <w:b/>
          <w:bCs/>
          <w:sz w:val="20"/>
          <w:szCs w:val="18"/>
        </w:rPr>
        <w:fldChar w:fldCharType="end"/>
      </w:r>
      <w:bookmarkEnd w:id="56"/>
      <w:r w:rsidRPr="000C77A2">
        <w:rPr>
          <w:rFonts w:ascii="Arial Narrow" w:hAnsi="Arial Narrow"/>
          <w:b/>
          <w:bCs/>
          <w:sz w:val="20"/>
          <w:szCs w:val="18"/>
        </w:rPr>
        <w:t xml:space="preserve">: Comparison of modelled survival curves between the previous and current resubmission by tumour type </w:t>
      </w:r>
    </w:p>
    <w:tbl>
      <w:tblPr>
        <w:tblStyle w:val="TableGrid"/>
        <w:tblW w:w="5000" w:type="pct"/>
        <w:tblLook w:val="04A0" w:firstRow="1" w:lastRow="0" w:firstColumn="1" w:lastColumn="0" w:noHBand="0" w:noVBand="1"/>
        <w:tblCaption w:val="Table 21: Comparison of modelled survival curves between the previous and current resubmission by tumour type "/>
      </w:tblPr>
      <w:tblGrid>
        <w:gridCol w:w="1357"/>
        <w:gridCol w:w="7660"/>
      </w:tblGrid>
      <w:tr w:rsidR="00097911" w:rsidRPr="000C77A2" w14:paraId="6B00E324" w14:textId="77777777" w:rsidTr="00122531">
        <w:tc>
          <w:tcPr>
            <w:tcW w:w="905" w:type="pct"/>
          </w:tcPr>
          <w:p w14:paraId="2E45CFA8"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Analysis</w:t>
            </w:r>
          </w:p>
        </w:tc>
        <w:tc>
          <w:tcPr>
            <w:tcW w:w="4095" w:type="pct"/>
          </w:tcPr>
          <w:p w14:paraId="473C2FC1" w14:textId="77777777" w:rsidR="00097911" w:rsidRPr="00576FA3" w:rsidRDefault="00097911" w:rsidP="00097911">
            <w:pPr>
              <w:keepNext/>
              <w:jc w:val="left"/>
              <w:rPr>
                <w:rFonts w:ascii="Arial Narrow" w:eastAsiaTheme="majorEastAsia" w:hAnsi="Arial Narrow" w:cs="Times New Roman"/>
                <w:b/>
                <w:sz w:val="20"/>
              </w:rPr>
            </w:pPr>
            <w:r w:rsidRPr="00576FA3">
              <w:rPr>
                <w:rFonts w:ascii="Arial Narrow" w:eastAsiaTheme="majorEastAsia" w:hAnsi="Arial Narrow" w:cs="Times New Roman"/>
                <w:b/>
                <w:sz w:val="20"/>
              </w:rPr>
              <w:t>Survival curves</w:t>
            </w:r>
          </w:p>
        </w:tc>
      </w:tr>
      <w:tr w:rsidR="00097911" w:rsidRPr="000C77A2" w14:paraId="185C73B0" w14:textId="77777777" w:rsidTr="00122531">
        <w:tc>
          <w:tcPr>
            <w:tcW w:w="905" w:type="pct"/>
          </w:tcPr>
          <w:p w14:paraId="1C16C8BA"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 xml:space="preserve">Adult </w:t>
            </w:r>
            <w:r w:rsidRPr="000C77A2">
              <w:rPr>
                <w:rFonts w:ascii="Arial Narrow" w:eastAsiaTheme="majorEastAsia" w:hAnsi="Arial Narrow" w:cstheme="majorBidi"/>
                <w:b/>
                <w:i/>
                <w:iCs/>
                <w:sz w:val="20"/>
              </w:rPr>
              <w:t>NTRK</w:t>
            </w:r>
            <w:r w:rsidRPr="000C77A2">
              <w:rPr>
                <w:rFonts w:ascii="Arial Narrow" w:eastAsiaTheme="majorEastAsia" w:hAnsi="Arial Narrow" w:cstheme="majorBidi"/>
                <w:b/>
                <w:sz w:val="20"/>
              </w:rPr>
              <w:t>-positive NSCLC</w:t>
            </w:r>
          </w:p>
        </w:tc>
        <w:tc>
          <w:tcPr>
            <w:tcW w:w="4095" w:type="pct"/>
          </w:tcPr>
          <w:p w14:paraId="311F49BC" w14:textId="77777777" w:rsidR="00097911" w:rsidRPr="000C77A2" w:rsidRDefault="00097911" w:rsidP="00097911">
            <w:r w:rsidRPr="005C58C7">
              <w:rPr>
                <w:noProof/>
              </w:rPr>
              <w:drawing>
                <wp:inline distT="0" distB="0" distL="0" distR="0" wp14:anchorId="62FE2D5E" wp14:editId="00EF756B">
                  <wp:extent cx="4726940" cy="3257550"/>
                  <wp:effectExtent l="0" t="0" r="0" b="0"/>
                  <wp:docPr id="1406619197" name="Picture 1" descr="Survival curve - Adult NTRK-positive NS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19197" name="Picture 1" descr="Survival curve - Adult NTRK-positive NSCLC"/>
                          <pic:cNvPicPr/>
                        </pic:nvPicPr>
                        <pic:blipFill rotWithShape="1">
                          <a:blip r:embed="rId16"/>
                          <a:srcRect b="4192"/>
                          <a:stretch/>
                        </pic:blipFill>
                        <pic:spPr bwMode="auto">
                          <a:xfrm>
                            <a:off x="0" y="0"/>
                            <a:ext cx="4737074" cy="3264534"/>
                          </a:xfrm>
                          <a:prstGeom prst="rect">
                            <a:avLst/>
                          </a:prstGeom>
                          <a:ln>
                            <a:noFill/>
                          </a:ln>
                          <a:extLst>
                            <a:ext uri="{53640926-AAD7-44D8-BBD7-CCE9431645EC}">
                              <a14:shadowObscured xmlns:a14="http://schemas.microsoft.com/office/drawing/2010/main"/>
                            </a:ext>
                          </a:extLst>
                        </pic:spPr>
                      </pic:pic>
                    </a:graphicData>
                  </a:graphic>
                </wp:inline>
              </w:drawing>
            </w:r>
          </w:p>
        </w:tc>
      </w:tr>
      <w:tr w:rsidR="00097911" w:rsidRPr="000C77A2" w14:paraId="663A3BD1" w14:textId="77777777" w:rsidTr="00122531">
        <w:tc>
          <w:tcPr>
            <w:tcW w:w="905" w:type="pct"/>
          </w:tcPr>
          <w:p w14:paraId="2DCED7DE" w14:textId="77777777" w:rsidR="00097911" w:rsidRPr="000C77A2" w:rsidRDefault="00097911" w:rsidP="00097911">
            <w:pPr>
              <w:keepNext/>
              <w:jc w:val="left"/>
              <w:rPr>
                <w:rFonts w:ascii="Arial Narrow" w:eastAsiaTheme="majorEastAsia" w:hAnsi="Arial Narrow" w:cstheme="majorBidi"/>
                <w:b/>
                <w:sz w:val="20"/>
              </w:rPr>
            </w:pPr>
            <w:r w:rsidRPr="000C77A2">
              <w:rPr>
                <w:rFonts w:ascii="Arial Narrow" w:eastAsiaTheme="majorEastAsia" w:hAnsi="Arial Narrow" w:cstheme="majorBidi"/>
                <w:b/>
                <w:sz w:val="20"/>
              </w:rPr>
              <w:t xml:space="preserve">Adult </w:t>
            </w:r>
            <w:r w:rsidRPr="000C77A2">
              <w:rPr>
                <w:rFonts w:ascii="Arial Narrow" w:eastAsiaTheme="majorEastAsia" w:hAnsi="Arial Narrow" w:cstheme="majorBidi"/>
                <w:b/>
                <w:i/>
                <w:iCs/>
                <w:sz w:val="20"/>
              </w:rPr>
              <w:t>NTRK</w:t>
            </w:r>
            <w:r w:rsidRPr="000C77A2">
              <w:rPr>
                <w:rFonts w:ascii="Arial Narrow" w:eastAsiaTheme="majorEastAsia" w:hAnsi="Arial Narrow" w:cstheme="majorBidi"/>
                <w:b/>
                <w:sz w:val="20"/>
              </w:rPr>
              <w:t>-positive STS</w:t>
            </w:r>
          </w:p>
        </w:tc>
        <w:tc>
          <w:tcPr>
            <w:tcW w:w="4095" w:type="pct"/>
          </w:tcPr>
          <w:p w14:paraId="733C2A93" w14:textId="77777777" w:rsidR="00097911" w:rsidRPr="000C77A2" w:rsidRDefault="00097911" w:rsidP="00097911">
            <w:r w:rsidRPr="005C58C7">
              <w:rPr>
                <w:noProof/>
              </w:rPr>
              <w:drawing>
                <wp:inline distT="0" distB="0" distL="0" distR="0" wp14:anchorId="6A75FE98" wp14:editId="59C1821E">
                  <wp:extent cx="4725670" cy="3347499"/>
                  <wp:effectExtent l="0" t="0" r="0" b="5715"/>
                  <wp:docPr id="217462192" name="Picture 2" descr="Survival curve - Adult NTRK-positive 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62192" name="Picture 2" descr="Survival curve - Adult NTRK-positive STS"/>
                          <pic:cNvPicPr/>
                        </pic:nvPicPr>
                        <pic:blipFill rotWithShape="1">
                          <a:blip r:embed="rId17"/>
                          <a:srcRect b="4058"/>
                          <a:stretch/>
                        </pic:blipFill>
                        <pic:spPr bwMode="auto">
                          <a:xfrm>
                            <a:off x="0" y="0"/>
                            <a:ext cx="4729558" cy="33502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15A8D9" w14:textId="77777777" w:rsidR="00097911" w:rsidRPr="000C77A2" w:rsidRDefault="00097911" w:rsidP="00097911">
      <w:pPr>
        <w:rPr>
          <w:rFonts w:ascii="Arial Narrow" w:hAnsi="Arial Narrow"/>
          <w:sz w:val="18"/>
        </w:rPr>
      </w:pPr>
      <w:r w:rsidRPr="000C77A2">
        <w:rPr>
          <w:rFonts w:ascii="Arial Narrow" w:hAnsi="Arial Narrow"/>
          <w:sz w:val="18"/>
        </w:rPr>
        <w:t xml:space="preserve">Source: constructed from the “Attachment 3.1 – Section 3 Workbook – cost effectiveness model” workbook provided in the resubmission (November 2023) and the “A3.1+Larotrectinib_PBACMSAC_CEA_June21_resub_6June21” workbook provided with the previous submission (November 2021) </w:t>
      </w:r>
    </w:p>
    <w:p w14:paraId="5CFF8835" w14:textId="6D5374DC" w:rsidR="00097911" w:rsidRPr="000C77A2" w:rsidRDefault="00097911" w:rsidP="00560AEC">
      <w:pPr>
        <w:spacing w:after="120"/>
        <w:rPr>
          <w:rFonts w:ascii="Arial Narrow" w:hAnsi="Arial Narrow"/>
          <w:snapToGrid w:val="0"/>
          <w:sz w:val="18"/>
        </w:rPr>
      </w:pPr>
      <w:r w:rsidRPr="000C77A2">
        <w:rPr>
          <w:rFonts w:ascii="Arial Narrow" w:hAnsi="Arial Narrow"/>
          <w:sz w:val="18"/>
        </w:rPr>
        <w:t xml:space="preserve">NSCLC = non-small cell lung cancer; NTRK = neurotrophic tyrosine receptor kinase; PFS = progression free survival; OS = overall survival;  STS = soft tissue sarcoma; TOT = time on treatment. </w:t>
      </w:r>
    </w:p>
    <w:p w14:paraId="5219478C" w14:textId="21C92D5D"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The results of key sensitivity analyses are summarised in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_Ref155598536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rPr>
          <w:rFonts w:asciiTheme="minorHAnsi" w:hAnsiTheme="minorHAnsi" w:cstheme="minorHAnsi"/>
        </w:rPr>
        <w:t>Table 22</w:t>
      </w:r>
      <w:r w:rsidRPr="000C77A2">
        <w:rPr>
          <w:rFonts w:asciiTheme="minorHAnsi" w:hAnsiTheme="minorHAnsi" w:cstheme="minorHAnsi"/>
          <w:snapToGrid w:val="0"/>
        </w:rPr>
        <w:fldChar w:fldCharType="end"/>
      </w:r>
      <w:r w:rsidRPr="000C77A2">
        <w:rPr>
          <w:rFonts w:asciiTheme="minorHAnsi" w:hAnsiTheme="minorHAnsi"/>
          <w:snapToGrid w:val="0"/>
        </w:rPr>
        <w:t xml:space="preserve"> </w:t>
      </w:r>
      <w:r w:rsidRPr="000C77A2">
        <w:rPr>
          <w:rFonts w:asciiTheme="minorHAnsi" w:hAnsiTheme="minorHAnsi" w:cstheme="minorHAnsi"/>
        </w:rPr>
        <w:t xml:space="preserve">and </w:t>
      </w:r>
      <w:r w:rsidRPr="000C77A2">
        <w:rPr>
          <w:rFonts w:asciiTheme="minorHAnsi" w:hAnsiTheme="minorHAnsi" w:cstheme="minorHAnsi"/>
        </w:rPr>
        <w:fldChar w:fldCharType="begin" w:fldLock="1"/>
      </w:r>
      <w:r w:rsidRPr="000C77A2">
        <w:rPr>
          <w:rFonts w:asciiTheme="minorHAnsi" w:hAnsiTheme="minorHAnsi" w:cstheme="minorHAnsi"/>
        </w:rPr>
        <w:instrText xml:space="preserve"> REF _Ref155612022 \h </w:instrText>
      </w:r>
      <w:r w:rsidR="005A2F5F" w:rsidRPr="000C77A2">
        <w:rPr>
          <w:rFonts w:asciiTheme="minorHAnsi" w:hAnsiTheme="minorHAnsi" w:cstheme="minorHAnsi"/>
        </w:rPr>
        <w:instrText xml:space="preserve"> \* MERGEFORMAT </w:instrText>
      </w:r>
      <w:r w:rsidRPr="000C77A2">
        <w:rPr>
          <w:rFonts w:asciiTheme="minorHAnsi" w:hAnsiTheme="minorHAnsi" w:cstheme="minorHAnsi"/>
        </w:rPr>
      </w:r>
      <w:r w:rsidRPr="000C77A2">
        <w:rPr>
          <w:rFonts w:asciiTheme="minorHAnsi" w:hAnsiTheme="minorHAnsi" w:cstheme="minorHAnsi"/>
        </w:rPr>
        <w:fldChar w:fldCharType="separate"/>
      </w:r>
      <w:r w:rsidR="001B0FE7" w:rsidRPr="001B0FE7">
        <w:rPr>
          <w:rFonts w:asciiTheme="minorHAnsi" w:hAnsiTheme="minorHAnsi" w:cstheme="minorHAnsi"/>
        </w:rPr>
        <w:t>Table 23</w:t>
      </w:r>
      <w:r w:rsidRPr="000C77A2">
        <w:rPr>
          <w:rFonts w:asciiTheme="minorHAnsi" w:hAnsiTheme="minorHAnsi" w:cstheme="minorHAnsi"/>
        </w:rPr>
        <w:fldChar w:fldCharType="end"/>
      </w:r>
      <w:r w:rsidRPr="000C77A2">
        <w:rPr>
          <w:rFonts w:asciiTheme="minorHAnsi" w:hAnsiTheme="minorHAnsi" w:cstheme="minorHAnsi"/>
        </w:rPr>
        <w:t>.</w:t>
      </w:r>
      <w:r w:rsidRPr="000C77A2">
        <w:rPr>
          <w:rFonts w:asciiTheme="minorHAnsi" w:hAnsiTheme="minorHAnsi"/>
          <w:snapToGrid w:val="0"/>
        </w:rPr>
        <w:t xml:space="preserve"> From the sensitivity analyses, it can be inferred that the models are highly sensitive to the </w:t>
      </w:r>
      <w:r w:rsidRPr="000C77A2">
        <w:rPr>
          <w:rFonts w:asciiTheme="minorHAnsi" w:hAnsiTheme="minorHAnsi"/>
          <w:snapToGrid w:val="0"/>
        </w:rPr>
        <w:lastRenderedPageBreak/>
        <w:t>time horizon, the utility weights applied and to the choice of parametric extrapolations (particularly in NSCLC). Further, given that the extrapolations are based on highly uncertain data, the modelled incremental outcomes accrued over the model time horizon are also highly uncertain</w:t>
      </w:r>
      <w:r w:rsidR="000C77A2">
        <w:rPr>
          <w:rFonts w:asciiTheme="minorHAnsi" w:hAnsiTheme="minorHAnsi"/>
          <w:snapToGrid w:val="0"/>
        </w:rPr>
        <w:t xml:space="preserve">. </w:t>
      </w:r>
    </w:p>
    <w:p w14:paraId="2EDAAE16" w14:textId="3084F3D8" w:rsidR="00097911" w:rsidRPr="000C77A2" w:rsidRDefault="00097911" w:rsidP="007F0A22">
      <w:pPr>
        <w:keepNext/>
        <w:keepLines/>
        <w:rPr>
          <w:rFonts w:ascii="Arial Narrow" w:hAnsi="Arial Narrow"/>
          <w:b/>
          <w:bCs/>
          <w:sz w:val="20"/>
          <w:szCs w:val="18"/>
        </w:rPr>
      </w:pPr>
      <w:bookmarkStart w:id="57" w:name="_Ref155598536"/>
      <w:bookmarkStart w:id="58" w:name="_Ref155611992"/>
      <w:r w:rsidRPr="000C77A2">
        <w:rPr>
          <w:rFonts w:ascii="Arial Narrow" w:hAnsi="Arial Narrow"/>
          <w:b/>
          <w:bCs/>
          <w:sz w:val="20"/>
          <w:szCs w:val="18"/>
        </w:rPr>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22</w:t>
      </w:r>
      <w:r w:rsidRPr="00576FA3">
        <w:rPr>
          <w:rFonts w:ascii="Arial Narrow" w:hAnsi="Arial Narrow"/>
          <w:b/>
          <w:bCs/>
          <w:sz w:val="20"/>
          <w:szCs w:val="18"/>
        </w:rPr>
        <w:fldChar w:fldCharType="end"/>
      </w:r>
      <w:bookmarkEnd w:id="57"/>
      <w:r w:rsidRPr="000C77A2">
        <w:rPr>
          <w:rFonts w:ascii="Arial Narrow" w:hAnsi="Arial Narrow"/>
          <w:b/>
          <w:bCs/>
          <w:sz w:val="20"/>
          <w:szCs w:val="18"/>
        </w:rPr>
        <w:t>: Key results of the sensitivity analyses (NSCLC)</w:t>
      </w:r>
      <w:bookmarkEnd w:id="58"/>
      <w:r w:rsidR="00F25F45" w:rsidRPr="000C77A2">
        <w:rPr>
          <w:rFonts w:ascii="Arial Narrow" w:hAnsi="Arial Narrow"/>
          <w:b/>
          <w:bCs/>
          <w:sz w:val="20"/>
          <w:szCs w:val="18"/>
        </w:rPr>
        <w:t xml:space="preserve"> (using the price proposed in the resubmission)</w:t>
      </w:r>
    </w:p>
    <w:tbl>
      <w:tblPr>
        <w:tblStyle w:val="TableGrid"/>
        <w:tblW w:w="0" w:type="auto"/>
        <w:tblInd w:w="-5" w:type="dxa"/>
        <w:tblLook w:val="04A0" w:firstRow="1" w:lastRow="0" w:firstColumn="1" w:lastColumn="0" w:noHBand="0" w:noVBand="1"/>
        <w:tblCaption w:val="Table 22: Key results of the sensitivity analyses (NSCLC) (using the price proposed in the resubmission)"/>
      </w:tblPr>
      <w:tblGrid>
        <w:gridCol w:w="3353"/>
        <w:gridCol w:w="1462"/>
        <w:gridCol w:w="1310"/>
        <w:gridCol w:w="1246"/>
        <w:gridCol w:w="1651"/>
      </w:tblGrid>
      <w:tr w:rsidR="00097911" w:rsidRPr="000C77A2" w14:paraId="4C7D2E62" w14:textId="77777777" w:rsidTr="00560AEC">
        <w:tc>
          <w:tcPr>
            <w:tcW w:w="3353" w:type="dxa"/>
          </w:tcPr>
          <w:p w14:paraId="16554EDF" w14:textId="77777777" w:rsidR="00097911" w:rsidRPr="000C77A2" w:rsidRDefault="00097911" w:rsidP="00560AEC">
            <w:pPr>
              <w:keepNext/>
              <w:keepLines/>
              <w:rPr>
                <w:rFonts w:ascii="Arial Narrow" w:hAnsi="Arial Narrow"/>
                <w:b/>
                <w:bCs/>
                <w:sz w:val="20"/>
                <w:szCs w:val="20"/>
              </w:rPr>
            </w:pPr>
          </w:p>
        </w:tc>
        <w:tc>
          <w:tcPr>
            <w:tcW w:w="1462" w:type="dxa"/>
            <w:vAlign w:val="center"/>
          </w:tcPr>
          <w:p w14:paraId="61BF826C" w14:textId="77777777" w:rsidR="00097911" w:rsidRPr="00576FA3" w:rsidRDefault="00097911" w:rsidP="00560AEC">
            <w:pPr>
              <w:keepNext/>
              <w:keepLines/>
              <w:jc w:val="center"/>
              <w:rPr>
                <w:rFonts w:ascii="Arial Narrow" w:eastAsiaTheme="majorEastAsia" w:hAnsi="Arial Narrow" w:cs="Times New Roman"/>
                <w:b/>
                <w:sz w:val="20"/>
              </w:rPr>
            </w:pPr>
            <w:r w:rsidRPr="00576FA3">
              <w:rPr>
                <w:rFonts w:ascii="Arial Narrow" w:eastAsiaTheme="majorEastAsia" w:hAnsi="Arial Narrow" w:cs="Times New Roman"/>
                <w:b/>
                <w:sz w:val="20"/>
              </w:rPr>
              <w:t>Incremental cost</w:t>
            </w:r>
          </w:p>
        </w:tc>
        <w:tc>
          <w:tcPr>
            <w:tcW w:w="1310" w:type="dxa"/>
            <w:vAlign w:val="center"/>
          </w:tcPr>
          <w:p w14:paraId="0AFB5908" w14:textId="77777777" w:rsidR="00097911" w:rsidRPr="00576FA3" w:rsidRDefault="00097911" w:rsidP="00560AEC">
            <w:pPr>
              <w:keepNext/>
              <w:keepLines/>
              <w:jc w:val="center"/>
              <w:rPr>
                <w:rFonts w:ascii="Arial Narrow" w:eastAsiaTheme="majorEastAsia" w:hAnsi="Arial Narrow" w:cs="Times New Roman"/>
                <w:b/>
                <w:sz w:val="20"/>
              </w:rPr>
            </w:pPr>
            <w:r w:rsidRPr="00576FA3">
              <w:rPr>
                <w:rFonts w:ascii="Arial Narrow" w:eastAsiaTheme="majorEastAsia" w:hAnsi="Arial Narrow" w:cs="Times New Roman"/>
                <w:b/>
                <w:sz w:val="20"/>
              </w:rPr>
              <w:t>Incremental QALYs</w:t>
            </w:r>
          </w:p>
        </w:tc>
        <w:tc>
          <w:tcPr>
            <w:tcW w:w="1246" w:type="dxa"/>
            <w:vAlign w:val="center"/>
          </w:tcPr>
          <w:p w14:paraId="67933BAE" w14:textId="77777777" w:rsidR="00097911" w:rsidRPr="00576FA3" w:rsidRDefault="00097911" w:rsidP="00560AEC">
            <w:pPr>
              <w:keepNext/>
              <w:keepLines/>
              <w:jc w:val="center"/>
              <w:rPr>
                <w:rFonts w:ascii="Arial Narrow" w:eastAsiaTheme="majorEastAsia" w:hAnsi="Arial Narrow" w:cs="Times New Roman"/>
                <w:b/>
                <w:sz w:val="20"/>
              </w:rPr>
            </w:pPr>
            <w:r w:rsidRPr="00576FA3">
              <w:rPr>
                <w:rFonts w:ascii="Arial Narrow" w:eastAsiaTheme="majorEastAsia" w:hAnsi="Arial Narrow" w:cs="Times New Roman"/>
                <w:b/>
                <w:sz w:val="20"/>
              </w:rPr>
              <w:t>ICER</w:t>
            </w:r>
          </w:p>
        </w:tc>
        <w:tc>
          <w:tcPr>
            <w:tcW w:w="1651" w:type="dxa"/>
          </w:tcPr>
          <w:p w14:paraId="16656FC2" w14:textId="77777777" w:rsidR="00097911" w:rsidRPr="00576FA3" w:rsidRDefault="00097911" w:rsidP="00560AEC">
            <w:pPr>
              <w:keepNext/>
              <w:keepLines/>
              <w:jc w:val="left"/>
              <w:rPr>
                <w:rFonts w:ascii="Arial Narrow" w:eastAsiaTheme="majorEastAsia" w:hAnsi="Arial Narrow" w:cs="Times New Roman"/>
                <w:b/>
                <w:sz w:val="20"/>
              </w:rPr>
            </w:pPr>
            <w:r w:rsidRPr="00576FA3">
              <w:rPr>
                <w:rFonts w:ascii="Arial Narrow" w:eastAsiaTheme="majorEastAsia" w:hAnsi="Arial Narrow" w:cs="Times New Roman"/>
                <w:b/>
                <w:sz w:val="20"/>
              </w:rPr>
              <w:t xml:space="preserve">% change from revised base case </w:t>
            </w:r>
          </w:p>
        </w:tc>
      </w:tr>
      <w:tr w:rsidR="00097911" w:rsidRPr="000C77A2" w14:paraId="542F952E" w14:textId="77777777" w:rsidTr="00504411">
        <w:tc>
          <w:tcPr>
            <w:tcW w:w="9022" w:type="dxa"/>
            <w:gridSpan w:val="5"/>
          </w:tcPr>
          <w:p w14:paraId="79693552" w14:textId="77777777" w:rsidR="00097911" w:rsidRPr="000C77A2" w:rsidRDefault="00097911" w:rsidP="00560AEC">
            <w:pPr>
              <w:keepNext/>
              <w:keepLines/>
              <w:jc w:val="center"/>
              <w:rPr>
                <w:rFonts w:ascii="Arial Narrow" w:hAnsi="Arial Narrow"/>
                <w:b/>
                <w:bCs/>
                <w:sz w:val="20"/>
                <w:szCs w:val="20"/>
              </w:rPr>
            </w:pPr>
            <w:r w:rsidRPr="000C77A2">
              <w:rPr>
                <w:rFonts w:ascii="Arial Narrow" w:hAnsi="Arial Narrow"/>
                <w:b/>
                <w:bCs/>
                <w:sz w:val="20"/>
                <w:szCs w:val="20"/>
              </w:rPr>
              <w:t>NSCLC</w:t>
            </w:r>
          </w:p>
        </w:tc>
      </w:tr>
      <w:tr w:rsidR="00097911" w:rsidRPr="000C77A2" w14:paraId="4EC852F6" w14:textId="77777777" w:rsidTr="00C66EC7">
        <w:tc>
          <w:tcPr>
            <w:tcW w:w="3353" w:type="dxa"/>
          </w:tcPr>
          <w:p w14:paraId="407AF26F" w14:textId="77777777" w:rsidR="00097911" w:rsidRPr="000C77A2" w:rsidRDefault="00097911" w:rsidP="00560AEC">
            <w:pPr>
              <w:keepNext/>
              <w:keepLines/>
              <w:jc w:val="left"/>
              <w:rPr>
                <w:rFonts w:ascii="Arial Narrow" w:hAnsi="Arial Narrow"/>
                <w:b/>
                <w:bCs/>
                <w:sz w:val="20"/>
                <w:szCs w:val="20"/>
              </w:rPr>
            </w:pPr>
            <w:r w:rsidRPr="000C77A2">
              <w:rPr>
                <w:rFonts w:ascii="Arial Narrow" w:hAnsi="Arial Narrow"/>
                <w:b/>
                <w:bCs/>
                <w:sz w:val="20"/>
                <w:szCs w:val="20"/>
              </w:rPr>
              <w:t xml:space="preserve">Revised base case </w:t>
            </w:r>
          </w:p>
        </w:tc>
        <w:tc>
          <w:tcPr>
            <w:tcW w:w="1462" w:type="dxa"/>
            <w:shd w:val="solid" w:color="000000" w:fill="000000"/>
          </w:tcPr>
          <w:p w14:paraId="47B3554E" w14:textId="384133D5" w:rsidR="00097911" w:rsidRPr="000C77A2" w:rsidRDefault="00C66EC7" w:rsidP="00560AEC">
            <w:pPr>
              <w:keepNext/>
              <w:keepLines/>
              <w:jc w:val="right"/>
              <w:rPr>
                <w:rFonts w:ascii="Arial Narrow" w:hAnsi="Arial Narrow"/>
                <w:b/>
                <w:bCs/>
                <w:sz w:val="20"/>
                <w:szCs w:val="20"/>
              </w:rPr>
            </w:pPr>
            <w:r w:rsidRPr="00C66EC7">
              <w:rPr>
                <w:rFonts w:ascii="Arial Narrow" w:hAnsi="Arial Narrow"/>
                <w:b/>
                <w:bCs/>
                <w:color w:val="000000"/>
                <w:sz w:val="20"/>
                <w:szCs w:val="20"/>
                <w14:textFill>
                  <w14:solidFill>
                    <w14:srgbClr w14:val="000000">
                      <w14:alpha w14:val="100000"/>
                    </w14:srgbClr>
                  </w14:solidFill>
                </w14:textFill>
              </w:rPr>
              <w:t>|</w:t>
            </w:r>
          </w:p>
        </w:tc>
        <w:tc>
          <w:tcPr>
            <w:tcW w:w="1310" w:type="dxa"/>
          </w:tcPr>
          <w:p w14:paraId="45DC6807" w14:textId="77777777" w:rsidR="00097911" w:rsidRPr="000C77A2" w:rsidRDefault="00097911" w:rsidP="00560AEC">
            <w:pPr>
              <w:keepNext/>
              <w:keepLines/>
              <w:jc w:val="right"/>
              <w:rPr>
                <w:rFonts w:ascii="Arial Narrow" w:hAnsi="Arial Narrow"/>
                <w:b/>
                <w:bCs/>
                <w:sz w:val="20"/>
                <w:szCs w:val="20"/>
              </w:rPr>
            </w:pPr>
            <w:r w:rsidRPr="000C77A2">
              <w:rPr>
                <w:rFonts w:ascii="Arial Narrow" w:hAnsi="Arial Narrow"/>
                <w:b/>
                <w:bCs/>
                <w:sz w:val="20"/>
                <w:szCs w:val="20"/>
              </w:rPr>
              <w:t>1.88</w:t>
            </w:r>
          </w:p>
        </w:tc>
        <w:tc>
          <w:tcPr>
            <w:tcW w:w="1246" w:type="dxa"/>
          </w:tcPr>
          <w:p w14:paraId="338FB474" w14:textId="4C5304EF" w:rsidR="00097911" w:rsidRPr="00560AEC" w:rsidRDefault="00C66EC7" w:rsidP="00560AEC">
            <w:pPr>
              <w:keepNext/>
              <w:keepLines/>
              <w:jc w:val="right"/>
              <w:rPr>
                <w:rFonts w:ascii="Arial Narrow" w:hAnsi="Arial Narrow"/>
                <w:b/>
                <w:bCs/>
                <w:sz w:val="20"/>
                <w:szCs w:val="20"/>
                <w:highlight w:val="lightGray"/>
              </w:rPr>
            </w:pPr>
            <w:r w:rsidRPr="00C66EC7">
              <w:rPr>
                <w:rFonts w:ascii="Arial Narrow" w:hAnsi="Arial Narrow"/>
                <w:b/>
                <w:bCs/>
                <w:color w:val="000000"/>
                <w:sz w:val="20"/>
                <w:szCs w:val="20"/>
                <w:shd w:val="solid" w:color="000000" w:fill="000000"/>
                <w14:textFill>
                  <w14:solidFill>
                    <w14:srgbClr w14:val="000000">
                      <w14:alpha w14:val="100000"/>
                    </w14:srgbClr>
                  </w14:solidFill>
                </w14:textFill>
              </w:rPr>
              <w:t>|</w:t>
            </w:r>
            <w:r w:rsidR="00400B9F" w:rsidRPr="00560AEC">
              <w:rPr>
                <w:rFonts w:ascii="Arial Narrow" w:hAnsi="Arial Narrow"/>
                <w:b/>
                <w:bCs/>
                <w:sz w:val="20"/>
                <w:szCs w:val="20"/>
                <w:vertAlign w:val="superscript"/>
              </w:rPr>
              <w:t>1</w:t>
            </w:r>
          </w:p>
        </w:tc>
        <w:tc>
          <w:tcPr>
            <w:tcW w:w="1651" w:type="dxa"/>
          </w:tcPr>
          <w:p w14:paraId="2B0A8CCD" w14:textId="4FCBA740" w:rsidR="00097911" w:rsidRPr="000C77A2" w:rsidRDefault="006C77BE" w:rsidP="00560AEC">
            <w:pPr>
              <w:keepNext/>
              <w:keepLines/>
              <w:jc w:val="right"/>
              <w:rPr>
                <w:rFonts w:ascii="Arial Narrow" w:hAnsi="Arial Narrow"/>
                <w:b/>
                <w:bCs/>
                <w:i/>
                <w:iCs/>
                <w:sz w:val="20"/>
                <w:szCs w:val="20"/>
              </w:rPr>
            </w:pPr>
            <w:r w:rsidRPr="000C77A2">
              <w:rPr>
                <w:rFonts w:ascii="Arial Narrow" w:hAnsi="Arial Narrow"/>
                <w:b/>
                <w:bCs/>
                <w:i/>
                <w:iCs/>
                <w:sz w:val="20"/>
                <w:szCs w:val="20"/>
              </w:rPr>
              <w:t>-</w:t>
            </w:r>
          </w:p>
        </w:tc>
      </w:tr>
      <w:tr w:rsidR="00097911" w:rsidRPr="000C77A2" w14:paraId="4DEF3F98" w14:textId="77777777" w:rsidTr="00504411">
        <w:tc>
          <w:tcPr>
            <w:tcW w:w="9022" w:type="dxa"/>
            <w:gridSpan w:val="5"/>
          </w:tcPr>
          <w:p w14:paraId="762393EF" w14:textId="77777777" w:rsidR="00097911" w:rsidRPr="000C77A2" w:rsidRDefault="00097911" w:rsidP="00560AEC">
            <w:pPr>
              <w:keepNext/>
              <w:keepLines/>
              <w:jc w:val="left"/>
              <w:rPr>
                <w:rFonts w:ascii="Arial Narrow" w:hAnsi="Arial Narrow"/>
                <w:b/>
                <w:bCs/>
                <w:sz w:val="20"/>
                <w:szCs w:val="20"/>
              </w:rPr>
            </w:pPr>
            <w:r w:rsidRPr="000C77A2">
              <w:rPr>
                <w:rFonts w:ascii="Arial Narrow" w:hAnsi="Arial Narrow"/>
                <w:b/>
                <w:bCs/>
                <w:sz w:val="20"/>
                <w:szCs w:val="20"/>
              </w:rPr>
              <w:t xml:space="preserve">Time horizon </w:t>
            </w:r>
            <w:r w:rsidRPr="000C77A2">
              <w:rPr>
                <w:rFonts w:ascii="Arial Narrow" w:hAnsi="Arial Narrow"/>
                <w:sz w:val="20"/>
                <w:szCs w:val="20"/>
              </w:rPr>
              <w:t>(base case: 10 years)</w:t>
            </w:r>
          </w:p>
        </w:tc>
      </w:tr>
      <w:tr w:rsidR="00097911" w:rsidRPr="000C77A2" w14:paraId="6B20A0EF" w14:textId="77777777" w:rsidTr="00C66EC7">
        <w:tc>
          <w:tcPr>
            <w:tcW w:w="3353" w:type="dxa"/>
          </w:tcPr>
          <w:p w14:paraId="6E678926" w14:textId="59A404B1"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 xml:space="preserve">5 years </w:t>
            </w:r>
          </w:p>
        </w:tc>
        <w:tc>
          <w:tcPr>
            <w:tcW w:w="1462" w:type="dxa"/>
            <w:tcBorders>
              <w:bottom w:val="single" w:sz="4" w:space="0" w:color="auto"/>
            </w:tcBorders>
            <w:shd w:val="solid" w:color="000000" w:fill="000000"/>
          </w:tcPr>
          <w:p w14:paraId="15057C54" w14:textId="253D97C3"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0E7F705F"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1.32</w:t>
            </w:r>
          </w:p>
        </w:tc>
        <w:tc>
          <w:tcPr>
            <w:tcW w:w="1246" w:type="dxa"/>
          </w:tcPr>
          <w:p w14:paraId="4A06956C" w14:textId="73D799D3"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Pr>
                <w:rFonts w:ascii="Arial Narrow" w:hAnsi="Arial Narrow"/>
                <w:b/>
                <w:bCs/>
                <w:sz w:val="20"/>
                <w:szCs w:val="20"/>
                <w:vertAlign w:val="superscript"/>
              </w:rPr>
              <w:t>2</w:t>
            </w:r>
          </w:p>
        </w:tc>
        <w:tc>
          <w:tcPr>
            <w:tcW w:w="1651" w:type="dxa"/>
          </w:tcPr>
          <w:p w14:paraId="799F30D0" w14:textId="512CCDB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4A164BA4" w14:textId="77777777" w:rsidTr="00C66EC7">
        <w:tc>
          <w:tcPr>
            <w:tcW w:w="3353" w:type="dxa"/>
          </w:tcPr>
          <w:p w14:paraId="7D4E4F15" w14:textId="77777777"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 xml:space="preserve">15 years </w:t>
            </w:r>
          </w:p>
        </w:tc>
        <w:tc>
          <w:tcPr>
            <w:tcW w:w="1462" w:type="dxa"/>
            <w:shd w:val="solid" w:color="000000" w:fill="000000"/>
          </w:tcPr>
          <w:p w14:paraId="403CCB0B" w14:textId="22FDCB1B"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77464CEB"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2.04</w:t>
            </w:r>
          </w:p>
        </w:tc>
        <w:tc>
          <w:tcPr>
            <w:tcW w:w="1246" w:type="dxa"/>
          </w:tcPr>
          <w:p w14:paraId="5F01D119" w14:textId="11DE8C83"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162C9D">
              <w:rPr>
                <w:rFonts w:ascii="Arial Narrow" w:hAnsi="Arial Narrow"/>
                <w:b/>
                <w:bCs/>
                <w:sz w:val="20"/>
                <w:szCs w:val="20"/>
                <w:vertAlign w:val="superscript"/>
              </w:rPr>
              <w:t>1</w:t>
            </w:r>
          </w:p>
        </w:tc>
        <w:tc>
          <w:tcPr>
            <w:tcW w:w="1651" w:type="dxa"/>
          </w:tcPr>
          <w:p w14:paraId="63BFA47D" w14:textId="0BAFC019"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1CAF0BF1" w14:textId="77777777" w:rsidTr="00504411">
        <w:tc>
          <w:tcPr>
            <w:tcW w:w="9022" w:type="dxa"/>
            <w:gridSpan w:val="5"/>
          </w:tcPr>
          <w:p w14:paraId="5460B28F" w14:textId="77777777" w:rsidR="00097911" w:rsidRPr="000C77A2" w:rsidRDefault="00097911" w:rsidP="00560AEC">
            <w:pPr>
              <w:keepNext/>
              <w:keepLines/>
              <w:rPr>
                <w:rFonts w:ascii="Arial Narrow" w:hAnsi="Arial Narrow"/>
                <w:sz w:val="20"/>
                <w:szCs w:val="20"/>
              </w:rPr>
            </w:pPr>
            <w:r w:rsidRPr="000C77A2">
              <w:rPr>
                <w:rFonts w:ascii="Arial Narrow" w:hAnsi="Arial Narrow"/>
                <w:b/>
                <w:bCs/>
                <w:sz w:val="20"/>
                <w:szCs w:val="20"/>
              </w:rPr>
              <w:t xml:space="preserve">Discount rate </w:t>
            </w:r>
            <w:r w:rsidRPr="000C77A2">
              <w:rPr>
                <w:rFonts w:ascii="Arial Narrow" w:hAnsi="Arial Narrow"/>
                <w:sz w:val="20"/>
                <w:szCs w:val="20"/>
              </w:rPr>
              <w:t>(base case: 5% for costs and outcomes)</w:t>
            </w:r>
          </w:p>
        </w:tc>
      </w:tr>
      <w:tr w:rsidR="00097911" w:rsidRPr="000C77A2" w14:paraId="3D09B750" w14:textId="77777777" w:rsidTr="00C66EC7">
        <w:tc>
          <w:tcPr>
            <w:tcW w:w="3353" w:type="dxa"/>
          </w:tcPr>
          <w:p w14:paraId="0269D6ED" w14:textId="77777777"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0%</w:t>
            </w:r>
          </w:p>
        </w:tc>
        <w:tc>
          <w:tcPr>
            <w:tcW w:w="1462" w:type="dxa"/>
            <w:tcBorders>
              <w:bottom w:val="single" w:sz="4" w:space="0" w:color="auto"/>
            </w:tcBorders>
            <w:shd w:val="solid" w:color="000000" w:fill="000000"/>
          </w:tcPr>
          <w:p w14:paraId="3166E251" w14:textId="3C25F2EA"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53051B50"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2.23</w:t>
            </w:r>
          </w:p>
        </w:tc>
        <w:tc>
          <w:tcPr>
            <w:tcW w:w="1246" w:type="dxa"/>
          </w:tcPr>
          <w:p w14:paraId="05F5AD66" w14:textId="20604F32"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162C9D">
              <w:rPr>
                <w:rFonts w:ascii="Arial Narrow" w:hAnsi="Arial Narrow"/>
                <w:b/>
                <w:bCs/>
                <w:sz w:val="20"/>
                <w:szCs w:val="20"/>
                <w:vertAlign w:val="superscript"/>
              </w:rPr>
              <w:t>1</w:t>
            </w:r>
          </w:p>
        </w:tc>
        <w:tc>
          <w:tcPr>
            <w:tcW w:w="1651" w:type="dxa"/>
          </w:tcPr>
          <w:p w14:paraId="3D09D3A8" w14:textId="12BCA1F1"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1C1EA65C" w14:textId="77777777" w:rsidTr="00C66EC7">
        <w:tc>
          <w:tcPr>
            <w:tcW w:w="3353" w:type="dxa"/>
          </w:tcPr>
          <w:p w14:paraId="38CA4564" w14:textId="77777777"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3.5%</w:t>
            </w:r>
          </w:p>
        </w:tc>
        <w:tc>
          <w:tcPr>
            <w:tcW w:w="1462" w:type="dxa"/>
            <w:shd w:val="solid" w:color="000000" w:fill="000000"/>
          </w:tcPr>
          <w:p w14:paraId="42D4D230" w14:textId="23699550"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79905280"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1.97</w:t>
            </w:r>
          </w:p>
        </w:tc>
        <w:tc>
          <w:tcPr>
            <w:tcW w:w="1246" w:type="dxa"/>
          </w:tcPr>
          <w:p w14:paraId="30B9FB40" w14:textId="171EA64E"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162C9D">
              <w:rPr>
                <w:rFonts w:ascii="Arial Narrow" w:hAnsi="Arial Narrow"/>
                <w:b/>
                <w:bCs/>
                <w:sz w:val="20"/>
                <w:szCs w:val="20"/>
                <w:vertAlign w:val="superscript"/>
              </w:rPr>
              <w:t>1</w:t>
            </w:r>
          </w:p>
        </w:tc>
        <w:tc>
          <w:tcPr>
            <w:tcW w:w="1651" w:type="dxa"/>
          </w:tcPr>
          <w:p w14:paraId="69E89EBD" w14:textId="30C9521A"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7061B066" w14:textId="77777777" w:rsidTr="00504411">
        <w:tc>
          <w:tcPr>
            <w:tcW w:w="9022" w:type="dxa"/>
            <w:gridSpan w:val="5"/>
          </w:tcPr>
          <w:p w14:paraId="5EE0C7E6" w14:textId="77777777" w:rsidR="00097911" w:rsidRPr="000C77A2" w:rsidRDefault="00097911" w:rsidP="00560AEC">
            <w:pPr>
              <w:keepNext/>
              <w:keepLines/>
              <w:jc w:val="left"/>
              <w:rPr>
                <w:rFonts w:ascii="Arial Narrow" w:hAnsi="Arial Narrow"/>
                <w:b/>
                <w:bCs/>
                <w:sz w:val="20"/>
                <w:szCs w:val="20"/>
              </w:rPr>
            </w:pPr>
            <w:r w:rsidRPr="000C77A2">
              <w:rPr>
                <w:rFonts w:ascii="Arial Narrow" w:hAnsi="Arial Narrow"/>
                <w:b/>
                <w:bCs/>
                <w:sz w:val="20"/>
                <w:szCs w:val="20"/>
              </w:rPr>
              <w:t xml:space="preserve">Utility weights </w:t>
            </w:r>
            <w:r w:rsidRPr="000C77A2">
              <w:rPr>
                <w:rFonts w:ascii="Arial Narrow" w:hAnsi="Arial Narrow"/>
                <w:sz w:val="20"/>
                <w:szCs w:val="20"/>
              </w:rPr>
              <w:t>(base case: PF: 0.713, PD: 0.688)</w:t>
            </w:r>
          </w:p>
        </w:tc>
      </w:tr>
      <w:tr w:rsidR="00097911" w:rsidRPr="000C77A2" w14:paraId="5EE5C923" w14:textId="77777777" w:rsidTr="00C66EC7">
        <w:tc>
          <w:tcPr>
            <w:tcW w:w="3353" w:type="dxa"/>
          </w:tcPr>
          <w:p w14:paraId="2915A196" w14:textId="77777777"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 xml:space="preserve">PF = 0.891; PD = 0.688 (unchanged) </w:t>
            </w:r>
          </w:p>
        </w:tc>
        <w:tc>
          <w:tcPr>
            <w:tcW w:w="1462" w:type="dxa"/>
            <w:tcBorders>
              <w:bottom w:val="single" w:sz="4" w:space="0" w:color="auto"/>
            </w:tcBorders>
            <w:shd w:val="solid" w:color="000000" w:fill="000000"/>
          </w:tcPr>
          <w:p w14:paraId="3DE4C6C4" w14:textId="77B3DE40"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0CAA2DCA"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2.18</w:t>
            </w:r>
          </w:p>
        </w:tc>
        <w:tc>
          <w:tcPr>
            <w:tcW w:w="1246" w:type="dxa"/>
          </w:tcPr>
          <w:p w14:paraId="77AB5707" w14:textId="30A086F9"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Pr>
                <w:rFonts w:ascii="Arial Narrow" w:hAnsi="Arial Narrow"/>
                <w:b/>
                <w:bCs/>
                <w:sz w:val="20"/>
                <w:szCs w:val="20"/>
                <w:vertAlign w:val="superscript"/>
              </w:rPr>
              <w:t>3</w:t>
            </w:r>
          </w:p>
        </w:tc>
        <w:tc>
          <w:tcPr>
            <w:tcW w:w="1651" w:type="dxa"/>
          </w:tcPr>
          <w:p w14:paraId="03368DAD" w14:textId="31ADD4DD"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5657E1BC" w14:textId="77777777" w:rsidTr="00C66EC7">
        <w:tc>
          <w:tcPr>
            <w:tcW w:w="3353" w:type="dxa"/>
          </w:tcPr>
          <w:p w14:paraId="306232C3" w14:textId="77777777"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PF = 0.713 (unchanged); PD = 0.516</w:t>
            </w:r>
          </w:p>
        </w:tc>
        <w:tc>
          <w:tcPr>
            <w:tcW w:w="1462" w:type="dxa"/>
            <w:tcBorders>
              <w:bottom w:val="single" w:sz="4" w:space="0" w:color="auto"/>
            </w:tcBorders>
            <w:shd w:val="solid" w:color="000000" w:fill="000000"/>
          </w:tcPr>
          <w:p w14:paraId="424234A9" w14:textId="3EDFE542"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00EB1EBA"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1.71</w:t>
            </w:r>
          </w:p>
        </w:tc>
        <w:tc>
          <w:tcPr>
            <w:tcW w:w="1246" w:type="dxa"/>
          </w:tcPr>
          <w:p w14:paraId="57066530" w14:textId="5252F0E4"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Pr>
                <w:rFonts w:ascii="Arial Narrow" w:hAnsi="Arial Narrow"/>
                <w:b/>
                <w:bCs/>
                <w:sz w:val="20"/>
                <w:szCs w:val="20"/>
                <w:vertAlign w:val="superscript"/>
              </w:rPr>
              <w:t>2</w:t>
            </w:r>
          </w:p>
        </w:tc>
        <w:tc>
          <w:tcPr>
            <w:tcW w:w="1651" w:type="dxa"/>
          </w:tcPr>
          <w:p w14:paraId="2B64D54E" w14:textId="4465EDA4"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182A475C" w14:textId="77777777" w:rsidTr="00C66EC7">
        <w:tc>
          <w:tcPr>
            <w:tcW w:w="3353" w:type="dxa"/>
          </w:tcPr>
          <w:p w14:paraId="6A823EC9" w14:textId="77777777"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PF = 0.81; PD = 0.72</w:t>
            </w:r>
          </w:p>
          <w:p w14:paraId="21AF94BD" w14:textId="57CE11BB"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 xml:space="preserve">(para 6.48, atezolizumab PSD, July 2022 PBAC meeting) </w:t>
            </w:r>
          </w:p>
        </w:tc>
        <w:tc>
          <w:tcPr>
            <w:tcW w:w="1462" w:type="dxa"/>
            <w:tcBorders>
              <w:bottom w:val="single" w:sz="4" w:space="0" w:color="auto"/>
            </w:tcBorders>
            <w:shd w:val="solid" w:color="000000" w:fill="000000"/>
          </w:tcPr>
          <w:p w14:paraId="67E9E9D4" w14:textId="6572CB5C"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13BC5BAF"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2.07</w:t>
            </w:r>
          </w:p>
        </w:tc>
        <w:tc>
          <w:tcPr>
            <w:tcW w:w="1246" w:type="dxa"/>
          </w:tcPr>
          <w:p w14:paraId="3C16111B" w14:textId="0AC5499D"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Pr>
                <w:rFonts w:ascii="Arial Narrow" w:hAnsi="Arial Narrow"/>
                <w:b/>
                <w:bCs/>
                <w:sz w:val="20"/>
                <w:szCs w:val="20"/>
                <w:vertAlign w:val="superscript"/>
              </w:rPr>
              <w:t>3</w:t>
            </w:r>
          </w:p>
        </w:tc>
        <w:tc>
          <w:tcPr>
            <w:tcW w:w="1651" w:type="dxa"/>
          </w:tcPr>
          <w:p w14:paraId="359B0C0E" w14:textId="78313B9E"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8F6578" w:rsidRPr="000C77A2" w14:paraId="71762A48" w14:textId="77777777" w:rsidTr="00C66EC7">
        <w:tc>
          <w:tcPr>
            <w:tcW w:w="3353" w:type="dxa"/>
          </w:tcPr>
          <w:p w14:paraId="52E4ED20" w14:textId="7F7DFD92" w:rsidR="008F6578" w:rsidRPr="000C77A2" w:rsidRDefault="008F6578" w:rsidP="00560AEC">
            <w:pPr>
              <w:keepNext/>
              <w:keepLines/>
              <w:jc w:val="left"/>
              <w:rPr>
                <w:rFonts w:ascii="Arial Narrow" w:hAnsi="Arial Narrow"/>
                <w:sz w:val="20"/>
                <w:szCs w:val="20"/>
              </w:rPr>
            </w:pPr>
            <w:r w:rsidRPr="000C77A2">
              <w:rPr>
                <w:rFonts w:ascii="Arial Narrow" w:hAnsi="Arial Narrow"/>
                <w:sz w:val="20"/>
                <w:szCs w:val="20"/>
              </w:rPr>
              <w:t>PF = 0.80, PD =0.73 (sourced from previous submission)</w:t>
            </w:r>
          </w:p>
        </w:tc>
        <w:tc>
          <w:tcPr>
            <w:tcW w:w="1462" w:type="dxa"/>
            <w:tcBorders>
              <w:bottom w:val="single" w:sz="4" w:space="0" w:color="auto"/>
            </w:tcBorders>
            <w:shd w:val="solid" w:color="000000" w:fill="000000"/>
          </w:tcPr>
          <w:p w14:paraId="3369CD3A" w14:textId="71C19F77" w:rsidR="008F6578"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7CF2F36C" w14:textId="76F0F8FF" w:rsidR="008F6578" w:rsidRPr="000C77A2" w:rsidRDefault="008F6578" w:rsidP="00560AEC">
            <w:pPr>
              <w:keepNext/>
              <w:keepLines/>
              <w:jc w:val="right"/>
              <w:rPr>
                <w:rFonts w:ascii="Arial Narrow" w:hAnsi="Arial Narrow"/>
                <w:sz w:val="20"/>
                <w:szCs w:val="20"/>
              </w:rPr>
            </w:pPr>
            <w:r w:rsidRPr="000C77A2">
              <w:rPr>
                <w:rFonts w:ascii="Arial Narrow" w:hAnsi="Arial Narrow"/>
                <w:sz w:val="20"/>
                <w:szCs w:val="20"/>
              </w:rPr>
              <w:t>2.07</w:t>
            </w:r>
          </w:p>
        </w:tc>
        <w:tc>
          <w:tcPr>
            <w:tcW w:w="1246" w:type="dxa"/>
          </w:tcPr>
          <w:p w14:paraId="0F716FC5" w14:textId="26578B94" w:rsidR="008F6578"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Pr>
                <w:rFonts w:ascii="Arial Narrow" w:hAnsi="Arial Narrow"/>
                <w:b/>
                <w:bCs/>
                <w:sz w:val="20"/>
                <w:szCs w:val="20"/>
                <w:vertAlign w:val="superscript"/>
              </w:rPr>
              <w:t>3</w:t>
            </w:r>
          </w:p>
        </w:tc>
        <w:tc>
          <w:tcPr>
            <w:tcW w:w="1651" w:type="dxa"/>
          </w:tcPr>
          <w:p w14:paraId="0DD9A406" w14:textId="76E7B57F" w:rsidR="008F6578" w:rsidRPr="000C77A2" w:rsidRDefault="008F6578"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36067DCA" w14:textId="77777777" w:rsidTr="00C66EC7">
        <w:tc>
          <w:tcPr>
            <w:tcW w:w="3353" w:type="dxa"/>
          </w:tcPr>
          <w:p w14:paraId="290058D5" w14:textId="224EDBE3" w:rsidR="00097911" w:rsidRPr="000C77A2" w:rsidRDefault="00097911" w:rsidP="00560AEC">
            <w:pPr>
              <w:keepNext/>
              <w:keepLines/>
              <w:jc w:val="left"/>
              <w:rPr>
                <w:rFonts w:ascii="Arial Narrow" w:hAnsi="Arial Narrow"/>
                <w:sz w:val="20"/>
                <w:szCs w:val="20"/>
              </w:rPr>
            </w:pPr>
            <w:r w:rsidRPr="000C77A2">
              <w:rPr>
                <w:rFonts w:ascii="Arial Narrow" w:hAnsi="Arial Narrow"/>
                <w:sz w:val="20"/>
                <w:szCs w:val="20"/>
              </w:rPr>
              <w:t>Including disutility due to A</w:t>
            </w:r>
            <w:r w:rsidR="002D3BA0" w:rsidRPr="000C77A2">
              <w:rPr>
                <w:rFonts w:ascii="Arial Narrow" w:hAnsi="Arial Narrow"/>
                <w:sz w:val="20"/>
                <w:szCs w:val="20"/>
              </w:rPr>
              <w:t>E</w:t>
            </w:r>
            <w:r w:rsidRPr="000C77A2">
              <w:rPr>
                <w:rFonts w:ascii="Arial Narrow" w:hAnsi="Arial Narrow"/>
                <w:sz w:val="20"/>
                <w:szCs w:val="20"/>
              </w:rPr>
              <w:t xml:space="preserve">s (0.024) </w:t>
            </w:r>
          </w:p>
        </w:tc>
        <w:tc>
          <w:tcPr>
            <w:tcW w:w="1462" w:type="dxa"/>
            <w:shd w:val="solid" w:color="000000" w:fill="000000"/>
          </w:tcPr>
          <w:p w14:paraId="0D5CB701" w14:textId="700921C6"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38E549C0" w14:textId="77777777" w:rsidR="00097911" w:rsidRPr="000C77A2" w:rsidRDefault="00097911" w:rsidP="00560AEC">
            <w:pPr>
              <w:keepNext/>
              <w:keepLines/>
              <w:jc w:val="right"/>
              <w:rPr>
                <w:rFonts w:ascii="Arial Narrow" w:hAnsi="Arial Narrow"/>
                <w:sz w:val="20"/>
                <w:szCs w:val="20"/>
              </w:rPr>
            </w:pPr>
            <w:r w:rsidRPr="000C77A2">
              <w:rPr>
                <w:rFonts w:ascii="Arial Narrow" w:hAnsi="Arial Narrow"/>
                <w:sz w:val="20"/>
                <w:szCs w:val="20"/>
              </w:rPr>
              <w:t>1.85</w:t>
            </w:r>
          </w:p>
        </w:tc>
        <w:tc>
          <w:tcPr>
            <w:tcW w:w="1246" w:type="dxa"/>
          </w:tcPr>
          <w:p w14:paraId="4F4B20EB" w14:textId="24454B05"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162C9D">
              <w:rPr>
                <w:rFonts w:ascii="Arial Narrow" w:hAnsi="Arial Narrow"/>
                <w:b/>
                <w:bCs/>
                <w:sz w:val="20"/>
                <w:szCs w:val="20"/>
                <w:vertAlign w:val="superscript"/>
              </w:rPr>
              <w:t>1</w:t>
            </w:r>
          </w:p>
        </w:tc>
        <w:tc>
          <w:tcPr>
            <w:tcW w:w="1651" w:type="dxa"/>
          </w:tcPr>
          <w:p w14:paraId="103AACDE" w14:textId="0DF51A5B" w:rsidR="00097911" w:rsidRPr="000C77A2" w:rsidRDefault="002E3BFA"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59FCB5E5" w14:textId="77777777" w:rsidTr="00504411">
        <w:tc>
          <w:tcPr>
            <w:tcW w:w="9022" w:type="dxa"/>
            <w:gridSpan w:val="5"/>
          </w:tcPr>
          <w:p w14:paraId="3214909D" w14:textId="77777777" w:rsidR="00097911" w:rsidRPr="000C77A2" w:rsidRDefault="00097911" w:rsidP="00560AEC">
            <w:pPr>
              <w:keepNext/>
              <w:keepLines/>
              <w:jc w:val="left"/>
              <w:rPr>
                <w:rFonts w:ascii="Arial Narrow" w:hAnsi="Arial Narrow"/>
                <w:b/>
                <w:bCs/>
                <w:sz w:val="20"/>
                <w:szCs w:val="20"/>
              </w:rPr>
            </w:pPr>
            <w:r w:rsidRPr="000C77A2">
              <w:rPr>
                <w:rFonts w:ascii="Arial Narrow" w:hAnsi="Arial Narrow"/>
                <w:b/>
                <w:bCs/>
                <w:sz w:val="20"/>
                <w:szCs w:val="20"/>
              </w:rPr>
              <w:t xml:space="preserve">Larotrectinib KM truncation time point </w:t>
            </w:r>
            <w:r w:rsidRPr="000C77A2">
              <w:rPr>
                <w:rFonts w:ascii="Arial Narrow" w:hAnsi="Arial Narrow"/>
                <w:sz w:val="20"/>
                <w:szCs w:val="20"/>
              </w:rPr>
              <w:t>(base case: PFS: 12 months, OS: 24 months)</w:t>
            </w:r>
          </w:p>
        </w:tc>
      </w:tr>
      <w:tr w:rsidR="0012298F" w:rsidRPr="000C77A2" w14:paraId="60049878" w14:textId="77777777" w:rsidTr="00C66EC7">
        <w:tc>
          <w:tcPr>
            <w:tcW w:w="3353" w:type="dxa"/>
          </w:tcPr>
          <w:p w14:paraId="4EDAEA62" w14:textId="234FA0E1" w:rsidR="0012298F" w:rsidRPr="000C77A2" w:rsidRDefault="0012298F" w:rsidP="00560AEC">
            <w:pPr>
              <w:keepNext/>
              <w:keepLines/>
              <w:jc w:val="left"/>
              <w:rPr>
                <w:rFonts w:ascii="Arial Narrow" w:hAnsi="Arial Narrow"/>
                <w:sz w:val="20"/>
                <w:szCs w:val="20"/>
              </w:rPr>
            </w:pPr>
            <w:r w:rsidRPr="000C77A2">
              <w:rPr>
                <w:rFonts w:ascii="Arial Narrow" w:hAnsi="Arial Narrow"/>
                <w:sz w:val="20"/>
                <w:szCs w:val="20"/>
              </w:rPr>
              <w:t>Using only modelled data</w:t>
            </w:r>
          </w:p>
        </w:tc>
        <w:tc>
          <w:tcPr>
            <w:tcW w:w="1462" w:type="dxa"/>
            <w:shd w:val="solid" w:color="000000" w:fill="000000"/>
          </w:tcPr>
          <w:p w14:paraId="3F5E836C" w14:textId="778B3709" w:rsidR="0012298F" w:rsidRPr="000C77A2" w:rsidRDefault="00C66EC7" w:rsidP="00560AEC">
            <w:pPr>
              <w:keepNext/>
              <w:keepLines/>
              <w:jc w:val="right"/>
              <w:rPr>
                <w:rFonts w:ascii="Arial Narrow" w:hAnsi="Arial Narrow"/>
                <w:sz w:val="20"/>
                <w:szCs w:val="20"/>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27E4AD90" w14:textId="2A153E5E" w:rsidR="0012298F" w:rsidRPr="000C77A2" w:rsidRDefault="0012298F" w:rsidP="00560AEC">
            <w:pPr>
              <w:keepNext/>
              <w:keepLines/>
              <w:jc w:val="right"/>
              <w:rPr>
                <w:rFonts w:ascii="Arial Narrow" w:hAnsi="Arial Narrow"/>
                <w:sz w:val="20"/>
                <w:szCs w:val="20"/>
              </w:rPr>
            </w:pPr>
            <w:r w:rsidRPr="000C77A2">
              <w:rPr>
                <w:rFonts w:ascii="Arial Narrow" w:hAnsi="Arial Narrow"/>
                <w:sz w:val="20"/>
                <w:szCs w:val="20"/>
              </w:rPr>
              <w:t>1.84</w:t>
            </w:r>
          </w:p>
        </w:tc>
        <w:tc>
          <w:tcPr>
            <w:tcW w:w="1246" w:type="dxa"/>
          </w:tcPr>
          <w:p w14:paraId="0AE3334D" w14:textId="4ADF6B95" w:rsidR="0012298F"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162C9D">
              <w:rPr>
                <w:rFonts w:ascii="Arial Narrow" w:hAnsi="Arial Narrow"/>
                <w:b/>
                <w:bCs/>
                <w:sz w:val="20"/>
                <w:szCs w:val="20"/>
                <w:vertAlign w:val="superscript"/>
              </w:rPr>
              <w:t>1</w:t>
            </w:r>
          </w:p>
        </w:tc>
        <w:tc>
          <w:tcPr>
            <w:tcW w:w="1651" w:type="dxa"/>
          </w:tcPr>
          <w:p w14:paraId="4933B71C" w14:textId="37251946" w:rsidR="0012298F" w:rsidRPr="000C77A2" w:rsidRDefault="0012298F"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396325C1" w14:textId="77777777" w:rsidTr="00504411">
        <w:tc>
          <w:tcPr>
            <w:tcW w:w="9022" w:type="dxa"/>
            <w:gridSpan w:val="5"/>
          </w:tcPr>
          <w:p w14:paraId="2B5A11A1" w14:textId="77777777" w:rsidR="00097911" w:rsidRPr="000C77A2" w:rsidRDefault="00097911" w:rsidP="00560AEC">
            <w:pPr>
              <w:keepNext/>
              <w:keepLines/>
              <w:jc w:val="left"/>
              <w:rPr>
                <w:rFonts w:ascii="Arial Narrow" w:hAnsi="Arial Narrow"/>
                <w:b/>
                <w:bCs/>
                <w:sz w:val="20"/>
                <w:szCs w:val="20"/>
              </w:rPr>
            </w:pPr>
            <w:r w:rsidRPr="000C77A2">
              <w:rPr>
                <w:rFonts w:ascii="Arial Narrow" w:hAnsi="Arial Narrow"/>
                <w:b/>
                <w:bCs/>
                <w:sz w:val="20"/>
                <w:szCs w:val="20"/>
              </w:rPr>
              <w:t xml:space="preserve">Parametric model extrapolation </w:t>
            </w:r>
            <w:r w:rsidRPr="000C77A2">
              <w:rPr>
                <w:rFonts w:ascii="Arial Narrow" w:hAnsi="Arial Narrow"/>
                <w:b/>
                <w:bCs/>
                <w:sz w:val="20"/>
                <w:szCs w:val="20"/>
              </w:rPr>
              <w:br/>
            </w:r>
            <w:r w:rsidRPr="000C77A2">
              <w:rPr>
                <w:rFonts w:ascii="Arial Narrow" w:hAnsi="Arial Narrow"/>
                <w:sz w:val="20"/>
                <w:szCs w:val="20"/>
              </w:rPr>
              <w:t>(base case: larotrectinib PFS and OS: exponential; docetaxel PFS and OS: lognormal)</w:t>
            </w:r>
          </w:p>
        </w:tc>
      </w:tr>
      <w:tr w:rsidR="0012298F" w:rsidRPr="000C77A2" w14:paraId="1C6667AC" w14:textId="77777777" w:rsidTr="00C66EC7">
        <w:tc>
          <w:tcPr>
            <w:tcW w:w="3353" w:type="dxa"/>
          </w:tcPr>
          <w:p w14:paraId="2BAC35E8" w14:textId="323D092D" w:rsidR="0012298F" w:rsidRPr="000C77A2" w:rsidRDefault="0012298F" w:rsidP="00560AEC">
            <w:pPr>
              <w:keepNext/>
              <w:keepLines/>
              <w:jc w:val="left"/>
              <w:rPr>
                <w:rFonts w:ascii="Arial Narrow" w:hAnsi="Arial Narrow"/>
                <w:sz w:val="20"/>
                <w:szCs w:val="20"/>
              </w:rPr>
            </w:pPr>
            <w:r w:rsidRPr="000C77A2">
              <w:rPr>
                <w:rFonts w:ascii="Arial Narrow" w:hAnsi="Arial Narrow"/>
                <w:sz w:val="20"/>
                <w:szCs w:val="20"/>
              </w:rPr>
              <w:t xml:space="preserve">Most conservative extrapolations for PFS (Gompertz and Log-logistic) and OS (Weibull and Log-logistic) for larotrectinib and docetaxel, respectively </w:t>
            </w:r>
          </w:p>
        </w:tc>
        <w:tc>
          <w:tcPr>
            <w:tcW w:w="1462" w:type="dxa"/>
            <w:shd w:val="solid" w:color="000000" w:fill="000000"/>
          </w:tcPr>
          <w:p w14:paraId="089CC220" w14:textId="5A5D0B6B" w:rsidR="0012298F" w:rsidRPr="000C77A2" w:rsidRDefault="00C66EC7" w:rsidP="00560AEC">
            <w:pPr>
              <w:keepNext/>
              <w:keepLines/>
              <w:jc w:val="right"/>
              <w:rPr>
                <w:rFonts w:ascii="Arial Narrow" w:hAnsi="Arial Narrow"/>
                <w:sz w:val="20"/>
                <w:szCs w:val="20"/>
              </w:rPr>
            </w:pPr>
            <w:r w:rsidRPr="00C66EC7">
              <w:rPr>
                <w:rFonts w:ascii="Arial Narrow" w:hAnsi="Arial Narrow"/>
                <w:color w:val="000000"/>
                <w:sz w:val="20"/>
                <w:szCs w:val="20"/>
                <w14:textFill>
                  <w14:solidFill>
                    <w14:srgbClr w14:val="000000">
                      <w14:alpha w14:val="100000"/>
                    </w14:srgbClr>
                  </w14:solidFill>
                </w14:textFill>
              </w:rPr>
              <w:t>|</w:t>
            </w:r>
          </w:p>
        </w:tc>
        <w:tc>
          <w:tcPr>
            <w:tcW w:w="1310" w:type="dxa"/>
          </w:tcPr>
          <w:p w14:paraId="00D00BFD" w14:textId="0CAD9AEF" w:rsidR="0012298F" w:rsidRPr="000C77A2" w:rsidRDefault="0012298F" w:rsidP="00560AEC">
            <w:pPr>
              <w:keepNext/>
              <w:keepLines/>
              <w:jc w:val="right"/>
              <w:rPr>
                <w:rFonts w:ascii="Arial Narrow" w:hAnsi="Arial Narrow"/>
                <w:sz w:val="20"/>
                <w:szCs w:val="20"/>
              </w:rPr>
            </w:pPr>
            <w:r w:rsidRPr="000C77A2">
              <w:rPr>
                <w:rFonts w:ascii="Arial Narrow" w:hAnsi="Arial Narrow"/>
                <w:sz w:val="20"/>
                <w:szCs w:val="20"/>
              </w:rPr>
              <w:t>1.59</w:t>
            </w:r>
          </w:p>
        </w:tc>
        <w:tc>
          <w:tcPr>
            <w:tcW w:w="1246" w:type="dxa"/>
          </w:tcPr>
          <w:p w14:paraId="48688B87" w14:textId="7471CD31" w:rsidR="0012298F" w:rsidRPr="000C77A2" w:rsidRDefault="00C66EC7" w:rsidP="00560AEC">
            <w:pPr>
              <w:keepNext/>
              <w:keepLines/>
              <w:jc w:val="right"/>
              <w:rPr>
                <w:rFonts w:ascii="Arial Narrow" w:hAnsi="Arial Narrow" w:cs="Times New Roman"/>
                <w:bCs/>
                <w:sz w:val="20"/>
                <w:szCs w:val="16"/>
              </w:rPr>
            </w:pPr>
            <w:r w:rsidRPr="00C66EC7">
              <w:rPr>
                <w:rFonts w:ascii="Arial Narrow" w:hAnsi="Arial Narrow" w:cs="Times New Roman"/>
                <w:bCs/>
                <w:color w:val="000000"/>
                <w:sz w:val="20"/>
                <w:szCs w:val="16"/>
                <w:shd w:val="solid" w:color="000000" w:fill="000000"/>
                <w14:textFill>
                  <w14:solidFill>
                    <w14:srgbClr w14:val="000000">
                      <w14:alpha w14:val="100000"/>
                    </w14:srgbClr>
                  </w14:solidFill>
                </w14:textFill>
              </w:rPr>
              <w:t>|</w:t>
            </w:r>
            <w:r w:rsidR="00400B9F">
              <w:rPr>
                <w:rFonts w:ascii="Arial Narrow" w:hAnsi="Arial Narrow"/>
                <w:b/>
                <w:bCs/>
                <w:sz w:val="20"/>
                <w:szCs w:val="20"/>
                <w:vertAlign w:val="superscript"/>
              </w:rPr>
              <w:t>2</w:t>
            </w:r>
          </w:p>
        </w:tc>
        <w:tc>
          <w:tcPr>
            <w:tcW w:w="1651" w:type="dxa"/>
          </w:tcPr>
          <w:p w14:paraId="6DBD90BC" w14:textId="6EEF4CC0" w:rsidR="0012298F" w:rsidRPr="000C77A2" w:rsidRDefault="0012298F" w:rsidP="00560AEC">
            <w:pPr>
              <w:keepNext/>
              <w:keepLines/>
              <w:jc w:val="right"/>
              <w:rPr>
                <w:rFonts w:ascii="Arial Narrow" w:hAnsi="Arial Narrow"/>
                <w:sz w:val="20"/>
                <w:szCs w:val="20"/>
              </w:rPr>
            </w:pPr>
            <w:r w:rsidRPr="000C77A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1295B95E" w14:textId="77777777" w:rsidR="00097911" w:rsidRPr="000C77A2" w:rsidRDefault="00097911" w:rsidP="00560AEC">
      <w:pPr>
        <w:keepNext/>
        <w:keepLines/>
        <w:rPr>
          <w:rFonts w:ascii="Arial Narrow" w:hAnsi="Arial Narrow"/>
          <w:snapToGrid w:val="0"/>
          <w:sz w:val="18"/>
        </w:rPr>
      </w:pPr>
      <w:r w:rsidRPr="000C77A2">
        <w:rPr>
          <w:rFonts w:ascii="Arial Narrow" w:hAnsi="Arial Narrow"/>
          <w:snapToGrid w:val="0"/>
          <w:sz w:val="18"/>
        </w:rPr>
        <w:t xml:space="preserve">Source: tabulated during evaluation from the “Attachment 3.1 – Section 3 Workbook – cost effectiveness model” workbook provided in the submission. </w:t>
      </w:r>
    </w:p>
    <w:p w14:paraId="14F5163B" w14:textId="77777777" w:rsidR="00097911" w:rsidRPr="000C77A2" w:rsidRDefault="00097911" w:rsidP="00560AEC">
      <w:pPr>
        <w:keepNext/>
        <w:keepLines/>
        <w:rPr>
          <w:rFonts w:ascii="Arial Narrow" w:hAnsi="Arial Narrow"/>
          <w:snapToGrid w:val="0"/>
          <w:sz w:val="18"/>
        </w:rPr>
      </w:pPr>
      <w:r w:rsidRPr="000C77A2">
        <w:rPr>
          <w:rFonts w:ascii="Arial Narrow" w:hAnsi="Arial Narrow"/>
          <w:snapToGrid w:val="0"/>
          <w:sz w:val="18"/>
        </w:rPr>
        <w:t>ICER = incremental cost-effectiveness ratio; NSCLC = non-small cell lung cancer; OS = overall survival; PD = progressive disease; PF = progression free; PFS = progression-free survival; PSD = public summary document; STS = soft tissue sarcoma; TOT = time on treatment</w:t>
      </w:r>
    </w:p>
    <w:p w14:paraId="19628910" w14:textId="7508749F" w:rsidR="00097911" w:rsidRDefault="00097911" w:rsidP="00560AEC">
      <w:pPr>
        <w:keepNext/>
        <w:keepLines/>
        <w:rPr>
          <w:rFonts w:ascii="Arial Narrow" w:hAnsi="Arial Narrow"/>
          <w:snapToGrid w:val="0"/>
          <w:sz w:val="18"/>
        </w:rPr>
      </w:pPr>
      <w:proofErr w:type="spellStart"/>
      <w:r w:rsidRPr="000C77A2">
        <w:rPr>
          <w:rFonts w:ascii="Arial Narrow" w:hAnsi="Arial Narrow"/>
          <w:snapToGrid w:val="0"/>
          <w:sz w:val="18"/>
          <w:vertAlign w:val="superscript"/>
        </w:rPr>
        <w:t>a</w:t>
      </w:r>
      <w:proofErr w:type="spellEnd"/>
      <w:r w:rsidRPr="000C77A2">
        <w:rPr>
          <w:rFonts w:ascii="Arial Narrow" w:hAnsi="Arial Narrow"/>
          <w:snapToGrid w:val="0"/>
          <w:sz w:val="18"/>
          <w:vertAlign w:val="superscript"/>
        </w:rPr>
        <w:t xml:space="preserve"> </w:t>
      </w:r>
      <w:r w:rsidRPr="000C77A2">
        <w:rPr>
          <w:rFonts w:ascii="Arial Narrow" w:hAnsi="Arial Narrow"/>
          <w:snapToGrid w:val="0"/>
          <w:sz w:val="18"/>
        </w:rPr>
        <w:t>The duration of scripts refers to the number of days one script</w:t>
      </w:r>
      <w:r w:rsidR="00747BD0" w:rsidRPr="000C77A2">
        <w:rPr>
          <w:rFonts w:ascii="Arial Narrow" w:hAnsi="Arial Narrow"/>
          <w:snapToGrid w:val="0"/>
          <w:sz w:val="18"/>
        </w:rPr>
        <w:t xml:space="preserve"> (pack)</w:t>
      </w:r>
      <w:r w:rsidRPr="000C77A2">
        <w:rPr>
          <w:rFonts w:ascii="Arial Narrow" w:hAnsi="Arial Narrow"/>
          <w:snapToGrid w:val="0"/>
          <w:sz w:val="18"/>
        </w:rPr>
        <w:t xml:space="preserve"> provides treatment coverage for. </w:t>
      </w:r>
    </w:p>
    <w:p w14:paraId="6FB24242" w14:textId="77777777" w:rsidR="00400B9F" w:rsidRPr="00560AEC" w:rsidRDefault="00400B9F"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24A4C2F2" w14:textId="29359FB2" w:rsidR="00400B9F" w:rsidRPr="00560AEC" w:rsidRDefault="00400B9F"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$135,000 to &lt; $155,000</w:t>
      </w:r>
    </w:p>
    <w:p w14:paraId="5FD77B6E" w14:textId="08F1E84D" w:rsidR="00400B9F" w:rsidRPr="00560AEC" w:rsidRDefault="00400B9F"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$155,000 to &lt; $255,000</w:t>
      </w:r>
    </w:p>
    <w:p w14:paraId="0D862E7E" w14:textId="35B7080B" w:rsidR="00400B9F" w:rsidRPr="000C77A2" w:rsidRDefault="00400B9F" w:rsidP="00560AEC">
      <w:pPr>
        <w:spacing w:after="120"/>
        <w:jc w:val="left"/>
        <w:rPr>
          <w:rFonts w:ascii="Arial Narrow" w:hAnsi="Arial Narrow"/>
          <w:snapToGrid w:val="0"/>
          <w:sz w:val="18"/>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$115,000 to &lt; $135,000</w:t>
      </w:r>
    </w:p>
    <w:p w14:paraId="7430E40E" w14:textId="6A5D09D1" w:rsidR="00097911" w:rsidRPr="000C77A2" w:rsidRDefault="00097911" w:rsidP="007F0A22">
      <w:pPr>
        <w:keepNext/>
        <w:keepLines/>
        <w:rPr>
          <w:rFonts w:ascii="Arial Narrow" w:hAnsi="Arial Narrow"/>
          <w:b/>
          <w:bCs/>
          <w:sz w:val="20"/>
          <w:szCs w:val="18"/>
        </w:rPr>
      </w:pPr>
      <w:bookmarkStart w:id="59" w:name="_Ref155612022"/>
      <w:r w:rsidRPr="000C77A2">
        <w:rPr>
          <w:rFonts w:ascii="Arial Narrow" w:hAnsi="Arial Narrow"/>
          <w:b/>
          <w:bCs/>
          <w:sz w:val="20"/>
          <w:szCs w:val="18"/>
        </w:rPr>
        <w:lastRenderedPageBreak/>
        <w:t xml:space="preserve">Table </w:t>
      </w:r>
      <w:r w:rsidRPr="00576FA3">
        <w:rPr>
          <w:rFonts w:ascii="Arial Narrow" w:hAnsi="Arial Narrow"/>
          <w:b/>
          <w:bCs/>
          <w:sz w:val="20"/>
          <w:szCs w:val="18"/>
        </w:rPr>
        <w:fldChar w:fldCharType="begin" w:fldLock="1"/>
      </w:r>
      <w:r w:rsidRPr="000C77A2">
        <w:rPr>
          <w:rFonts w:ascii="Arial Narrow" w:hAnsi="Arial Narrow"/>
          <w:b/>
          <w:bCs/>
          <w:sz w:val="20"/>
          <w:szCs w:val="18"/>
        </w:rPr>
        <w:instrText xml:space="preserve"> SEQ Table \* ARABIC </w:instrText>
      </w:r>
      <w:r w:rsidRPr="00576FA3">
        <w:rPr>
          <w:rFonts w:ascii="Arial Narrow" w:hAnsi="Arial Narrow"/>
          <w:b/>
          <w:bCs/>
          <w:sz w:val="20"/>
          <w:szCs w:val="18"/>
        </w:rPr>
        <w:fldChar w:fldCharType="separate"/>
      </w:r>
      <w:r w:rsidR="001B0FE7">
        <w:rPr>
          <w:rFonts w:ascii="Arial Narrow" w:hAnsi="Arial Narrow"/>
          <w:b/>
          <w:bCs/>
          <w:noProof/>
          <w:sz w:val="20"/>
          <w:szCs w:val="18"/>
        </w:rPr>
        <w:t>23</w:t>
      </w:r>
      <w:r w:rsidRPr="00576FA3">
        <w:rPr>
          <w:rFonts w:ascii="Arial Narrow" w:hAnsi="Arial Narrow"/>
          <w:b/>
          <w:bCs/>
          <w:sz w:val="20"/>
          <w:szCs w:val="18"/>
        </w:rPr>
        <w:fldChar w:fldCharType="end"/>
      </w:r>
      <w:bookmarkEnd w:id="59"/>
      <w:r w:rsidRPr="000C77A2">
        <w:rPr>
          <w:rFonts w:ascii="Arial Narrow" w:hAnsi="Arial Narrow"/>
          <w:b/>
          <w:bCs/>
          <w:sz w:val="20"/>
          <w:szCs w:val="18"/>
        </w:rPr>
        <w:t>: Key results of the sensitivity analyses (STS)</w:t>
      </w:r>
      <w:r w:rsidR="00F25F45" w:rsidRPr="000C77A2">
        <w:rPr>
          <w:rFonts w:ascii="Arial Narrow" w:hAnsi="Arial Narrow"/>
          <w:b/>
          <w:bCs/>
          <w:sz w:val="20"/>
          <w:szCs w:val="18"/>
        </w:rPr>
        <w:t xml:space="preserve"> (using the price proposed in the resubmission)</w:t>
      </w:r>
    </w:p>
    <w:tbl>
      <w:tblPr>
        <w:tblStyle w:val="TableGrid"/>
        <w:tblW w:w="0" w:type="auto"/>
        <w:tblInd w:w="-5" w:type="dxa"/>
        <w:tblLook w:val="04A0" w:firstRow="1" w:lastRow="0" w:firstColumn="1" w:lastColumn="0" w:noHBand="0" w:noVBand="1"/>
        <w:tblCaption w:val="Table 23: Key results of the sensitivity analyses (STS) (using the price proposed in the resubmission)"/>
      </w:tblPr>
      <w:tblGrid>
        <w:gridCol w:w="3484"/>
        <w:gridCol w:w="1482"/>
        <w:gridCol w:w="1321"/>
        <w:gridCol w:w="1302"/>
        <w:gridCol w:w="1433"/>
      </w:tblGrid>
      <w:tr w:rsidR="00097911" w:rsidRPr="000C77A2" w14:paraId="398860AE" w14:textId="77777777" w:rsidTr="00560AEC">
        <w:tc>
          <w:tcPr>
            <w:tcW w:w="3484" w:type="dxa"/>
          </w:tcPr>
          <w:p w14:paraId="12A9E49A" w14:textId="77777777" w:rsidR="00097911" w:rsidRPr="007F0A22" w:rsidRDefault="00097911" w:rsidP="00560AEC">
            <w:pPr>
              <w:keepNext/>
              <w:keepLines/>
              <w:rPr>
                <w:rFonts w:ascii="Arial Narrow" w:hAnsi="Arial Narrow"/>
                <w:b/>
                <w:bCs/>
                <w:sz w:val="20"/>
                <w:szCs w:val="20"/>
              </w:rPr>
            </w:pPr>
          </w:p>
        </w:tc>
        <w:tc>
          <w:tcPr>
            <w:tcW w:w="1482" w:type="dxa"/>
            <w:vAlign w:val="center"/>
          </w:tcPr>
          <w:p w14:paraId="1AB390A2" w14:textId="3476FFFF" w:rsidR="00097911" w:rsidRPr="007F0A22" w:rsidRDefault="00097911" w:rsidP="00560AEC">
            <w:pPr>
              <w:keepNext/>
              <w:keepLines/>
              <w:jc w:val="center"/>
              <w:rPr>
                <w:rFonts w:ascii="Arial Narrow" w:eastAsiaTheme="majorEastAsia" w:hAnsi="Arial Narrow" w:cs="Times New Roman"/>
                <w:b/>
                <w:sz w:val="20"/>
                <w:szCs w:val="20"/>
              </w:rPr>
            </w:pPr>
            <w:r w:rsidRPr="007F0A22">
              <w:rPr>
                <w:rFonts w:ascii="Arial Narrow" w:eastAsiaTheme="majorEastAsia" w:hAnsi="Arial Narrow" w:cs="Times New Roman"/>
                <w:b/>
                <w:sz w:val="20"/>
                <w:szCs w:val="20"/>
              </w:rPr>
              <w:t>Incremental cost</w:t>
            </w:r>
            <w:r w:rsidR="00400B9F" w:rsidRPr="007F0A22">
              <w:rPr>
                <w:rFonts w:ascii="Arial Narrow" w:eastAsiaTheme="majorEastAsia" w:hAnsi="Arial Narrow" w:cs="Times New Roman"/>
                <w:b/>
                <w:sz w:val="20"/>
                <w:szCs w:val="20"/>
              </w:rPr>
              <w:t xml:space="preserve"> ($)</w:t>
            </w:r>
          </w:p>
        </w:tc>
        <w:tc>
          <w:tcPr>
            <w:tcW w:w="1321" w:type="dxa"/>
            <w:vAlign w:val="center"/>
          </w:tcPr>
          <w:p w14:paraId="75C06287" w14:textId="77777777" w:rsidR="00097911" w:rsidRPr="007F0A22" w:rsidRDefault="00097911" w:rsidP="00560AEC">
            <w:pPr>
              <w:keepNext/>
              <w:keepLines/>
              <w:jc w:val="center"/>
              <w:rPr>
                <w:rFonts w:ascii="Arial Narrow" w:eastAsiaTheme="majorEastAsia" w:hAnsi="Arial Narrow" w:cs="Times New Roman"/>
                <w:b/>
                <w:sz w:val="20"/>
                <w:szCs w:val="20"/>
              </w:rPr>
            </w:pPr>
            <w:r w:rsidRPr="007F0A22">
              <w:rPr>
                <w:rFonts w:ascii="Arial Narrow" w:eastAsiaTheme="majorEastAsia" w:hAnsi="Arial Narrow" w:cs="Times New Roman"/>
                <w:b/>
                <w:sz w:val="20"/>
                <w:szCs w:val="20"/>
              </w:rPr>
              <w:t>Incremental QALYs</w:t>
            </w:r>
          </w:p>
        </w:tc>
        <w:tc>
          <w:tcPr>
            <w:tcW w:w="1302" w:type="dxa"/>
            <w:vAlign w:val="center"/>
          </w:tcPr>
          <w:p w14:paraId="7090C06A" w14:textId="74D7032C" w:rsidR="00097911" w:rsidRPr="007F0A22" w:rsidRDefault="00097911" w:rsidP="00560AEC">
            <w:pPr>
              <w:keepNext/>
              <w:keepLines/>
              <w:jc w:val="center"/>
              <w:rPr>
                <w:rFonts w:ascii="Arial Narrow" w:eastAsiaTheme="majorEastAsia" w:hAnsi="Arial Narrow" w:cs="Times New Roman"/>
                <w:b/>
                <w:sz w:val="20"/>
                <w:szCs w:val="20"/>
              </w:rPr>
            </w:pPr>
            <w:r w:rsidRPr="007F0A22">
              <w:rPr>
                <w:rFonts w:ascii="Arial Narrow" w:eastAsiaTheme="majorEastAsia" w:hAnsi="Arial Narrow" w:cs="Times New Roman"/>
                <w:b/>
                <w:sz w:val="20"/>
                <w:szCs w:val="20"/>
              </w:rPr>
              <w:t>ICER</w:t>
            </w:r>
            <w:r w:rsidR="00400B9F" w:rsidRPr="007F0A22">
              <w:rPr>
                <w:rFonts w:ascii="Arial Narrow" w:eastAsiaTheme="majorEastAsia" w:hAnsi="Arial Narrow" w:cs="Times New Roman"/>
                <w:b/>
                <w:sz w:val="20"/>
                <w:szCs w:val="20"/>
              </w:rPr>
              <w:t xml:space="preserve"> ($)</w:t>
            </w:r>
          </w:p>
        </w:tc>
        <w:tc>
          <w:tcPr>
            <w:tcW w:w="1433" w:type="dxa"/>
            <w:vAlign w:val="center"/>
          </w:tcPr>
          <w:p w14:paraId="7C328795" w14:textId="4F4522B2" w:rsidR="00097911" w:rsidRPr="007F0A22" w:rsidRDefault="00097911" w:rsidP="00560AEC">
            <w:pPr>
              <w:keepNext/>
              <w:keepLines/>
              <w:jc w:val="center"/>
              <w:rPr>
                <w:rFonts w:ascii="Arial Narrow" w:eastAsiaTheme="majorEastAsia" w:hAnsi="Arial Narrow" w:cs="Times New Roman"/>
                <w:b/>
                <w:sz w:val="20"/>
                <w:szCs w:val="20"/>
              </w:rPr>
            </w:pPr>
            <w:r w:rsidRPr="007F0A22">
              <w:rPr>
                <w:rFonts w:ascii="Arial Narrow" w:eastAsiaTheme="majorEastAsia" w:hAnsi="Arial Narrow" w:cs="Times New Roman"/>
                <w:b/>
                <w:sz w:val="20"/>
                <w:szCs w:val="20"/>
              </w:rPr>
              <w:t>% change from revised base case</w:t>
            </w:r>
          </w:p>
        </w:tc>
      </w:tr>
      <w:tr w:rsidR="00097911" w:rsidRPr="000C77A2" w14:paraId="3AAA7984" w14:textId="77777777" w:rsidTr="00504411">
        <w:tc>
          <w:tcPr>
            <w:tcW w:w="9022" w:type="dxa"/>
            <w:gridSpan w:val="5"/>
          </w:tcPr>
          <w:p w14:paraId="3FF1CF4C" w14:textId="77777777" w:rsidR="00097911" w:rsidRPr="007F0A22" w:rsidRDefault="00097911" w:rsidP="00560AEC">
            <w:pPr>
              <w:keepNext/>
              <w:keepLines/>
              <w:jc w:val="center"/>
              <w:rPr>
                <w:rFonts w:ascii="Arial Narrow" w:hAnsi="Arial Narrow"/>
                <w:b/>
                <w:bCs/>
                <w:sz w:val="20"/>
                <w:szCs w:val="20"/>
              </w:rPr>
            </w:pPr>
            <w:r w:rsidRPr="007F0A22">
              <w:rPr>
                <w:rFonts w:ascii="Arial Narrow" w:hAnsi="Arial Narrow"/>
                <w:b/>
                <w:bCs/>
                <w:sz w:val="20"/>
                <w:szCs w:val="20"/>
              </w:rPr>
              <w:t>STS</w:t>
            </w:r>
          </w:p>
        </w:tc>
      </w:tr>
      <w:tr w:rsidR="0012298F" w:rsidRPr="000C77A2" w14:paraId="0CA9B00F" w14:textId="77777777" w:rsidTr="00C66EC7">
        <w:tc>
          <w:tcPr>
            <w:tcW w:w="3484" w:type="dxa"/>
          </w:tcPr>
          <w:p w14:paraId="39048DCD" w14:textId="2D45B2EE" w:rsidR="0012298F" w:rsidRPr="007F0A22" w:rsidRDefault="0012298F" w:rsidP="00560AEC">
            <w:pPr>
              <w:keepNext/>
              <w:keepLines/>
              <w:jc w:val="left"/>
              <w:rPr>
                <w:rFonts w:ascii="Arial Narrow" w:hAnsi="Arial Narrow"/>
                <w:b/>
                <w:bCs/>
                <w:sz w:val="20"/>
                <w:szCs w:val="20"/>
              </w:rPr>
            </w:pPr>
            <w:r w:rsidRPr="007F0A22">
              <w:rPr>
                <w:rFonts w:ascii="Arial Narrow" w:hAnsi="Arial Narrow"/>
                <w:b/>
                <w:bCs/>
                <w:sz w:val="20"/>
                <w:szCs w:val="20"/>
              </w:rPr>
              <w:t xml:space="preserve">Revised base case </w:t>
            </w:r>
          </w:p>
        </w:tc>
        <w:tc>
          <w:tcPr>
            <w:tcW w:w="1482" w:type="dxa"/>
            <w:shd w:val="solid" w:color="000000" w:fill="000000"/>
          </w:tcPr>
          <w:p w14:paraId="7EC0CAEF" w14:textId="0924274D" w:rsidR="0012298F" w:rsidRPr="007F0A22" w:rsidRDefault="00C66EC7" w:rsidP="00560AEC">
            <w:pPr>
              <w:keepNext/>
              <w:keepLines/>
              <w:jc w:val="right"/>
              <w:rPr>
                <w:rFonts w:ascii="Arial Narrow" w:hAnsi="Arial Narrow"/>
                <w:b/>
                <w:bCs/>
                <w:sz w:val="20"/>
                <w:szCs w:val="20"/>
              </w:rPr>
            </w:pPr>
            <w:r w:rsidRPr="00C66EC7">
              <w:rPr>
                <w:rFonts w:ascii="Arial Narrow" w:hAnsi="Arial Narrow"/>
                <w:b/>
                <w:bCs/>
                <w:color w:val="000000"/>
                <w:sz w:val="20"/>
                <w:szCs w:val="20"/>
                <w14:textFill>
                  <w14:solidFill>
                    <w14:srgbClr w14:val="000000">
                      <w14:alpha w14:val="100000"/>
                    </w14:srgbClr>
                  </w14:solidFill>
                </w14:textFill>
              </w:rPr>
              <w:t>|</w:t>
            </w:r>
          </w:p>
        </w:tc>
        <w:tc>
          <w:tcPr>
            <w:tcW w:w="1321" w:type="dxa"/>
          </w:tcPr>
          <w:p w14:paraId="45362E62" w14:textId="357B9411" w:rsidR="0012298F" w:rsidRPr="007F0A22" w:rsidRDefault="0012298F" w:rsidP="00560AEC">
            <w:pPr>
              <w:keepNext/>
              <w:keepLines/>
              <w:jc w:val="right"/>
              <w:rPr>
                <w:rFonts w:ascii="Arial Narrow" w:hAnsi="Arial Narrow"/>
                <w:b/>
                <w:bCs/>
                <w:sz w:val="20"/>
                <w:szCs w:val="20"/>
              </w:rPr>
            </w:pPr>
            <w:r w:rsidRPr="007F0A22">
              <w:rPr>
                <w:rFonts w:ascii="Arial Narrow" w:hAnsi="Arial Narrow"/>
                <w:b/>
                <w:bCs/>
                <w:sz w:val="20"/>
                <w:szCs w:val="20"/>
              </w:rPr>
              <w:t>1.95</w:t>
            </w:r>
          </w:p>
        </w:tc>
        <w:tc>
          <w:tcPr>
            <w:tcW w:w="1302" w:type="dxa"/>
          </w:tcPr>
          <w:p w14:paraId="4A9E2D4F" w14:textId="4973555D" w:rsidR="0012298F" w:rsidRPr="007F0A22" w:rsidRDefault="00C66EC7" w:rsidP="00560AEC">
            <w:pPr>
              <w:keepNext/>
              <w:keepLines/>
              <w:jc w:val="right"/>
              <w:rPr>
                <w:rFonts w:ascii="Arial Narrow" w:hAnsi="Arial Narrow"/>
                <w:b/>
                <w:bCs/>
                <w:sz w:val="20"/>
                <w:szCs w:val="20"/>
              </w:rPr>
            </w:pPr>
            <w:r w:rsidRPr="00C66EC7">
              <w:rPr>
                <w:rFonts w:ascii="Arial Narrow" w:hAnsi="Arial Narrow"/>
                <w:b/>
                <w:bCs/>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1</w:t>
            </w:r>
          </w:p>
        </w:tc>
        <w:tc>
          <w:tcPr>
            <w:tcW w:w="1433" w:type="dxa"/>
          </w:tcPr>
          <w:p w14:paraId="313D0305" w14:textId="6D1108D6" w:rsidR="0012298F" w:rsidRPr="007F0A22" w:rsidRDefault="006C77BE" w:rsidP="00560AEC">
            <w:pPr>
              <w:keepNext/>
              <w:keepLines/>
              <w:jc w:val="right"/>
              <w:rPr>
                <w:rFonts w:ascii="Arial Narrow" w:hAnsi="Arial Narrow"/>
                <w:b/>
                <w:bCs/>
                <w:sz w:val="20"/>
                <w:szCs w:val="20"/>
              </w:rPr>
            </w:pPr>
            <w:r w:rsidRPr="007F0A22">
              <w:rPr>
                <w:rFonts w:ascii="Arial Narrow" w:hAnsi="Arial Narrow"/>
                <w:b/>
                <w:bCs/>
                <w:sz w:val="20"/>
                <w:szCs w:val="20"/>
              </w:rPr>
              <w:t>-</w:t>
            </w:r>
          </w:p>
        </w:tc>
      </w:tr>
      <w:tr w:rsidR="00097911" w:rsidRPr="000C77A2" w14:paraId="31A0F9A8" w14:textId="77777777" w:rsidTr="00504411">
        <w:tc>
          <w:tcPr>
            <w:tcW w:w="9022" w:type="dxa"/>
            <w:gridSpan w:val="5"/>
          </w:tcPr>
          <w:p w14:paraId="64D3EFBC" w14:textId="77777777" w:rsidR="00097911" w:rsidRPr="007F0A22" w:rsidRDefault="00097911" w:rsidP="00560AEC">
            <w:pPr>
              <w:keepNext/>
              <w:keepLines/>
              <w:jc w:val="left"/>
              <w:rPr>
                <w:rFonts w:ascii="Arial Narrow" w:hAnsi="Arial Narrow"/>
                <w:b/>
                <w:bCs/>
                <w:sz w:val="20"/>
                <w:szCs w:val="20"/>
              </w:rPr>
            </w:pPr>
            <w:r w:rsidRPr="007F0A22">
              <w:rPr>
                <w:rFonts w:ascii="Arial Narrow" w:hAnsi="Arial Narrow"/>
                <w:b/>
                <w:bCs/>
                <w:sz w:val="20"/>
                <w:szCs w:val="20"/>
              </w:rPr>
              <w:t xml:space="preserve">Time horizon </w:t>
            </w:r>
            <w:r w:rsidRPr="007F0A22">
              <w:rPr>
                <w:rFonts w:ascii="Arial Narrow" w:hAnsi="Arial Narrow"/>
                <w:sz w:val="20"/>
                <w:szCs w:val="20"/>
              </w:rPr>
              <w:t>(base case: 10 years)</w:t>
            </w:r>
          </w:p>
        </w:tc>
      </w:tr>
      <w:tr w:rsidR="00097911" w:rsidRPr="000C77A2" w14:paraId="11516FB3" w14:textId="77777777" w:rsidTr="00C66EC7">
        <w:tc>
          <w:tcPr>
            <w:tcW w:w="3484" w:type="dxa"/>
          </w:tcPr>
          <w:p w14:paraId="07966D43" w14:textId="75CAE192"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5 years </w:t>
            </w:r>
          </w:p>
        </w:tc>
        <w:tc>
          <w:tcPr>
            <w:tcW w:w="1482" w:type="dxa"/>
            <w:tcBorders>
              <w:bottom w:val="single" w:sz="4" w:space="0" w:color="auto"/>
            </w:tcBorders>
            <w:shd w:val="solid" w:color="000000" w:fill="000000"/>
          </w:tcPr>
          <w:p w14:paraId="30EA64E7" w14:textId="79E74AB1"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2B2DC949"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1.23</w:t>
            </w:r>
          </w:p>
        </w:tc>
        <w:tc>
          <w:tcPr>
            <w:tcW w:w="1302" w:type="dxa"/>
          </w:tcPr>
          <w:p w14:paraId="168FC76B" w14:textId="2F9DEE9D"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040EC1" w:rsidRPr="007F0A22">
              <w:rPr>
                <w:rFonts w:ascii="Arial Narrow" w:hAnsi="Arial Narrow"/>
                <w:sz w:val="20"/>
                <w:szCs w:val="20"/>
                <w:vertAlign w:val="superscript"/>
              </w:rPr>
              <w:t>2</w:t>
            </w:r>
          </w:p>
        </w:tc>
        <w:tc>
          <w:tcPr>
            <w:tcW w:w="1433" w:type="dxa"/>
          </w:tcPr>
          <w:p w14:paraId="24E21BCE" w14:textId="3103F4C1"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1D42F6EB" w14:textId="77777777" w:rsidTr="00C66EC7">
        <w:tc>
          <w:tcPr>
            <w:tcW w:w="3484" w:type="dxa"/>
          </w:tcPr>
          <w:p w14:paraId="7C36F2E7" w14:textId="77777777"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15 years </w:t>
            </w:r>
          </w:p>
        </w:tc>
        <w:tc>
          <w:tcPr>
            <w:tcW w:w="1482" w:type="dxa"/>
            <w:shd w:val="solid" w:color="000000" w:fill="000000"/>
          </w:tcPr>
          <w:p w14:paraId="63116FB1" w14:textId="0913BA5C"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2EF6C92C"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2.24</w:t>
            </w:r>
          </w:p>
        </w:tc>
        <w:tc>
          <w:tcPr>
            <w:tcW w:w="1302" w:type="dxa"/>
          </w:tcPr>
          <w:p w14:paraId="4C9057BA" w14:textId="0D51F916"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EB4A10">
              <w:rPr>
                <w:rFonts w:ascii="Arial Narrow" w:hAnsi="Arial Narrow"/>
                <w:sz w:val="20"/>
                <w:szCs w:val="20"/>
                <w:vertAlign w:val="superscript"/>
              </w:rPr>
              <w:t>3</w:t>
            </w:r>
          </w:p>
        </w:tc>
        <w:tc>
          <w:tcPr>
            <w:tcW w:w="1433" w:type="dxa"/>
          </w:tcPr>
          <w:p w14:paraId="588263FE" w14:textId="7B808565"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0F3713D4" w14:textId="77777777" w:rsidTr="00504411">
        <w:tc>
          <w:tcPr>
            <w:tcW w:w="9022" w:type="dxa"/>
            <w:gridSpan w:val="5"/>
          </w:tcPr>
          <w:p w14:paraId="2D076193" w14:textId="77777777" w:rsidR="00097911" w:rsidRPr="007F0A22" w:rsidRDefault="00097911" w:rsidP="00560AEC">
            <w:pPr>
              <w:keepNext/>
              <w:keepLines/>
              <w:rPr>
                <w:rFonts w:ascii="Arial Narrow" w:hAnsi="Arial Narrow"/>
                <w:b/>
                <w:bCs/>
                <w:sz w:val="20"/>
                <w:szCs w:val="20"/>
              </w:rPr>
            </w:pPr>
            <w:r w:rsidRPr="007F0A22">
              <w:rPr>
                <w:rFonts w:ascii="Arial Narrow" w:hAnsi="Arial Narrow"/>
                <w:b/>
                <w:bCs/>
                <w:sz w:val="20"/>
                <w:szCs w:val="20"/>
              </w:rPr>
              <w:t xml:space="preserve">Discount rate </w:t>
            </w:r>
            <w:r w:rsidRPr="007F0A22">
              <w:rPr>
                <w:rFonts w:ascii="Arial Narrow" w:hAnsi="Arial Narrow"/>
                <w:sz w:val="20"/>
                <w:szCs w:val="20"/>
              </w:rPr>
              <w:t>(base case: 5% for costs and outcomes)</w:t>
            </w:r>
          </w:p>
        </w:tc>
      </w:tr>
      <w:tr w:rsidR="00097911" w:rsidRPr="000C77A2" w14:paraId="3AB906D5" w14:textId="77777777" w:rsidTr="00C66EC7">
        <w:tc>
          <w:tcPr>
            <w:tcW w:w="3484" w:type="dxa"/>
          </w:tcPr>
          <w:p w14:paraId="4F00742C" w14:textId="77777777"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0% </w:t>
            </w:r>
          </w:p>
        </w:tc>
        <w:tc>
          <w:tcPr>
            <w:tcW w:w="1482" w:type="dxa"/>
            <w:tcBorders>
              <w:bottom w:val="single" w:sz="4" w:space="0" w:color="auto"/>
            </w:tcBorders>
            <w:shd w:val="solid" w:color="000000" w:fill="000000"/>
          </w:tcPr>
          <w:p w14:paraId="5F7592C0" w14:textId="181B8131"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3C8BB6A1"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2.37</w:t>
            </w:r>
          </w:p>
        </w:tc>
        <w:tc>
          <w:tcPr>
            <w:tcW w:w="1302" w:type="dxa"/>
          </w:tcPr>
          <w:p w14:paraId="56EA0106" w14:textId="25F94356"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EB4A10">
              <w:rPr>
                <w:rFonts w:ascii="Arial Narrow" w:hAnsi="Arial Narrow"/>
                <w:sz w:val="20"/>
                <w:szCs w:val="20"/>
                <w:vertAlign w:val="superscript"/>
              </w:rPr>
              <w:t>3</w:t>
            </w:r>
          </w:p>
        </w:tc>
        <w:tc>
          <w:tcPr>
            <w:tcW w:w="1433" w:type="dxa"/>
          </w:tcPr>
          <w:p w14:paraId="6A362868" w14:textId="09C3E82B"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2423C621" w14:textId="77777777" w:rsidTr="00C66EC7">
        <w:tc>
          <w:tcPr>
            <w:tcW w:w="3484" w:type="dxa"/>
          </w:tcPr>
          <w:p w14:paraId="6747E62E" w14:textId="77777777"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3.5% </w:t>
            </w:r>
          </w:p>
        </w:tc>
        <w:tc>
          <w:tcPr>
            <w:tcW w:w="1482" w:type="dxa"/>
            <w:shd w:val="solid" w:color="000000" w:fill="000000"/>
          </w:tcPr>
          <w:p w14:paraId="4C565385" w14:textId="4B2D9E43"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26CEE2DE"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2.07</w:t>
            </w:r>
          </w:p>
        </w:tc>
        <w:tc>
          <w:tcPr>
            <w:tcW w:w="1302" w:type="dxa"/>
          </w:tcPr>
          <w:p w14:paraId="69E23869" w14:textId="4DDF7FB0"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1</w:t>
            </w:r>
          </w:p>
        </w:tc>
        <w:tc>
          <w:tcPr>
            <w:tcW w:w="1433" w:type="dxa"/>
          </w:tcPr>
          <w:p w14:paraId="269B0537" w14:textId="172A6EA6"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163DE062" w14:textId="77777777" w:rsidTr="00504411">
        <w:tc>
          <w:tcPr>
            <w:tcW w:w="9022" w:type="dxa"/>
            <w:gridSpan w:val="5"/>
          </w:tcPr>
          <w:p w14:paraId="0B74ADD8" w14:textId="77777777" w:rsidR="00097911" w:rsidRPr="007F0A22" w:rsidRDefault="00097911" w:rsidP="00560AEC">
            <w:pPr>
              <w:keepNext/>
              <w:keepLines/>
              <w:jc w:val="left"/>
              <w:rPr>
                <w:rFonts w:ascii="Arial Narrow" w:hAnsi="Arial Narrow"/>
                <w:b/>
                <w:bCs/>
                <w:sz w:val="20"/>
                <w:szCs w:val="20"/>
              </w:rPr>
            </w:pPr>
            <w:r w:rsidRPr="007F0A22">
              <w:rPr>
                <w:rFonts w:ascii="Arial Narrow" w:hAnsi="Arial Narrow"/>
                <w:b/>
                <w:bCs/>
                <w:sz w:val="20"/>
                <w:szCs w:val="20"/>
              </w:rPr>
              <w:t xml:space="preserve">Utility weights </w:t>
            </w:r>
            <w:r w:rsidRPr="007F0A22">
              <w:rPr>
                <w:rFonts w:ascii="Arial Narrow" w:hAnsi="Arial Narrow"/>
                <w:sz w:val="20"/>
                <w:szCs w:val="20"/>
              </w:rPr>
              <w:t>(base case: 0.674, 0.568)</w:t>
            </w:r>
          </w:p>
        </w:tc>
      </w:tr>
      <w:tr w:rsidR="00097911" w:rsidRPr="000C77A2" w14:paraId="777657CB" w14:textId="77777777" w:rsidTr="00C66EC7">
        <w:tc>
          <w:tcPr>
            <w:tcW w:w="3484" w:type="dxa"/>
          </w:tcPr>
          <w:p w14:paraId="2BE2E31A" w14:textId="77777777"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PF = 0.843; PD = 0.568 (unchanged) </w:t>
            </w:r>
          </w:p>
        </w:tc>
        <w:tc>
          <w:tcPr>
            <w:tcW w:w="1482" w:type="dxa"/>
            <w:tcBorders>
              <w:bottom w:val="single" w:sz="4" w:space="0" w:color="auto"/>
            </w:tcBorders>
            <w:shd w:val="solid" w:color="000000" w:fill="000000"/>
          </w:tcPr>
          <w:p w14:paraId="3A2F2520" w14:textId="2EED3782"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3DB01DCF"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2.31</w:t>
            </w:r>
          </w:p>
        </w:tc>
        <w:tc>
          <w:tcPr>
            <w:tcW w:w="1302" w:type="dxa"/>
          </w:tcPr>
          <w:p w14:paraId="2874583B" w14:textId="071A0E7B"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3</w:t>
            </w:r>
          </w:p>
        </w:tc>
        <w:tc>
          <w:tcPr>
            <w:tcW w:w="1433" w:type="dxa"/>
          </w:tcPr>
          <w:p w14:paraId="12699498" w14:textId="332AA8B6"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6A9212BD" w14:textId="77777777" w:rsidTr="00C66EC7">
        <w:tc>
          <w:tcPr>
            <w:tcW w:w="3484" w:type="dxa"/>
          </w:tcPr>
          <w:p w14:paraId="1212F904" w14:textId="77777777"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PF = 0.674 (unchanged); PD = 0.426</w:t>
            </w:r>
          </w:p>
        </w:tc>
        <w:tc>
          <w:tcPr>
            <w:tcW w:w="1482" w:type="dxa"/>
            <w:tcBorders>
              <w:bottom w:val="single" w:sz="4" w:space="0" w:color="auto"/>
            </w:tcBorders>
            <w:shd w:val="solid" w:color="000000" w:fill="000000"/>
          </w:tcPr>
          <w:p w14:paraId="7CE7C213" w14:textId="31FF9FF0"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620D58DF"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1.82</w:t>
            </w:r>
          </w:p>
        </w:tc>
        <w:tc>
          <w:tcPr>
            <w:tcW w:w="1302" w:type="dxa"/>
          </w:tcPr>
          <w:p w14:paraId="35175A86" w14:textId="05B7E059"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1</w:t>
            </w:r>
          </w:p>
        </w:tc>
        <w:tc>
          <w:tcPr>
            <w:tcW w:w="1433" w:type="dxa"/>
          </w:tcPr>
          <w:p w14:paraId="5BF895A7" w14:textId="25E6003F"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0E2E60F9" w14:textId="77777777" w:rsidTr="00C66EC7">
        <w:tc>
          <w:tcPr>
            <w:tcW w:w="3484" w:type="dxa"/>
          </w:tcPr>
          <w:p w14:paraId="1ADC1375" w14:textId="4031CD30"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PF = 0.80, PD =0.73 (sourced from previous submission) </w:t>
            </w:r>
          </w:p>
        </w:tc>
        <w:tc>
          <w:tcPr>
            <w:tcW w:w="1482" w:type="dxa"/>
            <w:tcBorders>
              <w:bottom w:val="single" w:sz="4" w:space="0" w:color="auto"/>
            </w:tcBorders>
            <w:shd w:val="solid" w:color="000000" w:fill="000000"/>
          </w:tcPr>
          <w:p w14:paraId="07E327EE" w14:textId="38D68DAA"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307F8052"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2.37</w:t>
            </w:r>
          </w:p>
        </w:tc>
        <w:tc>
          <w:tcPr>
            <w:tcW w:w="1302" w:type="dxa"/>
          </w:tcPr>
          <w:p w14:paraId="266A9FBC" w14:textId="45A4583D"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3</w:t>
            </w:r>
          </w:p>
        </w:tc>
        <w:tc>
          <w:tcPr>
            <w:tcW w:w="1433" w:type="dxa"/>
          </w:tcPr>
          <w:p w14:paraId="637EAFE2" w14:textId="6965BEB4"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79164F18" w14:textId="77777777" w:rsidTr="00C66EC7">
        <w:tc>
          <w:tcPr>
            <w:tcW w:w="3484" w:type="dxa"/>
          </w:tcPr>
          <w:p w14:paraId="125D4992" w14:textId="77777777" w:rsidR="00097911" w:rsidRPr="007F0A22" w:rsidRDefault="00097911" w:rsidP="00560AEC">
            <w:pPr>
              <w:keepNext/>
              <w:keepLines/>
              <w:jc w:val="left"/>
              <w:rPr>
                <w:rFonts w:ascii="Arial Narrow" w:hAnsi="Arial Narrow"/>
                <w:sz w:val="20"/>
                <w:szCs w:val="20"/>
              </w:rPr>
            </w:pPr>
            <w:r w:rsidRPr="007F0A22">
              <w:rPr>
                <w:rFonts w:ascii="Arial Narrow" w:hAnsi="Arial Narrow"/>
                <w:sz w:val="20"/>
                <w:szCs w:val="20"/>
              </w:rPr>
              <w:t xml:space="preserve">PF = 0.73, PD =0.67 (Table 10, eribulin PSD, November 2016 PBAC meeting) </w:t>
            </w:r>
          </w:p>
        </w:tc>
        <w:tc>
          <w:tcPr>
            <w:tcW w:w="1482" w:type="dxa"/>
            <w:tcBorders>
              <w:bottom w:val="single" w:sz="4" w:space="0" w:color="auto"/>
            </w:tcBorders>
            <w:shd w:val="solid" w:color="000000" w:fill="000000"/>
          </w:tcPr>
          <w:p w14:paraId="1FDC268E" w14:textId="26B4B6FB" w:rsidR="00097911" w:rsidRPr="00560AEC" w:rsidRDefault="00C66EC7" w:rsidP="00560AEC">
            <w:pPr>
              <w:keepNext/>
              <w:keepLines/>
              <w:jc w:val="right"/>
              <w:rPr>
                <w:rFonts w:ascii="Arial Narrow" w:hAnsi="Arial Narrow"/>
                <w:b/>
                <w:bCs/>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5BBFE67D" w14:textId="77777777"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2.17</w:t>
            </w:r>
          </w:p>
        </w:tc>
        <w:tc>
          <w:tcPr>
            <w:tcW w:w="1302" w:type="dxa"/>
          </w:tcPr>
          <w:p w14:paraId="6BFA31B5" w14:textId="2922A069" w:rsidR="00097911"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EB4A10">
              <w:rPr>
                <w:rFonts w:ascii="Arial Narrow" w:hAnsi="Arial Narrow"/>
                <w:sz w:val="20"/>
                <w:szCs w:val="20"/>
                <w:vertAlign w:val="superscript"/>
              </w:rPr>
              <w:t>3</w:t>
            </w:r>
          </w:p>
        </w:tc>
        <w:tc>
          <w:tcPr>
            <w:tcW w:w="1433" w:type="dxa"/>
          </w:tcPr>
          <w:p w14:paraId="7851E6F5" w14:textId="1227DDCE" w:rsidR="00097911" w:rsidRPr="007F0A22" w:rsidRDefault="00097911"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12298F" w:rsidRPr="000C77A2" w14:paraId="0D7E0917" w14:textId="77777777" w:rsidTr="00C66EC7">
        <w:tc>
          <w:tcPr>
            <w:tcW w:w="3484" w:type="dxa"/>
          </w:tcPr>
          <w:p w14:paraId="67E542ED" w14:textId="17952D56" w:rsidR="0012298F" w:rsidRPr="007F0A22" w:rsidRDefault="0012298F" w:rsidP="00560AEC">
            <w:pPr>
              <w:keepNext/>
              <w:keepLines/>
              <w:jc w:val="left"/>
              <w:rPr>
                <w:rFonts w:ascii="Arial Narrow" w:hAnsi="Arial Narrow"/>
                <w:sz w:val="20"/>
                <w:szCs w:val="20"/>
              </w:rPr>
            </w:pPr>
            <w:r w:rsidRPr="007F0A22">
              <w:rPr>
                <w:rFonts w:ascii="Arial Narrow" w:hAnsi="Arial Narrow"/>
                <w:sz w:val="20"/>
                <w:szCs w:val="20"/>
              </w:rPr>
              <w:t>Including disutility due to A</w:t>
            </w:r>
            <w:r w:rsidR="002D3BA0" w:rsidRPr="007F0A22">
              <w:rPr>
                <w:rFonts w:ascii="Arial Narrow" w:hAnsi="Arial Narrow"/>
                <w:sz w:val="20"/>
                <w:szCs w:val="20"/>
              </w:rPr>
              <w:t>E</w:t>
            </w:r>
            <w:r w:rsidRPr="007F0A22">
              <w:rPr>
                <w:rFonts w:ascii="Arial Narrow" w:hAnsi="Arial Narrow"/>
                <w:sz w:val="20"/>
                <w:szCs w:val="20"/>
              </w:rPr>
              <w:t>s (0.024)</w:t>
            </w:r>
          </w:p>
        </w:tc>
        <w:tc>
          <w:tcPr>
            <w:tcW w:w="1482" w:type="dxa"/>
            <w:shd w:val="solid" w:color="000000" w:fill="000000"/>
          </w:tcPr>
          <w:p w14:paraId="61457E00" w14:textId="78BDECE2" w:rsidR="0012298F"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41FFA229" w14:textId="1DF10B77" w:rsidR="0012298F" w:rsidRPr="007F0A22" w:rsidRDefault="0012298F" w:rsidP="00560AEC">
            <w:pPr>
              <w:keepNext/>
              <w:keepLines/>
              <w:jc w:val="right"/>
              <w:rPr>
                <w:rFonts w:ascii="Arial Narrow" w:hAnsi="Arial Narrow"/>
                <w:sz w:val="20"/>
                <w:szCs w:val="20"/>
              </w:rPr>
            </w:pPr>
            <w:r w:rsidRPr="007F0A22">
              <w:rPr>
                <w:rFonts w:ascii="Arial Narrow" w:hAnsi="Arial Narrow"/>
                <w:sz w:val="20"/>
                <w:szCs w:val="20"/>
              </w:rPr>
              <w:t>1.93</w:t>
            </w:r>
          </w:p>
        </w:tc>
        <w:tc>
          <w:tcPr>
            <w:tcW w:w="1302" w:type="dxa"/>
          </w:tcPr>
          <w:p w14:paraId="06FCE8C6" w14:textId="4EF4B27C" w:rsidR="0012298F"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1</w:t>
            </w:r>
          </w:p>
        </w:tc>
        <w:tc>
          <w:tcPr>
            <w:tcW w:w="1433" w:type="dxa"/>
          </w:tcPr>
          <w:p w14:paraId="2F7A9A4B" w14:textId="01FF70B9" w:rsidR="0012298F" w:rsidRPr="007F0A22" w:rsidRDefault="0012298F"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2FE8ED26" w14:textId="77777777" w:rsidTr="00504411">
        <w:tc>
          <w:tcPr>
            <w:tcW w:w="9022" w:type="dxa"/>
            <w:gridSpan w:val="5"/>
          </w:tcPr>
          <w:p w14:paraId="372F62AA" w14:textId="77777777" w:rsidR="00097911" w:rsidRPr="007F0A22" w:rsidRDefault="00097911" w:rsidP="00560AEC">
            <w:pPr>
              <w:keepNext/>
              <w:keepLines/>
              <w:jc w:val="left"/>
              <w:rPr>
                <w:rFonts w:ascii="Arial Narrow" w:hAnsi="Arial Narrow"/>
                <w:b/>
                <w:bCs/>
                <w:sz w:val="20"/>
                <w:szCs w:val="20"/>
              </w:rPr>
            </w:pPr>
            <w:r w:rsidRPr="007F0A22">
              <w:rPr>
                <w:rFonts w:ascii="Arial Narrow" w:hAnsi="Arial Narrow"/>
                <w:b/>
                <w:bCs/>
                <w:sz w:val="20"/>
                <w:szCs w:val="20"/>
              </w:rPr>
              <w:t xml:space="preserve">Larotrectinib KM truncation time point </w:t>
            </w:r>
            <w:r w:rsidRPr="007F0A22">
              <w:rPr>
                <w:rFonts w:ascii="Arial Narrow" w:hAnsi="Arial Narrow"/>
                <w:sz w:val="20"/>
                <w:szCs w:val="20"/>
              </w:rPr>
              <w:t>(base case: PFS: 12 months, OS: 24 months)</w:t>
            </w:r>
          </w:p>
        </w:tc>
      </w:tr>
      <w:tr w:rsidR="0012298F" w:rsidRPr="000C77A2" w14:paraId="149F0B43" w14:textId="77777777" w:rsidTr="00C66EC7">
        <w:tc>
          <w:tcPr>
            <w:tcW w:w="3484" w:type="dxa"/>
          </w:tcPr>
          <w:p w14:paraId="15DE9908" w14:textId="74150F34" w:rsidR="0012298F" w:rsidRPr="007F0A22" w:rsidRDefault="0012298F" w:rsidP="00560AEC">
            <w:pPr>
              <w:keepNext/>
              <w:keepLines/>
              <w:jc w:val="left"/>
              <w:rPr>
                <w:rFonts w:ascii="Arial Narrow" w:hAnsi="Arial Narrow"/>
                <w:sz w:val="20"/>
                <w:szCs w:val="20"/>
              </w:rPr>
            </w:pPr>
            <w:r w:rsidRPr="007F0A22">
              <w:rPr>
                <w:rFonts w:ascii="Arial Narrow" w:hAnsi="Arial Narrow"/>
                <w:sz w:val="20"/>
                <w:szCs w:val="20"/>
              </w:rPr>
              <w:t>Using only modelled data</w:t>
            </w:r>
          </w:p>
        </w:tc>
        <w:tc>
          <w:tcPr>
            <w:tcW w:w="1482" w:type="dxa"/>
            <w:shd w:val="solid" w:color="000000" w:fill="000000"/>
          </w:tcPr>
          <w:p w14:paraId="17A193A9" w14:textId="6B21CA40" w:rsidR="0012298F" w:rsidRPr="007F0A22" w:rsidRDefault="00C66EC7" w:rsidP="00560AEC">
            <w:pPr>
              <w:keepNext/>
              <w:keepLines/>
              <w:jc w:val="right"/>
              <w:rPr>
                <w:rFonts w:ascii="Arial Narrow" w:hAnsi="Arial Narrow"/>
                <w:sz w:val="20"/>
                <w:szCs w:val="20"/>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2CAA8660" w14:textId="233316D4" w:rsidR="0012298F" w:rsidRPr="007F0A22" w:rsidRDefault="0012298F" w:rsidP="00560AEC">
            <w:pPr>
              <w:keepNext/>
              <w:keepLines/>
              <w:jc w:val="right"/>
              <w:rPr>
                <w:rFonts w:ascii="Arial Narrow" w:hAnsi="Arial Narrow"/>
                <w:sz w:val="20"/>
                <w:szCs w:val="20"/>
              </w:rPr>
            </w:pPr>
            <w:r w:rsidRPr="007F0A22">
              <w:rPr>
                <w:rFonts w:ascii="Arial Narrow" w:hAnsi="Arial Narrow"/>
                <w:sz w:val="20"/>
                <w:szCs w:val="20"/>
              </w:rPr>
              <w:t>1.99</w:t>
            </w:r>
          </w:p>
        </w:tc>
        <w:tc>
          <w:tcPr>
            <w:tcW w:w="1302" w:type="dxa"/>
          </w:tcPr>
          <w:p w14:paraId="24F1CB65" w14:textId="5FB9AD67" w:rsidR="0012298F" w:rsidRPr="007F0A22" w:rsidRDefault="00C66EC7" w:rsidP="00560AEC">
            <w:pPr>
              <w:keepNext/>
              <w:keepLines/>
              <w:jc w:val="right"/>
              <w:rPr>
                <w:rFonts w:ascii="Arial Narrow" w:hAnsi="Arial Narrow"/>
                <w:sz w:val="20"/>
                <w:szCs w:val="20"/>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1</w:t>
            </w:r>
          </w:p>
        </w:tc>
        <w:tc>
          <w:tcPr>
            <w:tcW w:w="1433" w:type="dxa"/>
          </w:tcPr>
          <w:p w14:paraId="6B14B635" w14:textId="033DF171" w:rsidR="0012298F" w:rsidRPr="007F0A22" w:rsidRDefault="0012298F"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r w:rsidR="00097911" w:rsidRPr="000C77A2" w14:paraId="2707C6BC" w14:textId="77777777" w:rsidTr="00504411">
        <w:tc>
          <w:tcPr>
            <w:tcW w:w="9022" w:type="dxa"/>
            <w:gridSpan w:val="5"/>
          </w:tcPr>
          <w:p w14:paraId="347FD47E" w14:textId="77777777" w:rsidR="00097911" w:rsidRPr="007F0A22" w:rsidRDefault="00097911" w:rsidP="00560AEC">
            <w:pPr>
              <w:keepNext/>
              <w:keepLines/>
              <w:jc w:val="left"/>
              <w:rPr>
                <w:rFonts w:ascii="Arial Narrow" w:hAnsi="Arial Narrow"/>
                <w:b/>
                <w:bCs/>
                <w:sz w:val="20"/>
                <w:szCs w:val="20"/>
              </w:rPr>
            </w:pPr>
            <w:r w:rsidRPr="007F0A22">
              <w:rPr>
                <w:rFonts w:ascii="Arial Narrow" w:hAnsi="Arial Narrow"/>
                <w:b/>
                <w:bCs/>
                <w:sz w:val="20"/>
                <w:szCs w:val="20"/>
              </w:rPr>
              <w:t xml:space="preserve">Parametric model extrapolation </w:t>
            </w:r>
            <w:r w:rsidRPr="007F0A22">
              <w:rPr>
                <w:rFonts w:ascii="Arial Narrow" w:hAnsi="Arial Narrow"/>
                <w:b/>
                <w:bCs/>
                <w:sz w:val="20"/>
                <w:szCs w:val="20"/>
              </w:rPr>
              <w:br/>
            </w:r>
            <w:r w:rsidRPr="007F0A22">
              <w:rPr>
                <w:rFonts w:ascii="Arial Narrow" w:hAnsi="Arial Narrow"/>
                <w:sz w:val="20"/>
                <w:szCs w:val="20"/>
              </w:rPr>
              <w:t>(base case: larotrectinib PFS and OS: exponential; pazopanib PFS and OS: lognormal)</w:t>
            </w:r>
          </w:p>
        </w:tc>
      </w:tr>
      <w:tr w:rsidR="0012298F" w:rsidRPr="000C77A2" w14:paraId="1C889D41" w14:textId="77777777" w:rsidTr="00C66EC7">
        <w:tc>
          <w:tcPr>
            <w:tcW w:w="3484" w:type="dxa"/>
          </w:tcPr>
          <w:p w14:paraId="705FCF6B" w14:textId="3BD8CA3F" w:rsidR="0012298F" w:rsidRPr="007F0A22" w:rsidRDefault="0012298F" w:rsidP="00560AEC">
            <w:pPr>
              <w:keepNext/>
              <w:keepLines/>
              <w:jc w:val="left"/>
              <w:rPr>
                <w:rFonts w:ascii="Arial Narrow" w:hAnsi="Arial Narrow"/>
                <w:sz w:val="20"/>
                <w:szCs w:val="20"/>
              </w:rPr>
            </w:pPr>
            <w:r w:rsidRPr="007F0A22">
              <w:rPr>
                <w:rFonts w:ascii="Arial Narrow" w:hAnsi="Arial Narrow"/>
                <w:sz w:val="20"/>
                <w:szCs w:val="20"/>
              </w:rPr>
              <w:t xml:space="preserve">Most conservative extrapolations for PFS (Exponential and Weibull) and OS (Gompertz and Log-logistic) for larotrectinib and pazopanib, respectively </w:t>
            </w:r>
          </w:p>
        </w:tc>
        <w:tc>
          <w:tcPr>
            <w:tcW w:w="1482" w:type="dxa"/>
            <w:shd w:val="solid" w:color="000000" w:fill="000000"/>
          </w:tcPr>
          <w:p w14:paraId="26A533C2" w14:textId="009A1725" w:rsidR="0012298F" w:rsidRPr="007F0A22" w:rsidRDefault="00C66EC7" w:rsidP="00560AEC">
            <w:pPr>
              <w:keepNext/>
              <w:keepLines/>
              <w:jc w:val="right"/>
              <w:rPr>
                <w:rFonts w:ascii="Arial Narrow" w:hAnsi="Arial Narrow"/>
                <w:sz w:val="20"/>
                <w:szCs w:val="20"/>
              </w:rPr>
            </w:pPr>
            <w:r w:rsidRPr="00C66EC7">
              <w:rPr>
                <w:rFonts w:ascii="Arial Narrow" w:hAnsi="Arial Narrow"/>
                <w:color w:val="000000"/>
                <w:sz w:val="20"/>
                <w:szCs w:val="20"/>
                <w14:textFill>
                  <w14:solidFill>
                    <w14:srgbClr w14:val="000000">
                      <w14:alpha w14:val="100000"/>
                    </w14:srgbClr>
                  </w14:solidFill>
                </w14:textFill>
              </w:rPr>
              <w:t>|</w:t>
            </w:r>
          </w:p>
        </w:tc>
        <w:tc>
          <w:tcPr>
            <w:tcW w:w="1321" w:type="dxa"/>
          </w:tcPr>
          <w:p w14:paraId="2ABF64EE" w14:textId="0CA4BD84" w:rsidR="0012298F" w:rsidRPr="007F0A22" w:rsidRDefault="0012298F" w:rsidP="00560AEC">
            <w:pPr>
              <w:keepNext/>
              <w:keepLines/>
              <w:jc w:val="right"/>
              <w:rPr>
                <w:rFonts w:ascii="Arial Narrow" w:hAnsi="Arial Narrow"/>
                <w:sz w:val="20"/>
                <w:szCs w:val="20"/>
              </w:rPr>
            </w:pPr>
            <w:r w:rsidRPr="007F0A22">
              <w:rPr>
                <w:rFonts w:ascii="Arial Narrow" w:hAnsi="Arial Narrow"/>
                <w:sz w:val="20"/>
                <w:szCs w:val="20"/>
              </w:rPr>
              <w:t>1.94</w:t>
            </w:r>
          </w:p>
        </w:tc>
        <w:tc>
          <w:tcPr>
            <w:tcW w:w="1302" w:type="dxa"/>
          </w:tcPr>
          <w:p w14:paraId="0B8FD4EF" w14:textId="50ADE6F1" w:rsidR="0012298F" w:rsidRPr="00560AEC" w:rsidRDefault="00C66EC7" w:rsidP="00560AEC">
            <w:pPr>
              <w:keepNext/>
              <w:keepLines/>
              <w:jc w:val="right"/>
              <w:rPr>
                <w:rFonts w:ascii="Arial Narrow" w:hAnsi="Arial Narrow"/>
                <w:sz w:val="20"/>
                <w:szCs w:val="20"/>
                <w:highlight w:val="lightGray"/>
              </w:rPr>
            </w:pPr>
            <w:r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400B9F" w:rsidRPr="007F0A22">
              <w:rPr>
                <w:rFonts w:ascii="Arial Narrow" w:hAnsi="Arial Narrow"/>
                <w:sz w:val="20"/>
                <w:szCs w:val="20"/>
                <w:vertAlign w:val="superscript"/>
              </w:rPr>
              <w:t>1</w:t>
            </w:r>
          </w:p>
        </w:tc>
        <w:tc>
          <w:tcPr>
            <w:tcW w:w="1433" w:type="dxa"/>
          </w:tcPr>
          <w:p w14:paraId="27E87977" w14:textId="01BA1E67" w:rsidR="0012298F" w:rsidRPr="007F0A22" w:rsidRDefault="0012298F" w:rsidP="00560AEC">
            <w:pPr>
              <w:keepNext/>
              <w:keepLines/>
              <w:jc w:val="right"/>
              <w:rPr>
                <w:rFonts w:ascii="Arial Narrow" w:hAnsi="Arial Narrow"/>
                <w:sz w:val="20"/>
                <w:szCs w:val="20"/>
              </w:rPr>
            </w:pPr>
            <w:r w:rsidRPr="007F0A22">
              <w:rPr>
                <w:rFonts w:ascii="Arial Narrow" w:hAnsi="Arial Narrow"/>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48664C3C" w14:textId="77777777" w:rsidR="0012298F" w:rsidRPr="000C77A2" w:rsidRDefault="0012298F" w:rsidP="00560AEC">
      <w:pPr>
        <w:pStyle w:val="TableFooter"/>
        <w:keepNext/>
        <w:keepLines/>
        <w:rPr>
          <w:snapToGrid w:val="0"/>
        </w:rPr>
      </w:pPr>
      <w:r w:rsidRPr="000C77A2">
        <w:rPr>
          <w:snapToGrid w:val="0"/>
        </w:rPr>
        <w:t>* denotes the most conservative model as identified in the evaluation</w:t>
      </w:r>
    </w:p>
    <w:p w14:paraId="178776B7" w14:textId="77777777" w:rsidR="0012298F" w:rsidRPr="000C77A2" w:rsidRDefault="0012298F" w:rsidP="00560AEC">
      <w:pPr>
        <w:pStyle w:val="TableFooter"/>
        <w:keepNext/>
        <w:keepLines/>
        <w:rPr>
          <w:snapToGrid w:val="0"/>
        </w:rPr>
      </w:pPr>
      <w:r w:rsidRPr="000C77A2">
        <w:t xml:space="preserve">Source: tabulated during evaluation from the “Attachment 3.1 – Section 3 Workbook – cost effectiveness model” workbook provided in the submission. </w:t>
      </w:r>
    </w:p>
    <w:p w14:paraId="42E1F796" w14:textId="77777777" w:rsidR="0012298F" w:rsidRPr="000C77A2" w:rsidRDefault="0012298F" w:rsidP="00560AEC">
      <w:pPr>
        <w:pStyle w:val="TableFooter"/>
        <w:keepNext/>
        <w:keepLines/>
      </w:pPr>
      <w:r w:rsidRPr="000C77A2">
        <w:t>ICER = incremental cost-effectiveness ratio; NSCLC = non-small cell lung cancer; OS = overall survival; PD = progressive disease; PF = progression free; PFS = progression-free survival; PSD = public summary document; STS = soft tissue sarcoma; TOT = time on treatment</w:t>
      </w:r>
    </w:p>
    <w:p w14:paraId="47149B9A" w14:textId="030197E1" w:rsidR="00097911" w:rsidRPr="000C77A2" w:rsidRDefault="00097911" w:rsidP="00560AEC">
      <w:pPr>
        <w:keepNext/>
        <w:keepLines/>
        <w:rPr>
          <w:rFonts w:ascii="Arial Narrow" w:hAnsi="Arial Narrow"/>
          <w:snapToGrid w:val="0"/>
          <w:sz w:val="18"/>
        </w:rPr>
      </w:pPr>
      <w:proofErr w:type="spellStart"/>
      <w:r w:rsidRPr="000C77A2">
        <w:rPr>
          <w:rFonts w:ascii="Arial Narrow" w:hAnsi="Arial Narrow"/>
          <w:sz w:val="18"/>
          <w:vertAlign w:val="superscript"/>
        </w:rPr>
        <w:t>a</w:t>
      </w:r>
      <w:proofErr w:type="spellEnd"/>
      <w:r w:rsidRPr="000C77A2">
        <w:rPr>
          <w:rFonts w:ascii="Arial Narrow" w:hAnsi="Arial Narrow"/>
          <w:sz w:val="18"/>
          <w:vertAlign w:val="superscript"/>
        </w:rPr>
        <w:t xml:space="preserve"> </w:t>
      </w:r>
      <w:r w:rsidRPr="000C77A2">
        <w:rPr>
          <w:rFonts w:ascii="Arial Narrow" w:hAnsi="Arial Narrow"/>
          <w:snapToGrid w:val="0"/>
          <w:sz w:val="18"/>
        </w:rPr>
        <w:t xml:space="preserve">The duration of scripts refers to the number of days one script </w:t>
      </w:r>
      <w:r w:rsidR="00747BD0" w:rsidRPr="000C77A2">
        <w:rPr>
          <w:rFonts w:ascii="Arial Narrow" w:hAnsi="Arial Narrow"/>
          <w:snapToGrid w:val="0"/>
          <w:sz w:val="18"/>
        </w:rPr>
        <w:t xml:space="preserve">(pack) </w:t>
      </w:r>
      <w:r w:rsidRPr="000C77A2">
        <w:rPr>
          <w:rFonts w:ascii="Arial Narrow" w:hAnsi="Arial Narrow"/>
          <w:snapToGrid w:val="0"/>
          <w:sz w:val="18"/>
        </w:rPr>
        <w:t xml:space="preserve">provides treatment coverage for. </w:t>
      </w:r>
    </w:p>
    <w:p w14:paraId="111E95E6" w14:textId="77777777" w:rsidR="00400B9F" w:rsidRPr="00560AEC" w:rsidRDefault="00400B9F" w:rsidP="00560AEC">
      <w:pPr>
        <w:keepNext/>
        <w:keepLines/>
        <w:jc w:val="left"/>
        <w:rPr>
          <w:rFonts w:ascii="Arial Narrow" w:hAnsi="Arial Narrow" w:cstheme="minorHAnsi"/>
          <w:bCs/>
          <w:i/>
          <w:iCs/>
          <w:sz w:val="18"/>
          <w:szCs w:val="18"/>
        </w:rPr>
      </w:pPr>
      <w:bookmarkStart w:id="60" w:name="_Toc156903964"/>
      <w:r w:rsidRPr="00560AEC">
        <w:rPr>
          <w:rFonts w:ascii="Arial Narrow" w:hAnsi="Arial Narrow" w:cstheme="minorHAnsi"/>
          <w:bCs/>
          <w:i/>
          <w:iCs/>
          <w:sz w:val="18"/>
          <w:szCs w:val="18"/>
        </w:rPr>
        <w:t xml:space="preserve">The redacted values correspond to the following ranges: </w:t>
      </w:r>
    </w:p>
    <w:p w14:paraId="5D69601C" w14:textId="59A7024A" w:rsidR="00400B9F" w:rsidRPr="00560AEC" w:rsidRDefault="00400B9F"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$115,000 to &lt; $135,000</w:t>
      </w:r>
    </w:p>
    <w:p w14:paraId="2E98FDEC" w14:textId="471073C0" w:rsidR="00400B9F" w:rsidRPr="00560AEC" w:rsidRDefault="00400B9F" w:rsidP="00560AEC">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$155,000 to &lt; $255,000</w:t>
      </w:r>
    </w:p>
    <w:p w14:paraId="5C94E9A4" w14:textId="4E0DFE22" w:rsidR="006C77BE" w:rsidRPr="00560AEC" w:rsidRDefault="00400B9F" w:rsidP="00560AEC">
      <w:pPr>
        <w:spacing w:after="120"/>
        <w:jc w:val="left"/>
        <w:rPr>
          <w:rFonts w:cstheme="minorHAnsi"/>
          <w:bCs/>
          <w:i/>
          <w:iCs/>
          <w:sz w:val="18"/>
          <w:szCs w:val="18"/>
        </w:rPr>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$95,000 to &lt; $115,000</w:t>
      </w:r>
    </w:p>
    <w:p w14:paraId="4893EF40" w14:textId="43242464" w:rsidR="00D15B05" w:rsidRPr="000C77A2" w:rsidRDefault="00D15B05" w:rsidP="00D15B05">
      <w:pPr>
        <w:pStyle w:val="4-SubsectionHeading"/>
      </w:pPr>
      <w:r w:rsidRPr="000C77A2">
        <w:lastRenderedPageBreak/>
        <w:t>Drug cost/patient/course</w:t>
      </w:r>
      <w:bookmarkEnd w:id="60"/>
    </w:p>
    <w:bookmarkEnd w:id="43"/>
    <w:bookmarkEnd w:id="44"/>
    <w:p w14:paraId="67BC211F" w14:textId="2AA9F0F0" w:rsidR="00097911" w:rsidRPr="000C77A2" w:rsidRDefault="00097911" w:rsidP="00097911">
      <w:pPr>
        <w:pStyle w:val="Caption"/>
      </w:pPr>
      <w:r w:rsidRPr="000C77A2">
        <w:t xml:space="preserve">Table </w:t>
      </w:r>
      <w:fldSimple w:instr=" SEQ Table \* ARABIC " w:fldLock="1">
        <w:r w:rsidR="001B0FE7">
          <w:rPr>
            <w:noProof/>
          </w:rPr>
          <w:t>24</w:t>
        </w:r>
      </w:fldSimple>
      <w:r w:rsidRPr="000C77A2">
        <w:t>: Drug cost per patient for proposed and comparator drugs</w:t>
      </w:r>
      <w:r w:rsidR="00E21C39" w:rsidRPr="000C77A2">
        <w:t xml:space="preserve"> (using prices proposed in the resubmission)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4: Drug cost per patient for proposed and comparator drugs (using prices proposed in the resubmission)"/>
      </w:tblPr>
      <w:tblGrid>
        <w:gridCol w:w="2462"/>
        <w:gridCol w:w="1565"/>
        <w:gridCol w:w="2150"/>
        <w:gridCol w:w="1190"/>
        <w:gridCol w:w="1650"/>
      </w:tblGrid>
      <w:tr w:rsidR="009247DA" w:rsidRPr="000C77A2" w14:paraId="46B0D38B" w14:textId="77777777" w:rsidTr="00560AEC">
        <w:trPr>
          <w:cantSplit/>
          <w:tblHeader/>
          <w:jc w:val="center"/>
        </w:trPr>
        <w:tc>
          <w:tcPr>
            <w:tcW w:w="0" w:type="auto"/>
            <w:shd w:val="clear" w:color="auto" w:fill="auto"/>
            <w:vAlign w:val="center"/>
          </w:tcPr>
          <w:p w14:paraId="0E4DBAD2" w14:textId="77777777" w:rsidR="009247DA" w:rsidRPr="007F0A22" w:rsidRDefault="009247DA" w:rsidP="00CD11C0">
            <w:pPr>
              <w:keepNext/>
              <w:jc w:val="center"/>
              <w:rPr>
                <w:rFonts w:ascii="Arial Narrow" w:eastAsiaTheme="majorEastAsia" w:hAnsi="Arial Narrow" w:cs="Times New Roman"/>
                <w:b/>
                <w:sz w:val="20"/>
                <w:szCs w:val="20"/>
              </w:rPr>
            </w:pPr>
          </w:p>
        </w:tc>
        <w:tc>
          <w:tcPr>
            <w:tcW w:w="0" w:type="auto"/>
            <w:shd w:val="clear" w:color="auto" w:fill="auto"/>
            <w:vAlign w:val="center"/>
          </w:tcPr>
          <w:p w14:paraId="5704CED9" w14:textId="77777777" w:rsidR="009247DA" w:rsidRPr="007F0A22" w:rsidRDefault="009247DA" w:rsidP="00CD11C0">
            <w:pPr>
              <w:pStyle w:val="In-tableHeading"/>
              <w:jc w:val="center"/>
              <w:rPr>
                <w:szCs w:val="20"/>
                <w:lang w:val="en-AU"/>
              </w:rPr>
            </w:pPr>
            <w:r w:rsidRPr="007F0A22">
              <w:rPr>
                <w:szCs w:val="20"/>
                <w:lang w:val="en-AU"/>
              </w:rPr>
              <w:t>Larotrectinib</w:t>
            </w:r>
          </w:p>
          <w:p w14:paraId="6E803C63" w14:textId="77777777" w:rsidR="009247DA" w:rsidRPr="007F0A22" w:rsidRDefault="009247DA" w:rsidP="00CD11C0">
            <w:pPr>
              <w:pStyle w:val="In-tableHeading"/>
              <w:jc w:val="center"/>
              <w:rPr>
                <w:szCs w:val="20"/>
                <w:lang w:val="en-AU"/>
              </w:rPr>
            </w:pPr>
            <w:r w:rsidRPr="007F0A22">
              <w:rPr>
                <w:szCs w:val="20"/>
                <w:lang w:val="en-AU"/>
              </w:rPr>
              <w:t>Model</w:t>
            </w:r>
          </w:p>
        </w:tc>
        <w:tc>
          <w:tcPr>
            <w:tcW w:w="0" w:type="auto"/>
            <w:shd w:val="clear" w:color="auto" w:fill="auto"/>
            <w:vAlign w:val="center"/>
          </w:tcPr>
          <w:p w14:paraId="48998ED6" w14:textId="77777777" w:rsidR="009247DA" w:rsidRPr="007F0A22" w:rsidRDefault="009247DA" w:rsidP="00CD11C0">
            <w:pPr>
              <w:pStyle w:val="In-tableHeading"/>
              <w:jc w:val="center"/>
              <w:rPr>
                <w:szCs w:val="20"/>
                <w:lang w:val="en-AU"/>
              </w:rPr>
            </w:pPr>
            <w:r w:rsidRPr="007F0A22">
              <w:rPr>
                <w:szCs w:val="20"/>
                <w:lang w:val="en-AU"/>
              </w:rPr>
              <w:t>Larotrectinib</w:t>
            </w:r>
          </w:p>
          <w:p w14:paraId="46097EBC" w14:textId="77777777" w:rsidR="009247DA" w:rsidRPr="007F0A22" w:rsidRDefault="009247DA" w:rsidP="00CD11C0">
            <w:pPr>
              <w:pStyle w:val="In-tableHeading"/>
              <w:jc w:val="center"/>
              <w:rPr>
                <w:szCs w:val="20"/>
                <w:lang w:val="en-AU"/>
              </w:rPr>
            </w:pPr>
            <w:r w:rsidRPr="007F0A22">
              <w:rPr>
                <w:szCs w:val="20"/>
                <w:lang w:val="en-AU"/>
              </w:rPr>
              <w:t>Financial estimates</w:t>
            </w:r>
          </w:p>
        </w:tc>
        <w:tc>
          <w:tcPr>
            <w:tcW w:w="660" w:type="pct"/>
            <w:shd w:val="clear" w:color="auto" w:fill="auto"/>
            <w:vAlign w:val="center"/>
          </w:tcPr>
          <w:p w14:paraId="754FC7B6" w14:textId="77777777" w:rsidR="009247DA" w:rsidRPr="007F0A22" w:rsidRDefault="009247DA" w:rsidP="00CD11C0">
            <w:pPr>
              <w:pStyle w:val="In-tableHeading"/>
              <w:jc w:val="center"/>
              <w:rPr>
                <w:szCs w:val="20"/>
                <w:lang w:val="en-AU"/>
              </w:rPr>
            </w:pPr>
            <w:r w:rsidRPr="007F0A22">
              <w:rPr>
                <w:szCs w:val="20"/>
                <w:lang w:val="en-AU"/>
              </w:rPr>
              <w:t>SoC</w:t>
            </w:r>
          </w:p>
          <w:p w14:paraId="10AD9405" w14:textId="77777777" w:rsidR="009247DA" w:rsidRPr="007F0A22" w:rsidRDefault="009247DA" w:rsidP="00CD11C0">
            <w:pPr>
              <w:pStyle w:val="In-tableHeading"/>
              <w:jc w:val="center"/>
              <w:rPr>
                <w:szCs w:val="20"/>
                <w:lang w:val="en-AU"/>
              </w:rPr>
            </w:pPr>
            <w:r w:rsidRPr="007F0A22">
              <w:rPr>
                <w:szCs w:val="20"/>
                <w:lang w:val="en-AU"/>
              </w:rPr>
              <w:t>Model</w:t>
            </w:r>
          </w:p>
        </w:tc>
        <w:tc>
          <w:tcPr>
            <w:tcW w:w="915" w:type="pct"/>
          </w:tcPr>
          <w:p w14:paraId="6E1443E1" w14:textId="77777777" w:rsidR="009247DA" w:rsidRPr="007F0A22" w:rsidRDefault="009247DA" w:rsidP="00CD11C0">
            <w:pPr>
              <w:pStyle w:val="In-tableHeading"/>
              <w:jc w:val="center"/>
              <w:rPr>
                <w:szCs w:val="20"/>
                <w:lang w:val="en-AU"/>
              </w:rPr>
            </w:pPr>
            <w:r w:rsidRPr="007F0A22">
              <w:rPr>
                <w:szCs w:val="20"/>
                <w:lang w:val="en-AU"/>
              </w:rPr>
              <w:t>SoC</w:t>
            </w:r>
          </w:p>
          <w:p w14:paraId="1A7CF432" w14:textId="77777777" w:rsidR="009247DA" w:rsidRPr="007F0A22" w:rsidRDefault="009247DA" w:rsidP="00CD11C0">
            <w:pPr>
              <w:pStyle w:val="In-tableHeading"/>
              <w:jc w:val="center"/>
              <w:rPr>
                <w:szCs w:val="20"/>
                <w:lang w:val="en-AU"/>
              </w:rPr>
            </w:pPr>
            <w:r w:rsidRPr="007F0A22">
              <w:rPr>
                <w:szCs w:val="20"/>
                <w:lang w:val="en-AU"/>
              </w:rPr>
              <w:t>Financial estimates</w:t>
            </w:r>
          </w:p>
        </w:tc>
      </w:tr>
      <w:tr w:rsidR="009247DA" w:rsidRPr="000C77A2" w14:paraId="6E0EC9B3" w14:textId="77777777" w:rsidTr="00CD11C0">
        <w:trPr>
          <w:cantSplit/>
          <w:tblHeader/>
          <w:jc w:val="center"/>
        </w:trPr>
        <w:tc>
          <w:tcPr>
            <w:tcW w:w="0" w:type="auto"/>
            <w:gridSpan w:val="5"/>
            <w:shd w:val="clear" w:color="auto" w:fill="auto"/>
            <w:vAlign w:val="center"/>
          </w:tcPr>
          <w:p w14:paraId="08B049E0" w14:textId="77777777" w:rsidR="009247DA" w:rsidRPr="007F0A22" w:rsidRDefault="009247DA" w:rsidP="00CD11C0">
            <w:pPr>
              <w:keepNext/>
              <w:jc w:val="left"/>
              <w:rPr>
                <w:rFonts w:ascii="Arial Narrow" w:eastAsiaTheme="majorEastAsia" w:hAnsi="Arial Narrow" w:cs="Times New Roman"/>
                <w:b/>
                <w:sz w:val="20"/>
                <w:szCs w:val="20"/>
              </w:rPr>
            </w:pPr>
            <w:r w:rsidRPr="007F0A22">
              <w:rPr>
                <w:rFonts w:ascii="Arial Narrow" w:eastAsiaTheme="majorEastAsia" w:hAnsi="Arial Narrow" w:cs="Times New Roman"/>
                <w:b/>
                <w:sz w:val="20"/>
                <w:szCs w:val="20"/>
              </w:rPr>
              <w:t>NSCLC</w:t>
            </w:r>
          </w:p>
        </w:tc>
      </w:tr>
      <w:tr w:rsidR="009247DA" w:rsidRPr="000C77A2" w14:paraId="0F5E5E3B" w14:textId="77777777" w:rsidTr="00560AEC">
        <w:trPr>
          <w:cantSplit/>
          <w:jc w:val="center"/>
        </w:trPr>
        <w:tc>
          <w:tcPr>
            <w:tcW w:w="0" w:type="auto"/>
            <w:shd w:val="clear" w:color="auto" w:fill="auto"/>
            <w:vAlign w:val="center"/>
          </w:tcPr>
          <w:p w14:paraId="485CC220" w14:textId="77777777" w:rsidR="009247DA" w:rsidRPr="007F0A22" w:rsidRDefault="009247DA" w:rsidP="00CD11C0">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Mean dose</w:t>
            </w:r>
          </w:p>
        </w:tc>
        <w:tc>
          <w:tcPr>
            <w:tcW w:w="0" w:type="auto"/>
            <w:shd w:val="clear" w:color="auto" w:fill="auto"/>
            <w:vAlign w:val="center"/>
          </w:tcPr>
          <w:p w14:paraId="29902742"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200 mg</w:t>
            </w:r>
          </w:p>
        </w:tc>
        <w:tc>
          <w:tcPr>
            <w:tcW w:w="0" w:type="auto"/>
            <w:shd w:val="clear" w:color="auto" w:fill="auto"/>
            <w:vAlign w:val="center"/>
          </w:tcPr>
          <w:p w14:paraId="1A3EDC74"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200 mg</w:t>
            </w:r>
          </w:p>
        </w:tc>
        <w:tc>
          <w:tcPr>
            <w:tcW w:w="660" w:type="pct"/>
            <w:shd w:val="clear" w:color="auto" w:fill="auto"/>
            <w:vAlign w:val="center"/>
          </w:tcPr>
          <w:p w14:paraId="789C20EF"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133.5 mg</w:t>
            </w:r>
          </w:p>
        </w:tc>
        <w:tc>
          <w:tcPr>
            <w:tcW w:w="915" w:type="pct"/>
          </w:tcPr>
          <w:p w14:paraId="18A86604"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250 mg</w:t>
            </w:r>
          </w:p>
        </w:tc>
      </w:tr>
      <w:tr w:rsidR="009247DA" w:rsidRPr="000C77A2" w14:paraId="66946CA4" w14:textId="77777777" w:rsidTr="00560AEC">
        <w:trPr>
          <w:cantSplit/>
          <w:jc w:val="center"/>
        </w:trPr>
        <w:tc>
          <w:tcPr>
            <w:tcW w:w="0" w:type="auto"/>
            <w:tcBorders>
              <w:bottom w:val="single" w:sz="4" w:space="0" w:color="auto"/>
            </w:tcBorders>
            <w:shd w:val="clear" w:color="auto" w:fill="auto"/>
            <w:vAlign w:val="center"/>
          </w:tcPr>
          <w:p w14:paraId="3251A872" w14:textId="77777777" w:rsidR="009247DA" w:rsidRPr="007F0A22" w:rsidRDefault="009247DA" w:rsidP="00CD11C0">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Mean duration (months)</w:t>
            </w:r>
          </w:p>
        </w:tc>
        <w:tc>
          <w:tcPr>
            <w:tcW w:w="0" w:type="auto"/>
            <w:tcBorders>
              <w:bottom w:val="single" w:sz="4" w:space="0" w:color="auto"/>
            </w:tcBorders>
            <w:shd w:val="clear" w:color="auto" w:fill="auto"/>
            <w:vAlign w:val="center"/>
          </w:tcPr>
          <w:p w14:paraId="01B7DAEF"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30</w:t>
            </w:r>
          </w:p>
        </w:tc>
        <w:tc>
          <w:tcPr>
            <w:tcW w:w="0" w:type="auto"/>
            <w:tcBorders>
              <w:bottom w:val="single" w:sz="4" w:space="0" w:color="auto"/>
            </w:tcBorders>
            <w:shd w:val="clear" w:color="auto" w:fill="auto"/>
            <w:vAlign w:val="center"/>
          </w:tcPr>
          <w:p w14:paraId="0556BB2D"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20</w:t>
            </w:r>
          </w:p>
        </w:tc>
        <w:tc>
          <w:tcPr>
            <w:tcW w:w="660" w:type="pct"/>
            <w:tcBorders>
              <w:bottom w:val="single" w:sz="4" w:space="0" w:color="auto"/>
            </w:tcBorders>
            <w:shd w:val="clear" w:color="auto" w:fill="auto"/>
            <w:vAlign w:val="center"/>
          </w:tcPr>
          <w:p w14:paraId="6B57513D"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6</w:t>
            </w:r>
          </w:p>
        </w:tc>
        <w:tc>
          <w:tcPr>
            <w:tcW w:w="915" w:type="pct"/>
            <w:tcBorders>
              <w:bottom w:val="single" w:sz="4" w:space="0" w:color="auto"/>
            </w:tcBorders>
          </w:tcPr>
          <w:p w14:paraId="0FD48239" w14:textId="77777777" w:rsidR="009247DA" w:rsidRPr="007F0A22" w:rsidRDefault="009247DA" w:rsidP="00CD11C0">
            <w:pPr>
              <w:keepNext/>
              <w:jc w:val="center"/>
              <w:rPr>
                <w:rFonts w:ascii="Arial Narrow" w:eastAsiaTheme="majorEastAsia" w:hAnsi="Arial Narrow" w:cstheme="majorBidi"/>
                <w:sz w:val="20"/>
                <w:szCs w:val="20"/>
              </w:rPr>
            </w:pPr>
            <w:r w:rsidRPr="007F0A22">
              <w:rPr>
                <w:rFonts w:ascii="Arial Narrow" w:eastAsiaTheme="majorEastAsia" w:hAnsi="Arial Narrow" w:cstheme="majorBidi"/>
                <w:sz w:val="20"/>
                <w:szCs w:val="20"/>
              </w:rPr>
              <w:t>3</w:t>
            </w:r>
          </w:p>
        </w:tc>
      </w:tr>
      <w:tr w:rsidR="009247DA" w:rsidRPr="000C77A2" w14:paraId="3F618DC5" w14:textId="77777777" w:rsidTr="00560AEC">
        <w:trPr>
          <w:cantSplit/>
          <w:jc w:val="center"/>
        </w:trPr>
        <w:tc>
          <w:tcPr>
            <w:tcW w:w="0" w:type="auto"/>
            <w:tcBorders>
              <w:top w:val="single" w:sz="4" w:space="0" w:color="auto"/>
              <w:bottom w:val="single" w:sz="4" w:space="0" w:color="auto"/>
            </w:tcBorders>
            <w:shd w:val="clear" w:color="auto" w:fill="auto"/>
            <w:vAlign w:val="center"/>
          </w:tcPr>
          <w:p w14:paraId="0C4B544E" w14:textId="0EF9F37D" w:rsidR="009247DA" w:rsidRPr="007F0A22" w:rsidRDefault="002D2A81" w:rsidP="00CD11C0">
            <w:pPr>
              <w:keepNext/>
              <w:jc w:val="left"/>
              <w:rPr>
                <w:rFonts w:ascii="Arial Narrow" w:eastAsiaTheme="majorEastAsia" w:hAnsi="Arial Narrow" w:cstheme="majorBidi"/>
                <w:bCs/>
                <w:i/>
                <w:iCs/>
                <w:sz w:val="20"/>
                <w:szCs w:val="20"/>
              </w:rPr>
            </w:pPr>
            <w:r w:rsidRPr="007F0A22">
              <w:rPr>
                <w:rFonts w:ascii="Arial Narrow" w:eastAsiaTheme="majorEastAsia" w:hAnsi="Arial Narrow" w:cstheme="majorBidi"/>
                <w:bCs/>
                <w:sz w:val="20"/>
                <w:szCs w:val="20"/>
              </w:rPr>
              <w:t>Cost/patient/month</w:t>
            </w:r>
            <w:r w:rsidRPr="007F0A22">
              <w:rPr>
                <w:rFonts w:ascii="Arial Narrow" w:eastAsiaTheme="majorEastAsia" w:hAnsi="Arial Narrow" w:cstheme="majorBidi"/>
                <w:bCs/>
                <w:i/>
                <w:iCs/>
                <w:sz w:val="20"/>
                <w:szCs w:val="20"/>
              </w:rPr>
              <w:t xml:space="preserve"> </w:t>
            </w:r>
          </w:p>
        </w:tc>
        <w:tc>
          <w:tcPr>
            <w:tcW w:w="0" w:type="auto"/>
            <w:tcBorders>
              <w:top w:val="single" w:sz="4" w:space="0" w:color="auto"/>
              <w:bottom w:val="single" w:sz="4" w:space="0" w:color="auto"/>
            </w:tcBorders>
            <w:shd w:val="clear" w:color="auto" w:fill="auto"/>
            <w:vAlign w:val="center"/>
          </w:tcPr>
          <w:p w14:paraId="40EDF85F" w14:textId="44B3BD3C" w:rsidR="009247DA" w:rsidRPr="007F0A22" w:rsidRDefault="009247DA" w:rsidP="00CD11C0">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Initial: $</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p w14:paraId="045E2BA8" w14:textId="1D38A68D" w:rsidR="009247DA" w:rsidRPr="007F0A22" w:rsidRDefault="009247DA" w:rsidP="00CD11C0">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Continuing: $</w:t>
            </w:r>
            <w:r w:rsidR="00C66EC7" w:rsidRPr="00C66EC7">
              <w:rPr>
                <w:rFonts w:ascii="Arial Narrow" w:eastAsiaTheme="majorEastAsia" w:hAnsi="Arial Narrow" w:cstheme="majorBidi" w:hint="eastAsia"/>
                <w:bCs/>
                <w:color w:val="000000"/>
                <w:w w:val="27"/>
                <w:sz w:val="20"/>
                <w:szCs w:val="20"/>
                <w:shd w:val="solid" w:color="000000" w:fill="000000"/>
                <w:fitText w:val="120" w:id="-962354944"/>
                <w14:textFill>
                  <w14:solidFill>
                    <w14:srgbClr w14:val="000000">
                      <w14:alpha w14:val="100000"/>
                    </w14:srgbClr>
                  </w14:solidFill>
                </w14:textFill>
              </w:rPr>
              <w:t xml:space="preserve">　</w:t>
            </w:r>
            <w:r w:rsidR="00C66EC7" w:rsidRPr="00C66EC7">
              <w:rPr>
                <w:rFonts w:ascii="Arial Narrow" w:eastAsiaTheme="majorEastAsia" w:hAnsi="Arial Narrow" w:cstheme="majorBidi"/>
                <w:bCs/>
                <w:color w:val="000000"/>
                <w:w w:val="27"/>
                <w:sz w:val="20"/>
                <w:szCs w:val="20"/>
                <w:shd w:val="solid" w:color="000000" w:fill="000000"/>
                <w:fitText w:val="120" w:id="-962354944"/>
                <w14:textFill>
                  <w14:solidFill>
                    <w14:srgbClr w14:val="000000">
                      <w14:alpha w14:val="100000"/>
                    </w14:srgbClr>
                  </w14:solidFill>
                </w14:textFill>
              </w:rPr>
              <w:t>|</w:t>
            </w:r>
            <w:r w:rsidR="00C66EC7" w:rsidRPr="00C66EC7">
              <w:rPr>
                <w:rFonts w:ascii="Arial Narrow" w:eastAsiaTheme="majorEastAsia" w:hAnsi="Arial Narrow" w:cstheme="majorBidi" w:hint="eastAsia"/>
                <w:bCs/>
                <w:color w:val="000000"/>
                <w:spacing w:val="2"/>
                <w:w w:val="27"/>
                <w:sz w:val="20"/>
                <w:szCs w:val="20"/>
                <w:shd w:val="solid" w:color="000000" w:fill="000000"/>
                <w:fitText w:val="120" w:id="-962354944"/>
                <w14:textFill>
                  <w14:solidFill>
                    <w14:srgbClr w14:val="000000">
                      <w14:alpha w14:val="100000"/>
                    </w14:srgbClr>
                  </w14:solidFill>
                </w14:textFill>
              </w:rPr>
              <w:t xml:space="preserve">　</w:t>
            </w:r>
          </w:p>
        </w:tc>
        <w:tc>
          <w:tcPr>
            <w:tcW w:w="0" w:type="auto"/>
            <w:tcBorders>
              <w:top w:val="single" w:sz="4" w:space="0" w:color="auto"/>
              <w:bottom w:val="single" w:sz="4" w:space="0" w:color="auto"/>
            </w:tcBorders>
            <w:shd w:val="clear" w:color="auto" w:fill="auto"/>
            <w:vAlign w:val="center"/>
          </w:tcPr>
          <w:p w14:paraId="2BBD8906" w14:textId="6BBAB05C" w:rsidR="009247DA" w:rsidRPr="007F0A22" w:rsidRDefault="009247DA" w:rsidP="00CD11C0">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Initial: $</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p w14:paraId="213E7F7A" w14:textId="5EC331F7" w:rsidR="009247DA" w:rsidRPr="007F0A22" w:rsidRDefault="009247DA" w:rsidP="00CD11C0">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Continuing: $</w:t>
            </w:r>
            <w:r w:rsidR="00C66EC7" w:rsidRPr="00C66EC7">
              <w:rPr>
                <w:rFonts w:ascii="Arial Narrow" w:eastAsiaTheme="majorEastAsia" w:hAnsi="Arial Narrow" w:cstheme="majorBidi" w:hint="eastAsia"/>
                <w:bCs/>
                <w:color w:val="000000"/>
                <w:w w:val="15"/>
                <w:sz w:val="20"/>
                <w:szCs w:val="20"/>
                <w:shd w:val="solid" w:color="000000" w:fill="000000"/>
                <w:fitText w:val="60" w:id="-962354943"/>
                <w14:textFill>
                  <w14:solidFill>
                    <w14:srgbClr w14:val="000000">
                      <w14:alpha w14:val="100000"/>
                    </w14:srgbClr>
                  </w14:solidFill>
                </w14:textFill>
              </w:rPr>
              <w:t xml:space="preserve">　</w:t>
            </w:r>
            <w:r w:rsidR="00C66EC7" w:rsidRPr="00C66EC7">
              <w:rPr>
                <w:rFonts w:ascii="Arial Narrow" w:eastAsiaTheme="majorEastAsia" w:hAnsi="Arial Narrow" w:cstheme="majorBidi"/>
                <w:bCs/>
                <w:color w:val="000000"/>
                <w:w w:val="15"/>
                <w:sz w:val="20"/>
                <w:szCs w:val="20"/>
                <w:shd w:val="solid" w:color="000000" w:fill="000000"/>
                <w:fitText w:val="60" w:id="-962354943"/>
                <w14:textFill>
                  <w14:solidFill>
                    <w14:srgbClr w14:val="000000">
                      <w14:alpha w14:val="100000"/>
                    </w14:srgbClr>
                  </w14:solidFill>
                </w14:textFill>
              </w:rPr>
              <w:t>|</w:t>
            </w:r>
            <w:r w:rsidR="00C66EC7" w:rsidRPr="00C66EC7">
              <w:rPr>
                <w:rFonts w:ascii="Arial Narrow" w:eastAsiaTheme="majorEastAsia" w:hAnsi="Arial Narrow" w:cstheme="majorBidi" w:hint="eastAsia"/>
                <w:bCs/>
                <w:color w:val="000000"/>
                <w:spacing w:val="-5"/>
                <w:w w:val="15"/>
                <w:sz w:val="20"/>
                <w:szCs w:val="20"/>
                <w:shd w:val="solid" w:color="000000" w:fill="000000"/>
                <w:fitText w:val="60" w:id="-962354943"/>
                <w14:textFill>
                  <w14:solidFill>
                    <w14:srgbClr w14:val="000000">
                      <w14:alpha w14:val="100000"/>
                    </w14:srgbClr>
                  </w14:solidFill>
                </w14:textFill>
              </w:rPr>
              <w:t xml:space="preserve">　</w:t>
            </w:r>
          </w:p>
        </w:tc>
        <w:tc>
          <w:tcPr>
            <w:tcW w:w="660" w:type="pct"/>
            <w:tcBorders>
              <w:top w:val="single" w:sz="4" w:space="0" w:color="auto"/>
              <w:bottom w:val="single" w:sz="4" w:space="0" w:color="auto"/>
            </w:tcBorders>
            <w:shd w:val="clear" w:color="auto" w:fill="auto"/>
            <w:vAlign w:val="center"/>
          </w:tcPr>
          <w:p w14:paraId="75AD2C0E" w14:textId="55F4AEB2" w:rsidR="009247DA" w:rsidRPr="007F0A22" w:rsidRDefault="002D2A81" w:rsidP="00CD11C0">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$203</w:t>
            </w:r>
          </w:p>
        </w:tc>
        <w:tc>
          <w:tcPr>
            <w:tcW w:w="915" w:type="pct"/>
            <w:tcBorders>
              <w:top w:val="single" w:sz="4" w:space="0" w:color="auto"/>
              <w:bottom w:val="single" w:sz="4" w:space="0" w:color="auto"/>
            </w:tcBorders>
            <w:vAlign w:val="center"/>
          </w:tcPr>
          <w:p w14:paraId="0F8012E5" w14:textId="77777777" w:rsidR="009247DA" w:rsidRPr="007F0A22" w:rsidRDefault="009247DA" w:rsidP="00CD11C0">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$203</w:t>
            </w:r>
          </w:p>
        </w:tc>
      </w:tr>
      <w:tr w:rsidR="006E11B6" w:rsidRPr="000C77A2" w14:paraId="3E22E518" w14:textId="77777777" w:rsidTr="00560AEC">
        <w:trPr>
          <w:cantSplit/>
          <w:jc w:val="center"/>
        </w:trPr>
        <w:tc>
          <w:tcPr>
            <w:tcW w:w="0" w:type="auto"/>
            <w:tcBorders>
              <w:bottom w:val="nil"/>
            </w:tcBorders>
            <w:shd w:val="clear" w:color="auto" w:fill="auto"/>
            <w:vAlign w:val="center"/>
          </w:tcPr>
          <w:p w14:paraId="1C888959" w14:textId="77777777" w:rsidR="006E11B6" w:rsidRPr="007F0A22" w:rsidRDefault="006E11B6" w:rsidP="006E11B6">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Cost/patient/course</w:t>
            </w:r>
          </w:p>
        </w:tc>
        <w:tc>
          <w:tcPr>
            <w:tcW w:w="0" w:type="auto"/>
            <w:tcBorders>
              <w:bottom w:val="nil"/>
            </w:tcBorders>
            <w:shd w:val="clear" w:color="auto" w:fill="auto"/>
            <w:vAlign w:val="center"/>
          </w:tcPr>
          <w:p w14:paraId="3D09D973" w14:textId="0D544A3E"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0" w:type="auto"/>
            <w:tcBorders>
              <w:bottom w:val="nil"/>
            </w:tcBorders>
            <w:shd w:val="clear" w:color="auto" w:fill="auto"/>
            <w:vAlign w:val="center"/>
          </w:tcPr>
          <w:p w14:paraId="3DE7DA82" w14:textId="75B3148D"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0" w:type="pct"/>
            <w:tcBorders>
              <w:bottom w:val="nil"/>
            </w:tcBorders>
            <w:shd w:val="clear" w:color="auto" w:fill="auto"/>
            <w:vAlign w:val="center"/>
          </w:tcPr>
          <w:p w14:paraId="02B67CE1" w14:textId="5A19C15C"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$1,002</w:t>
            </w:r>
          </w:p>
        </w:tc>
        <w:tc>
          <w:tcPr>
            <w:tcW w:w="915" w:type="pct"/>
            <w:tcBorders>
              <w:bottom w:val="nil"/>
            </w:tcBorders>
          </w:tcPr>
          <w:p w14:paraId="2DE17A70" w14:textId="291BDCE3"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$608</w:t>
            </w:r>
          </w:p>
        </w:tc>
      </w:tr>
      <w:tr w:rsidR="006E11B6" w:rsidRPr="000C77A2" w14:paraId="4552EA5E" w14:textId="77777777" w:rsidTr="00CD11C0">
        <w:trPr>
          <w:cantSplit/>
          <w:jc w:val="center"/>
        </w:trPr>
        <w:tc>
          <w:tcPr>
            <w:tcW w:w="0" w:type="auto"/>
            <w:gridSpan w:val="5"/>
            <w:shd w:val="clear" w:color="auto" w:fill="auto"/>
            <w:vAlign w:val="center"/>
          </w:tcPr>
          <w:p w14:paraId="52092EBD" w14:textId="77777777" w:rsidR="006E11B6" w:rsidRPr="007F0A22" w:rsidRDefault="006E11B6" w:rsidP="006E11B6">
            <w:pPr>
              <w:keepNext/>
              <w:jc w:val="left"/>
              <w:rPr>
                <w:rFonts w:ascii="Arial Narrow" w:eastAsiaTheme="majorEastAsia" w:hAnsi="Arial Narrow" w:cstheme="majorBidi"/>
                <w:b/>
                <w:sz w:val="20"/>
                <w:szCs w:val="20"/>
              </w:rPr>
            </w:pPr>
            <w:r w:rsidRPr="007F0A22">
              <w:rPr>
                <w:rFonts w:ascii="Arial Narrow" w:eastAsiaTheme="majorEastAsia" w:hAnsi="Arial Narrow" w:cstheme="majorBidi"/>
                <w:b/>
                <w:sz w:val="20"/>
                <w:szCs w:val="20"/>
              </w:rPr>
              <w:t>STS</w:t>
            </w:r>
          </w:p>
        </w:tc>
      </w:tr>
      <w:tr w:rsidR="006E11B6" w:rsidRPr="000C77A2" w14:paraId="70F5F6F6" w14:textId="77777777" w:rsidTr="00560AEC">
        <w:trPr>
          <w:cantSplit/>
          <w:jc w:val="center"/>
        </w:trPr>
        <w:tc>
          <w:tcPr>
            <w:tcW w:w="0" w:type="auto"/>
            <w:shd w:val="clear" w:color="auto" w:fill="auto"/>
            <w:vAlign w:val="center"/>
          </w:tcPr>
          <w:p w14:paraId="18F5EC98" w14:textId="77777777" w:rsidR="006E11B6" w:rsidRPr="007F0A22" w:rsidRDefault="006E11B6" w:rsidP="006E11B6">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Mean dose</w:t>
            </w:r>
          </w:p>
        </w:tc>
        <w:tc>
          <w:tcPr>
            <w:tcW w:w="0" w:type="auto"/>
            <w:shd w:val="clear" w:color="auto" w:fill="auto"/>
            <w:vAlign w:val="center"/>
          </w:tcPr>
          <w:p w14:paraId="2D8251E5"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200 mg</w:t>
            </w:r>
          </w:p>
        </w:tc>
        <w:tc>
          <w:tcPr>
            <w:tcW w:w="0" w:type="auto"/>
            <w:shd w:val="clear" w:color="auto" w:fill="auto"/>
            <w:vAlign w:val="center"/>
          </w:tcPr>
          <w:p w14:paraId="7B8C8D63"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200 mg</w:t>
            </w:r>
          </w:p>
        </w:tc>
        <w:tc>
          <w:tcPr>
            <w:tcW w:w="660" w:type="pct"/>
            <w:shd w:val="clear" w:color="auto" w:fill="auto"/>
            <w:vAlign w:val="center"/>
          </w:tcPr>
          <w:p w14:paraId="5A190EF1"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800 mg</w:t>
            </w:r>
          </w:p>
        </w:tc>
        <w:tc>
          <w:tcPr>
            <w:tcW w:w="915" w:type="pct"/>
          </w:tcPr>
          <w:p w14:paraId="0E5F16AF"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800 mg</w:t>
            </w:r>
          </w:p>
        </w:tc>
      </w:tr>
      <w:tr w:rsidR="006E11B6" w:rsidRPr="000C77A2" w14:paraId="7516BC97" w14:textId="77777777" w:rsidTr="00560AEC">
        <w:trPr>
          <w:cantSplit/>
          <w:jc w:val="center"/>
        </w:trPr>
        <w:tc>
          <w:tcPr>
            <w:tcW w:w="0" w:type="auto"/>
            <w:shd w:val="clear" w:color="auto" w:fill="auto"/>
            <w:vAlign w:val="center"/>
          </w:tcPr>
          <w:p w14:paraId="27102ED5" w14:textId="77777777" w:rsidR="006E11B6" w:rsidRPr="007F0A22" w:rsidRDefault="006E11B6" w:rsidP="006E11B6">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Mean duration (months)</w:t>
            </w:r>
          </w:p>
        </w:tc>
        <w:tc>
          <w:tcPr>
            <w:tcW w:w="0" w:type="auto"/>
            <w:shd w:val="clear" w:color="auto" w:fill="auto"/>
            <w:vAlign w:val="center"/>
          </w:tcPr>
          <w:p w14:paraId="32E177C6"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30</w:t>
            </w:r>
          </w:p>
        </w:tc>
        <w:tc>
          <w:tcPr>
            <w:tcW w:w="0" w:type="auto"/>
            <w:shd w:val="clear" w:color="auto" w:fill="auto"/>
            <w:vAlign w:val="center"/>
          </w:tcPr>
          <w:p w14:paraId="0EBCAAF8"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16</w:t>
            </w:r>
          </w:p>
        </w:tc>
        <w:tc>
          <w:tcPr>
            <w:tcW w:w="660" w:type="pct"/>
            <w:shd w:val="clear" w:color="auto" w:fill="auto"/>
            <w:vAlign w:val="center"/>
          </w:tcPr>
          <w:p w14:paraId="76F79CDE"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7</w:t>
            </w:r>
          </w:p>
        </w:tc>
        <w:tc>
          <w:tcPr>
            <w:tcW w:w="915" w:type="pct"/>
          </w:tcPr>
          <w:p w14:paraId="1449FA5F"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4</w:t>
            </w:r>
          </w:p>
        </w:tc>
      </w:tr>
      <w:tr w:rsidR="006E11B6" w:rsidRPr="000C77A2" w14:paraId="00634602" w14:textId="77777777" w:rsidTr="00560AEC">
        <w:trPr>
          <w:cantSplit/>
          <w:jc w:val="center"/>
        </w:trPr>
        <w:tc>
          <w:tcPr>
            <w:tcW w:w="0" w:type="auto"/>
            <w:tcBorders>
              <w:bottom w:val="single" w:sz="4" w:space="0" w:color="auto"/>
            </w:tcBorders>
            <w:shd w:val="clear" w:color="auto" w:fill="auto"/>
            <w:vAlign w:val="center"/>
          </w:tcPr>
          <w:p w14:paraId="065BDCA6" w14:textId="4DE1D0B4" w:rsidR="006E11B6" w:rsidRPr="007F0A22" w:rsidRDefault="006E11B6" w:rsidP="006E11B6">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Cost/patient/month</w:t>
            </w:r>
          </w:p>
        </w:tc>
        <w:tc>
          <w:tcPr>
            <w:tcW w:w="0" w:type="auto"/>
            <w:tcBorders>
              <w:bottom w:val="single" w:sz="4" w:space="0" w:color="auto"/>
            </w:tcBorders>
            <w:shd w:val="clear" w:color="auto" w:fill="auto"/>
            <w:vAlign w:val="center"/>
          </w:tcPr>
          <w:p w14:paraId="0D2C797D" w14:textId="1F11EF1E"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Initial: $</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p w14:paraId="7E3D7830" w14:textId="1AB460BD"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Continuing: $</w:t>
            </w:r>
            <w:r w:rsidR="00C66EC7" w:rsidRPr="00C66EC7">
              <w:rPr>
                <w:rFonts w:ascii="Arial Narrow" w:eastAsiaTheme="majorEastAsia" w:hAnsi="Arial Narrow" w:cstheme="majorBidi" w:hint="eastAsia"/>
                <w:bCs/>
                <w:color w:val="000000"/>
                <w:w w:val="27"/>
                <w:sz w:val="20"/>
                <w:szCs w:val="20"/>
                <w:shd w:val="solid" w:color="000000" w:fill="000000"/>
                <w:fitText w:val="120" w:id="-962354942"/>
                <w14:textFill>
                  <w14:solidFill>
                    <w14:srgbClr w14:val="000000">
                      <w14:alpha w14:val="100000"/>
                    </w14:srgbClr>
                  </w14:solidFill>
                </w14:textFill>
              </w:rPr>
              <w:t xml:space="preserve">　</w:t>
            </w:r>
            <w:r w:rsidR="00C66EC7" w:rsidRPr="00C66EC7">
              <w:rPr>
                <w:rFonts w:ascii="Arial Narrow" w:eastAsiaTheme="majorEastAsia" w:hAnsi="Arial Narrow" w:cstheme="majorBidi"/>
                <w:bCs/>
                <w:color w:val="000000"/>
                <w:w w:val="27"/>
                <w:sz w:val="20"/>
                <w:szCs w:val="20"/>
                <w:shd w:val="solid" w:color="000000" w:fill="000000"/>
                <w:fitText w:val="120" w:id="-962354942"/>
                <w14:textFill>
                  <w14:solidFill>
                    <w14:srgbClr w14:val="000000">
                      <w14:alpha w14:val="100000"/>
                    </w14:srgbClr>
                  </w14:solidFill>
                </w14:textFill>
              </w:rPr>
              <w:t>|</w:t>
            </w:r>
            <w:r w:rsidR="00C66EC7" w:rsidRPr="00C66EC7">
              <w:rPr>
                <w:rFonts w:ascii="Arial Narrow" w:eastAsiaTheme="majorEastAsia" w:hAnsi="Arial Narrow" w:cstheme="majorBidi" w:hint="eastAsia"/>
                <w:bCs/>
                <w:color w:val="000000"/>
                <w:spacing w:val="2"/>
                <w:w w:val="27"/>
                <w:sz w:val="20"/>
                <w:szCs w:val="20"/>
                <w:shd w:val="solid" w:color="000000" w:fill="000000"/>
                <w:fitText w:val="120" w:id="-962354942"/>
                <w14:textFill>
                  <w14:solidFill>
                    <w14:srgbClr w14:val="000000">
                      <w14:alpha w14:val="100000"/>
                    </w14:srgbClr>
                  </w14:solidFill>
                </w14:textFill>
              </w:rPr>
              <w:t xml:space="preserve">　</w:t>
            </w:r>
          </w:p>
        </w:tc>
        <w:tc>
          <w:tcPr>
            <w:tcW w:w="0" w:type="auto"/>
            <w:tcBorders>
              <w:bottom w:val="single" w:sz="4" w:space="0" w:color="auto"/>
            </w:tcBorders>
            <w:shd w:val="clear" w:color="auto" w:fill="auto"/>
            <w:vAlign w:val="center"/>
          </w:tcPr>
          <w:p w14:paraId="1738CA18" w14:textId="7FA1D181"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Initial: $</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p w14:paraId="78ADA98C" w14:textId="0E50688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Continuing: $</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0" w:type="pct"/>
            <w:tcBorders>
              <w:bottom w:val="single" w:sz="4" w:space="0" w:color="auto"/>
            </w:tcBorders>
            <w:shd w:val="clear" w:color="auto" w:fill="auto"/>
            <w:vAlign w:val="center"/>
          </w:tcPr>
          <w:p w14:paraId="394E4DDB" w14:textId="6B105524"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$4,248.01</w:t>
            </w:r>
          </w:p>
        </w:tc>
        <w:tc>
          <w:tcPr>
            <w:tcW w:w="915" w:type="pct"/>
            <w:tcBorders>
              <w:bottom w:val="single" w:sz="4" w:space="0" w:color="auto"/>
            </w:tcBorders>
            <w:vAlign w:val="center"/>
          </w:tcPr>
          <w:p w14:paraId="0C0D96EA" w14:textId="6C9F386B"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$4,248.01</w:t>
            </w:r>
          </w:p>
        </w:tc>
      </w:tr>
      <w:tr w:rsidR="006E11B6" w:rsidRPr="000C77A2" w14:paraId="4800B48C" w14:textId="77777777" w:rsidTr="00560AEC">
        <w:trPr>
          <w:cantSplit/>
          <w:trHeight w:val="127"/>
          <w:jc w:val="center"/>
        </w:trPr>
        <w:tc>
          <w:tcPr>
            <w:tcW w:w="0" w:type="auto"/>
            <w:shd w:val="clear" w:color="auto" w:fill="auto"/>
            <w:vAlign w:val="center"/>
          </w:tcPr>
          <w:p w14:paraId="7B817AA3" w14:textId="77777777" w:rsidR="006E11B6" w:rsidRPr="007F0A22" w:rsidRDefault="006E11B6" w:rsidP="006E11B6">
            <w:pPr>
              <w:keepNext/>
              <w:jc w:val="left"/>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Cost/patient/course</w:t>
            </w:r>
          </w:p>
        </w:tc>
        <w:tc>
          <w:tcPr>
            <w:tcW w:w="0" w:type="auto"/>
            <w:shd w:val="clear" w:color="auto" w:fill="auto"/>
            <w:vAlign w:val="center"/>
          </w:tcPr>
          <w:p w14:paraId="314ABD19" w14:textId="0E53698C"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0" w:type="auto"/>
            <w:shd w:val="clear" w:color="auto" w:fill="auto"/>
            <w:vAlign w:val="center"/>
          </w:tcPr>
          <w:p w14:paraId="1B452FF1" w14:textId="63B3C98D"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w:t>
            </w:r>
            <w:r w:rsidR="00C66EC7" w:rsidRPr="00C66EC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0" w:type="pct"/>
            <w:shd w:val="clear" w:color="auto" w:fill="auto"/>
            <w:vAlign w:val="center"/>
          </w:tcPr>
          <w:p w14:paraId="484CEB72"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$30,070</w:t>
            </w:r>
          </w:p>
        </w:tc>
        <w:tc>
          <w:tcPr>
            <w:tcW w:w="915" w:type="pct"/>
            <w:vAlign w:val="center"/>
          </w:tcPr>
          <w:p w14:paraId="49F14569" w14:textId="77777777" w:rsidR="006E11B6" w:rsidRPr="007F0A22" w:rsidRDefault="006E11B6" w:rsidP="006E11B6">
            <w:pPr>
              <w:keepNext/>
              <w:jc w:val="center"/>
              <w:rPr>
                <w:rFonts w:ascii="Arial Narrow" w:eastAsiaTheme="majorEastAsia" w:hAnsi="Arial Narrow" w:cstheme="majorBidi"/>
                <w:bCs/>
                <w:sz w:val="20"/>
                <w:szCs w:val="20"/>
              </w:rPr>
            </w:pPr>
            <w:r w:rsidRPr="007F0A22">
              <w:rPr>
                <w:rFonts w:ascii="Arial Narrow" w:eastAsiaTheme="majorEastAsia" w:hAnsi="Arial Narrow" w:cstheme="majorBidi"/>
                <w:bCs/>
                <w:sz w:val="20"/>
                <w:szCs w:val="20"/>
              </w:rPr>
              <w:t>$16,992</w:t>
            </w:r>
          </w:p>
        </w:tc>
      </w:tr>
    </w:tbl>
    <w:p w14:paraId="560BE4EA" w14:textId="77777777" w:rsidR="00097911" w:rsidRPr="000C77A2" w:rsidRDefault="00097911" w:rsidP="00097911">
      <w:pPr>
        <w:pStyle w:val="TableFooter"/>
      </w:pPr>
      <w:r w:rsidRPr="000C77A2">
        <w:t>Source: constructed during the evaluation from the “Attachment 3.1 – Section 3 Workbook – cost effectiveness model” workbook and the “Attachment 4.1 – Section 4 utilisation and cost model” workbook provided in the submission</w:t>
      </w:r>
    </w:p>
    <w:p w14:paraId="2159CFA2" w14:textId="398CDC3A" w:rsidR="00097911" w:rsidRPr="000C77A2" w:rsidRDefault="00097911" w:rsidP="00097911">
      <w:pPr>
        <w:pStyle w:val="TableFooter"/>
      </w:pPr>
      <w:r w:rsidRPr="000C77A2">
        <w:t>NSCLC = non-small cell lung cancer; STS = soft tissue sarcoma</w:t>
      </w:r>
    </w:p>
    <w:p w14:paraId="65B541C2" w14:textId="4693CAD1" w:rsidR="00097911" w:rsidRPr="000C77A2" w:rsidRDefault="00097911" w:rsidP="00560AEC">
      <w:pPr>
        <w:pStyle w:val="TableFooter"/>
        <w:spacing w:after="120"/>
        <w:rPr>
          <w:snapToGrid w:val="0"/>
          <w:szCs w:val="22"/>
        </w:rPr>
      </w:pPr>
      <w:r w:rsidRPr="000C77A2">
        <w:t>Note: revised</w:t>
      </w:r>
      <w:r w:rsidR="006E11B6" w:rsidRPr="000C77A2">
        <w:t xml:space="preserve"> during</w:t>
      </w:r>
      <w:r w:rsidRPr="000C77A2">
        <w:t xml:space="preserve"> the evaluation based on DPMQs of larotrectinib, correct treatment costs of larotrectinib in the STS model and cost of an average dose of docetaxel used in the financial estimations. </w:t>
      </w:r>
    </w:p>
    <w:p w14:paraId="75A8AB41" w14:textId="52EC700E"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The resubmission based the financial estimations for larotrectinib on the median treatment durations for the specific subgroups from the larotrectinib studies. Treatment durations of 20 months and 16 months were applied to the NSCLC and STS subgroups.</w:t>
      </w:r>
      <w:r w:rsidRPr="000C77A2">
        <w:rPr>
          <w:rFonts w:asciiTheme="minorHAnsi" w:hAnsiTheme="minorHAnsi"/>
          <w:i/>
          <w:iCs/>
          <w:snapToGrid w:val="0"/>
        </w:rPr>
        <w:t xml:space="preserve"> </w:t>
      </w:r>
      <w:r w:rsidRPr="000C77A2">
        <w:rPr>
          <w:rFonts w:asciiTheme="minorHAnsi" w:hAnsiTheme="minorHAnsi"/>
          <w:snapToGrid w:val="0"/>
        </w:rPr>
        <w:t xml:space="preserve">It may have been more appropriate to use the mean treatment duration from the economic model (which is 30 months for both NSCLC and STS). </w:t>
      </w:r>
      <w:r w:rsidR="005A5462" w:rsidRPr="000C77A2">
        <w:rPr>
          <w:rFonts w:asciiTheme="minorHAnsi" w:hAnsiTheme="minorHAnsi"/>
          <w:snapToGrid w:val="0"/>
        </w:rPr>
        <w:t xml:space="preserve">The PSCR presented revised financial estimates using a 30 month treatment duration. </w:t>
      </w:r>
    </w:p>
    <w:p w14:paraId="62BEDF83" w14:textId="77777777"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For docetaxel, the modelled treatment duration was estimated to be 6 months while a treatment duration of 3 months was applied in the financial estimations. Since eviQ guidelines recommend a maximum of 4 cycles of docetaxel treatment, a treatment duration of 3 months is more appropriate. For pazopanib, the treatment duration of 4 months in the financial estimations is significantly lower than the modelled treatment duration (7 months) but </w:t>
      </w:r>
      <w:proofErr w:type="gramStart"/>
      <w:r w:rsidRPr="000C77A2">
        <w:rPr>
          <w:rFonts w:asciiTheme="minorHAnsi" w:hAnsiTheme="minorHAnsi"/>
          <w:snapToGrid w:val="0"/>
        </w:rPr>
        <w:t>similar to</w:t>
      </w:r>
      <w:proofErr w:type="gramEnd"/>
      <w:r w:rsidRPr="000C77A2">
        <w:rPr>
          <w:rFonts w:asciiTheme="minorHAnsi" w:hAnsiTheme="minorHAnsi"/>
          <w:snapToGrid w:val="0"/>
        </w:rPr>
        <w:t xml:space="preserve"> that used previously in the July 2012 pazopanib PBAC submission (4.5 months). </w:t>
      </w:r>
    </w:p>
    <w:p w14:paraId="6EF56B6A" w14:textId="2197431E" w:rsidR="00613FE1" w:rsidRPr="000C77A2" w:rsidRDefault="00613FE1" w:rsidP="00097911">
      <w:pPr>
        <w:numPr>
          <w:ilvl w:val="1"/>
          <w:numId w:val="1"/>
        </w:numPr>
        <w:spacing w:after="120"/>
        <w:rPr>
          <w:rFonts w:asciiTheme="minorHAnsi" w:hAnsiTheme="minorHAnsi"/>
          <w:snapToGrid w:val="0"/>
        </w:rPr>
      </w:pPr>
      <w:r w:rsidRPr="000C77A2">
        <w:rPr>
          <w:rFonts w:asciiTheme="minorHAnsi" w:hAnsiTheme="minorHAnsi"/>
          <w:snapToGrid w:val="0"/>
        </w:rPr>
        <w:t>The PBAC noted the modelled cost per patient for larotrectinib using the price proposed in the pre-PBAC response was $</w:t>
      </w:r>
      <w:r w:rsidR="00C66EC7" w:rsidRPr="00C766BB">
        <w:rPr>
          <w:rFonts w:asciiTheme="minorHAnsi" w:hAnsiTheme="minorHAnsi"/>
          <w:snapToGrid w:val="0"/>
          <w:color w:val="000000"/>
          <w:w w:val="15"/>
          <w:shd w:val="solid" w:color="000000" w:fill="000000"/>
          <w:fitText w:val="-20" w:id="-962354941"/>
          <w14:textFill>
            <w14:solidFill>
              <w14:srgbClr w14:val="000000">
                <w14:alpha w14:val="100000"/>
              </w14:srgbClr>
            </w14:solidFill>
          </w14:textFill>
        </w:rPr>
        <w:t xml:space="preserve">|  </w:t>
      </w:r>
      <w:r w:rsidR="00C66EC7" w:rsidRPr="00C766BB">
        <w:rPr>
          <w:rFonts w:asciiTheme="minorHAnsi" w:hAnsiTheme="minorHAnsi"/>
          <w:snapToGrid w:val="0"/>
          <w:color w:val="000000"/>
          <w:spacing w:val="-69"/>
          <w:w w:val="15"/>
          <w:shd w:val="solid" w:color="000000" w:fill="000000"/>
          <w:fitText w:val="-20" w:id="-962354941"/>
          <w14:textFill>
            <w14:solidFill>
              <w14:srgbClr w14:val="000000">
                <w14:alpha w14:val="100000"/>
              </w14:srgbClr>
            </w14:solidFill>
          </w14:textFill>
        </w:rPr>
        <w:t>|</w:t>
      </w:r>
      <w:r w:rsidRPr="000C77A2">
        <w:rPr>
          <w:rFonts w:asciiTheme="minorHAnsi" w:hAnsiTheme="minorHAnsi"/>
          <w:snapToGrid w:val="0"/>
        </w:rPr>
        <w:t xml:space="preserve"> for patients with NSCLC and $</w:t>
      </w:r>
      <w:r w:rsidR="00C66EC7" w:rsidRPr="00C766BB">
        <w:rPr>
          <w:rFonts w:asciiTheme="minorHAnsi" w:hAnsiTheme="minorHAnsi"/>
          <w:snapToGrid w:val="0"/>
          <w:color w:val="000000"/>
          <w:w w:val="15"/>
          <w:shd w:val="solid" w:color="000000" w:fill="000000"/>
          <w:fitText w:val="-20" w:id="-962354940"/>
          <w14:textFill>
            <w14:solidFill>
              <w14:srgbClr w14:val="000000">
                <w14:alpha w14:val="100000"/>
              </w14:srgbClr>
            </w14:solidFill>
          </w14:textFill>
        </w:rPr>
        <w:t xml:space="preserve">|  </w:t>
      </w:r>
      <w:r w:rsidR="00C66EC7" w:rsidRPr="00C766BB">
        <w:rPr>
          <w:rFonts w:asciiTheme="minorHAnsi" w:hAnsiTheme="minorHAnsi"/>
          <w:snapToGrid w:val="0"/>
          <w:color w:val="000000"/>
          <w:spacing w:val="-69"/>
          <w:w w:val="15"/>
          <w:shd w:val="solid" w:color="000000" w:fill="000000"/>
          <w:fitText w:val="-20" w:id="-962354940"/>
          <w14:textFill>
            <w14:solidFill>
              <w14:srgbClr w14:val="000000">
                <w14:alpha w14:val="100000"/>
              </w14:srgbClr>
            </w14:solidFill>
          </w14:textFill>
        </w:rPr>
        <w:t>|</w:t>
      </w:r>
      <w:r w:rsidRPr="000C77A2">
        <w:rPr>
          <w:rFonts w:asciiTheme="minorHAnsi" w:hAnsiTheme="minorHAnsi"/>
          <w:snapToGrid w:val="0"/>
        </w:rPr>
        <w:t xml:space="preserve"> for patients with STS</w:t>
      </w:r>
      <w:r w:rsidR="000C77A2">
        <w:rPr>
          <w:rFonts w:asciiTheme="minorHAnsi" w:hAnsiTheme="minorHAnsi"/>
          <w:snapToGrid w:val="0"/>
        </w:rPr>
        <w:t xml:space="preserve">. </w:t>
      </w:r>
    </w:p>
    <w:p w14:paraId="3A67B8C2" w14:textId="77777777" w:rsidR="00D15B05" w:rsidRPr="000C77A2" w:rsidRDefault="00D15B05" w:rsidP="00D15B05">
      <w:pPr>
        <w:pStyle w:val="4-SubsectionHeading"/>
        <w:rPr>
          <w:snapToGrid w:val="0"/>
        </w:rPr>
      </w:pPr>
      <w:bookmarkStart w:id="61" w:name="_Toc156903965"/>
      <w:r w:rsidRPr="000C77A2">
        <w:rPr>
          <w:snapToGrid w:val="0"/>
        </w:rPr>
        <w:t>Estimated PBS &amp; financial implications</w:t>
      </w:r>
      <w:bookmarkEnd w:id="61"/>
    </w:p>
    <w:p w14:paraId="68A2FAC4" w14:textId="061A2E36"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This resubmission </w:t>
      </w:r>
      <w:r w:rsidR="004F3A68" w:rsidRPr="000C77A2">
        <w:rPr>
          <w:rFonts w:asciiTheme="minorHAnsi" w:hAnsiTheme="minorHAnsi"/>
          <w:snapToGrid w:val="0"/>
        </w:rPr>
        <w:t xml:space="preserve">was not </w:t>
      </w:r>
      <w:r w:rsidRPr="000C77A2">
        <w:rPr>
          <w:rFonts w:asciiTheme="minorHAnsi" w:hAnsiTheme="minorHAnsi"/>
          <w:snapToGrid w:val="0"/>
        </w:rPr>
        <w:t>considered by DUSC. The resubmission presented an updated epidemiological approach to estimate the extent of use and financial implications of listing larotrectinib on the PBS. The approach and inputs were generally unchanged from the previous submission</w:t>
      </w:r>
      <w:r w:rsidRPr="000C77A2">
        <w:rPr>
          <w:rFonts w:asciiTheme="minorHAnsi" w:hAnsiTheme="minorHAnsi"/>
          <w:i/>
          <w:iCs/>
          <w:snapToGrid w:val="0"/>
        </w:rPr>
        <w:t>.</w:t>
      </w:r>
      <w:r w:rsidRPr="000C77A2">
        <w:rPr>
          <w:rFonts w:asciiTheme="minorHAnsi" w:hAnsiTheme="minorHAnsi"/>
          <w:snapToGrid w:val="0"/>
        </w:rPr>
        <w:t xml:space="preserve"> The key inputs utilised in the financial analysis are summarised in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_Ref155188831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rPr>
          <w:rFonts w:asciiTheme="minorHAnsi" w:hAnsiTheme="minorHAnsi" w:cstheme="minorHAnsi"/>
        </w:rPr>
        <w:t>Table 25</w:t>
      </w:r>
      <w:r w:rsidRPr="000C77A2">
        <w:rPr>
          <w:rFonts w:asciiTheme="minorHAnsi" w:hAnsiTheme="minorHAnsi" w:cstheme="minorHAnsi"/>
          <w:snapToGrid w:val="0"/>
        </w:rPr>
        <w:fldChar w:fldCharType="end"/>
      </w:r>
      <w:r w:rsidRPr="000C77A2">
        <w:rPr>
          <w:rFonts w:asciiTheme="minorHAnsi" w:hAnsiTheme="minorHAnsi" w:cstheme="minorHAnsi"/>
          <w:snapToGrid w:val="0"/>
        </w:rPr>
        <w:t>.</w:t>
      </w:r>
      <w:r w:rsidRPr="000C77A2">
        <w:rPr>
          <w:rFonts w:asciiTheme="minorHAnsi" w:hAnsiTheme="minorHAnsi"/>
          <w:snapToGrid w:val="0"/>
        </w:rPr>
        <w:t xml:space="preserve"> </w:t>
      </w:r>
    </w:p>
    <w:p w14:paraId="4F7B2D22" w14:textId="5C65A958" w:rsidR="00097911" w:rsidRPr="000C77A2" w:rsidRDefault="00097911" w:rsidP="005D3B1D">
      <w:pPr>
        <w:pStyle w:val="Caption"/>
      </w:pPr>
      <w:bookmarkStart w:id="62" w:name="_Ref155188831"/>
      <w:r w:rsidRPr="000C77A2">
        <w:lastRenderedPageBreak/>
        <w:t xml:space="preserve">Table </w:t>
      </w:r>
      <w:fldSimple w:instr=" SEQ Table \* ARABIC " w:fldLock="1">
        <w:r w:rsidR="001B0FE7">
          <w:rPr>
            <w:noProof/>
          </w:rPr>
          <w:t>25</w:t>
        </w:r>
      </w:fldSimple>
      <w:bookmarkEnd w:id="62"/>
      <w:r w:rsidRPr="000C77A2">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Key inputs for financial estimates"/>
      </w:tblPr>
      <w:tblGrid>
        <w:gridCol w:w="1837"/>
        <w:gridCol w:w="3259"/>
        <w:gridCol w:w="3921"/>
      </w:tblGrid>
      <w:tr w:rsidR="00097911" w:rsidRPr="000C77A2" w14:paraId="3BF88892" w14:textId="77777777" w:rsidTr="00C766BB">
        <w:trPr>
          <w:cantSplit/>
          <w:tblHeader/>
        </w:trPr>
        <w:tc>
          <w:tcPr>
            <w:tcW w:w="1019" w:type="pct"/>
            <w:tcBorders>
              <w:bottom w:val="single" w:sz="4" w:space="0" w:color="auto"/>
            </w:tcBorders>
            <w:tcMar>
              <w:left w:w="28" w:type="dxa"/>
              <w:right w:w="28" w:type="dxa"/>
            </w:tcMar>
            <w:vAlign w:val="center"/>
          </w:tcPr>
          <w:p w14:paraId="437F5BD3" w14:textId="77777777" w:rsidR="00097911" w:rsidRPr="00576FA3" w:rsidRDefault="00097911" w:rsidP="005D3B1D">
            <w:pPr>
              <w:pStyle w:val="In-tableHeading"/>
              <w:rPr>
                <w:lang w:val="en-AU"/>
              </w:rPr>
            </w:pPr>
            <w:r w:rsidRPr="00576FA3">
              <w:rPr>
                <w:lang w:val="en-AU"/>
              </w:rPr>
              <w:t>Data</w:t>
            </w:r>
          </w:p>
        </w:tc>
        <w:tc>
          <w:tcPr>
            <w:tcW w:w="1807" w:type="pct"/>
            <w:tcBorders>
              <w:bottom w:val="single" w:sz="4" w:space="0" w:color="auto"/>
            </w:tcBorders>
            <w:tcMar>
              <w:left w:w="28" w:type="dxa"/>
              <w:right w:w="28" w:type="dxa"/>
            </w:tcMar>
            <w:vAlign w:val="center"/>
          </w:tcPr>
          <w:p w14:paraId="07F28BC4" w14:textId="77777777" w:rsidR="00097911" w:rsidRPr="00576FA3" w:rsidRDefault="00097911" w:rsidP="005D3B1D">
            <w:pPr>
              <w:pStyle w:val="In-tableHeading"/>
              <w:rPr>
                <w:lang w:val="en-AU"/>
              </w:rPr>
            </w:pPr>
            <w:r w:rsidRPr="00576FA3">
              <w:rPr>
                <w:lang w:val="en-AU"/>
              </w:rPr>
              <w:t>Value applied and source</w:t>
            </w:r>
          </w:p>
        </w:tc>
        <w:tc>
          <w:tcPr>
            <w:tcW w:w="2174" w:type="pct"/>
            <w:tcBorders>
              <w:bottom w:val="single" w:sz="4" w:space="0" w:color="auto"/>
            </w:tcBorders>
            <w:tcMar>
              <w:left w:w="28" w:type="dxa"/>
              <w:right w:w="28" w:type="dxa"/>
            </w:tcMar>
            <w:vAlign w:val="center"/>
          </w:tcPr>
          <w:p w14:paraId="7EE89712" w14:textId="77777777" w:rsidR="00097911" w:rsidRPr="00576FA3" w:rsidRDefault="00097911" w:rsidP="005D3B1D">
            <w:pPr>
              <w:pStyle w:val="In-tableHeading"/>
              <w:rPr>
                <w:lang w:val="en-AU"/>
              </w:rPr>
            </w:pPr>
            <w:r w:rsidRPr="00576FA3">
              <w:rPr>
                <w:lang w:val="en-AU"/>
              </w:rPr>
              <w:t>Comment</w:t>
            </w:r>
          </w:p>
        </w:tc>
      </w:tr>
      <w:tr w:rsidR="00097911" w:rsidRPr="000C77A2" w14:paraId="2A6E5257" w14:textId="77777777" w:rsidTr="00C766BB">
        <w:trPr>
          <w:cantSplit/>
        </w:trPr>
        <w:tc>
          <w:tcPr>
            <w:tcW w:w="5000" w:type="pct"/>
            <w:gridSpan w:val="3"/>
            <w:tcMar>
              <w:left w:w="28" w:type="dxa"/>
              <w:right w:w="28" w:type="dxa"/>
            </w:tcMar>
            <w:vAlign w:val="center"/>
          </w:tcPr>
          <w:p w14:paraId="489C2CC5" w14:textId="77777777" w:rsidR="00097911" w:rsidRPr="000C77A2" w:rsidRDefault="00097911" w:rsidP="005D3B1D">
            <w:pPr>
              <w:pStyle w:val="TableText0"/>
            </w:pPr>
            <w:r w:rsidRPr="000C77A2">
              <w:rPr>
                <w:b/>
                <w:bCs w:val="0"/>
              </w:rPr>
              <w:t>Estimated number of eligible patients – NSCLC</w:t>
            </w:r>
          </w:p>
        </w:tc>
      </w:tr>
      <w:tr w:rsidR="00097911" w:rsidRPr="000C77A2" w14:paraId="6A2DFAF4" w14:textId="77777777" w:rsidTr="00C766BB">
        <w:trPr>
          <w:cantSplit/>
        </w:trPr>
        <w:tc>
          <w:tcPr>
            <w:tcW w:w="1019" w:type="pct"/>
            <w:tcMar>
              <w:left w:w="28" w:type="dxa"/>
              <w:right w:w="28" w:type="dxa"/>
            </w:tcMar>
            <w:vAlign w:val="center"/>
          </w:tcPr>
          <w:p w14:paraId="6559A619" w14:textId="77777777" w:rsidR="00097911" w:rsidRPr="000C77A2" w:rsidRDefault="00097911" w:rsidP="005D3B1D">
            <w:pPr>
              <w:pStyle w:val="TableText0"/>
            </w:pPr>
            <w:r w:rsidRPr="000C77A2">
              <w:t xml:space="preserve">NSCLC Yearly incidence  </w:t>
            </w:r>
          </w:p>
        </w:tc>
        <w:tc>
          <w:tcPr>
            <w:tcW w:w="1807" w:type="pct"/>
            <w:tcMar>
              <w:left w:w="28" w:type="dxa"/>
              <w:right w:w="28" w:type="dxa"/>
            </w:tcMar>
            <w:vAlign w:val="center"/>
          </w:tcPr>
          <w:p w14:paraId="3B460CC3" w14:textId="77777777" w:rsidR="00097911" w:rsidRPr="000C77A2" w:rsidRDefault="00097911" w:rsidP="005D3B1D">
            <w:pPr>
              <w:pStyle w:val="TableText0"/>
            </w:pPr>
            <w:r w:rsidRPr="000C77A2">
              <w:t>56.2/100,000; based on AIHW, Cancer data in Australia 2023</w:t>
            </w:r>
          </w:p>
        </w:tc>
        <w:tc>
          <w:tcPr>
            <w:tcW w:w="2174" w:type="pct"/>
            <w:tcMar>
              <w:left w:w="28" w:type="dxa"/>
              <w:right w:w="28" w:type="dxa"/>
            </w:tcMar>
            <w:vAlign w:val="center"/>
          </w:tcPr>
          <w:p w14:paraId="09645C1A" w14:textId="77777777" w:rsidR="00097911" w:rsidRPr="000C77A2" w:rsidRDefault="00097911" w:rsidP="005D3B1D">
            <w:pPr>
              <w:pStyle w:val="TableText0"/>
            </w:pPr>
            <w:r w:rsidRPr="000C77A2">
              <w:t xml:space="preserve">The source for this estimate remains unchanged, noting that incidence projections were updated (from 51.2/100,000 used previously). This is reasonable. </w:t>
            </w:r>
          </w:p>
        </w:tc>
      </w:tr>
      <w:tr w:rsidR="00097911" w:rsidRPr="000C77A2" w14:paraId="15D16ECC" w14:textId="77777777" w:rsidTr="00C766BB">
        <w:trPr>
          <w:cantSplit/>
        </w:trPr>
        <w:tc>
          <w:tcPr>
            <w:tcW w:w="1019" w:type="pct"/>
            <w:shd w:val="clear" w:color="auto" w:fill="B8CCE4" w:themeFill="accent1" w:themeFillTint="66"/>
            <w:tcMar>
              <w:left w:w="28" w:type="dxa"/>
              <w:right w:w="28" w:type="dxa"/>
            </w:tcMar>
            <w:vAlign w:val="center"/>
          </w:tcPr>
          <w:p w14:paraId="0101549C" w14:textId="77777777" w:rsidR="00097911" w:rsidRPr="000C77A2" w:rsidRDefault="00097911" w:rsidP="00504411">
            <w:pPr>
              <w:pStyle w:val="TableText0"/>
              <w:keepNext w:val="0"/>
            </w:pPr>
            <w:r w:rsidRPr="000C77A2">
              <w:rPr>
                <w:i/>
                <w:iCs/>
              </w:rPr>
              <w:t>NTRK</w:t>
            </w:r>
            <w:r w:rsidRPr="000C77A2">
              <w:t xml:space="preserve"> fusion frequency </w:t>
            </w:r>
          </w:p>
        </w:tc>
        <w:tc>
          <w:tcPr>
            <w:tcW w:w="1807" w:type="pct"/>
            <w:shd w:val="clear" w:color="auto" w:fill="B8CCE4" w:themeFill="accent1" w:themeFillTint="66"/>
            <w:tcMar>
              <w:left w:w="28" w:type="dxa"/>
              <w:right w:w="28" w:type="dxa"/>
            </w:tcMar>
            <w:vAlign w:val="center"/>
          </w:tcPr>
          <w:p w14:paraId="2B17A2B7" w14:textId="185EBC23" w:rsidR="00097911" w:rsidRPr="000C77A2" w:rsidRDefault="00097911" w:rsidP="00504411">
            <w:pPr>
              <w:pStyle w:val="TableText0"/>
              <w:keepNext w:val="0"/>
            </w:pPr>
            <w:r w:rsidRPr="000C77A2">
              <w:t xml:space="preserve">0.23% based on </w:t>
            </w:r>
            <w:r w:rsidRPr="000C77A2">
              <w:rPr>
                <w:i/>
                <w:iCs/>
              </w:rPr>
              <w:t>NTRK</w:t>
            </w:r>
            <w:r w:rsidRPr="000C77A2">
              <w:t xml:space="preserve"> frequency epidemiology; </w:t>
            </w:r>
            <w:proofErr w:type="spellStart"/>
            <w:r w:rsidRPr="000C77A2">
              <w:t>Soloman</w:t>
            </w:r>
            <w:proofErr w:type="spellEnd"/>
            <w:r w:rsidRPr="000C77A2">
              <w:t xml:space="preserve"> et al 2019</w:t>
            </w:r>
            <w:r w:rsidR="00D5155A" w:rsidRPr="000C77A2">
              <w:t xml:space="preserve"> </w:t>
            </w:r>
            <w:r w:rsidR="00D5155A" w:rsidRPr="000C77A2">
              <w:rPr>
                <w:rStyle w:val="FootnoteReference"/>
              </w:rPr>
              <w:footnoteReference w:id="13"/>
            </w:r>
            <w:r w:rsidRPr="000C77A2">
              <w:t xml:space="preserve">; </w:t>
            </w:r>
            <w:proofErr w:type="spellStart"/>
            <w:r w:rsidRPr="000C77A2">
              <w:t>O‘Haire</w:t>
            </w:r>
            <w:proofErr w:type="spellEnd"/>
            <w:r w:rsidRPr="000C77A2">
              <w:t xml:space="preserve"> et al., 2023</w:t>
            </w:r>
            <w:r w:rsidR="00D5155A" w:rsidRPr="000C77A2">
              <w:t xml:space="preserve"> </w:t>
            </w:r>
            <w:r w:rsidR="00D5155A" w:rsidRPr="000C77A2">
              <w:rPr>
                <w:rStyle w:val="FootnoteReference"/>
              </w:rPr>
              <w:footnoteReference w:id="14"/>
            </w:r>
          </w:p>
        </w:tc>
        <w:tc>
          <w:tcPr>
            <w:tcW w:w="2174" w:type="pct"/>
            <w:shd w:val="clear" w:color="auto" w:fill="B8CCE4" w:themeFill="accent1" w:themeFillTint="66"/>
            <w:tcMar>
              <w:left w:w="28" w:type="dxa"/>
              <w:right w:w="28" w:type="dxa"/>
            </w:tcMar>
            <w:vAlign w:val="center"/>
          </w:tcPr>
          <w:p w14:paraId="44CA093E" w14:textId="1FDB5D5C" w:rsidR="00097911" w:rsidRPr="000C77A2" w:rsidRDefault="00097911" w:rsidP="00504411">
            <w:pPr>
              <w:pStyle w:val="TableText0"/>
              <w:keepNext w:val="0"/>
            </w:pPr>
            <w:r w:rsidRPr="000C77A2">
              <w:t xml:space="preserve">This is unchanged from the previous submission. </w:t>
            </w:r>
          </w:p>
        </w:tc>
      </w:tr>
      <w:tr w:rsidR="00097911" w:rsidRPr="000C77A2" w14:paraId="62B694C6" w14:textId="77777777" w:rsidTr="00C766BB">
        <w:trPr>
          <w:cantSplit/>
        </w:trPr>
        <w:tc>
          <w:tcPr>
            <w:tcW w:w="1019" w:type="pct"/>
            <w:shd w:val="clear" w:color="auto" w:fill="B8CCE4" w:themeFill="accent1" w:themeFillTint="66"/>
            <w:tcMar>
              <w:left w:w="28" w:type="dxa"/>
              <w:right w:w="28" w:type="dxa"/>
            </w:tcMar>
            <w:vAlign w:val="center"/>
          </w:tcPr>
          <w:p w14:paraId="1E944D0C" w14:textId="77777777" w:rsidR="00097911" w:rsidRPr="000C77A2" w:rsidRDefault="00097911" w:rsidP="00504411">
            <w:pPr>
              <w:pStyle w:val="TableText0"/>
              <w:keepNext w:val="0"/>
            </w:pPr>
            <w:r w:rsidRPr="000C77A2">
              <w:t xml:space="preserve">% advanced at diagnosis </w:t>
            </w:r>
          </w:p>
        </w:tc>
        <w:tc>
          <w:tcPr>
            <w:tcW w:w="1807" w:type="pct"/>
            <w:shd w:val="clear" w:color="auto" w:fill="B8CCE4" w:themeFill="accent1" w:themeFillTint="66"/>
            <w:tcMar>
              <w:left w:w="28" w:type="dxa"/>
              <w:right w:w="28" w:type="dxa"/>
            </w:tcMar>
            <w:vAlign w:val="center"/>
          </w:tcPr>
          <w:p w14:paraId="3A5C7D08" w14:textId="77777777" w:rsidR="00097911" w:rsidRPr="000C77A2" w:rsidRDefault="00097911" w:rsidP="00504411">
            <w:pPr>
              <w:pStyle w:val="TableText0"/>
              <w:keepNext w:val="0"/>
            </w:pPr>
            <w:r w:rsidRPr="000C77A2">
              <w:t>53.4%; sourced from AIHW (Stage 3 + Stage 4)</w:t>
            </w:r>
          </w:p>
        </w:tc>
        <w:tc>
          <w:tcPr>
            <w:tcW w:w="2174" w:type="pct"/>
            <w:shd w:val="clear" w:color="auto" w:fill="B8CCE4" w:themeFill="accent1" w:themeFillTint="66"/>
            <w:tcMar>
              <w:left w:w="28" w:type="dxa"/>
              <w:right w:w="28" w:type="dxa"/>
            </w:tcMar>
            <w:vAlign w:val="center"/>
          </w:tcPr>
          <w:p w14:paraId="0935742D" w14:textId="77777777" w:rsidR="00097911" w:rsidRPr="000C77A2" w:rsidRDefault="00097911" w:rsidP="00504411">
            <w:pPr>
              <w:pStyle w:val="TableText0"/>
              <w:keepNext w:val="0"/>
            </w:pPr>
            <w:r w:rsidRPr="000C77A2">
              <w:t xml:space="preserve">This is unchanged from the previous submission noting this includes patients with resectable tumours who are not eligible to receive larotrectinib. </w:t>
            </w:r>
          </w:p>
        </w:tc>
      </w:tr>
      <w:tr w:rsidR="00097911" w:rsidRPr="000C77A2" w14:paraId="3CC0BDCB" w14:textId="77777777" w:rsidTr="00C766BB">
        <w:trPr>
          <w:cantSplit/>
        </w:trPr>
        <w:tc>
          <w:tcPr>
            <w:tcW w:w="1019" w:type="pct"/>
            <w:shd w:val="clear" w:color="auto" w:fill="B8CCE4" w:themeFill="accent1" w:themeFillTint="66"/>
            <w:tcMar>
              <w:left w:w="28" w:type="dxa"/>
              <w:right w:w="28" w:type="dxa"/>
            </w:tcMar>
            <w:vAlign w:val="center"/>
          </w:tcPr>
          <w:p w14:paraId="11765323" w14:textId="77777777" w:rsidR="00097911" w:rsidRPr="000C77A2" w:rsidRDefault="00097911" w:rsidP="00504411">
            <w:pPr>
              <w:pStyle w:val="TableText0"/>
              <w:keepNext w:val="0"/>
            </w:pPr>
            <w:r w:rsidRPr="000C77A2">
              <w:t xml:space="preserve">% progressed after prior therapy </w:t>
            </w:r>
          </w:p>
        </w:tc>
        <w:tc>
          <w:tcPr>
            <w:tcW w:w="1807" w:type="pct"/>
            <w:shd w:val="clear" w:color="auto" w:fill="B8CCE4" w:themeFill="accent1" w:themeFillTint="66"/>
            <w:tcMar>
              <w:left w:w="28" w:type="dxa"/>
              <w:right w:w="28" w:type="dxa"/>
            </w:tcMar>
            <w:vAlign w:val="center"/>
          </w:tcPr>
          <w:p w14:paraId="03602C14" w14:textId="76CB635C" w:rsidR="00097911" w:rsidRPr="000C77A2" w:rsidRDefault="00097911" w:rsidP="00504411">
            <w:pPr>
              <w:pStyle w:val="TableText0"/>
              <w:keepNext w:val="0"/>
            </w:pPr>
            <w:r w:rsidRPr="000C77A2">
              <w:t>59.6% (</w:t>
            </w:r>
            <w:proofErr w:type="spellStart"/>
            <w:r w:rsidRPr="00576FA3">
              <w:t>Velcheti</w:t>
            </w:r>
            <w:proofErr w:type="spellEnd"/>
            <w:r w:rsidRPr="00576FA3">
              <w:t xml:space="preserve"> et al., 2019) </w:t>
            </w:r>
            <w:r w:rsidR="00D5155A" w:rsidRPr="00576FA3">
              <w:rPr>
                <w:rStyle w:val="FootnoteReference"/>
              </w:rPr>
              <w:footnoteReference w:id="15"/>
            </w:r>
          </w:p>
        </w:tc>
        <w:tc>
          <w:tcPr>
            <w:tcW w:w="2174" w:type="pct"/>
            <w:shd w:val="clear" w:color="auto" w:fill="B8CCE4" w:themeFill="accent1" w:themeFillTint="66"/>
            <w:tcMar>
              <w:left w:w="28" w:type="dxa"/>
              <w:right w:w="28" w:type="dxa"/>
            </w:tcMar>
            <w:vAlign w:val="center"/>
          </w:tcPr>
          <w:p w14:paraId="1B879DE3" w14:textId="77777777" w:rsidR="00097911" w:rsidRPr="000C77A2" w:rsidRDefault="00097911" w:rsidP="00504411">
            <w:pPr>
              <w:pStyle w:val="TableText0"/>
              <w:keepNext w:val="0"/>
            </w:pPr>
            <w:r w:rsidRPr="000C77A2">
              <w:t xml:space="preserve">This is unchanged from the previous submission and uses 12-month PFS data from the KN024 study. </w:t>
            </w:r>
          </w:p>
        </w:tc>
      </w:tr>
      <w:tr w:rsidR="00097911" w:rsidRPr="000C77A2" w14:paraId="68DF97B0" w14:textId="77777777" w:rsidTr="00C766BB">
        <w:trPr>
          <w:cantSplit/>
        </w:trPr>
        <w:tc>
          <w:tcPr>
            <w:tcW w:w="5000" w:type="pct"/>
            <w:gridSpan w:val="3"/>
            <w:shd w:val="clear" w:color="auto" w:fill="auto"/>
            <w:tcMar>
              <w:left w:w="28" w:type="dxa"/>
              <w:right w:w="28" w:type="dxa"/>
            </w:tcMar>
            <w:vAlign w:val="center"/>
          </w:tcPr>
          <w:p w14:paraId="493DF4A7" w14:textId="77777777" w:rsidR="00097911" w:rsidRPr="000C77A2" w:rsidRDefault="00097911" w:rsidP="00504411">
            <w:pPr>
              <w:pStyle w:val="TableText0"/>
              <w:keepNext w:val="0"/>
            </w:pPr>
            <w:r w:rsidRPr="000C77A2">
              <w:rPr>
                <w:b/>
                <w:bCs w:val="0"/>
              </w:rPr>
              <w:t>Estimated number of eligible patients – STS</w:t>
            </w:r>
          </w:p>
        </w:tc>
      </w:tr>
      <w:tr w:rsidR="00097911" w:rsidRPr="000C77A2" w14:paraId="4F37294B" w14:textId="77777777" w:rsidTr="00C766BB">
        <w:trPr>
          <w:cantSplit/>
        </w:trPr>
        <w:tc>
          <w:tcPr>
            <w:tcW w:w="1019" w:type="pct"/>
            <w:tcMar>
              <w:left w:w="28" w:type="dxa"/>
              <w:right w:w="28" w:type="dxa"/>
            </w:tcMar>
            <w:vAlign w:val="center"/>
          </w:tcPr>
          <w:p w14:paraId="64CB1FCA" w14:textId="77777777" w:rsidR="00097911" w:rsidRPr="000C77A2" w:rsidRDefault="00097911" w:rsidP="00504411">
            <w:pPr>
              <w:pStyle w:val="TableText0"/>
              <w:keepNext w:val="0"/>
            </w:pPr>
            <w:r w:rsidRPr="000C77A2">
              <w:t xml:space="preserve">STS Yearly incidence  </w:t>
            </w:r>
          </w:p>
        </w:tc>
        <w:tc>
          <w:tcPr>
            <w:tcW w:w="1807" w:type="pct"/>
            <w:tcMar>
              <w:left w:w="28" w:type="dxa"/>
              <w:right w:w="28" w:type="dxa"/>
            </w:tcMar>
            <w:vAlign w:val="center"/>
          </w:tcPr>
          <w:p w14:paraId="5F8F74F4" w14:textId="77777777" w:rsidR="00097911" w:rsidRPr="000C77A2" w:rsidRDefault="00097911" w:rsidP="00504411">
            <w:pPr>
              <w:pStyle w:val="TableText0"/>
              <w:keepNext w:val="0"/>
            </w:pPr>
            <w:r w:rsidRPr="000C77A2">
              <w:t>8.5/100,000; based on AIHW, Cancer data in Australia 2023</w:t>
            </w:r>
          </w:p>
        </w:tc>
        <w:tc>
          <w:tcPr>
            <w:tcW w:w="2174" w:type="pct"/>
            <w:tcMar>
              <w:left w:w="28" w:type="dxa"/>
              <w:right w:w="28" w:type="dxa"/>
            </w:tcMar>
            <w:vAlign w:val="center"/>
          </w:tcPr>
          <w:p w14:paraId="1D86960D" w14:textId="6B69FB01" w:rsidR="00097911" w:rsidRPr="000C77A2" w:rsidRDefault="00097911" w:rsidP="00504411">
            <w:pPr>
              <w:pStyle w:val="TableText0"/>
              <w:keepNext w:val="0"/>
            </w:pPr>
            <w:r w:rsidRPr="000C77A2">
              <w:t xml:space="preserve">The source for this estimate remains unchanged, noting that incidence projections were updated (from 7.1/100,000 used previously). </w:t>
            </w:r>
          </w:p>
        </w:tc>
      </w:tr>
      <w:tr w:rsidR="00097911" w:rsidRPr="000C77A2" w14:paraId="2682966E" w14:textId="77777777" w:rsidTr="00C766BB">
        <w:trPr>
          <w:cantSplit/>
        </w:trPr>
        <w:tc>
          <w:tcPr>
            <w:tcW w:w="1019" w:type="pct"/>
            <w:shd w:val="clear" w:color="auto" w:fill="B8CCE4" w:themeFill="accent1" w:themeFillTint="66"/>
            <w:tcMar>
              <w:left w:w="28" w:type="dxa"/>
              <w:right w:w="28" w:type="dxa"/>
            </w:tcMar>
            <w:vAlign w:val="center"/>
          </w:tcPr>
          <w:p w14:paraId="12380168" w14:textId="77777777" w:rsidR="00097911" w:rsidRPr="000C77A2" w:rsidRDefault="00097911" w:rsidP="00504411">
            <w:pPr>
              <w:pStyle w:val="TableText0"/>
              <w:keepNext w:val="0"/>
            </w:pPr>
            <w:r w:rsidRPr="000C77A2">
              <w:rPr>
                <w:i/>
                <w:iCs/>
              </w:rPr>
              <w:t>NTRK</w:t>
            </w:r>
            <w:r w:rsidRPr="000C77A2">
              <w:t xml:space="preserve"> fusion frequency </w:t>
            </w:r>
          </w:p>
        </w:tc>
        <w:tc>
          <w:tcPr>
            <w:tcW w:w="1807" w:type="pct"/>
            <w:shd w:val="clear" w:color="auto" w:fill="B8CCE4" w:themeFill="accent1" w:themeFillTint="66"/>
            <w:tcMar>
              <w:left w:w="28" w:type="dxa"/>
              <w:right w:w="28" w:type="dxa"/>
            </w:tcMar>
            <w:vAlign w:val="center"/>
          </w:tcPr>
          <w:p w14:paraId="099AC07C" w14:textId="77777777" w:rsidR="00097911" w:rsidRPr="000C77A2" w:rsidRDefault="00097911" w:rsidP="00504411">
            <w:pPr>
              <w:pStyle w:val="TableText0"/>
              <w:keepNext w:val="0"/>
            </w:pPr>
            <w:r w:rsidRPr="000C77A2">
              <w:t xml:space="preserve">1.4%; based on </w:t>
            </w:r>
            <w:r w:rsidRPr="000C77A2">
              <w:rPr>
                <w:i/>
                <w:iCs/>
              </w:rPr>
              <w:t>NTRK</w:t>
            </w:r>
            <w:r w:rsidRPr="000C77A2">
              <w:t xml:space="preserve"> frequency epidemiology (Attachment 4.2); </w:t>
            </w:r>
            <w:proofErr w:type="spellStart"/>
            <w:r w:rsidRPr="000C77A2">
              <w:t>Soloman</w:t>
            </w:r>
            <w:proofErr w:type="spellEnd"/>
            <w:r w:rsidRPr="000C77A2">
              <w:t xml:space="preserve"> et al 2019; </w:t>
            </w:r>
            <w:proofErr w:type="spellStart"/>
            <w:r w:rsidRPr="000C77A2">
              <w:t>O‘Haire</w:t>
            </w:r>
            <w:proofErr w:type="spellEnd"/>
            <w:r w:rsidRPr="000C77A2">
              <w:t xml:space="preserve"> et al., 2023</w:t>
            </w:r>
          </w:p>
        </w:tc>
        <w:tc>
          <w:tcPr>
            <w:tcW w:w="2174" w:type="pct"/>
            <w:shd w:val="clear" w:color="auto" w:fill="B8CCE4" w:themeFill="accent1" w:themeFillTint="66"/>
            <w:tcMar>
              <w:left w:w="28" w:type="dxa"/>
              <w:right w:w="28" w:type="dxa"/>
            </w:tcMar>
            <w:vAlign w:val="center"/>
          </w:tcPr>
          <w:p w14:paraId="10D71663" w14:textId="77777777" w:rsidR="00097911" w:rsidRPr="000C77A2" w:rsidRDefault="00097911" w:rsidP="00504411">
            <w:pPr>
              <w:pStyle w:val="TableText0"/>
              <w:keepNext w:val="0"/>
            </w:pPr>
            <w:r w:rsidRPr="000C77A2">
              <w:t xml:space="preserve">This is unchanged from the previous submission. However, </w:t>
            </w:r>
            <w:proofErr w:type="spellStart"/>
            <w:r w:rsidRPr="000C77A2">
              <w:t>O‘Haire</w:t>
            </w:r>
            <w:proofErr w:type="spellEnd"/>
            <w:r w:rsidRPr="000C77A2">
              <w:t xml:space="preserve"> et al., 2023 estimated a prevalence of 0.69%. </w:t>
            </w:r>
          </w:p>
        </w:tc>
      </w:tr>
      <w:tr w:rsidR="00097911" w:rsidRPr="000C77A2" w14:paraId="01AE7AA0" w14:textId="77777777" w:rsidTr="00C766BB">
        <w:trPr>
          <w:cantSplit/>
        </w:trPr>
        <w:tc>
          <w:tcPr>
            <w:tcW w:w="1019" w:type="pct"/>
            <w:tcMar>
              <w:left w:w="28" w:type="dxa"/>
              <w:right w:w="28" w:type="dxa"/>
            </w:tcMar>
            <w:vAlign w:val="center"/>
          </w:tcPr>
          <w:p w14:paraId="7AD1B1DB" w14:textId="77777777" w:rsidR="00097911" w:rsidRPr="000C77A2" w:rsidRDefault="00097911" w:rsidP="00504411">
            <w:pPr>
              <w:pStyle w:val="TableText0"/>
              <w:keepNext w:val="0"/>
            </w:pPr>
            <w:r w:rsidRPr="000C77A2">
              <w:t xml:space="preserve">% advanced at diagnosis </w:t>
            </w:r>
          </w:p>
        </w:tc>
        <w:tc>
          <w:tcPr>
            <w:tcW w:w="1807" w:type="pct"/>
            <w:tcMar>
              <w:left w:w="28" w:type="dxa"/>
              <w:right w:w="28" w:type="dxa"/>
            </w:tcMar>
            <w:vAlign w:val="center"/>
          </w:tcPr>
          <w:p w14:paraId="59A10BBA" w14:textId="47980464" w:rsidR="00097911" w:rsidRPr="000C77A2" w:rsidRDefault="00097911" w:rsidP="00504411">
            <w:pPr>
              <w:pStyle w:val="TableText0"/>
              <w:keepNext w:val="0"/>
            </w:pPr>
            <w:r w:rsidRPr="000C77A2">
              <w:t xml:space="preserve">47.3%; sourced from </w:t>
            </w:r>
            <w:proofErr w:type="spellStart"/>
            <w:r w:rsidRPr="000C77A2">
              <w:t>Gadgeel</w:t>
            </w:r>
            <w:proofErr w:type="spellEnd"/>
            <w:r w:rsidRPr="000C77A2">
              <w:t xml:space="preserve"> </w:t>
            </w:r>
            <w:r w:rsidR="00D5155A" w:rsidRPr="000C77A2">
              <w:rPr>
                <w:rStyle w:val="FootnoteReference"/>
              </w:rPr>
              <w:footnoteReference w:id="16"/>
            </w:r>
          </w:p>
        </w:tc>
        <w:tc>
          <w:tcPr>
            <w:tcW w:w="2174" w:type="pct"/>
            <w:tcMar>
              <w:left w:w="28" w:type="dxa"/>
              <w:right w:w="28" w:type="dxa"/>
            </w:tcMar>
            <w:vAlign w:val="center"/>
          </w:tcPr>
          <w:p w14:paraId="124BD170" w14:textId="63E4A542" w:rsidR="00097911" w:rsidRPr="000C77A2" w:rsidRDefault="00097911" w:rsidP="00504411">
            <w:pPr>
              <w:pStyle w:val="TableText0"/>
              <w:keepNext w:val="0"/>
            </w:pPr>
            <w:r w:rsidRPr="000C77A2">
              <w:t xml:space="preserve">This appears to be erroneous as the source remains unchanged from the previous submission (42.3% used previously). </w:t>
            </w:r>
            <w:r w:rsidR="006E11B6" w:rsidRPr="000C77A2">
              <w:t xml:space="preserve">The PSCR updated the estimate to 42.2%. </w:t>
            </w:r>
          </w:p>
        </w:tc>
      </w:tr>
      <w:tr w:rsidR="00097911" w:rsidRPr="000C77A2" w14:paraId="621E8D42" w14:textId="77777777" w:rsidTr="00C766BB">
        <w:trPr>
          <w:cantSplit/>
        </w:trPr>
        <w:tc>
          <w:tcPr>
            <w:tcW w:w="1019" w:type="pct"/>
            <w:shd w:val="clear" w:color="auto" w:fill="B8CCE4" w:themeFill="accent1" w:themeFillTint="66"/>
            <w:tcMar>
              <w:left w:w="28" w:type="dxa"/>
              <w:right w:w="28" w:type="dxa"/>
            </w:tcMar>
            <w:vAlign w:val="center"/>
          </w:tcPr>
          <w:p w14:paraId="1DA303CD" w14:textId="77777777" w:rsidR="00097911" w:rsidRPr="000C77A2" w:rsidRDefault="00097911" w:rsidP="00504411">
            <w:pPr>
              <w:pStyle w:val="TableText0"/>
              <w:keepNext w:val="0"/>
            </w:pPr>
            <w:r w:rsidRPr="000C77A2">
              <w:t xml:space="preserve">% progressed after prior systemic therapy </w:t>
            </w:r>
          </w:p>
        </w:tc>
        <w:tc>
          <w:tcPr>
            <w:tcW w:w="1807" w:type="pct"/>
            <w:shd w:val="clear" w:color="auto" w:fill="B8CCE4" w:themeFill="accent1" w:themeFillTint="66"/>
            <w:tcMar>
              <w:left w:w="28" w:type="dxa"/>
              <w:right w:w="28" w:type="dxa"/>
            </w:tcMar>
            <w:vAlign w:val="center"/>
          </w:tcPr>
          <w:p w14:paraId="11D58161" w14:textId="4D4E494B" w:rsidR="00097911" w:rsidRPr="000C77A2" w:rsidRDefault="00097911" w:rsidP="00504411">
            <w:pPr>
              <w:pStyle w:val="TableText0"/>
              <w:keepNext w:val="0"/>
            </w:pPr>
            <w:r w:rsidRPr="000C77A2">
              <w:t>73.5%; sourced from In et al., 2017</w:t>
            </w:r>
            <w:r w:rsidR="00D5155A" w:rsidRPr="000C77A2">
              <w:t xml:space="preserve"> </w:t>
            </w:r>
            <w:r w:rsidR="00D5155A" w:rsidRPr="000C77A2">
              <w:rPr>
                <w:rStyle w:val="FootnoteReference"/>
              </w:rPr>
              <w:footnoteReference w:id="17"/>
            </w:r>
          </w:p>
        </w:tc>
        <w:tc>
          <w:tcPr>
            <w:tcW w:w="2174" w:type="pct"/>
            <w:shd w:val="clear" w:color="auto" w:fill="B8CCE4" w:themeFill="accent1" w:themeFillTint="66"/>
            <w:tcMar>
              <w:left w:w="28" w:type="dxa"/>
              <w:right w:w="28" w:type="dxa"/>
            </w:tcMar>
            <w:vAlign w:val="center"/>
          </w:tcPr>
          <w:p w14:paraId="46D12FAB" w14:textId="77777777" w:rsidR="00097911" w:rsidRPr="000C77A2" w:rsidRDefault="00097911" w:rsidP="00504411">
            <w:pPr>
              <w:pStyle w:val="TableText0"/>
              <w:keepNext w:val="0"/>
            </w:pPr>
            <w:r w:rsidRPr="000C77A2">
              <w:t>This remains unchanged from the previous submission.</w:t>
            </w:r>
          </w:p>
        </w:tc>
      </w:tr>
      <w:tr w:rsidR="00097911" w:rsidRPr="000C77A2" w14:paraId="20867F96" w14:textId="77777777" w:rsidTr="00C766BB">
        <w:trPr>
          <w:cantSplit/>
        </w:trPr>
        <w:tc>
          <w:tcPr>
            <w:tcW w:w="5000" w:type="pct"/>
            <w:gridSpan w:val="3"/>
            <w:shd w:val="clear" w:color="auto" w:fill="auto"/>
            <w:tcMar>
              <w:left w:w="28" w:type="dxa"/>
              <w:right w:w="28" w:type="dxa"/>
            </w:tcMar>
            <w:vAlign w:val="center"/>
          </w:tcPr>
          <w:p w14:paraId="491E0A86" w14:textId="77777777" w:rsidR="00097911" w:rsidRPr="000C77A2" w:rsidRDefault="00097911" w:rsidP="00504411">
            <w:pPr>
              <w:pStyle w:val="TableText0"/>
              <w:keepNext w:val="0"/>
              <w:rPr>
                <w:b/>
                <w:bCs w:val="0"/>
              </w:rPr>
            </w:pPr>
            <w:r w:rsidRPr="000C77A2">
              <w:rPr>
                <w:b/>
                <w:bCs w:val="0"/>
              </w:rPr>
              <w:t>Use and cost in eligible patients</w:t>
            </w:r>
          </w:p>
        </w:tc>
      </w:tr>
      <w:tr w:rsidR="00097911" w:rsidRPr="000C77A2" w14:paraId="61305B47" w14:textId="77777777" w:rsidTr="00C766BB">
        <w:trPr>
          <w:cantSplit/>
        </w:trPr>
        <w:tc>
          <w:tcPr>
            <w:tcW w:w="1019" w:type="pct"/>
            <w:tcMar>
              <w:left w:w="28" w:type="dxa"/>
              <w:right w:w="28" w:type="dxa"/>
            </w:tcMar>
            <w:vAlign w:val="center"/>
          </w:tcPr>
          <w:p w14:paraId="62D96D37" w14:textId="77777777" w:rsidR="00097911" w:rsidRPr="000C77A2" w:rsidRDefault="00097911" w:rsidP="00504411">
            <w:pPr>
              <w:pStyle w:val="TableText0"/>
              <w:keepNext w:val="0"/>
            </w:pPr>
            <w:r w:rsidRPr="000C77A2">
              <w:t>Uptake rate</w:t>
            </w:r>
          </w:p>
        </w:tc>
        <w:tc>
          <w:tcPr>
            <w:tcW w:w="1807" w:type="pct"/>
            <w:tcMar>
              <w:left w:w="28" w:type="dxa"/>
              <w:right w:w="28" w:type="dxa"/>
            </w:tcMar>
            <w:vAlign w:val="center"/>
          </w:tcPr>
          <w:p w14:paraId="4A3FBB02" w14:textId="4ED09C7C" w:rsidR="00097911" w:rsidRPr="000C77A2" w:rsidRDefault="00097911" w:rsidP="00504411">
            <w:pPr>
              <w:pStyle w:val="TableText0"/>
              <w:keepNext w:val="0"/>
            </w:pPr>
            <w:r w:rsidRPr="000C77A2">
              <w:t xml:space="preserve">Yr 1-6: </w:t>
            </w:r>
            <w:r w:rsidR="00C66EC7" w:rsidRPr="00C66EC7">
              <w:rPr>
                <w:color w:val="000000"/>
                <w:spacing w:val="53"/>
                <w:shd w:val="solid" w:color="000000" w:fill="000000"/>
                <w:fitText w:val="330" w:id="-962354939"/>
                <w14:textFill>
                  <w14:solidFill>
                    <w14:srgbClr w14:val="000000">
                      <w14:alpha w14:val="100000"/>
                    </w14:srgbClr>
                  </w14:solidFill>
                </w14:textFill>
              </w:rPr>
              <w:t>|||</w:t>
            </w:r>
            <w:r w:rsidR="00C66EC7" w:rsidRPr="00C66EC7">
              <w:rPr>
                <w:color w:val="000000"/>
                <w:spacing w:val="1"/>
                <w:shd w:val="solid" w:color="000000" w:fill="000000"/>
                <w:fitText w:val="330" w:id="-962354939"/>
                <w14:textFill>
                  <w14:solidFill>
                    <w14:srgbClr w14:val="000000">
                      <w14:alpha w14:val="100000"/>
                    </w14:srgbClr>
                  </w14:solidFill>
                </w14:textFill>
              </w:rPr>
              <w:t>|</w:t>
            </w:r>
            <w:r w:rsidRPr="000C77A2">
              <w:t>%</w:t>
            </w:r>
          </w:p>
          <w:p w14:paraId="09F62860" w14:textId="77777777" w:rsidR="00097911" w:rsidRPr="000C77A2" w:rsidRDefault="00097911" w:rsidP="00504411">
            <w:pPr>
              <w:pStyle w:val="TableText0"/>
              <w:keepNext w:val="0"/>
            </w:pPr>
            <w:r w:rsidRPr="000C77A2">
              <w:t>Assumption</w:t>
            </w:r>
          </w:p>
        </w:tc>
        <w:tc>
          <w:tcPr>
            <w:tcW w:w="2174" w:type="pct"/>
            <w:tcMar>
              <w:left w:w="28" w:type="dxa"/>
              <w:right w:w="28" w:type="dxa"/>
            </w:tcMar>
            <w:vAlign w:val="center"/>
          </w:tcPr>
          <w:p w14:paraId="4377ACE3" w14:textId="2D808DD1" w:rsidR="00097911" w:rsidRPr="000C77A2" w:rsidRDefault="00097911" w:rsidP="00504411">
            <w:pPr>
              <w:pStyle w:val="TableText0"/>
              <w:keepNext w:val="0"/>
            </w:pPr>
            <w:r w:rsidRPr="000C77A2">
              <w:t xml:space="preserve">This assumption implicitly assumes that uptake of testing would be </w:t>
            </w:r>
            <w:r w:rsidR="00C66EC7" w:rsidRPr="00C66EC7">
              <w:rPr>
                <w:color w:val="000000"/>
                <w:spacing w:val="53"/>
                <w:shd w:val="solid" w:color="000000" w:fill="000000"/>
                <w:fitText w:val="330" w:id="-962354938"/>
                <w14:textFill>
                  <w14:solidFill>
                    <w14:srgbClr w14:val="000000">
                      <w14:alpha w14:val="100000"/>
                    </w14:srgbClr>
                  </w14:solidFill>
                </w14:textFill>
              </w:rPr>
              <w:t>|||</w:t>
            </w:r>
            <w:r w:rsidR="00C66EC7" w:rsidRPr="00C66EC7">
              <w:rPr>
                <w:color w:val="000000"/>
                <w:spacing w:val="1"/>
                <w:shd w:val="solid" w:color="000000" w:fill="000000"/>
                <w:fitText w:val="330" w:id="-962354938"/>
                <w14:textFill>
                  <w14:solidFill>
                    <w14:srgbClr w14:val="000000">
                      <w14:alpha w14:val="100000"/>
                    </w14:srgbClr>
                  </w14:solidFill>
                </w14:textFill>
              </w:rPr>
              <w:t>|</w:t>
            </w:r>
            <w:r w:rsidRPr="000C77A2">
              <w:t xml:space="preserve">%, which may be reasonable for NSCLC, but not for STS. Previously, uptake was assumed to increase from </w:t>
            </w:r>
            <w:r w:rsidR="00C66EC7" w:rsidRPr="00C66EC7">
              <w:rPr>
                <w:color w:val="000000"/>
                <w:spacing w:val="48"/>
                <w:shd w:val="solid" w:color="000000" w:fill="000000"/>
                <w:fitText w:val="315" w:id="-962354937"/>
                <w14:textFill>
                  <w14:solidFill>
                    <w14:srgbClr w14:val="000000">
                      <w14:alpha w14:val="100000"/>
                    </w14:srgbClr>
                  </w14:solidFill>
                </w14:textFill>
              </w:rPr>
              <w:t>|||</w:t>
            </w:r>
            <w:r w:rsidR="00C66EC7" w:rsidRPr="00C66EC7">
              <w:rPr>
                <w:color w:val="000000"/>
                <w:spacing w:val="1"/>
                <w:shd w:val="solid" w:color="000000" w:fill="000000"/>
                <w:fitText w:val="315" w:id="-962354937"/>
                <w14:textFill>
                  <w14:solidFill>
                    <w14:srgbClr w14:val="000000">
                      <w14:alpha w14:val="100000"/>
                    </w14:srgbClr>
                  </w14:solidFill>
                </w14:textFill>
              </w:rPr>
              <w:t>|</w:t>
            </w:r>
            <w:r w:rsidRPr="0011798C">
              <w:t xml:space="preserve">% to </w:t>
            </w:r>
            <w:r w:rsidR="00C66EC7" w:rsidRPr="00C66EC7">
              <w:rPr>
                <w:color w:val="000000"/>
                <w:spacing w:val="48"/>
                <w:shd w:val="solid" w:color="000000" w:fill="000000"/>
                <w:fitText w:val="315" w:id="-962354936"/>
                <w14:textFill>
                  <w14:solidFill>
                    <w14:srgbClr w14:val="000000">
                      <w14:alpha w14:val="100000"/>
                    </w14:srgbClr>
                  </w14:solidFill>
                </w14:textFill>
              </w:rPr>
              <w:t>|||</w:t>
            </w:r>
            <w:r w:rsidR="00C66EC7" w:rsidRPr="00C66EC7">
              <w:rPr>
                <w:color w:val="000000"/>
                <w:spacing w:val="1"/>
                <w:shd w:val="solid" w:color="000000" w:fill="000000"/>
                <w:fitText w:val="315" w:id="-962354936"/>
                <w14:textFill>
                  <w14:solidFill>
                    <w14:srgbClr w14:val="000000">
                      <w14:alpha w14:val="100000"/>
                    </w14:srgbClr>
                  </w14:solidFill>
                </w14:textFill>
              </w:rPr>
              <w:t>|</w:t>
            </w:r>
            <w:r w:rsidRPr="000C77A2">
              <w:t>%, which the ESC considered an overestimate (para 6.75, larotrectinib PSD, November 2021 PBAC meeting).</w:t>
            </w:r>
            <w:r w:rsidR="006E11B6" w:rsidRPr="000C77A2">
              <w:t xml:space="preserve"> The PSCR revised the uptake rates for STS to </w:t>
            </w:r>
            <w:r w:rsidR="00C66EC7" w:rsidRPr="00C66EC7">
              <w:rPr>
                <w:color w:val="000000"/>
                <w:spacing w:val="53"/>
                <w:shd w:val="solid" w:color="000000" w:fill="000000"/>
                <w:fitText w:val="330" w:id="-962354935"/>
                <w14:textFill>
                  <w14:solidFill>
                    <w14:srgbClr w14:val="000000">
                      <w14:alpha w14:val="100000"/>
                    </w14:srgbClr>
                  </w14:solidFill>
                </w14:textFill>
              </w:rPr>
              <w:t>|||</w:t>
            </w:r>
            <w:r w:rsidR="00C66EC7" w:rsidRPr="00C66EC7">
              <w:rPr>
                <w:color w:val="000000"/>
                <w:spacing w:val="1"/>
                <w:shd w:val="solid" w:color="000000" w:fill="000000"/>
                <w:fitText w:val="330" w:id="-962354935"/>
                <w14:textFill>
                  <w14:solidFill>
                    <w14:srgbClr w14:val="000000">
                      <w14:alpha w14:val="100000"/>
                    </w14:srgbClr>
                  </w14:solidFill>
                </w14:textFill>
              </w:rPr>
              <w:t>|</w:t>
            </w:r>
            <w:r w:rsidR="006E11B6" w:rsidRPr="000C77A2">
              <w:t xml:space="preserve">% in Year 1 and </w:t>
            </w:r>
            <w:r w:rsidR="00C66EC7" w:rsidRPr="00C66EC7">
              <w:rPr>
                <w:color w:val="000000"/>
                <w:spacing w:val="48"/>
                <w:shd w:val="solid" w:color="000000" w:fill="000000"/>
                <w:fitText w:val="315" w:id="-962354934"/>
                <w14:textFill>
                  <w14:solidFill>
                    <w14:srgbClr w14:val="000000">
                      <w14:alpha w14:val="100000"/>
                    </w14:srgbClr>
                  </w14:solidFill>
                </w14:textFill>
              </w:rPr>
              <w:t>|||</w:t>
            </w:r>
            <w:r w:rsidR="00C66EC7" w:rsidRPr="00C66EC7">
              <w:rPr>
                <w:color w:val="000000"/>
                <w:spacing w:val="1"/>
                <w:shd w:val="solid" w:color="000000" w:fill="000000"/>
                <w:fitText w:val="315" w:id="-962354934"/>
                <w14:textFill>
                  <w14:solidFill>
                    <w14:srgbClr w14:val="000000">
                      <w14:alpha w14:val="100000"/>
                    </w14:srgbClr>
                  </w14:solidFill>
                </w14:textFill>
              </w:rPr>
              <w:t>|</w:t>
            </w:r>
            <w:r w:rsidR="006E11B6" w:rsidRPr="000C77A2">
              <w:t>% in Years 2 to 6</w:t>
            </w:r>
            <w:r w:rsidR="006E11B6" w:rsidRPr="000C77A2">
              <w:rPr>
                <w:i/>
                <w:iCs/>
              </w:rPr>
              <w:t>.</w:t>
            </w:r>
            <w:r w:rsidR="006E11B6" w:rsidRPr="000C77A2">
              <w:t xml:space="preserve"> </w:t>
            </w:r>
          </w:p>
        </w:tc>
      </w:tr>
      <w:tr w:rsidR="00097911" w:rsidRPr="000C77A2" w14:paraId="040E5A2E" w14:textId="77777777" w:rsidTr="00C766BB">
        <w:trPr>
          <w:cantSplit/>
        </w:trPr>
        <w:tc>
          <w:tcPr>
            <w:tcW w:w="1019" w:type="pct"/>
            <w:tcMar>
              <w:left w:w="28" w:type="dxa"/>
              <w:right w:w="28" w:type="dxa"/>
            </w:tcMar>
            <w:vAlign w:val="center"/>
          </w:tcPr>
          <w:p w14:paraId="172A9254" w14:textId="77777777" w:rsidR="00097911" w:rsidRPr="000C77A2" w:rsidDel="00903672" w:rsidRDefault="00097911" w:rsidP="00504411">
            <w:pPr>
              <w:pStyle w:val="TableText0"/>
              <w:keepNext w:val="0"/>
            </w:pPr>
            <w:r w:rsidRPr="000C77A2">
              <w:t>Daily dose of larotrectinib</w:t>
            </w:r>
          </w:p>
        </w:tc>
        <w:tc>
          <w:tcPr>
            <w:tcW w:w="1807" w:type="pct"/>
            <w:tcMar>
              <w:left w:w="28" w:type="dxa"/>
              <w:right w:w="28" w:type="dxa"/>
            </w:tcMar>
            <w:vAlign w:val="center"/>
          </w:tcPr>
          <w:p w14:paraId="573C6AB2" w14:textId="77777777" w:rsidR="00097911" w:rsidRPr="000C77A2" w:rsidDel="00903672" w:rsidRDefault="00097911" w:rsidP="00504411">
            <w:pPr>
              <w:pStyle w:val="TableText0"/>
              <w:keepNext w:val="0"/>
            </w:pPr>
            <w:r w:rsidRPr="000C77A2">
              <w:t xml:space="preserve">192.5 mg; </w:t>
            </w:r>
            <w:proofErr w:type="gramStart"/>
            <w:r w:rsidRPr="000C77A2">
              <w:t>assuming that</w:t>
            </w:r>
            <w:proofErr w:type="gramEnd"/>
            <w:r w:rsidRPr="000C77A2">
              <w:t xml:space="preserve"> 95% of the population will use 100 mg while the remaining 5% will use 25 mg. </w:t>
            </w:r>
          </w:p>
        </w:tc>
        <w:tc>
          <w:tcPr>
            <w:tcW w:w="2174" w:type="pct"/>
            <w:tcMar>
              <w:left w:w="28" w:type="dxa"/>
              <w:right w:w="28" w:type="dxa"/>
            </w:tcMar>
            <w:vAlign w:val="center"/>
          </w:tcPr>
          <w:p w14:paraId="43D601C2" w14:textId="77777777" w:rsidR="00097911" w:rsidRPr="000C77A2" w:rsidDel="00903672" w:rsidRDefault="00097911" w:rsidP="00504411">
            <w:pPr>
              <w:pStyle w:val="TableText0"/>
              <w:keepNext w:val="0"/>
            </w:pPr>
            <w:r w:rsidRPr="000C77A2">
              <w:t xml:space="preserve">This has changed from the previous submission in which the financial estimations were based on an average dose of 188.6 mg from the larotrectinib studies. </w:t>
            </w:r>
          </w:p>
        </w:tc>
      </w:tr>
      <w:tr w:rsidR="00097911" w:rsidRPr="000C77A2" w14:paraId="7D1BE3FB" w14:textId="77777777" w:rsidTr="00C766BB">
        <w:trPr>
          <w:cantSplit/>
        </w:trPr>
        <w:tc>
          <w:tcPr>
            <w:tcW w:w="1019" w:type="pct"/>
            <w:tcMar>
              <w:left w:w="28" w:type="dxa"/>
              <w:right w:w="28" w:type="dxa"/>
            </w:tcMar>
            <w:vAlign w:val="center"/>
          </w:tcPr>
          <w:p w14:paraId="35A63D00" w14:textId="77777777" w:rsidR="00097911" w:rsidRPr="000C77A2" w:rsidDel="00903672" w:rsidRDefault="00097911" w:rsidP="00504411">
            <w:pPr>
              <w:pStyle w:val="TableText0"/>
              <w:keepNext w:val="0"/>
            </w:pPr>
            <w:r w:rsidRPr="000C77A2">
              <w:lastRenderedPageBreak/>
              <w:t>Duration of larotrectinib treatment</w:t>
            </w:r>
          </w:p>
        </w:tc>
        <w:tc>
          <w:tcPr>
            <w:tcW w:w="1807" w:type="pct"/>
            <w:tcMar>
              <w:left w:w="28" w:type="dxa"/>
              <w:right w:w="28" w:type="dxa"/>
            </w:tcMar>
            <w:vAlign w:val="center"/>
          </w:tcPr>
          <w:p w14:paraId="457EFBDF" w14:textId="77777777" w:rsidR="00097911" w:rsidRPr="000C77A2" w:rsidRDefault="00097911" w:rsidP="00504411">
            <w:pPr>
              <w:pStyle w:val="TableText0"/>
              <w:keepNext w:val="0"/>
            </w:pPr>
            <w:r w:rsidRPr="000C77A2">
              <w:t>NSCLC: 20 months</w:t>
            </w:r>
          </w:p>
          <w:p w14:paraId="33916FCE" w14:textId="77777777" w:rsidR="00097911" w:rsidRPr="000C77A2" w:rsidRDefault="00097911" w:rsidP="00504411">
            <w:pPr>
              <w:pStyle w:val="TableText0"/>
              <w:keepNext w:val="0"/>
            </w:pPr>
            <w:r w:rsidRPr="000C77A2">
              <w:t xml:space="preserve">STS: 16 months. </w:t>
            </w:r>
          </w:p>
          <w:p w14:paraId="6D7B0AD9" w14:textId="77777777" w:rsidR="00097911" w:rsidRPr="000C77A2" w:rsidDel="00903672" w:rsidRDefault="00097911" w:rsidP="00504411">
            <w:pPr>
              <w:pStyle w:val="TableText0"/>
              <w:keepNext w:val="0"/>
            </w:pPr>
            <w:r w:rsidRPr="000C77A2">
              <w:t>Based on Median duration of treatment in Lung and STS subgroups of ePAS7 dataset</w:t>
            </w:r>
          </w:p>
        </w:tc>
        <w:tc>
          <w:tcPr>
            <w:tcW w:w="2174" w:type="pct"/>
            <w:tcMar>
              <w:left w:w="28" w:type="dxa"/>
              <w:right w:w="28" w:type="dxa"/>
            </w:tcMar>
            <w:vAlign w:val="center"/>
          </w:tcPr>
          <w:p w14:paraId="245C1EF2" w14:textId="26FEC86F" w:rsidR="00097911" w:rsidRPr="000C77A2" w:rsidDel="00903672" w:rsidRDefault="00097911" w:rsidP="00504411">
            <w:pPr>
              <w:pStyle w:val="TableText0"/>
              <w:keepNext w:val="0"/>
            </w:pPr>
            <w:r w:rsidRPr="000C77A2">
              <w:t>This is inconsistent with the average duration of treatment modelled (30 months). The financial estimations are highly sensitive to a longer treatment duration</w:t>
            </w:r>
            <w:r w:rsidR="006E11B6" w:rsidRPr="000C77A2">
              <w:t xml:space="preserve">. The PSCR updated the treatment duration to 30 months. </w:t>
            </w:r>
          </w:p>
        </w:tc>
      </w:tr>
      <w:tr w:rsidR="00097911" w:rsidRPr="000C77A2" w14:paraId="6E74FAC1" w14:textId="77777777" w:rsidTr="00C766BB">
        <w:trPr>
          <w:cantSplit/>
        </w:trPr>
        <w:tc>
          <w:tcPr>
            <w:tcW w:w="1019" w:type="pct"/>
            <w:tcMar>
              <w:left w:w="28" w:type="dxa"/>
              <w:right w:w="28" w:type="dxa"/>
            </w:tcMar>
            <w:vAlign w:val="center"/>
          </w:tcPr>
          <w:p w14:paraId="32060B9F" w14:textId="77777777" w:rsidR="00097911" w:rsidRPr="000C77A2" w:rsidDel="00903672" w:rsidRDefault="00097911" w:rsidP="00504411">
            <w:pPr>
              <w:pStyle w:val="TableText0"/>
              <w:keepNext w:val="0"/>
            </w:pPr>
            <w:r w:rsidRPr="000C77A2">
              <w:t>Duration of docetaxel use</w:t>
            </w:r>
          </w:p>
        </w:tc>
        <w:tc>
          <w:tcPr>
            <w:tcW w:w="1807" w:type="pct"/>
            <w:tcMar>
              <w:left w:w="28" w:type="dxa"/>
              <w:right w:w="28" w:type="dxa"/>
            </w:tcMar>
            <w:vAlign w:val="center"/>
          </w:tcPr>
          <w:p w14:paraId="2CF89AEB" w14:textId="77777777" w:rsidR="00097911" w:rsidRPr="000C77A2" w:rsidRDefault="00097911" w:rsidP="00504411">
            <w:pPr>
              <w:pStyle w:val="TableText0"/>
              <w:keepNext w:val="0"/>
            </w:pPr>
            <w:r w:rsidRPr="000C77A2">
              <w:t>3 months (equivalent to 4 treatment cycles).</w:t>
            </w:r>
          </w:p>
          <w:p w14:paraId="585C0023" w14:textId="77777777" w:rsidR="00097911" w:rsidRPr="000C77A2" w:rsidDel="00903672" w:rsidRDefault="00097911" w:rsidP="00504411">
            <w:pPr>
              <w:pStyle w:val="TableText0"/>
              <w:keepNext w:val="0"/>
            </w:pPr>
            <w:r w:rsidRPr="000C77A2">
              <w:t>In line with eviQ guidelines.</w:t>
            </w:r>
          </w:p>
        </w:tc>
        <w:tc>
          <w:tcPr>
            <w:tcW w:w="2174" w:type="pct"/>
            <w:tcMar>
              <w:left w:w="28" w:type="dxa"/>
              <w:right w:w="28" w:type="dxa"/>
            </w:tcMar>
            <w:vAlign w:val="center"/>
          </w:tcPr>
          <w:p w14:paraId="5C7E2597" w14:textId="2CECB8D0" w:rsidR="00097911" w:rsidRPr="000C77A2" w:rsidDel="00903672" w:rsidRDefault="00097911" w:rsidP="00504411">
            <w:pPr>
              <w:pStyle w:val="TableText0"/>
              <w:keepNext w:val="0"/>
            </w:pPr>
          </w:p>
        </w:tc>
      </w:tr>
      <w:tr w:rsidR="00097911" w:rsidRPr="000C77A2" w14:paraId="7A6CDC13" w14:textId="77777777" w:rsidTr="00C766BB">
        <w:trPr>
          <w:cantSplit/>
        </w:trPr>
        <w:tc>
          <w:tcPr>
            <w:tcW w:w="1019" w:type="pct"/>
            <w:tcMar>
              <w:left w:w="28" w:type="dxa"/>
              <w:right w:w="28" w:type="dxa"/>
            </w:tcMar>
            <w:vAlign w:val="center"/>
          </w:tcPr>
          <w:p w14:paraId="18C4A358" w14:textId="77777777" w:rsidR="00097911" w:rsidRPr="000C77A2" w:rsidRDefault="00097911" w:rsidP="00504411">
            <w:pPr>
              <w:pStyle w:val="TableText0"/>
              <w:keepNext w:val="0"/>
            </w:pPr>
            <w:r w:rsidRPr="000C77A2">
              <w:t>Duration of pazopanib use</w:t>
            </w:r>
          </w:p>
        </w:tc>
        <w:tc>
          <w:tcPr>
            <w:tcW w:w="1807" w:type="pct"/>
            <w:tcMar>
              <w:left w:w="28" w:type="dxa"/>
              <w:right w:w="28" w:type="dxa"/>
            </w:tcMar>
            <w:vAlign w:val="center"/>
          </w:tcPr>
          <w:p w14:paraId="4ABB29BB" w14:textId="77777777" w:rsidR="00097911" w:rsidRPr="000C77A2" w:rsidDel="00903672" w:rsidRDefault="00097911" w:rsidP="00504411">
            <w:pPr>
              <w:pStyle w:val="TableText0"/>
              <w:keepNext w:val="0"/>
            </w:pPr>
            <w:r w:rsidRPr="000C77A2">
              <w:t xml:space="preserve">4 months; based on extrapolated TOT curves </w:t>
            </w:r>
          </w:p>
        </w:tc>
        <w:tc>
          <w:tcPr>
            <w:tcW w:w="2174" w:type="pct"/>
            <w:tcMar>
              <w:left w:w="28" w:type="dxa"/>
              <w:right w:w="28" w:type="dxa"/>
            </w:tcMar>
            <w:vAlign w:val="center"/>
          </w:tcPr>
          <w:p w14:paraId="093CBEB5" w14:textId="77777777" w:rsidR="00097911" w:rsidRPr="000C77A2" w:rsidDel="00903672" w:rsidRDefault="00097911" w:rsidP="00504411">
            <w:pPr>
              <w:pStyle w:val="TableText0"/>
              <w:keepNext w:val="0"/>
            </w:pPr>
            <w:r w:rsidRPr="000C77A2">
              <w:t xml:space="preserve">This is reasonable and consistent with the treatment duration used in the previous submission (Section 12, pazopanib PSD, July 2012 PBAC meeting). However, the modelled treatment duration for pazopanib is significantly longer (7 months). </w:t>
            </w:r>
          </w:p>
        </w:tc>
      </w:tr>
      <w:tr w:rsidR="00097911" w:rsidRPr="000C77A2" w14:paraId="35AFB4E1" w14:textId="77777777" w:rsidTr="00C766BB">
        <w:trPr>
          <w:cantSplit/>
        </w:trPr>
        <w:tc>
          <w:tcPr>
            <w:tcW w:w="1019" w:type="pct"/>
            <w:tcMar>
              <w:left w:w="28" w:type="dxa"/>
              <w:right w:w="28" w:type="dxa"/>
            </w:tcMar>
            <w:vAlign w:val="center"/>
          </w:tcPr>
          <w:p w14:paraId="3D43B931" w14:textId="77777777" w:rsidR="00097911" w:rsidRPr="000C77A2" w:rsidRDefault="00097911" w:rsidP="00504411">
            <w:pPr>
              <w:pStyle w:val="TableText0"/>
              <w:keepNext w:val="0"/>
            </w:pPr>
            <w:r w:rsidRPr="000C77A2">
              <w:t>Larotrectinib (per script)</w:t>
            </w:r>
          </w:p>
        </w:tc>
        <w:tc>
          <w:tcPr>
            <w:tcW w:w="1807" w:type="pct"/>
            <w:tcMar>
              <w:left w:w="28" w:type="dxa"/>
              <w:right w:w="28" w:type="dxa"/>
            </w:tcMar>
            <w:vAlign w:val="center"/>
          </w:tcPr>
          <w:p w14:paraId="6A24630A" w14:textId="049D94B6" w:rsidR="00097911" w:rsidRPr="000C77A2" w:rsidRDefault="00097911" w:rsidP="00504411">
            <w:pPr>
              <w:pStyle w:val="TableText0"/>
              <w:keepNext w:val="0"/>
            </w:pPr>
            <w:r w:rsidRPr="000C77A2">
              <w:t>Initial: $</w:t>
            </w:r>
            <w:r w:rsidR="00C66EC7" w:rsidRPr="00C66EC7">
              <w:rPr>
                <w:color w:val="000000"/>
                <w:spacing w:val="53"/>
                <w:shd w:val="solid" w:color="000000" w:fill="000000"/>
                <w:fitText w:val="330" w:id="-962354933"/>
                <w14:textFill>
                  <w14:solidFill>
                    <w14:srgbClr w14:val="000000">
                      <w14:alpha w14:val="100000"/>
                    </w14:srgbClr>
                  </w14:solidFill>
                </w14:textFill>
              </w:rPr>
              <w:t>|||</w:t>
            </w:r>
            <w:r w:rsidR="00C66EC7" w:rsidRPr="00C66EC7">
              <w:rPr>
                <w:color w:val="000000"/>
                <w:spacing w:val="1"/>
                <w:shd w:val="solid" w:color="000000" w:fill="000000"/>
                <w:fitText w:val="330" w:id="-962354933"/>
                <w14:textFill>
                  <w14:solidFill>
                    <w14:srgbClr w14:val="000000">
                      <w14:alpha w14:val="100000"/>
                    </w14:srgbClr>
                  </w14:solidFill>
                </w14:textFill>
              </w:rPr>
              <w:t>|</w:t>
            </w:r>
          </w:p>
          <w:p w14:paraId="10F87976" w14:textId="47F382E0" w:rsidR="00097911" w:rsidRPr="000C77A2" w:rsidRDefault="00097911" w:rsidP="00504411">
            <w:pPr>
              <w:pStyle w:val="TableText0"/>
              <w:keepNext w:val="0"/>
            </w:pPr>
            <w:r w:rsidRPr="000C77A2">
              <w:t>Continuing: $</w:t>
            </w:r>
            <w:r w:rsidR="00C66EC7" w:rsidRPr="00C66EC7">
              <w:rPr>
                <w:color w:val="000000"/>
                <w:spacing w:val="53"/>
                <w:shd w:val="solid" w:color="000000" w:fill="000000"/>
                <w:fitText w:val="330" w:id="-962354932"/>
                <w14:textFill>
                  <w14:solidFill>
                    <w14:srgbClr w14:val="000000">
                      <w14:alpha w14:val="100000"/>
                    </w14:srgbClr>
                  </w14:solidFill>
                </w14:textFill>
              </w:rPr>
              <w:t>|||</w:t>
            </w:r>
            <w:r w:rsidR="00C66EC7" w:rsidRPr="00C66EC7">
              <w:rPr>
                <w:color w:val="000000"/>
                <w:spacing w:val="1"/>
                <w:shd w:val="solid" w:color="000000" w:fill="000000"/>
                <w:fitText w:val="330" w:id="-962354932"/>
                <w14:textFill>
                  <w14:solidFill>
                    <w14:srgbClr w14:val="000000">
                      <w14:alpha w14:val="100000"/>
                    </w14:srgbClr>
                  </w14:solidFill>
                </w14:textFill>
              </w:rPr>
              <w:t>|</w:t>
            </w:r>
          </w:p>
          <w:p w14:paraId="27585CE4" w14:textId="77777777" w:rsidR="00097911" w:rsidRPr="000C77A2" w:rsidRDefault="00097911" w:rsidP="00504411">
            <w:pPr>
              <w:pStyle w:val="TableText0"/>
              <w:keepNext w:val="0"/>
            </w:pPr>
            <w:r w:rsidRPr="000C77A2">
              <w:t>Proposed effective AEMPs</w:t>
            </w:r>
          </w:p>
        </w:tc>
        <w:tc>
          <w:tcPr>
            <w:tcW w:w="2174" w:type="pct"/>
            <w:tcMar>
              <w:left w:w="28" w:type="dxa"/>
              <w:right w:w="28" w:type="dxa"/>
            </w:tcMar>
            <w:vAlign w:val="center"/>
          </w:tcPr>
          <w:p w14:paraId="03F05313" w14:textId="693DAB19" w:rsidR="00097911" w:rsidRPr="000C77A2" w:rsidRDefault="006E11B6" w:rsidP="00504411">
            <w:pPr>
              <w:pStyle w:val="TableText0"/>
              <w:keepNext w:val="0"/>
            </w:pPr>
            <w:r w:rsidRPr="000C77A2">
              <w:t xml:space="preserve">The PSCR updated the financials to reflect DPMQs. </w:t>
            </w:r>
          </w:p>
        </w:tc>
      </w:tr>
      <w:tr w:rsidR="00097911" w:rsidRPr="000C77A2" w14:paraId="4DAB7BEF" w14:textId="77777777" w:rsidTr="00C766BB">
        <w:trPr>
          <w:cantSplit/>
        </w:trPr>
        <w:tc>
          <w:tcPr>
            <w:tcW w:w="1019" w:type="pct"/>
            <w:tcMar>
              <w:left w:w="28" w:type="dxa"/>
              <w:right w:w="28" w:type="dxa"/>
            </w:tcMar>
            <w:vAlign w:val="center"/>
          </w:tcPr>
          <w:p w14:paraId="30BADF53" w14:textId="77777777" w:rsidR="00097911" w:rsidRPr="000C77A2" w:rsidRDefault="00097911" w:rsidP="00504411">
            <w:pPr>
              <w:pStyle w:val="TableText0"/>
              <w:keepNext w:val="0"/>
            </w:pPr>
            <w:r w:rsidRPr="000C77A2">
              <w:t>Docetaxel (per script)</w:t>
            </w:r>
          </w:p>
        </w:tc>
        <w:tc>
          <w:tcPr>
            <w:tcW w:w="1807" w:type="pct"/>
            <w:tcMar>
              <w:left w:w="28" w:type="dxa"/>
              <w:right w:w="28" w:type="dxa"/>
            </w:tcMar>
            <w:vAlign w:val="center"/>
          </w:tcPr>
          <w:p w14:paraId="0C1646DA" w14:textId="77777777" w:rsidR="00097911" w:rsidRPr="000C77A2" w:rsidRDefault="00097911" w:rsidP="00504411">
            <w:pPr>
              <w:pStyle w:val="TableText0"/>
              <w:keepNext w:val="0"/>
            </w:pPr>
            <w:r w:rsidRPr="000C77A2">
              <w:t>$182.26</w:t>
            </w:r>
          </w:p>
          <w:p w14:paraId="4DA8C88D" w14:textId="77777777" w:rsidR="00097911" w:rsidRPr="000C77A2" w:rsidRDefault="00097911" w:rsidP="00504411">
            <w:pPr>
              <w:pStyle w:val="TableText0"/>
              <w:keepNext w:val="0"/>
            </w:pPr>
            <w:r w:rsidRPr="000C77A2">
              <w:t>Weighted DPMA for PBS items 10148D and 10158P</w:t>
            </w:r>
          </w:p>
        </w:tc>
        <w:tc>
          <w:tcPr>
            <w:tcW w:w="2174" w:type="pct"/>
            <w:tcMar>
              <w:left w:w="28" w:type="dxa"/>
              <w:right w:w="28" w:type="dxa"/>
            </w:tcMar>
            <w:vAlign w:val="center"/>
          </w:tcPr>
          <w:p w14:paraId="5F229B44" w14:textId="16FDC5AD" w:rsidR="00097911" w:rsidRPr="000C77A2" w:rsidRDefault="00097911" w:rsidP="00504411">
            <w:pPr>
              <w:pStyle w:val="TableText0"/>
              <w:keepNext w:val="0"/>
            </w:pPr>
            <w:r w:rsidRPr="000C77A2">
              <w:t>It would be more appropriate to use the cost for the average dose dispensed ($151.90)</w:t>
            </w:r>
            <w:r w:rsidR="000C77A2">
              <w:t xml:space="preserve">. </w:t>
            </w:r>
          </w:p>
        </w:tc>
      </w:tr>
      <w:tr w:rsidR="00097911" w:rsidRPr="000C77A2" w14:paraId="1193E4E6" w14:textId="77777777" w:rsidTr="00C766BB">
        <w:trPr>
          <w:cantSplit/>
        </w:trPr>
        <w:tc>
          <w:tcPr>
            <w:tcW w:w="1019" w:type="pct"/>
            <w:tcMar>
              <w:left w:w="28" w:type="dxa"/>
              <w:right w:w="28" w:type="dxa"/>
            </w:tcMar>
            <w:vAlign w:val="center"/>
          </w:tcPr>
          <w:p w14:paraId="46BE5FCF" w14:textId="77777777" w:rsidR="00097911" w:rsidRPr="000C77A2" w:rsidDel="00BE37F6" w:rsidRDefault="00097911" w:rsidP="00504411">
            <w:pPr>
              <w:pStyle w:val="TableText0"/>
              <w:keepNext w:val="0"/>
            </w:pPr>
            <w:r w:rsidRPr="000C77A2">
              <w:t>Pazopanib (per script)</w:t>
            </w:r>
          </w:p>
        </w:tc>
        <w:tc>
          <w:tcPr>
            <w:tcW w:w="1807" w:type="pct"/>
            <w:tcMar>
              <w:left w:w="28" w:type="dxa"/>
              <w:right w:w="28" w:type="dxa"/>
            </w:tcMar>
            <w:vAlign w:val="center"/>
          </w:tcPr>
          <w:p w14:paraId="106E55D4" w14:textId="77777777" w:rsidR="00097911" w:rsidRPr="000C77A2" w:rsidRDefault="00097911" w:rsidP="00504411">
            <w:pPr>
              <w:pStyle w:val="TableText0"/>
              <w:keepNext w:val="0"/>
            </w:pPr>
            <w:r w:rsidRPr="000C77A2">
              <w:t>$4,248.01</w:t>
            </w:r>
          </w:p>
          <w:p w14:paraId="73DF6062" w14:textId="77777777" w:rsidR="00097911" w:rsidRPr="000C77A2" w:rsidRDefault="00097911" w:rsidP="00504411">
            <w:pPr>
              <w:pStyle w:val="TableText0"/>
              <w:keepNext w:val="0"/>
            </w:pPr>
            <w:r w:rsidRPr="000C77A2">
              <w:t>DPMQ for PBS items 10041L, 10043N</w:t>
            </w:r>
          </w:p>
        </w:tc>
        <w:tc>
          <w:tcPr>
            <w:tcW w:w="2174" w:type="pct"/>
            <w:tcMar>
              <w:left w:w="28" w:type="dxa"/>
              <w:right w:w="28" w:type="dxa"/>
            </w:tcMar>
            <w:vAlign w:val="center"/>
          </w:tcPr>
          <w:p w14:paraId="5B817C8C" w14:textId="03E24228" w:rsidR="00097911" w:rsidRPr="000C77A2" w:rsidRDefault="00097911" w:rsidP="00504411">
            <w:pPr>
              <w:pStyle w:val="TableText0"/>
              <w:keepNext w:val="0"/>
            </w:pPr>
          </w:p>
        </w:tc>
      </w:tr>
      <w:tr w:rsidR="00097911" w:rsidRPr="000C77A2" w14:paraId="2D957B5F" w14:textId="77777777" w:rsidTr="00C766BB">
        <w:trPr>
          <w:cantSplit/>
          <w:trHeight w:val="213"/>
        </w:trPr>
        <w:tc>
          <w:tcPr>
            <w:tcW w:w="1019" w:type="pct"/>
            <w:tcMar>
              <w:left w:w="28" w:type="dxa"/>
              <w:right w:w="28" w:type="dxa"/>
            </w:tcMar>
            <w:vAlign w:val="center"/>
          </w:tcPr>
          <w:p w14:paraId="71C0FD74" w14:textId="77777777" w:rsidR="00097911" w:rsidRPr="000C77A2" w:rsidRDefault="00097911" w:rsidP="00504411">
            <w:pPr>
              <w:pStyle w:val="TableText0"/>
              <w:keepNext w:val="0"/>
            </w:pPr>
            <w:r w:rsidRPr="000C77A2">
              <w:t>IV administration</w:t>
            </w:r>
          </w:p>
        </w:tc>
        <w:tc>
          <w:tcPr>
            <w:tcW w:w="1807" w:type="pct"/>
            <w:tcMar>
              <w:left w:w="28" w:type="dxa"/>
              <w:right w:w="28" w:type="dxa"/>
            </w:tcMar>
            <w:vAlign w:val="center"/>
          </w:tcPr>
          <w:p w14:paraId="13C84A4C" w14:textId="77777777" w:rsidR="00097911" w:rsidRPr="000C77A2" w:rsidRDefault="00097911" w:rsidP="00504411">
            <w:pPr>
              <w:pStyle w:val="TableText0"/>
              <w:keepNext w:val="0"/>
            </w:pPr>
            <w:r w:rsidRPr="000C77A2">
              <w:t>$118.30</w:t>
            </w:r>
          </w:p>
          <w:p w14:paraId="05D70288" w14:textId="77777777" w:rsidR="00097911" w:rsidRPr="000C77A2" w:rsidRDefault="00097911" w:rsidP="00504411">
            <w:pPr>
              <w:pStyle w:val="TableText0"/>
              <w:keepNext w:val="0"/>
            </w:pPr>
            <w:r w:rsidRPr="000C77A2">
              <w:t>MBS item 13950</w:t>
            </w:r>
          </w:p>
        </w:tc>
        <w:tc>
          <w:tcPr>
            <w:tcW w:w="2174" w:type="pct"/>
            <w:tcMar>
              <w:left w:w="28" w:type="dxa"/>
              <w:right w:w="28" w:type="dxa"/>
            </w:tcMar>
            <w:vAlign w:val="center"/>
          </w:tcPr>
          <w:p w14:paraId="2488C25F" w14:textId="1F1DA123" w:rsidR="00097911" w:rsidRPr="000C77A2" w:rsidRDefault="00097911" w:rsidP="00504411">
            <w:pPr>
              <w:pStyle w:val="TableText0"/>
              <w:keepNext w:val="0"/>
            </w:pPr>
            <w:r w:rsidRPr="000C77A2">
              <w:t>the fee for this item increased to $118.90 from 1 November 2023</w:t>
            </w:r>
          </w:p>
        </w:tc>
      </w:tr>
    </w:tbl>
    <w:p w14:paraId="5AAAC294" w14:textId="79E533FC" w:rsidR="00097911" w:rsidRPr="000C77A2" w:rsidRDefault="00097911" w:rsidP="00097911">
      <w:pPr>
        <w:pStyle w:val="TableFooter"/>
        <w:rPr>
          <w:snapToGrid w:val="0"/>
        </w:rPr>
      </w:pPr>
      <w:r w:rsidRPr="000C77A2">
        <w:rPr>
          <w:snapToGrid w:val="0"/>
        </w:rPr>
        <w:t>Source: tabulated during evaluation from Table4-2</w:t>
      </w:r>
      <w:r w:rsidR="00D84194">
        <w:rPr>
          <w:snapToGrid w:val="0"/>
        </w:rPr>
        <w:t xml:space="preserve"> </w:t>
      </w:r>
      <w:r w:rsidRPr="000C77A2">
        <w:rPr>
          <w:snapToGrid w:val="0"/>
        </w:rPr>
        <w:t xml:space="preserve">of the submission. </w:t>
      </w:r>
    </w:p>
    <w:p w14:paraId="63F78426" w14:textId="77777777" w:rsidR="00097911" w:rsidRPr="000C77A2" w:rsidRDefault="00097911" w:rsidP="00097911">
      <w:pPr>
        <w:pStyle w:val="TableFooter"/>
        <w:rPr>
          <w:snapToGrid w:val="0"/>
        </w:rPr>
      </w:pPr>
      <w:r w:rsidRPr="000C77A2">
        <w:rPr>
          <w:snapToGrid w:val="0"/>
        </w:rPr>
        <w:t xml:space="preserve">BID = bis in die (twice a day) ; IV = intravenous; NSCLC = non-small cell lung cancer; </w:t>
      </w:r>
      <w:r w:rsidRPr="000C77A2">
        <w:rPr>
          <w:i/>
          <w:iCs/>
          <w:snapToGrid w:val="0"/>
        </w:rPr>
        <w:t>NTRK</w:t>
      </w:r>
      <w:r w:rsidRPr="000C77A2">
        <w:rPr>
          <w:snapToGrid w:val="0"/>
        </w:rPr>
        <w:t xml:space="preserve"> = neurotrophic tyrosine receptor kinase; PFS = progression-free survival; STS, soft tissue sarcoma.</w:t>
      </w:r>
    </w:p>
    <w:p w14:paraId="6CD7CEDA" w14:textId="6908402F" w:rsidR="00097911" w:rsidRPr="000C77A2" w:rsidRDefault="00097911" w:rsidP="00560AEC">
      <w:pPr>
        <w:pStyle w:val="TableFooter"/>
        <w:spacing w:after="120"/>
        <w:rPr>
          <w:snapToGrid w:val="0"/>
        </w:rPr>
      </w:pPr>
      <w:r w:rsidRPr="000C77A2">
        <w:rPr>
          <w:shd w:val="clear" w:color="auto" w:fill="C6D9F1" w:themeFill="text2" w:themeFillTint="33"/>
        </w:rPr>
        <w:t xml:space="preserve">Blue </w:t>
      </w:r>
      <w:r w:rsidRPr="000C77A2">
        <w:t>shading represents information previously considered by the PBAC.</w:t>
      </w:r>
    </w:p>
    <w:p w14:paraId="2E278286" w14:textId="14C586B8"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NSCLC and STS cancer incidence estimates were updated from the AIHW and applied to the ABS Australian population projections (2017</w:t>
      </w:r>
      <w:r w:rsidRPr="000C77A2">
        <w:rPr>
          <w:rFonts w:asciiTheme="minorHAnsi" w:hAnsiTheme="minorHAnsi" w:cstheme="minorHAnsi"/>
          <w:snapToGrid w:val="0"/>
        </w:rPr>
        <w:t>−</w:t>
      </w:r>
      <w:r w:rsidRPr="000C77A2">
        <w:rPr>
          <w:rFonts w:asciiTheme="minorHAnsi" w:hAnsiTheme="minorHAnsi"/>
          <w:snapToGrid w:val="0"/>
        </w:rPr>
        <w:t xml:space="preserve">2066) for ages 18 and above. Estimates for the frequency of </w:t>
      </w:r>
      <w:r w:rsidRPr="000C77A2">
        <w:rPr>
          <w:rFonts w:asciiTheme="minorHAnsi" w:hAnsiTheme="minorHAnsi"/>
          <w:i/>
          <w:iCs/>
          <w:snapToGrid w:val="0"/>
        </w:rPr>
        <w:t>NTRK</w:t>
      </w:r>
      <w:r w:rsidRPr="000C77A2">
        <w:rPr>
          <w:rFonts w:asciiTheme="minorHAnsi" w:hAnsiTheme="minorHAnsi"/>
          <w:snapToGrid w:val="0"/>
        </w:rPr>
        <w:t xml:space="preserve"> fusions in the population were unchanged from the previous submission. However, a recent study identified lower</w:t>
      </w:r>
      <w:r w:rsidRPr="000C77A2">
        <w:rPr>
          <w:rFonts w:asciiTheme="minorHAnsi" w:hAnsiTheme="minorHAnsi"/>
          <w:i/>
          <w:iCs/>
          <w:snapToGrid w:val="0"/>
        </w:rPr>
        <w:t xml:space="preserve"> </w:t>
      </w:r>
      <w:r w:rsidRPr="000C77A2">
        <w:rPr>
          <w:rFonts w:asciiTheme="minorHAnsi" w:hAnsiTheme="minorHAnsi"/>
          <w:snapToGrid w:val="0"/>
        </w:rPr>
        <w:t xml:space="preserve">estimates for </w:t>
      </w:r>
      <w:r w:rsidRPr="000C77A2">
        <w:rPr>
          <w:rFonts w:asciiTheme="minorHAnsi" w:hAnsiTheme="minorHAnsi"/>
          <w:i/>
          <w:iCs/>
          <w:snapToGrid w:val="0"/>
        </w:rPr>
        <w:t>NTRK</w:t>
      </w:r>
      <w:r w:rsidRPr="000C77A2">
        <w:rPr>
          <w:rFonts w:asciiTheme="minorHAnsi" w:hAnsiTheme="minorHAnsi"/>
          <w:snapToGrid w:val="0"/>
        </w:rPr>
        <w:t xml:space="preserve"> fusions prevalence (0.19% </w:t>
      </w:r>
      <w:r w:rsidR="006E11B6" w:rsidRPr="000C77A2">
        <w:rPr>
          <w:rFonts w:asciiTheme="minorHAnsi" w:hAnsiTheme="minorHAnsi"/>
          <w:snapToGrid w:val="0"/>
        </w:rPr>
        <w:t xml:space="preserve">vs 0.23% in submission for </w:t>
      </w:r>
      <w:r w:rsidRPr="000C77A2">
        <w:rPr>
          <w:rFonts w:asciiTheme="minorHAnsi" w:hAnsiTheme="minorHAnsi"/>
          <w:snapToGrid w:val="0"/>
        </w:rPr>
        <w:t xml:space="preserve">NSCLC and 0.69% </w:t>
      </w:r>
      <w:r w:rsidR="006E11B6" w:rsidRPr="000C77A2">
        <w:rPr>
          <w:rFonts w:asciiTheme="minorHAnsi" w:hAnsiTheme="minorHAnsi"/>
          <w:snapToGrid w:val="0"/>
        </w:rPr>
        <w:t xml:space="preserve">vs 1.4% in submission for </w:t>
      </w:r>
      <w:r w:rsidRPr="000C77A2">
        <w:rPr>
          <w:rFonts w:asciiTheme="minorHAnsi" w:hAnsiTheme="minorHAnsi"/>
          <w:snapToGrid w:val="0"/>
        </w:rPr>
        <w:t xml:space="preserve">STS). </w:t>
      </w:r>
      <w:r w:rsidRPr="000C77A2">
        <w:rPr>
          <w:rStyle w:val="FootnoteReference"/>
          <w:rFonts w:asciiTheme="minorHAnsi" w:hAnsiTheme="minorHAnsi"/>
          <w:snapToGrid w:val="0"/>
        </w:rPr>
        <w:footnoteReference w:id="18"/>
      </w:r>
      <w:r w:rsidRPr="000C77A2">
        <w:rPr>
          <w:rFonts w:asciiTheme="minorHAnsi" w:hAnsiTheme="minorHAnsi"/>
          <w:snapToGrid w:val="0"/>
        </w:rPr>
        <w:t xml:space="preserve"> </w:t>
      </w:r>
      <w:r w:rsidR="006E11B6" w:rsidRPr="000C77A2">
        <w:rPr>
          <w:rFonts w:asciiTheme="minorHAnsi" w:hAnsiTheme="minorHAnsi"/>
          <w:snapToGrid w:val="0"/>
        </w:rPr>
        <w:t>The PSCR provided updated financials with revised prevalence estimates</w:t>
      </w:r>
      <w:r w:rsidR="000C77A2">
        <w:rPr>
          <w:rFonts w:asciiTheme="minorHAnsi" w:hAnsiTheme="minorHAnsi"/>
          <w:snapToGrid w:val="0"/>
        </w:rPr>
        <w:t xml:space="preserve">. </w:t>
      </w:r>
      <w:r w:rsidRPr="000C77A2">
        <w:rPr>
          <w:rFonts w:asciiTheme="minorHAnsi" w:hAnsiTheme="minorHAnsi"/>
          <w:snapToGrid w:val="0"/>
        </w:rPr>
        <w:t xml:space="preserve">For each tumour type, the proportion of patients with advanced disease at diagnosis and proportion of patients whose disease progressed after first-line therapy were identified and used to estimate the number of eligible patients. The resubmission assumed that </w:t>
      </w:r>
      <w:r w:rsidR="00C66EC7" w:rsidRPr="00C766BB">
        <w:rPr>
          <w:rFonts w:asciiTheme="minorHAnsi" w:hAnsiTheme="minorHAnsi"/>
          <w:snapToGrid w:val="0"/>
          <w:color w:val="000000"/>
          <w:w w:val="15"/>
          <w:shd w:val="solid" w:color="000000" w:fill="000000"/>
          <w:fitText w:val="-20" w:id="-962354931"/>
          <w14:textFill>
            <w14:solidFill>
              <w14:srgbClr w14:val="000000">
                <w14:alpha w14:val="100000"/>
              </w14:srgbClr>
            </w14:solidFill>
          </w14:textFill>
        </w:rPr>
        <w:t xml:space="preserve">|  </w:t>
      </w:r>
      <w:r w:rsidR="00C66EC7" w:rsidRPr="00C766BB">
        <w:rPr>
          <w:rFonts w:asciiTheme="minorHAnsi" w:hAnsiTheme="minorHAnsi"/>
          <w:snapToGrid w:val="0"/>
          <w:color w:val="000000"/>
          <w:spacing w:val="-69"/>
          <w:w w:val="15"/>
          <w:shd w:val="solid" w:color="000000" w:fill="000000"/>
          <w:fitText w:val="-20" w:id="-962354931"/>
          <w14:textFill>
            <w14:solidFill>
              <w14:srgbClr w14:val="000000">
                <w14:alpha w14:val="100000"/>
              </w14:srgbClr>
            </w14:solidFill>
          </w14:textFill>
        </w:rPr>
        <w:t>|</w:t>
      </w:r>
      <w:r w:rsidRPr="000C77A2">
        <w:rPr>
          <w:rFonts w:asciiTheme="minorHAnsi" w:hAnsiTheme="minorHAnsi"/>
          <w:snapToGrid w:val="0"/>
        </w:rPr>
        <w:t>% of all eligible patients would elect treatment with larotrectinib. Th</w:t>
      </w:r>
      <w:r w:rsidR="001F4492" w:rsidRPr="000C77A2">
        <w:rPr>
          <w:rFonts w:asciiTheme="minorHAnsi" w:hAnsiTheme="minorHAnsi"/>
          <w:snapToGrid w:val="0"/>
        </w:rPr>
        <w:t>e evaluation considered th</w:t>
      </w:r>
      <w:r w:rsidRPr="000C77A2">
        <w:rPr>
          <w:rFonts w:asciiTheme="minorHAnsi" w:hAnsiTheme="minorHAnsi"/>
          <w:snapToGrid w:val="0"/>
        </w:rPr>
        <w:t>is may not be reasonable as some patients may not proceed with further treatment</w:t>
      </w:r>
      <w:r w:rsidRPr="000C77A2">
        <w:rPr>
          <w:rFonts w:asciiTheme="minorHAnsi" w:hAnsiTheme="minorHAnsi"/>
          <w:i/>
          <w:iCs/>
          <w:snapToGrid w:val="0"/>
        </w:rPr>
        <w:t xml:space="preserve">. </w:t>
      </w:r>
      <w:r w:rsidR="006E11B6" w:rsidRPr="000C77A2">
        <w:rPr>
          <w:rFonts w:asciiTheme="minorHAnsi" w:hAnsiTheme="minorHAnsi"/>
          <w:snapToGrid w:val="0"/>
        </w:rPr>
        <w:t xml:space="preserve">The PSCR revised the uptake rates for STS to </w:t>
      </w:r>
      <w:r w:rsidR="00C66EC7" w:rsidRPr="00C766BB">
        <w:rPr>
          <w:rFonts w:asciiTheme="minorHAnsi" w:hAnsiTheme="minorHAnsi"/>
          <w:snapToGrid w:val="0"/>
          <w:color w:val="000000"/>
          <w:w w:val="15"/>
          <w:shd w:val="solid" w:color="000000" w:fill="000000"/>
          <w:fitText w:val="-20" w:id="-962354930"/>
          <w14:textFill>
            <w14:solidFill>
              <w14:srgbClr w14:val="000000">
                <w14:alpha w14:val="100000"/>
              </w14:srgbClr>
            </w14:solidFill>
          </w14:textFill>
        </w:rPr>
        <w:t xml:space="preserve">|  </w:t>
      </w:r>
      <w:r w:rsidR="00C66EC7" w:rsidRPr="00C766BB">
        <w:rPr>
          <w:rFonts w:asciiTheme="minorHAnsi" w:hAnsiTheme="minorHAnsi"/>
          <w:snapToGrid w:val="0"/>
          <w:color w:val="000000"/>
          <w:spacing w:val="-69"/>
          <w:w w:val="15"/>
          <w:shd w:val="solid" w:color="000000" w:fill="000000"/>
          <w:fitText w:val="-20" w:id="-962354930"/>
          <w14:textFill>
            <w14:solidFill>
              <w14:srgbClr w14:val="000000">
                <w14:alpha w14:val="100000"/>
              </w14:srgbClr>
            </w14:solidFill>
          </w14:textFill>
        </w:rPr>
        <w:t>|</w:t>
      </w:r>
      <w:r w:rsidR="006E11B6" w:rsidRPr="000C77A2">
        <w:rPr>
          <w:rFonts w:asciiTheme="minorHAnsi" w:hAnsiTheme="minorHAnsi"/>
          <w:snapToGrid w:val="0"/>
        </w:rPr>
        <w:t xml:space="preserve">% in Year 1 and </w:t>
      </w:r>
      <w:r w:rsidR="00C66EC7" w:rsidRPr="00C766BB">
        <w:rPr>
          <w:rFonts w:asciiTheme="minorHAnsi" w:hAnsiTheme="minorHAnsi"/>
          <w:snapToGrid w:val="0"/>
          <w:color w:val="000000"/>
          <w:w w:val="15"/>
          <w:shd w:val="solid" w:color="000000" w:fill="000000"/>
          <w:fitText w:val="-20" w:id="-962354929"/>
          <w14:textFill>
            <w14:solidFill>
              <w14:srgbClr w14:val="000000">
                <w14:alpha w14:val="100000"/>
              </w14:srgbClr>
            </w14:solidFill>
          </w14:textFill>
        </w:rPr>
        <w:t xml:space="preserve">|  </w:t>
      </w:r>
      <w:r w:rsidR="00C66EC7" w:rsidRPr="00C766BB">
        <w:rPr>
          <w:rFonts w:asciiTheme="minorHAnsi" w:hAnsiTheme="minorHAnsi"/>
          <w:snapToGrid w:val="0"/>
          <w:color w:val="000000"/>
          <w:spacing w:val="-69"/>
          <w:w w:val="15"/>
          <w:shd w:val="solid" w:color="000000" w:fill="000000"/>
          <w:fitText w:val="-20" w:id="-962354929"/>
          <w14:textFill>
            <w14:solidFill>
              <w14:srgbClr w14:val="000000">
                <w14:alpha w14:val="100000"/>
              </w14:srgbClr>
            </w14:solidFill>
          </w14:textFill>
        </w:rPr>
        <w:t>|</w:t>
      </w:r>
      <w:r w:rsidR="006E11B6" w:rsidRPr="000C77A2">
        <w:rPr>
          <w:rFonts w:asciiTheme="minorHAnsi" w:hAnsiTheme="minorHAnsi"/>
          <w:snapToGrid w:val="0"/>
        </w:rPr>
        <w:t>% in Years 2 to 6</w:t>
      </w:r>
    </w:p>
    <w:p w14:paraId="3CC715F0" w14:textId="6D4C9C2D" w:rsidR="00097911" w:rsidRPr="000C77A2" w:rsidRDefault="00097911" w:rsidP="00097911">
      <w:pPr>
        <w:numPr>
          <w:ilvl w:val="1"/>
          <w:numId w:val="1"/>
        </w:numPr>
        <w:spacing w:after="120"/>
        <w:rPr>
          <w:rFonts w:asciiTheme="minorHAnsi" w:hAnsiTheme="minorHAnsi"/>
          <w:snapToGrid w:val="0"/>
        </w:rPr>
      </w:pPr>
      <w:bookmarkStart w:id="63" w:name="_Ref163458771"/>
      <w:r w:rsidRPr="000C77A2">
        <w:rPr>
          <w:rFonts w:asciiTheme="minorHAnsi" w:hAnsiTheme="minorHAnsi"/>
          <w:snapToGrid w:val="0"/>
        </w:rPr>
        <w:t xml:space="preserve">The resubmission noted that </w:t>
      </w:r>
      <w:r w:rsidR="00814BB5">
        <w:rPr>
          <w:rFonts w:asciiTheme="minorHAnsi" w:hAnsiTheme="minorHAnsi"/>
          <w:snapToGrid w:val="0"/>
        </w:rPr>
        <w:t>&lt;</w:t>
      </w:r>
      <w:r w:rsidR="00C766BB">
        <w:rPr>
          <w:rFonts w:asciiTheme="minorHAnsi" w:hAnsiTheme="minorHAnsi"/>
          <w:snapToGrid w:val="0"/>
        </w:rPr>
        <w:t> </w:t>
      </w:r>
      <w:r w:rsidR="00814BB5">
        <w:rPr>
          <w:rFonts w:asciiTheme="minorHAnsi" w:hAnsiTheme="minorHAnsi"/>
          <w:snapToGrid w:val="0"/>
        </w:rPr>
        <w:t xml:space="preserve">500 </w:t>
      </w:r>
      <w:r w:rsidRPr="000C77A2">
        <w:rPr>
          <w:rFonts w:asciiTheme="minorHAnsi" w:hAnsiTheme="minorHAnsi"/>
          <w:snapToGrid w:val="0"/>
        </w:rPr>
        <w:t>grandfathered patients from the sponsor’s compassionate access program would be included in Year 1 only. While grandfathered patients were included in the estimated number of initiating patients, these were not included in the derivation of larotrectinib use.</w:t>
      </w:r>
      <w:bookmarkEnd w:id="63"/>
      <w:r w:rsidRPr="000C77A2">
        <w:rPr>
          <w:rFonts w:asciiTheme="minorHAnsi" w:hAnsiTheme="minorHAnsi"/>
          <w:snapToGrid w:val="0"/>
        </w:rPr>
        <w:t xml:space="preserve"> </w:t>
      </w:r>
    </w:p>
    <w:p w14:paraId="3CA16810" w14:textId="658ED659"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lastRenderedPageBreak/>
        <w:t>The resubmission applied treatment durations of 20 months and 16 months for NSCLC and STS respectively. These durations were based on the median treatment duration from the trials. This was inconsistent with the average duration of treatment modelled (30 months, equivalent to 32.2 scripts per patient in NSCLC, and 32.1 scripts in STS). The resubmission assumed 1 script of larotrectinib per month (equivalent to 12 per year) on treatment, with all initial scripts assumed within the year of treatment initiation and continuing scripts in the year following. This is not reasonable and due to an error in the number of continuing treatment scripts estimated, the total number of larotrectinib scripts applied per patient was 14.3 in NSCLC and 7.3 in STS</w:t>
      </w:r>
      <w:r w:rsidR="00EB4A10">
        <w:rPr>
          <w:rFonts w:asciiTheme="minorHAnsi" w:hAnsiTheme="minorHAnsi"/>
          <w:snapToGrid w:val="0"/>
        </w:rPr>
        <w:t>.</w:t>
      </w:r>
      <w:r w:rsidR="006E11B6" w:rsidRPr="000C77A2">
        <w:rPr>
          <w:rFonts w:asciiTheme="minorHAnsi" w:hAnsiTheme="minorHAnsi"/>
          <w:i/>
          <w:iCs/>
          <w:snapToGrid w:val="0"/>
        </w:rPr>
        <w:t xml:space="preserve"> </w:t>
      </w:r>
      <w:r w:rsidR="006E11B6" w:rsidRPr="000C77A2">
        <w:rPr>
          <w:rFonts w:asciiTheme="minorHAnsi" w:hAnsiTheme="minorHAnsi"/>
          <w:snapToGrid w:val="0"/>
        </w:rPr>
        <w:t>The PSCR provided revised financials with this error corrected</w:t>
      </w:r>
      <w:r w:rsidRPr="000C77A2">
        <w:rPr>
          <w:rFonts w:asciiTheme="minorHAnsi" w:hAnsiTheme="minorHAnsi"/>
          <w:snapToGrid w:val="0"/>
        </w:rPr>
        <w:t xml:space="preserve">. </w:t>
      </w:r>
      <w:r w:rsidR="00E83193" w:rsidRPr="000C77A2">
        <w:rPr>
          <w:rFonts w:asciiTheme="minorHAnsi" w:hAnsiTheme="minorHAnsi"/>
          <w:snapToGrid w:val="0"/>
        </w:rPr>
        <w:t xml:space="preserve">This error was corrected in the PSCR (see paragraph </w:t>
      </w:r>
      <w:r w:rsidR="00E83193" w:rsidRPr="000C77A2">
        <w:rPr>
          <w:rFonts w:asciiTheme="minorHAnsi" w:hAnsiTheme="minorHAnsi"/>
          <w:snapToGrid w:val="0"/>
        </w:rPr>
        <w:fldChar w:fldCharType="begin" w:fldLock="1"/>
      </w:r>
      <w:r w:rsidR="00E83193" w:rsidRPr="000C77A2">
        <w:rPr>
          <w:rFonts w:asciiTheme="minorHAnsi" w:hAnsiTheme="minorHAnsi"/>
          <w:snapToGrid w:val="0"/>
        </w:rPr>
        <w:instrText xml:space="preserve"> REF _Ref163457597 \r \h </w:instrText>
      </w:r>
      <w:r w:rsidR="00E83193" w:rsidRPr="000C77A2">
        <w:rPr>
          <w:rFonts w:asciiTheme="minorHAnsi" w:hAnsiTheme="minorHAnsi"/>
          <w:snapToGrid w:val="0"/>
        </w:rPr>
      </w:r>
      <w:r w:rsidR="00E83193" w:rsidRPr="000C77A2">
        <w:rPr>
          <w:rFonts w:asciiTheme="minorHAnsi" w:hAnsiTheme="minorHAnsi"/>
          <w:snapToGrid w:val="0"/>
        </w:rPr>
        <w:fldChar w:fldCharType="separate"/>
      </w:r>
      <w:r w:rsidR="001B0FE7">
        <w:rPr>
          <w:rFonts w:asciiTheme="minorHAnsi" w:hAnsiTheme="minorHAnsi"/>
          <w:snapToGrid w:val="0"/>
        </w:rPr>
        <w:t>6.79</w:t>
      </w:r>
      <w:r w:rsidR="00E83193" w:rsidRPr="000C77A2">
        <w:rPr>
          <w:rFonts w:asciiTheme="minorHAnsi" w:hAnsiTheme="minorHAnsi"/>
          <w:snapToGrid w:val="0"/>
        </w:rPr>
        <w:fldChar w:fldCharType="end"/>
      </w:r>
      <w:r w:rsidR="00E83193" w:rsidRPr="000C77A2">
        <w:rPr>
          <w:rFonts w:asciiTheme="minorHAnsi" w:hAnsiTheme="minorHAnsi"/>
          <w:snapToGrid w:val="0"/>
        </w:rPr>
        <w:t xml:space="preserve">). </w:t>
      </w:r>
    </w:p>
    <w:p w14:paraId="1721F96B" w14:textId="7FFC9135"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The estimated number of patients eligible for larotrectinib and the resulting number of prescriptions are presented in</w:t>
      </w:r>
      <w:r w:rsidRPr="000C77A2">
        <w:rPr>
          <w:rFonts w:asciiTheme="minorHAnsi" w:hAnsiTheme="minorHAnsi" w:cstheme="minorHAnsi"/>
          <w:snapToGrid w:val="0"/>
        </w:rPr>
        <w:t xml:space="preserve"> </w:t>
      </w:r>
      <w:r w:rsidRPr="000C77A2">
        <w:rPr>
          <w:rFonts w:asciiTheme="minorHAnsi" w:hAnsiTheme="minorHAnsi" w:cstheme="minorHAnsi"/>
          <w:snapToGrid w:val="0"/>
        </w:rPr>
        <w:fldChar w:fldCharType="begin" w:fldLock="1"/>
      </w:r>
      <w:r w:rsidRPr="000C77A2">
        <w:rPr>
          <w:rFonts w:asciiTheme="minorHAnsi" w:hAnsiTheme="minorHAnsi" w:cstheme="minorHAnsi"/>
          <w:snapToGrid w:val="0"/>
        </w:rPr>
        <w:instrText xml:space="preserve"> REF _Ref104805295 \h  \* MERGEFORMAT </w:instrText>
      </w:r>
      <w:r w:rsidRPr="000C77A2">
        <w:rPr>
          <w:rFonts w:asciiTheme="minorHAnsi" w:hAnsiTheme="minorHAnsi" w:cstheme="minorHAnsi"/>
          <w:snapToGrid w:val="0"/>
        </w:rPr>
      </w:r>
      <w:r w:rsidRPr="000C77A2">
        <w:rPr>
          <w:rFonts w:asciiTheme="minorHAnsi" w:hAnsiTheme="minorHAnsi" w:cstheme="minorHAnsi"/>
          <w:snapToGrid w:val="0"/>
        </w:rPr>
        <w:fldChar w:fldCharType="separate"/>
      </w:r>
      <w:r w:rsidR="001B0FE7" w:rsidRPr="001B0FE7">
        <w:rPr>
          <w:rFonts w:asciiTheme="minorHAnsi" w:hAnsiTheme="minorHAnsi" w:cstheme="minorHAnsi"/>
        </w:rPr>
        <w:t>Table 26</w:t>
      </w:r>
      <w:r w:rsidRPr="000C77A2">
        <w:rPr>
          <w:rFonts w:asciiTheme="minorHAnsi" w:hAnsiTheme="minorHAnsi" w:cstheme="minorHAnsi"/>
          <w:snapToGrid w:val="0"/>
        </w:rPr>
        <w:fldChar w:fldCharType="end"/>
      </w:r>
      <w:r w:rsidRPr="000C77A2">
        <w:rPr>
          <w:rFonts w:asciiTheme="minorHAnsi" w:hAnsiTheme="minorHAnsi"/>
          <w:snapToGrid w:val="0"/>
        </w:rPr>
        <w:t xml:space="preserve">. </w:t>
      </w:r>
    </w:p>
    <w:p w14:paraId="0D6A3BEA" w14:textId="36DCFC9E"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 xml:space="preserve">The resubmission assumed that the listing of larotrectinib would result in a reduction in use of docetaxel and pazopanib. This may not be reasonable as larotrectinib </w:t>
      </w:r>
      <w:r w:rsidR="004F3A68" w:rsidRPr="000C77A2">
        <w:rPr>
          <w:rFonts w:asciiTheme="minorHAnsi" w:hAnsiTheme="minorHAnsi"/>
          <w:snapToGrid w:val="0"/>
        </w:rPr>
        <w:t xml:space="preserve">is </w:t>
      </w:r>
      <w:r w:rsidRPr="000C77A2">
        <w:rPr>
          <w:rFonts w:asciiTheme="minorHAnsi" w:hAnsiTheme="minorHAnsi"/>
          <w:snapToGrid w:val="0"/>
        </w:rPr>
        <w:t xml:space="preserve">likely to displace, rather than replace, existing treatments. </w:t>
      </w:r>
    </w:p>
    <w:p w14:paraId="3F8942C5" w14:textId="1EADA9B3"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A reduction in the costs associated with MBS item 13950 ($94.64, 80% rebate) was included in the resubmission (due to a reduction in the use of docetaxel).</w:t>
      </w:r>
      <w:r w:rsidRPr="000C77A2">
        <w:rPr>
          <w:rFonts w:asciiTheme="minorHAnsi" w:hAnsiTheme="minorHAnsi"/>
          <w:i/>
          <w:iCs/>
          <w:snapToGrid w:val="0"/>
        </w:rPr>
        <w:t xml:space="preserve"> </w:t>
      </w:r>
      <w:r w:rsidRPr="000C77A2">
        <w:rPr>
          <w:rFonts w:asciiTheme="minorHAnsi" w:hAnsiTheme="minorHAnsi"/>
          <w:snapToGrid w:val="0"/>
        </w:rPr>
        <w:t xml:space="preserve">However, the </w:t>
      </w:r>
      <w:r w:rsidR="00576FA3">
        <w:rPr>
          <w:rFonts w:asciiTheme="minorHAnsi" w:hAnsiTheme="minorHAnsi"/>
          <w:snapToGrid w:val="0"/>
        </w:rPr>
        <w:t xml:space="preserve">reduction in </w:t>
      </w:r>
      <w:r w:rsidRPr="000C77A2">
        <w:rPr>
          <w:rFonts w:asciiTheme="minorHAnsi" w:hAnsiTheme="minorHAnsi"/>
          <w:snapToGrid w:val="0"/>
        </w:rPr>
        <w:t>MBS</w:t>
      </w:r>
      <w:r w:rsidR="00576FA3">
        <w:rPr>
          <w:rFonts w:asciiTheme="minorHAnsi" w:hAnsiTheme="minorHAnsi"/>
          <w:snapToGrid w:val="0"/>
        </w:rPr>
        <w:t xml:space="preserve"> cost</w:t>
      </w:r>
      <w:r w:rsidRPr="000C77A2">
        <w:rPr>
          <w:rFonts w:asciiTheme="minorHAnsi" w:hAnsiTheme="minorHAnsi"/>
          <w:snapToGrid w:val="0"/>
        </w:rPr>
        <w:t xml:space="preserve"> was </w:t>
      </w:r>
      <w:r w:rsidR="00576FA3">
        <w:rPr>
          <w:rFonts w:asciiTheme="minorHAnsi" w:hAnsiTheme="minorHAnsi"/>
          <w:snapToGrid w:val="0"/>
        </w:rPr>
        <w:t xml:space="preserve">calculated based on the number patients </w:t>
      </w:r>
      <w:r w:rsidRPr="000C77A2">
        <w:rPr>
          <w:rFonts w:asciiTheme="minorHAnsi" w:hAnsiTheme="minorHAnsi"/>
          <w:snapToGrid w:val="0"/>
        </w:rPr>
        <w:t>initiating and continuing treatment with larotrectinib which is incorrect. Rather,</w:t>
      </w:r>
      <w:r w:rsidR="00576FA3">
        <w:rPr>
          <w:rFonts w:asciiTheme="minorHAnsi" w:hAnsiTheme="minorHAnsi"/>
          <w:snapToGrid w:val="0"/>
        </w:rPr>
        <w:t xml:space="preserve"> it</w:t>
      </w:r>
      <w:r w:rsidRPr="000C77A2">
        <w:rPr>
          <w:rFonts w:asciiTheme="minorHAnsi" w:hAnsiTheme="minorHAnsi"/>
          <w:snapToGrid w:val="0"/>
        </w:rPr>
        <w:t xml:space="preserve"> should have been</w:t>
      </w:r>
      <w:r w:rsidR="00576FA3">
        <w:rPr>
          <w:rFonts w:asciiTheme="minorHAnsi" w:hAnsiTheme="minorHAnsi"/>
          <w:snapToGrid w:val="0"/>
        </w:rPr>
        <w:t xml:space="preserve"> calculated based on the number of </w:t>
      </w:r>
      <w:r w:rsidRPr="000C77A2">
        <w:rPr>
          <w:rFonts w:asciiTheme="minorHAnsi" w:hAnsiTheme="minorHAnsi"/>
          <w:snapToGrid w:val="0"/>
        </w:rPr>
        <w:t>patient</w:t>
      </w:r>
      <w:r w:rsidR="00576FA3">
        <w:rPr>
          <w:rFonts w:asciiTheme="minorHAnsi" w:hAnsiTheme="minorHAnsi"/>
          <w:snapToGrid w:val="0"/>
        </w:rPr>
        <w:t>s</w:t>
      </w:r>
      <w:r w:rsidRPr="000C77A2">
        <w:rPr>
          <w:rFonts w:asciiTheme="minorHAnsi" w:hAnsiTheme="minorHAnsi"/>
          <w:snapToGrid w:val="0"/>
        </w:rPr>
        <w:t xml:space="preserve"> </w:t>
      </w:r>
      <w:r w:rsidR="00576FA3">
        <w:rPr>
          <w:rFonts w:asciiTheme="minorHAnsi" w:hAnsiTheme="minorHAnsi"/>
          <w:snapToGrid w:val="0"/>
        </w:rPr>
        <w:t xml:space="preserve">initiating treatment with larotrectinib </w:t>
      </w:r>
      <w:r w:rsidRPr="000C77A2">
        <w:rPr>
          <w:rFonts w:asciiTheme="minorHAnsi" w:hAnsiTheme="minorHAnsi"/>
          <w:snapToGrid w:val="0"/>
        </w:rPr>
        <w:t>only</w:t>
      </w:r>
      <w:r w:rsidR="005C58C7">
        <w:rPr>
          <w:rFonts w:asciiTheme="minorHAnsi" w:hAnsiTheme="minorHAnsi"/>
          <w:snapToGrid w:val="0"/>
        </w:rPr>
        <w:t xml:space="preserve"> (as patients only receive 4 cycles of docetaxel).</w:t>
      </w:r>
    </w:p>
    <w:p w14:paraId="0FD35357" w14:textId="71DD9D3D" w:rsidR="00097911" w:rsidRPr="000C77A2" w:rsidRDefault="00097911" w:rsidP="00097911">
      <w:pPr>
        <w:numPr>
          <w:ilvl w:val="1"/>
          <w:numId w:val="1"/>
        </w:numPr>
        <w:spacing w:after="120"/>
        <w:rPr>
          <w:rFonts w:asciiTheme="minorHAnsi" w:hAnsiTheme="minorHAnsi"/>
          <w:snapToGrid w:val="0"/>
        </w:rPr>
      </w:pPr>
      <w:r w:rsidRPr="000C77A2">
        <w:rPr>
          <w:rFonts w:asciiTheme="minorHAnsi" w:hAnsiTheme="minorHAnsi"/>
          <w:snapToGrid w:val="0"/>
        </w:rPr>
        <w:t>The net financial implications of listing larotrectinib are presented in</w:t>
      </w:r>
      <w:r w:rsidRPr="000C77A2">
        <w:rPr>
          <w:rFonts w:asciiTheme="minorHAnsi" w:hAnsiTheme="minorHAnsi"/>
          <w:i/>
          <w:iCs/>
          <w:snapToGrid w:val="0"/>
        </w:rPr>
        <w:t xml:space="preserve"> </w:t>
      </w:r>
      <w:r w:rsidRPr="000C77A2">
        <w:rPr>
          <w:rFonts w:asciiTheme="minorHAnsi" w:hAnsiTheme="minorHAnsi" w:cstheme="minorHAnsi"/>
          <w:i/>
          <w:iCs/>
          <w:snapToGrid w:val="0"/>
        </w:rPr>
        <w:fldChar w:fldCharType="begin" w:fldLock="1"/>
      </w:r>
      <w:r w:rsidRPr="000C77A2">
        <w:rPr>
          <w:rFonts w:asciiTheme="minorHAnsi" w:hAnsiTheme="minorHAnsi" w:cstheme="minorHAnsi"/>
          <w:i/>
          <w:iCs/>
          <w:snapToGrid w:val="0"/>
        </w:rPr>
        <w:instrText xml:space="preserve"> REF _Ref104805295 \h  \* MERGEFORMAT </w:instrText>
      </w:r>
      <w:r w:rsidRPr="000C77A2">
        <w:rPr>
          <w:rFonts w:asciiTheme="minorHAnsi" w:hAnsiTheme="minorHAnsi" w:cstheme="minorHAnsi"/>
          <w:i/>
          <w:iCs/>
          <w:snapToGrid w:val="0"/>
        </w:rPr>
      </w:r>
      <w:r w:rsidRPr="000C77A2">
        <w:rPr>
          <w:rFonts w:asciiTheme="minorHAnsi" w:hAnsiTheme="minorHAnsi" w:cstheme="minorHAnsi"/>
          <w:i/>
          <w:iCs/>
          <w:snapToGrid w:val="0"/>
        </w:rPr>
        <w:fldChar w:fldCharType="separate"/>
      </w:r>
      <w:r w:rsidR="001B0FE7" w:rsidRPr="001B0FE7">
        <w:rPr>
          <w:rFonts w:asciiTheme="minorHAnsi" w:hAnsiTheme="minorHAnsi" w:cstheme="minorHAnsi"/>
        </w:rPr>
        <w:t>Table 26</w:t>
      </w:r>
      <w:r w:rsidRPr="000C77A2">
        <w:rPr>
          <w:rFonts w:asciiTheme="minorHAnsi" w:hAnsiTheme="minorHAnsi" w:cstheme="minorHAnsi"/>
          <w:i/>
          <w:iCs/>
          <w:snapToGrid w:val="0"/>
        </w:rPr>
        <w:fldChar w:fldCharType="end"/>
      </w:r>
      <w:r w:rsidRPr="000C77A2">
        <w:rPr>
          <w:rFonts w:asciiTheme="minorHAnsi" w:hAnsiTheme="minorHAnsi" w:cstheme="minorHAnsi"/>
          <w:i/>
          <w:iCs/>
          <w:snapToGrid w:val="0"/>
        </w:rPr>
        <w:t>.</w:t>
      </w:r>
      <w:r w:rsidRPr="000C77A2">
        <w:rPr>
          <w:rFonts w:asciiTheme="minorHAnsi" w:hAnsiTheme="minorHAnsi"/>
          <w:i/>
          <w:iCs/>
          <w:snapToGrid w:val="0"/>
        </w:rPr>
        <w:t xml:space="preserve"> </w:t>
      </w:r>
    </w:p>
    <w:p w14:paraId="3930E6EE" w14:textId="7D8E27AD" w:rsidR="00097911" w:rsidRPr="000C77A2" w:rsidRDefault="00097911" w:rsidP="00C766BB">
      <w:pPr>
        <w:pStyle w:val="Caption"/>
      </w:pPr>
      <w:bookmarkStart w:id="64" w:name="_Ref104805295"/>
      <w:bookmarkStart w:id="65" w:name="_Hlk158988515"/>
      <w:r w:rsidRPr="000C77A2">
        <w:lastRenderedPageBreak/>
        <w:t xml:space="preserve">Table </w:t>
      </w:r>
      <w:fldSimple w:instr=" SEQ Table \* ARABIC " w:fldLock="1">
        <w:r w:rsidR="001B0FE7">
          <w:rPr>
            <w:noProof/>
          </w:rPr>
          <w:t>26</w:t>
        </w:r>
      </w:fldSimple>
      <w:bookmarkEnd w:id="64"/>
      <w:r w:rsidRPr="000C77A2">
        <w:t>: Estimated use and financial implications</w:t>
      </w:r>
      <w:r w:rsidR="00E21C39" w:rsidRPr="000C77A2">
        <w:t xml:space="preserve"> (revised by evaluators as per description in footnotes</w:t>
      </w:r>
      <w:r w:rsidR="00F25F45" w:rsidRPr="000C77A2">
        <w:t>, using price proposed in resubmission</w:t>
      </w:r>
      <w:r w:rsidR="00E21C39" w:rsidRPr="000C77A2">
        <w:t>)</w:t>
      </w:r>
    </w:p>
    <w:tbl>
      <w:tblPr>
        <w:tblStyle w:val="TableGrid"/>
        <w:tblW w:w="5000" w:type="pct"/>
        <w:tblLook w:val="04A0" w:firstRow="1" w:lastRow="0" w:firstColumn="1" w:lastColumn="0" w:noHBand="0" w:noVBand="1"/>
        <w:tblCaption w:val="Table 26: Estimated use and financial implications (revised by evaluators as per description in footnotes, using price proposed in resubmission)"/>
      </w:tblPr>
      <w:tblGrid>
        <w:gridCol w:w="2795"/>
        <w:gridCol w:w="1037"/>
        <w:gridCol w:w="1037"/>
        <w:gridCol w:w="1037"/>
        <w:gridCol w:w="1037"/>
        <w:gridCol w:w="1037"/>
        <w:gridCol w:w="1037"/>
      </w:tblGrid>
      <w:tr w:rsidR="00097911" w:rsidRPr="000C77A2" w14:paraId="1A530A1A" w14:textId="77777777" w:rsidTr="00504411">
        <w:tc>
          <w:tcPr>
            <w:tcW w:w="1550" w:type="pct"/>
          </w:tcPr>
          <w:p w14:paraId="24180663" w14:textId="77777777" w:rsidR="00097911" w:rsidRPr="00576FA3" w:rsidRDefault="00097911" w:rsidP="00C766BB">
            <w:pPr>
              <w:pStyle w:val="In-tableHeading"/>
              <w:keepLines/>
              <w:jc w:val="center"/>
              <w:rPr>
                <w:lang w:val="en-AU"/>
              </w:rPr>
            </w:pPr>
          </w:p>
        </w:tc>
        <w:tc>
          <w:tcPr>
            <w:tcW w:w="575" w:type="pct"/>
            <w:vAlign w:val="center"/>
          </w:tcPr>
          <w:p w14:paraId="48B9DA35" w14:textId="77777777" w:rsidR="00097911" w:rsidRPr="00576FA3" w:rsidRDefault="00097911" w:rsidP="00C766BB">
            <w:pPr>
              <w:pStyle w:val="In-tableHeading"/>
              <w:keepLines/>
              <w:jc w:val="center"/>
              <w:rPr>
                <w:lang w:val="en-AU"/>
              </w:rPr>
            </w:pPr>
            <w:r w:rsidRPr="00576FA3">
              <w:rPr>
                <w:lang w:val="en-AU"/>
              </w:rPr>
              <w:t>Year 1</w:t>
            </w:r>
          </w:p>
        </w:tc>
        <w:tc>
          <w:tcPr>
            <w:tcW w:w="575" w:type="pct"/>
            <w:vAlign w:val="center"/>
          </w:tcPr>
          <w:p w14:paraId="1CF4FFB8" w14:textId="77777777" w:rsidR="00097911" w:rsidRPr="00576FA3" w:rsidRDefault="00097911" w:rsidP="00C766BB">
            <w:pPr>
              <w:pStyle w:val="In-tableHeading"/>
              <w:keepLines/>
              <w:jc w:val="center"/>
              <w:rPr>
                <w:lang w:val="en-AU"/>
              </w:rPr>
            </w:pPr>
            <w:r w:rsidRPr="00576FA3">
              <w:rPr>
                <w:lang w:val="en-AU"/>
              </w:rPr>
              <w:t>Year 2</w:t>
            </w:r>
          </w:p>
        </w:tc>
        <w:tc>
          <w:tcPr>
            <w:tcW w:w="575" w:type="pct"/>
            <w:vAlign w:val="center"/>
          </w:tcPr>
          <w:p w14:paraId="7E02EEDC" w14:textId="77777777" w:rsidR="00097911" w:rsidRPr="00576FA3" w:rsidRDefault="00097911" w:rsidP="00C766BB">
            <w:pPr>
              <w:pStyle w:val="In-tableHeading"/>
              <w:keepLines/>
              <w:jc w:val="center"/>
              <w:rPr>
                <w:lang w:val="en-AU"/>
              </w:rPr>
            </w:pPr>
            <w:r w:rsidRPr="00576FA3">
              <w:rPr>
                <w:lang w:val="en-AU"/>
              </w:rPr>
              <w:t>Year 3</w:t>
            </w:r>
          </w:p>
        </w:tc>
        <w:tc>
          <w:tcPr>
            <w:tcW w:w="575" w:type="pct"/>
            <w:vAlign w:val="center"/>
          </w:tcPr>
          <w:p w14:paraId="519276E4" w14:textId="77777777" w:rsidR="00097911" w:rsidRPr="00576FA3" w:rsidRDefault="00097911" w:rsidP="00C766BB">
            <w:pPr>
              <w:pStyle w:val="In-tableHeading"/>
              <w:keepLines/>
              <w:jc w:val="center"/>
              <w:rPr>
                <w:lang w:val="en-AU"/>
              </w:rPr>
            </w:pPr>
            <w:r w:rsidRPr="00576FA3">
              <w:rPr>
                <w:lang w:val="en-AU"/>
              </w:rPr>
              <w:t>Year 4</w:t>
            </w:r>
          </w:p>
        </w:tc>
        <w:tc>
          <w:tcPr>
            <w:tcW w:w="575" w:type="pct"/>
            <w:vAlign w:val="center"/>
          </w:tcPr>
          <w:p w14:paraId="7AE7E42A" w14:textId="77777777" w:rsidR="00097911" w:rsidRPr="00576FA3" w:rsidRDefault="00097911" w:rsidP="00C766BB">
            <w:pPr>
              <w:pStyle w:val="In-tableHeading"/>
              <w:keepLines/>
              <w:jc w:val="center"/>
              <w:rPr>
                <w:lang w:val="en-AU"/>
              </w:rPr>
            </w:pPr>
            <w:r w:rsidRPr="00576FA3">
              <w:rPr>
                <w:lang w:val="en-AU"/>
              </w:rPr>
              <w:t>Year 5</w:t>
            </w:r>
          </w:p>
        </w:tc>
        <w:tc>
          <w:tcPr>
            <w:tcW w:w="575" w:type="pct"/>
            <w:vAlign w:val="center"/>
          </w:tcPr>
          <w:p w14:paraId="2D290935" w14:textId="77777777" w:rsidR="00097911" w:rsidRPr="00576FA3" w:rsidRDefault="00097911" w:rsidP="00C766BB">
            <w:pPr>
              <w:pStyle w:val="In-tableHeading"/>
              <w:keepLines/>
              <w:jc w:val="center"/>
              <w:rPr>
                <w:lang w:val="en-AU"/>
              </w:rPr>
            </w:pPr>
            <w:r w:rsidRPr="00576FA3">
              <w:rPr>
                <w:lang w:val="en-AU"/>
              </w:rPr>
              <w:t>Year 6</w:t>
            </w:r>
          </w:p>
        </w:tc>
      </w:tr>
      <w:tr w:rsidR="00097911" w:rsidRPr="000C77A2" w14:paraId="57D4D077" w14:textId="77777777" w:rsidTr="00504411">
        <w:tc>
          <w:tcPr>
            <w:tcW w:w="5000" w:type="pct"/>
            <w:gridSpan w:val="7"/>
            <w:tcBorders>
              <w:bottom w:val="single" w:sz="4" w:space="0" w:color="auto"/>
            </w:tcBorders>
          </w:tcPr>
          <w:p w14:paraId="7EB744BC" w14:textId="77777777" w:rsidR="00097911" w:rsidRPr="00576FA3" w:rsidRDefault="00097911" w:rsidP="00C766BB">
            <w:pPr>
              <w:pStyle w:val="TableText0"/>
              <w:keepLines/>
              <w:rPr>
                <w:b/>
                <w:bCs w:val="0"/>
              </w:rPr>
            </w:pPr>
            <w:r w:rsidRPr="00576FA3">
              <w:rPr>
                <w:b/>
                <w:bCs w:val="0"/>
              </w:rPr>
              <w:t>NSCLC</w:t>
            </w:r>
          </w:p>
        </w:tc>
      </w:tr>
      <w:tr w:rsidR="00CD4B7E" w:rsidRPr="004219CD" w14:paraId="423F891D" w14:textId="77777777" w:rsidTr="00CD4B7E">
        <w:tc>
          <w:tcPr>
            <w:tcW w:w="1550" w:type="pct"/>
            <w:tcBorders>
              <w:bottom w:val="nil"/>
            </w:tcBorders>
          </w:tcPr>
          <w:p w14:paraId="1A4E3BED" w14:textId="2CE41E22" w:rsidR="00CD4B7E" w:rsidRPr="000C77A2" w:rsidRDefault="00CD4B7E" w:rsidP="00C766BB">
            <w:pPr>
              <w:pStyle w:val="TableText0"/>
              <w:keepLines/>
              <w:rPr>
                <w:vertAlign w:val="superscript"/>
              </w:rPr>
            </w:pPr>
            <w:r w:rsidRPr="000C77A2">
              <w:t xml:space="preserve">Number of initiating patients </w:t>
            </w:r>
          </w:p>
        </w:tc>
        <w:tc>
          <w:tcPr>
            <w:tcW w:w="575" w:type="pct"/>
          </w:tcPr>
          <w:p w14:paraId="465DACA4" w14:textId="73F84C91" w:rsidR="00CD4B7E" w:rsidRPr="00560AEC" w:rsidRDefault="00C66EC7" w:rsidP="00C766BB">
            <w:pPr>
              <w:pStyle w:val="TableText0"/>
              <w:keepLines/>
              <w:jc w:val="right"/>
              <w:rPr>
                <w:highlight w:val="lightGray"/>
              </w:rPr>
            </w:pPr>
            <w:r w:rsidRPr="00C66EC7">
              <w:rPr>
                <w:color w:val="000000"/>
                <w:szCs w:val="2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12B4FC9A" w14:textId="40C37401" w:rsidR="00CD4B7E" w:rsidRPr="00560AEC" w:rsidRDefault="00C66EC7" w:rsidP="00C766BB">
            <w:pPr>
              <w:pStyle w:val="TableText0"/>
              <w:keepLines/>
              <w:jc w:val="right"/>
              <w:rPr>
                <w:highlight w:val="lightGray"/>
              </w:rPr>
            </w:pPr>
            <w:r w:rsidRPr="00C66EC7">
              <w:rPr>
                <w:color w:val="000000"/>
                <w:szCs w:val="2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444B5E70" w14:textId="675BA137" w:rsidR="00CD4B7E" w:rsidRPr="00560AEC" w:rsidRDefault="00C66EC7" w:rsidP="00C766BB">
            <w:pPr>
              <w:pStyle w:val="TableText0"/>
              <w:keepLines/>
              <w:jc w:val="right"/>
              <w:rPr>
                <w:highlight w:val="lightGray"/>
              </w:rPr>
            </w:pPr>
            <w:r w:rsidRPr="00C66EC7">
              <w:rPr>
                <w:color w:val="000000"/>
                <w:szCs w:val="2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1A72B4E6" w14:textId="7B28D3A5" w:rsidR="00CD4B7E" w:rsidRPr="00560AEC" w:rsidRDefault="00C66EC7" w:rsidP="00C766BB">
            <w:pPr>
              <w:pStyle w:val="TableText0"/>
              <w:keepLines/>
              <w:jc w:val="right"/>
              <w:rPr>
                <w:highlight w:val="lightGray"/>
              </w:rPr>
            </w:pPr>
            <w:r w:rsidRPr="00C66EC7">
              <w:rPr>
                <w:color w:val="000000"/>
                <w:szCs w:val="2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3D929699" w14:textId="08A3706D" w:rsidR="00CD4B7E" w:rsidRPr="00560AEC" w:rsidRDefault="00C66EC7" w:rsidP="00C766BB">
            <w:pPr>
              <w:pStyle w:val="TableText0"/>
              <w:keepLines/>
              <w:jc w:val="right"/>
              <w:rPr>
                <w:highlight w:val="lightGray"/>
              </w:rPr>
            </w:pPr>
            <w:r w:rsidRPr="00C66EC7">
              <w:rPr>
                <w:color w:val="000000"/>
                <w:szCs w:val="2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3BA84A84" w14:textId="43B17A4B" w:rsidR="00CD4B7E" w:rsidRPr="00560AEC" w:rsidRDefault="00C66EC7" w:rsidP="00C766BB">
            <w:pPr>
              <w:pStyle w:val="TableText0"/>
              <w:keepLines/>
              <w:jc w:val="right"/>
              <w:rPr>
                <w:highlight w:val="lightGray"/>
              </w:rPr>
            </w:pPr>
            <w:r w:rsidRPr="00C66EC7">
              <w:rPr>
                <w:color w:val="000000"/>
                <w:szCs w:val="20"/>
                <w:shd w:val="solid" w:color="000000" w:fill="000000"/>
                <w14:textFill>
                  <w14:solidFill>
                    <w14:srgbClr w14:val="000000">
                      <w14:alpha w14:val="100000"/>
                    </w14:srgbClr>
                  </w14:solidFill>
                </w14:textFill>
              </w:rPr>
              <w:t>|</w:t>
            </w:r>
            <w:r w:rsidR="00460B7C">
              <w:rPr>
                <w:vertAlign w:val="superscript"/>
              </w:rPr>
              <w:t>1</w:t>
            </w:r>
          </w:p>
        </w:tc>
      </w:tr>
      <w:tr w:rsidR="00F25F45" w:rsidRPr="004219CD" w14:paraId="21DF0782" w14:textId="77777777" w:rsidTr="00504411">
        <w:tc>
          <w:tcPr>
            <w:tcW w:w="1550" w:type="pct"/>
            <w:tcBorders>
              <w:top w:val="single" w:sz="4" w:space="0" w:color="auto"/>
              <w:bottom w:val="nil"/>
            </w:tcBorders>
          </w:tcPr>
          <w:p w14:paraId="14F977BC" w14:textId="7C59356C" w:rsidR="00F25F45" w:rsidRPr="00576FA3" w:rsidRDefault="00F25F45" w:rsidP="00C766BB">
            <w:pPr>
              <w:pStyle w:val="TableText0"/>
              <w:keepLines/>
              <w:rPr>
                <w:vertAlign w:val="superscript"/>
              </w:rPr>
            </w:pPr>
            <w:r w:rsidRPr="00576FA3">
              <w:t xml:space="preserve">Total scripts, </w:t>
            </w:r>
            <w:r w:rsidRPr="00576FA3">
              <w:rPr>
                <w:vertAlign w:val="superscript"/>
              </w:rPr>
              <w:t>a</w:t>
            </w:r>
          </w:p>
        </w:tc>
        <w:tc>
          <w:tcPr>
            <w:tcW w:w="575" w:type="pct"/>
            <w:tcBorders>
              <w:top w:val="single" w:sz="4" w:space="0" w:color="auto"/>
              <w:bottom w:val="nil"/>
            </w:tcBorders>
          </w:tcPr>
          <w:p w14:paraId="41732B08" w14:textId="51B43E08"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tcPr>
          <w:p w14:paraId="7A46B389" w14:textId="5FFBCF19"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tcPr>
          <w:p w14:paraId="0562829D" w14:textId="25DB10A4"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tcPr>
          <w:p w14:paraId="2F396D9E" w14:textId="3B3040CC"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tcPr>
          <w:p w14:paraId="492F2329" w14:textId="733F644D"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tcPr>
          <w:p w14:paraId="3064B0CA" w14:textId="369FE7CB"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r>
      <w:tr w:rsidR="00F25F45" w:rsidRPr="000C77A2" w14:paraId="7FC2E00B" w14:textId="77777777" w:rsidTr="00504411">
        <w:tc>
          <w:tcPr>
            <w:tcW w:w="5000" w:type="pct"/>
            <w:gridSpan w:val="7"/>
            <w:tcBorders>
              <w:bottom w:val="single" w:sz="4" w:space="0" w:color="auto"/>
            </w:tcBorders>
          </w:tcPr>
          <w:p w14:paraId="7ED6568A" w14:textId="77777777" w:rsidR="00F25F45" w:rsidRPr="00576FA3" w:rsidRDefault="00F25F45" w:rsidP="00C766BB">
            <w:pPr>
              <w:pStyle w:val="TableText0"/>
              <w:keepLines/>
              <w:rPr>
                <w:b/>
                <w:bCs w:val="0"/>
              </w:rPr>
            </w:pPr>
            <w:r w:rsidRPr="00576FA3">
              <w:rPr>
                <w:b/>
                <w:bCs w:val="0"/>
              </w:rPr>
              <w:t>STS</w:t>
            </w:r>
          </w:p>
        </w:tc>
      </w:tr>
      <w:tr w:rsidR="00F25F45" w:rsidRPr="000C77A2" w14:paraId="4C984705" w14:textId="77777777" w:rsidTr="00CD4B7E">
        <w:tc>
          <w:tcPr>
            <w:tcW w:w="1550" w:type="pct"/>
            <w:tcBorders>
              <w:bottom w:val="nil"/>
            </w:tcBorders>
          </w:tcPr>
          <w:p w14:paraId="721A0632" w14:textId="5CA15128" w:rsidR="00F25F45" w:rsidRPr="00576FA3" w:rsidRDefault="00F25F45" w:rsidP="00C766BB">
            <w:pPr>
              <w:pStyle w:val="TableText0"/>
              <w:keepLines/>
              <w:rPr>
                <w:vertAlign w:val="superscript"/>
              </w:rPr>
            </w:pPr>
            <w:r w:rsidRPr="000C77A2">
              <w:t xml:space="preserve">Number of initiating </w:t>
            </w:r>
            <w:r w:rsidRPr="00576FA3">
              <w:t xml:space="preserve">patients </w:t>
            </w:r>
          </w:p>
        </w:tc>
        <w:tc>
          <w:tcPr>
            <w:tcW w:w="575" w:type="pct"/>
          </w:tcPr>
          <w:p w14:paraId="6B6CA446" w14:textId="6256F2D8"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41E6F1DD" w14:textId="18D2E12B"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53D97C6E" w14:textId="2134BFE9"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59877D4C" w14:textId="46DB08C3"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3DDEB7AF" w14:textId="6F1F8FCC"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Pr>
          <w:p w14:paraId="24397DB5" w14:textId="1B5760C5"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r>
      <w:tr w:rsidR="00F25F45" w:rsidRPr="000C77A2" w14:paraId="07BA526E" w14:textId="77777777" w:rsidTr="00504411">
        <w:tc>
          <w:tcPr>
            <w:tcW w:w="1550" w:type="pct"/>
            <w:tcBorders>
              <w:bottom w:val="nil"/>
            </w:tcBorders>
          </w:tcPr>
          <w:p w14:paraId="09A2C9F2" w14:textId="3F167517" w:rsidR="00F25F45" w:rsidRPr="00576FA3" w:rsidRDefault="00F25F45" w:rsidP="00C766BB">
            <w:pPr>
              <w:pStyle w:val="TableText0"/>
              <w:keepLines/>
              <w:rPr>
                <w:vertAlign w:val="superscript"/>
              </w:rPr>
            </w:pPr>
            <w:r w:rsidRPr="00576FA3">
              <w:t xml:space="preserve">Total scripts  </w:t>
            </w:r>
            <w:r w:rsidRPr="00576FA3">
              <w:rPr>
                <w:vertAlign w:val="superscript"/>
              </w:rPr>
              <w:t>b</w:t>
            </w:r>
          </w:p>
        </w:tc>
        <w:tc>
          <w:tcPr>
            <w:tcW w:w="575" w:type="pct"/>
            <w:tcBorders>
              <w:bottom w:val="nil"/>
            </w:tcBorders>
          </w:tcPr>
          <w:p w14:paraId="452A10EC" w14:textId="3ED8F104"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bottom w:val="nil"/>
            </w:tcBorders>
          </w:tcPr>
          <w:p w14:paraId="79D7F690" w14:textId="323F8852"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bottom w:val="nil"/>
            </w:tcBorders>
          </w:tcPr>
          <w:p w14:paraId="6D1AE16E" w14:textId="7602D258"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bottom w:val="nil"/>
            </w:tcBorders>
          </w:tcPr>
          <w:p w14:paraId="3B472130" w14:textId="14DF3471"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bottom w:val="nil"/>
            </w:tcBorders>
          </w:tcPr>
          <w:p w14:paraId="32D0FB64" w14:textId="64C8CA17"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bottom w:val="nil"/>
            </w:tcBorders>
          </w:tcPr>
          <w:p w14:paraId="1648F3B6" w14:textId="2941445C"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1</w:t>
            </w:r>
          </w:p>
        </w:tc>
      </w:tr>
      <w:tr w:rsidR="00F25F45" w:rsidRPr="000C77A2" w14:paraId="0FBB13A0" w14:textId="77777777" w:rsidTr="00504411">
        <w:tc>
          <w:tcPr>
            <w:tcW w:w="5000" w:type="pct"/>
            <w:gridSpan w:val="7"/>
            <w:tcBorders>
              <w:bottom w:val="single" w:sz="4" w:space="0" w:color="auto"/>
            </w:tcBorders>
          </w:tcPr>
          <w:p w14:paraId="77EB0F68" w14:textId="69277492" w:rsidR="00F25F45" w:rsidRPr="00576FA3" w:rsidRDefault="00F25F45" w:rsidP="00C766BB">
            <w:pPr>
              <w:pStyle w:val="TableText0"/>
              <w:keepLines/>
              <w:rPr>
                <w:b/>
                <w:bCs w:val="0"/>
              </w:rPr>
            </w:pPr>
            <w:r w:rsidRPr="00576FA3">
              <w:rPr>
                <w:b/>
                <w:bCs w:val="0"/>
              </w:rPr>
              <w:t>Total</w:t>
            </w:r>
          </w:p>
        </w:tc>
      </w:tr>
      <w:tr w:rsidR="00F25F45" w:rsidRPr="000C77A2" w14:paraId="14732F20" w14:textId="77777777" w:rsidTr="00504411">
        <w:tc>
          <w:tcPr>
            <w:tcW w:w="1550" w:type="pct"/>
            <w:tcBorders>
              <w:top w:val="single" w:sz="4" w:space="0" w:color="auto"/>
              <w:bottom w:val="nil"/>
            </w:tcBorders>
          </w:tcPr>
          <w:p w14:paraId="16ECAAEF" w14:textId="2D837D05" w:rsidR="00F25F45" w:rsidRPr="00576FA3" w:rsidRDefault="00F25F45" w:rsidP="00C766BB">
            <w:pPr>
              <w:pStyle w:val="TableText0"/>
              <w:keepLines/>
            </w:pPr>
            <w:r w:rsidRPr="00576FA3">
              <w:t xml:space="preserve">Total scripts </w:t>
            </w:r>
          </w:p>
        </w:tc>
        <w:tc>
          <w:tcPr>
            <w:tcW w:w="575" w:type="pct"/>
            <w:tcBorders>
              <w:top w:val="single" w:sz="4" w:space="0" w:color="auto"/>
              <w:bottom w:val="nil"/>
            </w:tcBorders>
            <w:vAlign w:val="center"/>
          </w:tcPr>
          <w:p w14:paraId="10664315" w14:textId="7DE94D5A" w:rsidR="00F25F45" w:rsidRPr="00560AEC" w:rsidRDefault="00C66EC7" w:rsidP="00C766BB">
            <w:pPr>
              <w:pStyle w:val="TableText0"/>
              <w:keepLines/>
              <w:jc w:val="right"/>
              <w:rPr>
                <w:rFonts w:cs="Arial"/>
                <w:color w:val="000000"/>
                <w:szCs w:val="20"/>
                <w:highlight w:val="lightGray"/>
              </w:rPr>
            </w:pPr>
            <w:r w:rsidRPr="00C66EC7">
              <w:rPr>
                <w:bCs w:val="0"/>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vAlign w:val="center"/>
          </w:tcPr>
          <w:p w14:paraId="3E282F35" w14:textId="633D65CF" w:rsidR="00F25F45" w:rsidRPr="00560AEC" w:rsidRDefault="00C66EC7" w:rsidP="00C766BB">
            <w:pPr>
              <w:pStyle w:val="TableText0"/>
              <w:keepLines/>
              <w:jc w:val="right"/>
              <w:rPr>
                <w:rFonts w:cs="Arial"/>
                <w:color w:val="000000"/>
                <w:szCs w:val="20"/>
                <w:highlight w:val="lightGray"/>
              </w:rPr>
            </w:pPr>
            <w:r w:rsidRPr="00C66EC7">
              <w:rPr>
                <w:bCs w:val="0"/>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vAlign w:val="center"/>
          </w:tcPr>
          <w:p w14:paraId="26A7CF09" w14:textId="1E4CFA07" w:rsidR="00F25F45" w:rsidRPr="00560AEC" w:rsidRDefault="00C66EC7" w:rsidP="00C766BB">
            <w:pPr>
              <w:pStyle w:val="TableText0"/>
              <w:keepLines/>
              <w:jc w:val="right"/>
              <w:rPr>
                <w:rFonts w:cs="Arial"/>
                <w:color w:val="000000"/>
                <w:szCs w:val="20"/>
                <w:highlight w:val="lightGray"/>
              </w:rPr>
            </w:pPr>
            <w:r w:rsidRPr="00C66EC7">
              <w:rPr>
                <w:bCs w:val="0"/>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vAlign w:val="center"/>
          </w:tcPr>
          <w:p w14:paraId="0EBE4A63" w14:textId="6BDE9DD0" w:rsidR="00F25F45" w:rsidRPr="00560AEC" w:rsidRDefault="00C66EC7" w:rsidP="00C766BB">
            <w:pPr>
              <w:pStyle w:val="TableText0"/>
              <w:keepLines/>
              <w:jc w:val="right"/>
              <w:rPr>
                <w:rFonts w:cs="Arial"/>
                <w:color w:val="000000"/>
                <w:szCs w:val="20"/>
                <w:highlight w:val="lightGray"/>
              </w:rPr>
            </w:pPr>
            <w:r w:rsidRPr="00C66EC7">
              <w:rPr>
                <w:bCs w:val="0"/>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vAlign w:val="center"/>
          </w:tcPr>
          <w:p w14:paraId="353881B2" w14:textId="1D347048" w:rsidR="00F25F45" w:rsidRPr="00560AEC" w:rsidRDefault="00C66EC7" w:rsidP="00C766BB">
            <w:pPr>
              <w:pStyle w:val="TableText0"/>
              <w:keepLines/>
              <w:jc w:val="right"/>
              <w:rPr>
                <w:rFonts w:cs="Arial"/>
                <w:color w:val="000000"/>
                <w:szCs w:val="20"/>
                <w:highlight w:val="lightGray"/>
              </w:rPr>
            </w:pPr>
            <w:r w:rsidRPr="00C66EC7">
              <w:rPr>
                <w:bCs w:val="0"/>
                <w:color w:val="000000"/>
                <w:shd w:val="solid" w:color="000000" w:fill="000000"/>
                <w14:textFill>
                  <w14:solidFill>
                    <w14:srgbClr w14:val="000000">
                      <w14:alpha w14:val="100000"/>
                    </w14:srgbClr>
                  </w14:solidFill>
                </w14:textFill>
              </w:rPr>
              <w:t>|</w:t>
            </w:r>
            <w:r w:rsidR="00460B7C">
              <w:rPr>
                <w:vertAlign w:val="superscript"/>
              </w:rPr>
              <w:t>1</w:t>
            </w:r>
          </w:p>
        </w:tc>
        <w:tc>
          <w:tcPr>
            <w:tcW w:w="575" w:type="pct"/>
            <w:tcBorders>
              <w:top w:val="single" w:sz="4" w:space="0" w:color="auto"/>
              <w:bottom w:val="nil"/>
            </w:tcBorders>
            <w:vAlign w:val="center"/>
          </w:tcPr>
          <w:p w14:paraId="53D45950" w14:textId="0BB6DC46" w:rsidR="00F25F45" w:rsidRPr="00560AEC" w:rsidRDefault="00C66EC7" w:rsidP="00C766BB">
            <w:pPr>
              <w:pStyle w:val="TableText0"/>
              <w:keepLines/>
              <w:jc w:val="right"/>
              <w:rPr>
                <w:rFonts w:cs="Arial"/>
                <w:color w:val="000000"/>
                <w:szCs w:val="20"/>
                <w:highlight w:val="lightGray"/>
              </w:rPr>
            </w:pPr>
            <w:r w:rsidRPr="00C66EC7">
              <w:rPr>
                <w:bCs w:val="0"/>
                <w:color w:val="000000"/>
                <w:shd w:val="solid" w:color="000000" w:fill="000000"/>
                <w14:textFill>
                  <w14:solidFill>
                    <w14:srgbClr w14:val="000000">
                      <w14:alpha w14:val="100000"/>
                    </w14:srgbClr>
                  </w14:solidFill>
                </w14:textFill>
              </w:rPr>
              <w:t>|</w:t>
            </w:r>
            <w:r w:rsidR="00460B7C">
              <w:rPr>
                <w:vertAlign w:val="superscript"/>
              </w:rPr>
              <w:t>1</w:t>
            </w:r>
          </w:p>
        </w:tc>
      </w:tr>
      <w:tr w:rsidR="00F25F45" w:rsidRPr="000C77A2" w14:paraId="5A5484D8" w14:textId="77777777" w:rsidTr="00504411">
        <w:tc>
          <w:tcPr>
            <w:tcW w:w="5000" w:type="pct"/>
            <w:gridSpan w:val="7"/>
          </w:tcPr>
          <w:p w14:paraId="518444E9" w14:textId="77777777" w:rsidR="00F25F45" w:rsidRPr="00576FA3" w:rsidRDefault="00F25F45" w:rsidP="00C766BB">
            <w:pPr>
              <w:pStyle w:val="TableText0"/>
              <w:keepLines/>
              <w:rPr>
                <w:b/>
                <w:bCs w:val="0"/>
              </w:rPr>
            </w:pPr>
            <w:r w:rsidRPr="00576FA3">
              <w:rPr>
                <w:rFonts w:cs="Times New Roman"/>
                <w:b/>
              </w:rPr>
              <w:t>Estimated financial implications of larotrectinib</w:t>
            </w:r>
          </w:p>
        </w:tc>
      </w:tr>
      <w:tr w:rsidR="00F25F45" w:rsidRPr="000C77A2" w14:paraId="2322DAFC" w14:textId="77777777" w:rsidTr="00504411">
        <w:tc>
          <w:tcPr>
            <w:tcW w:w="1550" w:type="pct"/>
            <w:tcBorders>
              <w:bottom w:val="nil"/>
            </w:tcBorders>
            <w:vAlign w:val="center"/>
          </w:tcPr>
          <w:p w14:paraId="77794960" w14:textId="1FEDB9B5" w:rsidR="00F25F45" w:rsidRPr="00576FA3" w:rsidRDefault="00F25F45" w:rsidP="00C766BB">
            <w:pPr>
              <w:pStyle w:val="TableText0"/>
              <w:keepLines/>
              <w:rPr>
                <w:vertAlign w:val="superscript"/>
              </w:rPr>
            </w:pPr>
            <w:r w:rsidRPr="000C77A2">
              <w:rPr>
                <w:sz w:val="19"/>
                <w:szCs w:val="19"/>
              </w:rPr>
              <w:t xml:space="preserve">Cost to PBS less copayments </w:t>
            </w:r>
            <w:r w:rsidRPr="000C77A2">
              <w:rPr>
                <w:sz w:val="19"/>
                <w:szCs w:val="19"/>
                <w:vertAlign w:val="superscript"/>
              </w:rPr>
              <w:t>c</w:t>
            </w:r>
          </w:p>
        </w:tc>
        <w:tc>
          <w:tcPr>
            <w:tcW w:w="575" w:type="pct"/>
            <w:tcBorders>
              <w:bottom w:val="nil"/>
            </w:tcBorders>
          </w:tcPr>
          <w:p w14:paraId="0300F232" w14:textId="1D63AC32"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565827A1" w14:textId="34EBE11B"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0EF51F90" w14:textId="28302EC4"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6CC89A25" w14:textId="06C5509B"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66CE7E8A" w14:textId="66944169"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1AD97324" w14:textId="3C4E9A12" w:rsidR="00F25F45" w:rsidRPr="00560AEC" w:rsidRDefault="00C66EC7" w:rsidP="00C766BB">
            <w:pPr>
              <w:pStyle w:val="TableText0"/>
              <w:keepLines/>
              <w:jc w:val="right"/>
              <w:rPr>
                <w:highlight w:val="lightGray"/>
              </w:rPr>
            </w:pPr>
            <w:r w:rsidRPr="00C66EC7">
              <w:rPr>
                <w:color w:val="000000"/>
                <w:shd w:val="solid" w:color="000000" w:fill="000000"/>
                <w14:textFill>
                  <w14:solidFill>
                    <w14:srgbClr w14:val="000000">
                      <w14:alpha w14:val="100000"/>
                    </w14:srgbClr>
                  </w14:solidFill>
                </w14:textFill>
              </w:rPr>
              <w:t>|</w:t>
            </w:r>
            <w:r w:rsidR="00460B7C">
              <w:rPr>
                <w:vertAlign w:val="superscript"/>
              </w:rPr>
              <w:t>2</w:t>
            </w:r>
          </w:p>
        </w:tc>
      </w:tr>
      <w:tr w:rsidR="00F25F45" w:rsidRPr="000C77A2" w14:paraId="424D50DC" w14:textId="77777777" w:rsidTr="00504411">
        <w:tc>
          <w:tcPr>
            <w:tcW w:w="5000" w:type="pct"/>
            <w:gridSpan w:val="7"/>
          </w:tcPr>
          <w:p w14:paraId="2B8256EB" w14:textId="70D3167B" w:rsidR="00F25F45" w:rsidRPr="00576FA3" w:rsidRDefault="00F25F45" w:rsidP="00C766BB">
            <w:pPr>
              <w:pStyle w:val="TableText0"/>
              <w:keepLines/>
              <w:rPr>
                <w:b/>
                <w:bCs w:val="0"/>
              </w:rPr>
            </w:pPr>
            <w:r w:rsidRPr="000C77A2">
              <w:rPr>
                <w:b/>
              </w:rPr>
              <w:t xml:space="preserve">Estimated financial implications for </w:t>
            </w:r>
            <w:r w:rsidR="00C959D8">
              <w:rPr>
                <w:b/>
              </w:rPr>
              <w:t>affected  medicines</w:t>
            </w:r>
          </w:p>
        </w:tc>
      </w:tr>
      <w:tr w:rsidR="00F25F45" w:rsidRPr="000C77A2" w14:paraId="0740E4F1" w14:textId="77777777" w:rsidTr="00F25F45">
        <w:tc>
          <w:tcPr>
            <w:tcW w:w="1550" w:type="pct"/>
            <w:tcBorders>
              <w:bottom w:val="nil"/>
            </w:tcBorders>
            <w:vAlign w:val="center"/>
          </w:tcPr>
          <w:p w14:paraId="2B23D972" w14:textId="10054C34" w:rsidR="00F25F45" w:rsidRPr="00576FA3" w:rsidRDefault="00C959D8" w:rsidP="00C766BB">
            <w:pPr>
              <w:pStyle w:val="TableText0"/>
              <w:keepLines/>
            </w:pPr>
            <w:r>
              <w:rPr>
                <w:sz w:val="19"/>
                <w:szCs w:val="19"/>
              </w:rPr>
              <w:t xml:space="preserve">Impact </w:t>
            </w:r>
            <w:r w:rsidR="00F25F45" w:rsidRPr="000C77A2">
              <w:rPr>
                <w:sz w:val="19"/>
                <w:szCs w:val="19"/>
              </w:rPr>
              <w:t xml:space="preserve">to PBS less copayments </w:t>
            </w:r>
          </w:p>
        </w:tc>
        <w:tc>
          <w:tcPr>
            <w:tcW w:w="575" w:type="pct"/>
            <w:tcBorders>
              <w:bottom w:val="nil"/>
            </w:tcBorders>
            <w:vAlign w:val="center"/>
          </w:tcPr>
          <w:p w14:paraId="1959B5DF" w14:textId="28533C33" w:rsidR="00F25F45" w:rsidRPr="00560AEC" w:rsidRDefault="00C66EC7" w:rsidP="00C766BB">
            <w:pPr>
              <w:pStyle w:val="TableText0"/>
              <w:keepLines/>
              <w:jc w:val="right"/>
              <w:rPr>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vAlign w:val="center"/>
          </w:tcPr>
          <w:p w14:paraId="21A2DC1E" w14:textId="08977390" w:rsidR="00F25F45" w:rsidRPr="00560AEC" w:rsidRDefault="00C66EC7" w:rsidP="00C766BB">
            <w:pPr>
              <w:pStyle w:val="TableText0"/>
              <w:keepLines/>
              <w:jc w:val="right"/>
              <w:rPr>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vAlign w:val="center"/>
          </w:tcPr>
          <w:p w14:paraId="7FE335E6" w14:textId="31517245" w:rsidR="00F25F45" w:rsidRPr="00560AEC" w:rsidRDefault="00C66EC7" w:rsidP="00C766BB">
            <w:pPr>
              <w:pStyle w:val="TableText0"/>
              <w:keepLines/>
              <w:jc w:val="right"/>
              <w:rPr>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vAlign w:val="center"/>
          </w:tcPr>
          <w:p w14:paraId="4A97B1F0" w14:textId="22FEC8FB" w:rsidR="00F25F45" w:rsidRPr="00560AEC" w:rsidRDefault="00C66EC7" w:rsidP="00C766BB">
            <w:pPr>
              <w:pStyle w:val="TableText0"/>
              <w:keepLines/>
              <w:jc w:val="right"/>
              <w:rPr>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vAlign w:val="center"/>
          </w:tcPr>
          <w:p w14:paraId="389227EB" w14:textId="0E8404F1" w:rsidR="00F25F45" w:rsidRPr="00560AEC" w:rsidRDefault="00C66EC7" w:rsidP="00C766BB">
            <w:pPr>
              <w:pStyle w:val="TableText0"/>
              <w:keepLines/>
              <w:jc w:val="right"/>
              <w:rPr>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vAlign w:val="center"/>
          </w:tcPr>
          <w:p w14:paraId="5A123324" w14:textId="0731C401" w:rsidR="00F25F45" w:rsidRPr="00560AEC" w:rsidRDefault="00C66EC7" w:rsidP="00C766BB">
            <w:pPr>
              <w:pStyle w:val="TableText0"/>
              <w:keepLines/>
              <w:jc w:val="right"/>
              <w:rPr>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460B7C">
              <w:rPr>
                <w:vertAlign w:val="superscript"/>
              </w:rPr>
              <w:t>2</w:t>
            </w:r>
          </w:p>
        </w:tc>
      </w:tr>
      <w:tr w:rsidR="00F25F45" w:rsidRPr="000C77A2" w14:paraId="32D4F65D" w14:textId="77777777" w:rsidTr="00504411">
        <w:tc>
          <w:tcPr>
            <w:tcW w:w="5000" w:type="pct"/>
            <w:gridSpan w:val="7"/>
          </w:tcPr>
          <w:p w14:paraId="6F23287B" w14:textId="77777777" w:rsidR="00F25F45" w:rsidRPr="00576FA3" w:rsidRDefault="00F25F45" w:rsidP="00C766BB">
            <w:pPr>
              <w:pStyle w:val="TableText0"/>
              <w:keepLines/>
              <w:rPr>
                <w:b/>
                <w:bCs w:val="0"/>
              </w:rPr>
            </w:pPr>
            <w:r w:rsidRPr="00576FA3">
              <w:rPr>
                <w:rFonts w:cs="Times New Roman"/>
                <w:b/>
              </w:rPr>
              <w:t>Net financial implications</w:t>
            </w:r>
          </w:p>
        </w:tc>
      </w:tr>
      <w:tr w:rsidR="00F25F45" w:rsidRPr="000C77A2" w14:paraId="3DAA48AD" w14:textId="77777777" w:rsidTr="00504411">
        <w:tc>
          <w:tcPr>
            <w:tcW w:w="1550" w:type="pct"/>
            <w:tcBorders>
              <w:bottom w:val="nil"/>
            </w:tcBorders>
            <w:vAlign w:val="center"/>
          </w:tcPr>
          <w:p w14:paraId="2EFC150B" w14:textId="4743A56C" w:rsidR="00F25F45" w:rsidRPr="00576FA3" w:rsidRDefault="00F25F45" w:rsidP="00C766BB">
            <w:pPr>
              <w:pStyle w:val="TableText0"/>
              <w:keepLines/>
            </w:pPr>
            <w:r w:rsidRPr="000C77A2">
              <w:rPr>
                <w:sz w:val="19"/>
                <w:szCs w:val="19"/>
              </w:rPr>
              <w:t xml:space="preserve">Net </w:t>
            </w:r>
            <w:r w:rsidR="00C959D8">
              <w:rPr>
                <w:sz w:val="19"/>
                <w:szCs w:val="19"/>
              </w:rPr>
              <w:t xml:space="preserve">impact </w:t>
            </w:r>
            <w:r w:rsidRPr="000C77A2">
              <w:rPr>
                <w:sz w:val="19"/>
                <w:szCs w:val="19"/>
              </w:rPr>
              <w:t>to PBS</w:t>
            </w:r>
          </w:p>
        </w:tc>
        <w:tc>
          <w:tcPr>
            <w:tcW w:w="575" w:type="pct"/>
            <w:tcBorders>
              <w:bottom w:val="nil"/>
            </w:tcBorders>
          </w:tcPr>
          <w:p w14:paraId="17C016DF" w14:textId="3FDEC118"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3F3A349D" w14:textId="6282EDF9"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37014F71" w14:textId="3D431FE8"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485164D0" w14:textId="00DC9495"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75955354" w14:textId="76A88F8B"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2</w:t>
            </w:r>
          </w:p>
        </w:tc>
        <w:tc>
          <w:tcPr>
            <w:tcW w:w="575" w:type="pct"/>
            <w:tcBorders>
              <w:bottom w:val="nil"/>
            </w:tcBorders>
          </w:tcPr>
          <w:p w14:paraId="7CAAC090" w14:textId="7B579804"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2</w:t>
            </w:r>
          </w:p>
        </w:tc>
      </w:tr>
      <w:tr w:rsidR="00F25F45" w:rsidRPr="000C77A2" w14:paraId="265A905C" w14:textId="77777777" w:rsidTr="00504411">
        <w:tc>
          <w:tcPr>
            <w:tcW w:w="1550" w:type="pct"/>
            <w:tcBorders>
              <w:bottom w:val="nil"/>
            </w:tcBorders>
          </w:tcPr>
          <w:p w14:paraId="4BD8BA2F" w14:textId="332AC365" w:rsidR="00F25F45" w:rsidRPr="00576FA3" w:rsidRDefault="00F25F45" w:rsidP="00C766BB">
            <w:pPr>
              <w:pStyle w:val="TableText0"/>
              <w:keepLines/>
            </w:pPr>
            <w:r w:rsidRPr="000C77A2">
              <w:rPr>
                <w:sz w:val="19"/>
                <w:szCs w:val="19"/>
              </w:rPr>
              <w:t xml:space="preserve">Net </w:t>
            </w:r>
            <w:r w:rsidR="00C959D8">
              <w:rPr>
                <w:sz w:val="19"/>
                <w:szCs w:val="19"/>
              </w:rPr>
              <w:t xml:space="preserve">impact </w:t>
            </w:r>
            <w:r w:rsidRPr="000C77A2">
              <w:rPr>
                <w:sz w:val="19"/>
                <w:szCs w:val="19"/>
              </w:rPr>
              <w:t>to MBS</w:t>
            </w:r>
          </w:p>
        </w:tc>
        <w:tc>
          <w:tcPr>
            <w:tcW w:w="575" w:type="pct"/>
            <w:tcBorders>
              <w:bottom w:val="nil"/>
            </w:tcBorders>
            <w:vAlign w:val="center"/>
          </w:tcPr>
          <w:p w14:paraId="546B7BAC" w14:textId="59FA2269"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3</w:t>
            </w:r>
          </w:p>
        </w:tc>
        <w:tc>
          <w:tcPr>
            <w:tcW w:w="575" w:type="pct"/>
            <w:tcBorders>
              <w:bottom w:val="nil"/>
            </w:tcBorders>
            <w:vAlign w:val="center"/>
          </w:tcPr>
          <w:p w14:paraId="3A744881" w14:textId="59B77E43"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3</w:t>
            </w:r>
          </w:p>
        </w:tc>
        <w:tc>
          <w:tcPr>
            <w:tcW w:w="575" w:type="pct"/>
            <w:tcBorders>
              <w:bottom w:val="nil"/>
            </w:tcBorders>
            <w:vAlign w:val="center"/>
          </w:tcPr>
          <w:p w14:paraId="1A0E6098" w14:textId="192C2D26"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3</w:t>
            </w:r>
          </w:p>
        </w:tc>
        <w:tc>
          <w:tcPr>
            <w:tcW w:w="575" w:type="pct"/>
            <w:tcBorders>
              <w:bottom w:val="nil"/>
            </w:tcBorders>
            <w:vAlign w:val="center"/>
          </w:tcPr>
          <w:p w14:paraId="349C77FE" w14:textId="77CA085A"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3</w:t>
            </w:r>
          </w:p>
        </w:tc>
        <w:tc>
          <w:tcPr>
            <w:tcW w:w="575" w:type="pct"/>
            <w:tcBorders>
              <w:bottom w:val="nil"/>
            </w:tcBorders>
            <w:vAlign w:val="center"/>
          </w:tcPr>
          <w:p w14:paraId="71B41DC4" w14:textId="721EF804"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3</w:t>
            </w:r>
          </w:p>
        </w:tc>
        <w:tc>
          <w:tcPr>
            <w:tcW w:w="575" w:type="pct"/>
            <w:tcBorders>
              <w:bottom w:val="nil"/>
            </w:tcBorders>
            <w:vAlign w:val="center"/>
          </w:tcPr>
          <w:p w14:paraId="25E6E7E2" w14:textId="3D713EDA" w:rsidR="00F25F45" w:rsidRPr="00560AEC" w:rsidRDefault="00C66EC7" w:rsidP="00C766BB">
            <w:pPr>
              <w:pStyle w:val="TableText0"/>
              <w:keepLines/>
              <w:jc w:val="right"/>
              <w:rPr>
                <w:bCs w:val="0"/>
                <w:highlight w:val="lightGray"/>
              </w:rPr>
            </w:pPr>
            <w:r w:rsidRPr="00C66EC7">
              <w:rPr>
                <w:bCs w:val="0"/>
                <w:color w:val="000000"/>
                <w:szCs w:val="20"/>
                <w:shd w:val="solid" w:color="000000" w:fill="000000"/>
                <w14:textFill>
                  <w14:solidFill>
                    <w14:srgbClr w14:val="000000">
                      <w14:alpha w14:val="100000"/>
                    </w14:srgbClr>
                  </w14:solidFill>
                </w14:textFill>
              </w:rPr>
              <w:t>|</w:t>
            </w:r>
            <w:r w:rsidR="00460B7C">
              <w:rPr>
                <w:vertAlign w:val="superscript"/>
              </w:rPr>
              <w:t>3</w:t>
            </w:r>
          </w:p>
        </w:tc>
      </w:tr>
      <w:tr w:rsidR="00F25F45" w:rsidRPr="000C77A2" w14:paraId="55317C75" w14:textId="77777777" w:rsidTr="005522CB">
        <w:tc>
          <w:tcPr>
            <w:tcW w:w="1550" w:type="pct"/>
            <w:tcBorders>
              <w:bottom w:val="single" w:sz="4" w:space="0" w:color="auto"/>
            </w:tcBorders>
          </w:tcPr>
          <w:p w14:paraId="5560A69A" w14:textId="41516822" w:rsidR="00F25F45" w:rsidRPr="00576FA3" w:rsidRDefault="00F25F45" w:rsidP="00C766BB">
            <w:pPr>
              <w:pStyle w:val="TableText0"/>
              <w:keepLines/>
            </w:pPr>
            <w:r w:rsidRPr="000C77A2">
              <w:rPr>
                <w:sz w:val="19"/>
                <w:szCs w:val="19"/>
              </w:rPr>
              <w:t xml:space="preserve">Net </w:t>
            </w:r>
            <w:r w:rsidR="00C959D8">
              <w:rPr>
                <w:sz w:val="19"/>
                <w:szCs w:val="19"/>
              </w:rPr>
              <w:t xml:space="preserve">impact </w:t>
            </w:r>
            <w:r w:rsidRPr="000C77A2">
              <w:rPr>
                <w:sz w:val="19"/>
                <w:szCs w:val="19"/>
              </w:rPr>
              <w:t xml:space="preserve">to Government </w:t>
            </w:r>
          </w:p>
        </w:tc>
        <w:tc>
          <w:tcPr>
            <w:tcW w:w="575" w:type="pct"/>
            <w:tcBorders>
              <w:bottom w:val="single" w:sz="4" w:space="0" w:color="auto"/>
            </w:tcBorders>
            <w:vAlign w:val="center"/>
          </w:tcPr>
          <w:p w14:paraId="77E45615" w14:textId="3C635072" w:rsidR="00F25F45" w:rsidRPr="00560AEC" w:rsidRDefault="00C66EC7" w:rsidP="00C766BB">
            <w:pPr>
              <w:pStyle w:val="TableText0"/>
              <w:keepLines/>
              <w:jc w:val="right"/>
              <w:rPr>
                <w:b/>
                <w:highlight w:val="lightGray"/>
              </w:rPr>
            </w:pPr>
            <w:r w:rsidRPr="00C66EC7">
              <w:rPr>
                <w:rFonts w:cs="Arial" w:hint="eastAsia"/>
                <w:b/>
                <w:color w:val="000000"/>
                <w:w w:val="16"/>
                <w:szCs w:val="20"/>
                <w:shd w:val="solid" w:color="000000" w:fill="000000"/>
                <w:fitText w:val="75" w:id="-962354928"/>
                <w14:textFill>
                  <w14:solidFill>
                    <w14:srgbClr w14:val="000000">
                      <w14:alpha w14:val="100000"/>
                    </w14:srgbClr>
                  </w14:solidFill>
                </w14:textFill>
              </w:rPr>
              <w:t xml:space="preserve">　</w:t>
            </w:r>
            <w:r w:rsidRPr="00C66EC7">
              <w:rPr>
                <w:rFonts w:cs="Arial"/>
                <w:b/>
                <w:color w:val="000000"/>
                <w:w w:val="16"/>
                <w:szCs w:val="20"/>
                <w:shd w:val="solid" w:color="000000" w:fill="000000"/>
                <w:fitText w:val="75" w:id="-962354928"/>
                <w14:textFill>
                  <w14:solidFill>
                    <w14:srgbClr w14:val="000000">
                      <w14:alpha w14:val="100000"/>
                    </w14:srgbClr>
                  </w14:solidFill>
                </w14:textFill>
              </w:rPr>
              <w:t>|</w:t>
            </w:r>
            <w:r w:rsidRPr="00C66EC7">
              <w:rPr>
                <w:rFonts w:cs="Arial" w:hint="eastAsia"/>
                <w:b/>
                <w:color w:val="000000"/>
                <w:spacing w:val="5"/>
                <w:w w:val="16"/>
                <w:szCs w:val="20"/>
                <w:shd w:val="solid" w:color="000000" w:fill="000000"/>
                <w:fitText w:val="75" w:id="-962354928"/>
                <w14:textFill>
                  <w14:solidFill>
                    <w14:srgbClr w14:val="000000">
                      <w14:alpha w14:val="100000"/>
                    </w14:srgbClr>
                  </w14:solidFill>
                </w14:textFill>
              </w:rPr>
              <w:t xml:space="preserve">　</w:t>
            </w:r>
            <w:r w:rsidR="00460B7C">
              <w:rPr>
                <w:vertAlign w:val="superscript"/>
              </w:rPr>
              <w:t>2</w:t>
            </w:r>
          </w:p>
        </w:tc>
        <w:tc>
          <w:tcPr>
            <w:tcW w:w="575" w:type="pct"/>
            <w:tcBorders>
              <w:bottom w:val="single" w:sz="4" w:space="0" w:color="auto"/>
            </w:tcBorders>
            <w:vAlign w:val="center"/>
          </w:tcPr>
          <w:p w14:paraId="0DC7524D" w14:textId="60F7CF7F" w:rsidR="00F25F45" w:rsidRPr="00560AEC" w:rsidRDefault="00C66EC7" w:rsidP="00C766BB">
            <w:pPr>
              <w:pStyle w:val="TableText0"/>
              <w:keepLines/>
              <w:jc w:val="right"/>
              <w:rPr>
                <w:b/>
                <w:highlight w:val="lightGray"/>
              </w:rPr>
            </w:pPr>
            <w:r w:rsidRPr="00C66EC7">
              <w:rPr>
                <w:rFonts w:cs="Arial" w:hint="eastAsia"/>
                <w:b/>
                <w:color w:val="000000"/>
                <w:w w:val="16"/>
                <w:szCs w:val="20"/>
                <w:shd w:val="solid" w:color="000000" w:fill="000000"/>
                <w:fitText w:val="75" w:id="-962354944"/>
                <w14:textFill>
                  <w14:solidFill>
                    <w14:srgbClr w14:val="000000">
                      <w14:alpha w14:val="100000"/>
                    </w14:srgbClr>
                  </w14:solidFill>
                </w14:textFill>
              </w:rPr>
              <w:t xml:space="preserve">　</w:t>
            </w:r>
            <w:r w:rsidRPr="00C66EC7">
              <w:rPr>
                <w:rFonts w:cs="Arial"/>
                <w:b/>
                <w:color w:val="000000"/>
                <w:w w:val="16"/>
                <w:szCs w:val="20"/>
                <w:shd w:val="solid" w:color="000000" w:fill="000000"/>
                <w:fitText w:val="75" w:id="-962354944"/>
                <w14:textFill>
                  <w14:solidFill>
                    <w14:srgbClr w14:val="000000">
                      <w14:alpha w14:val="100000"/>
                    </w14:srgbClr>
                  </w14:solidFill>
                </w14:textFill>
              </w:rPr>
              <w:t>|</w:t>
            </w:r>
            <w:r w:rsidRPr="00C66EC7">
              <w:rPr>
                <w:rFonts w:cs="Arial" w:hint="eastAsia"/>
                <w:b/>
                <w:color w:val="000000"/>
                <w:spacing w:val="5"/>
                <w:w w:val="16"/>
                <w:szCs w:val="20"/>
                <w:shd w:val="solid" w:color="000000" w:fill="000000"/>
                <w:fitText w:val="75" w:id="-962354944"/>
                <w14:textFill>
                  <w14:solidFill>
                    <w14:srgbClr w14:val="000000">
                      <w14:alpha w14:val="100000"/>
                    </w14:srgbClr>
                  </w14:solidFill>
                </w14:textFill>
              </w:rPr>
              <w:t xml:space="preserve">　</w:t>
            </w:r>
            <w:r w:rsidR="00460B7C">
              <w:rPr>
                <w:vertAlign w:val="superscript"/>
              </w:rPr>
              <w:t>2</w:t>
            </w:r>
          </w:p>
        </w:tc>
        <w:tc>
          <w:tcPr>
            <w:tcW w:w="575" w:type="pct"/>
            <w:tcBorders>
              <w:bottom w:val="single" w:sz="4" w:space="0" w:color="auto"/>
            </w:tcBorders>
            <w:vAlign w:val="center"/>
          </w:tcPr>
          <w:p w14:paraId="32AD1264" w14:textId="18D56E61" w:rsidR="00F25F45" w:rsidRPr="00560AEC" w:rsidRDefault="00C66EC7" w:rsidP="00C766BB">
            <w:pPr>
              <w:pStyle w:val="TableText0"/>
              <w:keepLines/>
              <w:jc w:val="right"/>
              <w:rPr>
                <w:b/>
                <w:highlight w:val="lightGray"/>
              </w:rPr>
            </w:pPr>
            <w:r w:rsidRPr="00C66EC7">
              <w:rPr>
                <w:rFonts w:cs="Arial" w:hint="eastAsia"/>
                <w:b/>
                <w:color w:val="000000"/>
                <w:w w:val="16"/>
                <w:szCs w:val="20"/>
                <w:shd w:val="solid" w:color="000000" w:fill="000000"/>
                <w:fitText w:val="75" w:id="-962354943"/>
                <w14:textFill>
                  <w14:solidFill>
                    <w14:srgbClr w14:val="000000">
                      <w14:alpha w14:val="100000"/>
                    </w14:srgbClr>
                  </w14:solidFill>
                </w14:textFill>
              </w:rPr>
              <w:t xml:space="preserve">　</w:t>
            </w:r>
            <w:r w:rsidRPr="00C66EC7">
              <w:rPr>
                <w:rFonts w:cs="Arial"/>
                <w:b/>
                <w:color w:val="000000"/>
                <w:w w:val="16"/>
                <w:szCs w:val="20"/>
                <w:shd w:val="solid" w:color="000000" w:fill="000000"/>
                <w:fitText w:val="75" w:id="-962354943"/>
                <w14:textFill>
                  <w14:solidFill>
                    <w14:srgbClr w14:val="000000">
                      <w14:alpha w14:val="100000"/>
                    </w14:srgbClr>
                  </w14:solidFill>
                </w14:textFill>
              </w:rPr>
              <w:t>|</w:t>
            </w:r>
            <w:r w:rsidRPr="00C66EC7">
              <w:rPr>
                <w:rFonts w:cs="Arial" w:hint="eastAsia"/>
                <w:b/>
                <w:color w:val="000000"/>
                <w:spacing w:val="5"/>
                <w:w w:val="16"/>
                <w:szCs w:val="20"/>
                <w:shd w:val="solid" w:color="000000" w:fill="000000"/>
                <w:fitText w:val="75" w:id="-962354943"/>
                <w14:textFill>
                  <w14:solidFill>
                    <w14:srgbClr w14:val="000000">
                      <w14:alpha w14:val="100000"/>
                    </w14:srgbClr>
                  </w14:solidFill>
                </w14:textFill>
              </w:rPr>
              <w:t xml:space="preserve">　</w:t>
            </w:r>
            <w:r w:rsidR="00460B7C">
              <w:rPr>
                <w:vertAlign w:val="superscript"/>
              </w:rPr>
              <w:t>2</w:t>
            </w:r>
          </w:p>
        </w:tc>
        <w:tc>
          <w:tcPr>
            <w:tcW w:w="575" w:type="pct"/>
            <w:tcBorders>
              <w:bottom w:val="single" w:sz="4" w:space="0" w:color="auto"/>
            </w:tcBorders>
            <w:vAlign w:val="center"/>
          </w:tcPr>
          <w:p w14:paraId="34A74592" w14:textId="490F5E2F" w:rsidR="00F25F45" w:rsidRPr="00560AEC" w:rsidRDefault="00C66EC7" w:rsidP="00C766BB">
            <w:pPr>
              <w:pStyle w:val="TableText0"/>
              <w:keepLines/>
              <w:jc w:val="right"/>
              <w:rPr>
                <w:b/>
                <w:highlight w:val="lightGray"/>
              </w:rPr>
            </w:pPr>
            <w:r w:rsidRPr="00C66EC7">
              <w:rPr>
                <w:rFonts w:cs="Arial" w:hint="eastAsia"/>
                <w:b/>
                <w:color w:val="000000"/>
                <w:w w:val="16"/>
                <w:szCs w:val="20"/>
                <w:shd w:val="solid" w:color="000000" w:fill="000000"/>
                <w:fitText w:val="75" w:id="-962354942"/>
                <w14:textFill>
                  <w14:solidFill>
                    <w14:srgbClr w14:val="000000">
                      <w14:alpha w14:val="100000"/>
                    </w14:srgbClr>
                  </w14:solidFill>
                </w14:textFill>
              </w:rPr>
              <w:t xml:space="preserve">　</w:t>
            </w:r>
            <w:r w:rsidRPr="00C66EC7">
              <w:rPr>
                <w:rFonts w:cs="Arial"/>
                <w:b/>
                <w:color w:val="000000"/>
                <w:w w:val="16"/>
                <w:szCs w:val="20"/>
                <w:shd w:val="solid" w:color="000000" w:fill="000000"/>
                <w:fitText w:val="75" w:id="-962354942"/>
                <w14:textFill>
                  <w14:solidFill>
                    <w14:srgbClr w14:val="000000">
                      <w14:alpha w14:val="100000"/>
                    </w14:srgbClr>
                  </w14:solidFill>
                </w14:textFill>
              </w:rPr>
              <w:t>|</w:t>
            </w:r>
            <w:r w:rsidRPr="00C66EC7">
              <w:rPr>
                <w:rFonts w:cs="Arial" w:hint="eastAsia"/>
                <w:b/>
                <w:color w:val="000000"/>
                <w:spacing w:val="5"/>
                <w:w w:val="16"/>
                <w:szCs w:val="20"/>
                <w:shd w:val="solid" w:color="000000" w:fill="000000"/>
                <w:fitText w:val="75" w:id="-962354942"/>
                <w14:textFill>
                  <w14:solidFill>
                    <w14:srgbClr w14:val="000000">
                      <w14:alpha w14:val="100000"/>
                    </w14:srgbClr>
                  </w14:solidFill>
                </w14:textFill>
              </w:rPr>
              <w:t xml:space="preserve">　</w:t>
            </w:r>
            <w:r w:rsidR="00460B7C">
              <w:rPr>
                <w:vertAlign w:val="superscript"/>
              </w:rPr>
              <w:t>2</w:t>
            </w:r>
          </w:p>
        </w:tc>
        <w:tc>
          <w:tcPr>
            <w:tcW w:w="575" w:type="pct"/>
            <w:tcBorders>
              <w:bottom w:val="single" w:sz="4" w:space="0" w:color="auto"/>
            </w:tcBorders>
            <w:vAlign w:val="center"/>
          </w:tcPr>
          <w:p w14:paraId="1024B135" w14:textId="24D875CE" w:rsidR="00F25F45" w:rsidRPr="00560AEC" w:rsidRDefault="00C66EC7" w:rsidP="00C766BB">
            <w:pPr>
              <w:pStyle w:val="TableText0"/>
              <w:keepLines/>
              <w:jc w:val="right"/>
              <w:rPr>
                <w:b/>
                <w:highlight w:val="lightGray"/>
              </w:rPr>
            </w:pPr>
            <w:r w:rsidRPr="00C66EC7">
              <w:rPr>
                <w:rFonts w:cs="Arial" w:hint="eastAsia"/>
                <w:b/>
                <w:color w:val="000000"/>
                <w:w w:val="16"/>
                <w:szCs w:val="20"/>
                <w:shd w:val="solid" w:color="000000" w:fill="000000"/>
                <w:fitText w:val="75" w:id="-962354941"/>
                <w14:textFill>
                  <w14:solidFill>
                    <w14:srgbClr w14:val="000000">
                      <w14:alpha w14:val="100000"/>
                    </w14:srgbClr>
                  </w14:solidFill>
                </w14:textFill>
              </w:rPr>
              <w:t xml:space="preserve">　</w:t>
            </w:r>
            <w:r w:rsidRPr="00C66EC7">
              <w:rPr>
                <w:rFonts w:cs="Arial"/>
                <w:b/>
                <w:color w:val="000000"/>
                <w:w w:val="16"/>
                <w:szCs w:val="20"/>
                <w:shd w:val="solid" w:color="000000" w:fill="000000"/>
                <w:fitText w:val="75" w:id="-962354941"/>
                <w14:textFill>
                  <w14:solidFill>
                    <w14:srgbClr w14:val="000000">
                      <w14:alpha w14:val="100000"/>
                    </w14:srgbClr>
                  </w14:solidFill>
                </w14:textFill>
              </w:rPr>
              <w:t>|</w:t>
            </w:r>
            <w:r w:rsidRPr="00C66EC7">
              <w:rPr>
                <w:rFonts w:cs="Arial" w:hint="eastAsia"/>
                <w:b/>
                <w:color w:val="000000"/>
                <w:spacing w:val="5"/>
                <w:w w:val="16"/>
                <w:szCs w:val="20"/>
                <w:shd w:val="solid" w:color="000000" w:fill="000000"/>
                <w:fitText w:val="75" w:id="-962354941"/>
                <w14:textFill>
                  <w14:solidFill>
                    <w14:srgbClr w14:val="000000">
                      <w14:alpha w14:val="100000"/>
                    </w14:srgbClr>
                  </w14:solidFill>
                </w14:textFill>
              </w:rPr>
              <w:t xml:space="preserve">　</w:t>
            </w:r>
            <w:r w:rsidR="00460B7C">
              <w:rPr>
                <w:vertAlign w:val="superscript"/>
              </w:rPr>
              <w:t>2</w:t>
            </w:r>
          </w:p>
        </w:tc>
        <w:tc>
          <w:tcPr>
            <w:tcW w:w="575" w:type="pct"/>
            <w:tcBorders>
              <w:bottom w:val="single" w:sz="4" w:space="0" w:color="auto"/>
            </w:tcBorders>
            <w:vAlign w:val="center"/>
          </w:tcPr>
          <w:p w14:paraId="6AAEF673" w14:textId="39717B2D" w:rsidR="00F25F45" w:rsidRPr="00560AEC" w:rsidRDefault="00C66EC7" w:rsidP="00C766BB">
            <w:pPr>
              <w:pStyle w:val="TableText0"/>
              <w:keepLines/>
              <w:jc w:val="right"/>
              <w:rPr>
                <w:b/>
                <w:highlight w:val="lightGray"/>
              </w:rPr>
            </w:pPr>
            <w:r w:rsidRPr="00C66EC7">
              <w:rPr>
                <w:rFonts w:cs="Arial" w:hint="eastAsia"/>
                <w:b/>
                <w:color w:val="000000"/>
                <w:w w:val="16"/>
                <w:szCs w:val="20"/>
                <w:shd w:val="solid" w:color="000000" w:fill="000000"/>
                <w:fitText w:val="75" w:id="-962354940"/>
                <w14:textFill>
                  <w14:solidFill>
                    <w14:srgbClr w14:val="000000">
                      <w14:alpha w14:val="100000"/>
                    </w14:srgbClr>
                  </w14:solidFill>
                </w14:textFill>
              </w:rPr>
              <w:t xml:space="preserve">　</w:t>
            </w:r>
            <w:r w:rsidRPr="00C66EC7">
              <w:rPr>
                <w:rFonts w:cs="Arial"/>
                <w:b/>
                <w:color w:val="000000"/>
                <w:w w:val="16"/>
                <w:szCs w:val="20"/>
                <w:shd w:val="solid" w:color="000000" w:fill="000000"/>
                <w:fitText w:val="75" w:id="-962354940"/>
                <w14:textFill>
                  <w14:solidFill>
                    <w14:srgbClr w14:val="000000">
                      <w14:alpha w14:val="100000"/>
                    </w14:srgbClr>
                  </w14:solidFill>
                </w14:textFill>
              </w:rPr>
              <w:t>|</w:t>
            </w:r>
            <w:r w:rsidRPr="00C66EC7">
              <w:rPr>
                <w:rFonts w:cs="Arial" w:hint="eastAsia"/>
                <w:b/>
                <w:color w:val="000000"/>
                <w:spacing w:val="5"/>
                <w:w w:val="16"/>
                <w:szCs w:val="20"/>
                <w:shd w:val="solid" w:color="000000" w:fill="000000"/>
                <w:fitText w:val="75" w:id="-962354940"/>
                <w14:textFill>
                  <w14:solidFill>
                    <w14:srgbClr w14:val="000000">
                      <w14:alpha w14:val="100000"/>
                    </w14:srgbClr>
                  </w14:solidFill>
                </w14:textFill>
              </w:rPr>
              <w:t xml:space="preserve">　</w:t>
            </w:r>
            <w:r w:rsidR="00460B7C">
              <w:rPr>
                <w:vertAlign w:val="superscript"/>
              </w:rPr>
              <w:t>2</w:t>
            </w:r>
          </w:p>
        </w:tc>
      </w:tr>
    </w:tbl>
    <w:bookmarkEnd w:id="65"/>
    <w:p w14:paraId="0783D8ED" w14:textId="77777777" w:rsidR="00097911" w:rsidRPr="000C77A2" w:rsidRDefault="00097911" w:rsidP="00C766BB">
      <w:pPr>
        <w:pStyle w:val="TableFooter"/>
        <w:keepNext/>
        <w:keepLines/>
      </w:pPr>
      <w:r w:rsidRPr="000C77A2">
        <w:t>Source: compiled during evaluation from the “Attachment 4.1 – Section 4 utilisation and cost model” workbook provided in the submission.</w:t>
      </w:r>
    </w:p>
    <w:p w14:paraId="6825B75D" w14:textId="77777777" w:rsidR="00097911" w:rsidRPr="000C77A2" w:rsidRDefault="00097911" w:rsidP="00C766BB">
      <w:pPr>
        <w:pStyle w:val="TableFooter"/>
        <w:keepNext/>
        <w:keepLines/>
      </w:pPr>
      <w:r w:rsidRPr="000C77A2">
        <w:t xml:space="preserve">Revised estimated were based on correct DPMQs and scripts of larotrectinib, average dose cost of docetaxel; correct weighted copayment costs and MBS cost offsets associated with a reduction in the use of docetaxel. </w:t>
      </w:r>
    </w:p>
    <w:p w14:paraId="1852F2EC" w14:textId="40DDE6DE" w:rsidR="00097911" w:rsidRPr="000C77A2" w:rsidRDefault="00CD4B7E" w:rsidP="00C766BB">
      <w:pPr>
        <w:pStyle w:val="TableFooter"/>
        <w:keepNext/>
        <w:keepLines/>
      </w:pPr>
      <w:proofErr w:type="spellStart"/>
      <w:r w:rsidRPr="000C77A2">
        <w:rPr>
          <w:vertAlign w:val="superscript"/>
        </w:rPr>
        <w:t>a</w:t>
      </w:r>
      <w:proofErr w:type="spellEnd"/>
      <w:r w:rsidRPr="000C77A2">
        <w:rPr>
          <w:vertAlign w:val="superscript"/>
        </w:rPr>
        <w:t xml:space="preserve"> </w:t>
      </w:r>
      <w:r w:rsidR="00097911" w:rsidRPr="000C77A2">
        <w:t>In NSCLC, 3 initial scripts were applied per patient in the year of treatment initiation. All continuing scripts were assumed to be incurred in the year following initiation. For a treatment duration of 20 months, assuming one script per month, the remaining scripts (17) were incurred in the year following treatment initiation. Estimates were revised to assume 13.04 scripts each year, the remaining scripts within the year of treatment initiation were assumed to be continuing scripts (i.e., 10.04). For a treatment duration of 20 months, 21.74 scripts are assumed per patient. Therefore, the remaining scripts (8.70) were incurred in the year following treatment initiation.</w:t>
      </w:r>
    </w:p>
    <w:p w14:paraId="05F44917" w14:textId="52601D59" w:rsidR="00097911" w:rsidRPr="000C77A2" w:rsidRDefault="00CD4B7E" w:rsidP="00C766BB">
      <w:pPr>
        <w:pStyle w:val="TableFooter"/>
        <w:keepNext/>
        <w:keepLines/>
      </w:pPr>
      <w:r w:rsidRPr="000C77A2">
        <w:rPr>
          <w:vertAlign w:val="superscript"/>
        </w:rPr>
        <w:t>b</w:t>
      </w:r>
      <w:r w:rsidRPr="000C77A2">
        <w:t xml:space="preserve"> </w:t>
      </w:r>
      <w:r w:rsidR="00097911" w:rsidRPr="000C77A2">
        <w:t>In STS, 3 initial scripts were applied per patient in the year of treatment initiation. All continuing scripts were assumed to be incurred in the year following initiation. For a treatment duration of 16 months, assuming one script per month, the remaining scripts (13) were incurred in the year following treatment initiation. Estimates were revised to assume 13.04 scripts each year, the remaining scripts within the year of treatment initiation were assumed to be continuing scripts (i.e., 10.04). For a treatment duration of 16 months, 17.39 scripts are assumed per patient. Therefore, the remaining scripts (4.35) were incurred in the year following treatment initiation.</w:t>
      </w:r>
    </w:p>
    <w:p w14:paraId="07A4A25E" w14:textId="0857782C" w:rsidR="00097911" w:rsidRDefault="00CD4B7E" w:rsidP="00C766BB">
      <w:pPr>
        <w:pStyle w:val="TableFooter"/>
        <w:keepNext/>
        <w:keepLines/>
      </w:pPr>
      <w:r w:rsidRPr="000C77A2">
        <w:rPr>
          <w:vertAlign w:val="superscript"/>
        </w:rPr>
        <w:t>c</w:t>
      </w:r>
      <w:r w:rsidR="00097911" w:rsidRPr="000C77A2">
        <w:t xml:space="preserve"> Assuming average cost of initial scripts of $</w:t>
      </w:r>
      <w:r w:rsidR="00C66EC7" w:rsidRPr="00C66EC7">
        <w:rPr>
          <w:color w:val="000000"/>
          <w:spacing w:val="35"/>
          <w:shd w:val="solid" w:color="000000" w:fill="000000"/>
          <w:fitText w:val="265" w:id="-962354939"/>
          <w14:textFill>
            <w14:solidFill>
              <w14:srgbClr w14:val="000000">
                <w14:alpha w14:val="100000"/>
              </w14:srgbClr>
            </w14:solidFill>
          </w14:textFill>
        </w:rPr>
        <w:t xml:space="preserve">|  </w:t>
      </w:r>
      <w:r w:rsidR="00C66EC7" w:rsidRPr="00C66EC7">
        <w:rPr>
          <w:color w:val="000000"/>
          <w:spacing w:val="2"/>
          <w:shd w:val="solid" w:color="000000" w:fill="000000"/>
          <w:fitText w:val="265" w:id="-962354939"/>
          <w14:textFill>
            <w14:solidFill>
              <w14:srgbClr w14:val="000000">
                <w14:alpha w14:val="100000"/>
              </w14:srgbClr>
            </w14:solidFill>
          </w14:textFill>
        </w:rPr>
        <w:t>|</w:t>
      </w:r>
      <w:r w:rsidR="00097911" w:rsidRPr="000C77A2">
        <w:t xml:space="preserve"> and cost of continuing script of $</w:t>
      </w:r>
      <w:r w:rsidR="00C66EC7" w:rsidRPr="00C66EC7">
        <w:rPr>
          <w:color w:val="000000"/>
          <w:spacing w:val="40"/>
          <w:shd w:val="solid" w:color="000000" w:fill="000000"/>
          <w:fitText w:val="280" w:id="-962354938"/>
          <w14:textFill>
            <w14:solidFill>
              <w14:srgbClr w14:val="000000">
                <w14:alpha w14:val="100000"/>
              </w14:srgbClr>
            </w14:solidFill>
          </w14:textFill>
        </w:rPr>
        <w:t xml:space="preserve">|  </w:t>
      </w:r>
      <w:r w:rsidR="00C66EC7" w:rsidRPr="00C66EC7">
        <w:rPr>
          <w:color w:val="000000"/>
          <w:spacing w:val="2"/>
          <w:shd w:val="solid" w:color="000000" w:fill="000000"/>
          <w:fitText w:val="280" w:id="-962354938"/>
          <w14:textFill>
            <w14:solidFill>
              <w14:srgbClr w14:val="000000">
                <w14:alpha w14:val="100000"/>
              </w14:srgbClr>
            </w14:solidFill>
          </w14:textFill>
        </w:rPr>
        <w:t>|</w:t>
      </w:r>
      <w:r w:rsidR="00097911" w:rsidRPr="000C77A2">
        <w:t xml:space="preserve"> (calculated as 0.95 multiplied by cost of 100 mg script + 0.05 multiplied by cost of 25 mg script). </w:t>
      </w:r>
    </w:p>
    <w:p w14:paraId="7F0C595D" w14:textId="77777777" w:rsidR="00460B7C" w:rsidRPr="00560AEC" w:rsidRDefault="00460B7C" w:rsidP="00C766BB">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17CD346E" w14:textId="504605A0" w:rsidR="00460B7C" w:rsidRPr="00560AEC" w:rsidRDefault="00460B7C" w:rsidP="00C766BB">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&lt; 500</w:t>
      </w:r>
    </w:p>
    <w:p w14:paraId="36612C50" w14:textId="4EF23A93" w:rsidR="00460B7C" w:rsidRPr="00560AEC" w:rsidRDefault="00460B7C" w:rsidP="00C766BB">
      <w:pPr>
        <w:keepNext/>
        <w:keepLines/>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$0 to &lt; $10 million</w:t>
      </w:r>
    </w:p>
    <w:p w14:paraId="51F5ADAA" w14:textId="25233155" w:rsidR="00097911" w:rsidRPr="000C77A2" w:rsidRDefault="00460B7C" w:rsidP="00560AEC">
      <w:pPr>
        <w:pStyle w:val="TableFooter"/>
        <w:spacing w:after="120"/>
      </w:pPr>
      <w:r w:rsidRPr="00560AEC">
        <w:rPr>
          <w:rFonts w:cstheme="minorHAnsi"/>
          <w:bCs/>
          <w:i/>
          <w:iCs/>
          <w:szCs w:val="18"/>
          <w:vertAlign w:val="superscript"/>
        </w:rPr>
        <w:t>3</w:t>
      </w:r>
      <w:r w:rsidRPr="00560AEC">
        <w:rPr>
          <w:rFonts w:cstheme="minorHAnsi"/>
          <w:bCs/>
          <w:i/>
          <w:iCs/>
          <w:szCs w:val="18"/>
        </w:rPr>
        <w:t xml:space="preserve"> net cost saving</w:t>
      </w:r>
    </w:p>
    <w:p w14:paraId="59143177" w14:textId="73C3D0E3" w:rsidR="00097911" w:rsidRPr="000C77A2" w:rsidRDefault="00097911" w:rsidP="00E21C39">
      <w:pPr>
        <w:numPr>
          <w:ilvl w:val="1"/>
          <w:numId w:val="1"/>
        </w:numPr>
        <w:spacing w:after="120"/>
        <w:rPr>
          <w:rFonts w:asciiTheme="minorHAnsi" w:hAnsiTheme="minorHAnsi"/>
          <w:snapToGrid w:val="0"/>
        </w:rPr>
      </w:pPr>
      <w:r w:rsidRPr="000C77A2">
        <w:rPr>
          <w:rFonts w:asciiTheme="minorHAnsi" w:hAnsiTheme="minorHAnsi"/>
          <w:snapToGrid w:val="0"/>
        </w:rPr>
        <w:t xml:space="preserve">The total cost to the PBS of listing larotrectinib was estimated to be </w:t>
      </w:r>
      <w:r w:rsidR="00460B7C" w:rsidRPr="00460B7C">
        <w:rPr>
          <w:rFonts w:asciiTheme="minorHAnsi" w:hAnsiTheme="minorHAnsi"/>
          <w:snapToGrid w:val="0"/>
        </w:rPr>
        <w:t>$0</w:t>
      </w:r>
      <w:r w:rsidR="00835E9E">
        <w:rPr>
          <w:rFonts w:asciiTheme="minorHAnsi" w:hAnsiTheme="minorHAnsi"/>
          <w:snapToGrid w:val="0"/>
        </w:rPr>
        <w:t> </w:t>
      </w:r>
      <w:r w:rsidR="00460B7C" w:rsidRPr="00460B7C">
        <w:rPr>
          <w:rFonts w:asciiTheme="minorHAnsi" w:hAnsiTheme="minorHAnsi"/>
          <w:snapToGrid w:val="0"/>
        </w:rPr>
        <w:t>to</w:t>
      </w:r>
      <w:r w:rsidR="00835E9E">
        <w:rPr>
          <w:rFonts w:asciiTheme="minorHAnsi" w:hAnsiTheme="minorHAnsi"/>
          <w:snapToGrid w:val="0"/>
        </w:rPr>
        <w:t> </w:t>
      </w:r>
      <w:r w:rsidR="00460B7C" w:rsidRPr="00460B7C">
        <w:rPr>
          <w:rFonts w:asciiTheme="minorHAnsi" w:hAnsiTheme="minorHAnsi"/>
          <w:snapToGrid w:val="0"/>
        </w:rPr>
        <w:t>&lt;</w:t>
      </w:r>
      <w:r w:rsidR="00835E9E">
        <w:rPr>
          <w:rFonts w:asciiTheme="minorHAnsi" w:hAnsiTheme="minorHAnsi"/>
          <w:snapToGrid w:val="0"/>
        </w:rPr>
        <w:t> </w:t>
      </w:r>
      <w:r w:rsidR="00460B7C" w:rsidRPr="00460B7C">
        <w:rPr>
          <w:rFonts w:asciiTheme="minorHAnsi" w:hAnsiTheme="minorHAnsi"/>
          <w:snapToGrid w:val="0"/>
        </w:rPr>
        <w:t>$10</w:t>
      </w:r>
      <w:r w:rsidR="00835E9E">
        <w:rPr>
          <w:rFonts w:asciiTheme="minorHAnsi" w:hAnsiTheme="minorHAnsi"/>
          <w:snapToGrid w:val="0"/>
        </w:rPr>
        <w:t> </w:t>
      </w:r>
      <w:r w:rsidR="00460B7C" w:rsidRPr="00460B7C">
        <w:rPr>
          <w:rFonts w:asciiTheme="minorHAnsi" w:hAnsiTheme="minorHAnsi"/>
          <w:snapToGrid w:val="0"/>
        </w:rPr>
        <w:t>million</w:t>
      </w:r>
      <w:r w:rsidR="00460B7C" w:rsidRPr="00460B7C" w:rsidDel="00460B7C">
        <w:rPr>
          <w:rFonts w:asciiTheme="minorHAnsi" w:hAnsiTheme="minorHAnsi"/>
          <w:snapToGrid w:val="0"/>
        </w:rPr>
        <w:t xml:space="preserve"> </w:t>
      </w:r>
      <w:r w:rsidRPr="000C77A2">
        <w:rPr>
          <w:rFonts w:asciiTheme="minorHAnsi" w:hAnsiTheme="minorHAnsi"/>
          <w:snapToGrid w:val="0"/>
        </w:rPr>
        <w:t xml:space="preserve">in Year 6, and a total of </w:t>
      </w:r>
      <w:r w:rsidR="00460B7C" w:rsidRPr="00460B7C">
        <w:rPr>
          <w:rFonts w:asciiTheme="minorHAnsi" w:hAnsiTheme="minorHAnsi"/>
          <w:snapToGrid w:val="0"/>
        </w:rPr>
        <w:t>$10 million to &lt; $20 million</w:t>
      </w:r>
      <w:r w:rsidR="00460B7C">
        <w:rPr>
          <w:rFonts w:asciiTheme="minorHAnsi" w:hAnsiTheme="minorHAnsi"/>
          <w:snapToGrid w:val="0"/>
        </w:rPr>
        <w:t xml:space="preserve"> </w:t>
      </w:r>
      <w:r w:rsidRPr="000C77A2">
        <w:rPr>
          <w:rFonts w:asciiTheme="minorHAnsi" w:hAnsiTheme="minorHAnsi"/>
          <w:snapToGrid w:val="0"/>
        </w:rPr>
        <w:t>in the first 6 years of listing</w:t>
      </w:r>
      <w:r w:rsidR="000C77A2">
        <w:rPr>
          <w:rFonts w:asciiTheme="minorHAnsi" w:hAnsiTheme="minorHAnsi"/>
          <w:snapToGrid w:val="0"/>
        </w:rPr>
        <w:t xml:space="preserve">. </w:t>
      </w:r>
    </w:p>
    <w:p w14:paraId="692469C8" w14:textId="108C1147" w:rsidR="00D40B9F" w:rsidRPr="000C77A2" w:rsidRDefault="00D40B9F" w:rsidP="00D40B9F">
      <w:pPr>
        <w:pStyle w:val="3-BodyText"/>
        <w:rPr>
          <w:lang w:eastAsia="en-US"/>
        </w:rPr>
      </w:pPr>
      <w:bookmarkStart w:id="66" w:name="_Ref163457597"/>
      <w:r w:rsidRPr="000C77A2">
        <w:rPr>
          <w:lang w:eastAsia="en-US"/>
        </w:rPr>
        <w:t>The PSCR provided revised financial estimate</w:t>
      </w:r>
      <w:r w:rsidR="00FD0790" w:rsidRPr="000C77A2">
        <w:rPr>
          <w:lang w:eastAsia="en-US"/>
        </w:rPr>
        <w:t>s</w:t>
      </w:r>
      <w:r w:rsidRPr="000C77A2">
        <w:rPr>
          <w:lang w:eastAsia="en-US"/>
        </w:rPr>
        <w:t xml:space="preserve"> that incorporated the following changes:</w:t>
      </w:r>
      <w:bookmarkEnd w:id="66"/>
      <w:r w:rsidRPr="000C77A2">
        <w:rPr>
          <w:lang w:eastAsia="en-US"/>
        </w:rPr>
        <w:t xml:space="preserve"> </w:t>
      </w:r>
    </w:p>
    <w:p w14:paraId="34FB0129" w14:textId="7014E050" w:rsidR="00D40B9F" w:rsidRPr="000C77A2" w:rsidRDefault="00D40B9F" w:rsidP="00560AEC">
      <w:pPr>
        <w:widowControl w:val="0"/>
        <w:numPr>
          <w:ilvl w:val="0"/>
          <w:numId w:val="38"/>
        </w:numPr>
        <w:spacing w:after="120" w:line="259" w:lineRule="auto"/>
        <w:ind w:left="1077" w:hanging="357"/>
        <w:rPr>
          <w:rFonts w:cs="Calibri"/>
          <w:lang w:eastAsia="en-US"/>
        </w:rPr>
      </w:pPr>
      <w:r w:rsidRPr="000C77A2">
        <w:rPr>
          <w:rFonts w:cs="Calibri"/>
          <w:lang w:eastAsia="en-US"/>
        </w:rPr>
        <w:t xml:space="preserve">The DPMQs were updated to include the appropriate mark-ups and estimate the net cost to the health budget. </w:t>
      </w:r>
    </w:p>
    <w:p w14:paraId="1C686421" w14:textId="104589AE" w:rsidR="00D40B9F" w:rsidRPr="000C77A2" w:rsidRDefault="00D40B9F" w:rsidP="00560AEC">
      <w:pPr>
        <w:widowControl w:val="0"/>
        <w:numPr>
          <w:ilvl w:val="0"/>
          <w:numId w:val="38"/>
        </w:numPr>
        <w:spacing w:after="120" w:line="259" w:lineRule="auto"/>
        <w:ind w:left="1077" w:hanging="357"/>
        <w:rPr>
          <w:rFonts w:cs="Calibri"/>
          <w:lang w:eastAsia="en-US"/>
        </w:rPr>
      </w:pPr>
      <w:r w:rsidRPr="000C77A2">
        <w:rPr>
          <w:rFonts w:cs="Calibri"/>
          <w:lang w:eastAsia="en-US"/>
        </w:rPr>
        <w:t>The number of larotrectinib prescriptions were estimated by correcting for the number of scripts per year (13.04 scripts/year) and correcting for the number of continuing scripts across the first 6 years of listing</w:t>
      </w:r>
      <w:r w:rsidR="000C77A2">
        <w:rPr>
          <w:rFonts w:cs="Calibri"/>
          <w:lang w:eastAsia="en-US"/>
        </w:rPr>
        <w:t xml:space="preserve">. </w:t>
      </w:r>
    </w:p>
    <w:p w14:paraId="6BD5FE7B" w14:textId="3E6BDC8A" w:rsidR="00D40B9F" w:rsidRPr="000C77A2" w:rsidRDefault="00D40B9F" w:rsidP="00560AEC">
      <w:pPr>
        <w:widowControl w:val="0"/>
        <w:numPr>
          <w:ilvl w:val="0"/>
          <w:numId w:val="38"/>
        </w:numPr>
        <w:spacing w:after="120" w:line="259" w:lineRule="auto"/>
        <w:ind w:left="1077" w:hanging="357"/>
        <w:rPr>
          <w:rFonts w:cs="Calibri"/>
          <w:lang w:eastAsia="en-US"/>
        </w:rPr>
      </w:pPr>
      <w:r w:rsidRPr="000C77A2">
        <w:rPr>
          <w:rFonts w:cs="Calibri"/>
          <w:lang w:eastAsia="en-US"/>
        </w:rPr>
        <w:t xml:space="preserve">The proportion of patients advanced at diagnosis for STS was updated to utilise the value used in the previous submission (42.3% instead of 47.3%). </w:t>
      </w:r>
    </w:p>
    <w:p w14:paraId="0B90B33E" w14:textId="1E75FD12" w:rsidR="00D40B9F" w:rsidRPr="000C77A2" w:rsidRDefault="00D40B9F" w:rsidP="00560AEC">
      <w:pPr>
        <w:widowControl w:val="0"/>
        <w:numPr>
          <w:ilvl w:val="0"/>
          <w:numId w:val="38"/>
        </w:numPr>
        <w:spacing w:after="120" w:line="259" w:lineRule="auto"/>
        <w:ind w:left="1077" w:hanging="357"/>
        <w:rPr>
          <w:rFonts w:cs="Calibri"/>
          <w:lang w:eastAsia="en-US"/>
        </w:rPr>
      </w:pPr>
      <w:r w:rsidRPr="000C77A2">
        <w:rPr>
          <w:rFonts w:cs="Calibri"/>
          <w:lang w:eastAsia="en-US"/>
        </w:rPr>
        <w:lastRenderedPageBreak/>
        <w:t xml:space="preserve">The modelled treatment duration of 30 months was applied to all incident patients likely to receive larotrectinib. </w:t>
      </w:r>
    </w:p>
    <w:p w14:paraId="674E5DE2" w14:textId="77777777" w:rsidR="00D40B9F" w:rsidRPr="000C77A2" w:rsidRDefault="00D40B9F" w:rsidP="00560AEC">
      <w:pPr>
        <w:widowControl w:val="0"/>
        <w:numPr>
          <w:ilvl w:val="0"/>
          <w:numId w:val="38"/>
        </w:numPr>
        <w:spacing w:after="120" w:line="259" w:lineRule="auto"/>
        <w:ind w:left="1077" w:hanging="357"/>
        <w:rPr>
          <w:rFonts w:cs="Calibri"/>
          <w:lang w:eastAsia="en-US"/>
        </w:rPr>
      </w:pPr>
      <w:r w:rsidRPr="000C77A2">
        <w:rPr>
          <w:rFonts w:cs="Calibri"/>
          <w:lang w:eastAsia="en-US"/>
        </w:rPr>
        <w:t xml:space="preserve">The prevalence of </w:t>
      </w:r>
      <w:r w:rsidRPr="000C77A2">
        <w:rPr>
          <w:rFonts w:cs="Calibri"/>
          <w:i/>
          <w:iCs/>
          <w:lang w:eastAsia="en-US"/>
        </w:rPr>
        <w:t>NTRK</w:t>
      </w:r>
      <w:r w:rsidRPr="000C77A2">
        <w:rPr>
          <w:rFonts w:cs="Calibri"/>
          <w:lang w:eastAsia="en-US"/>
        </w:rPr>
        <w:t xml:space="preserve"> fusions were updated to utilise alternate estimates identified during the evaluation (0.19% in NSCLC and 0.69% in STS). </w:t>
      </w:r>
    </w:p>
    <w:p w14:paraId="0A979913" w14:textId="5A66C80E" w:rsidR="00D40B9F" w:rsidRPr="000C77A2" w:rsidRDefault="00D40B9F" w:rsidP="00560AEC">
      <w:pPr>
        <w:widowControl w:val="0"/>
        <w:numPr>
          <w:ilvl w:val="0"/>
          <w:numId w:val="38"/>
        </w:numPr>
        <w:spacing w:after="120" w:line="259" w:lineRule="auto"/>
        <w:ind w:left="1077" w:hanging="357"/>
        <w:rPr>
          <w:rFonts w:cs="Calibri"/>
          <w:lang w:eastAsia="en-US"/>
        </w:rPr>
      </w:pPr>
      <w:r w:rsidRPr="000C77A2">
        <w:rPr>
          <w:rFonts w:cs="Calibri"/>
          <w:snapToGrid w:val="0"/>
          <w:lang w:eastAsia="en-US"/>
        </w:rPr>
        <w:t xml:space="preserve">The uptake rates for STS patients were revised to </w:t>
      </w:r>
      <w:r w:rsidR="00C66EC7" w:rsidRPr="00C766BB">
        <w:rPr>
          <w:rFonts w:cs="Calibri"/>
          <w:snapToGrid w:val="0"/>
          <w:color w:val="000000"/>
          <w:w w:val="15"/>
          <w:shd w:val="solid" w:color="000000" w:fill="000000"/>
          <w:fitText w:val="-20" w:id="-962354937"/>
          <w:lang w:eastAsia="en-US"/>
          <w14:textFill>
            <w14:solidFill>
              <w14:srgbClr w14:val="000000">
                <w14:alpha w14:val="100000"/>
              </w14:srgbClr>
            </w14:solidFill>
          </w14:textFill>
        </w:rPr>
        <w:t xml:space="preserve">|  </w:t>
      </w:r>
      <w:r w:rsidR="00C66EC7" w:rsidRPr="00C766BB">
        <w:rPr>
          <w:rFonts w:cs="Calibri"/>
          <w:snapToGrid w:val="0"/>
          <w:color w:val="000000"/>
          <w:spacing w:val="-69"/>
          <w:w w:val="15"/>
          <w:shd w:val="solid" w:color="000000" w:fill="000000"/>
          <w:fitText w:val="-20" w:id="-962354937"/>
          <w:lang w:eastAsia="en-US"/>
          <w14:textFill>
            <w14:solidFill>
              <w14:srgbClr w14:val="000000">
                <w14:alpha w14:val="100000"/>
              </w14:srgbClr>
            </w14:solidFill>
          </w14:textFill>
        </w:rPr>
        <w:t>|</w:t>
      </w:r>
      <w:r w:rsidRPr="000C77A2">
        <w:rPr>
          <w:rFonts w:cs="Calibri"/>
          <w:snapToGrid w:val="0"/>
          <w:lang w:eastAsia="en-US"/>
        </w:rPr>
        <w:t xml:space="preserve">% in year 1 and </w:t>
      </w:r>
      <w:r w:rsidR="00C66EC7" w:rsidRPr="00C766BB">
        <w:rPr>
          <w:rFonts w:cs="Calibri"/>
          <w:snapToGrid w:val="0"/>
          <w:color w:val="000000"/>
          <w:w w:val="15"/>
          <w:shd w:val="solid" w:color="000000" w:fill="000000"/>
          <w:fitText w:val="-20" w:id="-962354936"/>
          <w:lang w:eastAsia="en-US"/>
          <w14:textFill>
            <w14:solidFill>
              <w14:srgbClr w14:val="000000">
                <w14:alpha w14:val="100000"/>
              </w14:srgbClr>
            </w14:solidFill>
          </w14:textFill>
        </w:rPr>
        <w:t xml:space="preserve">|  </w:t>
      </w:r>
      <w:r w:rsidR="00C66EC7" w:rsidRPr="00C766BB">
        <w:rPr>
          <w:rFonts w:cs="Calibri"/>
          <w:snapToGrid w:val="0"/>
          <w:color w:val="000000"/>
          <w:spacing w:val="-69"/>
          <w:w w:val="15"/>
          <w:shd w:val="solid" w:color="000000" w:fill="000000"/>
          <w:fitText w:val="-20" w:id="-962354936"/>
          <w:lang w:eastAsia="en-US"/>
          <w14:textFill>
            <w14:solidFill>
              <w14:srgbClr w14:val="000000">
                <w14:alpha w14:val="100000"/>
              </w14:srgbClr>
            </w14:solidFill>
          </w14:textFill>
        </w:rPr>
        <w:t>|</w:t>
      </w:r>
      <w:r w:rsidRPr="000C77A2">
        <w:rPr>
          <w:rFonts w:cs="Calibri"/>
          <w:snapToGrid w:val="0"/>
          <w:lang w:eastAsia="en-US"/>
        </w:rPr>
        <w:t xml:space="preserve">% from years 2 onwards. </w:t>
      </w:r>
    </w:p>
    <w:p w14:paraId="02B3D6EF" w14:textId="2F17BCE3" w:rsidR="00FD0790" w:rsidRPr="000C77A2" w:rsidRDefault="00FD0790" w:rsidP="00F25F45">
      <w:pPr>
        <w:pStyle w:val="3-BodyText"/>
        <w:rPr>
          <w:lang w:eastAsia="en-US"/>
        </w:rPr>
      </w:pPr>
      <w:r w:rsidRPr="000C77A2">
        <w:rPr>
          <w:lang w:eastAsia="en-US"/>
        </w:rPr>
        <w:t xml:space="preserve">The pre-PBAC response provided revised financial estimates using the model provided with the PSCR and the revised price (see </w:t>
      </w:r>
      <w:r w:rsidRPr="000C77A2">
        <w:rPr>
          <w:lang w:eastAsia="en-US"/>
        </w:rPr>
        <w:fldChar w:fldCharType="begin" w:fldLock="1"/>
      </w:r>
      <w:r w:rsidRPr="000C77A2">
        <w:rPr>
          <w:lang w:eastAsia="en-US"/>
        </w:rPr>
        <w:instrText xml:space="preserve"> REF _Ref158989813 \h </w:instrText>
      </w:r>
      <w:r w:rsidRPr="000C77A2">
        <w:rPr>
          <w:lang w:eastAsia="en-US"/>
        </w:rPr>
      </w:r>
      <w:r w:rsidRPr="000C77A2">
        <w:rPr>
          <w:lang w:eastAsia="en-US"/>
        </w:rPr>
        <w:fldChar w:fldCharType="separate"/>
      </w:r>
      <w:r w:rsidR="001B0FE7" w:rsidRPr="000C77A2">
        <w:t xml:space="preserve">Table </w:t>
      </w:r>
      <w:r w:rsidR="001B0FE7">
        <w:rPr>
          <w:noProof/>
        </w:rPr>
        <w:t>27</w:t>
      </w:r>
      <w:r w:rsidRPr="000C77A2">
        <w:rPr>
          <w:lang w:eastAsia="en-US"/>
        </w:rPr>
        <w:fldChar w:fldCharType="end"/>
      </w:r>
      <w:r w:rsidRPr="000C77A2">
        <w:rPr>
          <w:lang w:eastAsia="en-US"/>
        </w:rPr>
        <w:t>).</w:t>
      </w:r>
    </w:p>
    <w:p w14:paraId="711E25E1" w14:textId="752D4FED" w:rsidR="00D40B9F" w:rsidRPr="000C77A2" w:rsidRDefault="00D40B9F" w:rsidP="00D40B9F">
      <w:pPr>
        <w:pStyle w:val="Caption"/>
      </w:pPr>
      <w:bookmarkStart w:id="67" w:name="_Ref158989813"/>
      <w:bookmarkStart w:id="68" w:name="_Toc22897648"/>
      <w:bookmarkStart w:id="69" w:name="_Toc107927634"/>
      <w:bookmarkStart w:id="70" w:name="_Toc156903966"/>
      <w:r w:rsidRPr="000C77A2">
        <w:t xml:space="preserve">Table </w:t>
      </w:r>
      <w:fldSimple w:instr=" SEQ Table \* ARABIC " w:fldLock="1">
        <w:r w:rsidR="001B0FE7">
          <w:rPr>
            <w:noProof/>
          </w:rPr>
          <w:t>27</w:t>
        </w:r>
      </w:fldSimple>
      <w:bookmarkEnd w:id="67"/>
      <w:r w:rsidRPr="000C77A2">
        <w:t xml:space="preserve">: Estimated use and financial implications, </w:t>
      </w:r>
      <w:r w:rsidR="00020482" w:rsidRPr="000C77A2">
        <w:t xml:space="preserve">using the </w:t>
      </w:r>
      <w:r w:rsidRPr="000C77A2">
        <w:t xml:space="preserve">revised </w:t>
      </w:r>
      <w:r w:rsidR="00020482" w:rsidRPr="000C77A2">
        <w:t xml:space="preserve">model provided </w:t>
      </w:r>
      <w:r w:rsidRPr="000C77A2">
        <w:t>in PSCR</w:t>
      </w:r>
      <w:r w:rsidR="00D56659" w:rsidRPr="000C77A2">
        <w:t xml:space="preserve"> </w:t>
      </w:r>
      <w:r w:rsidR="00020482" w:rsidRPr="000C77A2">
        <w:t xml:space="preserve">and the price proposed in the pre-PBAC response </w:t>
      </w:r>
    </w:p>
    <w:tbl>
      <w:tblPr>
        <w:tblStyle w:val="PBACTableStyle222"/>
        <w:tblW w:w="5015" w:type="pct"/>
        <w:tblLook w:val="04A0" w:firstRow="1" w:lastRow="0" w:firstColumn="1" w:lastColumn="0" w:noHBand="0" w:noVBand="1"/>
        <w:tblCaption w:val="Table 27: Estimated use and financial implications, using the revised model provided in PSCR and the price proposed in the pre-PBAC response "/>
      </w:tblPr>
      <w:tblGrid>
        <w:gridCol w:w="2540"/>
        <w:gridCol w:w="1020"/>
        <w:gridCol w:w="1096"/>
        <w:gridCol w:w="1096"/>
        <w:gridCol w:w="1096"/>
        <w:gridCol w:w="1096"/>
        <w:gridCol w:w="1073"/>
        <w:gridCol w:w="27"/>
      </w:tblGrid>
      <w:tr w:rsidR="00835E9E" w:rsidRPr="000C77A2" w14:paraId="10131DE3" w14:textId="77777777" w:rsidTr="00560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14:paraId="2CA00B32" w14:textId="77777777" w:rsidR="00D40B9F" w:rsidRPr="00576FA3" w:rsidRDefault="00D40B9F" w:rsidP="00020482">
            <w:pPr>
              <w:pStyle w:val="In-tableHeading"/>
              <w:jc w:val="left"/>
              <w:rPr>
                <w:lang w:val="en-AU"/>
              </w:rPr>
            </w:pPr>
          </w:p>
        </w:tc>
        <w:tc>
          <w:tcPr>
            <w:tcW w:w="564" w:type="pct"/>
          </w:tcPr>
          <w:p w14:paraId="12DA4AB8" w14:textId="77777777" w:rsidR="00D40B9F" w:rsidRPr="00560AEC" w:rsidRDefault="00D40B9F" w:rsidP="00432CEF">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20539">
              <w:rPr>
                <w:bCs/>
                <w:lang w:val="en-AU"/>
              </w:rPr>
              <w:t>Year 1</w:t>
            </w:r>
          </w:p>
        </w:tc>
        <w:tc>
          <w:tcPr>
            <w:tcW w:w="606" w:type="pct"/>
          </w:tcPr>
          <w:p w14:paraId="5B71283E" w14:textId="77777777" w:rsidR="00D40B9F" w:rsidRPr="00560AEC" w:rsidRDefault="00D40B9F" w:rsidP="00432CEF">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20539">
              <w:rPr>
                <w:bCs/>
                <w:lang w:val="en-AU"/>
              </w:rPr>
              <w:t>Year 2</w:t>
            </w:r>
          </w:p>
        </w:tc>
        <w:tc>
          <w:tcPr>
            <w:tcW w:w="606" w:type="pct"/>
          </w:tcPr>
          <w:p w14:paraId="1F21C398" w14:textId="77777777" w:rsidR="00D40B9F" w:rsidRPr="00560AEC" w:rsidRDefault="00D40B9F" w:rsidP="00432CEF">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20539">
              <w:rPr>
                <w:bCs/>
                <w:lang w:val="en-AU"/>
              </w:rPr>
              <w:t>Year 3</w:t>
            </w:r>
          </w:p>
        </w:tc>
        <w:tc>
          <w:tcPr>
            <w:tcW w:w="606" w:type="pct"/>
          </w:tcPr>
          <w:p w14:paraId="6D59555D" w14:textId="77777777" w:rsidR="00D40B9F" w:rsidRPr="00560AEC" w:rsidRDefault="00D40B9F" w:rsidP="00432CEF">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20539">
              <w:rPr>
                <w:bCs/>
                <w:lang w:val="en-AU"/>
              </w:rPr>
              <w:t>Year 4</w:t>
            </w:r>
          </w:p>
        </w:tc>
        <w:tc>
          <w:tcPr>
            <w:tcW w:w="606" w:type="pct"/>
          </w:tcPr>
          <w:p w14:paraId="172CC500" w14:textId="77777777" w:rsidR="00D40B9F" w:rsidRPr="00560AEC" w:rsidRDefault="00D40B9F" w:rsidP="00432CEF">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20539">
              <w:rPr>
                <w:bCs/>
                <w:lang w:val="en-AU"/>
              </w:rPr>
              <w:t>Year 5</w:t>
            </w:r>
          </w:p>
        </w:tc>
        <w:tc>
          <w:tcPr>
            <w:tcW w:w="606" w:type="pct"/>
            <w:gridSpan w:val="2"/>
          </w:tcPr>
          <w:p w14:paraId="2B8E605A" w14:textId="77777777" w:rsidR="00D40B9F" w:rsidRPr="00560AEC" w:rsidRDefault="00D40B9F" w:rsidP="00432CEF">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20539">
              <w:rPr>
                <w:bCs/>
                <w:lang w:val="en-AU"/>
              </w:rPr>
              <w:t>Year 6</w:t>
            </w:r>
          </w:p>
        </w:tc>
      </w:tr>
      <w:tr w:rsidR="00D40B9F" w:rsidRPr="000C77A2" w14:paraId="48E66D69" w14:textId="77777777" w:rsidTr="00560AEC">
        <w:trPr>
          <w:gridAfter w:val="1"/>
          <w:wAfter w:w="15" w:type="pct"/>
        </w:trPr>
        <w:tc>
          <w:tcPr>
            <w:cnfStyle w:val="001000000000" w:firstRow="0" w:lastRow="0" w:firstColumn="1" w:lastColumn="0" w:oddVBand="0" w:evenVBand="0" w:oddHBand="0" w:evenHBand="0" w:firstRowFirstColumn="0" w:firstRowLastColumn="0" w:lastRowFirstColumn="0" w:lastRowLastColumn="0"/>
            <w:tcW w:w="4985" w:type="pct"/>
            <w:gridSpan w:val="7"/>
          </w:tcPr>
          <w:p w14:paraId="486E41FD" w14:textId="77777777" w:rsidR="00D40B9F" w:rsidRPr="00576FA3" w:rsidRDefault="00D40B9F" w:rsidP="00432CEF">
            <w:pPr>
              <w:pStyle w:val="TableText0"/>
              <w:rPr>
                <w:b/>
                <w:bCs w:val="0"/>
              </w:rPr>
            </w:pPr>
            <w:r w:rsidRPr="00576FA3">
              <w:rPr>
                <w:b/>
                <w:bCs w:val="0"/>
              </w:rPr>
              <w:t>NSCLC</w:t>
            </w:r>
          </w:p>
        </w:tc>
      </w:tr>
      <w:tr w:rsidR="00835E9E" w:rsidRPr="000C77A2" w14:paraId="20A35116" w14:textId="77777777" w:rsidTr="00560AEC">
        <w:tc>
          <w:tcPr>
            <w:cnfStyle w:val="001000000000" w:firstRow="0" w:lastRow="0" w:firstColumn="1" w:lastColumn="0" w:oddVBand="0" w:evenVBand="0" w:oddHBand="0" w:evenHBand="0" w:firstRowFirstColumn="0" w:firstRowLastColumn="0" w:lastRowFirstColumn="0" w:lastRowLastColumn="0"/>
            <w:tcW w:w="1404" w:type="pct"/>
          </w:tcPr>
          <w:p w14:paraId="4B004191" w14:textId="34E6085E" w:rsidR="00D40B9F" w:rsidRPr="000C77A2" w:rsidRDefault="00CD4B7E" w:rsidP="00D40B9F">
            <w:pPr>
              <w:pStyle w:val="TableText0"/>
              <w:rPr>
                <w:vertAlign w:val="superscript"/>
              </w:rPr>
            </w:pPr>
            <w:r w:rsidRPr="000C77A2">
              <w:t xml:space="preserve">Number of initiating patients </w:t>
            </w:r>
          </w:p>
        </w:tc>
        <w:tc>
          <w:tcPr>
            <w:tcW w:w="564" w:type="pct"/>
          </w:tcPr>
          <w:p w14:paraId="63E02B25" w14:textId="359EB152"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tcPr>
          <w:p w14:paraId="29E4119F" w14:textId="34310286"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rFonts w:hint="eastAsia"/>
                <w:w w:val="15"/>
                <w:shd w:val="solid" w:color="000000" w:fill="000000"/>
                <w:fitText w:val="45" w:id="-962354935"/>
                <w14:textFill>
                  <w14:solidFill>
                    <w14:schemeClr w14:val="tx1">
                      <w14:alpha w14:val="100000"/>
                    </w14:schemeClr>
                  </w14:solidFill>
                </w14:textFill>
              </w:rPr>
              <w:t xml:space="preserve">　</w:t>
            </w:r>
            <w:r w:rsidRPr="00C66EC7">
              <w:rPr>
                <w:w w:val="15"/>
                <w:shd w:val="solid" w:color="000000" w:fill="000000"/>
                <w:fitText w:val="45" w:id="-962354935"/>
                <w14:textFill>
                  <w14:solidFill>
                    <w14:schemeClr w14:val="tx1">
                      <w14:alpha w14:val="100000"/>
                    </w14:schemeClr>
                  </w14:solidFill>
                </w14:textFill>
              </w:rPr>
              <w:t>|</w:t>
            </w:r>
            <w:r w:rsidRPr="00C66EC7">
              <w:rPr>
                <w:rFonts w:hint="eastAsia"/>
                <w:spacing w:val="-20"/>
                <w:w w:val="15"/>
                <w:shd w:val="solid" w:color="000000" w:fill="000000"/>
                <w:fitText w:val="45" w:id="-962354935"/>
                <w14:textFill>
                  <w14:solidFill>
                    <w14:schemeClr w14:val="tx1">
                      <w14:alpha w14:val="100000"/>
                    </w14:schemeClr>
                  </w14:solidFill>
                </w14:textFill>
              </w:rPr>
              <w:t xml:space="preserve">　</w:t>
            </w:r>
            <w:r w:rsidR="005B65B8" w:rsidRPr="00162C9D">
              <w:rPr>
                <w:vertAlign w:val="superscript"/>
              </w:rPr>
              <w:t>1</w:t>
            </w:r>
          </w:p>
        </w:tc>
        <w:tc>
          <w:tcPr>
            <w:tcW w:w="606" w:type="pct"/>
          </w:tcPr>
          <w:p w14:paraId="2D84B8CF" w14:textId="020FC6EB"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tcPr>
          <w:p w14:paraId="57B2B1F1" w14:textId="12A6A62B"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tcPr>
          <w:p w14:paraId="7D615518" w14:textId="39F958DF"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gridSpan w:val="2"/>
          </w:tcPr>
          <w:p w14:paraId="1A0A852A" w14:textId="0D00A9E7"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rFonts w:hint="eastAsia"/>
                <w:w w:val="15"/>
                <w:shd w:val="solid" w:color="000000" w:fill="000000"/>
                <w:fitText w:val="45" w:id="-962354934"/>
                <w14:textFill>
                  <w14:solidFill>
                    <w14:schemeClr w14:val="tx1">
                      <w14:alpha w14:val="100000"/>
                    </w14:schemeClr>
                  </w14:solidFill>
                </w14:textFill>
              </w:rPr>
              <w:t xml:space="preserve">　</w:t>
            </w:r>
            <w:r w:rsidRPr="00C66EC7">
              <w:rPr>
                <w:w w:val="15"/>
                <w:shd w:val="solid" w:color="000000" w:fill="000000"/>
                <w:fitText w:val="45" w:id="-962354934"/>
                <w14:textFill>
                  <w14:solidFill>
                    <w14:schemeClr w14:val="tx1">
                      <w14:alpha w14:val="100000"/>
                    </w14:schemeClr>
                  </w14:solidFill>
                </w14:textFill>
              </w:rPr>
              <w:t>|</w:t>
            </w:r>
            <w:r w:rsidRPr="00C66EC7">
              <w:rPr>
                <w:rFonts w:hint="eastAsia"/>
                <w:spacing w:val="-20"/>
                <w:w w:val="15"/>
                <w:shd w:val="solid" w:color="000000" w:fill="000000"/>
                <w:fitText w:val="45" w:id="-962354934"/>
                <w14:textFill>
                  <w14:solidFill>
                    <w14:schemeClr w14:val="tx1">
                      <w14:alpha w14:val="100000"/>
                    </w14:schemeClr>
                  </w14:solidFill>
                </w14:textFill>
              </w:rPr>
              <w:t xml:space="preserve">　</w:t>
            </w:r>
            <w:r w:rsidR="005B65B8" w:rsidRPr="00162C9D">
              <w:rPr>
                <w:vertAlign w:val="superscript"/>
              </w:rPr>
              <w:t>1</w:t>
            </w:r>
          </w:p>
        </w:tc>
      </w:tr>
      <w:tr w:rsidR="00D40B9F" w:rsidRPr="000C77A2" w14:paraId="0CC1F70F" w14:textId="77777777" w:rsidTr="00560AEC">
        <w:trPr>
          <w:gridAfter w:val="1"/>
          <w:wAfter w:w="15" w:type="pct"/>
        </w:trPr>
        <w:tc>
          <w:tcPr>
            <w:cnfStyle w:val="001000000000" w:firstRow="0" w:lastRow="0" w:firstColumn="1" w:lastColumn="0" w:oddVBand="0" w:evenVBand="0" w:oddHBand="0" w:evenHBand="0" w:firstRowFirstColumn="0" w:firstRowLastColumn="0" w:lastRowFirstColumn="0" w:lastRowLastColumn="0"/>
            <w:tcW w:w="4985" w:type="pct"/>
            <w:gridSpan w:val="7"/>
          </w:tcPr>
          <w:p w14:paraId="0D2CDA5E" w14:textId="77777777" w:rsidR="00D40B9F" w:rsidRPr="00576FA3" w:rsidRDefault="00D40B9F" w:rsidP="00D40B9F">
            <w:pPr>
              <w:pStyle w:val="TableText0"/>
              <w:rPr>
                <w:b/>
                <w:bCs w:val="0"/>
              </w:rPr>
            </w:pPr>
            <w:r w:rsidRPr="00576FA3">
              <w:rPr>
                <w:b/>
                <w:bCs w:val="0"/>
              </w:rPr>
              <w:t>STS</w:t>
            </w:r>
          </w:p>
        </w:tc>
      </w:tr>
      <w:tr w:rsidR="00835E9E" w:rsidRPr="000C77A2" w14:paraId="2CD64275" w14:textId="77777777" w:rsidTr="00560AEC">
        <w:tc>
          <w:tcPr>
            <w:cnfStyle w:val="001000000000" w:firstRow="0" w:lastRow="0" w:firstColumn="1" w:lastColumn="0" w:oddVBand="0" w:evenVBand="0" w:oddHBand="0" w:evenHBand="0" w:firstRowFirstColumn="0" w:firstRowLastColumn="0" w:lastRowFirstColumn="0" w:lastRowLastColumn="0"/>
            <w:tcW w:w="1404" w:type="pct"/>
          </w:tcPr>
          <w:p w14:paraId="082FA2B0" w14:textId="7D445258" w:rsidR="00D40B9F" w:rsidRPr="00576FA3" w:rsidRDefault="00CD4B7E" w:rsidP="00D40B9F">
            <w:pPr>
              <w:pStyle w:val="TableText0"/>
              <w:rPr>
                <w:vertAlign w:val="superscript"/>
              </w:rPr>
            </w:pPr>
            <w:r w:rsidRPr="000C77A2">
              <w:t>Number of initiating patients</w:t>
            </w:r>
          </w:p>
        </w:tc>
        <w:tc>
          <w:tcPr>
            <w:tcW w:w="564" w:type="pct"/>
          </w:tcPr>
          <w:p w14:paraId="2681022C" w14:textId="43127992"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tcPr>
          <w:p w14:paraId="3E3D095B" w14:textId="35302772"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rFonts w:hint="eastAsia"/>
                <w:w w:val="15"/>
                <w:shd w:val="solid" w:color="000000" w:fill="000000"/>
                <w:fitText w:val="45" w:id="-962354933"/>
                <w14:textFill>
                  <w14:solidFill>
                    <w14:schemeClr w14:val="tx1">
                      <w14:alpha w14:val="100000"/>
                    </w14:schemeClr>
                  </w14:solidFill>
                </w14:textFill>
              </w:rPr>
              <w:t xml:space="preserve">　</w:t>
            </w:r>
            <w:r w:rsidRPr="00C66EC7">
              <w:rPr>
                <w:w w:val="15"/>
                <w:shd w:val="solid" w:color="000000" w:fill="000000"/>
                <w:fitText w:val="45" w:id="-962354933"/>
                <w14:textFill>
                  <w14:solidFill>
                    <w14:schemeClr w14:val="tx1">
                      <w14:alpha w14:val="100000"/>
                    </w14:schemeClr>
                  </w14:solidFill>
                </w14:textFill>
              </w:rPr>
              <w:t>|</w:t>
            </w:r>
            <w:r w:rsidRPr="00C66EC7">
              <w:rPr>
                <w:rFonts w:hint="eastAsia"/>
                <w:spacing w:val="-20"/>
                <w:w w:val="15"/>
                <w:shd w:val="solid" w:color="000000" w:fill="000000"/>
                <w:fitText w:val="45" w:id="-962354933"/>
                <w14:textFill>
                  <w14:solidFill>
                    <w14:schemeClr w14:val="tx1">
                      <w14:alpha w14:val="100000"/>
                    </w14:schemeClr>
                  </w14:solidFill>
                </w14:textFill>
              </w:rPr>
              <w:t xml:space="preserve">　</w:t>
            </w:r>
            <w:r w:rsidR="005B65B8" w:rsidRPr="00162C9D">
              <w:rPr>
                <w:vertAlign w:val="superscript"/>
              </w:rPr>
              <w:t>1</w:t>
            </w:r>
          </w:p>
        </w:tc>
        <w:tc>
          <w:tcPr>
            <w:tcW w:w="606" w:type="pct"/>
          </w:tcPr>
          <w:p w14:paraId="469CCAD0" w14:textId="0FB32A9B"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tcPr>
          <w:p w14:paraId="081D76D7" w14:textId="08DB3C51"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tcPr>
          <w:p w14:paraId="6D64D172" w14:textId="3269D098"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shd w:val="solid" w:color="000000" w:fill="000000"/>
                <w14:textFill>
                  <w14:solidFill>
                    <w14:schemeClr w14:val="tx1">
                      <w14:alpha w14:val="100000"/>
                    </w14:schemeClr>
                  </w14:solidFill>
                </w14:textFill>
              </w:rPr>
              <w:t>|</w:t>
            </w:r>
            <w:r w:rsidR="005B65B8" w:rsidRPr="00162C9D">
              <w:rPr>
                <w:vertAlign w:val="superscript"/>
              </w:rPr>
              <w:t>1</w:t>
            </w:r>
          </w:p>
        </w:tc>
        <w:tc>
          <w:tcPr>
            <w:tcW w:w="606" w:type="pct"/>
            <w:gridSpan w:val="2"/>
          </w:tcPr>
          <w:p w14:paraId="4FC3FD39" w14:textId="30C7C4A2"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highlight w:val="lightGray"/>
              </w:rPr>
            </w:pPr>
            <w:r w:rsidRPr="00C66EC7">
              <w:rPr>
                <w:rFonts w:hint="eastAsia"/>
                <w:w w:val="15"/>
                <w:shd w:val="solid" w:color="000000" w:fill="000000"/>
                <w:fitText w:val="45" w:id="-962354932"/>
                <w14:textFill>
                  <w14:solidFill>
                    <w14:schemeClr w14:val="tx1">
                      <w14:alpha w14:val="100000"/>
                    </w14:schemeClr>
                  </w14:solidFill>
                </w14:textFill>
              </w:rPr>
              <w:t xml:space="preserve">　</w:t>
            </w:r>
            <w:r w:rsidRPr="00C66EC7">
              <w:rPr>
                <w:w w:val="15"/>
                <w:shd w:val="solid" w:color="000000" w:fill="000000"/>
                <w:fitText w:val="45" w:id="-962354932"/>
                <w14:textFill>
                  <w14:solidFill>
                    <w14:schemeClr w14:val="tx1">
                      <w14:alpha w14:val="100000"/>
                    </w14:schemeClr>
                  </w14:solidFill>
                </w14:textFill>
              </w:rPr>
              <w:t>|</w:t>
            </w:r>
            <w:r w:rsidRPr="00C66EC7">
              <w:rPr>
                <w:rFonts w:hint="eastAsia"/>
                <w:spacing w:val="-20"/>
                <w:w w:val="15"/>
                <w:shd w:val="solid" w:color="000000" w:fill="000000"/>
                <w:fitText w:val="45" w:id="-962354932"/>
                <w14:textFill>
                  <w14:solidFill>
                    <w14:schemeClr w14:val="tx1">
                      <w14:alpha w14:val="100000"/>
                    </w14:schemeClr>
                  </w14:solidFill>
                </w14:textFill>
              </w:rPr>
              <w:t xml:space="preserve">　</w:t>
            </w:r>
            <w:r w:rsidR="005B65B8" w:rsidRPr="00162C9D">
              <w:rPr>
                <w:vertAlign w:val="superscript"/>
              </w:rPr>
              <w:t>1</w:t>
            </w:r>
          </w:p>
        </w:tc>
      </w:tr>
      <w:tr w:rsidR="00D40B9F" w:rsidRPr="000C77A2" w14:paraId="11BDFA8A" w14:textId="77777777" w:rsidTr="00560AEC">
        <w:trPr>
          <w:gridAfter w:val="1"/>
          <w:wAfter w:w="15" w:type="pct"/>
        </w:trPr>
        <w:tc>
          <w:tcPr>
            <w:cnfStyle w:val="001000000000" w:firstRow="0" w:lastRow="0" w:firstColumn="1" w:lastColumn="0" w:oddVBand="0" w:evenVBand="0" w:oddHBand="0" w:evenHBand="0" w:firstRowFirstColumn="0" w:firstRowLastColumn="0" w:lastRowFirstColumn="0" w:lastRowLastColumn="0"/>
            <w:tcW w:w="4985" w:type="pct"/>
            <w:gridSpan w:val="7"/>
          </w:tcPr>
          <w:p w14:paraId="5006036B" w14:textId="77777777" w:rsidR="00D40B9F" w:rsidRPr="00576FA3" w:rsidRDefault="00D40B9F" w:rsidP="00D40B9F">
            <w:pPr>
              <w:pStyle w:val="TableText0"/>
              <w:rPr>
                <w:b/>
                <w:bCs w:val="0"/>
              </w:rPr>
            </w:pPr>
            <w:r w:rsidRPr="00576FA3">
              <w:rPr>
                <w:b/>
                <w:bCs w:val="0"/>
              </w:rPr>
              <w:t>Total</w:t>
            </w:r>
          </w:p>
        </w:tc>
      </w:tr>
      <w:tr w:rsidR="00835E9E" w:rsidRPr="000C77A2" w14:paraId="35C0A98E" w14:textId="77777777" w:rsidTr="00560AEC">
        <w:tc>
          <w:tcPr>
            <w:cnfStyle w:val="001000000000" w:firstRow="0" w:lastRow="0" w:firstColumn="1" w:lastColumn="0" w:oddVBand="0" w:evenVBand="0" w:oddHBand="0" w:evenHBand="0" w:firstRowFirstColumn="0" w:firstRowLastColumn="0" w:lastRowFirstColumn="0" w:lastRowLastColumn="0"/>
            <w:tcW w:w="1404" w:type="pct"/>
          </w:tcPr>
          <w:p w14:paraId="40412B5E" w14:textId="77777777" w:rsidR="00D40B9F" w:rsidRPr="00576FA3" w:rsidRDefault="00D40B9F" w:rsidP="00D40B9F">
            <w:pPr>
              <w:pStyle w:val="TableText0"/>
            </w:pPr>
            <w:r w:rsidRPr="00576FA3">
              <w:t>Total scripts</w:t>
            </w:r>
          </w:p>
        </w:tc>
        <w:tc>
          <w:tcPr>
            <w:tcW w:w="564" w:type="pct"/>
          </w:tcPr>
          <w:p w14:paraId="1F298792" w14:textId="42CB78AA"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rFonts w:cs="Arial"/>
                <w:color w:val="000000"/>
                <w:szCs w:val="20"/>
                <w:highlight w:val="lightGray"/>
              </w:rPr>
            </w:pPr>
            <w:r w:rsidRPr="00C66EC7">
              <w:rPr>
                <w:rFonts w:cs="Arial"/>
                <w:color w:val="000000"/>
                <w:spacing w:val="48"/>
                <w:szCs w:val="20"/>
                <w:shd w:val="solid" w:color="000000" w:fill="000000"/>
                <w:fitText w:val="315" w:id="-962354931"/>
                <w14:textFill>
                  <w14:solidFill>
                    <w14:srgbClr w14:val="000000">
                      <w14:alpha w14:val="100000"/>
                    </w14:srgbClr>
                  </w14:solidFill>
                </w14:textFill>
              </w:rPr>
              <w:t>|||</w:t>
            </w:r>
            <w:r w:rsidRPr="00C66EC7">
              <w:rPr>
                <w:rFonts w:cs="Arial"/>
                <w:color w:val="000000"/>
                <w:spacing w:val="1"/>
                <w:szCs w:val="20"/>
                <w:shd w:val="solid" w:color="000000" w:fill="000000"/>
                <w:fitText w:val="315" w:id="-962354931"/>
                <w14:textFill>
                  <w14:solidFill>
                    <w14:srgbClr w14:val="000000">
                      <w14:alpha w14:val="100000"/>
                    </w14:srgbClr>
                  </w14:solidFill>
                </w14:textFill>
              </w:rPr>
              <w:t>|</w:t>
            </w:r>
            <w:r w:rsidR="005B65B8" w:rsidRPr="00162C9D">
              <w:rPr>
                <w:vertAlign w:val="superscript"/>
              </w:rPr>
              <w:t>1</w:t>
            </w:r>
          </w:p>
        </w:tc>
        <w:tc>
          <w:tcPr>
            <w:tcW w:w="606" w:type="pct"/>
          </w:tcPr>
          <w:p w14:paraId="1742BE63" w14:textId="50A9ABAC"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rFonts w:cs="Arial"/>
                <w:color w:val="000000"/>
                <w:szCs w:val="20"/>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5B65B8" w:rsidRPr="00162C9D">
              <w:rPr>
                <w:vertAlign w:val="superscript"/>
              </w:rPr>
              <w:t>1</w:t>
            </w:r>
          </w:p>
        </w:tc>
        <w:tc>
          <w:tcPr>
            <w:tcW w:w="606" w:type="pct"/>
          </w:tcPr>
          <w:p w14:paraId="768EA757" w14:textId="12E0DAF7"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rFonts w:cs="Arial"/>
                <w:color w:val="000000"/>
                <w:szCs w:val="20"/>
                <w:highlight w:val="lightGray"/>
              </w:rPr>
            </w:pPr>
            <w:r w:rsidRPr="00C66EC7">
              <w:rPr>
                <w:rFonts w:cs="Arial"/>
                <w:color w:val="000000"/>
                <w:spacing w:val="48"/>
                <w:szCs w:val="20"/>
                <w:shd w:val="solid" w:color="000000" w:fill="000000"/>
                <w:fitText w:val="315" w:id="-962354929"/>
                <w14:textFill>
                  <w14:solidFill>
                    <w14:srgbClr w14:val="000000">
                      <w14:alpha w14:val="100000"/>
                    </w14:srgbClr>
                  </w14:solidFill>
                </w14:textFill>
              </w:rPr>
              <w:t>|||</w:t>
            </w:r>
            <w:r w:rsidRPr="00C66EC7">
              <w:rPr>
                <w:rFonts w:cs="Arial"/>
                <w:color w:val="000000"/>
                <w:spacing w:val="1"/>
                <w:szCs w:val="20"/>
                <w:shd w:val="solid" w:color="000000" w:fill="000000"/>
                <w:fitText w:val="315" w:id="-962354929"/>
                <w14:textFill>
                  <w14:solidFill>
                    <w14:srgbClr w14:val="000000">
                      <w14:alpha w14:val="100000"/>
                    </w14:srgbClr>
                  </w14:solidFill>
                </w14:textFill>
              </w:rPr>
              <w:t>|</w:t>
            </w:r>
            <w:r w:rsidR="005B65B8" w:rsidRPr="00162C9D">
              <w:rPr>
                <w:vertAlign w:val="superscript"/>
              </w:rPr>
              <w:t>1</w:t>
            </w:r>
          </w:p>
        </w:tc>
        <w:tc>
          <w:tcPr>
            <w:tcW w:w="606" w:type="pct"/>
          </w:tcPr>
          <w:p w14:paraId="59B6AA77" w14:textId="573CFAF7"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rFonts w:cs="Arial"/>
                <w:color w:val="000000"/>
                <w:szCs w:val="20"/>
                <w:highlight w:val="lightGray"/>
              </w:rPr>
            </w:pPr>
            <w:r w:rsidRPr="00C66EC7">
              <w:rPr>
                <w:rFonts w:cs="Arial"/>
                <w:color w:val="000000"/>
                <w:spacing w:val="48"/>
                <w:szCs w:val="20"/>
                <w:shd w:val="solid" w:color="000000" w:fill="000000"/>
                <w:fitText w:val="315" w:id="-962354944"/>
                <w14:textFill>
                  <w14:solidFill>
                    <w14:srgbClr w14:val="000000">
                      <w14:alpha w14:val="100000"/>
                    </w14:srgbClr>
                  </w14:solidFill>
                </w14:textFill>
              </w:rPr>
              <w:t>|||</w:t>
            </w:r>
            <w:r w:rsidRPr="00C66EC7">
              <w:rPr>
                <w:rFonts w:cs="Arial"/>
                <w:color w:val="000000"/>
                <w:spacing w:val="1"/>
                <w:szCs w:val="20"/>
                <w:shd w:val="solid" w:color="000000" w:fill="000000"/>
                <w:fitText w:val="315" w:id="-962354944"/>
                <w14:textFill>
                  <w14:solidFill>
                    <w14:srgbClr w14:val="000000">
                      <w14:alpha w14:val="100000"/>
                    </w14:srgbClr>
                  </w14:solidFill>
                </w14:textFill>
              </w:rPr>
              <w:t>|</w:t>
            </w:r>
            <w:r w:rsidR="005B65B8" w:rsidRPr="00162C9D">
              <w:rPr>
                <w:vertAlign w:val="superscript"/>
              </w:rPr>
              <w:t>1</w:t>
            </w:r>
          </w:p>
        </w:tc>
        <w:tc>
          <w:tcPr>
            <w:tcW w:w="606" w:type="pct"/>
          </w:tcPr>
          <w:p w14:paraId="4FB68CCB" w14:textId="5974A946"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rFonts w:cs="Arial"/>
                <w:color w:val="000000"/>
                <w:szCs w:val="20"/>
                <w:highlight w:val="lightGray"/>
              </w:rPr>
            </w:pPr>
            <w:r w:rsidRPr="00C66EC7">
              <w:rPr>
                <w:rFonts w:cs="Arial"/>
                <w:color w:val="000000"/>
                <w:spacing w:val="48"/>
                <w:szCs w:val="20"/>
                <w:shd w:val="solid" w:color="000000" w:fill="000000"/>
                <w:fitText w:val="315" w:id="-962354942"/>
                <w14:textFill>
                  <w14:solidFill>
                    <w14:srgbClr w14:val="000000">
                      <w14:alpha w14:val="100000"/>
                    </w14:srgbClr>
                  </w14:solidFill>
                </w14:textFill>
              </w:rPr>
              <w:t>|||</w:t>
            </w:r>
            <w:r w:rsidRPr="00C66EC7">
              <w:rPr>
                <w:rFonts w:cs="Arial"/>
                <w:color w:val="000000"/>
                <w:spacing w:val="1"/>
                <w:szCs w:val="20"/>
                <w:shd w:val="solid" w:color="000000" w:fill="000000"/>
                <w:fitText w:val="315" w:id="-962354942"/>
                <w14:textFill>
                  <w14:solidFill>
                    <w14:srgbClr w14:val="000000">
                      <w14:alpha w14:val="100000"/>
                    </w14:srgbClr>
                  </w14:solidFill>
                </w14:textFill>
              </w:rPr>
              <w:t>|</w:t>
            </w:r>
            <w:r w:rsidR="005B65B8" w:rsidRPr="00162C9D">
              <w:rPr>
                <w:vertAlign w:val="superscript"/>
              </w:rPr>
              <w:t>1</w:t>
            </w:r>
          </w:p>
        </w:tc>
        <w:tc>
          <w:tcPr>
            <w:tcW w:w="606" w:type="pct"/>
            <w:gridSpan w:val="2"/>
          </w:tcPr>
          <w:p w14:paraId="2944215D" w14:textId="2A97DA01" w:rsidR="00D40B9F" w:rsidRPr="00560AEC" w:rsidRDefault="00C66EC7" w:rsidP="00D40B9F">
            <w:pPr>
              <w:pStyle w:val="TableText0"/>
              <w:jc w:val="right"/>
              <w:cnfStyle w:val="000000000000" w:firstRow="0" w:lastRow="0" w:firstColumn="0" w:lastColumn="0" w:oddVBand="0" w:evenVBand="0" w:oddHBand="0" w:evenHBand="0" w:firstRowFirstColumn="0" w:firstRowLastColumn="0" w:lastRowFirstColumn="0" w:lastRowLastColumn="0"/>
              <w:rPr>
                <w:rFonts w:cs="Arial"/>
                <w:color w:val="000000"/>
                <w:szCs w:val="20"/>
                <w:highlight w:val="lightGray"/>
              </w:rPr>
            </w:pPr>
            <w:r w:rsidRPr="00C66EC7">
              <w:rPr>
                <w:rFonts w:cs="Arial"/>
                <w:color w:val="000000"/>
                <w:szCs w:val="20"/>
                <w:shd w:val="solid" w:color="000000" w:fill="000000"/>
                <w14:textFill>
                  <w14:solidFill>
                    <w14:srgbClr w14:val="000000">
                      <w14:alpha w14:val="100000"/>
                    </w14:srgbClr>
                  </w14:solidFill>
                </w14:textFill>
              </w:rPr>
              <w:t>|</w:t>
            </w:r>
            <w:r w:rsidR="005B65B8" w:rsidRPr="00162C9D">
              <w:rPr>
                <w:vertAlign w:val="superscript"/>
              </w:rPr>
              <w:t>1</w:t>
            </w:r>
          </w:p>
        </w:tc>
      </w:tr>
      <w:tr w:rsidR="00D40B9F" w:rsidRPr="000C77A2" w14:paraId="4A6E9BF3" w14:textId="77777777" w:rsidTr="00560AEC">
        <w:trPr>
          <w:gridAfter w:val="1"/>
          <w:wAfter w:w="15" w:type="pct"/>
        </w:trPr>
        <w:tc>
          <w:tcPr>
            <w:cnfStyle w:val="001000000000" w:firstRow="0" w:lastRow="0" w:firstColumn="1" w:lastColumn="0" w:oddVBand="0" w:evenVBand="0" w:oddHBand="0" w:evenHBand="0" w:firstRowFirstColumn="0" w:firstRowLastColumn="0" w:lastRowFirstColumn="0" w:lastRowLastColumn="0"/>
            <w:tcW w:w="4985" w:type="pct"/>
            <w:gridSpan w:val="7"/>
          </w:tcPr>
          <w:p w14:paraId="2AEC686B" w14:textId="77777777" w:rsidR="00D40B9F" w:rsidRPr="00576FA3" w:rsidRDefault="00D40B9F" w:rsidP="00D40B9F">
            <w:pPr>
              <w:pStyle w:val="TableText0"/>
              <w:rPr>
                <w:b/>
                <w:bCs w:val="0"/>
              </w:rPr>
            </w:pPr>
            <w:r w:rsidRPr="00576FA3">
              <w:rPr>
                <w:rFonts w:cs="Times New Roman"/>
                <w:b/>
              </w:rPr>
              <w:t>Estimated financial implications of larotrectinib</w:t>
            </w:r>
          </w:p>
        </w:tc>
      </w:tr>
      <w:tr w:rsidR="00835E9E" w:rsidRPr="000C77A2" w14:paraId="480F7B1E" w14:textId="77777777" w:rsidTr="00560AEC">
        <w:trPr>
          <w:trHeight w:val="80"/>
        </w:trPr>
        <w:tc>
          <w:tcPr>
            <w:cnfStyle w:val="001000000000" w:firstRow="0" w:lastRow="0" w:firstColumn="1" w:lastColumn="0" w:oddVBand="0" w:evenVBand="0" w:oddHBand="0" w:evenHBand="0" w:firstRowFirstColumn="0" w:firstRowLastColumn="0" w:lastRowFirstColumn="0" w:lastRowLastColumn="0"/>
            <w:tcW w:w="1404" w:type="pct"/>
          </w:tcPr>
          <w:p w14:paraId="10619345" w14:textId="3F635DCA" w:rsidR="00FD0790" w:rsidRPr="00576FA3" w:rsidRDefault="00FD0790" w:rsidP="00FD0790">
            <w:pPr>
              <w:pStyle w:val="TableText0"/>
              <w:rPr>
                <w:vertAlign w:val="superscript"/>
              </w:rPr>
            </w:pPr>
            <w:r w:rsidRPr="000C77A2">
              <w:rPr>
                <w:sz w:val="19"/>
                <w:szCs w:val="19"/>
              </w:rPr>
              <w:t xml:space="preserve">Cost to PBS less copayments </w:t>
            </w:r>
          </w:p>
        </w:tc>
        <w:tc>
          <w:tcPr>
            <w:tcW w:w="564" w:type="pct"/>
          </w:tcPr>
          <w:p w14:paraId="0A5B7751" w14:textId="14BF2848"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hint="eastAsia"/>
                <w:w w:val="15"/>
                <w:szCs w:val="20"/>
                <w:shd w:val="solid" w:color="000000" w:fill="000000"/>
                <w:fitText w:val="30" w:id="-962354940"/>
                <w14:textFill>
                  <w14:solidFill>
                    <w14:schemeClr w14:val="tx1">
                      <w14:alpha w14:val="100000"/>
                    </w14:schemeClr>
                  </w14:solidFill>
                </w14:textFill>
              </w:rPr>
              <w:t xml:space="preserve">　</w:t>
            </w:r>
            <w:r w:rsidRPr="00C66EC7">
              <w:rPr>
                <w:rFonts w:cs="Arial"/>
                <w:w w:val="15"/>
                <w:szCs w:val="20"/>
                <w:shd w:val="solid" w:color="000000" w:fill="000000"/>
                <w:fitText w:val="30" w:id="-962354940"/>
                <w14:textFill>
                  <w14:solidFill>
                    <w14:schemeClr w14:val="tx1">
                      <w14:alpha w14:val="100000"/>
                    </w14:schemeClr>
                  </w14:solidFill>
                </w14:textFill>
              </w:rPr>
              <w:t>|</w:t>
            </w:r>
            <w:r w:rsidRPr="00C66EC7">
              <w:rPr>
                <w:rFonts w:cs="Arial" w:hint="eastAsia"/>
                <w:spacing w:val="-35"/>
                <w:w w:val="15"/>
                <w:szCs w:val="20"/>
                <w:shd w:val="solid" w:color="000000" w:fill="000000"/>
                <w:fitText w:val="30" w:id="-962354940"/>
                <w14:textFill>
                  <w14:solidFill>
                    <w14:schemeClr w14:val="tx1">
                      <w14:alpha w14:val="100000"/>
                    </w14:schemeClr>
                  </w14:solidFill>
                </w14:textFill>
              </w:rPr>
              <w:t xml:space="preserve">　</w:t>
            </w:r>
            <w:r w:rsidR="005B65B8">
              <w:rPr>
                <w:vertAlign w:val="superscript"/>
              </w:rPr>
              <w:t>2</w:t>
            </w:r>
          </w:p>
        </w:tc>
        <w:tc>
          <w:tcPr>
            <w:tcW w:w="606" w:type="pct"/>
          </w:tcPr>
          <w:p w14:paraId="71FD0935" w14:textId="2D836439"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tcPr>
          <w:p w14:paraId="13572B98" w14:textId="46413007"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tcPr>
          <w:p w14:paraId="12302B15" w14:textId="552FBA13"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tcPr>
          <w:p w14:paraId="5CF17555" w14:textId="7B896EBB"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gridSpan w:val="2"/>
          </w:tcPr>
          <w:p w14:paraId="362F1A44" w14:textId="37CC5DE5"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r>
      <w:tr w:rsidR="00FD0790" w:rsidRPr="000C77A2" w14:paraId="04EDC13D" w14:textId="77777777" w:rsidTr="00560AEC">
        <w:trPr>
          <w:gridAfter w:val="1"/>
          <w:wAfter w:w="15" w:type="pct"/>
        </w:trPr>
        <w:tc>
          <w:tcPr>
            <w:cnfStyle w:val="001000000000" w:firstRow="0" w:lastRow="0" w:firstColumn="1" w:lastColumn="0" w:oddVBand="0" w:evenVBand="0" w:oddHBand="0" w:evenHBand="0" w:firstRowFirstColumn="0" w:firstRowLastColumn="0" w:lastRowFirstColumn="0" w:lastRowLastColumn="0"/>
            <w:tcW w:w="4985" w:type="pct"/>
            <w:gridSpan w:val="7"/>
          </w:tcPr>
          <w:p w14:paraId="1B897F85" w14:textId="265035C0" w:rsidR="00FD0790" w:rsidRPr="00576FA3" w:rsidRDefault="00FD0790" w:rsidP="00FD0790">
            <w:pPr>
              <w:pStyle w:val="TableText0"/>
              <w:rPr>
                <w:b/>
                <w:bCs w:val="0"/>
              </w:rPr>
            </w:pPr>
            <w:r w:rsidRPr="000C77A2">
              <w:rPr>
                <w:b/>
              </w:rPr>
              <w:t xml:space="preserve">Estimated financial implications for </w:t>
            </w:r>
            <w:r w:rsidR="00C959D8">
              <w:rPr>
                <w:b/>
              </w:rPr>
              <w:t>affected medicines</w:t>
            </w:r>
          </w:p>
        </w:tc>
      </w:tr>
      <w:tr w:rsidR="00835E9E" w:rsidRPr="000C77A2" w14:paraId="1FF3BCC4" w14:textId="77777777" w:rsidTr="00560AEC">
        <w:tc>
          <w:tcPr>
            <w:cnfStyle w:val="001000000000" w:firstRow="0" w:lastRow="0" w:firstColumn="1" w:lastColumn="0" w:oddVBand="0" w:evenVBand="0" w:oddHBand="0" w:evenHBand="0" w:firstRowFirstColumn="0" w:firstRowLastColumn="0" w:lastRowFirstColumn="0" w:lastRowLastColumn="0"/>
            <w:tcW w:w="1404" w:type="pct"/>
          </w:tcPr>
          <w:p w14:paraId="301AE790" w14:textId="64DC52D8" w:rsidR="00FD0790" w:rsidRPr="00576FA3" w:rsidRDefault="00C959D8" w:rsidP="00FD0790">
            <w:pPr>
              <w:pStyle w:val="TableText0"/>
            </w:pPr>
            <w:r>
              <w:rPr>
                <w:sz w:val="19"/>
                <w:szCs w:val="19"/>
              </w:rPr>
              <w:t xml:space="preserve">Impact </w:t>
            </w:r>
            <w:r w:rsidR="00FD0790" w:rsidRPr="000C77A2">
              <w:rPr>
                <w:sz w:val="19"/>
                <w:szCs w:val="19"/>
              </w:rPr>
              <w:t xml:space="preserve">to PBS less copayments </w:t>
            </w:r>
          </w:p>
        </w:tc>
        <w:tc>
          <w:tcPr>
            <w:tcW w:w="564" w:type="pct"/>
          </w:tcPr>
          <w:p w14:paraId="13324975" w14:textId="0D394E60"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szCs w:val="20"/>
                <w:highlight w:val="lightGray"/>
              </w:rPr>
            </w:pPr>
            <w:r w:rsidRPr="00C66EC7">
              <w:rPr>
                <w:rFonts w:cs="Arial" w:hint="eastAsia"/>
                <w:w w:val="15"/>
                <w:szCs w:val="20"/>
                <w:shd w:val="solid" w:color="000000" w:fill="000000"/>
                <w:fitText w:val="30" w:id="-962354939"/>
                <w14:textFill>
                  <w14:solidFill>
                    <w14:schemeClr w14:val="tx1">
                      <w14:alpha w14:val="100000"/>
                    </w14:schemeClr>
                  </w14:solidFill>
                </w14:textFill>
              </w:rPr>
              <w:t xml:space="preserve">　</w:t>
            </w:r>
            <w:r w:rsidRPr="00C66EC7">
              <w:rPr>
                <w:rFonts w:cs="Arial"/>
                <w:w w:val="15"/>
                <w:szCs w:val="20"/>
                <w:shd w:val="solid" w:color="000000" w:fill="000000"/>
                <w:fitText w:val="30" w:id="-962354939"/>
                <w14:textFill>
                  <w14:solidFill>
                    <w14:schemeClr w14:val="tx1">
                      <w14:alpha w14:val="100000"/>
                    </w14:schemeClr>
                  </w14:solidFill>
                </w14:textFill>
              </w:rPr>
              <w:t>|</w:t>
            </w:r>
            <w:r w:rsidRPr="00C66EC7">
              <w:rPr>
                <w:rFonts w:cs="Arial" w:hint="eastAsia"/>
                <w:spacing w:val="-35"/>
                <w:w w:val="15"/>
                <w:szCs w:val="20"/>
                <w:shd w:val="solid" w:color="000000" w:fill="000000"/>
                <w:fitText w:val="30" w:id="-962354939"/>
                <w14:textFill>
                  <w14:solidFill>
                    <w14:schemeClr w14:val="tx1">
                      <w14:alpha w14:val="100000"/>
                    </w14:schemeClr>
                  </w14:solidFill>
                </w14:textFill>
              </w:rPr>
              <w:t xml:space="preserve">　</w:t>
            </w:r>
            <w:r w:rsidR="005B65B8">
              <w:rPr>
                <w:vertAlign w:val="superscript"/>
              </w:rPr>
              <w:t>3</w:t>
            </w:r>
          </w:p>
        </w:tc>
        <w:tc>
          <w:tcPr>
            <w:tcW w:w="606" w:type="pct"/>
          </w:tcPr>
          <w:p w14:paraId="0B38C9F0" w14:textId="47D28249"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3</w:t>
            </w:r>
          </w:p>
        </w:tc>
        <w:tc>
          <w:tcPr>
            <w:tcW w:w="606" w:type="pct"/>
          </w:tcPr>
          <w:p w14:paraId="1CA7AF67" w14:textId="6150C4D2"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3</w:t>
            </w:r>
          </w:p>
        </w:tc>
        <w:tc>
          <w:tcPr>
            <w:tcW w:w="606" w:type="pct"/>
          </w:tcPr>
          <w:p w14:paraId="6800CEE1" w14:textId="0B9FD783"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3</w:t>
            </w:r>
          </w:p>
        </w:tc>
        <w:tc>
          <w:tcPr>
            <w:tcW w:w="606" w:type="pct"/>
          </w:tcPr>
          <w:p w14:paraId="020D88BD" w14:textId="7DE86A67"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3</w:t>
            </w:r>
          </w:p>
        </w:tc>
        <w:tc>
          <w:tcPr>
            <w:tcW w:w="606" w:type="pct"/>
            <w:gridSpan w:val="2"/>
          </w:tcPr>
          <w:p w14:paraId="5C43612C" w14:textId="2DD8525D"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3</w:t>
            </w:r>
          </w:p>
        </w:tc>
      </w:tr>
      <w:tr w:rsidR="00FD0790" w:rsidRPr="000C77A2" w14:paraId="52FB935D" w14:textId="77777777" w:rsidTr="00560AEC">
        <w:trPr>
          <w:gridAfter w:val="1"/>
          <w:wAfter w:w="15" w:type="pct"/>
        </w:trPr>
        <w:tc>
          <w:tcPr>
            <w:cnfStyle w:val="001000000000" w:firstRow="0" w:lastRow="0" w:firstColumn="1" w:lastColumn="0" w:oddVBand="0" w:evenVBand="0" w:oddHBand="0" w:evenHBand="0" w:firstRowFirstColumn="0" w:firstRowLastColumn="0" w:lastRowFirstColumn="0" w:lastRowLastColumn="0"/>
            <w:tcW w:w="4985" w:type="pct"/>
            <w:gridSpan w:val="7"/>
          </w:tcPr>
          <w:p w14:paraId="5955FDEF" w14:textId="77777777" w:rsidR="00FD0790" w:rsidRPr="00576FA3" w:rsidRDefault="00FD0790" w:rsidP="00FD0790">
            <w:pPr>
              <w:pStyle w:val="TableText0"/>
              <w:rPr>
                <w:b/>
                <w:bCs w:val="0"/>
                <w:szCs w:val="20"/>
              </w:rPr>
            </w:pPr>
            <w:r w:rsidRPr="00576FA3">
              <w:rPr>
                <w:rFonts w:cs="Times New Roman"/>
                <w:b/>
                <w:bCs w:val="0"/>
                <w:szCs w:val="20"/>
              </w:rPr>
              <w:t>Net financial implications</w:t>
            </w:r>
          </w:p>
        </w:tc>
      </w:tr>
      <w:tr w:rsidR="00835E9E" w:rsidRPr="000C77A2" w14:paraId="6D807B25" w14:textId="77777777" w:rsidTr="00560AEC">
        <w:tc>
          <w:tcPr>
            <w:cnfStyle w:val="001000000000" w:firstRow="0" w:lastRow="0" w:firstColumn="1" w:lastColumn="0" w:oddVBand="0" w:evenVBand="0" w:oddHBand="0" w:evenHBand="0" w:firstRowFirstColumn="0" w:firstRowLastColumn="0" w:lastRowFirstColumn="0" w:lastRowLastColumn="0"/>
            <w:tcW w:w="1404" w:type="pct"/>
          </w:tcPr>
          <w:p w14:paraId="185132F3" w14:textId="77777777" w:rsidR="00FD0790" w:rsidRPr="00576FA3" w:rsidRDefault="00FD0790" w:rsidP="00FD0790">
            <w:pPr>
              <w:pStyle w:val="TableText0"/>
            </w:pPr>
            <w:r w:rsidRPr="000C77A2">
              <w:rPr>
                <w:sz w:val="19"/>
                <w:szCs w:val="19"/>
              </w:rPr>
              <w:t>Net cost to PBS</w:t>
            </w:r>
          </w:p>
        </w:tc>
        <w:tc>
          <w:tcPr>
            <w:tcW w:w="564" w:type="pct"/>
          </w:tcPr>
          <w:p w14:paraId="7E1C57C9" w14:textId="32BAB673"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hint="eastAsia"/>
                <w:w w:val="15"/>
                <w:szCs w:val="20"/>
                <w:shd w:val="solid" w:color="000000" w:fill="000000"/>
                <w:fitText w:val="30" w:id="-962354938"/>
                <w14:textFill>
                  <w14:solidFill>
                    <w14:schemeClr w14:val="tx1">
                      <w14:alpha w14:val="100000"/>
                    </w14:schemeClr>
                  </w14:solidFill>
                </w14:textFill>
              </w:rPr>
              <w:t xml:space="preserve">　</w:t>
            </w:r>
            <w:r w:rsidRPr="00C66EC7">
              <w:rPr>
                <w:rFonts w:cs="Arial"/>
                <w:w w:val="15"/>
                <w:szCs w:val="20"/>
                <w:shd w:val="solid" w:color="000000" w:fill="000000"/>
                <w:fitText w:val="30" w:id="-962354938"/>
                <w14:textFill>
                  <w14:solidFill>
                    <w14:schemeClr w14:val="tx1">
                      <w14:alpha w14:val="100000"/>
                    </w14:schemeClr>
                  </w14:solidFill>
                </w14:textFill>
              </w:rPr>
              <w:t>|</w:t>
            </w:r>
            <w:r w:rsidRPr="00C66EC7">
              <w:rPr>
                <w:rFonts w:cs="Arial" w:hint="eastAsia"/>
                <w:spacing w:val="-35"/>
                <w:w w:val="15"/>
                <w:szCs w:val="20"/>
                <w:shd w:val="solid" w:color="000000" w:fill="000000"/>
                <w:fitText w:val="30" w:id="-962354938"/>
                <w14:textFill>
                  <w14:solidFill>
                    <w14:schemeClr w14:val="tx1">
                      <w14:alpha w14:val="100000"/>
                    </w14:schemeClr>
                  </w14:solidFill>
                </w14:textFill>
              </w:rPr>
              <w:t xml:space="preserve">　</w:t>
            </w:r>
            <w:r w:rsidR="005B65B8">
              <w:rPr>
                <w:vertAlign w:val="superscript"/>
              </w:rPr>
              <w:t>2</w:t>
            </w:r>
          </w:p>
        </w:tc>
        <w:tc>
          <w:tcPr>
            <w:tcW w:w="606" w:type="pct"/>
          </w:tcPr>
          <w:p w14:paraId="2060AD1D" w14:textId="0C89E6C3"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tcPr>
          <w:p w14:paraId="37DDE503" w14:textId="57C33795"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tcPr>
          <w:p w14:paraId="56A775C3" w14:textId="03860A34"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tcPr>
          <w:p w14:paraId="715D933A" w14:textId="46B1C5C2"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c>
          <w:tcPr>
            <w:tcW w:w="606" w:type="pct"/>
            <w:gridSpan w:val="2"/>
          </w:tcPr>
          <w:p w14:paraId="2DE60CA9" w14:textId="6109FBD4" w:rsidR="00FD0790" w:rsidRPr="00560AEC" w:rsidRDefault="00C66EC7" w:rsidP="00FD0790">
            <w:pPr>
              <w:pStyle w:val="TableText0"/>
              <w:jc w:val="right"/>
              <w:cnfStyle w:val="000000000000" w:firstRow="0" w:lastRow="0" w:firstColumn="0" w:lastColumn="0" w:oddVBand="0" w:evenVBand="0" w:oddHBand="0" w:evenHBand="0" w:firstRowFirstColumn="0" w:firstRowLastColumn="0" w:lastRowFirstColumn="0" w:lastRowLastColumn="0"/>
              <w:rPr>
                <w:rFonts w:cs="Arial"/>
                <w:szCs w:val="20"/>
                <w:highlight w:val="lightGray"/>
              </w:rPr>
            </w:pPr>
            <w:r w:rsidRPr="00C66EC7">
              <w:rPr>
                <w:rFonts w:cs="Arial"/>
                <w:szCs w:val="20"/>
                <w:shd w:val="solid" w:color="000000" w:fill="000000"/>
                <w14:textFill>
                  <w14:solidFill>
                    <w14:schemeClr w14:val="tx1">
                      <w14:alpha w14:val="100000"/>
                    </w14:schemeClr>
                  </w14:solidFill>
                </w14:textFill>
              </w:rPr>
              <w:t>|</w:t>
            </w:r>
            <w:r w:rsidR="005B65B8">
              <w:rPr>
                <w:vertAlign w:val="superscript"/>
              </w:rPr>
              <w:t>2</w:t>
            </w:r>
          </w:p>
        </w:tc>
      </w:tr>
    </w:tbl>
    <w:p w14:paraId="37B0C872" w14:textId="04AA8EBE" w:rsidR="00CD4B7E" w:rsidRPr="000C77A2" w:rsidRDefault="00CD4B7E" w:rsidP="00CD4B7E">
      <w:pPr>
        <w:pStyle w:val="TableFooter"/>
      </w:pPr>
      <w:r w:rsidRPr="000C77A2">
        <w:t>Source: Section 4 spreadsheet provided with</w:t>
      </w:r>
      <w:r w:rsidR="00FD0790" w:rsidRPr="000C77A2">
        <w:t xml:space="preserve"> pre-PBAC response</w:t>
      </w:r>
      <w:r w:rsidRPr="000C77A2">
        <w:rPr>
          <w:snapToGrid w:val="0"/>
        </w:rPr>
        <w:t>.</w:t>
      </w:r>
    </w:p>
    <w:p w14:paraId="62ABDC51" w14:textId="77777777" w:rsidR="005B65B8" w:rsidRPr="00560AEC" w:rsidRDefault="005B65B8" w:rsidP="005B65B8">
      <w:pPr>
        <w:jc w:val="left"/>
        <w:rPr>
          <w:rFonts w:ascii="Arial Narrow" w:hAnsi="Arial Narrow" w:cstheme="minorHAnsi"/>
          <w:bCs/>
          <w:i/>
          <w:iCs/>
          <w:sz w:val="18"/>
          <w:szCs w:val="18"/>
        </w:rPr>
      </w:pPr>
      <w:r w:rsidRPr="00560AEC">
        <w:rPr>
          <w:rFonts w:ascii="Arial Narrow" w:hAnsi="Arial Narrow" w:cstheme="minorHAnsi"/>
          <w:bCs/>
          <w:i/>
          <w:iCs/>
          <w:sz w:val="18"/>
          <w:szCs w:val="18"/>
        </w:rPr>
        <w:t xml:space="preserve">The redacted values correspond to the following ranges: </w:t>
      </w:r>
    </w:p>
    <w:p w14:paraId="763007AF" w14:textId="77777777" w:rsidR="005B65B8" w:rsidRPr="00560AEC" w:rsidRDefault="005B65B8" w:rsidP="005B65B8">
      <w:pPr>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1</w:t>
      </w:r>
      <w:r w:rsidRPr="00560AEC">
        <w:rPr>
          <w:rFonts w:ascii="Arial Narrow" w:hAnsi="Arial Narrow" w:cstheme="minorHAnsi"/>
          <w:bCs/>
          <w:i/>
          <w:iCs/>
          <w:sz w:val="18"/>
          <w:szCs w:val="18"/>
        </w:rPr>
        <w:t xml:space="preserve"> &lt; 500</w:t>
      </w:r>
    </w:p>
    <w:p w14:paraId="2BA3B2DF" w14:textId="77777777" w:rsidR="005B65B8" w:rsidRPr="00560AEC" w:rsidRDefault="005B65B8" w:rsidP="005B65B8">
      <w:pPr>
        <w:jc w:val="left"/>
        <w:rPr>
          <w:rFonts w:ascii="Arial Narrow" w:hAnsi="Arial Narrow" w:cstheme="minorHAnsi"/>
          <w:bCs/>
          <w:i/>
          <w:iCs/>
          <w:sz w:val="18"/>
          <w:szCs w:val="18"/>
        </w:rPr>
      </w:pPr>
      <w:r w:rsidRPr="00560AEC">
        <w:rPr>
          <w:rFonts w:ascii="Arial Narrow" w:hAnsi="Arial Narrow" w:cstheme="minorHAnsi"/>
          <w:bCs/>
          <w:i/>
          <w:iCs/>
          <w:sz w:val="18"/>
          <w:szCs w:val="18"/>
          <w:vertAlign w:val="superscript"/>
        </w:rPr>
        <w:t>2</w:t>
      </w:r>
      <w:r w:rsidRPr="00560AEC">
        <w:rPr>
          <w:rFonts w:ascii="Arial Narrow" w:hAnsi="Arial Narrow" w:cstheme="minorHAnsi"/>
          <w:bCs/>
          <w:i/>
          <w:iCs/>
          <w:sz w:val="18"/>
          <w:szCs w:val="18"/>
        </w:rPr>
        <w:t xml:space="preserve"> $0 to &lt; $10 million</w:t>
      </w:r>
    </w:p>
    <w:p w14:paraId="7694261F" w14:textId="3A319844" w:rsidR="00D40B9F" w:rsidRPr="000C77A2" w:rsidRDefault="005B65B8" w:rsidP="00560AEC">
      <w:pPr>
        <w:spacing w:after="120"/>
        <w:jc w:val="left"/>
      </w:pPr>
      <w:r w:rsidRPr="00560AEC">
        <w:rPr>
          <w:rFonts w:ascii="Arial Narrow" w:hAnsi="Arial Narrow" w:cstheme="minorHAnsi"/>
          <w:bCs/>
          <w:i/>
          <w:iCs/>
          <w:sz w:val="18"/>
          <w:szCs w:val="18"/>
          <w:vertAlign w:val="superscript"/>
        </w:rPr>
        <w:t>3</w:t>
      </w:r>
      <w:r w:rsidRPr="00560AEC">
        <w:rPr>
          <w:rFonts w:ascii="Arial Narrow" w:hAnsi="Arial Narrow" w:cstheme="minorHAnsi"/>
          <w:bCs/>
          <w:i/>
          <w:iCs/>
          <w:sz w:val="18"/>
          <w:szCs w:val="18"/>
        </w:rPr>
        <w:t xml:space="preserve"> net cost saving</w:t>
      </w:r>
    </w:p>
    <w:p w14:paraId="27A076EF" w14:textId="0096C745" w:rsidR="00D40B9F" w:rsidRPr="000C77A2" w:rsidRDefault="00D40B9F" w:rsidP="00D40B9F">
      <w:pPr>
        <w:pStyle w:val="3-BodyText"/>
        <w:rPr>
          <w:lang w:eastAsia="en-US"/>
        </w:rPr>
      </w:pPr>
      <w:r w:rsidRPr="000C77A2">
        <w:rPr>
          <w:lang w:eastAsia="en-US"/>
        </w:rPr>
        <w:t xml:space="preserve">The revised financial estimates provided </w:t>
      </w:r>
      <w:r w:rsidR="00FD0790" w:rsidRPr="000C77A2">
        <w:rPr>
          <w:lang w:eastAsia="en-US"/>
        </w:rPr>
        <w:t xml:space="preserve">with the pre-PBAC response </w:t>
      </w:r>
      <w:r w:rsidRPr="000C77A2">
        <w:rPr>
          <w:lang w:eastAsia="en-US"/>
        </w:rPr>
        <w:t xml:space="preserve">resulted in a cost to the PBS of </w:t>
      </w:r>
      <w:r w:rsidR="005B65B8" w:rsidRPr="005B65B8">
        <w:rPr>
          <w:lang w:eastAsia="en-US"/>
        </w:rPr>
        <w:t>$0 to &lt; $10 million</w:t>
      </w:r>
      <w:r w:rsidR="005B65B8">
        <w:rPr>
          <w:lang w:eastAsia="en-US"/>
        </w:rPr>
        <w:t xml:space="preserve"> </w:t>
      </w:r>
      <w:r w:rsidRPr="000C77A2">
        <w:rPr>
          <w:lang w:eastAsia="en-US"/>
        </w:rPr>
        <w:t>over 6 years</w:t>
      </w:r>
      <w:r w:rsidR="000C77A2">
        <w:rPr>
          <w:lang w:eastAsia="en-US"/>
        </w:rPr>
        <w:t xml:space="preserve">. </w:t>
      </w:r>
    </w:p>
    <w:p w14:paraId="41A92F56" w14:textId="77777777" w:rsidR="00D15B05" w:rsidRPr="000C77A2" w:rsidRDefault="00D15B05" w:rsidP="00D15B05">
      <w:pPr>
        <w:pStyle w:val="4-SubsectionHeading"/>
      </w:pPr>
      <w:bookmarkStart w:id="71" w:name="_Toc156903967"/>
      <w:bookmarkEnd w:id="68"/>
      <w:bookmarkEnd w:id="69"/>
      <w:bookmarkEnd w:id="70"/>
      <w:r w:rsidRPr="000C77A2">
        <w:t>Financial Management – Risk Sharing Arrangements</w:t>
      </w:r>
      <w:bookmarkEnd w:id="71"/>
    </w:p>
    <w:p w14:paraId="1289D64E" w14:textId="5423591F" w:rsidR="00D15B05" w:rsidRPr="000C77A2" w:rsidRDefault="00D15B05" w:rsidP="00D15B05">
      <w:pPr>
        <w:pStyle w:val="3-BodyText"/>
      </w:pPr>
      <w:r w:rsidRPr="000C77A2">
        <w:rPr>
          <w:lang w:eastAsia="en-GB"/>
        </w:rPr>
        <w:t xml:space="preserve">The resubmission noted that a risk sharing arrangement (RSA) is currently in place for the existing listing of larotrectinib. The resubmission suggested that the existing RSA be amended to include the new proposed listing. </w:t>
      </w:r>
      <w:bookmarkStart w:id="72" w:name="_Toc22897650"/>
      <w:bookmarkStart w:id="73" w:name="_Toc107927636"/>
    </w:p>
    <w:p w14:paraId="4D75FC7F" w14:textId="14588D9E" w:rsidR="007B0DFF" w:rsidRPr="000C77A2" w:rsidRDefault="00376CAB" w:rsidP="007B0DFF">
      <w:pPr>
        <w:pStyle w:val="3-BodyText"/>
      </w:pPr>
      <w:r w:rsidRPr="000C77A2">
        <w:rPr>
          <w:lang w:eastAsia="en-GB"/>
        </w:rPr>
        <w:t xml:space="preserve">The subsidisation cap and Commonwealth payment for the existing larotrectinib listing is provided in </w:t>
      </w:r>
      <w:r w:rsidRPr="000C77A2">
        <w:rPr>
          <w:lang w:eastAsia="en-GB"/>
        </w:rPr>
        <w:fldChar w:fldCharType="begin" w:fldLock="1"/>
      </w:r>
      <w:r w:rsidRPr="000C77A2">
        <w:rPr>
          <w:lang w:eastAsia="en-GB"/>
        </w:rPr>
        <w:instrText xml:space="preserve"> REF _Ref156373344 \h  \* MERGEFORMAT </w:instrText>
      </w:r>
      <w:r w:rsidRPr="000C77A2">
        <w:rPr>
          <w:lang w:eastAsia="en-GB"/>
        </w:rPr>
      </w:r>
      <w:r w:rsidRPr="000C77A2">
        <w:rPr>
          <w:lang w:eastAsia="en-GB"/>
        </w:rPr>
        <w:fldChar w:fldCharType="separate"/>
      </w:r>
      <w:r w:rsidR="001B0FE7" w:rsidRPr="000C77A2">
        <w:t xml:space="preserve">Table </w:t>
      </w:r>
      <w:r w:rsidR="001B0FE7">
        <w:t>28</w:t>
      </w:r>
      <w:r w:rsidRPr="000C77A2">
        <w:rPr>
          <w:lang w:eastAsia="en-GB"/>
        </w:rPr>
        <w:fldChar w:fldCharType="end"/>
      </w:r>
      <w:r w:rsidRPr="000C77A2">
        <w:rPr>
          <w:lang w:eastAsia="en-GB"/>
        </w:rPr>
        <w:t xml:space="preserve">. The rebate above the subsidisation cap is </w:t>
      </w:r>
      <w:r w:rsidR="00C66EC7" w:rsidRPr="00C766BB">
        <w:rPr>
          <w:color w:val="000000"/>
          <w:w w:val="15"/>
          <w:shd w:val="solid" w:color="000000" w:fill="000000"/>
          <w:fitText w:val="-20" w:id="-962354937"/>
          <w:lang w:eastAsia="en-GB"/>
          <w14:textFill>
            <w14:solidFill>
              <w14:srgbClr w14:val="000000">
                <w14:alpha w14:val="100000"/>
              </w14:srgbClr>
            </w14:solidFill>
          </w14:textFill>
        </w:rPr>
        <w:t xml:space="preserve">|  </w:t>
      </w:r>
      <w:r w:rsidR="00C66EC7" w:rsidRPr="00C766BB">
        <w:rPr>
          <w:color w:val="000000"/>
          <w:spacing w:val="-69"/>
          <w:w w:val="15"/>
          <w:shd w:val="solid" w:color="000000" w:fill="000000"/>
          <w:fitText w:val="-20" w:id="-962354937"/>
          <w:lang w:eastAsia="en-GB"/>
          <w14:textFill>
            <w14:solidFill>
              <w14:srgbClr w14:val="000000">
                <w14:alpha w14:val="100000"/>
              </w14:srgbClr>
            </w14:solidFill>
          </w14:textFill>
        </w:rPr>
        <w:t>|</w:t>
      </w:r>
      <w:r w:rsidRPr="000C77A2">
        <w:rPr>
          <w:lang w:eastAsia="en-GB"/>
        </w:rPr>
        <w:t>%</w:t>
      </w:r>
      <w:r w:rsidR="000C77A2">
        <w:rPr>
          <w:lang w:eastAsia="en-GB"/>
        </w:rPr>
        <w:t xml:space="preserve">. </w:t>
      </w:r>
    </w:p>
    <w:p w14:paraId="578778ED" w14:textId="1E1219BC" w:rsidR="007B0DFF" w:rsidRPr="000C77A2" w:rsidRDefault="00376CAB" w:rsidP="00835E9E">
      <w:pPr>
        <w:pStyle w:val="Caption"/>
        <w:rPr>
          <w:lang w:eastAsia="en-GB"/>
        </w:rPr>
      </w:pPr>
      <w:bookmarkStart w:id="74" w:name="_Ref156373344"/>
      <w:r w:rsidRPr="000C77A2">
        <w:t xml:space="preserve">Table </w:t>
      </w:r>
      <w:fldSimple w:instr=" SEQ Table \* ARABIC " w:fldLock="1">
        <w:r w:rsidR="001B0FE7">
          <w:rPr>
            <w:noProof/>
          </w:rPr>
          <w:t>28</w:t>
        </w:r>
      </w:fldSimple>
      <w:bookmarkEnd w:id="74"/>
      <w:r w:rsidRPr="000C77A2">
        <w:t>: Subsidisation cap and Commonwealth payment for current larotrectinib PBS listings</w:t>
      </w:r>
    </w:p>
    <w:tbl>
      <w:tblPr>
        <w:tblStyle w:val="HTATableshaded"/>
        <w:tblW w:w="5000" w:type="pct"/>
        <w:tblLook w:val="04A0" w:firstRow="1" w:lastRow="0" w:firstColumn="1" w:lastColumn="0" w:noHBand="0" w:noVBand="1"/>
        <w:tblCaption w:val="Table 28: Subsidisation cap and Commonwealth payment for current larotrectinib PBS listings"/>
      </w:tblPr>
      <w:tblGrid>
        <w:gridCol w:w="3115"/>
        <w:gridCol w:w="2951"/>
        <w:gridCol w:w="2951"/>
      </w:tblGrid>
      <w:tr w:rsidR="007B0DFF" w:rsidRPr="000C77A2" w14:paraId="44E03424" w14:textId="77777777" w:rsidTr="00C66EC7">
        <w:trPr>
          <w:cnfStyle w:val="100000000000" w:firstRow="1" w:lastRow="0" w:firstColumn="0" w:lastColumn="0" w:oddVBand="0" w:evenVBand="0" w:oddHBand="0" w:evenHBand="0" w:firstRowFirstColumn="0" w:firstRowLastColumn="0" w:lastRowFirstColumn="0" w:lastRowLastColumn="0"/>
          <w:trHeight w:val="174"/>
        </w:trPr>
        <w:tc>
          <w:tcPr>
            <w:tcW w:w="1727" w:type="pct"/>
            <w:hideMark/>
          </w:tcPr>
          <w:p w14:paraId="48C5E816" w14:textId="77777777" w:rsidR="007B0DFF" w:rsidRPr="000C77A2" w:rsidRDefault="007B0DFF" w:rsidP="00560AEC">
            <w:pPr>
              <w:keepNext/>
              <w:keepLines/>
              <w:spacing w:before="0" w:after="0"/>
              <w:jc w:val="left"/>
              <w:rPr>
                <w:rFonts w:ascii="Arial Narrow" w:hAnsi="Arial Narrow" w:cs="Calibri"/>
                <w:b/>
                <w:bCs/>
                <w:sz w:val="20"/>
                <w:szCs w:val="20"/>
              </w:rPr>
            </w:pPr>
            <w:r w:rsidRPr="000C77A2">
              <w:rPr>
                <w:rFonts w:ascii="Arial Narrow" w:hAnsi="Arial Narrow"/>
                <w:b/>
                <w:bCs/>
                <w:color w:val="000000"/>
                <w:sz w:val="20"/>
                <w:szCs w:val="20"/>
              </w:rPr>
              <w:t>Year</w:t>
            </w:r>
          </w:p>
        </w:tc>
        <w:tc>
          <w:tcPr>
            <w:tcW w:w="1636" w:type="pct"/>
            <w:hideMark/>
          </w:tcPr>
          <w:p w14:paraId="6B657206" w14:textId="20D0E9B1" w:rsidR="007B0DFF" w:rsidRPr="000C77A2" w:rsidRDefault="007B0DFF" w:rsidP="00560AEC">
            <w:pPr>
              <w:keepNext/>
              <w:keepLines/>
              <w:spacing w:before="0" w:after="0"/>
              <w:jc w:val="center"/>
              <w:rPr>
                <w:rFonts w:ascii="Arial Narrow" w:hAnsi="Arial Narrow"/>
                <w:b/>
                <w:bCs/>
                <w:sz w:val="20"/>
                <w:szCs w:val="20"/>
              </w:rPr>
            </w:pPr>
            <w:r w:rsidRPr="000C77A2">
              <w:rPr>
                <w:rFonts w:ascii="Arial Narrow" w:hAnsi="Arial Narrow"/>
                <w:b/>
                <w:bCs/>
                <w:color w:val="000000"/>
                <w:sz w:val="20"/>
                <w:szCs w:val="20"/>
              </w:rPr>
              <w:t>Subsidisation Cap</w:t>
            </w:r>
            <w:r w:rsidR="005B65B8">
              <w:rPr>
                <w:rFonts w:ascii="Arial Narrow" w:hAnsi="Arial Narrow"/>
                <w:b/>
                <w:bCs/>
                <w:color w:val="000000"/>
                <w:sz w:val="20"/>
                <w:szCs w:val="20"/>
              </w:rPr>
              <w:t xml:space="preserve"> ($)</w:t>
            </w:r>
          </w:p>
        </w:tc>
        <w:tc>
          <w:tcPr>
            <w:tcW w:w="1636" w:type="pct"/>
            <w:hideMark/>
          </w:tcPr>
          <w:p w14:paraId="2DD44ECF" w14:textId="77777777" w:rsidR="007B0DFF" w:rsidRPr="000C77A2" w:rsidRDefault="007B0DFF" w:rsidP="00560AEC">
            <w:pPr>
              <w:keepNext/>
              <w:keepLines/>
              <w:spacing w:before="0" w:after="0"/>
              <w:jc w:val="center"/>
              <w:rPr>
                <w:rFonts w:ascii="Arial Narrow" w:hAnsi="Arial Narrow"/>
                <w:b/>
                <w:bCs/>
                <w:sz w:val="20"/>
                <w:szCs w:val="20"/>
              </w:rPr>
            </w:pPr>
            <w:r w:rsidRPr="000C77A2">
              <w:rPr>
                <w:rFonts w:ascii="Arial Narrow" w:hAnsi="Arial Narrow"/>
                <w:b/>
                <w:bCs/>
                <w:color w:val="000000"/>
                <w:sz w:val="20"/>
                <w:szCs w:val="20"/>
              </w:rPr>
              <w:t>Commonwealth Payment</w:t>
            </w:r>
          </w:p>
        </w:tc>
      </w:tr>
      <w:tr w:rsidR="007B0DFF" w:rsidRPr="000C77A2" w14:paraId="576C896F" w14:textId="77777777" w:rsidTr="00C66EC7">
        <w:trPr>
          <w:trHeight w:val="174"/>
        </w:trPr>
        <w:tc>
          <w:tcPr>
            <w:tcW w:w="1727" w:type="pct"/>
            <w:hideMark/>
          </w:tcPr>
          <w:p w14:paraId="683D13DB" w14:textId="71298EE8" w:rsidR="007B0DFF" w:rsidRPr="000C77A2" w:rsidRDefault="007B0DFF" w:rsidP="00560AEC">
            <w:pPr>
              <w:keepNext/>
              <w:keepLines/>
              <w:spacing w:before="0" w:after="0"/>
              <w:jc w:val="left"/>
              <w:rPr>
                <w:rFonts w:ascii="Arial Narrow" w:hAnsi="Arial Narrow"/>
                <w:sz w:val="20"/>
                <w:szCs w:val="20"/>
              </w:rPr>
            </w:pPr>
            <w:r w:rsidRPr="000C77A2">
              <w:rPr>
                <w:rFonts w:ascii="Arial Narrow" w:hAnsi="Arial Narrow"/>
                <w:color w:val="000000"/>
                <w:sz w:val="20"/>
                <w:szCs w:val="20"/>
              </w:rPr>
              <w:t>Year 1 (Jul 22 – Jun 23)</w:t>
            </w:r>
          </w:p>
        </w:tc>
        <w:tc>
          <w:tcPr>
            <w:tcW w:w="1636" w:type="pct"/>
            <w:tcBorders>
              <w:bottom w:val="single" w:sz="4" w:space="0" w:color="auto"/>
            </w:tcBorders>
            <w:shd w:val="solid" w:color="000000" w:fill="000000"/>
            <w:hideMark/>
          </w:tcPr>
          <w:p w14:paraId="0A2F9D0B" w14:textId="0CD763A5" w:rsidR="007B0DFF" w:rsidRPr="00560AEC" w:rsidRDefault="00C66EC7" w:rsidP="00560AEC">
            <w:pPr>
              <w:keepNext/>
              <w:keepLines/>
              <w:spacing w:before="0" w:after="0"/>
              <w:jc w:val="center"/>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636" w:type="pct"/>
            <w:hideMark/>
          </w:tcPr>
          <w:p w14:paraId="5FA8525C" w14:textId="50D62207" w:rsidR="007B0DFF" w:rsidRPr="000C77A2" w:rsidRDefault="007B0DFF" w:rsidP="00560AEC">
            <w:pPr>
              <w:keepNext/>
              <w:keepLines/>
              <w:spacing w:before="0" w:after="0"/>
              <w:jc w:val="center"/>
              <w:rPr>
                <w:rFonts w:ascii="Arial Narrow" w:hAnsi="Arial Narrow"/>
                <w:sz w:val="20"/>
                <w:szCs w:val="20"/>
              </w:rPr>
            </w:pPr>
            <w:r w:rsidRPr="000C77A2">
              <w:rPr>
                <w:rFonts w:ascii="Arial Narrow" w:hAnsi="Arial Narrow"/>
                <w:color w:val="000000"/>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376CAB" w:rsidRPr="000C77A2">
              <w:rPr>
                <w:rFonts w:ascii="Arial Narrow" w:hAnsi="Arial Narrow"/>
                <w:color w:val="000000"/>
                <w:sz w:val="20"/>
                <w:szCs w:val="20"/>
                <w:vertAlign w:val="superscript"/>
              </w:rPr>
              <w:t>*</w:t>
            </w:r>
          </w:p>
        </w:tc>
      </w:tr>
      <w:tr w:rsidR="007B0DFF" w:rsidRPr="000C77A2" w14:paraId="6DEEAA02" w14:textId="77777777" w:rsidTr="00C66EC7">
        <w:trPr>
          <w:trHeight w:val="174"/>
        </w:trPr>
        <w:tc>
          <w:tcPr>
            <w:tcW w:w="1727" w:type="pct"/>
            <w:hideMark/>
          </w:tcPr>
          <w:p w14:paraId="79E14462" w14:textId="51F17A83" w:rsidR="007B0DFF" w:rsidRPr="000C77A2" w:rsidRDefault="007B0DFF" w:rsidP="00560AEC">
            <w:pPr>
              <w:keepNext/>
              <w:keepLines/>
              <w:spacing w:before="0" w:after="0"/>
              <w:jc w:val="left"/>
              <w:rPr>
                <w:rFonts w:ascii="Arial Narrow" w:hAnsi="Arial Narrow"/>
                <w:sz w:val="20"/>
                <w:szCs w:val="20"/>
              </w:rPr>
            </w:pPr>
            <w:r w:rsidRPr="000C77A2">
              <w:rPr>
                <w:rFonts w:ascii="Arial Narrow" w:hAnsi="Arial Narrow"/>
                <w:color w:val="000000"/>
                <w:sz w:val="20"/>
                <w:szCs w:val="20"/>
              </w:rPr>
              <w:t>Year 2</w:t>
            </w:r>
            <w:r w:rsidR="00376CAB" w:rsidRPr="000C77A2">
              <w:rPr>
                <w:rFonts w:ascii="Arial Narrow" w:hAnsi="Arial Narrow"/>
                <w:color w:val="000000"/>
                <w:sz w:val="20"/>
                <w:szCs w:val="20"/>
              </w:rPr>
              <w:t xml:space="preserve"> (Jul 23 – Jun 24)</w:t>
            </w:r>
          </w:p>
        </w:tc>
        <w:tc>
          <w:tcPr>
            <w:tcW w:w="1636" w:type="pct"/>
            <w:tcBorders>
              <w:bottom w:val="single" w:sz="4" w:space="0" w:color="auto"/>
            </w:tcBorders>
            <w:shd w:val="solid" w:color="000000" w:fill="000000"/>
            <w:hideMark/>
          </w:tcPr>
          <w:p w14:paraId="5209545E" w14:textId="7023FBA8" w:rsidR="007B0DFF" w:rsidRPr="00560AEC" w:rsidRDefault="00C66EC7" w:rsidP="00560AEC">
            <w:pPr>
              <w:keepNext/>
              <w:keepLines/>
              <w:spacing w:before="0" w:after="0"/>
              <w:jc w:val="center"/>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636" w:type="pct"/>
            <w:hideMark/>
          </w:tcPr>
          <w:p w14:paraId="4AF68239" w14:textId="413616D0" w:rsidR="007B0DFF" w:rsidRPr="000C77A2" w:rsidRDefault="007B0DFF" w:rsidP="00560AEC">
            <w:pPr>
              <w:keepNext/>
              <w:keepLines/>
              <w:spacing w:before="0" w:after="0"/>
              <w:jc w:val="center"/>
              <w:rPr>
                <w:rFonts w:ascii="Arial Narrow" w:hAnsi="Arial Narrow"/>
                <w:sz w:val="20"/>
                <w:szCs w:val="20"/>
              </w:rPr>
            </w:pPr>
            <w:r w:rsidRPr="000C77A2">
              <w:rPr>
                <w:rFonts w:ascii="Arial Narrow" w:hAnsi="Arial Narrow"/>
                <w:color w:val="000000"/>
                <w:sz w:val="20"/>
                <w:szCs w:val="20"/>
              </w:rPr>
              <w:t>$</w:t>
            </w:r>
            <w:r w:rsidR="00C66EC7" w:rsidRPr="00C66EC7">
              <w:rPr>
                <w:rFonts w:ascii="Arial Narrow" w:hAnsi="Arial Narrow"/>
                <w:color w:val="000000"/>
                <w:sz w:val="20"/>
                <w:szCs w:val="20"/>
                <w:shd w:val="solid" w:color="000000" w:fill="000000"/>
                <w14:textFill>
                  <w14:solidFill>
                    <w14:srgbClr w14:val="000000">
                      <w14:alpha w14:val="100000"/>
                    </w14:srgbClr>
                  </w14:solidFill>
                </w14:textFill>
              </w:rPr>
              <w:t>|</w:t>
            </w:r>
            <w:r w:rsidR="00376CAB" w:rsidRPr="000C77A2">
              <w:rPr>
                <w:rFonts w:ascii="Arial Narrow" w:hAnsi="Arial Narrow"/>
                <w:color w:val="000000"/>
                <w:sz w:val="20"/>
                <w:szCs w:val="20"/>
                <w:vertAlign w:val="superscript"/>
              </w:rPr>
              <w:t>*#</w:t>
            </w:r>
          </w:p>
        </w:tc>
      </w:tr>
      <w:tr w:rsidR="007B0DFF" w:rsidRPr="000C77A2" w14:paraId="7DD81435" w14:textId="77777777" w:rsidTr="00C66EC7">
        <w:trPr>
          <w:trHeight w:val="174"/>
        </w:trPr>
        <w:tc>
          <w:tcPr>
            <w:tcW w:w="1727" w:type="pct"/>
            <w:hideMark/>
          </w:tcPr>
          <w:p w14:paraId="77FCFEBE" w14:textId="124D2175" w:rsidR="007B0DFF" w:rsidRPr="000C77A2" w:rsidRDefault="007B0DFF" w:rsidP="00560AEC">
            <w:pPr>
              <w:keepNext/>
              <w:keepLines/>
              <w:spacing w:before="0" w:after="0"/>
              <w:jc w:val="left"/>
              <w:rPr>
                <w:rFonts w:ascii="Arial Narrow" w:hAnsi="Arial Narrow"/>
                <w:sz w:val="20"/>
                <w:szCs w:val="20"/>
              </w:rPr>
            </w:pPr>
            <w:r w:rsidRPr="000C77A2">
              <w:rPr>
                <w:rFonts w:ascii="Arial Narrow" w:hAnsi="Arial Narrow"/>
                <w:color w:val="000000"/>
                <w:sz w:val="20"/>
                <w:szCs w:val="20"/>
              </w:rPr>
              <w:t>Year 3</w:t>
            </w:r>
            <w:r w:rsidR="00376CAB" w:rsidRPr="000C77A2">
              <w:rPr>
                <w:rFonts w:ascii="Arial Narrow" w:hAnsi="Arial Narrow"/>
                <w:color w:val="000000"/>
                <w:sz w:val="20"/>
                <w:szCs w:val="20"/>
              </w:rPr>
              <w:t xml:space="preserve"> (Jul 24 – Jun 25)</w:t>
            </w:r>
          </w:p>
        </w:tc>
        <w:tc>
          <w:tcPr>
            <w:tcW w:w="1636" w:type="pct"/>
            <w:tcBorders>
              <w:bottom w:val="single" w:sz="4" w:space="0" w:color="auto"/>
            </w:tcBorders>
            <w:shd w:val="solid" w:color="000000" w:fill="000000"/>
            <w:hideMark/>
          </w:tcPr>
          <w:p w14:paraId="3FC5AE24" w14:textId="73EB3415" w:rsidR="007B0DFF" w:rsidRPr="00560AEC" w:rsidRDefault="00C66EC7" w:rsidP="00560AEC">
            <w:pPr>
              <w:keepNext/>
              <w:keepLines/>
              <w:spacing w:before="0" w:after="0"/>
              <w:jc w:val="center"/>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636" w:type="pct"/>
            <w:hideMark/>
          </w:tcPr>
          <w:p w14:paraId="1DB6834E" w14:textId="77777777" w:rsidR="007B0DFF" w:rsidRPr="000C77A2" w:rsidRDefault="007B0DFF" w:rsidP="00560AEC">
            <w:pPr>
              <w:keepNext/>
              <w:keepLines/>
              <w:spacing w:before="0" w:after="0"/>
              <w:jc w:val="center"/>
              <w:rPr>
                <w:rFonts w:ascii="Arial Narrow" w:hAnsi="Arial Narrow"/>
                <w:sz w:val="20"/>
                <w:szCs w:val="20"/>
              </w:rPr>
            </w:pPr>
            <w:r w:rsidRPr="000C77A2">
              <w:rPr>
                <w:rFonts w:ascii="Arial Narrow" w:hAnsi="Arial Narrow"/>
                <w:color w:val="000000"/>
                <w:sz w:val="20"/>
                <w:szCs w:val="20"/>
              </w:rPr>
              <w:t>-</w:t>
            </w:r>
          </w:p>
        </w:tc>
      </w:tr>
      <w:tr w:rsidR="007B0DFF" w:rsidRPr="000C77A2" w14:paraId="3AD55E7E" w14:textId="77777777" w:rsidTr="00C66EC7">
        <w:trPr>
          <w:trHeight w:val="174"/>
        </w:trPr>
        <w:tc>
          <w:tcPr>
            <w:tcW w:w="1727" w:type="pct"/>
            <w:hideMark/>
          </w:tcPr>
          <w:p w14:paraId="658C4364" w14:textId="6935A51F" w:rsidR="007B0DFF" w:rsidRPr="000C77A2" w:rsidRDefault="007B0DFF" w:rsidP="00560AEC">
            <w:pPr>
              <w:keepNext/>
              <w:keepLines/>
              <w:spacing w:before="0" w:after="0"/>
              <w:jc w:val="left"/>
              <w:rPr>
                <w:rFonts w:ascii="Arial Narrow" w:hAnsi="Arial Narrow"/>
                <w:sz w:val="20"/>
                <w:szCs w:val="20"/>
              </w:rPr>
            </w:pPr>
            <w:r w:rsidRPr="000C77A2">
              <w:rPr>
                <w:rFonts w:ascii="Arial Narrow" w:hAnsi="Arial Narrow"/>
                <w:color w:val="000000"/>
                <w:sz w:val="20"/>
                <w:szCs w:val="20"/>
              </w:rPr>
              <w:t>Year 4</w:t>
            </w:r>
            <w:r w:rsidR="00376CAB" w:rsidRPr="000C77A2">
              <w:rPr>
                <w:rFonts w:ascii="Arial Narrow" w:hAnsi="Arial Narrow"/>
                <w:color w:val="000000"/>
                <w:sz w:val="20"/>
                <w:szCs w:val="20"/>
              </w:rPr>
              <w:t xml:space="preserve"> (Jul 24 – Jun 26)</w:t>
            </w:r>
          </w:p>
        </w:tc>
        <w:tc>
          <w:tcPr>
            <w:tcW w:w="1636" w:type="pct"/>
            <w:tcBorders>
              <w:bottom w:val="single" w:sz="4" w:space="0" w:color="auto"/>
            </w:tcBorders>
            <w:shd w:val="solid" w:color="000000" w:fill="000000"/>
            <w:hideMark/>
          </w:tcPr>
          <w:p w14:paraId="51024332" w14:textId="5C400A54" w:rsidR="007B0DFF" w:rsidRPr="00560AEC" w:rsidRDefault="00C66EC7" w:rsidP="00560AEC">
            <w:pPr>
              <w:keepNext/>
              <w:keepLines/>
              <w:spacing w:before="0" w:after="0"/>
              <w:jc w:val="center"/>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636" w:type="pct"/>
            <w:hideMark/>
          </w:tcPr>
          <w:p w14:paraId="5ED8B645" w14:textId="77777777" w:rsidR="007B0DFF" w:rsidRPr="000C77A2" w:rsidRDefault="007B0DFF" w:rsidP="00560AEC">
            <w:pPr>
              <w:keepNext/>
              <w:keepLines/>
              <w:spacing w:before="0" w:after="0"/>
              <w:jc w:val="center"/>
              <w:rPr>
                <w:rFonts w:ascii="Arial Narrow" w:hAnsi="Arial Narrow"/>
                <w:sz w:val="20"/>
                <w:szCs w:val="20"/>
              </w:rPr>
            </w:pPr>
            <w:r w:rsidRPr="000C77A2">
              <w:rPr>
                <w:rFonts w:ascii="Arial Narrow" w:hAnsi="Arial Narrow"/>
                <w:color w:val="000000"/>
                <w:sz w:val="20"/>
                <w:szCs w:val="20"/>
              </w:rPr>
              <w:t>-</w:t>
            </w:r>
          </w:p>
        </w:tc>
      </w:tr>
      <w:tr w:rsidR="007B0DFF" w:rsidRPr="000C77A2" w14:paraId="6EE80EDB" w14:textId="77777777" w:rsidTr="00C66EC7">
        <w:trPr>
          <w:trHeight w:val="174"/>
        </w:trPr>
        <w:tc>
          <w:tcPr>
            <w:tcW w:w="1727" w:type="pct"/>
            <w:hideMark/>
          </w:tcPr>
          <w:p w14:paraId="2696D10E" w14:textId="53B5E1AB" w:rsidR="007B0DFF" w:rsidRPr="000C77A2" w:rsidRDefault="007B0DFF" w:rsidP="00560AEC">
            <w:pPr>
              <w:keepNext/>
              <w:keepLines/>
              <w:spacing w:before="0" w:after="0"/>
              <w:jc w:val="left"/>
              <w:rPr>
                <w:rFonts w:ascii="Arial Narrow" w:hAnsi="Arial Narrow"/>
                <w:sz w:val="20"/>
                <w:szCs w:val="20"/>
              </w:rPr>
            </w:pPr>
            <w:r w:rsidRPr="000C77A2">
              <w:rPr>
                <w:rFonts w:ascii="Arial Narrow" w:hAnsi="Arial Narrow"/>
                <w:color w:val="000000"/>
                <w:sz w:val="20"/>
                <w:szCs w:val="20"/>
              </w:rPr>
              <w:t>Year 5</w:t>
            </w:r>
            <w:r w:rsidR="00A0265B" w:rsidRPr="000C77A2">
              <w:rPr>
                <w:rFonts w:ascii="Arial Narrow" w:hAnsi="Arial Narrow"/>
                <w:color w:val="000000"/>
                <w:sz w:val="20"/>
                <w:szCs w:val="20"/>
              </w:rPr>
              <w:t xml:space="preserve"> (Jul 26 – Jun 27)</w:t>
            </w:r>
          </w:p>
        </w:tc>
        <w:tc>
          <w:tcPr>
            <w:tcW w:w="1636" w:type="pct"/>
            <w:shd w:val="solid" w:color="000000" w:fill="000000"/>
            <w:hideMark/>
          </w:tcPr>
          <w:p w14:paraId="02DED24B" w14:textId="3ED1EFD3" w:rsidR="007B0DFF" w:rsidRPr="00560AEC" w:rsidRDefault="00C66EC7" w:rsidP="00560AEC">
            <w:pPr>
              <w:keepNext/>
              <w:keepLines/>
              <w:spacing w:before="0" w:after="0"/>
              <w:jc w:val="center"/>
              <w:rPr>
                <w:rFonts w:ascii="Arial Narrow" w:hAnsi="Arial Narrow"/>
                <w:sz w:val="20"/>
                <w:szCs w:val="20"/>
                <w:highlight w:val="lightGray"/>
              </w:rPr>
            </w:pPr>
            <w:r w:rsidRPr="00C66EC7">
              <w:rPr>
                <w:rFonts w:ascii="Arial Narrow" w:hAnsi="Arial Narrow"/>
                <w:color w:val="000000"/>
                <w:sz w:val="20"/>
                <w:szCs w:val="20"/>
                <w14:textFill>
                  <w14:solidFill>
                    <w14:srgbClr w14:val="000000">
                      <w14:alpha w14:val="100000"/>
                    </w14:srgbClr>
                  </w14:solidFill>
                </w14:textFill>
              </w:rPr>
              <w:t>|</w:t>
            </w:r>
          </w:p>
        </w:tc>
        <w:tc>
          <w:tcPr>
            <w:tcW w:w="1636" w:type="pct"/>
            <w:hideMark/>
          </w:tcPr>
          <w:p w14:paraId="3936304F" w14:textId="77777777" w:rsidR="007B0DFF" w:rsidRPr="000C77A2" w:rsidRDefault="007B0DFF" w:rsidP="00560AEC">
            <w:pPr>
              <w:keepNext/>
              <w:keepLines/>
              <w:spacing w:before="0" w:after="0"/>
              <w:jc w:val="center"/>
              <w:rPr>
                <w:rFonts w:ascii="Arial Narrow" w:hAnsi="Arial Narrow"/>
                <w:sz w:val="20"/>
                <w:szCs w:val="20"/>
              </w:rPr>
            </w:pPr>
            <w:r w:rsidRPr="000C77A2">
              <w:rPr>
                <w:rFonts w:ascii="Arial Narrow" w:hAnsi="Arial Narrow"/>
                <w:color w:val="000000"/>
                <w:sz w:val="20"/>
                <w:szCs w:val="20"/>
              </w:rPr>
              <w:t>-</w:t>
            </w:r>
          </w:p>
        </w:tc>
      </w:tr>
    </w:tbl>
    <w:p w14:paraId="578ED554" w14:textId="77777777" w:rsidR="007B0DFF" w:rsidRPr="000C77A2" w:rsidRDefault="007B0DFF" w:rsidP="00560AEC">
      <w:pPr>
        <w:keepNext/>
        <w:keepLines/>
        <w:rPr>
          <w:rFonts w:ascii="Arial Narrow" w:eastAsiaTheme="minorHAnsi" w:hAnsi="Arial Narrow" w:cs="Calibri"/>
          <w:sz w:val="16"/>
          <w:szCs w:val="16"/>
          <w:lang w:eastAsia="en-US"/>
        </w:rPr>
      </w:pPr>
      <w:r w:rsidRPr="000C77A2">
        <w:rPr>
          <w:rFonts w:ascii="Arial Narrow" w:hAnsi="Arial Narrow"/>
          <w:sz w:val="18"/>
          <w:szCs w:val="18"/>
        </w:rPr>
        <w:t>*based on unadjusted data</w:t>
      </w:r>
    </w:p>
    <w:p w14:paraId="1D9AD567" w14:textId="6FAF4784" w:rsidR="007B0DFF" w:rsidRPr="000C77A2" w:rsidRDefault="007B0DFF" w:rsidP="00560AEC">
      <w:pPr>
        <w:spacing w:after="120"/>
        <w:rPr>
          <w:rFonts w:ascii="Arial Narrow" w:hAnsi="Arial Narrow"/>
          <w:sz w:val="18"/>
          <w:szCs w:val="18"/>
        </w:rPr>
      </w:pPr>
      <w:r w:rsidRPr="000C77A2">
        <w:rPr>
          <w:rFonts w:ascii="Arial Narrow" w:hAnsi="Arial Narrow"/>
          <w:sz w:val="18"/>
          <w:szCs w:val="18"/>
        </w:rPr>
        <w:t xml:space="preserve"># part year </w:t>
      </w:r>
      <w:r w:rsidR="00292657" w:rsidRPr="000C77A2">
        <w:rPr>
          <w:rFonts w:ascii="Arial Narrow" w:hAnsi="Arial Narrow"/>
          <w:sz w:val="18"/>
          <w:szCs w:val="18"/>
        </w:rPr>
        <w:t>–</w:t>
      </w:r>
      <w:r w:rsidRPr="000C77A2">
        <w:rPr>
          <w:rFonts w:ascii="Arial Narrow" w:hAnsi="Arial Narrow"/>
          <w:sz w:val="18"/>
          <w:szCs w:val="18"/>
        </w:rPr>
        <w:t xml:space="preserve"> 6 months</w:t>
      </w:r>
    </w:p>
    <w:p w14:paraId="081917FF" w14:textId="77777777" w:rsidR="00886653" w:rsidRPr="000C77A2" w:rsidRDefault="00886653" w:rsidP="00D65013">
      <w:pPr>
        <w:pStyle w:val="2-SectionHeading"/>
      </w:pPr>
      <w:bookmarkStart w:id="75" w:name="_Hlk76381249"/>
      <w:bookmarkStart w:id="76" w:name="_Toc156903971"/>
      <w:bookmarkEnd w:id="72"/>
      <w:bookmarkEnd w:id="73"/>
      <w:r w:rsidRPr="000C77A2">
        <w:lastRenderedPageBreak/>
        <w:t>PBAC Outcome</w:t>
      </w:r>
    </w:p>
    <w:p w14:paraId="6268F498" w14:textId="222CB880" w:rsidR="00D65013" w:rsidRPr="000C77A2" w:rsidRDefault="00D65013" w:rsidP="005522CB">
      <w:pPr>
        <w:pStyle w:val="3-BodyText"/>
        <w:rPr>
          <w:rFonts w:ascii="Calibri" w:hAnsi="Calibri" w:cs="Calibri"/>
          <w:sz w:val="22"/>
          <w:szCs w:val="22"/>
        </w:rPr>
      </w:pPr>
      <w:bookmarkStart w:id="77" w:name="_Hlk163215121"/>
      <w:r w:rsidRPr="000C77A2">
        <w:t>The PBAC recommended the Authority Required listing of larotrectinib for the treatment of adults with locally advanced or metastatic non-small cell lung cancer (NSCLC) or soft tissue sarcoma (STS) harbouring neurotrophic tropomyosin receptor kinase (</w:t>
      </w:r>
      <w:r w:rsidRPr="000C77A2">
        <w:rPr>
          <w:i/>
          <w:iCs/>
        </w:rPr>
        <w:t>NTRK</w:t>
      </w:r>
      <w:r w:rsidRPr="000C77A2">
        <w:t xml:space="preserve">) gene fusions. The PBAC noted patients with NSCLC and STS have access to gene panel testing that includes </w:t>
      </w:r>
      <w:r w:rsidRPr="000C77A2">
        <w:rPr>
          <w:i/>
          <w:iCs/>
        </w:rPr>
        <w:t>NTRK</w:t>
      </w:r>
      <w:r w:rsidRPr="000C77A2">
        <w:t xml:space="preserve"> fusions on the Medicare Benefits Schedule (MBS). The PBAC noted that patients with glioma, glioneuronal tumour or glioblastoma also have access to testing on the MBS and advised it would be reasonable for larotrectinib to</w:t>
      </w:r>
      <w:r w:rsidR="00F25F45" w:rsidRPr="000C77A2">
        <w:t xml:space="preserve"> be listed on the PBS </w:t>
      </w:r>
      <w:r w:rsidR="00613FE1" w:rsidRPr="000C77A2">
        <w:t>f</w:t>
      </w:r>
      <w:r w:rsidRPr="000C77A2">
        <w:t xml:space="preserve">or these patients harbouring </w:t>
      </w:r>
      <w:r w:rsidRPr="000C77A2">
        <w:rPr>
          <w:i/>
          <w:iCs/>
        </w:rPr>
        <w:t>NTRK</w:t>
      </w:r>
      <w:r w:rsidRPr="000C77A2">
        <w:t xml:space="preserve"> gene fusions. The PBAC considered the incremental cost-effectiveness ratio (ICER) was high but acceptable at the price proposed in the pre-PBAC response. The PBAC noted the </w:t>
      </w:r>
      <w:r w:rsidR="00F25F45" w:rsidRPr="000C77A2">
        <w:t xml:space="preserve">very </w:t>
      </w:r>
      <w:r w:rsidRPr="000C77A2">
        <w:t xml:space="preserve">small number of patients that would be eligible for treatment and considered the utilisation estimates </w:t>
      </w:r>
      <w:r w:rsidR="00F25F45" w:rsidRPr="000C77A2">
        <w:t xml:space="preserve">provided in the pre-PBAC response </w:t>
      </w:r>
      <w:r w:rsidRPr="000C77A2">
        <w:t>were reasonable</w:t>
      </w:r>
      <w:r w:rsidR="000C77A2">
        <w:t xml:space="preserve">. </w:t>
      </w:r>
    </w:p>
    <w:p w14:paraId="1A02F601" w14:textId="16BE0735" w:rsidR="00D65013" w:rsidRPr="00576FA3" w:rsidRDefault="007129E9" w:rsidP="00886653">
      <w:pPr>
        <w:widowControl w:val="0"/>
        <w:numPr>
          <w:ilvl w:val="1"/>
          <w:numId w:val="1"/>
        </w:numPr>
        <w:spacing w:after="120"/>
        <w:rPr>
          <w:rFonts w:asciiTheme="minorHAnsi" w:hAnsiTheme="minorHAnsi"/>
          <w:snapToGrid w:val="0"/>
        </w:rPr>
      </w:pPr>
      <w:bookmarkStart w:id="78" w:name="_Hlk111543188"/>
      <w:bookmarkEnd w:id="77"/>
      <w:r w:rsidRPr="000C77A2">
        <w:t>The PBAC noted the input from health care professionals and organisations which highlighted the need for additional treatment options for rare cancers.</w:t>
      </w:r>
    </w:p>
    <w:p w14:paraId="72359DC3" w14:textId="4C7B0190" w:rsidR="00E83193" w:rsidRPr="000C77A2" w:rsidRDefault="00E83193" w:rsidP="00E83193">
      <w:pPr>
        <w:pStyle w:val="3-BodyText"/>
      </w:pPr>
      <w:r w:rsidRPr="000C77A2">
        <w:t xml:space="preserve">The PBAC was satisfied that larotrectinib provides, for some patients, an improvement in efficacy over the nominated comparators. </w:t>
      </w:r>
    </w:p>
    <w:p w14:paraId="0CD93984" w14:textId="5E379CB2" w:rsidR="00F25F45" w:rsidRPr="00576FA3" w:rsidRDefault="00F25F45" w:rsidP="00886653">
      <w:pPr>
        <w:widowControl w:val="0"/>
        <w:numPr>
          <w:ilvl w:val="1"/>
          <w:numId w:val="1"/>
        </w:numPr>
        <w:spacing w:after="120"/>
        <w:rPr>
          <w:rFonts w:asciiTheme="minorHAnsi" w:hAnsiTheme="minorHAnsi"/>
          <w:snapToGrid w:val="0"/>
        </w:rPr>
      </w:pPr>
      <w:bookmarkStart w:id="79" w:name="_Ref163376183"/>
      <w:r w:rsidRPr="000C77A2">
        <w:t xml:space="preserve">The PBAC noted the </w:t>
      </w:r>
      <w:r w:rsidR="00DD0CC2" w:rsidRPr="000C77A2">
        <w:t xml:space="preserve">initial </w:t>
      </w:r>
      <w:r w:rsidRPr="000C77A2">
        <w:t xml:space="preserve">restriction criteria proposed in the resubmission would allow patients to be treated with larotrectinib in the first-line treatment setting. The resubmission stated </w:t>
      </w:r>
      <w:r w:rsidR="00613FE1" w:rsidRPr="000C77A2">
        <w:t xml:space="preserve">that </w:t>
      </w:r>
      <w:r w:rsidRPr="000C77A2">
        <w:t xml:space="preserve">this was to allow patients </w:t>
      </w:r>
      <w:r w:rsidR="00C51EA9" w:rsidRPr="000C77A2">
        <w:t>who were</w:t>
      </w:r>
      <w:r w:rsidRPr="000C77A2">
        <w:t xml:space="preserve"> ‘inappropriate’ for immunotherapy and/ or chemotherapy to be treated with larotrectinib</w:t>
      </w:r>
      <w:r w:rsidR="000C77A2">
        <w:t xml:space="preserve">. </w:t>
      </w:r>
      <w:r w:rsidRPr="000C77A2">
        <w:t xml:space="preserve">The PBAC considered the suggested addition to the criteria proposed in the PSCR (see paragraph </w:t>
      </w:r>
      <w:r w:rsidRPr="000C77A2">
        <w:fldChar w:fldCharType="begin" w:fldLock="1"/>
      </w:r>
      <w:r w:rsidRPr="000C77A2">
        <w:instrText xml:space="preserve"> REF _Ref163375943 \r \h </w:instrText>
      </w:r>
      <w:r w:rsidRPr="000C77A2">
        <w:fldChar w:fldCharType="separate"/>
      </w:r>
      <w:r w:rsidR="001B0FE7">
        <w:t>3.6</w:t>
      </w:r>
      <w:r w:rsidRPr="000C77A2">
        <w:fldChar w:fldCharType="end"/>
      </w:r>
      <w:r w:rsidRPr="000C77A2">
        <w:t>) was appropriate and consistent with the TGA indication that specifies that the tumours should be metastatic or where surgical resection is likely to result in severe morbidity and has either progressed following treatment or who has no satisfactory alternative therapy. The PBAC considered it was also reasonable to allow access for patients with locally advanced disease where surgical resection is likely to result in severe morbidity.</w:t>
      </w:r>
      <w:bookmarkEnd w:id="79"/>
      <w:r w:rsidRPr="000C77A2">
        <w:t xml:space="preserve"> </w:t>
      </w:r>
    </w:p>
    <w:p w14:paraId="4405CB95" w14:textId="2252096F" w:rsidR="0058021F" w:rsidRPr="00576FA3" w:rsidRDefault="008677AA"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The PBAC noted the nominated comparator for NSCLC was docetaxel and for STS was pazopanib. The PBAC </w:t>
      </w:r>
      <w:r w:rsidR="004F7077" w:rsidRPr="00576FA3">
        <w:rPr>
          <w:rFonts w:asciiTheme="minorHAnsi" w:hAnsiTheme="minorHAnsi"/>
          <w:snapToGrid w:val="0"/>
        </w:rPr>
        <w:t>acknowledged the</w:t>
      </w:r>
      <w:r w:rsidR="005B4602" w:rsidRPr="00576FA3">
        <w:rPr>
          <w:rFonts w:asciiTheme="minorHAnsi" w:hAnsiTheme="minorHAnsi"/>
          <w:snapToGrid w:val="0"/>
        </w:rPr>
        <w:t xml:space="preserve"> nominated</w:t>
      </w:r>
      <w:r w:rsidR="004F7077" w:rsidRPr="00576FA3">
        <w:rPr>
          <w:rFonts w:asciiTheme="minorHAnsi" w:hAnsiTheme="minorHAnsi"/>
          <w:snapToGrid w:val="0"/>
        </w:rPr>
        <w:t xml:space="preserve"> comparators were relevant in the later-line treatment setting and may not be appropriate if larotrectinib was used in an earlier treatment setting (as discussed in paragraph </w:t>
      </w:r>
      <w:r w:rsidR="009C386A" w:rsidRPr="00576FA3">
        <w:rPr>
          <w:rFonts w:asciiTheme="minorHAnsi" w:hAnsiTheme="minorHAnsi"/>
          <w:snapToGrid w:val="0"/>
          <w:highlight w:val="yellow"/>
        </w:rPr>
        <w:fldChar w:fldCharType="begin" w:fldLock="1"/>
      </w:r>
      <w:r w:rsidR="009C386A" w:rsidRPr="00576FA3">
        <w:rPr>
          <w:rFonts w:asciiTheme="minorHAnsi" w:hAnsiTheme="minorHAnsi"/>
          <w:snapToGrid w:val="0"/>
        </w:rPr>
        <w:instrText xml:space="preserve"> REF _Ref163061066 \r \h </w:instrText>
      </w:r>
      <w:r w:rsidR="009C386A" w:rsidRPr="00576FA3">
        <w:rPr>
          <w:rFonts w:asciiTheme="minorHAnsi" w:hAnsiTheme="minorHAnsi"/>
          <w:snapToGrid w:val="0"/>
          <w:highlight w:val="yellow"/>
        </w:rPr>
      </w:r>
      <w:r w:rsidR="009C386A" w:rsidRPr="00576FA3">
        <w:rPr>
          <w:rFonts w:asciiTheme="minorHAnsi" w:hAnsiTheme="minorHAnsi"/>
          <w:snapToGrid w:val="0"/>
          <w:highlight w:val="yellow"/>
        </w:rPr>
        <w:fldChar w:fldCharType="separate"/>
      </w:r>
      <w:r w:rsidR="001B0FE7">
        <w:rPr>
          <w:rFonts w:asciiTheme="minorHAnsi" w:hAnsiTheme="minorHAnsi"/>
          <w:snapToGrid w:val="0"/>
        </w:rPr>
        <w:t>6.49</w:t>
      </w:r>
      <w:r w:rsidR="009C386A" w:rsidRPr="00576FA3">
        <w:rPr>
          <w:rFonts w:asciiTheme="minorHAnsi" w:hAnsiTheme="minorHAnsi"/>
          <w:snapToGrid w:val="0"/>
          <w:highlight w:val="yellow"/>
        </w:rPr>
        <w:fldChar w:fldCharType="end"/>
      </w:r>
      <w:r w:rsidR="004F7077" w:rsidRPr="00576FA3">
        <w:rPr>
          <w:rFonts w:asciiTheme="minorHAnsi" w:hAnsiTheme="minorHAnsi"/>
          <w:snapToGrid w:val="0"/>
        </w:rPr>
        <w:t xml:space="preserve">). However, on balance, the PBAC considered </w:t>
      </w:r>
      <w:r w:rsidR="005B4602" w:rsidRPr="00576FA3">
        <w:rPr>
          <w:rFonts w:asciiTheme="minorHAnsi" w:hAnsiTheme="minorHAnsi"/>
          <w:snapToGrid w:val="0"/>
        </w:rPr>
        <w:t xml:space="preserve">a majority of larotrectinib use would </w:t>
      </w:r>
      <w:r w:rsidR="00823B07" w:rsidRPr="00576FA3">
        <w:rPr>
          <w:rFonts w:asciiTheme="minorHAnsi" w:hAnsiTheme="minorHAnsi"/>
          <w:snapToGrid w:val="0"/>
        </w:rPr>
        <w:t xml:space="preserve">likely </w:t>
      </w:r>
      <w:r w:rsidR="005B4602" w:rsidRPr="00576FA3">
        <w:rPr>
          <w:rFonts w:asciiTheme="minorHAnsi" w:hAnsiTheme="minorHAnsi"/>
          <w:snapToGrid w:val="0"/>
        </w:rPr>
        <w:t xml:space="preserve">be in the later-line treatment setting and </w:t>
      </w:r>
      <w:r w:rsidR="004F7077" w:rsidRPr="00576FA3">
        <w:rPr>
          <w:rFonts w:asciiTheme="minorHAnsi" w:hAnsiTheme="minorHAnsi"/>
          <w:snapToGrid w:val="0"/>
        </w:rPr>
        <w:t>the nominated comparators were reasonable</w:t>
      </w:r>
      <w:r w:rsidR="000C77A2">
        <w:rPr>
          <w:rFonts w:asciiTheme="minorHAnsi" w:hAnsiTheme="minorHAnsi"/>
          <w:snapToGrid w:val="0"/>
        </w:rPr>
        <w:t xml:space="preserve">. </w:t>
      </w:r>
    </w:p>
    <w:p w14:paraId="3F5DCC28" w14:textId="3C48E089" w:rsidR="00CA0253" w:rsidRPr="00576FA3" w:rsidRDefault="003F030F" w:rsidP="008677AA">
      <w:pPr>
        <w:widowControl w:val="0"/>
        <w:numPr>
          <w:ilvl w:val="1"/>
          <w:numId w:val="1"/>
        </w:numPr>
        <w:spacing w:after="120"/>
        <w:rPr>
          <w:rFonts w:asciiTheme="minorHAnsi" w:hAnsiTheme="minorHAnsi"/>
          <w:snapToGrid w:val="0"/>
        </w:rPr>
      </w:pPr>
      <w:r w:rsidRPr="00576FA3">
        <w:rPr>
          <w:rFonts w:asciiTheme="minorHAnsi" w:hAnsiTheme="minorHAnsi"/>
          <w:snapToGrid w:val="0"/>
        </w:rPr>
        <w:t>The PBAC noted the resubmission presented updated pooled efficacy data (the ePAS7 analysis with July 2022 data cut-off) from the same single-arm larotrectinib studies as previously p</w:t>
      </w:r>
      <w:r w:rsidRPr="00576FA3">
        <w:rPr>
          <w:rFonts w:cs="Calibri"/>
          <w:snapToGrid w:val="0"/>
        </w:rPr>
        <w:t>resented (Study 20288, NAVIGATE, and SCOUT). The PBAC noted ePAS7 included 25 patients with NSCLC and 30 patients with STS.</w:t>
      </w:r>
      <w:r w:rsidR="008677AA" w:rsidRPr="00576FA3">
        <w:rPr>
          <w:rFonts w:cs="Calibri"/>
          <w:snapToGrid w:val="0"/>
        </w:rPr>
        <w:t xml:space="preserve"> The resubmission presented a descriptive non-matched (unadjusted) indirect comparison </w:t>
      </w:r>
      <w:r w:rsidR="008677AA" w:rsidRPr="00576FA3">
        <w:rPr>
          <w:rFonts w:cs="Calibri"/>
        </w:rPr>
        <w:t xml:space="preserve">versus i) single arm docetaxel data from CheckMate 057 for NSCLC, and ii) single arm pazopanib data from </w:t>
      </w:r>
      <w:r w:rsidR="008677AA" w:rsidRPr="00576FA3">
        <w:rPr>
          <w:rFonts w:cs="Calibri"/>
        </w:rPr>
        <w:lastRenderedPageBreak/>
        <w:t>PALETTE for STS</w:t>
      </w:r>
      <w:r w:rsidR="000C77A2">
        <w:rPr>
          <w:rFonts w:cs="Calibri"/>
          <w:snapToGrid w:val="0"/>
        </w:rPr>
        <w:t xml:space="preserve">. </w:t>
      </w:r>
    </w:p>
    <w:p w14:paraId="6297987B" w14:textId="5D4F931B" w:rsidR="00CA0253" w:rsidRPr="00576FA3" w:rsidRDefault="00CA0253"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For NSCLC, the PBAC noted the overall response rate (ORR) </w:t>
      </w:r>
      <w:r w:rsidR="004F7077" w:rsidRPr="00576FA3">
        <w:rPr>
          <w:rFonts w:asciiTheme="minorHAnsi" w:hAnsiTheme="minorHAnsi"/>
          <w:snapToGrid w:val="0"/>
        </w:rPr>
        <w:t xml:space="preserve">for larotrectinib </w:t>
      </w:r>
      <w:r w:rsidRPr="00576FA3">
        <w:rPr>
          <w:rFonts w:asciiTheme="minorHAnsi" w:hAnsiTheme="minorHAnsi"/>
          <w:snapToGrid w:val="0"/>
        </w:rPr>
        <w:t>as assessed by the independent review committee (IRC) was 76%, the median progression free survival (PFS) was 33 months and overall survival (OS) was 39.3</w:t>
      </w:r>
      <w:r w:rsidR="00746AEE">
        <w:rPr>
          <w:rFonts w:asciiTheme="minorHAnsi" w:hAnsiTheme="minorHAnsi"/>
          <w:snapToGrid w:val="0"/>
        </w:rPr>
        <w:t> </w:t>
      </w:r>
      <w:r w:rsidRPr="00576FA3">
        <w:rPr>
          <w:rFonts w:asciiTheme="minorHAnsi" w:hAnsiTheme="minorHAnsi"/>
          <w:snapToGrid w:val="0"/>
        </w:rPr>
        <w:t xml:space="preserve">months. </w:t>
      </w:r>
      <w:r w:rsidR="00255B4B" w:rsidRPr="00576FA3">
        <w:rPr>
          <w:rFonts w:asciiTheme="minorHAnsi" w:hAnsiTheme="minorHAnsi"/>
          <w:snapToGrid w:val="0"/>
        </w:rPr>
        <w:t>The PBAC noted the investigator assessed ORR for docetaxel was 12%, the median PFS was 4.2 months and median OS was 9.4 months</w:t>
      </w:r>
      <w:r w:rsidR="000C77A2">
        <w:rPr>
          <w:rFonts w:asciiTheme="minorHAnsi" w:hAnsiTheme="minorHAnsi"/>
          <w:snapToGrid w:val="0"/>
        </w:rPr>
        <w:t xml:space="preserve">. </w:t>
      </w:r>
      <w:r w:rsidR="00255B4B" w:rsidRPr="00576FA3">
        <w:rPr>
          <w:rFonts w:asciiTheme="minorHAnsi" w:hAnsiTheme="minorHAnsi"/>
          <w:snapToGrid w:val="0"/>
        </w:rPr>
        <w:t xml:space="preserve">The PBAC noted that there was likely to be a </w:t>
      </w:r>
      <w:r w:rsidR="00953EDF" w:rsidRPr="00576FA3">
        <w:rPr>
          <w:rFonts w:asciiTheme="minorHAnsi" w:hAnsiTheme="minorHAnsi"/>
          <w:snapToGrid w:val="0"/>
        </w:rPr>
        <w:t xml:space="preserve">very </w:t>
      </w:r>
      <w:r w:rsidR="00255B4B" w:rsidRPr="00576FA3">
        <w:rPr>
          <w:rFonts w:asciiTheme="minorHAnsi" w:hAnsiTheme="minorHAnsi"/>
          <w:snapToGrid w:val="0"/>
        </w:rPr>
        <w:t>high risk of bias and confounding associated with a comparison of outcomes from ePAS7 and CheckMate 057 because of the single arm nature of the comparison, small patient numbers and differences in baseline patient demographics</w:t>
      </w:r>
      <w:r w:rsidR="00F25F45" w:rsidRPr="00576FA3">
        <w:rPr>
          <w:rFonts w:asciiTheme="minorHAnsi" w:hAnsiTheme="minorHAnsi"/>
          <w:snapToGrid w:val="0"/>
        </w:rPr>
        <w:t xml:space="preserve">. Additionally, the PBAC noted CheckMate 057 was not conducted in patients with </w:t>
      </w:r>
      <w:r w:rsidR="00F25F45" w:rsidRPr="00576FA3">
        <w:rPr>
          <w:rFonts w:asciiTheme="minorHAnsi" w:hAnsiTheme="minorHAnsi"/>
          <w:i/>
          <w:iCs/>
          <w:snapToGrid w:val="0"/>
        </w:rPr>
        <w:t>NTRK</w:t>
      </w:r>
      <w:r w:rsidR="00F25F45" w:rsidRPr="00576FA3">
        <w:rPr>
          <w:rFonts w:asciiTheme="minorHAnsi" w:hAnsiTheme="minorHAnsi"/>
          <w:snapToGrid w:val="0"/>
        </w:rPr>
        <w:t xml:space="preserve"> gene fusions.</w:t>
      </w:r>
    </w:p>
    <w:p w14:paraId="63DB2EC7" w14:textId="5022A122" w:rsidR="0058021F" w:rsidRPr="00576FA3" w:rsidRDefault="00CA0253"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For STS, the PBAC noted the ORR </w:t>
      </w:r>
      <w:r w:rsidR="004F7077" w:rsidRPr="00576FA3">
        <w:rPr>
          <w:rFonts w:asciiTheme="minorHAnsi" w:hAnsiTheme="minorHAnsi"/>
          <w:snapToGrid w:val="0"/>
        </w:rPr>
        <w:t xml:space="preserve">for larotrectinib </w:t>
      </w:r>
      <w:r w:rsidRPr="00576FA3">
        <w:rPr>
          <w:rFonts w:asciiTheme="minorHAnsi" w:hAnsiTheme="minorHAnsi"/>
          <w:snapToGrid w:val="0"/>
        </w:rPr>
        <w:t xml:space="preserve">as assessed by IRC was 50%, the median PFS was 24.8 months and OS was 60.2 months. </w:t>
      </w:r>
      <w:r w:rsidR="00255B4B" w:rsidRPr="00576FA3">
        <w:rPr>
          <w:rFonts w:asciiTheme="minorHAnsi" w:hAnsiTheme="minorHAnsi"/>
          <w:snapToGrid w:val="0"/>
        </w:rPr>
        <w:t xml:space="preserve">The PBAC noted the investigator assessed ORR for docetaxel was 12%, the median PFS was 4.2 months and median OS was 9.4 months. </w:t>
      </w:r>
      <w:proofErr w:type="gramStart"/>
      <w:r w:rsidR="00255B4B" w:rsidRPr="00576FA3">
        <w:rPr>
          <w:rFonts w:asciiTheme="minorHAnsi" w:hAnsiTheme="minorHAnsi"/>
          <w:snapToGrid w:val="0"/>
        </w:rPr>
        <w:t xml:space="preserve">Similar </w:t>
      </w:r>
      <w:r w:rsidR="00953EDF" w:rsidRPr="00576FA3">
        <w:rPr>
          <w:rFonts w:asciiTheme="minorHAnsi" w:hAnsiTheme="minorHAnsi"/>
          <w:snapToGrid w:val="0"/>
        </w:rPr>
        <w:t>to</w:t>
      </w:r>
      <w:proofErr w:type="gramEnd"/>
      <w:r w:rsidR="00953EDF" w:rsidRPr="00576FA3">
        <w:rPr>
          <w:rFonts w:asciiTheme="minorHAnsi" w:hAnsiTheme="minorHAnsi"/>
          <w:snapToGrid w:val="0"/>
        </w:rPr>
        <w:t xml:space="preserve"> </w:t>
      </w:r>
      <w:r w:rsidR="00255B4B" w:rsidRPr="00576FA3">
        <w:rPr>
          <w:rFonts w:asciiTheme="minorHAnsi" w:hAnsiTheme="minorHAnsi"/>
          <w:snapToGrid w:val="0"/>
        </w:rPr>
        <w:t xml:space="preserve">its consideration in NSCLC, PBAC noted that there was likely to be a </w:t>
      </w:r>
      <w:r w:rsidR="00953EDF" w:rsidRPr="00576FA3">
        <w:rPr>
          <w:rFonts w:asciiTheme="minorHAnsi" w:hAnsiTheme="minorHAnsi"/>
          <w:snapToGrid w:val="0"/>
        </w:rPr>
        <w:t xml:space="preserve">very </w:t>
      </w:r>
      <w:r w:rsidR="00255B4B" w:rsidRPr="00576FA3">
        <w:rPr>
          <w:rFonts w:asciiTheme="minorHAnsi" w:hAnsiTheme="minorHAnsi"/>
          <w:snapToGrid w:val="0"/>
        </w:rPr>
        <w:t>high risk of bias and confounding associated with a comparison of outcomes from ePAS7 and PALETTE.</w:t>
      </w:r>
      <w:r w:rsidR="00F25F45" w:rsidRPr="00576FA3">
        <w:rPr>
          <w:rFonts w:asciiTheme="minorHAnsi" w:hAnsiTheme="minorHAnsi"/>
          <w:snapToGrid w:val="0"/>
        </w:rPr>
        <w:t xml:space="preserve"> Additionally, the PBAC noted PALETTE was not conducted in patients with </w:t>
      </w:r>
      <w:r w:rsidR="00F25F45" w:rsidRPr="00576FA3">
        <w:rPr>
          <w:rFonts w:asciiTheme="minorHAnsi" w:hAnsiTheme="minorHAnsi"/>
          <w:i/>
          <w:iCs/>
          <w:snapToGrid w:val="0"/>
        </w:rPr>
        <w:t>NTRK</w:t>
      </w:r>
      <w:r w:rsidR="00F25F45" w:rsidRPr="00576FA3">
        <w:rPr>
          <w:rFonts w:asciiTheme="minorHAnsi" w:hAnsiTheme="minorHAnsi"/>
          <w:snapToGrid w:val="0"/>
        </w:rPr>
        <w:t xml:space="preserve"> gene fusions.</w:t>
      </w:r>
    </w:p>
    <w:p w14:paraId="3990268C" w14:textId="3595CDC2" w:rsidR="0058021F" w:rsidRPr="00576FA3" w:rsidRDefault="00953EDF"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The resubmission described larotrectinib as superior in terms of effectiveness compared with the nominated comparators</w:t>
      </w:r>
      <w:r w:rsidR="005E6D38" w:rsidRPr="00576FA3">
        <w:rPr>
          <w:rFonts w:asciiTheme="minorHAnsi" w:hAnsiTheme="minorHAnsi"/>
          <w:snapToGrid w:val="0"/>
        </w:rPr>
        <w:t xml:space="preserve"> for NSCLC and STS</w:t>
      </w:r>
      <w:r w:rsidRPr="00576FA3">
        <w:rPr>
          <w:rFonts w:asciiTheme="minorHAnsi" w:hAnsiTheme="minorHAnsi"/>
          <w:snapToGrid w:val="0"/>
        </w:rPr>
        <w:t xml:space="preserve">. </w:t>
      </w:r>
      <w:r w:rsidR="005E6D38" w:rsidRPr="00576FA3">
        <w:rPr>
          <w:rFonts w:asciiTheme="minorHAnsi" w:hAnsiTheme="minorHAnsi"/>
          <w:snapToGrid w:val="0"/>
        </w:rPr>
        <w:t>The PBAC considered the claim of superior effectiveness was reasonable but the magnitude of the benefit was highly uncertain</w:t>
      </w:r>
      <w:r w:rsidR="000C77A2">
        <w:rPr>
          <w:rFonts w:asciiTheme="minorHAnsi" w:hAnsiTheme="minorHAnsi"/>
          <w:snapToGrid w:val="0"/>
        </w:rPr>
        <w:t xml:space="preserve">. </w:t>
      </w:r>
    </w:p>
    <w:p w14:paraId="0B19DFDB" w14:textId="541E63D7" w:rsidR="0058021F" w:rsidRPr="00576FA3" w:rsidRDefault="00823B07"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The resubmission described larotrectinib as having comparable safety compared to the nominated comparators for NSCLC and STS. The PBAC considered that, based on the available data, larotrectinib has a manageable safety profile and that the safety profile of larotrectinib is different to that of docetaxel or pazopanib.</w:t>
      </w:r>
    </w:p>
    <w:p w14:paraId="208956E2" w14:textId="27CEE45B" w:rsidR="00823B07" w:rsidRPr="00576FA3" w:rsidRDefault="00823B07"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The PBAC noted data for 13 adult patients with glioma-like CNS tumours, including </w:t>
      </w:r>
      <w:r w:rsidRPr="000C77A2">
        <w:t>glioma (n=5), glioblastoma (n=7) and astrocytoma (n=1), was provided in the resubmission. The PBAC noted outcomes were presented for adult and paediatric patients combined (n=41), rather than for adult patients</w:t>
      </w:r>
      <w:r w:rsidR="000C77A2">
        <w:t xml:space="preserve">. </w:t>
      </w:r>
      <w:r w:rsidRPr="000C77A2">
        <w:t xml:space="preserve">The ORR for larotrectinib as assessed by IRC was 22%, the median PFS was 11.1 months and the OS rates at </w:t>
      </w:r>
      <w:r w:rsidR="00690FB9" w:rsidRPr="000C77A2">
        <w:t>36</w:t>
      </w:r>
      <w:r w:rsidR="00690FB9">
        <w:t> </w:t>
      </w:r>
      <w:r w:rsidRPr="000C77A2">
        <w:t xml:space="preserve">months and 48 months were 57% and 52%, respectively (median OS not reached, with 38 months of follow-up). </w:t>
      </w:r>
      <w:r w:rsidR="004D5052" w:rsidRPr="000C77A2">
        <w:t>The PBAC noted the limited clinical data but</w:t>
      </w:r>
      <w:r w:rsidR="00E83193" w:rsidRPr="000C77A2">
        <w:t xml:space="preserve"> </w:t>
      </w:r>
      <w:r w:rsidR="004D5052" w:rsidRPr="000C77A2">
        <w:t xml:space="preserve">considered </w:t>
      </w:r>
      <w:r w:rsidR="00E83193" w:rsidRPr="000C77A2">
        <w:t>that, on balance, larotrectinib was likely to be of similar clinical benefit as in NSCLC and STS</w:t>
      </w:r>
      <w:r w:rsidR="000C77A2">
        <w:t xml:space="preserve">. </w:t>
      </w:r>
      <w:r w:rsidR="00020482" w:rsidRPr="000C77A2">
        <w:t xml:space="preserve">The PBAC noted </w:t>
      </w:r>
      <w:r w:rsidR="00E83193" w:rsidRPr="000C77A2">
        <w:t xml:space="preserve">the high clinical need in this condition and </w:t>
      </w:r>
      <w:r w:rsidR="00020482" w:rsidRPr="000C77A2">
        <w:t xml:space="preserve">that patients with glioma, glioneuronal tumour or glioblastoma </w:t>
      </w:r>
      <w:r w:rsidR="00E83193" w:rsidRPr="000C77A2">
        <w:t xml:space="preserve">currently </w:t>
      </w:r>
      <w:r w:rsidR="00020482" w:rsidRPr="000C77A2">
        <w:t>have access to</w:t>
      </w:r>
      <w:r w:rsidR="00E83193" w:rsidRPr="000C77A2">
        <w:t xml:space="preserve"> </w:t>
      </w:r>
      <w:r w:rsidR="00E83193" w:rsidRPr="000C77A2">
        <w:rPr>
          <w:i/>
          <w:iCs/>
        </w:rPr>
        <w:t>NTRK</w:t>
      </w:r>
      <w:r w:rsidR="00E83193" w:rsidRPr="000C77A2">
        <w:t xml:space="preserve"> gene fusion</w:t>
      </w:r>
      <w:r w:rsidR="00020482" w:rsidRPr="000C77A2">
        <w:t xml:space="preserve"> testing on the MBS</w:t>
      </w:r>
      <w:r w:rsidR="00E83193" w:rsidRPr="000C77A2">
        <w:t>. The PBAC considered</w:t>
      </w:r>
      <w:r w:rsidR="00020482" w:rsidRPr="000C77A2">
        <w:t xml:space="preserve"> it would be reasonable for larotrectinib to </w:t>
      </w:r>
      <w:r w:rsidR="00F25F45" w:rsidRPr="000C77A2">
        <w:t xml:space="preserve">be listed on the PBS for </w:t>
      </w:r>
      <w:r w:rsidR="00E83193" w:rsidRPr="000C77A2">
        <w:t xml:space="preserve">these </w:t>
      </w:r>
      <w:r w:rsidR="00020482" w:rsidRPr="000C77A2">
        <w:t xml:space="preserve">patients harbouring </w:t>
      </w:r>
      <w:r w:rsidR="00020482" w:rsidRPr="000C77A2">
        <w:rPr>
          <w:i/>
          <w:iCs/>
        </w:rPr>
        <w:t>NTRK</w:t>
      </w:r>
      <w:r w:rsidR="00020482" w:rsidRPr="000C77A2">
        <w:t xml:space="preserve"> gene fusions.</w:t>
      </w:r>
    </w:p>
    <w:p w14:paraId="599FC166" w14:textId="240E798C" w:rsidR="004133BB" w:rsidRPr="00576FA3" w:rsidRDefault="004F6E5B" w:rsidP="004133BB">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The PBAC </w:t>
      </w:r>
      <w:r w:rsidR="008303C3" w:rsidRPr="00576FA3">
        <w:rPr>
          <w:rFonts w:asciiTheme="minorHAnsi" w:hAnsiTheme="minorHAnsi"/>
          <w:snapToGrid w:val="0"/>
        </w:rPr>
        <w:t xml:space="preserve">noted the base case incremental cost effectiveness ratio (ICER) using the price proposed in the pre-PBAC response was </w:t>
      </w:r>
      <w:r w:rsidR="005B65B8" w:rsidRPr="005B65B8">
        <w:rPr>
          <w:snapToGrid w:val="0"/>
        </w:rPr>
        <w:t xml:space="preserve">$95,000 to &lt; $115,000 </w:t>
      </w:r>
      <w:r w:rsidR="008303C3" w:rsidRPr="000C77A2">
        <w:rPr>
          <w:snapToGrid w:val="0"/>
        </w:rPr>
        <w:t>per quality adjust</w:t>
      </w:r>
      <w:r w:rsidR="004133BB" w:rsidRPr="000C77A2">
        <w:rPr>
          <w:snapToGrid w:val="0"/>
        </w:rPr>
        <w:t>ed</w:t>
      </w:r>
      <w:r w:rsidR="008303C3" w:rsidRPr="000C77A2">
        <w:rPr>
          <w:snapToGrid w:val="0"/>
        </w:rPr>
        <w:t xml:space="preserve"> life year (QALY) gained for NSCLC and </w:t>
      </w:r>
      <w:r w:rsidR="005B65B8" w:rsidRPr="005B65B8">
        <w:rPr>
          <w:snapToGrid w:val="0"/>
        </w:rPr>
        <w:t>$75,000 to &lt; $95,000</w:t>
      </w:r>
      <w:r w:rsidR="005B65B8">
        <w:rPr>
          <w:snapToGrid w:val="0"/>
        </w:rPr>
        <w:t xml:space="preserve"> </w:t>
      </w:r>
      <w:r w:rsidR="008303C3" w:rsidRPr="000C77A2">
        <w:rPr>
          <w:snapToGrid w:val="0"/>
        </w:rPr>
        <w:t xml:space="preserve">per QALY gained </w:t>
      </w:r>
      <w:r w:rsidR="008303C3" w:rsidRPr="000C77A2">
        <w:rPr>
          <w:snapToGrid w:val="0"/>
        </w:rPr>
        <w:lastRenderedPageBreak/>
        <w:t>for STS.</w:t>
      </w:r>
      <w:r w:rsidR="005522CB" w:rsidRPr="000C77A2">
        <w:rPr>
          <w:snapToGrid w:val="0"/>
        </w:rPr>
        <w:t xml:space="preserve"> The PBAC noted the ICER for STS using the effective price of </w:t>
      </w:r>
      <w:r w:rsidR="00C959D8" w:rsidRPr="000C77A2">
        <w:rPr>
          <w:snapToGrid w:val="0"/>
        </w:rPr>
        <w:t>pazopanib</w:t>
      </w:r>
      <w:r w:rsidR="005522CB" w:rsidRPr="000C77A2">
        <w:rPr>
          <w:snapToGrid w:val="0"/>
        </w:rPr>
        <w:t>.</w:t>
      </w:r>
      <w:r w:rsidR="008303C3" w:rsidRPr="000C77A2">
        <w:rPr>
          <w:snapToGrid w:val="0"/>
        </w:rPr>
        <w:t xml:space="preserve"> </w:t>
      </w:r>
      <w:r w:rsidR="004133BB" w:rsidRPr="000C77A2">
        <w:rPr>
          <w:snapToGrid w:val="0"/>
        </w:rPr>
        <w:t xml:space="preserve">The PBAC recalled it had previously advised the economic model for the low frequency </w:t>
      </w:r>
      <w:r w:rsidR="004133BB" w:rsidRPr="000C77A2">
        <w:rPr>
          <w:i/>
          <w:iCs/>
          <w:snapToGrid w:val="0"/>
        </w:rPr>
        <w:t>NTRK</w:t>
      </w:r>
      <w:r w:rsidR="004133BB" w:rsidRPr="000C77A2">
        <w:rPr>
          <w:snapToGrid w:val="0"/>
        </w:rPr>
        <w:t xml:space="preserve"> population should use more conservative extrapolations for PFS and OS and a shorter time horizon. The PBAC noted a shorter time horizon was adopted in the model (10 years instead of </w:t>
      </w:r>
      <w:r w:rsidR="00690FB9" w:rsidRPr="000C77A2">
        <w:rPr>
          <w:snapToGrid w:val="0"/>
        </w:rPr>
        <w:t>15</w:t>
      </w:r>
      <w:r w:rsidR="00690FB9">
        <w:rPr>
          <w:snapToGrid w:val="0"/>
        </w:rPr>
        <w:t> </w:t>
      </w:r>
      <w:r w:rsidR="004133BB" w:rsidRPr="000C77A2">
        <w:rPr>
          <w:snapToGrid w:val="0"/>
        </w:rPr>
        <w:t xml:space="preserve">years) but considered this remained longer than what had previously been accepted in the later-line treatment setting for NSCLC and STS. The PBAC noted the economic model was sensitive to the time horizon with a 27% increase in the ICER for NSCLC and 37% increase for STS using a 5 year time horizon. The PBAC noted the resubmission maintained the previous extrapolation functions for PFS and OS and the model was sensitive to this, </w:t>
      </w:r>
      <w:proofErr w:type="gramStart"/>
      <w:r w:rsidR="004133BB" w:rsidRPr="000C77A2">
        <w:rPr>
          <w:snapToGrid w:val="0"/>
        </w:rPr>
        <w:t>in particular the</w:t>
      </w:r>
      <w:proofErr w:type="gramEnd"/>
      <w:r w:rsidR="004133BB" w:rsidRPr="000C77A2">
        <w:rPr>
          <w:snapToGrid w:val="0"/>
        </w:rPr>
        <w:t xml:space="preserve"> NSCLC model, with the ICER increasing by 17% if the most conservative extrapolation functions were applied. </w:t>
      </w:r>
      <w:r w:rsidR="002853ED" w:rsidRPr="000C77A2">
        <w:rPr>
          <w:snapToGrid w:val="0"/>
        </w:rPr>
        <w:t>T</w:t>
      </w:r>
      <w:r w:rsidR="004133BB" w:rsidRPr="000C77A2">
        <w:rPr>
          <w:snapToGrid w:val="0"/>
        </w:rPr>
        <w:t xml:space="preserve">he PBAC </w:t>
      </w:r>
      <w:r w:rsidR="002853ED" w:rsidRPr="000C77A2">
        <w:rPr>
          <w:snapToGrid w:val="0"/>
        </w:rPr>
        <w:t xml:space="preserve">considered the ICERs were high and likely underestimated but, on balance, noting the </w:t>
      </w:r>
      <w:r w:rsidR="0095154D" w:rsidRPr="000C77A2">
        <w:rPr>
          <w:snapToGrid w:val="0"/>
        </w:rPr>
        <w:t xml:space="preserve">very </w:t>
      </w:r>
      <w:r w:rsidR="002853ED" w:rsidRPr="000C77A2">
        <w:rPr>
          <w:snapToGrid w:val="0"/>
        </w:rPr>
        <w:t>small patient population, considered larotrectinib w</w:t>
      </w:r>
      <w:r w:rsidR="000F3E73" w:rsidRPr="000C77A2">
        <w:rPr>
          <w:snapToGrid w:val="0"/>
        </w:rPr>
        <w:t>ould be</w:t>
      </w:r>
      <w:r w:rsidR="002853ED" w:rsidRPr="000C77A2">
        <w:rPr>
          <w:snapToGrid w:val="0"/>
        </w:rPr>
        <w:t xml:space="preserve"> cost-effective at the price proposed in the pre-PBAC response. </w:t>
      </w:r>
      <w:r w:rsidR="00F25F45" w:rsidRPr="000C77A2">
        <w:rPr>
          <w:snapToGrid w:val="0"/>
        </w:rPr>
        <w:t xml:space="preserve">The PBAC considered it was also likely larotrectinib was </w:t>
      </w:r>
      <w:r w:rsidR="00F30586" w:rsidRPr="000C77A2">
        <w:rPr>
          <w:snapToGrid w:val="0"/>
        </w:rPr>
        <w:t xml:space="preserve">similarly </w:t>
      </w:r>
      <w:r w:rsidR="00F25F45" w:rsidRPr="000C77A2">
        <w:rPr>
          <w:snapToGrid w:val="0"/>
        </w:rPr>
        <w:t xml:space="preserve">cost-effective for patients with </w:t>
      </w:r>
      <w:r w:rsidR="00F25F45" w:rsidRPr="000C77A2">
        <w:t xml:space="preserve">glioma, glioneuronal tumour or glioblastoma. </w:t>
      </w:r>
    </w:p>
    <w:p w14:paraId="11DABB47" w14:textId="11B3F2BD" w:rsidR="005A29E6" w:rsidRPr="00576FA3" w:rsidRDefault="005A29E6" w:rsidP="005A29E6">
      <w:pPr>
        <w:widowControl w:val="0"/>
        <w:numPr>
          <w:ilvl w:val="1"/>
          <w:numId w:val="1"/>
        </w:numPr>
        <w:spacing w:after="120"/>
        <w:rPr>
          <w:snapToGrid w:val="0"/>
        </w:rPr>
      </w:pPr>
      <w:bookmarkStart w:id="80" w:name="_Ref163461014"/>
      <w:bookmarkStart w:id="81" w:name="_Ref163458991"/>
      <w:r w:rsidRPr="00576FA3">
        <w:rPr>
          <w:snapToGrid w:val="0"/>
        </w:rPr>
        <w:t>The PBAC considered the assumptions informing the estimated use and financial implications provided with the PSCR were reasonable</w:t>
      </w:r>
      <w:r w:rsidR="000C77A2">
        <w:rPr>
          <w:snapToGrid w:val="0"/>
        </w:rPr>
        <w:t xml:space="preserve">. </w:t>
      </w:r>
      <w:r w:rsidRPr="00576FA3">
        <w:rPr>
          <w:snapToGrid w:val="0"/>
        </w:rPr>
        <w:t xml:space="preserve">The PBAC noted no financial estimates were provided for the population of patients with </w:t>
      </w:r>
      <w:r w:rsidRPr="000C77A2">
        <w:t xml:space="preserve">glioma, glioneuronal tumour or glioblastoma and </w:t>
      </w:r>
      <w:r w:rsidRPr="000C77A2">
        <w:rPr>
          <w:i/>
          <w:iCs/>
        </w:rPr>
        <w:t>NTRK</w:t>
      </w:r>
      <w:r w:rsidRPr="000C77A2">
        <w:t xml:space="preserve"> gene fusions.</w:t>
      </w:r>
      <w:bookmarkEnd w:id="80"/>
      <w:r w:rsidRPr="000C77A2">
        <w:t xml:space="preserve"> The PBAC considered it </w:t>
      </w:r>
      <w:r w:rsidR="00C959D8">
        <w:t>c</w:t>
      </w:r>
      <w:r w:rsidR="00C959D8" w:rsidRPr="000C77A2">
        <w:t xml:space="preserve">ould </w:t>
      </w:r>
      <w:r w:rsidRPr="000C77A2">
        <w:t>be assume</w:t>
      </w:r>
      <w:r w:rsidR="00C959D8">
        <w:t xml:space="preserve">d that three </w:t>
      </w:r>
      <w:r w:rsidRPr="000C77A2">
        <w:t xml:space="preserve">additional patients per year would be treated with larotrectinib with a cost per patient no higher than for NSCLC </w:t>
      </w:r>
      <w:r w:rsidR="00C959D8">
        <w:t xml:space="preserve">or </w:t>
      </w:r>
      <w:r w:rsidRPr="000C77A2">
        <w:t>STS</w:t>
      </w:r>
      <w:r w:rsidR="000C77A2">
        <w:t xml:space="preserve">. </w:t>
      </w:r>
    </w:p>
    <w:p w14:paraId="23E26A8D" w14:textId="3BF2EAE1" w:rsidR="00E83193" w:rsidRPr="00576FA3" w:rsidRDefault="00E83193" w:rsidP="004133BB">
      <w:pPr>
        <w:widowControl w:val="0"/>
        <w:numPr>
          <w:ilvl w:val="1"/>
          <w:numId w:val="1"/>
        </w:numPr>
        <w:spacing w:after="120"/>
        <w:rPr>
          <w:rFonts w:asciiTheme="minorHAnsi" w:hAnsiTheme="minorHAnsi"/>
          <w:snapToGrid w:val="0"/>
        </w:rPr>
      </w:pPr>
      <w:bookmarkStart w:id="82" w:name="_Ref163462222"/>
      <w:r w:rsidRPr="00576FA3">
        <w:rPr>
          <w:rFonts w:asciiTheme="minorHAnsi" w:hAnsiTheme="minorHAnsi"/>
          <w:snapToGrid w:val="0"/>
        </w:rPr>
        <w:t xml:space="preserve">The PBAC noted the financial estimates would need to be recalculated to include utilisation estimates for the </w:t>
      </w:r>
      <w:r w:rsidR="00514177">
        <w:rPr>
          <w:rFonts w:asciiTheme="minorHAnsi" w:hAnsiTheme="minorHAnsi"/>
          <w:snapToGrid w:val="0"/>
        </w:rPr>
        <w:t>&lt;</w:t>
      </w:r>
      <w:r w:rsidR="00763798">
        <w:rPr>
          <w:rFonts w:asciiTheme="minorHAnsi" w:hAnsiTheme="minorHAnsi"/>
          <w:snapToGrid w:val="0"/>
        </w:rPr>
        <w:t xml:space="preserve"> </w:t>
      </w:r>
      <w:r w:rsidR="00814BB5">
        <w:rPr>
          <w:rFonts w:asciiTheme="minorHAnsi" w:hAnsiTheme="minorHAnsi"/>
          <w:snapToGrid w:val="0"/>
        </w:rPr>
        <w:t>500</w:t>
      </w:r>
      <w:r w:rsidRPr="00576FA3">
        <w:rPr>
          <w:rFonts w:asciiTheme="minorHAnsi" w:hAnsiTheme="minorHAnsi"/>
          <w:snapToGrid w:val="0"/>
        </w:rPr>
        <w:t xml:space="preserve"> grandfathered patients (see paragraph </w:t>
      </w:r>
      <w:r w:rsidRPr="00576FA3">
        <w:rPr>
          <w:rFonts w:asciiTheme="minorHAnsi" w:hAnsiTheme="minorHAnsi"/>
          <w:snapToGrid w:val="0"/>
        </w:rPr>
        <w:fldChar w:fldCharType="begin" w:fldLock="1"/>
      </w:r>
      <w:r w:rsidRPr="00576FA3">
        <w:rPr>
          <w:rFonts w:asciiTheme="minorHAnsi" w:hAnsiTheme="minorHAnsi"/>
          <w:snapToGrid w:val="0"/>
        </w:rPr>
        <w:instrText xml:space="preserve"> REF _Ref163458771 \r \h </w:instrText>
      </w:r>
      <w:r w:rsidRPr="00576FA3">
        <w:rPr>
          <w:rFonts w:asciiTheme="minorHAnsi" w:hAnsiTheme="minorHAnsi"/>
          <w:snapToGrid w:val="0"/>
        </w:rPr>
      </w:r>
      <w:r w:rsidRPr="00576FA3">
        <w:rPr>
          <w:rFonts w:asciiTheme="minorHAnsi" w:hAnsiTheme="minorHAnsi"/>
          <w:snapToGrid w:val="0"/>
        </w:rPr>
        <w:fldChar w:fldCharType="separate"/>
      </w:r>
      <w:r w:rsidR="001B0FE7">
        <w:rPr>
          <w:rFonts w:asciiTheme="minorHAnsi" w:hAnsiTheme="minorHAnsi"/>
          <w:snapToGrid w:val="0"/>
        </w:rPr>
        <w:t>6.72</w:t>
      </w:r>
      <w:r w:rsidRPr="00576FA3">
        <w:rPr>
          <w:rFonts w:asciiTheme="minorHAnsi" w:hAnsiTheme="minorHAnsi"/>
          <w:snapToGrid w:val="0"/>
        </w:rPr>
        <w:fldChar w:fldCharType="end"/>
      </w:r>
      <w:r w:rsidRPr="00576FA3">
        <w:rPr>
          <w:rFonts w:asciiTheme="minorHAnsi" w:hAnsiTheme="minorHAnsi"/>
          <w:snapToGrid w:val="0"/>
        </w:rPr>
        <w:t>) (assuming a treatment duration of 15 months)</w:t>
      </w:r>
      <w:r w:rsidR="005A29E6" w:rsidRPr="00576FA3">
        <w:rPr>
          <w:rFonts w:asciiTheme="minorHAnsi" w:hAnsiTheme="minorHAnsi"/>
          <w:snapToGrid w:val="0"/>
        </w:rPr>
        <w:t xml:space="preserve">, the additional patients with glioma, glioneuronal tumour or glioblastoma (see paragraph </w:t>
      </w:r>
      <w:r w:rsidR="005A29E6" w:rsidRPr="00576FA3">
        <w:rPr>
          <w:rFonts w:asciiTheme="minorHAnsi" w:hAnsiTheme="minorHAnsi"/>
          <w:snapToGrid w:val="0"/>
        </w:rPr>
        <w:fldChar w:fldCharType="begin" w:fldLock="1"/>
      </w:r>
      <w:r w:rsidR="005A29E6" w:rsidRPr="00576FA3">
        <w:rPr>
          <w:rFonts w:asciiTheme="minorHAnsi" w:hAnsiTheme="minorHAnsi"/>
          <w:snapToGrid w:val="0"/>
        </w:rPr>
        <w:instrText xml:space="preserve"> REF _Ref163461014 \r \h </w:instrText>
      </w:r>
      <w:r w:rsidR="005A29E6" w:rsidRPr="00576FA3">
        <w:rPr>
          <w:rFonts w:asciiTheme="minorHAnsi" w:hAnsiTheme="minorHAnsi"/>
          <w:snapToGrid w:val="0"/>
        </w:rPr>
      </w:r>
      <w:r w:rsidR="005A29E6" w:rsidRPr="00576FA3">
        <w:rPr>
          <w:rFonts w:asciiTheme="minorHAnsi" w:hAnsiTheme="minorHAnsi"/>
          <w:snapToGrid w:val="0"/>
        </w:rPr>
        <w:fldChar w:fldCharType="separate"/>
      </w:r>
      <w:r w:rsidR="001B0FE7">
        <w:rPr>
          <w:rFonts w:asciiTheme="minorHAnsi" w:hAnsiTheme="minorHAnsi"/>
          <w:snapToGrid w:val="0"/>
        </w:rPr>
        <w:t>7.13</w:t>
      </w:r>
      <w:r w:rsidR="005A29E6" w:rsidRPr="00576FA3">
        <w:rPr>
          <w:rFonts w:asciiTheme="minorHAnsi" w:hAnsiTheme="minorHAnsi"/>
          <w:snapToGrid w:val="0"/>
        </w:rPr>
        <w:fldChar w:fldCharType="end"/>
      </w:r>
      <w:r w:rsidR="005A29E6" w:rsidRPr="00576FA3">
        <w:rPr>
          <w:rFonts w:asciiTheme="minorHAnsi" w:hAnsiTheme="minorHAnsi"/>
          <w:snapToGrid w:val="0"/>
        </w:rPr>
        <w:t xml:space="preserve">), </w:t>
      </w:r>
      <w:r w:rsidRPr="00576FA3">
        <w:rPr>
          <w:rFonts w:asciiTheme="minorHAnsi" w:hAnsiTheme="minorHAnsi"/>
          <w:snapToGrid w:val="0"/>
        </w:rPr>
        <w:t>and the price proposed in the pre-PBAC response</w:t>
      </w:r>
      <w:bookmarkEnd w:id="81"/>
      <w:bookmarkEnd w:id="82"/>
      <w:r w:rsidR="000C77A2">
        <w:rPr>
          <w:rFonts w:asciiTheme="minorHAnsi" w:hAnsiTheme="minorHAnsi"/>
          <w:snapToGrid w:val="0"/>
        </w:rPr>
        <w:t xml:space="preserve">. </w:t>
      </w:r>
    </w:p>
    <w:p w14:paraId="4605DB2D" w14:textId="04D531AD" w:rsidR="000F3E73" w:rsidRPr="00576FA3" w:rsidRDefault="000F3E73" w:rsidP="004133BB">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The PBAC </w:t>
      </w:r>
      <w:r w:rsidR="00FD0790" w:rsidRPr="00576FA3">
        <w:rPr>
          <w:rFonts w:asciiTheme="minorHAnsi" w:hAnsiTheme="minorHAnsi"/>
          <w:snapToGrid w:val="0"/>
        </w:rPr>
        <w:t xml:space="preserve">advised that the new </w:t>
      </w:r>
      <w:r w:rsidR="00751A1E" w:rsidRPr="00576FA3">
        <w:rPr>
          <w:rFonts w:asciiTheme="minorHAnsi" w:hAnsiTheme="minorHAnsi"/>
          <w:snapToGrid w:val="0"/>
        </w:rPr>
        <w:t xml:space="preserve">listing </w:t>
      </w:r>
      <w:r w:rsidR="00FD0790" w:rsidRPr="00576FA3">
        <w:rPr>
          <w:rFonts w:asciiTheme="minorHAnsi" w:hAnsiTheme="minorHAnsi"/>
          <w:snapToGrid w:val="0"/>
        </w:rPr>
        <w:t xml:space="preserve">could be included in the existing Risk Sharing Arrangement for larotrectinib with the net cost </w:t>
      </w:r>
      <w:r w:rsidR="005A419E" w:rsidRPr="00576FA3">
        <w:rPr>
          <w:rFonts w:asciiTheme="minorHAnsi" w:hAnsiTheme="minorHAnsi"/>
          <w:snapToGrid w:val="0"/>
        </w:rPr>
        <w:t>of listing (as</w:t>
      </w:r>
      <w:r w:rsidR="005A29E6" w:rsidRPr="00576FA3">
        <w:rPr>
          <w:rFonts w:asciiTheme="minorHAnsi" w:hAnsiTheme="minorHAnsi"/>
          <w:snapToGrid w:val="0"/>
        </w:rPr>
        <w:t xml:space="preserve"> revised in</w:t>
      </w:r>
      <w:r w:rsidR="005522CB" w:rsidRPr="00576FA3">
        <w:rPr>
          <w:rFonts w:asciiTheme="minorHAnsi" w:hAnsiTheme="minorHAnsi"/>
          <w:snapToGrid w:val="0"/>
        </w:rPr>
        <w:t xml:space="preserve"> </w:t>
      </w:r>
      <w:r w:rsidR="00E83193" w:rsidRPr="00576FA3">
        <w:rPr>
          <w:rFonts w:asciiTheme="minorHAnsi" w:hAnsiTheme="minorHAnsi"/>
          <w:snapToGrid w:val="0"/>
        </w:rPr>
        <w:t xml:space="preserve">paragraph </w:t>
      </w:r>
      <w:r w:rsidR="005A29E6" w:rsidRPr="00576FA3">
        <w:rPr>
          <w:rFonts w:asciiTheme="minorHAnsi" w:hAnsiTheme="minorHAnsi"/>
          <w:snapToGrid w:val="0"/>
        </w:rPr>
        <w:fldChar w:fldCharType="begin" w:fldLock="1"/>
      </w:r>
      <w:r w:rsidR="005A29E6" w:rsidRPr="00576FA3">
        <w:rPr>
          <w:rFonts w:asciiTheme="minorHAnsi" w:hAnsiTheme="minorHAnsi"/>
          <w:snapToGrid w:val="0"/>
        </w:rPr>
        <w:instrText xml:space="preserve"> REF _Ref163462222 \r \h </w:instrText>
      </w:r>
      <w:r w:rsidR="005A29E6" w:rsidRPr="00576FA3">
        <w:rPr>
          <w:rFonts w:asciiTheme="minorHAnsi" w:hAnsiTheme="minorHAnsi"/>
          <w:snapToGrid w:val="0"/>
        </w:rPr>
      </w:r>
      <w:r w:rsidR="005A29E6" w:rsidRPr="00576FA3">
        <w:rPr>
          <w:rFonts w:asciiTheme="minorHAnsi" w:hAnsiTheme="minorHAnsi"/>
          <w:snapToGrid w:val="0"/>
        </w:rPr>
        <w:fldChar w:fldCharType="separate"/>
      </w:r>
      <w:r w:rsidR="001B0FE7">
        <w:rPr>
          <w:rFonts w:asciiTheme="minorHAnsi" w:hAnsiTheme="minorHAnsi"/>
          <w:snapToGrid w:val="0"/>
        </w:rPr>
        <w:t>7.14</w:t>
      </w:r>
      <w:r w:rsidR="005A29E6" w:rsidRPr="00576FA3">
        <w:rPr>
          <w:rFonts w:asciiTheme="minorHAnsi" w:hAnsiTheme="minorHAnsi"/>
          <w:snapToGrid w:val="0"/>
        </w:rPr>
        <w:fldChar w:fldCharType="end"/>
      </w:r>
      <w:r w:rsidR="005A419E" w:rsidRPr="00576FA3">
        <w:rPr>
          <w:rFonts w:asciiTheme="minorHAnsi" w:hAnsiTheme="minorHAnsi"/>
          <w:snapToGrid w:val="0"/>
        </w:rPr>
        <w:t xml:space="preserve">) </w:t>
      </w:r>
      <w:r w:rsidR="00FD0790" w:rsidRPr="00576FA3">
        <w:rPr>
          <w:rFonts w:asciiTheme="minorHAnsi" w:hAnsiTheme="minorHAnsi"/>
          <w:snapToGrid w:val="0"/>
        </w:rPr>
        <w:t>added to the expenditure caps currently in place</w:t>
      </w:r>
      <w:r w:rsidR="000C77A2">
        <w:rPr>
          <w:rFonts w:asciiTheme="minorHAnsi" w:hAnsiTheme="minorHAnsi"/>
          <w:snapToGrid w:val="0"/>
        </w:rPr>
        <w:t xml:space="preserve">. </w:t>
      </w:r>
    </w:p>
    <w:p w14:paraId="77E30B06" w14:textId="1C593930" w:rsidR="00823B07" w:rsidRPr="00576FA3" w:rsidRDefault="00631505" w:rsidP="00886653">
      <w:pPr>
        <w:widowControl w:val="0"/>
        <w:numPr>
          <w:ilvl w:val="1"/>
          <w:numId w:val="1"/>
        </w:numPr>
        <w:spacing w:after="120"/>
        <w:rPr>
          <w:rFonts w:asciiTheme="minorHAnsi" w:hAnsiTheme="minorHAnsi"/>
          <w:snapToGrid w:val="0"/>
        </w:rPr>
      </w:pPr>
      <w:r w:rsidRPr="00576FA3">
        <w:rPr>
          <w:rFonts w:asciiTheme="minorHAnsi" w:hAnsiTheme="minorHAnsi"/>
          <w:snapToGrid w:val="0"/>
        </w:rPr>
        <w:t xml:space="preserve">The PBAC </w:t>
      </w:r>
      <w:r w:rsidR="00292657" w:rsidRPr="00576FA3">
        <w:rPr>
          <w:rFonts w:asciiTheme="minorHAnsi" w:hAnsiTheme="minorHAnsi"/>
          <w:snapToGrid w:val="0"/>
        </w:rPr>
        <w:t xml:space="preserve">considered </w:t>
      </w:r>
      <w:r w:rsidRPr="00576FA3">
        <w:rPr>
          <w:rFonts w:asciiTheme="minorHAnsi" w:hAnsiTheme="minorHAnsi"/>
          <w:snapToGrid w:val="0"/>
        </w:rPr>
        <w:t xml:space="preserve">the following </w:t>
      </w:r>
      <w:r w:rsidR="00292657" w:rsidRPr="00576FA3">
        <w:rPr>
          <w:rFonts w:asciiTheme="minorHAnsi" w:hAnsiTheme="minorHAnsi"/>
          <w:snapToGrid w:val="0"/>
        </w:rPr>
        <w:t xml:space="preserve">amendments </w:t>
      </w:r>
      <w:r w:rsidRPr="00576FA3">
        <w:rPr>
          <w:rFonts w:asciiTheme="minorHAnsi" w:hAnsiTheme="minorHAnsi"/>
          <w:snapToGrid w:val="0"/>
        </w:rPr>
        <w:t xml:space="preserve">to the </w:t>
      </w:r>
      <w:r w:rsidR="004F6E5B" w:rsidRPr="00576FA3">
        <w:rPr>
          <w:rFonts w:asciiTheme="minorHAnsi" w:hAnsiTheme="minorHAnsi"/>
          <w:snapToGrid w:val="0"/>
        </w:rPr>
        <w:t>restriction criteria</w:t>
      </w:r>
      <w:r w:rsidRPr="00576FA3">
        <w:rPr>
          <w:rFonts w:asciiTheme="minorHAnsi" w:hAnsiTheme="minorHAnsi"/>
          <w:snapToGrid w:val="0"/>
        </w:rPr>
        <w:t xml:space="preserve"> in Section 3</w:t>
      </w:r>
      <w:r w:rsidR="00292657" w:rsidRPr="00576FA3">
        <w:rPr>
          <w:rFonts w:asciiTheme="minorHAnsi" w:hAnsiTheme="minorHAnsi"/>
          <w:snapToGrid w:val="0"/>
        </w:rPr>
        <w:t xml:space="preserve"> would be appropriate</w:t>
      </w:r>
      <w:r w:rsidRPr="00576FA3">
        <w:rPr>
          <w:rFonts w:asciiTheme="minorHAnsi" w:hAnsiTheme="minorHAnsi"/>
          <w:snapToGrid w:val="0"/>
        </w:rPr>
        <w:t>:</w:t>
      </w:r>
    </w:p>
    <w:p w14:paraId="7ABCA201" w14:textId="278EBE57" w:rsidR="00987F8C" w:rsidRPr="00576FA3" w:rsidRDefault="00292657" w:rsidP="00560AEC">
      <w:pPr>
        <w:pStyle w:val="ListParagraph"/>
        <w:widowControl w:val="0"/>
        <w:numPr>
          <w:ilvl w:val="0"/>
          <w:numId w:val="51"/>
        </w:numPr>
        <w:ind w:left="1134"/>
      </w:pPr>
      <w:r w:rsidRPr="00576FA3">
        <w:t>Include the population criteri</w:t>
      </w:r>
      <w:r w:rsidR="00DD0CC2" w:rsidRPr="00576FA3">
        <w:t>on</w:t>
      </w:r>
      <w:r w:rsidRPr="00576FA3">
        <w:t xml:space="preserve"> “Patient must be at least 18 years of age”</w:t>
      </w:r>
      <w:r w:rsidR="00DD0CC2" w:rsidRPr="00576FA3">
        <w:t xml:space="preserve"> in the restriction criteria for initial treatment (noting that all patients under 18 years of age with </w:t>
      </w:r>
      <w:r w:rsidR="00DD0CC2" w:rsidRPr="00576FA3">
        <w:rPr>
          <w:i/>
          <w:iCs/>
        </w:rPr>
        <w:t>NTRK</w:t>
      </w:r>
      <w:r w:rsidR="00DD0CC2" w:rsidRPr="00576FA3">
        <w:t xml:space="preserve"> gen</w:t>
      </w:r>
      <w:r w:rsidR="00AB25B7">
        <w:t>e</w:t>
      </w:r>
      <w:r w:rsidR="00DD0CC2" w:rsidRPr="00576FA3">
        <w:t xml:space="preserve"> fusions can access larotrectinib under the current PBS listing)</w:t>
      </w:r>
      <w:r w:rsidR="00F25F45" w:rsidRPr="00576FA3">
        <w:t>;</w:t>
      </w:r>
    </w:p>
    <w:p w14:paraId="66400CDE" w14:textId="3AA312E5" w:rsidR="00292657" w:rsidRPr="00576FA3" w:rsidRDefault="00292657" w:rsidP="00560AEC">
      <w:pPr>
        <w:pStyle w:val="ListBullet"/>
        <w:tabs>
          <w:tab w:val="clear" w:pos="360"/>
          <w:tab w:val="num" w:pos="1440"/>
        </w:tabs>
        <w:spacing w:after="120"/>
        <w:ind w:left="1134" w:hanging="357"/>
        <w:contextualSpacing w:val="0"/>
      </w:pPr>
      <w:r w:rsidRPr="00576FA3">
        <w:t>Include the clinical criter</w:t>
      </w:r>
      <w:r w:rsidR="00DD0CC2" w:rsidRPr="00576FA3">
        <w:t>ion</w:t>
      </w:r>
      <w:r w:rsidRPr="00576FA3">
        <w:t xml:space="preserve"> “OR The condition must be confirmed through a pathology report from an Approved Pathology Authority (of any date) as at least one of: (i) glioma, (ii) glioneuronal tumour, (iii) glioblastoma”</w:t>
      </w:r>
      <w:r w:rsidR="00DD0CC2" w:rsidRPr="00576FA3">
        <w:t xml:space="preserve"> in the restriction criteria for initial treatment;</w:t>
      </w:r>
    </w:p>
    <w:p w14:paraId="6F53760C" w14:textId="6312D150" w:rsidR="00987F8C" w:rsidRPr="00576FA3" w:rsidRDefault="00292657" w:rsidP="00560AEC">
      <w:pPr>
        <w:pStyle w:val="ListParagraph"/>
        <w:widowControl w:val="0"/>
        <w:numPr>
          <w:ilvl w:val="0"/>
          <w:numId w:val="51"/>
        </w:numPr>
        <w:ind w:left="1134"/>
      </w:pPr>
      <w:r w:rsidRPr="00576FA3">
        <w:t>Amend the clinical criter</w:t>
      </w:r>
      <w:r w:rsidR="00DD0CC2" w:rsidRPr="00576FA3">
        <w:t>ion</w:t>
      </w:r>
      <w:r w:rsidRPr="00576FA3">
        <w:t xml:space="preserve"> </w:t>
      </w:r>
      <w:r w:rsidR="00DD0CC2" w:rsidRPr="00576FA3">
        <w:t xml:space="preserve">in the restriction for initial treatment </w:t>
      </w:r>
      <w:r w:rsidRPr="00576FA3">
        <w:t xml:space="preserve">“The condition </w:t>
      </w:r>
      <w:r w:rsidRPr="00576FA3">
        <w:lastRenderedPageBreak/>
        <w:t xml:space="preserve">must be metastatic disease; OR The condition must be both: (i) locally advanced, (ii) unresectable; </w:t>
      </w:r>
      <w:r w:rsidRPr="00576FA3">
        <w:rPr>
          <w:i/>
          <w:iCs/>
        </w:rPr>
        <w:t>OR The condition must be locally advanced where surgical resection is likely to result in severe morbidity</w:t>
      </w:r>
      <w:r w:rsidRPr="00576FA3">
        <w:t>” as indicated by italics</w:t>
      </w:r>
      <w:r w:rsidR="00F25F45" w:rsidRPr="00576FA3">
        <w:t xml:space="preserve"> (see paragraph </w:t>
      </w:r>
      <w:r w:rsidR="00F25F45" w:rsidRPr="00576FA3">
        <w:fldChar w:fldCharType="begin" w:fldLock="1"/>
      </w:r>
      <w:r w:rsidR="00F25F45" w:rsidRPr="00576FA3">
        <w:instrText xml:space="preserve"> REF _Ref163376183 \r \h </w:instrText>
      </w:r>
      <w:r w:rsidR="00F25F45" w:rsidRPr="00576FA3">
        <w:fldChar w:fldCharType="separate"/>
      </w:r>
      <w:r w:rsidR="001B0FE7">
        <w:t>7.4</w:t>
      </w:r>
      <w:r w:rsidR="00F25F45" w:rsidRPr="00576FA3">
        <w:fldChar w:fldCharType="end"/>
      </w:r>
      <w:r w:rsidR="00F25F45" w:rsidRPr="00576FA3">
        <w:t>)</w:t>
      </w:r>
      <w:r w:rsidRPr="00576FA3">
        <w:t>;</w:t>
      </w:r>
    </w:p>
    <w:p w14:paraId="73BA942F" w14:textId="6EB55D13" w:rsidR="00292657" w:rsidRPr="00576FA3" w:rsidRDefault="00292657" w:rsidP="00560AEC">
      <w:pPr>
        <w:pStyle w:val="ListBullet"/>
        <w:tabs>
          <w:tab w:val="clear" w:pos="360"/>
          <w:tab w:val="num" w:pos="1440"/>
        </w:tabs>
        <w:spacing w:after="120"/>
        <w:ind w:left="1134" w:hanging="357"/>
        <w:contextualSpacing w:val="0"/>
      </w:pPr>
      <w:r w:rsidRPr="00576FA3">
        <w:t>Include the clinical criter</w:t>
      </w:r>
      <w:r w:rsidR="00DD0CC2" w:rsidRPr="00576FA3">
        <w:t>ion</w:t>
      </w:r>
      <w:r w:rsidRPr="00576FA3">
        <w:t xml:space="preserve"> “</w:t>
      </w:r>
      <w:r w:rsidRPr="00576FA3">
        <w:rPr>
          <w:i/>
          <w:iCs/>
        </w:rPr>
        <w:t>Patient must have received prior systemic treatment for this disease; or Patient must have a condition that predisposes them to an unacceptable risk of intolerance to other systemic therapie</w:t>
      </w:r>
      <w:r w:rsidRPr="00576FA3">
        <w:t>s”</w:t>
      </w:r>
      <w:r w:rsidR="00F25F45" w:rsidRPr="00576FA3">
        <w:t xml:space="preserve"> </w:t>
      </w:r>
      <w:r w:rsidR="00DD0CC2" w:rsidRPr="00576FA3">
        <w:t xml:space="preserve">in the restriction criteria for initial treatment </w:t>
      </w:r>
      <w:r w:rsidR="00F25F45" w:rsidRPr="00576FA3">
        <w:t xml:space="preserve">(see paragraph </w:t>
      </w:r>
      <w:r w:rsidR="00F25F45" w:rsidRPr="00576FA3">
        <w:fldChar w:fldCharType="begin" w:fldLock="1"/>
      </w:r>
      <w:r w:rsidR="00F25F45" w:rsidRPr="00576FA3">
        <w:instrText xml:space="preserve"> REF _Ref163376183 \r \h </w:instrText>
      </w:r>
      <w:r w:rsidR="00F25F45" w:rsidRPr="00576FA3">
        <w:fldChar w:fldCharType="separate"/>
      </w:r>
      <w:r w:rsidR="001B0FE7">
        <w:t>7.4</w:t>
      </w:r>
      <w:r w:rsidR="00F25F45" w:rsidRPr="00576FA3">
        <w:fldChar w:fldCharType="end"/>
      </w:r>
      <w:r w:rsidR="00F25F45" w:rsidRPr="00576FA3">
        <w:t>)</w:t>
      </w:r>
      <w:r w:rsidRPr="00576FA3">
        <w:t>;</w:t>
      </w:r>
    </w:p>
    <w:p w14:paraId="326A1BC4" w14:textId="71299885" w:rsidR="00292657" w:rsidRPr="00576FA3" w:rsidRDefault="00292657" w:rsidP="00560AEC">
      <w:pPr>
        <w:pStyle w:val="ListBullet"/>
        <w:tabs>
          <w:tab w:val="clear" w:pos="360"/>
          <w:tab w:val="num" w:pos="1440"/>
        </w:tabs>
        <w:spacing w:after="120"/>
        <w:ind w:left="1134" w:hanging="357"/>
        <w:contextualSpacing w:val="0"/>
      </w:pPr>
      <w:r w:rsidRPr="00576FA3">
        <w:t>Include the clinical criteri</w:t>
      </w:r>
      <w:r w:rsidR="00DD0CC2" w:rsidRPr="00576FA3">
        <w:t>on</w:t>
      </w:r>
      <w:r w:rsidRPr="00576FA3">
        <w:t xml:space="preserve"> “</w:t>
      </w:r>
      <w:r w:rsidRPr="00576FA3">
        <w:rPr>
          <w:i/>
          <w:iCs/>
        </w:rPr>
        <w:t>The condition must be at least one of: (i) non-small cell lung cancer, (ii) soft tissue sarcoma, (iii) glioma, (iv), glioneuronal tumour, (v</w:t>
      </w:r>
      <w:r w:rsidR="00746AEE" w:rsidRPr="00576FA3">
        <w:rPr>
          <w:i/>
          <w:iCs/>
        </w:rPr>
        <w:t>)</w:t>
      </w:r>
      <w:r w:rsidR="00746AEE">
        <w:rPr>
          <w:i/>
          <w:iCs/>
        </w:rPr>
        <w:t> </w:t>
      </w:r>
      <w:r w:rsidRPr="00576FA3">
        <w:rPr>
          <w:i/>
          <w:iCs/>
        </w:rPr>
        <w:t>glioblastoma</w:t>
      </w:r>
      <w:r w:rsidRPr="00576FA3">
        <w:t>”</w:t>
      </w:r>
      <w:r w:rsidR="00DD0CC2" w:rsidRPr="00576FA3">
        <w:t xml:space="preserve"> in the restriction criteria for continuing treatment</w:t>
      </w:r>
      <w:r w:rsidRPr="00576FA3">
        <w:t xml:space="preserve">; </w:t>
      </w:r>
    </w:p>
    <w:p w14:paraId="646075F8" w14:textId="44F39148" w:rsidR="00AB25B7" w:rsidRPr="00AB25B7" w:rsidRDefault="00AB25B7" w:rsidP="006074D3">
      <w:pPr>
        <w:pStyle w:val="3-BodyText"/>
      </w:pPr>
      <w:r w:rsidRPr="000C77A2">
        <w:t>The PBAC noted patients with NSCLC</w:t>
      </w:r>
      <w:r>
        <w:t xml:space="preserve">, </w:t>
      </w:r>
      <w:r w:rsidRPr="000C77A2">
        <w:t>STS</w:t>
      </w:r>
      <w:r>
        <w:t xml:space="preserve">, </w:t>
      </w:r>
      <w:r w:rsidRPr="00AB25B7">
        <w:t xml:space="preserve">glioma, glioneuronal tumour </w:t>
      </w:r>
      <w:r>
        <w:t xml:space="preserve">and </w:t>
      </w:r>
      <w:r w:rsidRPr="00AB25B7">
        <w:t>glioblastoma</w:t>
      </w:r>
      <w:r>
        <w:t xml:space="preserve"> currently </w:t>
      </w:r>
      <w:r w:rsidRPr="000C77A2">
        <w:t xml:space="preserve">have access to gene panel testing that includes </w:t>
      </w:r>
      <w:r w:rsidRPr="000C77A2">
        <w:rPr>
          <w:i/>
          <w:iCs/>
        </w:rPr>
        <w:t>NTRK</w:t>
      </w:r>
      <w:r w:rsidRPr="000C77A2">
        <w:t xml:space="preserve"> </w:t>
      </w:r>
      <w:r>
        <w:t xml:space="preserve">gene </w:t>
      </w:r>
      <w:r w:rsidRPr="000C77A2">
        <w:t>fusion</w:t>
      </w:r>
      <w:r w:rsidR="0014588E">
        <w:t>s</w:t>
      </w:r>
      <w:r w:rsidRPr="000C77A2">
        <w:t xml:space="preserve">. </w:t>
      </w:r>
      <w:r>
        <w:t>However, t</w:t>
      </w:r>
      <w:r w:rsidRPr="00AB25B7">
        <w:t xml:space="preserve">he PBAC recommended that advice be sought </w:t>
      </w:r>
      <w:r>
        <w:t xml:space="preserve">from the Department </w:t>
      </w:r>
      <w:r w:rsidRPr="00AB25B7">
        <w:t xml:space="preserve">to ensure that the current MBS items </w:t>
      </w:r>
      <w:r>
        <w:t xml:space="preserve">are </w:t>
      </w:r>
      <w:r w:rsidRPr="00AB25B7">
        <w:t xml:space="preserve">clinically </w:t>
      </w:r>
      <w:r>
        <w:t>appropriate and</w:t>
      </w:r>
      <w:r w:rsidR="001B0FE7">
        <w:t xml:space="preserve"> </w:t>
      </w:r>
      <w:r>
        <w:t xml:space="preserve">cover all relevant </w:t>
      </w:r>
      <w:r w:rsidRPr="00AB25B7">
        <w:rPr>
          <w:i/>
          <w:iCs/>
        </w:rPr>
        <w:t xml:space="preserve">NTRK </w:t>
      </w:r>
      <w:r>
        <w:t xml:space="preserve">gene </w:t>
      </w:r>
      <w:r w:rsidRPr="00AB25B7">
        <w:t>fusions</w:t>
      </w:r>
      <w:r>
        <w:t xml:space="preserve">. </w:t>
      </w:r>
    </w:p>
    <w:p w14:paraId="05687627" w14:textId="63CD1DE6" w:rsidR="00751A1E" w:rsidRPr="000C77A2" w:rsidRDefault="004C46BC" w:rsidP="006074D3">
      <w:pPr>
        <w:pStyle w:val="3-BodyText"/>
        <w:rPr>
          <w:i/>
          <w:iCs/>
        </w:rPr>
      </w:pPr>
      <w:r w:rsidRPr="000C77A2">
        <w:t xml:space="preserve">The PBAC noted larotrectinib was effective in other tumours with a low frequency of </w:t>
      </w:r>
      <w:r w:rsidRPr="000C77A2">
        <w:rPr>
          <w:i/>
          <w:iCs/>
        </w:rPr>
        <w:t>NTRK</w:t>
      </w:r>
      <w:r w:rsidRPr="000C77A2">
        <w:t xml:space="preserve"> gene fusions, including colorectal cancer and thyroid cancers</w:t>
      </w:r>
      <w:r w:rsidR="00F25F45" w:rsidRPr="000C77A2">
        <w:t>,</w:t>
      </w:r>
      <w:r w:rsidRPr="000C77A2">
        <w:t xml:space="preserve"> but that gene panel testing is not available on the MBS for these patients.</w:t>
      </w:r>
      <w:r w:rsidR="00F25F45" w:rsidRPr="000C77A2">
        <w:t xml:space="preserve"> The PBAC noted that, without gene panel</w:t>
      </w:r>
      <w:r w:rsidR="00613FE1" w:rsidRPr="000C77A2">
        <w:t xml:space="preserve"> testing</w:t>
      </w:r>
      <w:r w:rsidR="00F25F45" w:rsidRPr="000C77A2">
        <w:t xml:space="preserve">, the cost of </w:t>
      </w:r>
      <w:r w:rsidR="005522CB" w:rsidRPr="000C77A2">
        <w:t xml:space="preserve">identifying patients with </w:t>
      </w:r>
      <w:r w:rsidR="005522CB" w:rsidRPr="000C77A2">
        <w:rPr>
          <w:i/>
          <w:iCs/>
        </w:rPr>
        <w:t>NTRK</w:t>
      </w:r>
      <w:r w:rsidR="005522CB" w:rsidRPr="000C77A2">
        <w:t xml:space="preserve"> gene fusion w</w:t>
      </w:r>
      <w:r w:rsidR="00F25F45" w:rsidRPr="000C77A2">
        <w:t xml:space="preserve">ould need to be accounted for in the economic evaluation, and it was unclear if larotrectinib would be cost-effective in these patients. </w:t>
      </w:r>
      <w:r w:rsidR="00AB25B7" w:rsidRPr="00AB25B7">
        <w:t xml:space="preserve">The PBAC considered that for other tumours with a low frequency of </w:t>
      </w:r>
      <w:r w:rsidR="00AB25B7" w:rsidRPr="00AB25B7">
        <w:rPr>
          <w:i/>
          <w:iCs/>
        </w:rPr>
        <w:t>NTRK</w:t>
      </w:r>
      <w:r w:rsidR="00AB25B7" w:rsidRPr="00AB25B7">
        <w:t xml:space="preserve"> gene fusions, it would be expected that the cost of identifying patients with </w:t>
      </w:r>
      <w:r w:rsidR="00AB25B7" w:rsidRPr="00AB25B7">
        <w:rPr>
          <w:i/>
          <w:iCs/>
        </w:rPr>
        <w:t>NTRK</w:t>
      </w:r>
      <w:r w:rsidR="00AB25B7" w:rsidRPr="00AB25B7">
        <w:t xml:space="preserve"> gene fusions would be significantly reduced if such testing was limited to tumours that were positive for </w:t>
      </w:r>
      <w:r w:rsidR="00AB25B7" w:rsidRPr="00AB25B7">
        <w:rPr>
          <w:i/>
          <w:iCs/>
        </w:rPr>
        <w:t>NTRK</w:t>
      </w:r>
      <w:r w:rsidR="00AB25B7" w:rsidRPr="00AB25B7">
        <w:t xml:space="preserve"> immunohistochemistry (the latter </w:t>
      </w:r>
      <w:r w:rsidR="001B0FE7">
        <w:t xml:space="preserve">of </w:t>
      </w:r>
      <w:r w:rsidR="00AB25B7" w:rsidRPr="00AB25B7">
        <w:t>which is currently available on the MBS).</w:t>
      </w:r>
    </w:p>
    <w:p w14:paraId="7BE05655" w14:textId="2F970867" w:rsidR="006074D3" w:rsidRPr="000C77A2" w:rsidRDefault="006074D3" w:rsidP="006074D3">
      <w:pPr>
        <w:pStyle w:val="3-BodyText"/>
      </w:pPr>
      <w:r w:rsidRPr="000C77A2">
        <w:t xml:space="preserve">The PBAC found that the criteria prescribed by the </w:t>
      </w:r>
      <w:r w:rsidRPr="00560AEC">
        <w:rPr>
          <w:i/>
          <w:iCs/>
        </w:rPr>
        <w:t>National Health (Pharmaceuticals and Vaccines – Cost Recovery) Regulations 2022</w:t>
      </w:r>
      <w:r w:rsidRPr="000C77A2">
        <w:t xml:space="preserve"> for Pricing Pathway A were not met. </w:t>
      </w:r>
      <w:r w:rsidR="00C959D8" w:rsidRPr="000C77A2">
        <w:t>Specifically,</w:t>
      </w:r>
      <w:r w:rsidRPr="000C77A2">
        <w:t xml:space="preserve"> the PBAC found that in the circumstances of its recommendation for larotrectinib:</w:t>
      </w:r>
    </w:p>
    <w:p w14:paraId="11324D6C" w14:textId="7F3A9224" w:rsidR="006074D3" w:rsidRPr="000C77A2" w:rsidRDefault="006074D3" w:rsidP="006074D3">
      <w:pPr>
        <w:pStyle w:val="3-BodyText"/>
        <w:numPr>
          <w:ilvl w:val="0"/>
          <w:numId w:val="49"/>
        </w:numPr>
      </w:pPr>
      <w:r w:rsidRPr="000C77A2">
        <w:t>The treatment is not</w:t>
      </w:r>
      <w:r w:rsidR="00751A1E" w:rsidRPr="000C77A2">
        <w:t xml:space="preserve"> </w:t>
      </w:r>
      <w:r w:rsidRPr="000C77A2">
        <w:t xml:space="preserve">expected to provide a substantial and clinically relevant improvement in efficacy, over alternative therapies, </w:t>
      </w:r>
      <w:r w:rsidR="00751A1E" w:rsidRPr="000C77A2">
        <w:t>given the magnitude of the benefit is highly uncertain</w:t>
      </w:r>
      <w:r w:rsidRPr="000C77A2">
        <w:t xml:space="preserve">; </w:t>
      </w:r>
    </w:p>
    <w:p w14:paraId="5224A5DC" w14:textId="24805326" w:rsidR="006074D3" w:rsidRPr="000C77A2" w:rsidRDefault="006074D3" w:rsidP="006074D3">
      <w:pPr>
        <w:pStyle w:val="3-BodyText"/>
        <w:numPr>
          <w:ilvl w:val="0"/>
          <w:numId w:val="49"/>
        </w:numPr>
      </w:pPr>
      <w:r w:rsidRPr="000C77A2">
        <w:t xml:space="preserve">The treatment </w:t>
      </w:r>
      <w:r w:rsidR="00751A1E" w:rsidRPr="000C77A2">
        <w:t xml:space="preserve">is </w:t>
      </w:r>
      <w:r w:rsidRPr="000C77A2">
        <w:t>not expected to address a high and urgent unmet clinical need due t</w:t>
      </w:r>
      <w:r w:rsidR="00751A1E" w:rsidRPr="000C77A2">
        <w:t>o the availability of other therapies for NSCLC and STS</w:t>
      </w:r>
      <w:r w:rsidRPr="000C77A2">
        <w:t>;</w:t>
      </w:r>
    </w:p>
    <w:p w14:paraId="230B21C9" w14:textId="449DECE7" w:rsidR="006074D3" w:rsidRPr="000C77A2" w:rsidRDefault="006074D3" w:rsidP="006074D3">
      <w:pPr>
        <w:pStyle w:val="3-BodyText"/>
        <w:numPr>
          <w:ilvl w:val="0"/>
          <w:numId w:val="49"/>
        </w:numPr>
      </w:pPr>
      <w:r w:rsidRPr="000C77A2">
        <w:rPr>
          <w:color w:val="365F91" w:themeColor="accent1" w:themeShade="BF"/>
          <w:sz w:val="20"/>
        </w:rPr>
        <w:t xml:space="preserve">It </w:t>
      </w:r>
      <w:r w:rsidRPr="000C77A2">
        <w:t>was not necessary to make a finding in relation to whether it would be in the public interest for the subsequent pricing application to be progressed under Pricing Pathway A because one or more of the preceding tests had failed</w:t>
      </w:r>
    </w:p>
    <w:p w14:paraId="0EBAAD5D" w14:textId="34BB4448" w:rsidR="0058021F" w:rsidRPr="000C77A2" w:rsidRDefault="0058021F" w:rsidP="0058021F">
      <w:pPr>
        <w:pStyle w:val="3-BodyText"/>
      </w:pPr>
      <w:r w:rsidRPr="000C77A2">
        <w:lastRenderedPageBreak/>
        <w:t>The PBAC noted that this resubmission is not eligible for an Independent Review as it received a positive recommendation.</w:t>
      </w:r>
    </w:p>
    <w:bookmarkEnd w:id="78"/>
    <w:p w14:paraId="4DF44F06" w14:textId="77777777" w:rsidR="00886653" w:rsidRPr="00576FA3" w:rsidRDefault="00886653" w:rsidP="00886653">
      <w:pPr>
        <w:spacing w:before="240"/>
        <w:rPr>
          <w:rFonts w:asciiTheme="minorHAnsi" w:hAnsiTheme="minorHAnsi"/>
          <w:b/>
          <w:bCs/>
          <w:snapToGrid w:val="0"/>
        </w:rPr>
      </w:pPr>
      <w:r w:rsidRPr="00576FA3">
        <w:rPr>
          <w:rFonts w:asciiTheme="minorHAnsi" w:hAnsiTheme="minorHAnsi"/>
          <w:b/>
          <w:bCs/>
          <w:snapToGrid w:val="0"/>
        </w:rPr>
        <w:t>Outcome:</w:t>
      </w:r>
    </w:p>
    <w:p w14:paraId="7E217371" w14:textId="4F00FCDC" w:rsidR="00886653" w:rsidRPr="000C77A2" w:rsidRDefault="00886653" w:rsidP="00560AEC">
      <w:pPr>
        <w:rPr>
          <w:rFonts w:asciiTheme="minorHAnsi" w:hAnsiTheme="minorHAnsi"/>
          <w:b/>
          <w:bCs/>
          <w:snapToGrid w:val="0"/>
        </w:rPr>
      </w:pPr>
      <w:r w:rsidRPr="00576FA3">
        <w:rPr>
          <w:rFonts w:asciiTheme="minorHAnsi" w:hAnsiTheme="minorHAnsi"/>
          <w:bCs/>
          <w:snapToGrid w:val="0"/>
        </w:rPr>
        <w:t xml:space="preserve">Recommended </w:t>
      </w:r>
    </w:p>
    <w:bookmarkEnd w:id="75"/>
    <w:p w14:paraId="2F97264F" w14:textId="77777777" w:rsidR="00886653" w:rsidRPr="000C77A2" w:rsidRDefault="00886653" w:rsidP="00E21C39">
      <w:pPr>
        <w:pStyle w:val="2-SectionHeading"/>
      </w:pPr>
      <w:r w:rsidRPr="000C77A2">
        <w:t>Recommended listing</w:t>
      </w:r>
    </w:p>
    <w:p w14:paraId="6867EEAB" w14:textId="77777777" w:rsidR="00886653" w:rsidRPr="000C77A2" w:rsidRDefault="00886653" w:rsidP="00292657">
      <w:pPr>
        <w:pStyle w:val="3-BodyText"/>
      </w:pPr>
      <w:r w:rsidRPr="000C77A2">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292657" w:rsidRPr="000C77A2" w14:paraId="024C2BA3" w14:textId="77777777" w:rsidTr="0037473F">
        <w:trPr>
          <w:cantSplit/>
          <w:trHeight w:val="20"/>
        </w:trPr>
        <w:tc>
          <w:tcPr>
            <w:tcW w:w="3939" w:type="dxa"/>
            <w:gridSpan w:val="3"/>
            <w:vAlign w:val="center"/>
          </w:tcPr>
          <w:p w14:paraId="418BAE4B" w14:textId="77777777" w:rsidR="00292657" w:rsidRPr="000C77A2" w:rsidRDefault="00292657" w:rsidP="0037473F">
            <w:pPr>
              <w:keepLines/>
              <w:rPr>
                <w:rFonts w:ascii="Arial Narrow" w:hAnsi="Arial Narrow"/>
                <w:b/>
                <w:bCs/>
                <w:sz w:val="20"/>
                <w:szCs w:val="20"/>
              </w:rPr>
            </w:pPr>
            <w:r w:rsidRPr="000C77A2">
              <w:rPr>
                <w:rFonts w:ascii="Arial Narrow" w:hAnsi="Arial Narrow"/>
                <w:b/>
                <w:bCs/>
                <w:sz w:val="20"/>
                <w:szCs w:val="20"/>
              </w:rPr>
              <w:t>MEDICINAL PRODUCT</w:t>
            </w:r>
          </w:p>
          <w:p w14:paraId="26AA58ED" w14:textId="77777777" w:rsidR="00292657" w:rsidRPr="000C77A2" w:rsidRDefault="00292657" w:rsidP="0037473F">
            <w:pPr>
              <w:keepLines/>
              <w:rPr>
                <w:rFonts w:ascii="Arial Narrow" w:hAnsi="Arial Narrow"/>
                <w:b/>
                <w:sz w:val="20"/>
                <w:szCs w:val="20"/>
              </w:rPr>
            </w:pPr>
            <w:r w:rsidRPr="000C77A2">
              <w:rPr>
                <w:rFonts w:ascii="Arial Narrow" w:hAnsi="Arial Narrow"/>
                <w:b/>
                <w:bCs/>
                <w:sz w:val="20"/>
                <w:szCs w:val="20"/>
              </w:rPr>
              <w:t>medicinal product pack</w:t>
            </w:r>
          </w:p>
        </w:tc>
        <w:tc>
          <w:tcPr>
            <w:tcW w:w="811" w:type="dxa"/>
            <w:vAlign w:val="center"/>
          </w:tcPr>
          <w:p w14:paraId="7022423A" w14:textId="77777777" w:rsidR="00292657" w:rsidRPr="000C77A2" w:rsidRDefault="00292657" w:rsidP="0037473F">
            <w:pPr>
              <w:keepLines/>
              <w:jc w:val="center"/>
              <w:rPr>
                <w:rFonts w:ascii="Arial Narrow" w:hAnsi="Arial Narrow"/>
                <w:b/>
                <w:sz w:val="20"/>
                <w:szCs w:val="20"/>
              </w:rPr>
            </w:pPr>
            <w:r w:rsidRPr="000C77A2">
              <w:rPr>
                <w:rFonts w:ascii="Arial Narrow" w:hAnsi="Arial Narrow"/>
                <w:b/>
                <w:sz w:val="20"/>
                <w:szCs w:val="20"/>
              </w:rPr>
              <w:t>PBS item code</w:t>
            </w:r>
          </w:p>
        </w:tc>
        <w:tc>
          <w:tcPr>
            <w:tcW w:w="812" w:type="dxa"/>
            <w:vAlign w:val="center"/>
          </w:tcPr>
          <w:p w14:paraId="6D53ABDF" w14:textId="77777777" w:rsidR="00292657" w:rsidRPr="000C77A2" w:rsidRDefault="00292657" w:rsidP="0037473F">
            <w:pPr>
              <w:keepLines/>
              <w:jc w:val="center"/>
              <w:rPr>
                <w:rFonts w:ascii="Arial Narrow" w:hAnsi="Arial Narrow"/>
                <w:b/>
                <w:sz w:val="20"/>
                <w:szCs w:val="20"/>
              </w:rPr>
            </w:pPr>
            <w:r w:rsidRPr="000C77A2">
              <w:rPr>
                <w:rFonts w:ascii="Arial Narrow" w:hAnsi="Arial Narrow"/>
                <w:b/>
                <w:sz w:val="20"/>
                <w:szCs w:val="20"/>
              </w:rPr>
              <w:t>Max. qty packs</w:t>
            </w:r>
          </w:p>
        </w:tc>
        <w:tc>
          <w:tcPr>
            <w:tcW w:w="811" w:type="dxa"/>
            <w:vAlign w:val="center"/>
          </w:tcPr>
          <w:p w14:paraId="3DF56D24" w14:textId="77777777" w:rsidR="00292657" w:rsidRPr="000C77A2" w:rsidRDefault="00292657" w:rsidP="0037473F">
            <w:pPr>
              <w:keepLines/>
              <w:jc w:val="center"/>
              <w:rPr>
                <w:rFonts w:ascii="Arial Narrow" w:hAnsi="Arial Narrow"/>
                <w:b/>
                <w:sz w:val="20"/>
                <w:szCs w:val="20"/>
              </w:rPr>
            </w:pPr>
            <w:r w:rsidRPr="000C77A2">
              <w:rPr>
                <w:rFonts w:ascii="Arial Narrow" w:hAnsi="Arial Narrow"/>
                <w:b/>
                <w:sz w:val="20"/>
                <w:szCs w:val="20"/>
              </w:rPr>
              <w:t>Max. qty units</w:t>
            </w:r>
          </w:p>
        </w:tc>
        <w:tc>
          <w:tcPr>
            <w:tcW w:w="812" w:type="dxa"/>
            <w:vAlign w:val="center"/>
          </w:tcPr>
          <w:p w14:paraId="0B68E3E9" w14:textId="77777777" w:rsidR="00292657" w:rsidRPr="000C77A2" w:rsidRDefault="00292657" w:rsidP="0037473F">
            <w:pPr>
              <w:keepLines/>
              <w:jc w:val="center"/>
              <w:rPr>
                <w:rFonts w:ascii="Arial Narrow" w:hAnsi="Arial Narrow"/>
                <w:b/>
                <w:sz w:val="20"/>
                <w:szCs w:val="20"/>
              </w:rPr>
            </w:pPr>
            <w:r w:rsidRPr="000C77A2">
              <w:rPr>
                <w:rFonts w:ascii="Arial Narrow" w:hAnsi="Arial Narrow"/>
                <w:b/>
                <w:sz w:val="20"/>
                <w:szCs w:val="20"/>
              </w:rPr>
              <w:t>№.of</w:t>
            </w:r>
          </w:p>
          <w:p w14:paraId="51FC0F5A" w14:textId="77777777" w:rsidR="00292657" w:rsidRPr="000C77A2" w:rsidRDefault="00292657" w:rsidP="0037473F">
            <w:pPr>
              <w:keepLines/>
              <w:jc w:val="center"/>
              <w:rPr>
                <w:rFonts w:ascii="Arial Narrow" w:hAnsi="Arial Narrow"/>
                <w:b/>
                <w:sz w:val="20"/>
                <w:szCs w:val="20"/>
              </w:rPr>
            </w:pPr>
            <w:r w:rsidRPr="000C77A2">
              <w:rPr>
                <w:rFonts w:ascii="Arial Narrow" w:hAnsi="Arial Narrow"/>
                <w:b/>
                <w:sz w:val="20"/>
                <w:szCs w:val="20"/>
              </w:rPr>
              <w:t>Rpts</w:t>
            </w:r>
          </w:p>
        </w:tc>
        <w:tc>
          <w:tcPr>
            <w:tcW w:w="1831" w:type="dxa"/>
            <w:vAlign w:val="center"/>
          </w:tcPr>
          <w:p w14:paraId="4DE5C1E4" w14:textId="77777777" w:rsidR="00292657" w:rsidRPr="00576FA3" w:rsidRDefault="00292657" w:rsidP="0037473F">
            <w:pPr>
              <w:keepLines/>
              <w:rPr>
                <w:rFonts w:ascii="Arial Narrow" w:hAnsi="Arial Narrow"/>
                <w:b/>
                <w:sz w:val="20"/>
                <w:szCs w:val="20"/>
              </w:rPr>
            </w:pPr>
            <w:r w:rsidRPr="000C77A2">
              <w:rPr>
                <w:rFonts w:ascii="Arial Narrow" w:hAnsi="Arial Narrow"/>
                <w:b/>
                <w:sz w:val="20"/>
                <w:szCs w:val="20"/>
              </w:rPr>
              <w:t>Available brands</w:t>
            </w:r>
          </w:p>
        </w:tc>
      </w:tr>
      <w:tr w:rsidR="00292657" w:rsidRPr="000C77A2" w14:paraId="18A03E99" w14:textId="77777777" w:rsidTr="0037473F">
        <w:trPr>
          <w:cantSplit/>
          <w:trHeight w:val="20"/>
        </w:trPr>
        <w:tc>
          <w:tcPr>
            <w:tcW w:w="9016" w:type="dxa"/>
            <w:gridSpan w:val="8"/>
            <w:vAlign w:val="center"/>
          </w:tcPr>
          <w:p w14:paraId="3F32BD98" w14:textId="77777777" w:rsidR="00292657" w:rsidRPr="000C77A2" w:rsidRDefault="00292657" w:rsidP="0037473F">
            <w:pPr>
              <w:keepLines/>
              <w:rPr>
                <w:rFonts w:ascii="Arial Narrow" w:hAnsi="Arial Narrow"/>
                <w:sz w:val="20"/>
                <w:szCs w:val="20"/>
              </w:rPr>
            </w:pPr>
            <w:r w:rsidRPr="000C77A2">
              <w:rPr>
                <w:rFonts w:ascii="Arial Narrow" w:hAnsi="Arial Narrow"/>
                <w:sz w:val="20"/>
                <w:szCs w:val="20"/>
              </w:rPr>
              <w:t>LAROTRECTINIB</w:t>
            </w:r>
          </w:p>
        </w:tc>
      </w:tr>
      <w:tr w:rsidR="00292657" w:rsidRPr="000C77A2" w14:paraId="01F4F7D3" w14:textId="77777777" w:rsidTr="0037473F">
        <w:trPr>
          <w:cantSplit/>
          <w:trHeight w:val="20"/>
        </w:trPr>
        <w:tc>
          <w:tcPr>
            <w:tcW w:w="3939" w:type="dxa"/>
            <w:gridSpan w:val="3"/>
            <w:vAlign w:val="center"/>
          </w:tcPr>
          <w:p w14:paraId="568E3DE9" w14:textId="77777777" w:rsidR="00292657" w:rsidRPr="000C77A2" w:rsidRDefault="00292657" w:rsidP="0037473F">
            <w:pPr>
              <w:keepLines/>
              <w:rPr>
                <w:rFonts w:ascii="Arial Narrow" w:hAnsi="Arial Narrow"/>
                <w:sz w:val="20"/>
                <w:szCs w:val="20"/>
              </w:rPr>
            </w:pPr>
            <w:r w:rsidRPr="000C77A2">
              <w:rPr>
                <w:rFonts w:ascii="Arial Narrow" w:hAnsi="Arial Narrow"/>
                <w:sz w:val="20"/>
                <w:szCs w:val="20"/>
              </w:rPr>
              <w:t>larotrectinib 25 mg capsule, 56</w:t>
            </w:r>
          </w:p>
        </w:tc>
        <w:tc>
          <w:tcPr>
            <w:tcW w:w="811" w:type="dxa"/>
            <w:vAlign w:val="center"/>
          </w:tcPr>
          <w:p w14:paraId="29E9F4AE"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NEW</w:t>
            </w:r>
          </w:p>
        </w:tc>
        <w:tc>
          <w:tcPr>
            <w:tcW w:w="812" w:type="dxa"/>
            <w:vAlign w:val="center"/>
          </w:tcPr>
          <w:p w14:paraId="0F5C734F"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1</w:t>
            </w:r>
          </w:p>
        </w:tc>
        <w:tc>
          <w:tcPr>
            <w:tcW w:w="811" w:type="dxa"/>
            <w:vAlign w:val="center"/>
          </w:tcPr>
          <w:p w14:paraId="68C044BC"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56</w:t>
            </w:r>
          </w:p>
        </w:tc>
        <w:tc>
          <w:tcPr>
            <w:tcW w:w="812" w:type="dxa"/>
            <w:vAlign w:val="center"/>
          </w:tcPr>
          <w:p w14:paraId="3319D27D"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2</w:t>
            </w:r>
          </w:p>
        </w:tc>
        <w:tc>
          <w:tcPr>
            <w:tcW w:w="1831" w:type="dxa"/>
            <w:vAlign w:val="center"/>
          </w:tcPr>
          <w:p w14:paraId="00ACD85C" w14:textId="789F2E5B" w:rsidR="00292657" w:rsidRPr="000C77A2" w:rsidRDefault="00FD5D25" w:rsidP="0037473F">
            <w:pPr>
              <w:keepLines/>
              <w:rPr>
                <w:rFonts w:ascii="Arial Narrow" w:hAnsi="Arial Narrow"/>
                <w:sz w:val="20"/>
                <w:szCs w:val="20"/>
              </w:rPr>
            </w:pPr>
            <w:r>
              <w:rPr>
                <w:rFonts w:ascii="Arial Narrow" w:hAnsi="Arial Narrow"/>
                <w:sz w:val="20"/>
                <w:szCs w:val="20"/>
              </w:rPr>
              <w:t>V</w:t>
            </w:r>
            <w:r w:rsidR="00292657" w:rsidRPr="000C77A2">
              <w:rPr>
                <w:rFonts w:ascii="Arial Narrow" w:hAnsi="Arial Narrow"/>
                <w:sz w:val="20"/>
                <w:szCs w:val="20"/>
              </w:rPr>
              <w:t>itrakvi</w:t>
            </w:r>
          </w:p>
        </w:tc>
      </w:tr>
      <w:tr w:rsidR="00292657" w:rsidRPr="000C77A2" w14:paraId="07C7462F" w14:textId="77777777" w:rsidTr="0037473F">
        <w:trPr>
          <w:cantSplit/>
          <w:trHeight w:val="20"/>
        </w:trPr>
        <w:tc>
          <w:tcPr>
            <w:tcW w:w="3939" w:type="dxa"/>
            <w:gridSpan w:val="3"/>
            <w:vAlign w:val="center"/>
          </w:tcPr>
          <w:p w14:paraId="2DD4082F" w14:textId="77777777" w:rsidR="00292657" w:rsidRPr="000C77A2" w:rsidRDefault="00292657" w:rsidP="0037473F">
            <w:pPr>
              <w:keepLines/>
              <w:rPr>
                <w:rFonts w:ascii="Arial Narrow" w:hAnsi="Arial Narrow"/>
                <w:sz w:val="20"/>
                <w:szCs w:val="20"/>
              </w:rPr>
            </w:pPr>
            <w:r w:rsidRPr="000C77A2">
              <w:rPr>
                <w:rFonts w:ascii="Arial Narrow" w:hAnsi="Arial Narrow"/>
                <w:sz w:val="20"/>
                <w:szCs w:val="20"/>
              </w:rPr>
              <w:t>larotrectinib 100 mg capsule, 56</w:t>
            </w:r>
          </w:p>
        </w:tc>
        <w:tc>
          <w:tcPr>
            <w:tcW w:w="811" w:type="dxa"/>
            <w:vAlign w:val="center"/>
          </w:tcPr>
          <w:p w14:paraId="3A4AD0B2"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NEW</w:t>
            </w:r>
          </w:p>
        </w:tc>
        <w:tc>
          <w:tcPr>
            <w:tcW w:w="812" w:type="dxa"/>
            <w:vAlign w:val="center"/>
          </w:tcPr>
          <w:p w14:paraId="63351125"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1</w:t>
            </w:r>
          </w:p>
        </w:tc>
        <w:tc>
          <w:tcPr>
            <w:tcW w:w="811" w:type="dxa"/>
            <w:vAlign w:val="center"/>
          </w:tcPr>
          <w:p w14:paraId="05DF9DC0"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56</w:t>
            </w:r>
          </w:p>
        </w:tc>
        <w:tc>
          <w:tcPr>
            <w:tcW w:w="812" w:type="dxa"/>
            <w:vAlign w:val="center"/>
          </w:tcPr>
          <w:p w14:paraId="6EB3720A" w14:textId="77777777" w:rsidR="00292657" w:rsidRPr="000C77A2" w:rsidRDefault="00292657" w:rsidP="0037473F">
            <w:pPr>
              <w:keepLines/>
              <w:jc w:val="center"/>
              <w:rPr>
                <w:rFonts w:ascii="Arial Narrow" w:hAnsi="Arial Narrow"/>
                <w:sz w:val="20"/>
                <w:szCs w:val="20"/>
              </w:rPr>
            </w:pPr>
            <w:r w:rsidRPr="000C77A2">
              <w:rPr>
                <w:rFonts w:ascii="Arial Narrow" w:hAnsi="Arial Narrow"/>
                <w:sz w:val="20"/>
                <w:szCs w:val="20"/>
              </w:rPr>
              <w:t>2</w:t>
            </w:r>
          </w:p>
        </w:tc>
        <w:tc>
          <w:tcPr>
            <w:tcW w:w="1831" w:type="dxa"/>
            <w:vAlign w:val="center"/>
          </w:tcPr>
          <w:p w14:paraId="752AD8AC" w14:textId="0DC25C43" w:rsidR="00292657" w:rsidRPr="000C77A2" w:rsidRDefault="00FD5D25" w:rsidP="0037473F">
            <w:pPr>
              <w:keepLines/>
              <w:rPr>
                <w:rFonts w:ascii="Arial Narrow" w:hAnsi="Arial Narrow"/>
                <w:sz w:val="20"/>
                <w:szCs w:val="20"/>
              </w:rPr>
            </w:pPr>
            <w:r>
              <w:rPr>
                <w:rFonts w:ascii="Arial Narrow" w:hAnsi="Arial Narrow"/>
                <w:sz w:val="20"/>
                <w:szCs w:val="20"/>
              </w:rPr>
              <w:t>V</w:t>
            </w:r>
            <w:r w:rsidR="00292657" w:rsidRPr="000C77A2">
              <w:rPr>
                <w:rFonts w:ascii="Arial Narrow" w:hAnsi="Arial Narrow"/>
                <w:sz w:val="20"/>
                <w:szCs w:val="20"/>
              </w:rPr>
              <w:t>itrakvi</w:t>
            </w:r>
          </w:p>
        </w:tc>
      </w:tr>
      <w:tr w:rsidR="00292657" w:rsidRPr="000C77A2" w14:paraId="435EDC4D" w14:textId="77777777" w:rsidTr="0037473F">
        <w:trPr>
          <w:cantSplit/>
          <w:trHeight w:val="20"/>
        </w:trPr>
        <w:tc>
          <w:tcPr>
            <w:tcW w:w="3939" w:type="dxa"/>
            <w:gridSpan w:val="3"/>
            <w:vAlign w:val="center"/>
          </w:tcPr>
          <w:p w14:paraId="02DC2AC1" w14:textId="77777777" w:rsidR="00292657" w:rsidRPr="000C77A2" w:rsidRDefault="00292657" w:rsidP="0037473F">
            <w:pPr>
              <w:keepNext/>
              <w:tabs>
                <w:tab w:val="left" w:pos="1077"/>
              </w:tabs>
              <w:rPr>
                <w:rFonts w:ascii="Arial Narrow" w:hAnsi="Arial Narrow"/>
                <w:sz w:val="20"/>
                <w:szCs w:val="20"/>
              </w:rPr>
            </w:pPr>
            <w:r w:rsidRPr="000C77A2">
              <w:rPr>
                <w:rFonts w:ascii="Arial Narrow" w:hAnsi="Arial Narrow"/>
                <w:sz w:val="20"/>
                <w:szCs w:val="20"/>
              </w:rPr>
              <w:t xml:space="preserve">larotrectinib 20 mg/mL oral liquid, 2 x 50 mL </w:t>
            </w:r>
          </w:p>
        </w:tc>
        <w:tc>
          <w:tcPr>
            <w:tcW w:w="811" w:type="dxa"/>
            <w:vAlign w:val="center"/>
          </w:tcPr>
          <w:p w14:paraId="5360F1FF" w14:textId="77777777" w:rsidR="00292657" w:rsidRPr="000C77A2" w:rsidRDefault="00292657" w:rsidP="0037473F">
            <w:pPr>
              <w:keepNext/>
              <w:jc w:val="center"/>
              <w:rPr>
                <w:rFonts w:ascii="Arial Narrow" w:hAnsi="Arial Narrow"/>
                <w:sz w:val="20"/>
                <w:szCs w:val="20"/>
              </w:rPr>
            </w:pPr>
            <w:r w:rsidRPr="000C77A2">
              <w:rPr>
                <w:rFonts w:ascii="Arial Narrow" w:hAnsi="Arial Narrow"/>
                <w:sz w:val="20"/>
                <w:szCs w:val="20"/>
              </w:rPr>
              <w:t>NEW</w:t>
            </w:r>
          </w:p>
        </w:tc>
        <w:tc>
          <w:tcPr>
            <w:tcW w:w="812" w:type="dxa"/>
            <w:vAlign w:val="center"/>
          </w:tcPr>
          <w:p w14:paraId="4930B335" w14:textId="77777777" w:rsidR="00292657" w:rsidRPr="000C77A2" w:rsidRDefault="00292657" w:rsidP="0037473F">
            <w:pPr>
              <w:keepNext/>
              <w:jc w:val="center"/>
              <w:rPr>
                <w:rFonts w:ascii="Arial Narrow" w:hAnsi="Arial Narrow"/>
                <w:sz w:val="20"/>
                <w:szCs w:val="20"/>
              </w:rPr>
            </w:pPr>
            <w:r w:rsidRPr="000C77A2">
              <w:rPr>
                <w:rFonts w:ascii="Arial Narrow" w:hAnsi="Arial Narrow"/>
                <w:sz w:val="20"/>
                <w:szCs w:val="20"/>
              </w:rPr>
              <w:t>1</w:t>
            </w:r>
          </w:p>
        </w:tc>
        <w:tc>
          <w:tcPr>
            <w:tcW w:w="811" w:type="dxa"/>
            <w:vAlign w:val="center"/>
          </w:tcPr>
          <w:p w14:paraId="6C57D47D" w14:textId="19214410" w:rsidR="00292657" w:rsidRPr="000C77A2" w:rsidRDefault="00FD5D25" w:rsidP="0037473F">
            <w:pPr>
              <w:keepNext/>
              <w:jc w:val="center"/>
              <w:rPr>
                <w:rFonts w:ascii="Arial Narrow" w:hAnsi="Arial Narrow"/>
                <w:sz w:val="20"/>
                <w:szCs w:val="20"/>
              </w:rPr>
            </w:pPr>
            <w:r w:rsidRPr="00D84194">
              <w:rPr>
                <w:rFonts w:ascii="Arial Narrow" w:hAnsi="Arial Narrow"/>
                <w:sz w:val="20"/>
                <w:szCs w:val="20"/>
              </w:rPr>
              <w:t>1</w:t>
            </w:r>
          </w:p>
        </w:tc>
        <w:tc>
          <w:tcPr>
            <w:tcW w:w="812" w:type="dxa"/>
            <w:vAlign w:val="center"/>
          </w:tcPr>
          <w:p w14:paraId="007FB042" w14:textId="77777777" w:rsidR="00292657" w:rsidRPr="000C77A2" w:rsidRDefault="00292657" w:rsidP="0037473F">
            <w:pPr>
              <w:keepNext/>
              <w:jc w:val="center"/>
              <w:rPr>
                <w:rFonts w:ascii="Arial Narrow" w:hAnsi="Arial Narrow"/>
                <w:sz w:val="20"/>
                <w:szCs w:val="20"/>
              </w:rPr>
            </w:pPr>
            <w:r w:rsidRPr="000C77A2">
              <w:rPr>
                <w:rFonts w:ascii="Arial Narrow" w:hAnsi="Arial Narrow"/>
                <w:sz w:val="20"/>
                <w:szCs w:val="20"/>
              </w:rPr>
              <w:t>2</w:t>
            </w:r>
          </w:p>
        </w:tc>
        <w:tc>
          <w:tcPr>
            <w:tcW w:w="1831" w:type="dxa"/>
            <w:vAlign w:val="center"/>
          </w:tcPr>
          <w:p w14:paraId="3D99765E" w14:textId="2C3CDA1A" w:rsidR="00292657" w:rsidRPr="000C77A2" w:rsidRDefault="00FD5D25" w:rsidP="0037473F">
            <w:pPr>
              <w:keepNext/>
              <w:rPr>
                <w:rFonts w:ascii="Arial Narrow" w:hAnsi="Arial Narrow"/>
                <w:sz w:val="20"/>
                <w:szCs w:val="20"/>
              </w:rPr>
            </w:pPr>
            <w:r>
              <w:rPr>
                <w:rFonts w:ascii="Arial Narrow" w:hAnsi="Arial Narrow"/>
                <w:sz w:val="20"/>
                <w:szCs w:val="20"/>
              </w:rPr>
              <w:t>V</w:t>
            </w:r>
            <w:r w:rsidR="00292657" w:rsidRPr="000C77A2">
              <w:rPr>
                <w:rFonts w:ascii="Arial Narrow" w:hAnsi="Arial Narrow"/>
                <w:sz w:val="20"/>
                <w:szCs w:val="20"/>
              </w:rPr>
              <w:t>itrakvi</w:t>
            </w:r>
          </w:p>
        </w:tc>
      </w:tr>
      <w:tr w:rsidR="00292657" w:rsidRPr="000C77A2" w14:paraId="225BDEDA" w14:textId="77777777" w:rsidTr="0037473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9364759" w14:textId="77777777" w:rsidR="00292657" w:rsidRPr="000C77A2" w:rsidRDefault="00292657" w:rsidP="0037473F">
            <w:pPr>
              <w:rPr>
                <w:rFonts w:ascii="Arial Narrow" w:hAnsi="Arial Narrow"/>
                <w:sz w:val="20"/>
                <w:szCs w:val="20"/>
              </w:rPr>
            </w:pPr>
          </w:p>
        </w:tc>
      </w:tr>
      <w:tr w:rsidR="00292657" w:rsidRPr="000C77A2" w14:paraId="2657E3C0" w14:textId="77777777" w:rsidTr="0037473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981098B" w14:textId="0F9DDCE2" w:rsidR="00292657" w:rsidRPr="000C77A2" w:rsidRDefault="00292657" w:rsidP="0037473F">
            <w:pPr>
              <w:keepLines/>
              <w:rPr>
                <w:rFonts w:ascii="Arial Narrow" w:hAnsi="Arial Narrow"/>
                <w:b/>
                <w:sz w:val="20"/>
                <w:szCs w:val="20"/>
              </w:rPr>
            </w:pPr>
            <w:r w:rsidRPr="000C77A2">
              <w:rPr>
                <w:rFonts w:ascii="Arial Narrow" w:hAnsi="Arial Narrow"/>
                <w:b/>
                <w:sz w:val="20"/>
                <w:szCs w:val="20"/>
              </w:rPr>
              <w:t>Restriction Summary / Treatment of Concept</w:t>
            </w:r>
          </w:p>
        </w:tc>
      </w:tr>
      <w:tr w:rsidR="00292657" w:rsidRPr="000C77A2" w14:paraId="35E1021B" w14:textId="77777777" w:rsidTr="0037473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14C916D1" w14:textId="580B1BC3" w:rsidR="00292657" w:rsidRPr="000C77A2" w:rsidRDefault="00292657" w:rsidP="0037473F">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17D1025" w14:textId="77777777" w:rsidR="00292657" w:rsidRPr="000C77A2" w:rsidRDefault="00292657" w:rsidP="0037473F">
            <w:pPr>
              <w:keepLines/>
              <w:rPr>
                <w:rFonts w:ascii="Arial Narrow" w:hAnsi="Arial Narrow"/>
                <w:sz w:val="20"/>
                <w:szCs w:val="20"/>
              </w:rPr>
            </w:pPr>
            <w:r w:rsidRPr="000C77A2">
              <w:rPr>
                <w:rFonts w:ascii="Arial Narrow" w:hAnsi="Arial Narrow"/>
                <w:b/>
                <w:sz w:val="20"/>
                <w:szCs w:val="20"/>
              </w:rPr>
              <w:t xml:space="preserve">Category / Program: </w:t>
            </w:r>
            <w:r w:rsidRPr="000C77A2">
              <w:rPr>
                <w:rFonts w:ascii="Arial Narrow" w:hAnsi="Arial Narrow"/>
                <w:sz w:val="20"/>
                <w:szCs w:val="20"/>
              </w:rPr>
              <w:t>GENERAL – General Schedule (Code GE)</w:t>
            </w:r>
            <w:r w:rsidRPr="000C77A2">
              <w:rPr>
                <w:rFonts w:ascii="Arial Narrow" w:hAnsi="Arial Narrow"/>
                <w:color w:val="FF0000"/>
                <w:sz w:val="20"/>
                <w:szCs w:val="20"/>
              </w:rPr>
              <w:t xml:space="preserve"> </w:t>
            </w:r>
          </w:p>
        </w:tc>
      </w:tr>
      <w:tr w:rsidR="00292657" w:rsidRPr="000C77A2" w14:paraId="54A957BB" w14:textId="77777777" w:rsidTr="0037473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41A9529" w14:textId="77777777" w:rsidR="00292657" w:rsidRPr="000C77A2" w:rsidRDefault="00292657" w:rsidP="0037473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D9128B" w14:textId="77777777" w:rsidR="00292657" w:rsidRPr="000C77A2" w:rsidRDefault="00292657" w:rsidP="0037473F">
            <w:pPr>
              <w:keepLines/>
              <w:rPr>
                <w:rFonts w:ascii="Arial Narrow" w:hAnsi="Arial Narrow"/>
                <w:b/>
                <w:sz w:val="20"/>
                <w:szCs w:val="20"/>
              </w:rPr>
            </w:pPr>
            <w:r w:rsidRPr="000C77A2">
              <w:rPr>
                <w:rFonts w:ascii="Arial Narrow" w:hAnsi="Arial Narrow"/>
                <w:b/>
                <w:sz w:val="20"/>
                <w:szCs w:val="20"/>
              </w:rPr>
              <w:t xml:space="preserve">Prescriber type: </w:t>
            </w:r>
            <w:r w:rsidRPr="000C77A2">
              <w:rPr>
                <w:rFonts w:ascii="Arial Narrow" w:hAnsi="Arial Narrow"/>
                <w:sz w:val="20"/>
                <w:szCs w:val="20"/>
              </w:rPr>
              <w:fldChar w:fldCharType="begin" w:fldLock="1">
                <w:ffData>
                  <w:name w:val=""/>
                  <w:enabled/>
                  <w:calcOnExit w:val="0"/>
                  <w:checkBox>
                    <w:sizeAuto/>
                    <w:default w:val="1"/>
                  </w:checkBox>
                </w:ffData>
              </w:fldChar>
            </w:r>
            <w:r w:rsidRPr="000C77A2">
              <w:rPr>
                <w:rFonts w:ascii="Arial Narrow" w:hAnsi="Arial Narrow"/>
                <w:sz w:val="20"/>
                <w:szCs w:val="20"/>
              </w:rPr>
              <w:instrText xml:space="preserve"> FORMCHECKBOX </w:instrText>
            </w:r>
            <w:r w:rsidR="00C766BB">
              <w:rPr>
                <w:rFonts w:ascii="Arial Narrow" w:hAnsi="Arial Narrow"/>
                <w:sz w:val="20"/>
                <w:szCs w:val="20"/>
              </w:rPr>
            </w:r>
            <w:r w:rsidR="00C766BB">
              <w:rPr>
                <w:rFonts w:ascii="Arial Narrow" w:hAnsi="Arial Narrow"/>
                <w:sz w:val="20"/>
                <w:szCs w:val="20"/>
              </w:rPr>
              <w:fldChar w:fldCharType="separate"/>
            </w:r>
            <w:r w:rsidRPr="000C77A2">
              <w:rPr>
                <w:rFonts w:ascii="Arial Narrow" w:hAnsi="Arial Narrow"/>
                <w:sz w:val="20"/>
                <w:szCs w:val="20"/>
              </w:rPr>
              <w:fldChar w:fldCharType="end"/>
            </w:r>
            <w:r w:rsidRPr="000C77A2">
              <w:rPr>
                <w:rFonts w:ascii="Arial Narrow" w:hAnsi="Arial Narrow"/>
                <w:sz w:val="20"/>
                <w:szCs w:val="20"/>
              </w:rPr>
              <w:t xml:space="preserve">Medical Practitioners </w:t>
            </w:r>
          </w:p>
        </w:tc>
      </w:tr>
      <w:tr w:rsidR="00292657" w:rsidRPr="000C77A2" w14:paraId="0E47CA3E" w14:textId="77777777" w:rsidTr="0037473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7F9776B9" w14:textId="77777777" w:rsidR="00292657" w:rsidRPr="000C77A2" w:rsidRDefault="00292657" w:rsidP="0037473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0B29695" w14:textId="77777777" w:rsidR="00292657" w:rsidRPr="000C77A2" w:rsidRDefault="00292657" w:rsidP="0037473F">
            <w:pPr>
              <w:keepLines/>
              <w:rPr>
                <w:rFonts w:ascii="Arial Narrow" w:eastAsia="Calibri" w:hAnsi="Arial Narrow"/>
                <w:i/>
                <w:iCs/>
                <w:color w:val="FF0000"/>
                <w:sz w:val="20"/>
                <w:szCs w:val="20"/>
              </w:rPr>
            </w:pPr>
            <w:r w:rsidRPr="000C77A2">
              <w:rPr>
                <w:rFonts w:ascii="Arial Narrow" w:hAnsi="Arial Narrow"/>
                <w:b/>
                <w:sz w:val="20"/>
                <w:szCs w:val="20"/>
              </w:rPr>
              <w:t xml:space="preserve">Restriction type: </w:t>
            </w:r>
            <w:r w:rsidRPr="000C77A2">
              <w:rPr>
                <w:rFonts w:ascii="Arial Narrow" w:eastAsia="Calibri" w:hAnsi="Arial Narrow"/>
                <w:sz w:val="20"/>
                <w:szCs w:val="20"/>
              </w:rPr>
              <w:fldChar w:fldCharType="begin" w:fldLock="1">
                <w:ffData>
                  <w:name w:val=""/>
                  <w:enabled/>
                  <w:calcOnExit w:val="0"/>
                  <w:checkBox>
                    <w:sizeAuto/>
                    <w:default w:val="1"/>
                  </w:checkBox>
                </w:ffData>
              </w:fldChar>
            </w:r>
            <w:r w:rsidRPr="000C77A2">
              <w:rPr>
                <w:rFonts w:ascii="Arial Narrow" w:eastAsia="Calibri" w:hAnsi="Arial Narrow"/>
                <w:sz w:val="20"/>
                <w:szCs w:val="20"/>
              </w:rPr>
              <w:instrText xml:space="preserve"> FORMCHECKBOX </w:instrText>
            </w:r>
            <w:r w:rsidR="00C766BB">
              <w:rPr>
                <w:rFonts w:ascii="Arial Narrow" w:eastAsia="Calibri" w:hAnsi="Arial Narrow"/>
                <w:sz w:val="20"/>
                <w:szCs w:val="20"/>
              </w:rPr>
            </w:r>
            <w:r w:rsidR="00C766BB">
              <w:rPr>
                <w:rFonts w:ascii="Arial Narrow" w:eastAsia="Calibri" w:hAnsi="Arial Narrow"/>
                <w:sz w:val="20"/>
                <w:szCs w:val="20"/>
              </w:rPr>
              <w:fldChar w:fldCharType="separate"/>
            </w:r>
            <w:r w:rsidRPr="000C77A2">
              <w:rPr>
                <w:rFonts w:ascii="Arial Narrow" w:eastAsia="Calibri" w:hAnsi="Arial Narrow"/>
                <w:sz w:val="20"/>
                <w:szCs w:val="20"/>
              </w:rPr>
              <w:fldChar w:fldCharType="end"/>
            </w:r>
            <w:r w:rsidRPr="000C77A2">
              <w:rPr>
                <w:rFonts w:ascii="Arial Narrow" w:eastAsia="Calibri" w:hAnsi="Arial Narrow"/>
                <w:sz w:val="20"/>
                <w:szCs w:val="20"/>
              </w:rPr>
              <w:t>Authority Required (in writing-legacy</w:t>
            </w:r>
            <w:r w:rsidRPr="000C77A2">
              <w:rPr>
                <w:rFonts w:ascii="Arial Narrow" w:eastAsia="Calibri" w:hAnsi="Arial Narrow"/>
                <w:i/>
                <w:iCs/>
                <w:sz w:val="20"/>
                <w:szCs w:val="20"/>
              </w:rPr>
              <w:t xml:space="preserve">) </w:t>
            </w:r>
            <w:r w:rsidRPr="000C77A2">
              <w:rPr>
                <w:rFonts w:ascii="Arial Narrow" w:eastAsia="Calibri" w:hAnsi="Arial Narrow"/>
                <w:sz w:val="20"/>
                <w:szCs w:val="20"/>
              </w:rPr>
              <w:t>Postal/HPOS upload or Online PBS Authorities immediate assessment</w:t>
            </w:r>
          </w:p>
        </w:tc>
      </w:tr>
      <w:tr w:rsidR="00292657" w:rsidRPr="000C77A2" w14:paraId="371F8AF4" w14:textId="77777777" w:rsidTr="0037473F">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73266697" w14:textId="3D34F35D" w:rsidR="00292657" w:rsidRPr="000C77A2" w:rsidRDefault="00292657" w:rsidP="0037473F">
            <w:pPr>
              <w:jc w:val="center"/>
              <w:rPr>
                <w:rFonts w:ascii="Arial Narrow" w:hAnsi="Arial Narrow"/>
                <w:sz w:val="20"/>
                <w:szCs w:val="20"/>
              </w:rPr>
            </w:pPr>
          </w:p>
        </w:tc>
        <w:tc>
          <w:tcPr>
            <w:tcW w:w="784" w:type="dxa"/>
            <w:vAlign w:val="center"/>
          </w:tcPr>
          <w:p w14:paraId="233AA64B" w14:textId="3369035D"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1C0A5368"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Administrative Advice:</w:t>
            </w:r>
          </w:p>
          <w:p w14:paraId="532E6D2F" w14:textId="77777777" w:rsidR="00292657" w:rsidRPr="000C77A2" w:rsidRDefault="00292657" w:rsidP="0037473F">
            <w:pPr>
              <w:rPr>
                <w:rFonts w:ascii="Arial Narrow" w:hAnsi="Arial Narrow"/>
                <w:color w:val="333333"/>
                <w:sz w:val="20"/>
                <w:szCs w:val="20"/>
              </w:rPr>
            </w:pPr>
            <w:r w:rsidRPr="000C77A2">
              <w:rPr>
                <w:rFonts w:ascii="Arial Narrow" w:hAnsi="Arial Narrow"/>
                <w:sz w:val="20"/>
                <w:szCs w:val="20"/>
              </w:rPr>
              <w:t xml:space="preserve">For a patient who has received non-PBS-subsidised supply of this drug, apply under an ‘Initial treatment’ phase listing </w:t>
            </w:r>
            <w:proofErr w:type="gramStart"/>
            <w:r w:rsidRPr="000C77A2">
              <w:rPr>
                <w:rFonts w:ascii="Arial Narrow" w:hAnsi="Arial Narrow"/>
                <w:sz w:val="20"/>
                <w:szCs w:val="20"/>
              </w:rPr>
              <w:t>provided that</w:t>
            </w:r>
            <w:proofErr w:type="gramEnd"/>
            <w:r w:rsidRPr="000C77A2">
              <w:rPr>
                <w:rFonts w:ascii="Arial Narrow" w:hAnsi="Arial Narrow"/>
                <w:sz w:val="20"/>
                <w:szCs w:val="20"/>
              </w:rPr>
              <w:t xml:space="preserve"> they meet all stated PBS eligibility criteria.</w:t>
            </w:r>
          </w:p>
        </w:tc>
      </w:tr>
      <w:tr w:rsidR="00292657" w:rsidRPr="000C77A2" w14:paraId="3A88D85C" w14:textId="77777777" w:rsidTr="0037473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5022752D" w14:textId="77777777" w:rsidR="00292657" w:rsidRPr="000C77A2" w:rsidRDefault="00292657" w:rsidP="0037473F">
            <w:pPr>
              <w:rPr>
                <w:rFonts w:ascii="Arial Narrow" w:hAnsi="Arial Narrow"/>
                <w:sz w:val="20"/>
                <w:szCs w:val="20"/>
              </w:rPr>
            </w:pPr>
          </w:p>
        </w:tc>
        <w:tc>
          <w:tcPr>
            <w:tcW w:w="784" w:type="dxa"/>
            <w:vAlign w:val="center"/>
          </w:tcPr>
          <w:p w14:paraId="54F62493" w14:textId="5EB2D2B0"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01E60475"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7045A2F1"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No increase in the maximum number of repeats may be authorised.</w:t>
            </w:r>
          </w:p>
        </w:tc>
      </w:tr>
      <w:tr w:rsidR="00292657" w:rsidRPr="000C77A2" w14:paraId="046CAA8A" w14:textId="77777777" w:rsidTr="0037473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EE1260D" w14:textId="77777777" w:rsidR="00292657" w:rsidRPr="000C77A2" w:rsidRDefault="00292657" w:rsidP="0037473F">
            <w:pPr>
              <w:rPr>
                <w:rFonts w:ascii="Arial Narrow" w:hAnsi="Arial Narrow"/>
                <w:sz w:val="20"/>
                <w:szCs w:val="20"/>
              </w:rPr>
            </w:pPr>
          </w:p>
        </w:tc>
        <w:tc>
          <w:tcPr>
            <w:tcW w:w="784" w:type="dxa"/>
            <w:vAlign w:val="center"/>
          </w:tcPr>
          <w:p w14:paraId="0E7D9864" w14:textId="0D4983DB"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034BFBBD"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1505391C"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Special Pricing Arrangements apply.</w:t>
            </w:r>
          </w:p>
        </w:tc>
      </w:tr>
      <w:tr w:rsidR="00292657" w:rsidRPr="000C77A2" w14:paraId="21F253DF" w14:textId="77777777" w:rsidTr="0037473F">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57D71F90" w14:textId="77777777" w:rsidR="00292657" w:rsidRPr="000C77A2" w:rsidRDefault="00292657" w:rsidP="0037473F">
            <w:pPr>
              <w:rPr>
                <w:rFonts w:ascii="Arial Narrow" w:hAnsi="Arial Narrow"/>
                <w:sz w:val="20"/>
                <w:szCs w:val="20"/>
              </w:rPr>
            </w:pPr>
          </w:p>
        </w:tc>
        <w:tc>
          <w:tcPr>
            <w:tcW w:w="784" w:type="dxa"/>
            <w:vAlign w:val="center"/>
          </w:tcPr>
          <w:p w14:paraId="7D935842" w14:textId="2D965903"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18ADE2C6"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61E19713"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266DA93E"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8" w:history="1">
              <w:r w:rsidRPr="000C77A2">
                <w:rPr>
                  <w:rStyle w:val="Hyperlink"/>
                  <w:rFonts w:ascii="Arial Narrow" w:hAnsi="Arial Narrow"/>
                  <w:sz w:val="20"/>
                  <w:szCs w:val="20"/>
                </w:rPr>
                <w:t>www.servicesaustralia.gov.au</w:t>
              </w:r>
            </w:hyperlink>
            <w:r w:rsidRPr="000C77A2">
              <w:rPr>
                <w:rFonts w:ascii="Arial Narrow" w:hAnsi="Arial Narrow"/>
                <w:color w:val="333333"/>
                <w:sz w:val="20"/>
                <w:szCs w:val="20"/>
              </w:rPr>
              <w:t xml:space="preserve"> </w:t>
            </w:r>
          </w:p>
          <w:p w14:paraId="5802743B"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Applications for authorisation under this restriction should be made in real time using the Online PBS Authorities system (see </w:t>
            </w:r>
            <w:hyperlink r:id="rId19" w:history="1">
              <w:r w:rsidRPr="000C77A2">
                <w:rPr>
                  <w:rStyle w:val="Hyperlink"/>
                  <w:rFonts w:ascii="Arial Narrow" w:hAnsi="Arial Narrow"/>
                  <w:sz w:val="20"/>
                  <w:szCs w:val="20"/>
                </w:rPr>
                <w:t>www.servicesaustralia.gov.au/hpos</w:t>
              </w:r>
            </w:hyperlink>
            <w:r w:rsidRPr="000C77A2">
              <w:rPr>
                <w:rFonts w:ascii="Arial Narrow" w:hAnsi="Arial Narrow"/>
                <w:color w:val="333333"/>
                <w:sz w:val="20"/>
                <w:szCs w:val="20"/>
              </w:rPr>
              <w:t xml:space="preserve">) </w:t>
            </w:r>
          </w:p>
          <w:p w14:paraId="7131EAED"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Alternatively, applications for authority to prescribe can be submitted online using the form upload facility in Health Professional Online Services (HPOS) at </w:t>
            </w:r>
            <w:hyperlink r:id="rId20" w:history="1">
              <w:r w:rsidRPr="000C77A2">
                <w:rPr>
                  <w:rStyle w:val="Hyperlink"/>
                  <w:rFonts w:ascii="Arial Narrow" w:hAnsi="Arial Narrow"/>
                  <w:sz w:val="20"/>
                  <w:szCs w:val="20"/>
                </w:rPr>
                <w:t>www.servicesaustralia.gov.au/hpos</w:t>
              </w:r>
            </w:hyperlink>
            <w:r w:rsidRPr="000C77A2">
              <w:rPr>
                <w:rFonts w:ascii="Arial Narrow" w:hAnsi="Arial Narrow"/>
                <w:color w:val="333333"/>
                <w:sz w:val="20"/>
                <w:szCs w:val="20"/>
              </w:rPr>
              <w:t xml:space="preserve"> </w:t>
            </w:r>
          </w:p>
          <w:p w14:paraId="230E6ABA"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Or mailed to:</w:t>
            </w:r>
          </w:p>
          <w:p w14:paraId="7B21394F"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Services Australia </w:t>
            </w:r>
          </w:p>
          <w:p w14:paraId="44A08070"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Complex Drugs </w:t>
            </w:r>
          </w:p>
          <w:p w14:paraId="5C6C2286"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Reply Paid 9826</w:t>
            </w:r>
          </w:p>
          <w:p w14:paraId="3B7566B7"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HOBART TAS 7001</w:t>
            </w:r>
          </w:p>
        </w:tc>
      </w:tr>
      <w:tr w:rsidR="00292657" w:rsidRPr="000C77A2" w14:paraId="15950FFD" w14:textId="77777777" w:rsidTr="00560AEC">
        <w:tblPrEx>
          <w:tblCellMar>
            <w:top w:w="15" w:type="dxa"/>
            <w:bottom w:w="15" w:type="dxa"/>
          </w:tblCellMar>
        </w:tblPrEx>
        <w:trPr>
          <w:cantSplit/>
          <w:trHeight w:val="20"/>
        </w:trPr>
        <w:tc>
          <w:tcPr>
            <w:tcW w:w="1271" w:type="dxa"/>
            <w:gridSpan w:val="2"/>
            <w:vAlign w:val="center"/>
          </w:tcPr>
          <w:p w14:paraId="6888603C" w14:textId="7BE196B0" w:rsidR="00292657" w:rsidRPr="000C77A2" w:rsidRDefault="00292657" w:rsidP="0037473F">
            <w:pPr>
              <w:keepLines/>
              <w:jc w:val="center"/>
              <w:rPr>
                <w:rFonts w:ascii="Arial Narrow" w:hAnsi="Arial Narrow"/>
                <w:color w:val="333333"/>
                <w:sz w:val="20"/>
                <w:szCs w:val="20"/>
              </w:rPr>
            </w:pPr>
          </w:p>
        </w:tc>
        <w:tc>
          <w:tcPr>
            <w:tcW w:w="7745" w:type="dxa"/>
            <w:gridSpan w:val="6"/>
            <w:vAlign w:val="center"/>
            <w:hideMark/>
          </w:tcPr>
          <w:p w14:paraId="52E0CFE9" w14:textId="77777777" w:rsidR="00292657" w:rsidRPr="000C77A2" w:rsidRDefault="00292657" w:rsidP="0037473F">
            <w:pPr>
              <w:keepLines/>
              <w:rPr>
                <w:rFonts w:ascii="Arial Narrow" w:hAnsi="Arial Narrow"/>
                <w:color w:val="333333"/>
                <w:sz w:val="20"/>
                <w:szCs w:val="20"/>
              </w:rPr>
            </w:pPr>
            <w:r w:rsidRPr="000C77A2">
              <w:rPr>
                <w:rFonts w:ascii="Arial Narrow" w:hAnsi="Arial Narrow"/>
                <w:b/>
                <w:bCs/>
                <w:color w:val="333333"/>
                <w:sz w:val="20"/>
                <w:szCs w:val="20"/>
              </w:rPr>
              <w:t>Indication:</w:t>
            </w:r>
            <w:r w:rsidRPr="000C77A2">
              <w:rPr>
                <w:rFonts w:ascii="Arial Narrow" w:hAnsi="Arial Narrow"/>
                <w:color w:val="333333"/>
                <w:sz w:val="20"/>
                <w:szCs w:val="20"/>
              </w:rPr>
              <w:t xml:space="preserve"> Solid tumours (of certain specified types)</w:t>
            </w:r>
            <w:r w:rsidRPr="000C77A2">
              <w:rPr>
                <w:rFonts w:ascii="Arial Narrow" w:hAnsi="Arial Narrow"/>
                <w:i/>
                <w:iCs/>
                <w:color w:val="333333"/>
                <w:sz w:val="20"/>
                <w:szCs w:val="20"/>
              </w:rPr>
              <w:t xml:space="preserve"> </w:t>
            </w:r>
            <w:r w:rsidRPr="000C77A2">
              <w:rPr>
                <w:rFonts w:ascii="Arial Narrow" w:hAnsi="Arial Narrow"/>
                <w:color w:val="333333"/>
                <w:sz w:val="20"/>
                <w:szCs w:val="20"/>
              </w:rPr>
              <w:t>with confirmed neurotrophic tropomyosin receptor kinase (NTRK) gene fusion</w:t>
            </w:r>
          </w:p>
        </w:tc>
      </w:tr>
      <w:tr w:rsidR="00292657" w:rsidRPr="000C77A2" w14:paraId="251D6354" w14:textId="77777777" w:rsidTr="00560AEC">
        <w:tblPrEx>
          <w:tblCellMar>
            <w:top w:w="15" w:type="dxa"/>
            <w:bottom w:w="15" w:type="dxa"/>
          </w:tblCellMar>
        </w:tblPrEx>
        <w:trPr>
          <w:cantSplit/>
          <w:trHeight w:val="20"/>
        </w:trPr>
        <w:tc>
          <w:tcPr>
            <w:tcW w:w="1271" w:type="dxa"/>
            <w:gridSpan w:val="2"/>
            <w:vAlign w:val="center"/>
          </w:tcPr>
          <w:p w14:paraId="1293176F"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2FF6AB7B"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Treatment Phase:</w:t>
            </w:r>
            <w:r w:rsidRPr="000C77A2">
              <w:rPr>
                <w:rFonts w:ascii="Arial Narrow" w:hAnsi="Arial Narrow"/>
                <w:color w:val="FF0000"/>
                <w:sz w:val="20"/>
                <w:szCs w:val="20"/>
              </w:rPr>
              <w:t xml:space="preserve"> </w:t>
            </w:r>
            <w:r w:rsidRPr="000C77A2">
              <w:rPr>
                <w:rFonts w:ascii="Arial Narrow" w:hAnsi="Arial Narrow"/>
                <w:sz w:val="20"/>
                <w:szCs w:val="20"/>
              </w:rPr>
              <w:t>Initial treatment</w:t>
            </w:r>
          </w:p>
        </w:tc>
      </w:tr>
      <w:tr w:rsidR="00292657" w:rsidRPr="000C77A2" w14:paraId="6B6165EF" w14:textId="77777777" w:rsidTr="00560AEC">
        <w:tblPrEx>
          <w:tblCellMar>
            <w:top w:w="15" w:type="dxa"/>
            <w:bottom w:w="15" w:type="dxa"/>
          </w:tblCellMar>
        </w:tblPrEx>
        <w:trPr>
          <w:cantSplit/>
          <w:trHeight w:val="20"/>
        </w:trPr>
        <w:tc>
          <w:tcPr>
            <w:tcW w:w="1271" w:type="dxa"/>
            <w:gridSpan w:val="2"/>
            <w:vAlign w:val="center"/>
          </w:tcPr>
          <w:p w14:paraId="73785897" w14:textId="185ECC89"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6AEB9935"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 xml:space="preserve">Clinical criteria: </w:t>
            </w:r>
          </w:p>
        </w:tc>
      </w:tr>
      <w:tr w:rsidR="00292657" w:rsidRPr="000C77A2" w14:paraId="457895A5" w14:textId="77777777" w:rsidTr="00560AEC">
        <w:tblPrEx>
          <w:tblCellMar>
            <w:top w:w="15" w:type="dxa"/>
            <w:bottom w:w="15" w:type="dxa"/>
          </w:tblCellMar>
        </w:tblPrEx>
        <w:trPr>
          <w:cantSplit/>
          <w:trHeight w:val="20"/>
        </w:trPr>
        <w:tc>
          <w:tcPr>
            <w:tcW w:w="1271" w:type="dxa"/>
            <w:gridSpan w:val="2"/>
            <w:vAlign w:val="center"/>
          </w:tcPr>
          <w:p w14:paraId="12908062" w14:textId="07D95B25"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4C99DB22" w14:textId="77777777" w:rsidR="00292657" w:rsidRPr="000C77A2" w:rsidRDefault="00292657" w:rsidP="0037473F">
            <w:pPr>
              <w:rPr>
                <w:rFonts w:ascii="Arial Narrow" w:hAnsi="Arial Narrow"/>
                <w:color w:val="333333"/>
                <w:sz w:val="20"/>
                <w:szCs w:val="20"/>
              </w:rPr>
            </w:pPr>
            <w:r w:rsidRPr="000C77A2">
              <w:rPr>
                <w:rFonts w:ascii="Arial Narrow" w:hAnsi="Arial Narrow"/>
                <w:sz w:val="20"/>
                <w:szCs w:val="20"/>
              </w:rPr>
              <w:t>The condition must be confirmed to be positive for a neurotrophic tropomyosin receptor kinase (NTRK) gene fusion prior to treatment initiation with this drug through a pathology report from an Approved Pathology Authority – provide the following evidence: (i) the date of the pathology report substantiating the positive NTRK gene fusion, (ii) the name of the pathology service provider, (iii) the unique identifying number/code linking the pathology test result to the patient; the recency of the pathology report may be of any date,</w:t>
            </w:r>
          </w:p>
        </w:tc>
      </w:tr>
      <w:tr w:rsidR="00292657" w:rsidRPr="000C77A2" w14:paraId="223A90EA"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11C32B"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4A79157F" w14:textId="77777777" w:rsidR="00292657" w:rsidRPr="000C77A2" w:rsidRDefault="00292657" w:rsidP="0037473F">
            <w:pPr>
              <w:rPr>
                <w:rFonts w:ascii="Arial Narrow" w:hAnsi="Arial Narrow"/>
                <w:strike/>
                <w:sz w:val="20"/>
                <w:szCs w:val="20"/>
              </w:rPr>
            </w:pPr>
            <w:r w:rsidRPr="000C77A2">
              <w:rPr>
                <w:rFonts w:ascii="Arial Narrow" w:hAnsi="Arial Narrow"/>
                <w:b/>
                <w:bCs/>
                <w:color w:val="333333"/>
                <w:sz w:val="20"/>
                <w:szCs w:val="20"/>
              </w:rPr>
              <w:t>AND</w:t>
            </w:r>
          </w:p>
        </w:tc>
      </w:tr>
      <w:tr w:rsidR="00292657" w:rsidRPr="000C77A2" w14:paraId="49256033"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D62A70"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2226E4D4" w14:textId="77777777" w:rsidR="00292657" w:rsidRPr="000C77A2" w:rsidRDefault="00292657" w:rsidP="0037473F">
            <w:pPr>
              <w:rPr>
                <w:rFonts w:ascii="Arial Narrow" w:hAnsi="Arial Narrow"/>
                <w:strike/>
                <w:sz w:val="20"/>
                <w:szCs w:val="20"/>
              </w:rPr>
            </w:pPr>
            <w:r w:rsidRPr="000C77A2">
              <w:rPr>
                <w:rFonts w:ascii="Arial Narrow" w:hAnsi="Arial Narrow"/>
                <w:b/>
                <w:bCs/>
                <w:color w:val="333333"/>
                <w:sz w:val="20"/>
                <w:szCs w:val="20"/>
              </w:rPr>
              <w:t>Clinical criteria:</w:t>
            </w:r>
          </w:p>
        </w:tc>
      </w:tr>
      <w:tr w:rsidR="00292657" w:rsidRPr="000C77A2" w14:paraId="3EEA8F64"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9E84D6F" w14:textId="388A56D6"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1FEF6B0D" w14:textId="77777777" w:rsidR="00292657" w:rsidRPr="000C77A2" w:rsidRDefault="00292657" w:rsidP="0037473F">
            <w:pPr>
              <w:rPr>
                <w:rFonts w:ascii="Arial Narrow" w:hAnsi="Arial Narrow"/>
                <w:sz w:val="20"/>
                <w:szCs w:val="20"/>
              </w:rPr>
            </w:pPr>
            <w:r w:rsidRPr="000C77A2">
              <w:rPr>
                <w:rFonts w:ascii="Arial Narrow" w:hAnsi="Arial Narrow"/>
                <w:sz w:val="20"/>
                <w:szCs w:val="20"/>
              </w:rPr>
              <w:t>The condition must be non-small cell lung cancer confirmed through a pathology report from an Approved Pathology Authority (of any date); or</w:t>
            </w:r>
          </w:p>
        </w:tc>
      </w:tr>
      <w:tr w:rsidR="00292657" w:rsidRPr="000C77A2" w14:paraId="3665492C"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78BB59C" w14:textId="2E3212A8"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55C30A0C" w14:textId="77777777" w:rsidR="00292657" w:rsidRPr="000C77A2" w:rsidRDefault="00292657" w:rsidP="0037473F">
            <w:pPr>
              <w:rPr>
                <w:rFonts w:ascii="Arial Narrow" w:hAnsi="Arial Narrow"/>
                <w:sz w:val="20"/>
                <w:szCs w:val="20"/>
              </w:rPr>
            </w:pPr>
            <w:r w:rsidRPr="000C77A2">
              <w:rPr>
                <w:rFonts w:ascii="Arial Narrow" w:hAnsi="Arial Narrow"/>
                <w:sz w:val="20"/>
                <w:szCs w:val="20"/>
              </w:rPr>
              <w:t>The condition must be soft tissue sarcoma confirmed through a pathology report from an Approved Pathology Authority (of any date); or</w:t>
            </w:r>
          </w:p>
        </w:tc>
      </w:tr>
      <w:tr w:rsidR="00292657" w:rsidRPr="000C77A2" w14:paraId="17788F3C"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6B4FC84" w14:textId="52027260"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4848447F" w14:textId="67C4914C" w:rsidR="00292657" w:rsidRPr="000C77A2" w:rsidRDefault="00292657" w:rsidP="0037473F">
            <w:pPr>
              <w:rPr>
                <w:rFonts w:ascii="Arial Narrow" w:hAnsi="Arial Narrow"/>
                <w:sz w:val="20"/>
                <w:szCs w:val="20"/>
              </w:rPr>
            </w:pPr>
            <w:r w:rsidRPr="00AB25B7">
              <w:rPr>
                <w:rFonts w:ascii="Arial Narrow" w:hAnsi="Arial Narrow"/>
                <w:sz w:val="20"/>
                <w:szCs w:val="20"/>
              </w:rPr>
              <w:t xml:space="preserve">The condition must be confirmed through a pathology report from an Approved Pathology Authority (of any date) as </w:t>
            </w:r>
            <w:r w:rsidR="00AB25B7" w:rsidRPr="00AB25B7">
              <w:rPr>
                <w:rFonts w:ascii="Arial Narrow" w:hAnsi="Arial Narrow"/>
                <w:sz w:val="20"/>
                <w:szCs w:val="20"/>
              </w:rPr>
              <w:t>either</w:t>
            </w:r>
            <w:r w:rsidRPr="00AB25B7">
              <w:rPr>
                <w:rFonts w:ascii="Arial Narrow" w:hAnsi="Arial Narrow"/>
                <w:sz w:val="20"/>
                <w:szCs w:val="20"/>
              </w:rPr>
              <w:t xml:space="preserve"> (i) glioma, (ii) glioneuronal tumour, (iii) glioblastoma</w:t>
            </w:r>
          </w:p>
        </w:tc>
      </w:tr>
      <w:tr w:rsidR="00292657" w:rsidRPr="000C77A2" w14:paraId="2CED473C"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1BB523"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4D00A601"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4E0B3FC2"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5D29E97"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1C1ADFDF"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39041CF6"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99D5D6" w14:textId="42EAA152"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48AD3CD9"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The condition must be metastatic disease; OR </w:t>
            </w:r>
          </w:p>
        </w:tc>
      </w:tr>
      <w:tr w:rsidR="00292657" w:rsidRPr="000C77A2" w14:paraId="14CF1C02"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D7D1D2" w14:textId="3E3B95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0B9957EF"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The condition must be both: (i) locally advanced, (ii) unresectable; OR </w:t>
            </w:r>
          </w:p>
        </w:tc>
      </w:tr>
      <w:tr w:rsidR="00292657" w:rsidRPr="000C77A2" w14:paraId="6606372E"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8722455" w14:textId="0EE1C56F"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7DE8C623"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The condition must be locally advanced where surgical resection is likely to result in severe morbidity </w:t>
            </w:r>
          </w:p>
        </w:tc>
      </w:tr>
      <w:tr w:rsidR="00292657" w:rsidRPr="000C77A2" w14:paraId="74EB9FF7"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7FD354"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1DDAFB69"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1F1E305C"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E64C91C"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4B83ECBF"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4BC7388E"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31EC25" w14:textId="065FE694"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6A3D4684"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Patient must have received prior systemic treatment for this disease; or </w:t>
            </w:r>
          </w:p>
        </w:tc>
      </w:tr>
      <w:tr w:rsidR="00292657" w:rsidRPr="000C77A2" w14:paraId="5FE290DE"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D16A11" w14:textId="281D7889"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60DED6C8"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Patient must have a condition that predisposes them to an unacceptable risk of intolerance to other systemic therapies</w:t>
            </w:r>
          </w:p>
        </w:tc>
      </w:tr>
      <w:tr w:rsidR="00292657" w:rsidRPr="000C77A2" w14:paraId="53A7D718"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1DC892A"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5486D50B"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4BBD156B"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8F39439" w14:textId="0DA5DF2A"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638A4D1C"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148A4911"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EB9971" w14:textId="2F6EF4FF"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7C6A4948"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The treatment must be the sole PBS-subsidised anti-cancer therapy for this condition.</w:t>
            </w:r>
          </w:p>
        </w:tc>
      </w:tr>
      <w:tr w:rsidR="00292657" w:rsidRPr="000C77A2" w14:paraId="5CF0C141"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821D909" w14:textId="4EB9B0F4" w:rsidR="00292657" w:rsidRPr="000C77A2" w:rsidRDefault="00292657" w:rsidP="0037473F">
            <w:pPr>
              <w:keepNext/>
              <w:jc w:val="center"/>
              <w:rPr>
                <w:rFonts w:ascii="Arial Narrow" w:hAnsi="Arial Narrow"/>
                <w:color w:val="333333"/>
                <w:sz w:val="20"/>
                <w:szCs w:val="20"/>
              </w:rPr>
            </w:pPr>
          </w:p>
        </w:tc>
        <w:tc>
          <w:tcPr>
            <w:tcW w:w="7745" w:type="dxa"/>
            <w:gridSpan w:val="6"/>
            <w:vAlign w:val="center"/>
            <w:hideMark/>
          </w:tcPr>
          <w:p w14:paraId="658FE929" w14:textId="77777777" w:rsidR="00292657" w:rsidRPr="000C77A2" w:rsidRDefault="00292657" w:rsidP="0037473F">
            <w:pPr>
              <w:keepNext/>
              <w:rPr>
                <w:rFonts w:ascii="Arial Narrow" w:hAnsi="Arial Narrow"/>
                <w:color w:val="333333"/>
                <w:sz w:val="20"/>
                <w:szCs w:val="20"/>
              </w:rPr>
            </w:pPr>
            <w:r w:rsidRPr="000C77A2">
              <w:rPr>
                <w:rFonts w:ascii="Arial Narrow" w:hAnsi="Arial Narrow"/>
                <w:b/>
                <w:bCs/>
                <w:color w:val="333333"/>
                <w:sz w:val="20"/>
                <w:szCs w:val="20"/>
              </w:rPr>
              <w:t>Treatment criteria:</w:t>
            </w:r>
          </w:p>
        </w:tc>
      </w:tr>
      <w:tr w:rsidR="00292657" w:rsidRPr="000C77A2" w14:paraId="7E32BE29"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32C204" w14:textId="44C66412"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0549E069" w14:textId="77777777" w:rsidR="00292657" w:rsidRPr="000C77A2" w:rsidRDefault="00292657" w:rsidP="0037473F">
            <w:pPr>
              <w:autoSpaceDE w:val="0"/>
              <w:autoSpaceDN w:val="0"/>
              <w:adjustRightInd w:val="0"/>
              <w:rPr>
                <w:rFonts w:ascii="Arial Narrow" w:hAnsi="Arial Narrow" w:cs="Arial Narrow"/>
                <w:sz w:val="20"/>
                <w:szCs w:val="20"/>
              </w:rPr>
            </w:pPr>
            <w:r w:rsidRPr="000C77A2">
              <w:rPr>
                <w:rFonts w:ascii="Arial Narrow" w:hAnsi="Arial Narrow" w:cs="Arial Narrow"/>
                <w:sz w:val="20"/>
                <w:szCs w:val="20"/>
              </w:rPr>
              <w:t xml:space="preserve">Patient must not be undergoing treatment through this Initial treatment phase listing where the patient has developed disease progression while receiving this drug for this condition, </w:t>
            </w:r>
          </w:p>
        </w:tc>
      </w:tr>
      <w:tr w:rsidR="00292657" w:rsidRPr="000C77A2" w14:paraId="12FA6269"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B61690"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138C9344" w14:textId="77777777" w:rsidR="00292657" w:rsidRPr="000C77A2" w:rsidRDefault="00292657" w:rsidP="0037473F">
            <w:pPr>
              <w:autoSpaceDE w:val="0"/>
              <w:autoSpaceDN w:val="0"/>
              <w:adjustRightInd w:val="0"/>
              <w:rPr>
                <w:rFonts w:ascii="Arial Narrow" w:hAnsi="Arial Narrow" w:cs="Arial Narrow"/>
                <w:sz w:val="20"/>
                <w:szCs w:val="20"/>
              </w:rPr>
            </w:pPr>
            <w:r w:rsidRPr="000C77A2">
              <w:rPr>
                <w:rFonts w:ascii="Arial Narrow" w:hAnsi="Arial Narrow"/>
                <w:b/>
                <w:bCs/>
                <w:color w:val="333333"/>
                <w:sz w:val="20"/>
                <w:szCs w:val="20"/>
              </w:rPr>
              <w:t>AND</w:t>
            </w:r>
          </w:p>
        </w:tc>
      </w:tr>
      <w:tr w:rsidR="00292657" w:rsidRPr="000C77A2" w14:paraId="5D1FC25B"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A9E0D4B"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0C70C41A"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Treatment criteria:</w:t>
            </w:r>
          </w:p>
        </w:tc>
      </w:tr>
      <w:tr w:rsidR="00292657" w:rsidRPr="000C77A2" w14:paraId="25606F9F"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66FFDA5" w14:textId="09F9E1CE"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31625B97"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Patient must not receive more than 3 months of treatment under this restriction</w:t>
            </w:r>
          </w:p>
        </w:tc>
      </w:tr>
      <w:tr w:rsidR="00292657" w:rsidRPr="000C77A2" w14:paraId="569BF596"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FA6F056" w14:textId="52585874"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425F21AE"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Population criteria:</w:t>
            </w:r>
          </w:p>
        </w:tc>
      </w:tr>
      <w:tr w:rsidR="00292657" w:rsidRPr="000C77A2" w14:paraId="56B23514"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29727B" w14:textId="224631F5"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29199D3F"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Patient must be at least 18 years of age. </w:t>
            </w:r>
          </w:p>
        </w:tc>
      </w:tr>
      <w:tr w:rsidR="00292657" w:rsidRPr="000C77A2" w14:paraId="31A23AF6" w14:textId="77777777" w:rsidTr="00560AEC">
        <w:tblPrEx>
          <w:tblCellMar>
            <w:top w:w="15" w:type="dxa"/>
            <w:bottom w:w="15" w:type="dxa"/>
          </w:tblCellMar>
        </w:tblPrEx>
        <w:trPr>
          <w:cantSplit/>
          <w:trHeight w:val="20"/>
        </w:trPr>
        <w:tc>
          <w:tcPr>
            <w:tcW w:w="1271" w:type="dxa"/>
            <w:gridSpan w:val="2"/>
            <w:vAlign w:val="center"/>
          </w:tcPr>
          <w:p w14:paraId="7AEF6EA1" w14:textId="212B80E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4E740B4D" w14:textId="77777777" w:rsidR="00292657" w:rsidRPr="000C77A2" w:rsidRDefault="00292657" w:rsidP="0037473F">
            <w:pPr>
              <w:rPr>
                <w:rFonts w:ascii="Arial Narrow" w:hAnsi="Arial Narrow"/>
                <w:bCs/>
                <w:color w:val="FF0000"/>
                <w:sz w:val="20"/>
                <w:szCs w:val="20"/>
              </w:rPr>
            </w:pPr>
            <w:r w:rsidRPr="000C77A2">
              <w:rPr>
                <w:rFonts w:ascii="Arial Narrow" w:hAnsi="Arial Narrow"/>
                <w:b/>
                <w:bCs/>
                <w:color w:val="333333"/>
                <w:sz w:val="20"/>
                <w:szCs w:val="20"/>
              </w:rPr>
              <w:t xml:space="preserve">Prescribing Instructions: </w:t>
            </w:r>
          </w:p>
          <w:p w14:paraId="54E269B4" w14:textId="77777777" w:rsidR="00292657" w:rsidRPr="000C77A2" w:rsidRDefault="00292657" w:rsidP="0037473F">
            <w:pPr>
              <w:rPr>
                <w:rFonts w:ascii="Arial Narrow" w:hAnsi="Arial Narrow"/>
                <w:bCs/>
                <w:sz w:val="20"/>
                <w:szCs w:val="20"/>
              </w:rPr>
            </w:pPr>
            <w:r w:rsidRPr="000C77A2">
              <w:rPr>
                <w:rFonts w:ascii="Arial Narrow" w:hAnsi="Arial Narrow"/>
                <w:bCs/>
                <w:sz w:val="20"/>
                <w:szCs w:val="20"/>
              </w:rPr>
              <w:t>The authority application must be made via the Online PBS Authorities System (real time assessment), or in writing via HPOS form upload or mail, and must include:</w:t>
            </w:r>
          </w:p>
          <w:p w14:paraId="0CFE0B57" w14:textId="77777777" w:rsidR="00292657" w:rsidRPr="000C77A2" w:rsidRDefault="00292657" w:rsidP="0037473F">
            <w:pPr>
              <w:rPr>
                <w:rFonts w:ascii="Arial Narrow" w:hAnsi="Arial Narrow"/>
                <w:sz w:val="20"/>
                <w:szCs w:val="20"/>
              </w:rPr>
            </w:pPr>
            <w:r w:rsidRPr="000C77A2">
              <w:rPr>
                <w:rFonts w:ascii="Arial Narrow" w:hAnsi="Arial Narrow"/>
                <w:bCs/>
                <w:sz w:val="20"/>
                <w:szCs w:val="20"/>
              </w:rPr>
              <w:t>(</w:t>
            </w:r>
            <w:r w:rsidRPr="000C77A2">
              <w:rPr>
                <w:rFonts w:ascii="Arial Narrow" w:hAnsi="Arial Narrow"/>
                <w:sz w:val="20"/>
                <w:szCs w:val="20"/>
              </w:rPr>
              <w:t xml:space="preserve">a) details of the pathology report substantiating the positive NTRK gene fusion. The recency of the pathology report may be of any date. </w:t>
            </w:r>
          </w:p>
          <w:p w14:paraId="0905C022" w14:textId="3A601948" w:rsidR="00292657" w:rsidRPr="000C77A2" w:rsidRDefault="00292657" w:rsidP="0037473F">
            <w:pPr>
              <w:rPr>
                <w:rFonts w:ascii="Arial Narrow" w:hAnsi="Arial Narrow"/>
                <w:sz w:val="20"/>
                <w:szCs w:val="20"/>
              </w:rPr>
            </w:pPr>
            <w:r w:rsidRPr="000C77A2">
              <w:rPr>
                <w:rFonts w:ascii="Arial Narrow" w:hAnsi="Arial Narrow"/>
                <w:sz w:val="20"/>
                <w:szCs w:val="20"/>
              </w:rPr>
              <w:t>(b) details of the pathology report establishing the carcinoma type (non-small cell lung cancer</w:t>
            </w:r>
            <w:r w:rsidR="00FD5D25">
              <w:rPr>
                <w:rFonts w:ascii="Arial Narrow" w:hAnsi="Arial Narrow"/>
                <w:sz w:val="20"/>
                <w:szCs w:val="20"/>
              </w:rPr>
              <w:t xml:space="preserve">, </w:t>
            </w:r>
            <w:r w:rsidRPr="000C77A2">
              <w:rPr>
                <w:rFonts w:ascii="Arial Narrow" w:hAnsi="Arial Narrow"/>
                <w:sz w:val="20"/>
                <w:szCs w:val="20"/>
              </w:rPr>
              <w:t>soft tissue sarcoma</w:t>
            </w:r>
            <w:r w:rsidR="00FD5D25">
              <w:rPr>
                <w:rFonts w:ascii="Arial Narrow" w:hAnsi="Arial Narrow"/>
                <w:sz w:val="20"/>
                <w:szCs w:val="20"/>
              </w:rPr>
              <w:t xml:space="preserve"> or either glioma/ glioneuronal tumour/ glioblastoma</w:t>
            </w:r>
            <w:r w:rsidRPr="000C77A2">
              <w:rPr>
                <w:rFonts w:ascii="Arial Narrow" w:hAnsi="Arial Narrow"/>
                <w:sz w:val="20"/>
                <w:szCs w:val="20"/>
              </w:rPr>
              <w:t>) being treated, if different to the pathology report provided to substantiate the NTRK gene fusion.</w:t>
            </w:r>
          </w:p>
          <w:p w14:paraId="3CA87C51" w14:textId="77777777" w:rsidR="00292657" w:rsidRPr="000C77A2" w:rsidRDefault="00292657" w:rsidP="0037473F">
            <w:pPr>
              <w:rPr>
                <w:rFonts w:ascii="Arial Narrow" w:hAnsi="Arial Narrow"/>
                <w:sz w:val="20"/>
                <w:szCs w:val="20"/>
              </w:rPr>
            </w:pPr>
            <w:r w:rsidRPr="000C77A2">
              <w:rPr>
                <w:rFonts w:ascii="Arial Narrow" w:hAnsi="Arial Narrow"/>
                <w:sz w:val="20"/>
                <w:szCs w:val="20"/>
              </w:rPr>
              <w:t>(c) details of prior systemic treatment for this disease or details of the condition that predisposes the patient to an unacceptable risk of intolerance to other systemic therapies.</w:t>
            </w:r>
          </w:p>
          <w:p w14:paraId="26B61076" w14:textId="77777777" w:rsidR="00292657" w:rsidRPr="000C77A2" w:rsidRDefault="00292657" w:rsidP="0037473F">
            <w:pPr>
              <w:rPr>
                <w:rFonts w:ascii="Arial Narrow" w:hAnsi="Arial Narrow"/>
                <w:i/>
                <w:iCs/>
                <w:sz w:val="20"/>
                <w:szCs w:val="20"/>
              </w:rPr>
            </w:pPr>
            <w:r w:rsidRPr="000C77A2">
              <w:rPr>
                <w:rFonts w:ascii="Arial Narrow" w:hAnsi="Arial Narrow"/>
                <w:sz w:val="20"/>
                <w:szCs w:val="20"/>
              </w:rPr>
              <w:t>All reports must be documented in the patient’s medical records.</w:t>
            </w:r>
            <w:r w:rsidRPr="000C77A2">
              <w:rPr>
                <w:rFonts w:ascii="Arial Narrow" w:hAnsi="Arial Narrow"/>
                <w:i/>
                <w:iCs/>
                <w:sz w:val="20"/>
                <w:szCs w:val="20"/>
              </w:rPr>
              <w:t xml:space="preserve"> </w:t>
            </w:r>
          </w:p>
        </w:tc>
      </w:tr>
      <w:tr w:rsidR="00292657" w:rsidRPr="000C77A2" w14:paraId="5F9BC49A" w14:textId="77777777" w:rsidTr="0037473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BCBCC5" w14:textId="1CFCE22E"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5EA29D64" w14:textId="77777777" w:rsidR="00292657" w:rsidRPr="000C77A2" w:rsidRDefault="00292657" w:rsidP="0037473F">
            <w:pPr>
              <w:rPr>
                <w:rFonts w:ascii="Arial Narrow" w:hAnsi="Arial Narrow"/>
                <w:bCs/>
                <w:color w:val="FF0000"/>
                <w:sz w:val="20"/>
                <w:szCs w:val="20"/>
              </w:rPr>
            </w:pPr>
            <w:r w:rsidRPr="000C77A2">
              <w:rPr>
                <w:rFonts w:ascii="Arial Narrow" w:hAnsi="Arial Narrow"/>
                <w:b/>
                <w:bCs/>
                <w:color w:val="333333"/>
                <w:sz w:val="20"/>
                <w:szCs w:val="20"/>
              </w:rPr>
              <w:t xml:space="preserve">Prescribing Instructions: </w:t>
            </w:r>
          </w:p>
          <w:p w14:paraId="1F7CFEA4"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If the application is submitted through HPOS upload or mail, it must include:</w:t>
            </w:r>
          </w:p>
          <w:p w14:paraId="19418FFB"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 xml:space="preserve">(i) a completed authority prescription form; and </w:t>
            </w:r>
          </w:p>
          <w:p w14:paraId="033D3EB8" w14:textId="77777777" w:rsidR="00292657" w:rsidRPr="000C77A2" w:rsidRDefault="00292657" w:rsidP="0037473F">
            <w:pPr>
              <w:rPr>
                <w:rFonts w:ascii="Arial Narrow" w:hAnsi="Arial Narrow"/>
                <w:i/>
                <w:iCs/>
                <w:sz w:val="20"/>
                <w:szCs w:val="20"/>
              </w:rPr>
            </w:pPr>
            <w:r w:rsidRPr="000C77A2">
              <w:rPr>
                <w:rFonts w:ascii="Arial Narrow" w:hAnsi="Arial Narrow"/>
                <w:sz w:val="20"/>
                <w:szCs w:val="20"/>
              </w:rPr>
              <w:t>(ii) a completed authority application form relevant to the indication and treatment phase (the latest version is located on the website specified in the Administrative Advice).</w:t>
            </w:r>
            <w:r w:rsidRPr="000C77A2">
              <w:rPr>
                <w:rFonts w:ascii="Arial Narrow" w:hAnsi="Arial Narrow"/>
                <w:i/>
                <w:iCs/>
                <w:sz w:val="20"/>
                <w:szCs w:val="20"/>
              </w:rPr>
              <w:t xml:space="preserve"> </w:t>
            </w:r>
          </w:p>
        </w:tc>
      </w:tr>
    </w:tbl>
    <w:p w14:paraId="75D224C8" w14:textId="77777777" w:rsidR="00292657" w:rsidRPr="000C77A2" w:rsidRDefault="00292657" w:rsidP="00292657">
      <w:pPr>
        <w:rPr>
          <w:rFonts w:ascii="Arial Narrow" w:eastAsia="Calibri" w:hAnsi="Arial Narrow"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292657" w:rsidRPr="000C77A2" w14:paraId="21FA5FB2" w14:textId="77777777" w:rsidTr="00AB25B7">
        <w:trPr>
          <w:cantSplit/>
          <w:trHeight w:val="20"/>
        </w:trPr>
        <w:tc>
          <w:tcPr>
            <w:tcW w:w="3940" w:type="dxa"/>
            <w:gridSpan w:val="3"/>
            <w:vAlign w:val="center"/>
          </w:tcPr>
          <w:p w14:paraId="19D9FF86" w14:textId="77777777" w:rsidR="00292657" w:rsidRPr="000C77A2" w:rsidRDefault="00292657" w:rsidP="0037473F">
            <w:pPr>
              <w:keepNext/>
              <w:keepLines/>
              <w:rPr>
                <w:rFonts w:ascii="Arial Narrow" w:hAnsi="Arial Narrow"/>
                <w:b/>
                <w:bCs/>
                <w:sz w:val="20"/>
                <w:szCs w:val="20"/>
              </w:rPr>
            </w:pPr>
            <w:r w:rsidRPr="000C77A2">
              <w:rPr>
                <w:rFonts w:ascii="Arial Narrow" w:hAnsi="Arial Narrow"/>
                <w:b/>
                <w:bCs/>
                <w:sz w:val="20"/>
                <w:szCs w:val="20"/>
              </w:rPr>
              <w:t>MEDICINAL PRODUCT</w:t>
            </w:r>
          </w:p>
          <w:p w14:paraId="5B2C7CB0" w14:textId="77777777" w:rsidR="00292657" w:rsidRPr="000C77A2" w:rsidRDefault="00292657" w:rsidP="0037473F">
            <w:pPr>
              <w:keepNext/>
              <w:keepLines/>
              <w:rPr>
                <w:rFonts w:ascii="Arial Narrow" w:hAnsi="Arial Narrow"/>
                <w:b/>
                <w:sz w:val="20"/>
                <w:szCs w:val="20"/>
              </w:rPr>
            </w:pPr>
            <w:r w:rsidRPr="000C77A2">
              <w:rPr>
                <w:rFonts w:ascii="Arial Narrow" w:hAnsi="Arial Narrow"/>
                <w:b/>
                <w:bCs/>
                <w:sz w:val="20"/>
                <w:szCs w:val="20"/>
              </w:rPr>
              <w:t>medicinal product pack</w:t>
            </w:r>
          </w:p>
        </w:tc>
        <w:tc>
          <w:tcPr>
            <w:tcW w:w="811" w:type="dxa"/>
            <w:vAlign w:val="center"/>
          </w:tcPr>
          <w:p w14:paraId="54B850F1" w14:textId="77777777" w:rsidR="00292657" w:rsidRPr="000C77A2" w:rsidRDefault="00292657" w:rsidP="0037473F">
            <w:pPr>
              <w:keepNext/>
              <w:keepLines/>
              <w:jc w:val="center"/>
              <w:rPr>
                <w:rFonts w:ascii="Arial Narrow" w:hAnsi="Arial Narrow"/>
                <w:b/>
                <w:sz w:val="20"/>
                <w:szCs w:val="20"/>
              </w:rPr>
            </w:pPr>
            <w:r w:rsidRPr="000C77A2">
              <w:rPr>
                <w:rFonts w:ascii="Arial Narrow" w:hAnsi="Arial Narrow"/>
                <w:b/>
                <w:sz w:val="20"/>
                <w:szCs w:val="20"/>
              </w:rPr>
              <w:t>PBS item code</w:t>
            </w:r>
          </w:p>
        </w:tc>
        <w:tc>
          <w:tcPr>
            <w:tcW w:w="812" w:type="dxa"/>
            <w:vAlign w:val="center"/>
          </w:tcPr>
          <w:p w14:paraId="3E0601B2" w14:textId="77777777" w:rsidR="00292657" w:rsidRPr="000C77A2" w:rsidRDefault="00292657" w:rsidP="0037473F">
            <w:pPr>
              <w:keepNext/>
              <w:keepLines/>
              <w:jc w:val="center"/>
              <w:rPr>
                <w:rFonts w:ascii="Arial Narrow" w:hAnsi="Arial Narrow"/>
                <w:b/>
                <w:sz w:val="20"/>
                <w:szCs w:val="20"/>
              </w:rPr>
            </w:pPr>
            <w:r w:rsidRPr="000C77A2">
              <w:rPr>
                <w:rFonts w:ascii="Arial Narrow" w:hAnsi="Arial Narrow"/>
                <w:b/>
                <w:sz w:val="20"/>
                <w:szCs w:val="20"/>
              </w:rPr>
              <w:t>Max. qty packs</w:t>
            </w:r>
          </w:p>
        </w:tc>
        <w:tc>
          <w:tcPr>
            <w:tcW w:w="811" w:type="dxa"/>
            <w:vAlign w:val="center"/>
          </w:tcPr>
          <w:p w14:paraId="077BE2D5" w14:textId="77777777" w:rsidR="00292657" w:rsidRPr="000C77A2" w:rsidRDefault="00292657" w:rsidP="0037473F">
            <w:pPr>
              <w:keepNext/>
              <w:keepLines/>
              <w:jc w:val="center"/>
              <w:rPr>
                <w:rFonts w:ascii="Arial Narrow" w:hAnsi="Arial Narrow"/>
                <w:b/>
                <w:sz w:val="20"/>
                <w:szCs w:val="20"/>
              </w:rPr>
            </w:pPr>
            <w:r w:rsidRPr="000C77A2">
              <w:rPr>
                <w:rFonts w:ascii="Arial Narrow" w:hAnsi="Arial Narrow"/>
                <w:b/>
                <w:sz w:val="20"/>
                <w:szCs w:val="20"/>
              </w:rPr>
              <w:t>Max. qty units</w:t>
            </w:r>
          </w:p>
        </w:tc>
        <w:tc>
          <w:tcPr>
            <w:tcW w:w="812" w:type="dxa"/>
            <w:vAlign w:val="center"/>
          </w:tcPr>
          <w:p w14:paraId="36B9BEB3" w14:textId="77777777" w:rsidR="00292657" w:rsidRPr="000C77A2" w:rsidRDefault="00292657" w:rsidP="0037473F">
            <w:pPr>
              <w:keepNext/>
              <w:keepLines/>
              <w:jc w:val="center"/>
              <w:rPr>
                <w:rFonts w:ascii="Arial Narrow" w:hAnsi="Arial Narrow"/>
                <w:b/>
                <w:sz w:val="20"/>
                <w:szCs w:val="20"/>
              </w:rPr>
            </w:pPr>
            <w:r w:rsidRPr="000C77A2">
              <w:rPr>
                <w:rFonts w:ascii="Arial Narrow" w:hAnsi="Arial Narrow"/>
                <w:b/>
                <w:sz w:val="20"/>
                <w:szCs w:val="20"/>
              </w:rPr>
              <w:t>№.of</w:t>
            </w:r>
          </w:p>
          <w:p w14:paraId="0ED5B125" w14:textId="77777777" w:rsidR="00292657" w:rsidRPr="000C77A2" w:rsidRDefault="00292657" w:rsidP="0037473F">
            <w:pPr>
              <w:keepNext/>
              <w:keepLines/>
              <w:jc w:val="center"/>
              <w:rPr>
                <w:rFonts w:ascii="Arial Narrow" w:hAnsi="Arial Narrow"/>
                <w:b/>
                <w:sz w:val="20"/>
                <w:szCs w:val="20"/>
              </w:rPr>
            </w:pPr>
            <w:r w:rsidRPr="000C77A2">
              <w:rPr>
                <w:rFonts w:ascii="Arial Narrow" w:hAnsi="Arial Narrow"/>
                <w:b/>
                <w:sz w:val="20"/>
                <w:szCs w:val="20"/>
              </w:rPr>
              <w:t>Rpts</w:t>
            </w:r>
          </w:p>
        </w:tc>
        <w:tc>
          <w:tcPr>
            <w:tcW w:w="1831" w:type="dxa"/>
            <w:vAlign w:val="center"/>
          </w:tcPr>
          <w:p w14:paraId="36F9A34C" w14:textId="77777777" w:rsidR="00292657" w:rsidRPr="00576FA3" w:rsidRDefault="00292657" w:rsidP="0037473F">
            <w:pPr>
              <w:keepNext/>
              <w:keepLines/>
              <w:rPr>
                <w:rFonts w:ascii="Arial Narrow" w:hAnsi="Arial Narrow"/>
                <w:b/>
                <w:sz w:val="20"/>
                <w:szCs w:val="20"/>
              </w:rPr>
            </w:pPr>
            <w:r w:rsidRPr="000C77A2">
              <w:rPr>
                <w:rFonts w:ascii="Arial Narrow" w:hAnsi="Arial Narrow"/>
                <w:b/>
                <w:sz w:val="20"/>
                <w:szCs w:val="20"/>
              </w:rPr>
              <w:t>Available brands</w:t>
            </w:r>
          </w:p>
        </w:tc>
      </w:tr>
      <w:tr w:rsidR="00292657" w:rsidRPr="000C77A2" w14:paraId="3A0F4E74" w14:textId="77777777" w:rsidTr="00AB25B7">
        <w:trPr>
          <w:cantSplit/>
          <w:trHeight w:val="20"/>
        </w:trPr>
        <w:tc>
          <w:tcPr>
            <w:tcW w:w="9017" w:type="dxa"/>
            <w:gridSpan w:val="8"/>
            <w:vAlign w:val="center"/>
          </w:tcPr>
          <w:p w14:paraId="1D35F546" w14:textId="22F4E28E" w:rsidR="00292657" w:rsidRPr="000C77A2" w:rsidRDefault="00292657" w:rsidP="0037473F">
            <w:pPr>
              <w:keepNext/>
              <w:keepLines/>
              <w:rPr>
                <w:rFonts w:ascii="Arial Narrow" w:hAnsi="Arial Narrow"/>
                <w:sz w:val="20"/>
                <w:szCs w:val="20"/>
              </w:rPr>
            </w:pPr>
            <w:r w:rsidRPr="000C77A2">
              <w:rPr>
                <w:rFonts w:ascii="Arial Narrow" w:hAnsi="Arial Narrow"/>
                <w:sz w:val="20"/>
                <w:szCs w:val="20"/>
              </w:rPr>
              <w:t xml:space="preserve">LAROTRECTINIB </w:t>
            </w:r>
          </w:p>
        </w:tc>
      </w:tr>
      <w:tr w:rsidR="00292657" w:rsidRPr="000C77A2" w14:paraId="2D2EC7C0" w14:textId="77777777" w:rsidTr="00AB25B7">
        <w:trPr>
          <w:cantSplit/>
          <w:trHeight w:val="20"/>
        </w:trPr>
        <w:tc>
          <w:tcPr>
            <w:tcW w:w="3940" w:type="dxa"/>
            <w:gridSpan w:val="3"/>
            <w:vAlign w:val="center"/>
          </w:tcPr>
          <w:p w14:paraId="784191AD" w14:textId="77777777" w:rsidR="00292657" w:rsidRPr="000C77A2" w:rsidRDefault="00292657" w:rsidP="0037473F">
            <w:pPr>
              <w:keepNext/>
              <w:keepLines/>
              <w:rPr>
                <w:rFonts w:ascii="Arial Narrow" w:hAnsi="Arial Narrow"/>
                <w:sz w:val="20"/>
                <w:szCs w:val="20"/>
              </w:rPr>
            </w:pPr>
            <w:r w:rsidRPr="000C77A2">
              <w:rPr>
                <w:rFonts w:ascii="Arial Narrow" w:hAnsi="Arial Narrow"/>
                <w:sz w:val="20"/>
                <w:szCs w:val="20"/>
              </w:rPr>
              <w:t>larotrectinib 25 mg capsule, 56</w:t>
            </w:r>
          </w:p>
        </w:tc>
        <w:tc>
          <w:tcPr>
            <w:tcW w:w="811" w:type="dxa"/>
            <w:vAlign w:val="center"/>
          </w:tcPr>
          <w:p w14:paraId="067E9C60"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NEW</w:t>
            </w:r>
          </w:p>
        </w:tc>
        <w:tc>
          <w:tcPr>
            <w:tcW w:w="812" w:type="dxa"/>
            <w:vAlign w:val="center"/>
          </w:tcPr>
          <w:p w14:paraId="4241D289"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1</w:t>
            </w:r>
          </w:p>
        </w:tc>
        <w:tc>
          <w:tcPr>
            <w:tcW w:w="811" w:type="dxa"/>
            <w:vAlign w:val="center"/>
          </w:tcPr>
          <w:p w14:paraId="7236AC6E"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56</w:t>
            </w:r>
          </w:p>
        </w:tc>
        <w:tc>
          <w:tcPr>
            <w:tcW w:w="812" w:type="dxa"/>
            <w:vAlign w:val="center"/>
          </w:tcPr>
          <w:p w14:paraId="3681EFEC"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5</w:t>
            </w:r>
          </w:p>
        </w:tc>
        <w:tc>
          <w:tcPr>
            <w:tcW w:w="1831" w:type="dxa"/>
            <w:vAlign w:val="center"/>
          </w:tcPr>
          <w:p w14:paraId="31DE033B" w14:textId="13B6A0B9" w:rsidR="00292657" w:rsidRPr="000C77A2" w:rsidRDefault="00FD5D25" w:rsidP="0037473F">
            <w:pPr>
              <w:keepNext/>
              <w:keepLines/>
              <w:rPr>
                <w:rFonts w:ascii="Arial Narrow" w:hAnsi="Arial Narrow"/>
                <w:sz w:val="20"/>
                <w:szCs w:val="20"/>
              </w:rPr>
            </w:pPr>
            <w:r>
              <w:rPr>
                <w:rFonts w:ascii="Arial Narrow" w:hAnsi="Arial Narrow"/>
                <w:sz w:val="20"/>
                <w:szCs w:val="20"/>
              </w:rPr>
              <w:t>V</w:t>
            </w:r>
            <w:r w:rsidR="00292657" w:rsidRPr="000C77A2">
              <w:rPr>
                <w:rFonts w:ascii="Arial Narrow" w:hAnsi="Arial Narrow"/>
                <w:sz w:val="20"/>
                <w:szCs w:val="20"/>
              </w:rPr>
              <w:t>itrakvi</w:t>
            </w:r>
          </w:p>
        </w:tc>
      </w:tr>
      <w:tr w:rsidR="00292657" w:rsidRPr="000C77A2" w14:paraId="5768296C" w14:textId="77777777" w:rsidTr="00AB25B7">
        <w:trPr>
          <w:cantSplit/>
          <w:trHeight w:val="20"/>
        </w:trPr>
        <w:tc>
          <w:tcPr>
            <w:tcW w:w="3940" w:type="dxa"/>
            <w:gridSpan w:val="3"/>
            <w:vAlign w:val="center"/>
          </w:tcPr>
          <w:p w14:paraId="76B1D801" w14:textId="77777777" w:rsidR="00292657" w:rsidRPr="000C77A2" w:rsidRDefault="00292657" w:rsidP="0037473F">
            <w:pPr>
              <w:keepNext/>
              <w:keepLines/>
              <w:rPr>
                <w:rFonts w:ascii="Arial Narrow" w:hAnsi="Arial Narrow"/>
                <w:sz w:val="20"/>
                <w:szCs w:val="20"/>
              </w:rPr>
            </w:pPr>
            <w:r w:rsidRPr="000C77A2">
              <w:rPr>
                <w:rFonts w:ascii="Arial Narrow" w:hAnsi="Arial Narrow"/>
                <w:sz w:val="20"/>
                <w:szCs w:val="20"/>
              </w:rPr>
              <w:t>larotrectinib 100 mg capsule, 56</w:t>
            </w:r>
          </w:p>
        </w:tc>
        <w:tc>
          <w:tcPr>
            <w:tcW w:w="811" w:type="dxa"/>
            <w:vAlign w:val="center"/>
          </w:tcPr>
          <w:p w14:paraId="1FB8949A"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NEW</w:t>
            </w:r>
          </w:p>
        </w:tc>
        <w:tc>
          <w:tcPr>
            <w:tcW w:w="812" w:type="dxa"/>
            <w:vAlign w:val="center"/>
          </w:tcPr>
          <w:p w14:paraId="0729A3B4"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1</w:t>
            </w:r>
          </w:p>
        </w:tc>
        <w:tc>
          <w:tcPr>
            <w:tcW w:w="811" w:type="dxa"/>
            <w:vAlign w:val="center"/>
          </w:tcPr>
          <w:p w14:paraId="6379D601"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56</w:t>
            </w:r>
          </w:p>
        </w:tc>
        <w:tc>
          <w:tcPr>
            <w:tcW w:w="812" w:type="dxa"/>
            <w:vAlign w:val="center"/>
          </w:tcPr>
          <w:p w14:paraId="5413C53F"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5</w:t>
            </w:r>
          </w:p>
        </w:tc>
        <w:tc>
          <w:tcPr>
            <w:tcW w:w="1831" w:type="dxa"/>
            <w:vAlign w:val="center"/>
          </w:tcPr>
          <w:p w14:paraId="1582D669" w14:textId="60408A35" w:rsidR="00292657" w:rsidRPr="000C77A2" w:rsidRDefault="00FD5D25" w:rsidP="0037473F">
            <w:pPr>
              <w:keepNext/>
              <w:keepLines/>
              <w:rPr>
                <w:rFonts w:ascii="Arial Narrow" w:hAnsi="Arial Narrow"/>
                <w:sz w:val="20"/>
                <w:szCs w:val="20"/>
              </w:rPr>
            </w:pPr>
            <w:r>
              <w:rPr>
                <w:rFonts w:ascii="Arial Narrow" w:hAnsi="Arial Narrow"/>
                <w:sz w:val="20"/>
                <w:szCs w:val="20"/>
              </w:rPr>
              <w:t>V</w:t>
            </w:r>
            <w:r w:rsidR="00292657" w:rsidRPr="000C77A2">
              <w:rPr>
                <w:rFonts w:ascii="Arial Narrow" w:hAnsi="Arial Narrow"/>
                <w:sz w:val="20"/>
                <w:szCs w:val="20"/>
              </w:rPr>
              <w:t>itrakvi</w:t>
            </w:r>
          </w:p>
        </w:tc>
      </w:tr>
      <w:tr w:rsidR="00292657" w:rsidRPr="000C77A2" w14:paraId="06A228C2" w14:textId="77777777" w:rsidTr="00AB25B7">
        <w:trPr>
          <w:cantSplit/>
          <w:trHeight w:val="20"/>
        </w:trPr>
        <w:tc>
          <w:tcPr>
            <w:tcW w:w="3940" w:type="dxa"/>
            <w:gridSpan w:val="3"/>
            <w:vAlign w:val="center"/>
          </w:tcPr>
          <w:p w14:paraId="520A05AD" w14:textId="77777777" w:rsidR="00292657" w:rsidRPr="000C77A2" w:rsidRDefault="00292657" w:rsidP="0037473F">
            <w:pPr>
              <w:keepNext/>
              <w:keepLines/>
              <w:tabs>
                <w:tab w:val="left" w:pos="1077"/>
              </w:tabs>
              <w:rPr>
                <w:rFonts w:ascii="Arial Narrow" w:hAnsi="Arial Narrow"/>
                <w:color w:val="FF0000"/>
                <w:sz w:val="20"/>
                <w:szCs w:val="20"/>
              </w:rPr>
            </w:pPr>
            <w:r w:rsidRPr="000C77A2">
              <w:rPr>
                <w:rFonts w:ascii="Arial Narrow" w:hAnsi="Arial Narrow"/>
                <w:sz w:val="20"/>
                <w:szCs w:val="20"/>
              </w:rPr>
              <w:t xml:space="preserve">larotrectinib 20 mg/mL oral liquid, 2 x 50 mL </w:t>
            </w:r>
          </w:p>
        </w:tc>
        <w:tc>
          <w:tcPr>
            <w:tcW w:w="811" w:type="dxa"/>
            <w:vAlign w:val="center"/>
          </w:tcPr>
          <w:p w14:paraId="658897D6"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NEW</w:t>
            </w:r>
          </w:p>
        </w:tc>
        <w:tc>
          <w:tcPr>
            <w:tcW w:w="812" w:type="dxa"/>
            <w:vAlign w:val="center"/>
          </w:tcPr>
          <w:p w14:paraId="4435CC5A"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1</w:t>
            </w:r>
          </w:p>
        </w:tc>
        <w:tc>
          <w:tcPr>
            <w:tcW w:w="811" w:type="dxa"/>
            <w:vAlign w:val="center"/>
          </w:tcPr>
          <w:p w14:paraId="5EED69D7" w14:textId="60BF5C53" w:rsidR="00292657" w:rsidRPr="000C77A2" w:rsidRDefault="00FD5D25" w:rsidP="0037473F">
            <w:pPr>
              <w:keepNext/>
              <w:keepLines/>
              <w:jc w:val="center"/>
              <w:rPr>
                <w:rFonts w:ascii="Arial Narrow" w:hAnsi="Arial Narrow"/>
                <w:i/>
                <w:iCs/>
                <w:sz w:val="20"/>
                <w:szCs w:val="20"/>
              </w:rPr>
            </w:pPr>
            <w:r w:rsidRPr="00D84194">
              <w:rPr>
                <w:rFonts w:ascii="Arial Narrow" w:hAnsi="Arial Narrow"/>
                <w:sz w:val="20"/>
                <w:szCs w:val="20"/>
              </w:rPr>
              <w:t>1</w:t>
            </w:r>
          </w:p>
        </w:tc>
        <w:tc>
          <w:tcPr>
            <w:tcW w:w="812" w:type="dxa"/>
            <w:vAlign w:val="center"/>
          </w:tcPr>
          <w:p w14:paraId="55025271" w14:textId="77777777" w:rsidR="00292657" w:rsidRPr="000C77A2" w:rsidRDefault="00292657" w:rsidP="0037473F">
            <w:pPr>
              <w:keepNext/>
              <w:keepLines/>
              <w:jc w:val="center"/>
              <w:rPr>
                <w:rFonts w:ascii="Arial Narrow" w:hAnsi="Arial Narrow"/>
                <w:sz w:val="20"/>
                <w:szCs w:val="20"/>
              </w:rPr>
            </w:pPr>
            <w:r w:rsidRPr="000C77A2">
              <w:rPr>
                <w:rFonts w:ascii="Arial Narrow" w:hAnsi="Arial Narrow"/>
                <w:sz w:val="20"/>
                <w:szCs w:val="20"/>
              </w:rPr>
              <w:t>5</w:t>
            </w:r>
          </w:p>
        </w:tc>
        <w:tc>
          <w:tcPr>
            <w:tcW w:w="1831" w:type="dxa"/>
            <w:vAlign w:val="center"/>
          </w:tcPr>
          <w:p w14:paraId="5521A41F" w14:textId="2845CF65" w:rsidR="00292657" w:rsidRPr="000C77A2" w:rsidRDefault="00FD5D25" w:rsidP="0037473F">
            <w:pPr>
              <w:keepNext/>
              <w:keepLines/>
              <w:rPr>
                <w:rFonts w:ascii="Arial Narrow" w:hAnsi="Arial Narrow"/>
                <w:sz w:val="20"/>
                <w:szCs w:val="20"/>
              </w:rPr>
            </w:pPr>
            <w:r>
              <w:rPr>
                <w:rFonts w:ascii="Arial Narrow" w:hAnsi="Arial Narrow"/>
                <w:sz w:val="20"/>
                <w:szCs w:val="20"/>
              </w:rPr>
              <w:t>V</w:t>
            </w:r>
            <w:r w:rsidR="00292657" w:rsidRPr="000C77A2">
              <w:rPr>
                <w:rFonts w:ascii="Arial Narrow" w:hAnsi="Arial Narrow"/>
                <w:sz w:val="20"/>
                <w:szCs w:val="20"/>
              </w:rPr>
              <w:t>itrakvi</w:t>
            </w:r>
          </w:p>
        </w:tc>
      </w:tr>
      <w:tr w:rsidR="00292657" w:rsidRPr="000C77A2" w14:paraId="731348B0" w14:textId="77777777" w:rsidTr="00AB25B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160258BF" w14:textId="77777777" w:rsidR="00292657" w:rsidRPr="000C77A2" w:rsidRDefault="00292657" w:rsidP="0037473F">
            <w:pPr>
              <w:rPr>
                <w:rFonts w:ascii="Arial Narrow" w:hAnsi="Arial Narrow"/>
                <w:sz w:val="20"/>
                <w:szCs w:val="20"/>
              </w:rPr>
            </w:pPr>
          </w:p>
        </w:tc>
      </w:tr>
      <w:tr w:rsidR="00292657" w:rsidRPr="000C77A2" w14:paraId="1C287EA4" w14:textId="77777777" w:rsidTr="00AB25B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5D875B5" w14:textId="6FE42DAE" w:rsidR="00292657" w:rsidRPr="000C77A2" w:rsidRDefault="00292657" w:rsidP="0037473F">
            <w:pPr>
              <w:keepLines/>
              <w:rPr>
                <w:rFonts w:ascii="Arial Narrow" w:hAnsi="Arial Narrow"/>
                <w:b/>
                <w:sz w:val="20"/>
                <w:szCs w:val="20"/>
              </w:rPr>
            </w:pPr>
            <w:r w:rsidRPr="000C77A2">
              <w:rPr>
                <w:rFonts w:ascii="Arial Narrow" w:hAnsi="Arial Narrow"/>
                <w:b/>
                <w:sz w:val="20"/>
                <w:szCs w:val="20"/>
              </w:rPr>
              <w:t>Restriction Summary / Treatment of Concept</w:t>
            </w:r>
          </w:p>
        </w:tc>
      </w:tr>
      <w:tr w:rsidR="00292657" w:rsidRPr="000C77A2" w14:paraId="601F4B84" w14:textId="77777777" w:rsidTr="00AB25B7">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588F23E8" w14:textId="26D757D0" w:rsidR="00292657" w:rsidRPr="000C77A2" w:rsidRDefault="00292657" w:rsidP="0037473F">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6615C51" w14:textId="77777777" w:rsidR="00292657" w:rsidRPr="000C77A2" w:rsidRDefault="00292657" w:rsidP="0037473F">
            <w:pPr>
              <w:keepLines/>
              <w:rPr>
                <w:rFonts w:ascii="Arial Narrow" w:hAnsi="Arial Narrow"/>
                <w:sz w:val="20"/>
                <w:szCs w:val="20"/>
              </w:rPr>
            </w:pPr>
            <w:r w:rsidRPr="000C77A2">
              <w:rPr>
                <w:rFonts w:ascii="Arial Narrow" w:hAnsi="Arial Narrow"/>
                <w:b/>
                <w:sz w:val="20"/>
                <w:szCs w:val="20"/>
              </w:rPr>
              <w:t xml:space="preserve">Category / Program: </w:t>
            </w:r>
            <w:r w:rsidRPr="000C77A2">
              <w:rPr>
                <w:rFonts w:ascii="Arial Narrow" w:hAnsi="Arial Narrow"/>
                <w:sz w:val="20"/>
                <w:szCs w:val="20"/>
              </w:rPr>
              <w:t>GENERAL – General Schedule (Code GE)</w:t>
            </w:r>
            <w:r w:rsidRPr="000C77A2">
              <w:rPr>
                <w:rFonts w:ascii="Arial Narrow" w:hAnsi="Arial Narrow"/>
                <w:color w:val="FF0000"/>
                <w:sz w:val="20"/>
                <w:szCs w:val="20"/>
              </w:rPr>
              <w:t xml:space="preserve"> </w:t>
            </w:r>
          </w:p>
        </w:tc>
      </w:tr>
      <w:tr w:rsidR="00292657" w:rsidRPr="000C77A2" w14:paraId="16BB096F" w14:textId="77777777" w:rsidTr="00AB25B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2BA0FAB8" w14:textId="77777777" w:rsidR="00292657" w:rsidRPr="000C77A2" w:rsidRDefault="00292657" w:rsidP="0037473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9BF30AC" w14:textId="77777777" w:rsidR="00292657" w:rsidRPr="000C77A2" w:rsidRDefault="00292657" w:rsidP="0037473F">
            <w:pPr>
              <w:keepLines/>
              <w:rPr>
                <w:rFonts w:ascii="Arial Narrow" w:hAnsi="Arial Narrow"/>
                <w:b/>
                <w:sz w:val="20"/>
                <w:szCs w:val="20"/>
              </w:rPr>
            </w:pPr>
            <w:r w:rsidRPr="000C77A2">
              <w:rPr>
                <w:rFonts w:ascii="Arial Narrow" w:hAnsi="Arial Narrow"/>
                <w:b/>
                <w:sz w:val="20"/>
                <w:szCs w:val="20"/>
              </w:rPr>
              <w:t xml:space="preserve">Prescriber type: </w:t>
            </w:r>
            <w:r w:rsidRPr="000C77A2">
              <w:rPr>
                <w:rFonts w:ascii="Arial Narrow" w:hAnsi="Arial Narrow"/>
                <w:sz w:val="20"/>
                <w:szCs w:val="20"/>
              </w:rPr>
              <w:fldChar w:fldCharType="begin" w:fldLock="1">
                <w:ffData>
                  <w:name w:val=""/>
                  <w:enabled/>
                  <w:calcOnExit w:val="0"/>
                  <w:checkBox>
                    <w:sizeAuto/>
                    <w:default w:val="1"/>
                  </w:checkBox>
                </w:ffData>
              </w:fldChar>
            </w:r>
            <w:r w:rsidRPr="000C77A2">
              <w:rPr>
                <w:rFonts w:ascii="Arial Narrow" w:hAnsi="Arial Narrow"/>
                <w:sz w:val="20"/>
                <w:szCs w:val="20"/>
              </w:rPr>
              <w:instrText xml:space="preserve"> FORMCHECKBOX </w:instrText>
            </w:r>
            <w:r w:rsidR="00C766BB">
              <w:rPr>
                <w:rFonts w:ascii="Arial Narrow" w:hAnsi="Arial Narrow"/>
                <w:sz w:val="20"/>
                <w:szCs w:val="20"/>
              </w:rPr>
            </w:r>
            <w:r w:rsidR="00C766BB">
              <w:rPr>
                <w:rFonts w:ascii="Arial Narrow" w:hAnsi="Arial Narrow"/>
                <w:sz w:val="20"/>
                <w:szCs w:val="20"/>
              </w:rPr>
              <w:fldChar w:fldCharType="separate"/>
            </w:r>
            <w:r w:rsidRPr="000C77A2">
              <w:rPr>
                <w:rFonts w:ascii="Arial Narrow" w:hAnsi="Arial Narrow"/>
                <w:sz w:val="20"/>
                <w:szCs w:val="20"/>
              </w:rPr>
              <w:fldChar w:fldCharType="end"/>
            </w:r>
            <w:r w:rsidRPr="000C77A2">
              <w:rPr>
                <w:rFonts w:ascii="Arial Narrow" w:hAnsi="Arial Narrow"/>
                <w:sz w:val="20"/>
                <w:szCs w:val="20"/>
              </w:rPr>
              <w:t xml:space="preserve">Medical Practitioners </w:t>
            </w:r>
          </w:p>
        </w:tc>
      </w:tr>
      <w:tr w:rsidR="00292657" w:rsidRPr="000C77A2" w14:paraId="15919292" w14:textId="77777777" w:rsidTr="00AB25B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20659DB9" w14:textId="77777777" w:rsidR="00292657" w:rsidRPr="000C77A2" w:rsidRDefault="00292657" w:rsidP="0037473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609719" w14:textId="77777777" w:rsidR="00292657" w:rsidRPr="000C77A2" w:rsidRDefault="00292657" w:rsidP="0037473F">
            <w:pPr>
              <w:keepLines/>
              <w:rPr>
                <w:rFonts w:ascii="Arial Narrow" w:eastAsia="Calibri" w:hAnsi="Arial Narrow"/>
                <w:i/>
                <w:iCs/>
                <w:color w:val="FF0000"/>
                <w:sz w:val="20"/>
                <w:szCs w:val="20"/>
              </w:rPr>
            </w:pPr>
            <w:r w:rsidRPr="000C77A2">
              <w:rPr>
                <w:rFonts w:ascii="Arial Narrow" w:hAnsi="Arial Narrow"/>
                <w:b/>
                <w:sz w:val="20"/>
                <w:szCs w:val="20"/>
              </w:rPr>
              <w:t>Restriction type:</w:t>
            </w:r>
            <w:r w:rsidRPr="000C77A2">
              <w:rPr>
                <w:rFonts w:ascii="Arial Narrow" w:eastAsia="Calibri" w:hAnsi="Arial Narrow"/>
                <w:color w:val="FF0000"/>
                <w:sz w:val="20"/>
                <w:szCs w:val="20"/>
              </w:rPr>
              <w:t xml:space="preserve"> </w:t>
            </w:r>
            <w:r w:rsidRPr="000C77A2">
              <w:rPr>
                <w:rFonts w:ascii="Arial Narrow" w:eastAsia="Calibri" w:hAnsi="Arial Narrow"/>
                <w:sz w:val="20"/>
                <w:szCs w:val="20"/>
              </w:rPr>
              <w:fldChar w:fldCharType="begin" w:fldLock="1">
                <w:ffData>
                  <w:name w:val=""/>
                  <w:enabled/>
                  <w:calcOnExit w:val="0"/>
                  <w:checkBox>
                    <w:sizeAuto/>
                    <w:default w:val="1"/>
                  </w:checkBox>
                </w:ffData>
              </w:fldChar>
            </w:r>
            <w:r w:rsidRPr="000C77A2">
              <w:rPr>
                <w:rFonts w:ascii="Arial Narrow" w:eastAsia="Calibri" w:hAnsi="Arial Narrow"/>
                <w:sz w:val="20"/>
                <w:szCs w:val="20"/>
              </w:rPr>
              <w:instrText xml:space="preserve"> FORMCHECKBOX </w:instrText>
            </w:r>
            <w:r w:rsidR="00C766BB">
              <w:rPr>
                <w:rFonts w:ascii="Arial Narrow" w:eastAsia="Calibri" w:hAnsi="Arial Narrow"/>
                <w:sz w:val="20"/>
                <w:szCs w:val="20"/>
              </w:rPr>
            </w:r>
            <w:r w:rsidR="00C766BB">
              <w:rPr>
                <w:rFonts w:ascii="Arial Narrow" w:eastAsia="Calibri" w:hAnsi="Arial Narrow"/>
                <w:sz w:val="20"/>
                <w:szCs w:val="20"/>
              </w:rPr>
              <w:fldChar w:fldCharType="separate"/>
            </w:r>
            <w:r w:rsidRPr="000C77A2">
              <w:rPr>
                <w:rFonts w:ascii="Arial Narrow" w:eastAsia="Calibri" w:hAnsi="Arial Narrow"/>
                <w:sz w:val="20"/>
                <w:szCs w:val="20"/>
              </w:rPr>
              <w:fldChar w:fldCharType="end"/>
            </w:r>
            <w:r w:rsidRPr="000C77A2">
              <w:rPr>
                <w:rFonts w:ascii="Arial Narrow" w:eastAsia="Calibri" w:hAnsi="Arial Narrow"/>
                <w:sz w:val="20"/>
                <w:szCs w:val="20"/>
              </w:rPr>
              <w:t>Authority Required (Telephone/Electronic)</w:t>
            </w:r>
          </w:p>
        </w:tc>
      </w:tr>
      <w:tr w:rsidR="00292657" w:rsidRPr="000C77A2" w14:paraId="07F15B19" w14:textId="77777777" w:rsidTr="00AB25B7">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0CB0A184" w14:textId="2E50868D" w:rsidR="00292657" w:rsidRPr="000C77A2" w:rsidRDefault="00292657" w:rsidP="0037473F">
            <w:pPr>
              <w:jc w:val="center"/>
              <w:rPr>
                <w:rFonts w:ascii="Arial Narrow" w:hAnsi="Arial Narrow"/>
                <w:sz w:val="20"/>
                <w:szCs w:val="20"/>
              </w:rPr>
            </w:pPr>
          </w:p>
        </w:tc>
        <w:tc>
          <w:tcPr>
            <w:tcW w:w="784" w:type="dxa"/>
            <w:vAlign w:val="center"/>
          </w:tcPr>
          <w:p w14:paraId="6F30FA73" w14:textId="6246ADB5"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45050224"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Administrative Advice:</w:t>
            </w:r>
          </w:p>
          <w:p w14:paraId="6C2FFC5D" w14:textId="77777777" w:rsidR="00292657" w:rsidRPr="000C77A2" w:rsidRDefault="00292657" w:rsidP="0037473F">
            <w:pPr>
              <w:rPr>
                <w:rFonts w:ascii="Arial Narrow" w:hAnsi="Arial Narrow"/>
                <w:color w:val="333333"/>
                <w:sz w:val="20"/>
                <w:szCs w:val="20"/>
              </w:rPr>
            </w:pPr>
            <w:r w:rsidRPr="000C77A2">
              <w:rPr>
                <w:rFonts w:ascii="Arial Narrow" w:hAnsi="Arial Narrow"/>
                <w:sz w:val="20"/>
                <w:szCs w:val="20"/>
              </w:rPr>
              <w:t xml:space="preserve">For a patient who has received non-PBS-subsidised supply of this drug, apply under an ‘Initial treatment’ phase listing </w:t>
            </w:r>
            <w:proofErr w:type="gramStart"/>
            <w:r w:rsidRPr="000C77A2">
              <w:rPr>
                <w:rFonts w:ascii="Arial Narrow" w:hAnsi="Arial Narrow"/>
                <w:sz w:val="20"/>
                <w:szCs w:val="20"/>
              </w:rPr>
              <w:t>provided that</w:t>
            </w:r>
            <w:proofErr w:type="gramEnd"/>
            <w:r w:rsidRPr="000C77A2">
              <w:rPr>
                <w:rFonts w:ascii="Arial Narrow" w:hAnsi="Arial Narrow"/>
                <w:sz w:val="20"/>
                <w:szCs w:val="20"/>
              </w:rPr>
              <w:t xml:space="preserve"> they meet all stated PBS eligibility criteria.</w:t>
            </w:r>
          </w:p>
        </w:tc>
      </w:tr>
      <w:tr w:rsidR="00292657" w:rsidRPr="000C77A2" w14:paraId="6A92CE4C" w14:textId="77777777" w:rsidTr="00AB25B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5140835B" w14:textId="77777777" w:rsidR="00292657" w:rsidRPr="000C77A2" w:rsidRDefault="00292657" w:rsidP="0037473F">
            <w:pPr>
              <w:jc w:val="center"/>
              <w:rPr>
                <w:rFonts w:ascii="Arial Narrow" w:hAnsi="Arial Narrow"/>
                <w:sz w:val="20"/>
                <w:szCs w:val="20"/>
              </w:rPr>
            </w:pPr>
          </w:p>
        </w:tc>
        <w:tc>
          <w:tcPr>
            <w:tcW w:w="784" w:type="dxa"/>
            <w:vAlign w:val="center"/>
          </w:tcPr>
          <w:p w14:paraId="32FC1985" w14:textId="4C82D4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0C6BC688"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1DAC0043" w14:textId="77777777" w:rsidR="00292657" w:rsidRPr="000C77A2" w:rsidRDefault="00292657" w:rsidP="0037473F">
            <w:pPr>
              <w:rPr>
                <w:rFonts w:ascii="Arial Narrow" w:hAnsi="Arial Narrow"/>
                <w:b/>
                <w:bCs/>
                <w:color w:val="333333"/>
                <w:sz w:val="20"/>
                <w:szCs w:val="20"/>
              </w:rPr>
            </w:pPr>
            <w:r w:rsidRPr="000C77A2">
              <w:rPr>
                <w:rFonts w:ascii="Arial Narrow" w:hAnsi="Arial Narrow"/>
                <w:color w:val="333333"/>
                <w:sz w:val="20"/>
                <w:szCs w:val="20"/>
              </w:rPr>
              <w:t>No increase in the maximum number of repeats may be authorised.</w:t>
            </w:r>
          </w:p>
        </w:tc>
      </w:tr>
      <w:tr w:rsidR="00292657" w:rsidRPr="000C77A2" w14:paraId="178AAAEA" w14:textId="77777777" w:rsidTr="00AB25B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1D013026" w14:textId="77777777" w:rsidR="00292657" w:rsidRPr="000C77A2" w:rsidRDefault="00292657" w:rsidP="0037473F">
            <w:pPr>
              <w:rPr>
                <w:rFonts w:ascii="Arial Narrow" w:hAnsi="Arial Narrow"/>
                <w:sz w:val="20"/>
                <w:szCs w:val="20"/>
              </w:rPr>
            </w:pPr>
          </w:p>
        </w:tc>
        <w:tc>
          <w:tcPr>
            <w:tcW w:w="784" w:type="dxa"/>
            <w:vAlign w:val="center"/>
          </w:tcPr>
          <w:p w14:paraId="51A0E2EB" w14:textId="521DBFA8"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242E254B"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19597282" w14:textId="77777777" w:rsidR="00292657" w:rsidRPr="000C77A2" w:rsidRDefault="00292657" w:rsidP="0037473F">
            <w:pPr>
              <w:rPr>
                <w:rFonts w:ascii="Arial Narrow" w:hAnsi="Arial Narrow"/>
                <w:b/>
                <w:bCs/>
                <w:color w:val="333333"/>
                <w:sz w:val="20"/>
                <w:szCs w:val="20"/>
              </w:rPr>
            </w:pPr>
            <w:r w:rsidRPr="000C77A2">
              <w:rPr>
                <w:rFonts w:ascii="Arial Narrow" w:hAnsi="Arial Narrow"/>
                <w:color w:val="333333"/>
                <w:sz w:val="20"/>
                <w:szCs w:val="20"/>
              </w:rPr>
              <w:t>Special Pricing Arrangements apply.</w:t>
            </w:r>
          </w:p>
        </w:tc>
      </w:tr>
      <w:tr w:rsidR="00292657" w:rsidRPr="000C77A2" w14:paraId="2EA4A2D2" w14:textId="77777777" w:rsidTr="00AB25B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bottom w:val="single" w:sz="4" w:space="0" w:color="auto"/>
              <w:right w:val="single" w:sz="4" w:space="0" w:color="auto"/>
            </w:tcBorders>
          </w:tcPr>
          <w:p w14:paraId="3DCB83A3" w14:textId="77777777" w:rsidR="00292657" w:rsidRPr="000C77A2" w:rsidRDefault="00292657" w:rsidP="0037473F">
            <w:pPr>
              <w:rPr>
                <w:rFonts w:ascii="Arial Narrow" w:hAnsi="Arial Narrow"/>
                <w:sz w:val="20"/>
                <w:szCs w:val="20"/>
              </w:rPr>
            </w:pPr>
          </w:p>
        </w:tc>
        <w:tc>
          <w:tcPr>
            <w:tcW w:w="784" w:type="dxa"/>
            <w:vAlign w:val="center"/>
          </w:tcPr>
          <w:p w14:paraId="00FAF864" w14:textId="0EFDEDA4"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3717D451"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Administrative Advice:</w:t>
            </w:r>
          </w:p>
          <w:p w14:paraId="283905EA" w14:textId="77777777" w:rsidR="00292657" w:rsidRPr="000C77A2" w:rsidRDefault="00292657" w:rsidP="0037473F">
            <w:pPr>
              <w:rPr>
                <w:rFonts w:ascii="Arial Narrow" w:hAnsi="Arial Narrow"/>
                <w:b/>
                <w:bCs/>
                <w:color w:val="333333"/>
                <w:sz w:val="20"/>
                <w:szCs w:val="20"/>
              </w:rPr>
            </w:pPr>
            <w:r w:rsidRPr="000C77A2">
              <w:rPr>
                <w:rFonts w:ascii="Arial Narrow" w:hAnsi="Arial Narrow"/>
                <w:color w:val="333333"/>
                <w:sz w:val="20"/>
                <w:szCs w:val="20"/>
              </w:rPr>
              <w:t xml:space="preserve">Applications for authorisation under this restriction may be made in real time using the Online PBS Authorities system (see </w:t>
            </w:r>
            <w:hyperlink r:id="rId21" w:history="1">
              <w:r w:rsidRPr="000C77A2">
                <w:rPr>
                  <w:rStyle w:val="Hyperlink"/>
                  <w:rFonts w:ascii="Arial Narrow" w:hAnsi="Arial Narrow"/>
                  <w:sz w:val="20"/>
                  <w:szCs w:val="20"/>
                </w:rPr>
                <w:t>www.servicesaustralia.gov.au/HPOS</w:t>
              </w:r>
            </w:hyperlink>
            <w:r w:rsidRPr="000C77A2">
              <w:rPr>
                <w:rFonts w:ascii="Arial Narrow" w:hAnsi="Arial Narrow"/>
                <w:color w:val="333333"/>
                <w:sz w:val="20"/>
                <w:szCs w:val="20"/>
              </w:rPr>
              <w:t xml:space="preserve">) or by telephone by contacting Services Australia on 1800 700 270 (hours of operation 8 a.m. to 5 p.m. Monday to Friday). </w:t>
            </w:r>
          </w:p>
        </w:tc>
      </w:tr>
      <w:tr w:rsidR="00292657" w:rsidRPr="000C77A2" w14:paraId="2470CB31" w14:textId="77777777" w:rsidTr="00560AEC">
        <w:tblPrEx>
          <w:tblCellMar>
            <w:top w:w="15" w:type="dxa"/>
            <w:bottom w:w="15" w:type="dxa"/>
          </w:tblCellMar>
        </w:tblPrEx>
        <w:trPr>
          <w:cantSplit/>
          <w:trHeight w:val="20"/>
        </w:trPr>
        <w:tc>
          <w:tcPr>
            <w:tcW w:w="1272" w:type="dxa"/>
            <w:gridSpan w:val="2"/>
            <w:vAlign w:val="center"/>
          </w:tcPr>
          <w:p w14:paraId="7D0730B2" w14:textId="3E926D04" w:rsidR="00292657" w:rsidRPr="000C77A2" w:rsidRDefault="00292657" w:rsidP="0037473F">
            <w:pPr>
              <w:keepLines/>
              <w:jc w:val="center"/>
              <w:rPr>
                <w:rFonts w:ascii="Arial Narrow" w:hAnsi="Arial Narrow"/>
                <w:color w:val="333333"/>
                <w:sz w:val="20"/>
                <w:szCs w:val="20"/>
              </w:rPr>
            </w:pPr>
          </w:p>
        </w:tc>
        <w:tc>
          <w:tcPr>
            <w:tcW w:w="7745" w:type="dxa"/>
            <w:gridSpan w:val="6"/>
            <w:vAlign w:val="center"/>
            <w:hideMark/>
          </w:tcPr>
          <w:p w14:paraId="17E417C6" w14:textId="77777777" w:rsidR="00292657" w:rsidRPr="000C77A2" w:rsidRDefault="00292657" w:rsidP="0037473F">
            <w:pPr>
              <w:keepLines/>
              <w:rPr>
                <w:rFonts w:ascii="Arial Narrow" w:hAnsi="Arial Narrow"/>
                <w:color w:val="333333"/>
                <w:sz w:val="20"/>
                <w:szCs w:val="20"/>
              </w:rPr>
            </w:pPr>
            <w:r w:rsidRPr="000C77A2">
              <w:rPr>
                <w:rFonts w:ascii="Arial Narrow" w:hAnsi="Arial Narrow"/>
                <w:b/>
                <w:bCs/>
                <w:color w:val="333333"/>
                <w:sz w:val="20"/>
                <w:szCs w:val="20"/>
              </w:rPr>
              <w:t>Indication:</w:t>
            </w:r>
            <w:r w:rsidRPr="000C77A2">
              <w:rPr>
                <w:rFonts w:ascii="Arial Narrow" w:hAnsi="Arial Narrow"/>
                <w:color w:val="333333"/>
                <w:sz w:val="20"/>
                <w:szCs w:val="20"/>
              </w:rPr>
              <w:t xml:space="preserve"> Solid tumours with confirmed neurotrophic tropomyosin receptor kinase (NTRK) gene fusion</w:t>
            </w:r>
          </w:p>
        </w:tc>
      </w:tr>
      <w:tr w:rsidR="00292657" w:rsidRPr="000C77A2" w14:paraId="04804D0E"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162FDC7D"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452A580A"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Treatment Phase:</w:t>
            </w:r>
            <w:r w:rsidRPr="000C77A2">
              <w:rPr>
                <w:rFonts w:ascii="Arial Narrow" w:hAnsi="Arial Narrow"/>
                <w:color w:val="FF0000"/>
                <w:sz w:val="20"/>
                <w:szCs w:val="20"/>
              </w:rPr>
              <w:t xml:space="preserve"> </w:t>
            </w:r>
            <w:r w:rsidRPr="000C77A2">
              <w:rPr>
                <w:rFonts w:ascii="Arial Narrow" w:hAnsi="Arial Narrow"/>
                <w:sz w:val="20"/>
                <w:szCs w:val="20"/>
              </w:rPr>
              <w:t>Continuing treatment</w:t>
            </w:r>
          </w:p>
        </w:tc>
      </w:tr>
      <w:tr w:rsidR="00292657" w:rsidRPr="000C77A2" w14:paraId="3C79DF00"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18C842"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56C77254" w14:textId="77777777" w:rsidR="00292657" w:rsidRPr="000C77A2" w:rsidRDefault="00292657" w:rsidP="0037473F">
            <w:pPr>
              <w:rPr>
                <w:rFonts w:ascii="Arial Narrow" w:hAnsi="Arial Narrow"/>
                <w:b/>
                <w:bCs/>
                <w:color w:val="333333"/>
                <w:sz w:val="20"/>
                <w:szCs w:val="20"/>
              </w:rPr>
            </w:pPr>
            <w:r w:rsidRPr="000C77A2">
              <w:rPr>
                <w:rFonts w:ascii="Arial Narrow" w:hAnsi="Arial Narrow"/>
                <w:b/>
                <w:bCs/>
                <w:color w:val="333333"/>
                <w:sz w:val="20"/>
                <w:szCs w:val="20"/>
              </w:rPr>
              <w:t>Treatment criteria:</w:t>
            </w:r>
          </w:p>
        </w:tc>
      </w:tr>
      <w:tr w:rsidR="00292657" w:rsidRPr="000C77A2" w14:paraId="40A203F3"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A6CDEB7" w14:textId="126D1463" w:rsidR="00292657" w:rsidRPr="000C77A2" w:rsidRDefault="00292657" w:rsidP="0037473F">
            <w:pPr>
              <w:jc w:val="center"/>
              <w:rPr>
                <w:rFonts w:ascii="Arial Narrow" w:hAnsi="Arial Narrow"/>
                <w:color w:val="333333"/>
                <w:sz w:val="20"/>
                <w:szCs w:val="20"/>
              </w:rPr>
            </w:pPr>
          </w:p>
        </w:tc>
        <w:tc>
          <w:tcPr>
            <w:tcW w:w="7745" w:type="dxa"/>
            <w:gridSpan w:val="6"/>
            <w:vAlign w:val="center"/>
          </w:tcPr>
          <w:p w14:paraId="2DA8D28C" w14:textId="2C099814" w:rsidR="00292657" w:rsidRPr="000C77A2" w:rsidRDefault="00292657" w:rsidP="0037473F">
            <w:pPr>
              <w:rPr>
                <w:rFonts w:ascii="Arial Narrow" w:hAnsi="Arial Narrow"/>
                <w:b/>
                <w:bCs/>
                <w:iCs/>
                <w:color w:val="333333"/>
                <w:sz w:val="20"/>
                <w:szCs w:val="20"/>
              </w:rPr>
            </w:pPr>
            <w:r w:rsidRPr="000C77A2">
              <w:rPr>
                <w:rFonts w:ascii="Arial Narrow" w:hAnsi="Arial Narrow" w:cs="Arial Narrow"/>
                <w:iCs/>
                <w:sz w:val="20"/>
                <w:szCs w:val="20"/>
              </w:rPr>
              <w:t>Patient must have previously received PBS-subsidised treatment with this drug for this condition</w:t>
            </w:r>
            <w:r w:rsidR="000C77A2">
              <w:rPr>
                <w:rFonts w:ascii="Arial Narrow" w:hAnsi="Arial Narrow" w:cs="Arial Narrow"/>
                <w:iCs/>
                <w:sz w:val="20"/>
                <w:szCs w:val="20"/>
              </w:rPr>
              <w:t xml:space="preserve">. </w:t>
            </w:r>
          </w:p>
        </w:tc>
      </w:tr>
      <w:tr w:rsidR="00292657" w:rsidRPr="000C77A2" w14:paraId="5970D4B5" w14:textId="77777777" w:rsidTr="00560AEC">
        <w:tblPrEx>
          <w:tblCellMar>
            <w:top w:w="15" w:type="dxa"/>
            <w:bottom w:w="15" w:type="dxa"/>
          </w:tblCellMar>
        </w:tblPrEx>
        <w:trPr>
          <w:cantSplit/>
          <w:trHeight w:val="20"/>
        </w:trPr>
        <w:tc>
          <w:tcPr>
            <w:tcW w:w="1272" w:type="dxa"/>
            <w:gridSpan w:val="2"/>
            <w:vAlign w:val="center"/>
          </w:tcPr>
          <w:p w14:paraId="227E58DF"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64242373" w14:textId="77777777" w:rsidR="00292657" w:rsidRPr="000C77A2" w:rsidRDefault="00292657" w:rsidP="0037473F">
            <w:pPr>
              <w:rPr>
                <w:rFonts w:ascii="Arial Narrow" w:hAnsi="Arial Narrow"/>
                <w:sz w:val="20"/>
                <w:szCs w:val="20"/>
              </w:rPr>
            </w:pPr>
            <w:r w:rsidRPr="000C77A2">
              <w:rPr>
                <w:rFonts w:ascii="Arial Narrow" w:hAnsi="Arial Narrow"/>
                <w:b/>
                <w:bCs/>
                <w:color w:val="333333"/>
                <w:sz w:val="20"/>
                <w:szCs w:val="20"/>
              </w:rPr>
              <w:t xml:space="preserve">Clinical criteria: </w:t>
            </w:r>
          </w:p>
        </w:tc>
      </w:tr>
      <w:tr w:rsidR="00292657" w:rsidRPr="000C77A2" w14:paraId="27A88096" w14:textId="77777777" w:rsidTr="00560AEC">
        <w:tblPrEx>
          <w:tblCellMar>
            <w:top w:w="15" w:type="dxa"/>
            <w:bottom w:w="15" w:type="dxa"/>
          </w:tblCellMar>
        </w:tblPrEx>
        <w:trPr>
          <w:cantSplit/>
          <w:trHeight w:val="20"/>
        </w:trPr>
        <w:tc>
          <w:tcPr>
            <w:tcW w:w="1272" w:type="dxa"/>
            <w:gridSpan w:val="2"/>
            <w:vAlign w:val="center"/>
          </w:tcPr>
          <w:p w14:paraId="589D0D1A" w14:textId="7DB3DCF3"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1C0C871F" w14:textId="07A52FE9" w:rsidR="00292657" w:rsidRPr="000C77A2" w:rsidRDefault="00292657" w:rsidP="0037473F">
            <w:pPr>
              <w:rPr>
                <w:rFonts w:ascii="Arial Narrow" w:hAnsi="Arial Narrow"/>
                <w:color w:val="333333"/>
                <w:sz w:val="20"/>
                <w:szCs w:val="20"/>
                <w:highlight w:val="green"/>
              </w:rPr>
            </w:pPr>
            <w:r w:rsidRPr="000C77A2">
              <w:rPr>
                <w:rFonts w:ascii="Arial Narrow" w:hAnsi="Arial Narrow"/>
                <w:color w:val="333333"/>
                <w:sz w:val="20"/>
                <w:szCs w:val="20"/>
              </w:rPr>
              <w:t xml:space="preserve">The condition must be </w:t>
            </w:r>
            <w:r w:rsidR="00AB25B7">
              <w:rPr>
                <w:rFonts w:ascii="Arial Narrow" w:hAnsi="Arial Narrow"/>
                <w:color w:val="333333"/>
                <w:sz w:val="20"/>
                <w:szCs w:val="20"/>
              </w:rPr>
              <w:t>either</w:t>
            </w:r>
            <w:r w:rsidRPr="000C77A2">
              <w:rPr>
                <w:rFonts w:ascii="Arial Narrow" w:hAnsi="Arial Narrow"/>
                <w:color w:val="333333"/>
                <w:sz w:val="20"/>
                <w:szCs w:val="20"/>
              </w:rPr>
              <w:t xml:space="preserve">: (i) non-small cell lung cancer, (ii) soft tissue sarcoma, (iii) glioma, (iv), </w:t>
            </w:r>
            <w:r w:rsidRPr="000C77A2">
              <w:rPr>
                <w:rFonts w:ascii="Arial Narrow" w:hAnsi="Arial Narrow"/>
                <w:sz w:val="20"/>
                <w:szCs w:val="20"/>
              </w:rPr>
              <w:t>glioneuronal tumour, (v) glioblastoma</w:t>
            </w:r>
          </w:p>
        </w:tc>
      </w:tr>
      <w:tr w:rsidR="00292657" w:rsidRPr="000C77A2" w14:paraId="30EE745C" w14:textId="77777777" w:rsidTr="00560AEC">
        <w:tblPrEx>
          <w:tblCellMar>
            <w:top w:w="15" w:type="dxa"/>
            <w:bottom w:w="15" w:type="dxa"/>
          </w:tblCellMar>
        </w:tblPrEx>
        <w:trPr>
          <w:cantSplit/>
          <w:trHeight w:val="20"/>
        </w:trPr>
        <w:tc>
          <w:tcPr>
            <w:tcW w:w="1272" w:type="dxa"/>
            <w:gridSpan w:val="2"/>
            <w:vAlign w:val="center"/>
          </w:tcPr>
          <w:p w14:paraId="0659C98C"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3D95A52D"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63B4512B"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F2AC10" w14:textId="78303EF3"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66BFB5F4"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1FFCC2FF"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9ABE4F" w14:textId="6DEBE709"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26838E74" w14:textId="77777777" w:rsidR="00292657" w:rsidRPr="000C77A2" w:rsidRDefault="00292657" w:rsidP="0037473F">
            <w:pPr>
              <w:rPr>
                <w:rFonts w:ascii="Arial Narrow" w:hAnsi="Arial Narrow"/>
                <w:sz w:val="20"/>
                <w:szCs w:val="20"/>
              </w:rPr>
            </w:pPr>
            <w:r w:rsidRPr="000C77A2">
              <w:rPr>
                <w:rFonts w:ascii="Arial Narrow" w:hAnsi="Arial Narrow"/>
                <w:sz w:val="20"/>
                <w:szCs w:val="20"/>
              </w:rPr>
              <w:t>The treatment must cease to be a PBS benefit upon radiographic progression</w:t>
            </w:r>
          </w:p>
        </w:tc>
      </w:tr>
      <w:tr w:rsidR="00292657" w:rsidRPr="000C77A2" w14:paraId="3C6BC4F3"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ED175B9" w14:textId="77777777"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049DFFD2"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AND</w:t>
            </w:r>
          </w:p>
        </w:tc>
      </w:tr>
      <w:tr w:rsidR="00292657" w:rsidRPr="000C77A2" w14:paraId="29505ADE"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D6F77D2" w14:textId="0E0B40BB"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08546917" w14:textId="77777777" w:rsidR="00292657" w:rsidRPr="000C77A2" w:rsidRDefault="00292657" w:rsidP="0037473F">
            <w:pPr>
              <w:rPr>
                <w:rFonts w:ascii="Arial Narrow" w:hAnsi="Arial Narrow"/>
                <w:color w:val="333333"/>
                <w:sz w:val="20"/>
                <w:szCs w:val="20"/>
              </w:rPr>
            </w:pPr>
            <w:r w:rsidRPr="000C77A2">
              <w:rPr>
                <w:rFonts w:ascii="Arial Narrow" w:hAnsi="Arial Narrow"/>
                <w:b/>
                <w:bCs/>
                <w:color w:val="333333"/>
                <w:sz w:val="20"/>
                <w:szCs w:val="20"/>
              </w:rPr>
              <w:t>Clinical criteria:</w:t>
            </w:r>
          </w:p>
        </w:tc>
      </w:tr>
      <w:tr w:rsidR="00292657" w:rsidRPr="000C77A2" w14:paraId="4A8F2527"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BAC361" w14:textId="60BEEE2B"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39E613B7" w14:textId="77777777" w:rsidR="00292657" w:rsidRPr="000C77A2" w:rsidRDefault="00292657" w:rsidP="0037473F">
            <w:pPr>
              <w:rPr>
                <w:rFonts w:ascii="Arial Narrow" w:hAnsi="Arial Narrow"/>
                <w:color w:val="333333"/>
                <w:sz w:val="20"/>
                <w:szCs w:val="20"/>
              </w:rPr>
            </w:pPr>
            <w:r w:rsidRPr="000C77A2">
              <w:rPr>
                <w:rFonts w:ascii="Arial Narrow" w:hAnsi="Arial Narrow"/>
                <w:color w:val="333333"/>
                <w:sz w:val="20"/>
                <w:szCs w:val="20"/>
              </w:rPr>
              <w:t>The treatment must be the sole PBS-subsidised systemic anti-cancer therapy for this condition</w:t>
            </w:r>
          </w:p>
        </w:tc>
      </w:tr>
      <w:tr w:rsidR="00AB25B7" w:rsidRPr="000C77A2" w14:paraId="3D452F3F"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A0E1B6" w14:textId="17C3D638" w:rsidR="00AB25B7" w:rsidRPr="000C77A2" w:rsidRDefault="00AB25B7" w:rsidP="009278BA">
            <w:pPr>
              <w:jc w:val="center"/>
              <w:rPr>
                <w:rFonts w:ascii="Arial Narrow" w:hAnsi="Arial Narrow"/>
                <w:color w:val="333333"/>
                <w:sz w:val="20"/>
                <w:szCs w:val="20"/>
              </w:rPr>
            </w:pPr>
          </w:p>
        </w:tc>
        <w:tc>
          <w:tcPr>
            <w:tcW w:w="7745" w:type="dxa"/>
            <w:gridSpan w:val="6"/>
            <w:vAlign w:val="center"/>
          </w:tcPr>
          <w:p w14:paraId="52FFE01A" w14:textId="77777777" w:rsidR="00AB25B7" w:rsidRPr="000C77A2" w:rsidRDefault="00AB25B7" w:rsidP="009278BA">
            <w:pPr>
              <w:rPr>
                <w:rFonts w:ascii="Arial Narrow" w:hAnsi="Arial Narrow"/>
                <w:color w:val="333333"/>
                <w:sz w:val="20"/>
                <w:szCs w:val="20"/>
              </w:rPr>
            </w:pPr>
            <w:r w:rsidRPr="000C77A2">
              <w:rPr>
                <w:rFonts w:ascii="Arial Narrow" w:hAnsi="Arial Narrow"/>
                <w:b/>
                <w:bCs/>
                <w:color w:val="333333"/>
                <w:sz w:val="20"/>
                <w:szCs w:val="20"/>
              </w:rPr>
              <w:t>Population criteria:</w:t>
            </w:r>
          </w:p>
        </w:tc>
      </w:tr>
      <w:tr w:rsidR="00AB25B7" w:rsidRPr="000C77A2" w14:paraId="7CA19B36" w14:textId="77777777" w:rsidTr="00AB25B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3249A6" w14:textId="4EFDD9B7" w:rsidR="00AB25B7" w:rsidRPr="000C77A2" w:rsidRDefault="00AB25B7" w:rsidP="009278BA">
            <w:pPr>
              <w:jc w:val="center"/>
              <w:rPr>
                <w:rFonts w:ascii="Arial Narrow" w:hAnsi="Arial Narrow"/>
                <w:color w:val="333333"/>
                <w:sz w:val="20"/>
                <w:szCs w:val="20"/>
              </w:rPr>
            </w:pPr>
          </w:p>
        </w:tc>
        <w:tc>
          <w:tcPr>
            <w:tcW w:w="7745" w:type="dxa"/>
            <w:gridSpan w:val="6"/>
            <w:vAlign w:val="center"/>
          </w:tcPr>
          <w:p w14:paraId="7E401CE6" w14:textId="77777777" w:rsidR="00AB25B7" w:rsidRPr="000C77A2" w:rsidRDefault="00AB25B7" w:rsidP="009278BA">
            <w:pPr>
              <w:rPr>
                <w:rFonts w:ascii="Arial Narrow" w:hAnsi="Arial Narrow"/>
                <w:color w:val="333333"/>
                <w:sz w:val="20"/>
                <w:szCs w:val="20"/>
              </w:rPr>
            </w:pPr>
            <w:r w:rsidRPr="000C77A2">
              <w:rPr>
                <w:rFonts w:ascii="Arial Narrow" w:hAnsi="Arial Narrow"/>
                <w:color w:val="333333"/>
                <w:sz w:val="20"/>
                <w:szCs w:val="20"/>
              </w:rPr>
              <w:t xml:space="preserve">Patient must be at least 18 years of age. </w:t>
            </w:r>
          </w:p>
        </w:tc>
      </w:tr>
      <w:tr w:rsidR="00292657" w:rsidRPr="000C77A2" w14:paraId="4B38996C" w14:textId="77777777" w:rsidTr="00560AEC">
        <w:tblPrEx>
          <w:tblCellMar>
            <w:top w:w="15" w:type="dxa"/>
            <w:bottom w:w="15" w:type="dxa"/>
          </w:tblCellMar>
        </w:tblPrEx>
        <w:trPr>
          <w:cantSplit/>
          <w:trHeight w:val="20"/>
        </w:trPr>
        <w:tc>
          <w:tcPr>
            <w:tcW w:w="1272" w:type="dxa"/>
            <w:gridSpan w:val="2"/>
            <w:vAlign w:val="center"/>
          </w:tcPr>
          <w:p w14:paraId="7091228E" w14:textId="7B96243C" w:rsidR="00292657" w:rsidRPr="000C77A2" w:rsidRDefault="00292657" w:rsidP="0037473F">
            <w:pPr>
              <w:jc w:val="center"/>
              <w:rPr>
                <w:rFonts w:ascii="Arial Narrow" w:hAnsi="Arial Narrow"/>
                <w:color w:val="333333"/>
                <w:sz w:val="20"/>
                <w:szCs w:val="20"/>
              </w:rPr>
            </w:pPr>
          </w:p>
        </w:tc>
        <w:tc>
          <w:tcPr>
            <w:tcW w:w="7745" w:type="dxa"/>
            <w:gridSpan w:val="6"/>
            <w:vAlign w:val="center"/>
            <w:hideMark/>
          </w:tcPr>
          <w:p w14:paraId="0AE7962E" w14:textId="77777777" w:rsidR="00292657" w:rsidRPr="000C77A2" w:rsidRDefault="00292657" w:rsidP="0037473F">
            <w:pPr>
              <w:rPr>
                <w:rFonts w:ascii="Arial Narrow" w:hAnsi="Arial Narrow"/>
                <w:bCs/>
                <w:color w:val="FF0000"/>
                <w:sz w:val="20"/>
                <w:szCs w:val="20"/>
              </w:rPr>
            </w:pPr>
            <w:r w:rsidRPr="000C77A2">
              <w:rPr>
                <w:rFonts w:ascii="Arial Narrow" w:hAnsi="Arial Narrow"/>
                <w:b/>
                <w:bCs/>
                <w:color w:val="333333"/>
                <w:sz w:val="20"/>
                <w:szCs w:val="20"/>
              </w:rPr>
              <w:t xml:space="preserve">Prescribing Instructions: </w:t>
            </w:r>
          </w:p>
          <w:p w14:paraId="71790819" w14:textId="77777777" w:rsidR="00292657" w:rsidRPr="000C77A2" w:rsidRDefault="00292657" w:rsidP="0037473F">
            <w:pPr>
              <w:rPr>
                <w:rFonts w:ascii="Arial Narrow" w:hAnsi="Arial Narrow"/>
                <w:sz w:val="20"/>
                <w:szCs w:val="20"/>
              </w:rPr>
            </w:pPr>
            <w:r w:rsidRPr="000C77A2">
              <w:rPr>
                <w:rFonts w:ascii="Arial Narrow" w:hAnsi="Arial Narrow"/>
                <w:bCs/>
                <w:sz w:val="20"/>
                <w:szCs w:val="20"/>
              </w:rPr>
              <w:t>Where radiographic progression is observed, mark any remaining repeat prescriptions with the word ‘cancelled’.</w:t>
            </w:r>
          </w:p>
        </w:tc>
      </w:tr>
    </w:tbl>
    <w:p w14:paraId="766EB598" w14:textId="77777777" w:rsidR="00886653" w:rsidRPr="000C77A2" w:rsidRDefault="00886653" w:rsidP="00886653">
      <w:pPr>
        <w:widowControl w:val="0"/>
        <w:ind w:firstLine="720"/>
        <w:contextualSpacing/>
        <w:rPr>
          <w:rFonts w:asciiTheme="minorHAnsi" w:hAnsiTheme="minorHAnsi"/>
          <w:bCs/>
          <w:snapToGrid w:val="0"/>
        </w:rPr>
      </w:pPr>
    </w:p>
    <w:p w14:paraId="4A5F8D95" w14:textId="49F8FB12" w:rsidR="008B7F20" w:rsidRDefault="00040F82" w:rsidP="00040F82">
      <w:pPr>
        <w:jc w:val="left"/>
        <w:rPr>
          <w:rFonts w:asciiTheme="minorHAnsi" w:hAnsiTheme="minorHAnsi"/>
          <w:szCs w:val="22"/>
        </w:rPr>
      </w:pPr>
      <w:r w:rsidRPr="000C77A2">
        <w:rPr>
          <w:rFonts w:asciiTheme="minorHAnsi" w:hAnsiTheme="minorHAnsi"/>
          <w:b/>
          <w:bCs/>
          <w:i/>
          <w:szCs w:val="22"/>
        </w:rPr>
        <w:t>This restriction may be subject to further review. Should there be any changes made to the restriction the sponsor will be informed</w:t>
      </w:r>
      <w:r w:rsidRPr="000C77A2">
        <w:rPr>
          <w:rFonts w:asciiTheme="minorHAnsi" w:hAnsiTheme="minorHAnsi"/>
          <w:szCs w:val="22"/>
        </w:rPr>
        <w:t>.</w:t>
      </w:r>
    </w:p>
    <w:p w14:paraId="718B2E27" w14:textId="77777777" w:rsidR="008B7F20" w:rsidRPr="00061CBE" w:rsidRDefault="008B7F20" w:rsidP="008B7F20">
      <w:pPr>
        <w:pStyle w:val="2-SectionHeading"/>
        <w:numPr>
          <w:ilvl w:val="0"/>
          <w:numId w:val="0"/>
        </w:numPr>
        <w:ind w:left="720" w:hanging="720"/>
        <w:rPr>
          <w:lang w:val="en-GB"/>
        </w:rPr>
      </w:pPr>
      <w:r w:rsidRPr="00061CBE">
        <w:lastRenderedPageBreak/>
        <w:t>9</w:t>
      </w:r>
      <w:r w:rsidRPr="00061CBE">
        <w:tab/>
        <w:t>Context for Decision</w:t>
      </w:r>
    </w:p>
    <w:p w14:paraId="037673ED" w14:textId="77777777" w:rsidR="008B7F20" w:rsidRPr="00061CBE" w:rsidRDefault="008B7F20" w:rsidP="008B7F20">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249F1FC" w14:textId="77777777" w:rsidR="008B7F20" w:rsidRPr="00061CBE" w:rsidRDefault="008B7F20" w:rsidP="008B7F20">
      <w:pPr>
        <w:pStyle w:val="2-SectionHeading"/>
        <w:numPr>
          <w:ilvl w:val="0"/>
          <w:numId w:val="0"/>
        </w:numPr>
        <w:ind w:left="720" w:hanging="720"/>
      </w:pPr>
      <w:r w:rsidRPr="00061CBE">
        <w:t>10</w:t>
      </w:r>
      <w:r w:rsidRPr="00061CBE">
        <w:tab/>
        <w:t>Sponsor’s Comment</w:t>
      </w:r>
    </w:p>
    <w:p w14:paraId="4ECCAB5E" w14:textId="4B56121E" w:rsidR="008B7F20" w:rsidRPr="005A4935" w:rsidRDefault="004B0633" w:rsidP="005A4935">
      <w:pPr>
        <w:spacing w:after="120"/>
        <w:ind w:left="720"/>
        <w:rPr>
          <w:bCs/>
        </w:rPr>
      </w:pPr>
      <w:r w:rsidRPr="00560AEC">
        <w:rPr>
          <w:bCs/>
          <w:lang w:val="en-GB"/>
        </w:rPr>
        <w:t>Bayer welcomes the PBAC’s decision to recommend larotrectinib</w:t>
      </w:r>
      <w:r w:rsidR="001A4480" w:rsidRPr="00814BB5">
        <w:rPr>
          <w:bCs/>
          <w:lang w:val="en-GB"/>
        </w:rPr>
        <w:t xml:space="preserve"> (Vitrakvi</w:t>
      </w:r>
      <w:r w:rsidR="003831DD" w:rsidRPr="00560AEC">
        <w:rPr>
          <w:rFonts w:cs="Calibri"/>
          <w:bCs/>
          <w:lang w:val="en-GB"/>
        </w:rPr>
        <w:t>®</w:t>
      </w:r>
      <w:r w:rsidR="001A4480" w:rsidRPr="00814BB5">
        <w:rPr>
          <w:bCs/>
          <w:lang w:val="en-GB"/>
        </w:rPr>
        <w:t xml:space="preserve">) for PBS listing for the treatment of adult </w:t>
      </w:r>
      <w:r w:rsidR="00FB76AA" w:rsidRPr="00560AEC">
        <w:rPr>
          <w:bCs/>
          <w:lang w:val="en-GB"/>
        </w:rPr>
        <w:t>patients with</w:t>
      </w:r>
      <w:r w:rsidR="00A27C73" w:rsidRPr="00560AEC">
        <w:rPr>
          <w:bCs/>
          <w:lang w:val="en-GB"/>
        </w:rPr>
        <w:t xml:space="preserve"> positive</w:t>
      </w:r>
      <w:r w:rsidR="00C50026" w:rsidRPr="00560AEC">
        <w:rPr>
          <w:bCs/>
          <w:lang w:val="en-GB"/>
        </w:rPr>
        <w:t xml:space="preserve"> </w:t>
      </w:r>
      <w:r w:rsidR="00C50026" w:rsidRPr="00560AEC">
        <w:rPr>
          <w:i/>
          <w:iCs/>
        </w:rPr>
        <w:t>NTRK</w:t>
      </w:r>
      <w:r w:rsidR="00C50026" w:rsidRPr="00560AEC">
        <w:t>-gene fusions in</w:t>
      </w:r>
      <w:r w:rsidR="00A27C73" w:rsidRPr="00560AEC">
        <w:rPr>
          <w:bCs/>
          <w:lang w:val="en-GB"/>
        </w:rPr>
        <w:t xml:space="preserve"> </w:t>
      </w:r>
      <w:r w:rsidR="00716861" w:rsidRPr="00814BB5">
        <w:rPr>
          <w:bCs/>
          <w:lang w:val="en-GB"/>
        </w:rPr>
        <w:t xml:space="preserve">NSCLC, </w:t>
      </w:r>
      <w:proofErr w:type="gramStart"/>
      <w:r w:rsidR="00716861" w:rsidRPr="00814BB5">
        <w:rPr>
          <w:bCs/>
          <w:lang w:val="en-GB"/>
        </w:rPr>
        <w:t>STS</w:t>
      </w:r>
      <w:proofErr w:type="gramEnd"/>
      <w:r w:rsidR="00716861" w:rsidRPr="00814BB5">
        <w:rPr>
          <w:bCs/>
          <w:lang w:val="en-GB"/>
        </w:rPr>
        <w:t xml:space="preserve"> and </w:t>
      </w:r>
      <w:r w:rsidR="00716861" w:rsidRPr="00814BB5">
        <w:t>glioma, glioneuronal tumour or glioblastoma</w:t>
      </w:r>
      <w:r w:rsidR="006206EC" w:rsidRPr="00814BB5">
        <w:t xml:space="preserve"> tumours</w:t>
      </w:r>
      <w:r w:rsidR="00666C4C" w:rsidRPr="00814BB5">
        <w:t>.</w:t>
      </w:r>
      <w:r w:rsidR="00AB3AB8" w:rsidRPr="00560AEC">
        <w:t xml:space="preserve"> </w:t>
      </w:r>
      <w:r w:rsidR="00AB3AB8" w:rsidRPr="00814BB5">
        <w:rPr>
          <w:rFonts w:asciiTheme="minorHAnsi" w:hAnsiTheme="minorHAnsi"/>
          <w:bCs/>
          <w:lang w:val="en-GB"/>
        </w:rPr>
        <w:t xml:space="preserve">Bayer will continue to work with the Department of Health </w:t>
      </w:r>
      <w:r w:rsidR="00F33863" w:rsidRPr="00560AEC">
        <w:rPr>
          <w:rFonts w:asciiTheme="minorHAnsi" w:hAnsiTheme="minorHAnsi"/>
          <w:bCs/>
          <w:lang w:val="en-GB"/>
        </w:rPr>
        <w:t xml:space="preserve">and Aged Care </w:t>
      </w:r>
      <w:r w:rsidR="00AB3AB8" w:rsidRPr="00814BB5">
        <w:rPr>
          <w:rFonts w:asciiTheme="minorHAnsi" w:hAnsiTheme="minorHAnsi"/>
          <w:bCs/>
          <w:lang w:val="en-GB"/>
        </w:rPr>
        <w:t>to ensure a timely PBS listing.</w:t>
      </w:r>
      <w:bookmarkEnd w:id="76"/>
    </w:p>
    <w:sectPr w:rsidR="008B7F20" w:rsidRPr="005A4935" w:rsidSect="009503EC">
      <w:headerReference w:type="even" r:id="rId22"/>
      <w:headerReference w:type="default" r:id="rId23"/>
      <w:footerReference w:type="even" r:id="rId24"/>
      <w:footerReference w:type="default" r:id="rId25"/>
      <w:headerReference w:type="first" r:id="rId26"/>
      <w:footerReference w:type="first" r:id="rId2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F82D" w14:textId="77777777" w:rsidR="0055568B" w:rsidRDefault="0055568B" w:rsidP="00124A51">
      <w:r>
        <w:separator/>
      </w:r>
    </w:p>
    <w:p w14:paraId="2312C58B" w14:textId="77777777" w:rsidR="0055568B" w:rsidRDefault="0055568B"/>
  </w:endnote>
  <w:endnote w:type="continuationSeparator" w:id="0">
    <w:p w14:paraId="53C83566" w14:textId="77777777" w:rsidR="0055568B" w:rsidRDefault="0055568B" w:rsidP="00124A51">
      <w:r>
        <w:continuationSeparator/>
      </w:r>
    </w:p>
    <w:p w14:paraId="42B57654" w14:textId="77777777" w:rsidR="0055568B" w:rsidRDefault="00555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EF82" w14:textId="635CD54D" w:rsidR="00A80887" w:rsidRDefault="00620539">
    <w:pPr>
      <w:pStyle w:val="Footer"/>
    </w:pPr>
    <w:r>
      <w:rPr>
        <w:noProof/>
      </w:rPr>
      <mc:AlternateContent>
        <mc:Choice Requires="wps">
          <w:drawing>
            <wp:anchor distT="0" distB="0" distL="0" distR="0" simplePos="0" relativeHeight="251659264" behindDoc="0" locked="0" layoutInCell="1" allowOverlap="1" wp14:anchorId="7B6FD811" wp14:editId="170204BB">
              <wp:simplePos x="635" y="635"/>
              <wp:positionH relativeFrom="page">
                <wp:align>right</wp:align>
              </wp:positionH>
              <wp:positionV relativeFrom="page">
                <wp:align>bottom</wp:align>
              </wp:positionV>
              <wp:extent cx="443865" cy="443865"/>
              <wp:effectExtent l="0" t="0" r="0" b="0"/>
              <wp:wrapNone/>
              <wp:docPr id="903265581"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DF7A5" w14:textId="76824C3B" w:rsidR="00620539" w:rsidRPr="00620539" w:rsidRDefault="00620539" w:rsidP="00620539">
                          <w:pPr>
                            <w:rPr>
                              <w:rFonts w:eastAsia="Calibri" w:cs="Calibri"/>
                              <w:noProof/>
                              <w:color w:val="FF8939"/>
                              <w:sz w:val="44"/>
                              <w:szCs w:val="44"/>
                            </w:rPr>
                          </w:pPr>
                          <w:r w:rsidRPr="00620539">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6FD811" id="_x0000_t202" coordsize="21600,21600" o:spt="202" path="m,l,21600r21600,l21600,xe">
              <v:stroke joinstyle="miter"/>
              <v:path gradientshapeok="t" o:connecttype="rect"/>
            </v:shapetype>
            <v:shape id="Text Box 2" o:spid="_x0000_s1026" type="#_x0000_t202" alt="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82DF7A5" w14:textId="76824C3B" w:rsidR="00620539" w:rsidRPr="00620539" w:rsidRDefault="00620539" w:rsidP="00620539">
                    <w:pPr>
                      <w:rPr>
                        <w:rFonts w:eastAsia="Calibri" w:cs="Calibri"/>
                        <w:noProof/>
                        <w:color w:val="FF8939"/>
                        <w:sz w:val="44"/>
                        <w:szCs w:val="44"/>
                      </w:rPr>
                    </w:pPr>
                    <w:r w:rsidRPr="00620539">
                      <w:rPr>
                        <w:rFonts w:eastAsia="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DE09" w14:textId="310E9B00" w:rsidR="00D85BDC" w:rsidRDefault="00D85BDC">
    <w:pPr>
      <w:pStyle w:val="Footer"/>
      <w:jc w:val="center"/>
    </w:pPr>
  </w:p>
  <w:p w14:paraId="4128D726" w14:textId="7795038B" w:rsidR="00575AA1" w:rsidRPr="007C1CD9" w:rsidRDefault="00C766BB" w:rsidP="00560AEC">
    <w:pPr>
      <w:pStyle w:val="Footer"/>
      <w:tabs>
        <w:tab w:val="clear" w:pos="4513"/>
        <w:tab w:val="center" w:pos="4395"/>
      </w:tabs>
      <w:jc w:val="center"/>
    </w:pPr>
    <w:sdt>
      <w:sdtPr>
        <w:id w:val="1968006150"/>
        <w:docPartObj>
          <w:docPartGallery w:val="Page Numbers (Bottom of Page)"/>
          <w:docPartUnique/>
        </w:docPartObj>
      </w:sdtPr>
      <w:sdtEndPr>
        <w:rPr>
          <w:b/>
          <w:bCs/>
          <w:noProof/>
        </w:rPr>
      </w:sdtEndPr>
      <w:sdtContent>
        <w:r w:rsidR="00D85BDC" w:rsidRPr="00FD5D25">
          <w:rPr>
            <w:b/>
            <w:bCs/>
          </w:rPr>
          <w:fldChar w:fldCharType="begin"/>
        </w:r>
        <w:r w:rsidR="00D85BDC" w:rsidRPr="00FD5D25">
          <w:rPr>
            <w:b/>
            <w:bCs/>
          </w:rPr>
          <w:instrText xml:space="preserve"> PAGE   \* MERGEFORMAT </w:instrText>
        </w:r>
        <w:r w:rsidR="00D85BDC" w:rsidRPr="00FD5D25">
          <w:rPr>
            <w:b/>
            <w:bCs/>
          </w:rPr>
          <w:fldChar w:fldCharType="separate"/>
        </w:r>
        <w:r w:rsidR="00D85BDC" w:rsidRPr="00D84194">
          <w:rPr>
            <w:b/>
            <w:bCs/>
            <w:noProof/>
          </w:rPr>
          <w:t>2</w:t>
        </w:r>
        <w:r w:rsidR="00D85BDC" w:rsidRPr="00FD5D25">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4A45" w14:textId="32B0F2C2" w:rsidR="00A80887" w:rsidRDefault="00620539">
    <w:pPr>
      <w:pStyle w:val="Footer"/>
    </w:pPr>
    <w:r>
      <w:rPr>
        <w:noProof/>
      </w:rPr>
      <mc:AlternateContent>
        <mc:Choice Requires="wps">
          <w:drawing>
            <wp:anchor distT="0" distB="0" distL="0" distR="0" simplePos="0" relativeHeight="251658240" behindDoc="0" locked="0" layoutInCell="1" allowOverlap="1" wp14:anchorId="495DCC0D" wp14:editId="332C7338">
              <wp:simplePos x="635" y="635"/>
              <wp:positionH relativeFrom="page">
                <wp:align>right</wp:align>
              </wp:positionH>
              <wp:positionV relativeFrom="page">
                <wp:align>bottom</wp:align>
              </wp:positionV>
              <wp:extent cx="443865" cy="443865"/>
              <wp:effectExtent l="0" t="0" r="0" b="0"/>
              <wp:wrapNone/>
              <wp:docPr id="1848087356"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DC767" w14:textId="45B79C46" w:rsidR="00620539" w:rsidRPr="00620539" w:rsidRDefault="00620539" w:rsidP="00620539">
                          <w:pPr>
                            <w:rPr>
                              <w:rFonts w:eastAsia="Calibri" w:cs="Calibri"/>
                              <w:noProof/>
                              <w:color w:val="FF8939"/>
                              <w:sz w:val="44"/>
                              <w:szCs w:val="44"/>
                            </w:rPr>
                          </w:pPr>
                          <w:r w:rsidRPr="00620539">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5DCC0D" id="_x0000_t202" coordsize="21600,21600" o:spt="202" path="m,l,21600r21600,l21600,xe">
              <v:stroke joinstyle="miter"/>
              <v:path gradientshapeok="t" o:connecttype="rect"/>
            </v:shapetype>
            <v:shape id="Text Box 1" o:spid="_x0000_s1027" type="#_x0000_t202" alt="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15DC767" w14:textId="45B79C46" w:rsidR="00620539" w:rsidRPr="00620539" w:rsidRDefault="00620539" w:rsidP="00620539">
                    <w:pPr>
                      <w:rPr>
                        <w:rFonts w:eastAsia="Calibri" w:cs="Calibri"/>
                        <w:noProof/>
                        <w:color w:val="FF8939"/>
                        <w:sz w:val="44"/>
                        <w:szCs w:val="44"/>
                      </w:rPr>
                    </w:pPr>
                    <w:r w:rsidRPr="00620539">
                      <w:rPr>
                        <w:rFonts w:eastAsia="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7E92" w14:textId="77777777" w:rsidR="0055568B" w:rsidRDefault="0055568B" w:rsidP="00124A51">
      <w:r>
        <w:separator/>
      </w:r>
    </w:p>
  </w:footnote>
  <w:footnote w:type="continuationSeparator" w:id="0">
    <w:p w14:paraId="4D015006" w14:textId="77777777" w:rsidR="0055568B" w:rsidRDefault="0055568B" w:rsidP="00124A51">
      <w:r>
        <w:continuationSeparator/>
      </w:r>
    </w:p>
    <w:p w14:paraId="4667D69D" w14:textId="77777777" w:rsidR="0055568B" w:rsidRDefault="0055568B"/>
  </w:footnote>
  <w:footnote w:id="1">
    <w:p w14:paraId="3BC95305" w14:textId="77777777" w:rsidR="00E20482" w:rsidRDefault="00E20482" w:rsidP="00E20482">
      <w:pPr>
        <w:pStyle w:val="FootnoteText"/>
      </w:pPr>
      <w:r>
        <w:rPr>
          <w:rStyle w:val="FootnoteReference"/>
        </w:rPr>
        <w:footnoteRef/>
      </w:r>
      <w:r>
        <w:t xml:space="preserve"> NCCN Guidelines Version 5.2023. Non-Small Cell Lung Cancer, NSCLC -32.</w:t>
      </w:r>
    </w:p>
  </w:footnote>
  <w:footnote w:id="2">
    <w:p w14:paraId="20AF6FBC" w14:textId="101DA1A4" w:rsidR="001613F8" w:rsidRDefault="001613F8">
      <w:pPr>
        <w:pStyle w:val="FootnoteText"/>
      </w:pPr>
      <w:r>
        <w:rPr>
          <w:rStyle w:val="FootnoteReference"/>
        </w:rPr>
        <w:footnoteRef/>
      </w:r>
      <w:r>
        <w:t xml:space="preserve"> </w:t>
      </w:r>
      <w:r w:rsidRPr="001613F8">
        <w:t>Hendriks L</w:t>
      </w:r>
      <w:r>
        <w:t>, et al (2023).</w:t>
      </w:r>
      <w:r w:rsidRPr="001613F8">
        <w:t xml:space="preserve"> Oncogene-addicted metastatic non-small-cell lung cancer: ESMO Clinical Practice Guideline for diagnosis, </w:t>
      </w:r>
      <w:proofErr w:type="gramStart"/>
      <w:r w:rsidRPr="001613F8">
        <w:t>treatment</w:t>
      </w:r>
      <w:proofErr w:type="gramEnd"/>
      <w:r w:rsidRPr="001613F8">
        <w:t xml:space="preserve"> and follow-up. </w:t>
      </w:r>
      <w:r w:rsidRPr="009C31D1">
        <w:rPr>
          <w:i/>
          <w:iCs/>
        </w:rPr>
        <w:t>Annals of Oncology</w:t>
      </w:r>
      <w:r w:rsidRPr="001613F8">
        <w:t>;34(4):339-57</w:t>
      </w:r>
      <w:r>
        <w:t>.</w:t>
      </w:r>
    </w:p>
  </w:footnote>
  <w:footnote w:id="3">
    <w:p w14:paraId="2140ED41" w14:textId="1BBAD4E5" w:rsidR="001613F8" w:rsidRDefault="001613F8">
      <w:pPr>
        <w:pStyle w:val="FootnoteText"/>
      </w:pPr>
      <w:r>
        <w:rPr>
          <w:rStyle w:val="FootnoteReference"/>
        </w:rPr>
        <w:footnoteRef/>
      </w:r>
      <w:r>
        <w:t xml:space="preserve"> </w:t>
      </w:r>
      <w:r w:rsidRPr="001613F8">
        <w:t>Hong DS, et al</w:t>
      </w:r>
      <w:r>
        <w:t xml:space="preserve"> (2020)</w:t>
      </w:r>
      <w:r w:rsidRPr="001613F8">
        <w:t xml:space="preserve">. Larotrectinib in patients with TRK fusion-positive solid tumours: a pooled analysis of three phase 1/2 clinical trials. </w:t>
      </w:r>
      <w:r w:rsidRPr="009C31D1">
        <w:rPr>
          <w:i/>
          <w:iCs/>
        </w:rPr>
        <w:t>The Lancet Oncology</w:t>
      </w:r>
      <w:r w:rsidRPr="001613F8">
        <w:t>;21(4):531-40</w:t>
      </w:r>
    </w:p>
  </w:footnote>
  <w:footnote w:id="4">
    <w:p w14:paraId="0566C223" w14:textId="53FDF76A" w:rsidR="007865A7" w:rsidRDefault="007865A7">
      <w:pPr>
        <w:pStyle w:val="FootnoteText"/>
      </w:pPr>
      <w:r>
        <w:rPr>
          <w:rStyle w:val="FootnoteReference"/>
        </w:rPr>
        <w:footnoteRef/>
      </w:r>
      <w:r>
        <w:t xml:space="preserve"> </w:t>
      </w:r>
      <w:proofErr w:type="spellStart"/>
      <w:r w:rsidRPr="007865A7">
        <w:t>O’Haire</w:t>
      </w:r>
      <w:proofErr w:type="spellEnd"/>
      <w:r w:rsidRPr="007865A7">
        <w:t xml:space="preserve"> S</w:t>
      </w:r>
      <w:r>
        <w:t xml:space="preserve"> et al (2023). </w:t>
      </w:r>
      <w:r w:rsidRPr="007865A7">
        <w:t xml:space="preserve">Systematic review of </w:t>
      </w:r>
      <w:r w:rsidRPr="007865A7">
        <w:rPr>
          <w:i/>
          <w:iCs/>
        </w:rPr>
        <w:t>NTRK</w:t>
      </w:r>
      <w:r w:rsidRPr="007865A7">
        <w:t xml:space="preserve"> 1/2/3 fusion prevalence pan-cancer and across solid tumours. </w:t>
      </w:r>
      <w:r w:rsidRPr="009C31D1">
        <w:rPr>
          <w:i/>
          <w:iCs/>
        </w:rPr>
        <w:t>Scientific Reports</w:t>
      </w:r>
      <w:r>
        <w:t>;</w:t>
      </w:r>
      <w:r w:rsidRPr="007865A7">
        <w:t xml:space="preserve"> 13(1):4116</w:t>
      </w:r>
    </w:p>
  </w:footnote>
  <w:footnote w:id="5">
    <w:p w14:paraId="3CBD76CD" w14:textId="6146611C" w:rsidR="00D23C7D" w:rsidRDefault="00D23C7D">
      <w:pPr>
        <w:pStyle w:val="FootnoteText"/>
      </w:pPr>
      <w:r>
        <w:rPr>
          <w:rStyle w:val="FootnoteReference"/>
        </w:rPr>
        <w:footnoteRef/>
      </w:r>
      <w:r>
        <w:t xml:space="preserve"> </w:t>
      </w:r>
      <w:r w:rsidRPr="00B56A71">
        <w:t>Liu F</w:t>
      </w:r>
      <w:r>
        <w:t xml:space="preserve"> et al (2022)</w:t>
      </w:r>
      <w:r w:rsidRPr="00B56A71">
        <w:t xml:space="preserve">. NTRK fusion in non-small cell lung cancer: Diagnosis, therapy, and TRK inhibitor resistance. </w:t>
      </w:r>
      <w:r w:rsidRPr="009C31D1">
        <w:rPr>
          <w:i/>
          <w:iCs/>
        </w:rPr>
        <w:t>Frontiers in Oncology</w:t>
      </w:r>
      <w:r w:rsidRPr="00B56A71">
        <w:t>. 2022;12:864666</w:t>
      </w:r>
    </w:p>
  </w:footnote>
  <w:footnote w:id="6">
    <w:p w14:paraId="4D05C87C" w14:textId="69786DA5" w:rsidR="00B56A71" w:rsidRDefault="00B56A71">
      <w:pPr>
        <w:pStyle w:val="FootnoteText"/>
      </w:pPr>
      <w:r>
        <w:rPr>
          <w:rStyle w:val="FootnoteReference"/>
        </w:rPr>
        <w:footnoteRef/>
      </w:r>
      <w:r>
        <w:t xml:space="preserve"> </w:t>
      </w:r>
      <w:r w:rsidRPr="00B56A71">
        <w:t>Sha D</w:t>
      </w:r>
      <w:r>
        <w:t xml:space="preserve"> et al (2020)</w:t>
      </w:r>
      <w:r w:rsidRPr="00B56A71">
        <w:t xml:space="preserve">. Tumor mutational burden as a predictive biomarker in solid tumors. </w:t>
      </w:r>
      <w:r w:rsidRPr="009C31D1">
        <w:rPr>
          <w:i/>
          <w:iCs/>
        </w:rPr>
        <w:t>Cancer discovery</w:t>
      </w:r>
      <w:r w:rsidRPr="00B56A71">
        <w:t>. 10(12):1808-25</w:t>
      </w:r>
      <w:r>
        <w:t>.</w:t>
      </w:r>
    </w:p>
  </w:footnote>
  <w:footnote w:id="7">
    <w:p w14:paraId="79F0337A" w14:textId="77F02A76" w:rsidR="00B56A71" w:rsidRDefault="00B56A71">
      <w:pPr>
        <w:pStyle w:val="FootnoteText"/>
      </w:pPr>
      <w:r>
        <w:rPr>
          <w:rStyle w:val="FootnoteReference"/>
        </w:rPr>
        <w:footnoteRef/>
      </w:r>
      <w:r>
        <w:t xml:space="preserve"> Zhao P et al (2019). </w:t>
      </w:r>
      <w:r w:rsidRPr="00B56A71">
        <w:t xml:space="preserve">Mismatch repair deficiency/microsatellite instability-high as a predictor for anti-PD-1/PD-L1 immunotherapy efficacy. </w:t>
      </w:r>
      <w:r w:rsidRPr="009C31D1">
        <w:rPr>
          <w:i/>
          <w:iCs/>
        </w:rPr>
        <w:t xml:space="preserve">Journal of </w:t>
      </w:r>
      <w:r w:rsidR="009C31D1">
        <w:rPr>
          <w:i/>
          <w:iCs/>
        </w:rPr>
        <w:t>H</w:t>
      </w:r>
      <w:r w:rsidRPr="009C31D1">
        <w:rPr>
          <w:i/>
          <w:iCs/>
        </w:rPr>
        <w:t xml:space="preserve">ematology &amp; </w:t>
      </w:r>
      <w:r w:rsidR="009C31D1">
        <w:rPr>
          <w:i/>
          <w:iCs/>
        </w:rPr>
        <w:t>O</w:t>
      </w:r>
      <w:r w:rsidRPr="009C31D1">
        <w:rPr>
          <w:i/>
          <w:iCs/>
        </w:rPr>
        <w:t>ncology</w:t>
      </w:r>
      <w:r>
        <w:t>;</w:t>
      </w:r>
      <w:r w:rsidRPr="00B56A71">
        <w:t xml:space="preserve"> </w:t>
      </w:r>
      <w:r>
        <w:t>1</w:t>
      </w:r>
      <w:r w:rsidRPr="00B56A71">
        <w:t>2(1):1-14</w:t>
      </w:r>
      <w:r>
        <w:t>.</w:t>
      </w:r>
    </w:p>
  </w:footnote>
  <w:footnote w:id="8">
    <w:p w14:paraId="6B074D33" w14:textId="171E0E34" w:rsidR="00B56A71" w:rsidRDefault="00B56A71">
      <w:pPr>
        <w:pStyle w:val="FootnoteText"/>
      </w:pPr>
      <w:r>
        <w:rPr>
          <w:rStyle w:val="FootnoteReference"/>
        </w:rPr>
        <w:footnoteRef/>
      </w:r>
      <w:r>
        <w:t xml:space="preserve"> </w:t>
      </w:r>
      <w:r w:rsidRPr="00B56A71">
        <w:t>Gatalica Z</w:t>
      </w:r>
      <w:r>
        <w:t xml:space="preserve"> et al (2019). </w:t>
      </w:r>
      <w:r w:rsidRPr="00B56A71">
        <w:t xml:space="preserve">Molecular characterization of cancers with NTRK gene fusions. </w:t>
      </w:r>
      <w:r w:rsidRPr="009C31D1">
        <w:rPr>
          <w:i/>
          <w:iCs/>
        </w:rPr>
        <w:t>Modern Pathology</w:t>
      </w:r>
      <w:r w:rsidRPr="00B56A71">
        <w:t>. 32(1):147-53.</w:t>
      </w:r>
    </w:p>
  </w:footnote>
  <w:footnote w:id="9">
    <w:p w14:paraId="4663279B" w14:textId="2BD07BFB" w:rsidR="00BB7943" w:rsidRDefault="00BB7943">
      <w:pPr>
        <w:pStyle w:val="FootnoteText"/>
      </w:pPr>
      <w:r>
        <w:rPr>
          <w:rStyle w:val="FootnoteReference"/>
        </w:rPr>
        <w:footnoteRef/>
      </w:r>
      <w:r>
        <w:t xml:space="preserve"> </w:t>
      </w:r>
      <w:r w:rsidRPr="00525B39">
        <w:rPr>
          <w:sz w:val="16"/>
        </w:rPr>
        <w:t>Cherny NI, Dafni U, Bogaerts J, et al: ESMO-Magnitude of Clinical Benefit Scale version 1.1. Annals of Oncology 28:2340-2366, 2017</w:t>
      </w:r>
    </w:p>
  </w:footnote>
  <w:footnote w:id="10">
    <w:p w14:paraId="7A525A4C" w14:textId="77777777" w:rsidR="00094EB4" w:rsidRDefault="00094EB4" w:rsidP="00094EB4">
      <w:pPr>
        <w:pStyle w:val="FootnoteText"/>
      </w:pPr>
      <w:r>
        <w:rPr>
          <w:rStyle w:val="FootnoteReference"/>
        </w:rPr>
        <w:footnoteRef/>
      </w:r>
      <w:r>
        <w:t xml:space="preserve"> </w:t>
      </w:r>
      <w:r w:rsidRPr="003D7442">
        <w:t>Study 20288 [formerly known as LOXO001], Study 20289 or NAVIGATE [formerly known as LOXO002], and Study 20290 or SCOUT [formerly known as LOXO003])</w:t>
      </w:r>
    </w:p>
  </w:footnote>
  <w:footnote w:id="11">
    <w:p w14:paraId="1F63CF65" w14:textId="059E696C" w:rsidR="00FC24EC" w:rsidRDefault="00FC24EC">
      <w:pPr>
        <w:pStyle w:val="FootnoteText"/>
      </w:pPr>
      <w:r>
        <w:rPr>
          <w:rStyle w:val="FootnoteReference"/>
        </w:rPr>
        <w:footnoteRef/>
      </w:r>
      <w:r>
        <w:t xml:space="preserve"> </w:t>
      </w:r>
      <w:r w:rsidRPr="00FC24EC">
        <w:t>https://classic.clinicaltrials.gov/ct2/show/NCT01673867</w:t>
      </w:r>
    </w:p>
  </w:footnote>
  <w:footnote w:id="12">
    <w:p w14:paraId="0914F863" w14:textId="5BA14978" w:rsidR="00097911" w:rsidRPr="00AD46C1" w:rsidRDefault="00097911" w:rsidP="00097911">
      <w:pPr>
        <w:pStyle w:val="FootnoteText"/>
      </w:pPr>
      <w:r w:rsidRPr="00AD46C1">
        <w:rPr>
          <w:rStyle w:val="FootnoteReference"/>
        </w:rPr>
        <w:footnoteRef/>
      </w:r>
      <w:r w:rsidRPr="00AD46C1">
        <w:t xml:space="preserve"> The resubmission applied the costs of initial treatment across all cycles of treatment, instead of only to the first 12 cycles, in the STS model. This was corrected to apply the cost of continuing treatment for cycle 13 onwards (in line with the proposed listing)</w:t>
      </w:r>
      <w:r w:rsidR="000C77A2">
        <w:t xml:space="preserve">. </w:t>
      </w:r>
    </w:p>
  </w:footnote>
  <w:footnote w:id="13">
    <w:p w14:paraId="21B0F3A6" w14:textId="1C7FE6D9" w:rsidR="00D5155A" w:rsidRDefault="00D5155A">
      <w:pPr>
        <w:pStyle w:val="FootnoteText"/>
      </w:pPr>
      <w:r>
        <w:rPr>
          <w:rStyle w:val="FootnoteReference"/>
        </w:rPr>
        <w:footnoteRef/>
      </w:r>
      <w:r>
        <w:t xml:space="preserve"> </w:t>
      </w:r>
      <w:hyperlink r:id="rId1" w:history="1">
        <w:r>
          <w:rPr>
            <w:rStyle w:val="Hyperlink"/>
          </w:rPr>
          <w:t>NTRK fusion detection across multiple assays and 33,997 cases: diagnostic implications and pitfalls - PubMed (nih.gov)</w:t>
        </w:r>
      </w:hyperlink>
    </w:p>
  </w:footnote>
  <w:footnote w:id="14">
    <w:p w14:paraId="4E9F5F20" w14:textId="5173912E" w:rsidR="00D5155A" w:rsidRDefault="00D5155A">
      <w:pPr>
        <w:pStyle w:val="FootnoteText"/>
      </w:pPr>
      <w:r>
        <w:rPr>
          <w:rStyle w:val="FootnoteReference"/>
        </w:rPr>
        <w:footnoteRef/>
      </w:r>
      <w:r>
        <w:t xml:space="preserve"> </w:t>
      </w:r>
      <w:hyperlink r:id="rId2" w:history="1">
        <w:r>
          <w:rPr>
            <w:rStyle w:val="Hyperlink"/>
          </w:rPr>
          <w:t>Systematic review of NTRK 1/2/3 fusion prevalence pan-cancer and across solid tumours | Scientific Reports (nature.com)</w:t>
        </w:r>
      </w:hyperlink>
      <w:r>
        <w:t xml:space="preserve"> </w:t>
      </w:r>
    </w:p>
  </w:footnote>
  <w:footnote w:id="15">
    <w:p w14:paraId="73AFB2C2" w14:textId="5320A5C0" w:rsidR="00D5155A" w:rsidRDefault="00D5155A">
      <w:pPr>
        <w:pStyle w:val="FootnoteText"/>
      </w:pPr>
      <w:r>
        <w:rPr>
          <w:rStyle w:val="FootnoteReference"/>
        </w:rPr>
        <w:footnoteRef/>
      </w:r>
      <w:r>
        <w:t xml:space="preserve"> </w:t>
      </w:r>
      <w:hyperlink r:id="rId3" w:history="1">
        <w:r>
          <w:rPr>
            <w:rStyle w:val="Hyperlink"/>
          </w:rPr>
          <w:t>Outcomes of first-line pembrolizumab monotherapy for PD-L1-positive (TPS ≥50%) metastatic NSCLC at US oncology practices - PubMed (nih.gov)</w:t>
        </w:r>
      </w:hyperlink>
    </w:p>
  </w:footnote>
  <w:footnote w:id="16">
    <w:p w14:paraId="2DED40CD" w14:textId="1253C306" w:rsidR="00D5155A" w:rsidRDefault="00D5155A">
      <w:pPr>
        <w:pStyle w:val="FootnoteText"/>
      </w:pPr>
      <w:r>
        <w:rPr>
          <w:rStyle w:val="FootnoteReference"/>
        </w:rPr>
        <w:footnoteRef/>
      </w:r>
      <w:r>
        <w:t xml:space="preserve"> </w:t>
      </w:r>
      <w:hyperlink r:id="rId4" w:history="1">
        <w:r>
          <w:rPr>
            <w:rStyle w:val="Hyperlink"/>
          </w:rPr>
          <w:t>Patterns of care in a population-based sample of soft tissue sarcoma patients in the United States - PubMed (nih.gov)</w:t>
        </w:r>
      </w:hyperlink>
    </w:p>
  </w:footnote>
  <w:footnote w:id="17">
    <w:p w14:paraId="4F5E9052" w14:textId="2F83307C" w:rsidR="00D5155A" w:rsidRDefault="00D5155A">
      <w:pPr>
        <w:pStyle w:val="FootnoteText"/>
      </w:pPr>
      <w:r>
        <w:rPr>
          <w:rStyle w:val="FootnoteReference"/>
        </w:rPr>
        <w:footnoteRef/>
      </w:r>
      <w:r>
        <w:t xml:space="preserve"> </w:t>
      </w:r>
      <w:hyperlink r:id="rId5" w:history="1">
        <w:r>
          <w:rPr>
            <w:rStyle w:val="Hyperlink"/>
          </w:rPr>
          <w:t>Treatment of advanced, metastatic soft tissue sarcoma: latest evidence and clinical considerations - PubMed (nih.gov)</w:t>
        </w:r>
      </w:hyperlink>
    </w:p>
  </w:footnote>
  <w:footnote w:id="18">
    <w:p w14:paraId="24D8B873" w14:textId="77777777" w:rsidR="00097911" w:rsidRDefault="00097911" w:rsidP="00097911">
      <w:pPr>
        <w:pStyle w:val="FootnoteText"/>
      </w:pPr>
      <w:r>
        <w:rPr>
          <w:rStyle w:val="FootnoteReference"/>
        </w:rPr>
        <w:footnoteRef/>
      </w:r>
      <w:r>
        <w:t xml:space="preserve">  </w:t>
      </w:r>
      <w:hyperlink r:id="rId6" w:history="1">
        <w:r>
          <w:rPr>
            <w:rStyle w:val="Hyperlink"/>
          </w:rPr>
          <w:t>Systematic review of NTRK 1/2/3 fusion prevalence pan-cancer and across solid tumours | Scientific Reports (nature.com)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2B74" w14:textId="77777777" w:rsidR="003E6FD3" w:rsidRDefault="003E6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2ECD" w14:textId="32E9A459" w:rsidR="00575AA1" w:rsidRPr="003E6FD3" w:rsidRDefault="00D84194" w:rsidP="00B22126">
    <w:pPr>
      <w:pStyle w:val="Header"/>
      <w:rPr>
        <w:rFonts w:asciiTheme="minorHAnsi" w:hAnsiTheme="minorHAnsi"/>
        <w:i/>
      </w:rPr>
    </w:pPr>
    <w:r w:rsidRPr="003E6FD3">
      <w:rPr>
        <w:rFonts w:asciiTheme="minorHAnsi" w:hAnsiTheme="minorHAnsi"/>
        <w:i/>
      </w:rPr>
      <w:t xml:space="preserve">Public Summary Document </w:t>
    </w:r>
    <w:r w:rsidR="00B22126" w:rsidRPr="003E6FD3">
      <w:rPr>
        <w:rFonts w:asciiTheme="minorHAnsi" w:hAnsiTheme="minorHAnsi"/>
        <w:i/>
      </w:rPr>
      <w:t>–</w:t>
    </w:r>
    <w:r w:rsidR="00886653" w:rsidRPr="003E6FD3">
      <w:rPr>
        <w:rFonts w:asciiTheme="minorHAnsi" w:hAnsiTheme="minorHAnsi"/>
        <w:i/>
      </w:rPr>
      <w:t xml:space="preserve"> </w:t>
    </w:r>
    <w:r w:rsidR="00ED4CE2" w:rsidRPr="003E6FD3">
      <w:rPr>
        <w:rFonts w:asciiTheme="minorHAnsi" w:hAnsiTheme="minorHAnsi"/>
        <w:i/>
      </w:rPr>
      <w:t>March 202</w:t>
    </w:r>
    <w:r w:rsidR="00A14641" w:rsidRPr="003E6FD3">
      <w:rPr>
        <w:rFonts w:asciiTheme="minorHAnsi" w:hAnsiTheme="minorHAnsi"/>
        <w:i/>
      </w:rPr>
      <w:t>4</w:t>
    </w:r>
    <w:r w:rsidR="005F7D34" w:rsidRPr="003E6FD3">
      <w:rPr>
        <w:rFonts w:asciiTheme="minorHAnsi" w:hAnsiTheme="minorHAnsi"/>
        <w:i/>
      </w:rPr>
      <w:t xml:space="preserve"> </w:t>
    </w:r>
    <w:r w:rsidR="00575AA1" w:rsidRPr="003E6FD3">
      <w:rPr>
        <w:rFonts w:asciiTheme="minorHAnsi" w:hAnsiTheme="minorHAnsi"/>
        <w:i/>
      </w:rPr>
      <w:t>PBAC Meeting</w:t>
    </w:r>
  </w:p>
  <w:p w14:paraId="550F3895" w14:textId="77777777" w:rsidR="003E6FD3" w:rsidRPr="00B22126" w:rsidRDefault="003E6FD3" w:rsidP="00B22126">
    <w:pPr>
      <w:pStyle w:val="Head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065C" w14:textId="77777777" w:rsidR="003E6FD3" w:rsidRDefault="003E6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76D4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4E1865"/>
    <w:multiLevelType w:val="hybridMultilevel"/>
    <w:tmpl w:val="217E3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301D3C"/>
    <w:multiLevelType w:val="hybridMultilevel"/>
    <w:tmpl w:val="74A68580"/>
    <w:lvl w:ilvl="0" w:tplc="E09AFDEC">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A81160"/>
    <w:multiLevelType w:val="hybridMultilevel"/>
    <w:tmpl w:val="671036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77189"/>
    <w:multiLevelType w:val="hybridMultilevel"/>
    <w:tmpl w:val="4076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47C8C"/>
    <w:multiLevelType w:val="hybridMultilevel"/>
    <w:tmpl w:val="3FD2B944"/>
    <w:lvl w:ilvl="0" w:tplc="E49600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924B3"/>
    <w:multiLevelType w:val="hybridMultilevel"/>
    <w:tmpl w:val="4B649EA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A16DF4"/>
    <w:multiLevelType w:val="hybridMultilevel"/>
    <w:tmpl w:val="157C85C2"/>
    <w:lvl w:ilvl="0" w:tplc="D41CB7B8">
      <w:start w:val="1"/>
      <w:numFmt w:val="bullet"/>
      <w:lvlText w:val="•"/>
      <w:lvlJc w:val="left"/>
      <w:pPr>
        <w:tabs>
          <w:tab w:val="num" w:pos="720"/>
        </w:tabs>
        <w:ind w:left="720" w:hanging="360"/>
      </w:pPr>
      <w:rPr>
        <w:rFonts w:ascii="Arial" w:hAnsi="Arial" w:hint="default"/>
      </w:rPr>
    </w:lvl>
    <w:lvl w:ilvl="1" w:tplc="87BCD8E0" w:tentative="1">
      <w:start w:val="1"/>
      <w:numFmt w:val="bullet"/>
      <w:lvlText w:val="•"/>
      <w:lvlJc w:val="left"/>
      <w:pPr>
        <w:tabs>
          <w:tab w:val="num" w:pos="1440"/>
        </w:tabs>
        <w:ind w:left="1440" w:hanging="360"/>
      </w:pPr>
      <w:rPr>
        <w:rFonts w:ascii="Arial" w:hAnsi="Arial" w:hint="default"/>
      </w:rPr>
    </w:lvl>
    <w:lvl w:ilvl="2" w:tplc="BAE20B68">
      <w:start w:val="1"/>
      <w:numFmt w:val="bullet"/>
      <w:lvlText w:val="•"/>
      <w:lvlJc w:val="left"/>
      <w:pPr>
        <w:tabs>
          <w:tab w:val="num" w:pos="2160"/>
        </w:tabs>
        <w:ind w:left="2160" w:hanging="360"/>
      </w:pPr>
      <w:rPr>
        <w:rFonts w:ascii="Arial" w:hAnsi="Arial" w:hint="default"/>
      </w:rPr>
    </w:lvl>
    <w:lvl w:ilvl="3" w:tplc="D59A10F4" w:tentative="1">
      <w:start w:val="1"/>
      <w:numFmt w:val="bullet"/>
      <w:lvlText w:val="•"/>
      <w:lvlJc w:val="left"/>
      <w:pPr>
        <w:tabs>
          <w:tab w:val="num" w:pos="2880"/>
        </w:tabs>
        <w:ind w:left="2880" w:hanging="360"/>
      </w:pPr>
      <w:rPr>
        <w:rFonts w:ascii="Arial" w:hAnsi="Arial" w:hint="default"/>
      </w:rPr>
    </w:lvl>
    <w:lvl w:ilvl="4" w:tplc="B3E0341C" w:tentative="1">
      <w:start w:val="1"/>
      <w:numFmt w:val="bullet"/>
      <w:lvlText w:val="•"/>
      <w:lvlJc w:val="left"/>
      <w:pPr>
        <w:tabs>
          <w:tab w:val="num" w:pos="3600"/>
        </w:tabs>
        <w:ind w:left="3600" w:hanging="360"/>
      </w:pPr>
      <w:rPr>
        <w:rFonts w:ascii="Arial" w:hAnsi="Arial" w:hint="default"/>
      </w:rPr>
    </w:lvl>
    <w:lvl w:ilvl="5" w:tplc="8CB6A9EE" w:tentative="1">
      <w:start w:val="1"/>
      <w:numFmt w:val="bullet"/>
      <w:lvlText w:val="•"/>
      <w:lvlJc w:val="left"/>
      <w:pPr>
        <w:tabs>
          <w:tab w:val="num" w:pos="4320"/>
        </w:tabs>
        <w:ind w:left="4320" w:hanging="360"/>
      </w:pPr>
      <w:rPr>
        <w:rFonts w:ascii="Arial" w:hAnsi="Arial" w:hint="default"/>
      </w:rPr>
    </w:lvl>
    <w:lvl w:ilvl="6" w:tplc="A6A0E744" w:tentative="1">
      <w:start w:val="1"/>
      <w:numFmt w:val="bullet"/>
      <w:lvlText w:val="•"/>
      <w:lvlJc w:val="left"/>
      <w:pPr>
        <w:tabs>
          <w:tab w:val="num" w:pos="5040"/>
        </w:tabs>
        <w:ind w:left="5040" w:hanging="360"/>
      </w:pPr>
      <w:rPr>
        <w:rFonts w:ascii="Arial" w:hAnsi="Arial" w:hint="default"/>
      </w:rPr>
    </w:lvl>
    <w:lvl w:ilvl="7" w:tplc="D6D42B4C" w:tentative="1">
      <w:start w:val="1"/>
      <w:numFmt w:val="bullet"/>
      <w:lvlText w:val="•"/>
      <w:lvlJc w:val="left"/>
      <w:pPr>
        <w:tabs>
          <w:tab w:val="num" w:pos="5760"/>
        </w:tabs>
        <w:ind w:left="5760" w:hanging="360"/>
      </w:pPr>
      <w:rPr>
        <w:rFonts w:ascii="Arial" w:hAnsi="Arial" w:hint="default"/>
      </w:rPr>
    </w:lvl>
    <w:lvl w:ilvl="8" w:tplc="60C84B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A4232D"/>
    <w:multiLevelType w:val="hybridMultilevel"/>
    <w:tmpl w:val="460C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00193"/>
    <w:multiLevelType w:val="hybridMultilevel"/>
    <w:tmpl w:val="337C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D796B"/>
    <w:multiLevelType w:val="hybridMultilevel"/>
    <w:tmpl w:val="A6628594"/>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574E0B"/>
    <w:multiLevelType w:val="hybridMultilevel"/>
    <w:tmpl w:val="089EEB6E"/>
    <w:lvl w:ilvl="0" w:tplc="A4002D44">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480038A"/>
    <w:multiLevelType w:val="hybridMultilevel"/>
    <w:tmpl w:val="8BC2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E51AC8"/>
    <w:multiLevelType w:val="hybridMultilevel"/>
    <w:tmpl w:val="7732449C"/>
    <w:lvl w:ilvl="0" w:tplc="56C08108">
      <w:start w:val="1"/>
      <w:numFmt w:val="bullet"/>
      <w:pStyle w:val="Tablebullet"/>
      <w:lvlText w:val=""/>
      <w:lvlJc w:val="left"/>
      <w:pPr>
        <w:tabs>
          <w:tab w:val="num" w:pos="360"/>
        </w:tabs>
        <w:ind w:left="360" w:hanging="360"/>
      </w:pPr>
      <w:rPr>
        <w:rFonts w:ascii="Wingdings" w:hAnsi="Wingdings" w:hint="default"/>
        <w:b w:val="0"/>
        <w:i w:val="0"/>
        <w:caps w:val="0"/>
        <w:strike w:val="0"/>
        <w:dstrike w:val="0"/>
        <w:vanish w:val="0"/>
        <w:color w:val="808080"/>
        <w:sz w:val="20"/>
        <w:szCs w:val="20"/>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682CBFBC">
      <w:start w:val="1"/>
      <w:numFmt w:val="bullet"/>
      <w:lvlText w:val="▪"/>
      <w:lvlJc w:val="left"/>
      <w:pPr>
        <w:tabs>
          <w:tab w:val="num" w:pos="1440"/>
        </w:tabs>
        <w:ind w:left="927" w:firstLine="153"/>
      </w:pPr>
      <w:rPr>
        <w:rFonts w:ascii="Verdana" w:hAnsi="Verdana" w:hint="default"/>
        <w:b w:val="0"/>
        <w:i w:val="0"/>
        <w:caps w:val="0"/>
        <w:strike w:val="0"/>
        <w:dstrike w:val="0"/>
        <w:vanish w:val="0"/>
        <w:color w:val="808080"/>
        <w:sz w:val="20"/>
        <w:szCs w:val="20"/>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2" w:tplc="FD66FD40">
      <w:start w:val="1"/>
      <w:numFmt w:val="bullet"/>
      <w:lvlText w:val=""/>
      <w:lvlJc w:val="left"/>
      <w:pPr>
        <w:tabs>
          <w:tab w:val="num" w:pos="2160"/>
        </w:tabs>
        <w:ind w:left="2160" w:hanging="360"/>
      </w:pPr>
      <w:rPr>
        <w:rFonts w:ascii="Symbol" w:hAnsi="Symbol" w:hint="default"/>
        <w:b w:val="0"/>
        <w:i w:val="0"/>
        <w:caps w:val="0"/>
        <w:strike w:val="0"/>
        <w:dstrike w:val="0"/>
        <w:vanish w:val="0"/>
        <w:color w:val="808080"/>
        <w:sz w:val="20"/>
        <w:szCs w:val="20"/>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0077D5"/>
    <w:multiLevelType w:val="hybridMultilevel"/>
    <w:tmpl w:val="125CC22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3A16BAA"/>
    <w:multiLevelType w:val="hybridMultilevel"/>
    <w:tmpl w:val="4D9E05E6"/>
    <w:lvl w:ilvl="0" w:tplc="93F6DF6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5CE5E05"/>
    <w:multiLevelType w:val="hybridMultilevel"/>
    <w:tmpl w:val="62F842F8"/>
    <w:lvl w:ilvl="0" w:tplc="04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E340740"/>
    <w:multiLevelType w:val="hybridMultilevel"/>
    <w:tmpl w:val="BA5627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F5905BE"/>
    <w:multiLevelType w:val="hybridMultilevel"/>
    <w:tmpl w:val="731804D6"/>
    <w:lvl w:ilvl="0" w:tplc="FBA2F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D73CC"/>
    <w:multiLevelType w:val="hybridMultilevel"/>
    <w:tmpl w:val="4A82D2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CCC0186"/>
    <w:multiLevelType w:val="hybridMultilevel"/>
    <w:tmpl w:val="4FD4F1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683B30"/>
    <w:multiLevelType w:val="hybridMultilevel"/>
    <w:tmpl w:val="C0CA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F7261"/>
    <w:multiLevelType w:val="hybridMultilevel"/>
    <w:tmpl w:val="94EEF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D41911"/>
    <w:multiLevelType w:val="hybridMultilevel"/>
    <w:tmpl w:val="338613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4D45E37"/>
    <w:multiLevelType w:val="hybridMultilevel"/>
    <w:tmpl w:val="7FECFF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72419D9"/>
    <w:multiLevelType w:val="hybridMultilevel"/>
    <w:tmpl w:val="9880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171143"/>
    <w:multiLevelType w:val="hybridMultilevel"/>
    <w:tmpl w:val="CD084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6F0166"/>
    <w:multiLevelType w:val="hybridMultilevel"/>
    <w:tmpl w:val="F3A0DA74"/>
    <w:lvl w:ilvl="0" w:tplc="73FC0AB0">
      <w:start w:val="1"/>
      <w:numFmt w:val="decimal"/>
      <w:lvlText w:val="%1."/>
      <w:lvlJc w:val="left"/>
      <w:pPr>
        <w:ind w:left="363" w:hanging="360"/>
      </w:pPr>
      <w:rPr>
        <w:i/>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42" w15:restartNumberingAfterBreak="0">
    <w:nsid w:val="6F270BE5"/>
    <w:multiLevelType w:val="hybridMultilevel"/>
    <w:tmpl w:val="BC90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A84FE5"/>
    <w:multiLevelType w:val="hybridMultilevel"/>
    <w:tmpl w:val="33E65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2229EE"/>
    <w:multiLevelType w:val="hybridMultilevel"/>
    <w:tmpl w:val="B45A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4745A2"/>
    <w:multiLevelType w:val="hybridMultilevel"/>
    <w:tmpl w:val="16484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015C0B"/>
    <w:multiLevelType w:val="hybridMultilevel"/>
    <w:tmpl w:val="BB006BB2"/>
    <w:lvl w:ilvl="0" w:tplc="00983CC2">
      <w:start w:val="1"/>
      <w:numFmt w:val="bullet"/>
      <w:lvlText w:val=""/>
      <w:lvlJc w:val="left"/>
      <w:pPr>
        <w:ind w:left="720" w:hanging="360"/>
      </w:pPr>
      <w:rPr>
        <w:rFonts w:ascii="Symbol" w:hAnsi="Symbol"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0303A6"/>
    <w:multiLevelType w:val="hybridMultilevel"/>
    <w:tmpl w:val="6820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388922">
    <w:abstractNumId w:val="46"/>
  </w:num>
  <w:num w:numId="2" w16cid:durableId="1960453403">
    <w:abstractNumId w:val="25"/>
  </w:num>
  <w:num w:numId="3" w16cid:durableId="789200038">
    <w:abstractNumId w:val="26"/>
  </w:num>
  <w:num w:numId="4" w16cid:durableId="1497958892">
    <w:abstractNumId w:val="0"/>
  </w:num>
  <w:num w:numId="5" w16cid:durableId="469977703">
    <w:abstractNumId w:val="46"/>
  </w:num>
  <w:num w:numId="6" w16cid:durableId="9581018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798972">
    <w:abstractNumId w:val="11"/>
  </w:num>
  <w:num w:numId="8" w16cid:durableId="1234199606">
    <w:abstractNumId w:val="48"/>
  </w:num>
  <w:num w:numId="9" w16cid:durableId="1378772784">
    <w:abstractNumId w:val="35"/>
  </w:num>
  <w:num w:numId="10" w16cid:durableId="296686366">
    <w:abstractNumId w:val="6"/>
  </w:num>
  <w:num w:numId="11" w16cid:durableId="1827092433">
    <w:abstractNumId w:val="30"/>
  </w:num>
  <w:num w:numId="12" w16cid:durableId="1974477518">
    <w:abstractNumId w:val="37"/>
  </w:num>
  <w:num w:numId="13" w16cid:durableId="1898084141">
    <w:abstractNumId w:val="21"/>
  </w:num>
  <w:num w:numId="14" w16cid:durableId="975336333">
    <w:abstractNumId w:val="39"/>
  </w:num>
  <w:num w:numId="15" w16cid:durableId="621812179">
    <w:abstractNumId w:val="18"/>
  </w:num>
  <w:num w:numId="16" w16cid:durableId="1537499653">
    <w:abstractNumId w:val="44"/>
  </w:num>
  <w:num w:numId="17" w16cid:durableId="1719359803">
    <w:abstractNumId w:val="31"/>
  </w:num>
  <w:num w:numId="18" w16cid:durableId="1263805218">
    <w:abstractNumId w:val="12"/>
  </w:num>
  <w:num w:numId="19" w16cid:durableId="164173034">
    <w:abstractNumId w:val="10"/>
  </w:num>
  <w:num w:numId="20" w16cid:durableId="1715808581">
    <w:abstractNumId w:val="45"/>
  </w:num>
  <w:num w:numId="21" w16cid:durableId="1649086491">
    <w:abstractNumId w:val="32"/>
  </w:num>
  <w:num w:numId="22" w16cid:durableId="830027618">
    <w:abstractNumId w:val="27"/>
  </w:num>
  <w:num w:numId="23" w16cid:durableId="802771568">
    <w:abstractNumId w:val="24"/>
  </w:num>
  <w:num w:numId="24" w16cid:durableId="225920397">
    <w:abstractNumId w:val="43"/>
  </w:num>
  <w:num w:numId="25" w16cid:durableId="912858750">
    <w:abstractNumId w:val="4"/>
  </w:num>
  <w:num w:numId="26" w16cid:durableId="1537549736">
    <w:abstractNumId w:val="28"/>
  </w:num>
  <w:num w:numId="27" w16cid:durableId="1050157303">
    <w:abstractNumId w:val="36"/>
  </w:num>
  <w:num w:numId="28" w16cid:durableId="1565138215">
    <w:abstractNumId w:val="7"/>
  </w:num>
  <w:num w:numId="29" w16cid:durableId="2109621373">
    <w:abstractNumId w:val="13"/>
  </w:num>
  <w:num w:numId="30" w16cid:durableId="520051735">
    <w:abstractNumId w:val="22"/>
  </w:num>
  <w:num w:numId="31" w16cid:durableId="1238588885">
    <w:abstractNumId w:val="49"/>
  </w:num>
  <w:num w:numId="32" w16cid:durableId="912934462">
    <w:abstractNumId w:val="42"/>
  </w:num>
  <w:num w:numId="33" w16cid:durableId="1218276233">
    <w:abstractNumId w:val="34"/>
  </w:num>
  <w:num w:numId="34" w16cid:durableId="684094775">
    <w:abstractNumId w:val="41"/>
  </w:num>
  <w:num w:numId="35" w16cid:durableId="1473912531">
    <w:abstractNumId w:val="8"/>
  </w:num>
  <w:num w:numId="36" w16cid:durableId="607199253">
    <w:abstractNumId w:val="38"/>
  </w:num>
  <w:num w:numId="37" w16cid:durableId="1096055552">
    <w:abstractNumId w:val="3"/>
  </w:num>
  <w:num w:numId="38" w16cid:durableId="1893540083">
    <w:abstractNumId w:val="47"/>
  </w:num>
  <w:num w:numId="39" w16cid:durableId="293870262">
    <w:abstractNumId w:val="16"/>
  </w:num>
  <w:num w:numId="40" w16cid:durableId="749155906">
    <w:abstractNumId w:val="29"/>
  </w:num>
  <w:num w:numId="41" w16cid:durableId="1342657537">
    <w:abstractNumId w:val="5"/>
  </w:num>
  <w:num w:numId="42" w16cid:durableId="1801460457">
    <w:abstractNumId w:val="1"/>
  </w:num>
  <w:num w:numId="43" w16cid:durableId="247816463">
    <w:abstractNumId w:val="15"/>
  </w:num>
  <w:num w:numId="44" w16cid:durableId="1519805818">
    <w:abstractNumId w:val="19"/>
  </w:num>
  <w:num w:numId="45" w16cid:durableId="1160656570">
    <w:abstractNumId w:val="14"/>
  </w:num>
  <w:num w:numId="46" w16cid:durableId="129744317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4793553">
    <w:abstractNumId w:val="40"/>
  </w:num>
  <w:num w:numId="48" w16cid:durableId="178398877">
    <w:abstractNumId w:val="46"/>
  </w:num>
  <w:num w:numId="49" w16cid:durableId="1088968974">
    <w:abstractNumId w:val="20"/>
  </w:num>
  <w:num w:numId="50" w16cid:durableId="350381507">
    <w:abstractNumId w:val="23"/>
  </w:num>
  <w:num w:numId="51" w16cid:durableId="473988107">
    <w:abstractNumId w:val="2"/>
  </w:num>
  <w:num w:numId="52" w16cid:durableId="1476095499">
    <w:abstractNumId w:val="26"/>
  </w:num>
  <w:num w:numId="53" w16cid:durableId="1174495025">
    <w:abstractNumId w:val="17"/>
  </w:num>
  <w:num w:numId="54" w16cid:durableId="1651254518">
    <w:abstractNumId w:val="0"/>
  </w:num>
  <w:num w:numId="55" w16cid:durableId="639578918">
    <w:abstractNumId w:val="9"/>
  </w:num>
  <w:num w:numId="56" w16cid:durableId="94371909">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9rvfvdexafpae5afxxvxxberddwprv5t0a&quot;&gt;Larotrectinib 2023&lt;record-ids&gt;&lt;item&gt;1&lt;/item&gt;&lt;item&gt;2&lt;/item&gt;&lt;item&gt;3&lt;/item&gt;&lt;item&gt;4&lt;/item&gt;&lt;item&gt;5&lt;/item&gt;&lt;item&gt;6&lt;/item&gt;&lt;item&gt;7&lt;/item&gt;&lt;item&gt;9&lt;/item&gt;&lt;item&gt;10&lt;/item&gt;&lt;item&gt;11&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E65E79"/>
    <w:rsid w:val="00000790"/>
    <w:rsid w:val="0000110B"/>
    <w:rsid w:val="0000166F"/>
    <w:rsid w:val="00002433"/>
    <w:rsid w:val="00003499"/>
    <w:rsid w:val="000039B7"/>
    <w:rsid w:val="000039C3"/>
    <w:rsid w:val="000056B9"/>
    <w:rsid w:val="00005920"/>
    <w:rsid w:val="0000639A"/>
    <w:rsid w:val="000110D8"/>
    <w:rsid w:val="00013247"/>
    <w:rsid w:val="00013672"/>
    <w:rsid w:val="00013DBE"/>
    <w:rsid w:val="00015886"/>
    <w:rsid w:val="000162EF"/>
    <w:rsid w:val="00020482"/>
    <w:rsid w:val="000207C9"/>
    <w:rsid w:val="0002225F"/>
    <w:rsid w:val="00022D2F"/>
    <w:rsid w:val="00023763"/>
    <w:rsid w:val="00024EB5"/>
    <w:rsid w:val="0002633E"/>
    <w:rsid w:val="000274B8"/>
    <w:rsid w:val="00031317"/>
    <w:rsid w:val="00032A02"/>
    <w:rsid w:val="00033863"/>
    <w:rsid w:val="000345DD"/>
    <w:rsid w:val="00035DC0"/>
    <w:rsid w:val="00036829"/>
    <w:rsid w:val="00036DFD"/>
    <w:rsid w:val="0004028A"/>
    <w:rsid w:val="00040895"/>
    <w:rsid w:val="00040EC1"/>
    <w:rsid w:val="00040F82"/>
    <w:rsid w:val="000410A0"/>
    <w:rsid w:val="00042DDC"/>
    <w:rsid w:val="00042FE0"/>
    <w:rsid w:val="000435EE"/>
    <w:rsid w:val="00043C37"/>
    <w:rsid w:val="00045017"/>
    <w:rsid w:val="00045A2B"/>
    <w:rsid w:val="0004698F"/>
    <w:rsid w:val="00046D64"/>
    <w:rsid w:val="00047B3A"/>
    <w:rsid w:val="000501E0"/>
    <w:rsid w:val="000508C2"/>
    <w:rsid w:val="000509AE"/>
    <w:rsid w:val="00051038"/>
    <w:rsid w:val="000539D0"/>
    <w:rsid w:val="00054621"/>
    <w:rsid w:val="000546D7"/>
    <w:rsid w:val="00054A8D"/>
    <w:rsid w:val="000558B2"/>
    <w:rsid w:val="00056ECF"/>
    <w:rsid w:val="000604DF"/>
    <w:rsid w:val="0006073E"/>
    <w:rsid w:val="0006073F"/>
    <w:rsid w:val="00060FA0"/>
    <w:rsid w:val="00062324"/>
    <w:rsid w:val="000653B5"/>
    <w:rsid w:val="00066360"/>
    <w:rsid w:val="00066AF8"/>
    <w:rsid w:val="00066ED6"/>
    <w:rsid w:val="00071248"/>
    <w:rsid w:val="000720B9"/>
    <w:rsid w:val="000737AC"/>
    <w:rsid w:val="000737F7"/>
    <w:rsid w:val="0007672F"/>
    <w:rsid w:val="00076B54"/>
    <w:rsid w:val="00077087"/>
    <w:rsid w:val="000774F0"/>
    <w:rsid w:val="00077566"/>
    <w:rsid w:val="000777D7"/>
    <w:rsid w:val="00080909"/>
    <w:rsid w:val="000812CA"/>
    <w:rsid w:val="00081318"/>
    <w:rsid w:val="00081E63"/>
    <w:rsid w:val="0008258D"/>
    <w:rsid w:val="00082A41"/>
    <w:rsid w:val="00083E99"/>
    <w:rsid w:val="00084EC8"/>
    <w:rsid w:val="00084FA8"/>
    <w:rsid w:val="000856C5"/>
    <w:rsid w:val="00085C31"/>
    <w:rsid w:val="000865FF"/>
    <w:rsid w:val="000902D9"/>
    <w:rsid w:val="00090C7E"/>
    <w:rsid w:val="000911AC"/>
    <w:rsid w:val="00092600"/>
    <w:rsid w:val="0009262B"/>
    <w:rsid w:val="00093310"/>
    <w:rsid w:val="00093EAE"/>
    <w:rsid w:val="0009404E"/>
    <w:rsid w:val="0009445C"/>
    <w:rsid w:val="00094EB4"/>
    <w:rsid w:val="00095200"/>
    <w:rsid w:val="00095FE5"/>
    <w:rsid w:val="00096284"/>
    <w:rsid w:val="00097911"/>
    <w:rsid w:val="000A1BC0"/>
    <w:rsid w:val="000A1C9D"/>
    <w:rsid w:val="000A2F9E"/>
    <w:rsid w:val="000A3E47"/>
    <w:rsid w:val="000A522B"/>
    <w:rsid w:val="000A6039"/>
    <w:rsid w:val="000A6C3B"/>
    <w:rsid w:val="000A7453"/>
    <w:rsid w:val="000A7D08"/>
    <w:rsid w:val="000B0121"/>
    <w:rsid w:val="000B0670"/>
    <w:rsid w:val="000B0E75"/>
    <w:rsid w:val="000B1FD1"/>
    <w:rsid w:val="000B219D"/>
    <w:rsid w:val="000B2DCB"/>
    <w:rsid w:val="000B325E"/>
    <w:rsid w:val="000B3D81"/>
    <w:rsid w:val="000B4916"/>
    <w:rsid w:val="000B5A26"/>
    <w:rsid w:val="000B5CE0"/>
    <w:rsid w:val="000B6CAC"/>
    <w:rsid w:val="000B7612"/>
    <w:rsid w:val="000B78AE"/>
    <w:rsid w:val="000C3DF9"/>
    <w:rsid w:val="000C4CF2"/>
    <w:rsid w:val="000C54D4"/>
    <w:rsid w:val="000C5EDB"/>
    <w:rsid w:val="000C60A7"/>
    <w:rsid w:val="000C6713"/>
    <w:rsid w:val="000C77A2"/>
    <w:rsid w:val="000C7F30"/>
    <w:rsid w:val="000D1BFC"/>
    <w:rsid w:val="000D1D5D"/>
    <w:rsid w:val="000D1D97"/>
    <w:rsid w:val="000D281A"/>
    <w:rsid w:val="000D2848"/>
    <w:rsid w:val="000D326A"/>
    <w:rsid w:val="000D51FB"/>
    <w:rsid w:val="000E00F0"/>
    <w:rsid w:val="000E0640"/>
    <w:rsid w:val="000E135D"/>
    <w:rsid w:val="000E185C"/>
    <w:rsid w:val="000E7B51"/>
    <w:rsid w:val="000F00BA"/>
    <w:rsid w:val="000F193D"/>
    <w:rsid w:val="000F2708"/>
    <w:rsid w:val="000F2DDA"/>
    <w:rsid w:val="000F316A"/>
    <w:rsid w:val="000F3C74"/>
    <w:rsid w:val="000F3E73"/>
    <w:rsid w:val="000F4835"/>
    <w:rsid w:val="000F4BB8"/>
    <w:rsid w:val="000F4FA9"/>
    <w:rsid w:val="000F5134"/>
    <w:rsid w:val="000F53FB"/>
    <w:rsid w:val="000F7127"/>
    <w:rsid w:val="000F73DC"/>
    <w:rsid w:val="000F7B54"/>
    <w:rsid w:val="001000B3"/>
    <w:rsid w:val="00100F8A"/>
    <w:rsid w:val="0010215E"/>
    <w:rsid w:val="0010452E"/>
    <w:rsid w:val="00105AE2"/>
    <w:rsid w:val="001060C6"/>
    <w:rsid w:val="00106B80"/>
    <w:rsid w:val="0011032E"/>
    <w:rsid w:val="0011111F"/>
    <w:rsid w:val="0011127E"/>
    <w:rsid w:val="001117A5"/>
    <w:rsid w:val="00112A1D"/>
    <w:rsid w:val="0011348B"/>
    <w:rsid w:val="00115982"/>
    <w:rsid w:val="00116C53"/>
    <w:rsid w:val="0011798C"/>
    <w:rsid w:val="001205A4"/>
    <w:rsid w:val="0012132F"/>
    <w:rsid w:val="00121799"/>
    <w:rsid w:val="001222FC"/>
    <w:rsid w:val="00122531"/>
    <w:rsid w:val="0012298F"/>
    <w:rsid w:val="00123902"/>
    <w:rsid w:val="00123F9F"/>
    <w:rsid w:val="00124A51"/>
    <w:rsid w:val="00126604"/>
    <w:rsid w:val="00126621"/>
    <w:rsid w:val="00126B1D"/>
    <w:rsid w:val="001301E9"/>
    <w:rsid w:val="00131D82"/>
    <w:rsid w:val="00132B22"/>
    <w:rsid w:val="001337C6"/>
    <w:rsid w:val="00133D36"/>
    <w:rsid w:val="00137645"/>
    <w:rsid w:val="00137680"/>
    <w:rsid w:val="0014015A"/>
    <w:rsid w:val="00140E99"/>
    <w:rsid w:val="00143F67"/>
    <w:rsid w:val="00145234"/>
    <w:rsid w:val="00145540"/>
    <w:rsid w:val="001456B0"/>
    <w:rsid w:val="0014588E"/>
    <w:rsid w:val="0014618A"/>
    <w:rsid w:val="0015052E"/>
    <w:rsid w:val="0015091E"/>
    <w:rsid w:val="001538BB"/>
    <w:rsid w:val="00153FF9"/>
    <w:rsid w:val="001547AB"/>
    <w:rsid w:val="00154916"/>
    <w:rsid w:val="00156F8F"/>
    <w:rsid w:val="00157130"/>
    <w:rsid w:val="0015722B"/>
    <w:rsid w:val="001576B1"/>
    <w:rsid w:val="0016047B"/>
    <w:rsid w:val="00160A4C"/>
    <w:rsid w:val="001613F8"/>
    <w:rsid w:val="001625EE"/>
    <w:rsid w:val="00162913"/>
    <w:rsid w:val="00162C6F"/>
    <w:rsid w:val="00163B19"/>
    <w:rsid w:val="00163EFF"/>
    <w:rsid w:val="00163F66"/>
    <w:rsid w:val="0016478E"/>
    <w:rsid w:val="001657EB"/>
    <w:rsid w:val="00165E08"/>
    <w:rsid w:val="00165EC4"/>
    <w:rsid w:val="001661FB"/>
    <w:rsid w:val="001671A0"/>
    <w:rsid w:val="0016767F"/>
    <w:rsid w:val="00170CBB"/>
    <w:rsid w:val="0017186C"/>
    <w:rsid w:val="00171C26"/>
    <w:rsid w:val="001722E3"/>
    <w:rsid w:val="00172D07"/>
    <w:rsid w:val="00173565"/>
    <w:rsid w:val="001736C4"/>
    <w:rsid w:val="00173B07"/>
    <w:rsid w:val="001751FA"/>
    <w:rsid w:val="00177E4D"/>
    <w:rsid w:val="00177FCE"/>
    <w:rsid w:val="00181C10"/>
    <w:rsid w:val="00181D9C"/>
    <w:rsid w:val="001837FF"/>
    <w:rsid w:val="00183C0C"/>
    <w:rsid w:val="00184B0E"/>
    <w:rsid w:val="0018752F"/>
    <w:rsid w:val="00192F97"/>
    <w:rsid w:val="00193838"/>
    <w:rsid w:val="0019466C"/>
    <w:rsid w:val="00194AD8"/>
    <w:rsid w:val="00195222"/>
    <w:rsid w:val="00195452"/>
    <w:rsid w:val="00195ED4"/>
    <w:rsid w:val="00195F94"/>
    <w:rsid w:val="001962CB"/>
    <w:rsid w:val="001975D8"/>
    <w:rsid w:val="001A178E"/>
    <w:rsid w:val="001A41D8"/>
    <w:rsid w:val="001A43FA"/>
    <w:rsid w:val="001A4480"/>
    <w:rsid w:val="001A47C5"/>
    <w:rsid w:val="001A59FB"/>
    <w:rsid w:val="001A5E9E"/>
    <w:rsid w:val="001A6354"/>
    <w:rsid w:val="001A6366"/>
    <w:rsid w:val="001A7AE8"/>
    <w:rsid w:val="001B0FE7"/>
    <w:rsid w:val="001B19CA"/>
    <w:rsid w:val="001B204E"/>
    <w:rsid w:val="001B2372"/>
    <w:rsid w:val="001B3443"/>
    <w:rsid w:val="001B344C"/>
    <w:rsid w:val="001B4D20"/>
    <w:rsid w:val="001B74DB"/>
    <w:rsid w:val="001B7F84"/>
    <w:rsid w:val="001C2625"/>
    <w:rsid w:val="001C2884"/>
    <w:rsid w:val="001C2A9B"/>
    <w:rsid w:val="001C3DD6"/>
    <w:rsid w:val="001C4299"/>
    <w:rsid w:val="001C4874"/>
    <w:rsid w:val="001C5F94"/>
    <w:rsid w:val="001C6D52"/>
    <w:rsid w:val="001C6E66"/>
    <w:rsid w:val="001D1100"/>
    <w:rsid w:val="001D1391"/>
    <w:rsid w:val="001D2549"/>
    <w:rsid w:val="001D25D7"/>
    <w:rsid w:val="001D26BB"/>
    <w:rsid w:val="001D50B2"/>
    <w:rsid w:val="001D71F4"/>
    <w:rsid w:val="001D7645"/>
    <w:rsid w:val="001E1E86"/>
    <w:rsid w:val="001E238E"/>
    <w:rsid w:val="001E2483"/>
    <w:rsid w:val="001E2B1E"/>
    <w:rsid w:val="001E2CFF"/>
    <w:rsid w:val="001E2F24"/>
    <w:rsid w:val="001E30D4"/>
    <w:rsid w:val="001E34DF"/>
    <w:rsid w:val="001E51C6"/>
    <w:rsid w:val="001E52EB"/>
    <w:rsid w:val="001E61D2"/>
    <w:rsid w:val="001E6F79"/>
    <w:rsid w:val="001E740C"/>
    <w:rsid w:val="001E778C"/>
    <w:rsid w:val="001F1235"/>
    <w:rsid w:val="001F1CB3"/>
    <w:rsid w:val="001F38B5"/>
    <w:rsid w:val="001F4081"/>
    <w:rsid w:val="001F4492"/>
    <w:rsid w:val="001F4794"/>
    <w:rsid w:val="001F7201"/>
    <w:rsid w:val="001F7361"/>
    <w:rsid w:val="0020080E"/>
    <w:rsid w:val="002011B0"/>
    <w:rsid w:val="00203181"/>
    <w:rsid w:val="00203783"/>
    <w:rsid w:val="0020385F"/>
    <w:rsid w:val="00203958"/>
    <w:rsid w:val="00205C62"/>
    <w:rsid w:val="00206894"/>
    <w:rsid w:val="002068A0"/>
    <w:rsid w:val="00207021"/>
    <w:rsid w:val="0020732F"/>
    <w:rsid w:val="00207D00"/>
    <w:rsid w:val="002105C1"/>
    <w:rsid w:val="002116FD"/>
    <w:rsid w:val="00213EF5"/>
    <w:rsid w:val="00215E61"/>
    <w:rsid w:val="00216BF5"/>
    <w:rsid w:val="00216F9B"/>
    <w:rsid w:val="00223B49"/>
    <w:rsid w:val="00223D1D"/>
    <w:rsid w:val="00223D5A"/>
    <w:rsid w:val="00224DD4"/>
    <w:rsid w:val="00225C22"/>
    <w:rsid w:val="002278A0"/>
    <w:rsid w:val="002309CC"/>
    <w:rsid w:val="0023178A"/>
    <w:rsid w:val="00231BA9"/>
    <w:rsid w:val="00231D55"/>
    <w:rsid w:val="0023209F"/>
    <w:rsid w:val="00233C01"/>
    <w:rsid w:val="0023413C"/>
    <w:rsid w:val="002346F0"/>
    <w:rsid w:val="0023629D"/>
    <w:rsid w:val="00237255"/>
    <w:rsid w:val="002424AF"/>
    <w:rsid w:val="002439DC"/>
    <w:rsid w:val="002441D2"/>
    <w:rsid w:val="002447BC"/>
    <w:rsid w:val="00244DC8"/>
    <w:rsid w:val="002458BA"/>
    <w:rsid w:val="00245CE9"/>
    <w:rsid w:val="0024636C"/>
    <w:rsid w:val="00247925"/>
    <w:rsid w:val="00251006"/>
    <w:rsid w:val="002522ED"/>
    <w:rsid w:val="0025235A"/>
    <w:rsid w:val="002524D5"/>
    <w:rsid w:val="00253B1D"/>
    <w:rsid w:val="00254DCF"/>
    <w:rsid w:val="0025534B"/>
    <w:rsid w:val="00255421"/>
    <w:rsid w:val="002554EC"/>
    <w:rsid w:val="00255B4B"/>
    <w:rsid w:val="00255BB7"/>
    <w:rsid w:val="00257541"/>
    <w:rsid w:val="00257A39"/>
    <w:rsid w:val="00257AC4"/>
    <w:rsid w:val="00257BBE"/>
    <w:rsid w:val="00261EEF"/>
    <w:rsid w:val="00262A1A"/>
    <w:rsid w:val="00262A87"/>
    <w:rsid w:val="00263131"/>
    <w:rsid w:val="00264D26"/>
    <w:rsid w:val="00267642"/>
    <w:rsid w:val="00267AEA"/>
    <w:rsid w:val="002700E6"/>
    <w:rsid w:val="0027036D"/>
    <w:rsid w:val="0027294B"/>
    <w:rsid w:val="00273DB4"/>
    <w:rsid w:val="00273EB4"/>
    <w:rsid w:val="00274682"/>
    <w:rsid w:val="00275158"/>
    <w:rsid w:val="00275C5A"/>
    <w:rsid w:val="00276BB9"/>
    <w:rsid w:val="00281014"/>
    <w:rsid w:val="002853ED"/>
    <w:rsid w:val="00285BCE"/>
    <w:rsid w:val="0028665D"/>
    <w:rsid w:val="0029073B"/>
    <w:rsid w:val="00290DC4"/>
    <w:rsid w:val="00292657"/>
    <w:rsid w:val="00295361"/>
    <w:rsid w:val="002A14AB"/>
    <w:rsid w:val="002A2880"/>
    <w:rsid w:val="002A2ADE"/>
    <w:rsid w:val="002A2F50"/>
    <w:rsid w:val="002A6AEA"/>
    <w:rsid w:val="002A7943"/>
    <w:rsid w:val="002A7D09"/>
    <w:rsid w:val="002A7D63"/>
    <w:rsid w:val="002B05A1"/>
    <w:rsid w:val="002B09A4"/>
    <w:rsid w:val="002B1946"/>
    <w:rsid w:val="002B1C1F"/>
    <w:rsid w:val="002B432F"/>
    <w:rsid w:val="002B5199"/>
    <w:rsid w:val="002B62B3"/>
    <w:rsid w:val="002B6754"/>
    <w:rsid w:val="002B6CCE"/>
    <w:rsid w:val="002C2510"/>
    <w:rsid w:val="002C2775"/>
    <w:rsid w:val="002C27C1"/>
    <w:rsid w:val="002C36E3"/>
    <w:rsid w:val="002C4CD8"/>
    <w:rsid w:val="002C5099"/>
    <w:rsid w:val="002C5889"/>
    <w:rsid w:val="002C71CE"/>
    <w:rsid w:val="002D08F8"/>
    <w:rsid w:val="002D1875"/>
    <w:rsid w:val="002D2A81"/>
    <w:rsid w:val="002D3BA0"/>
    <w:rsid w:val="002D577C"/>
    <w:rsid w:val="002D5CAF"/>
    <w:rsid w:val="002D640B"/>
    <w:rsid w:val="002D6480"/>
    <w:rsid w:val="002D65E5"/>
    <w:rsid w:val="002D7832"/>
    <w:rsid w:val="002E1071"/>
    <w:rsid w:val="002E15B9"/>
    <w:rsid w:val="002E2158"/>
    <w:rsid w:val="002E3BFA"/>
    <w:rsid w:val="002E4F02"/>
    <w:rsid w:val="002E7722"/>
    <w:rsid w:val="002F0548"/>
    <w:rsid w:val="002F07BA"/>
    <w:rsid w:val="002F0DA9"/>
    <w:rsid w:val="002F1014"/>
    <w:rsid w:val="002F1E3B"/>
    <w:rsid w:val="002F426D"/>
    <w:rsid w:val="002F643C"/>
    <w:rsid w:val="002F71C0"/>
    <w:rsid w:val="002F74F1"/>
    <w:rsid w:val="00301017"/>
    <w:rsid w:val="0030115C"/>
    <w:rsid w:val="0030155F"/>
    <w:rsid w:val="003047AF"/>
    <w:rsid w:val="0030587B"/>
    <w:rsid w:val="003062AA"/>
    <w:rsid w:val="00306D98"/>
    <w:rsid w:val="00307357"/>
    <w:rsid w:val="00307576"/>
    <w:rsid w:val="00307707"/>
    <w:rsid w:val="0030786C"/>
    <w:rsid w:val="0031031A"/>
    <w:rsid w:val="00310790"/>
    <w:rsid w:val="00310981"/>
    <w:rsid w:val="00311D9B"/>
    <w:rsid w:val="003124D9"/>
    <w:rsid w:val="00312594"/>
    <w:rsid w:val="00313A8B"/>
    <w:rsid w:val="003151C0"/>
    <w:rsid w:val="003152D2"/>
    <w:rsid w:val="00315498"/>
    <w:rsid w:val="00316474"/>
    <w:rsid w:val="00316608"/>
    <w:rsid w:val="003205B7"/>
    <w:rsid w:val="00322107"/>
    <w:rsid w:val="00322355"/>
    <w:rsid w:val="00322846"/>
    <w:rsid w:val="00326DA7"/>
    <w:rsid w:val="00326FBC"/>
    <w:rsid w:val="003270E4"/>
    <w:rsid w:val="0032731E"/>
    <w:rsid w:val="00330DAA"/>
    <w:rsid w:val="00330F5C"/>
    <w:rsid w:val="00335CDD"/>
    <w:rsid w:val="003366C9"/>
    <w:rsid w:val="003371B0"/>
    <w:rsid w:val="00340DF1"/>
    <w:rsid w:val="00342AE7"/>
    <w:rsid w:val="003462CB"/>
    <w:rsid w:val="0035112F"/>
    <w:rsid w:val="003517F9"/>
    <w:rsid w:val="00351BA9"/>
    <w:rsid w:val="003529F0"/>
    <w:rsid w:val="00353A25"/>
    <w:rsid w:val="003545A6"/>
    <w:rsid w:val="00354F64"/>
    <w:rsid w:val="0035620E"/>
    <w:rsid w:val="003575BE"/>
    <w:rsid w:val="00360345"/>
    <w:rsid w:val="00360392"/>
    <w:rsid w:val="00361A05"/>
    <w:rsid w:val="003624C4"/>
    <w:rsid w:val="003635F9"/>
    <w:rsid w:val="00363B00"/>
    <w:rsid w:val="003654AC"/>
    <w:rsid w:val="00365C4C"/>
    <w:rsid w:val="00370701"/>
    <w:rsid w:val="003710CF"/>
    <w:rsid w:val="003727A4"/>
    <w:rsid w:val="00372DAD"/>
    <w:rsid w:val="0037358A"/>
    <w:rsid w:val="003748AD"/>
    <w:rsid w:val="003750F6"/>
    <w:rsid w:val="00375C9D"/>
    <w:rsid w:val="003760FC"/>
    <w:rsid w:val="00376CAB"/>
    <w:rsid w:val="00382FCC"/>
    <w:rsid w:val="003831DD"/>
    <w:rsid w:val="0038365C"/>
    <w:rsid w:val="0038369B"/>
    <w:rsid w:val="00383B78"/>
    <w:rsid w:val="00383F0B"/>
    <w:rsid w:val="00385A9D"/>
    <w:rsid w:val="00387121"/>
    <w:rsid w:val="00387EBD"/>
    <w:rsid w:val="003902B1"/>
    <w:rsid w:val="00390711"/>
    <w:rsid w:val="00390CFA"/>
    <w:rsid w:val="0039179C"/>
    <w:rsid w:val="00393927"/>
    <w:rsid w:val="0039663A"/>
    <w:rsid w:val="00396896"/>
    <w:rsid w:val="00396FD0"/>
    <w:rsid w:val="003A174D"/>
    <w:rsid w:val="003A1A7A"/>
    <w:rsid w:val="003A2392"/>
    <w:rsid w:val="003A274C"/>
    <w:rsid w:val="003A27EC"/>
    <w:rsid w:val="003A2831"/>
    <w:rsid w:val="003A3676"/>
    <w:rsid w:val="003A3CB6"/>
    <w:rsid w:val="003A3ED1"/>
    <w:rsid w:val="003A44DB"/>
    <w:rsid w:val="003A4C14"/>
    <w:rsid w:val="003B3971"/>
    <w:rsid w:val="003B55D1"/>
    <w:rsid w:val="003B5B61"/>
    <w:rsid w:val="003B63FD"/>
    <w:rsid w:val="003B662B"/>
    <w:rsid w:val="003C1654"/>
    <w:rsid w:val="003C3A49"/>
    <w:rsid w:val="003C4BF2"/>
    <w:rsid w:val="003C5542"/>
    <w:rsid w:val="003C7C15"/>
    <w:rsid w:val="003C7D19"/>
    <w:rsid w:val="003C7D2F"/>
    <w:rsid w:val="003D0C5A"/>
    <w:rsid w:val="003D1828"/>
    <w:rsid w:val="003D1DE4"/>
    <w:rsid w:val="003D1E9A"/>
    <w:rsid w:val="003D2422"/>
    <w:rsid w:val="003D39A1"/>
    <w:rsid w:val="003D3AC2"/>
    <w:rsid w:val="003D3FBF"/>
    <w:rsid w:val="003D4A30"/>
    <w:rsid w:val="003D71B0"/>
    <w:rsid w:val="003D7442"/>
    <w:rsid w:val="003D7452"/>
    <w:rsid w:val="003D79BB"/>
    <w:rsid w:val="003D7C98"/>
    <w:rsid w:val="003D7D9D"/>
    <w:rsid w:val="003E0543"/>
    <w:rsid w:val="003E17AB"/>
    <w:rsid w:val="003E26F1"/>
    <w:rsid w:val="003E28DC"/>
    <w:rsid w:val="003E3AF4"/>
    <w:rsid w:val="003E5603"/>
    <w:rsid w:val="003E5D4A"/>
    <w:rsid w:val="003E6FD3"/>
    <w:rsid w:val="003E749E"/>
    <w:rsid w:val="003F030F"/>
    <w:rsid w:val="003F1AFB"/>
    <w:rsid w:val="003F1B90"/>
    <w:rsid w:val="003F3100"/>
    <w:rsid w:val="003F3345"/>
    <w:rsid w:val="003F4156"/>
    <w:rsid w:val="003F5ADF"/>
    <w:rsid w:val="00400B29"/>
    <w:rsid w:val="00400B9F"/>
    <w:rsid w:val="00402812"/>
    <w:rsid w:val="00403967"/>
    <w:rsid w:val="0040504B"/>
    <w:rsid w:val="004059F4"/>
    <w:rsid w:val="00407FE5"/>
    <w:rsid w:val="004101B0"/>
    <w:rsid w:val="00410326"/>
    <w:rsid w:val="00410708"/>
    <w:rsid w:val="00410EC7"/>
    <w:rsid w:val="00411B39"/>
    <w:rsid w:val="004127A7"/>
    <w:rsid w:val="00413125"/>
    <w:rsid w:val="004133BB"/>
    <w:rsid w:val="004136E6"/>
    <w:rsid w:val="00413A1E"/>
    <w:rsid w:val="00414476"/>
    <w:rsid w:val="00414C2E"/>
    <w:rsid w:val="004151CF"/>
    <w:rsid w:val="00415678"/>
    <w:rsid w:val="00415988"/>
    <w:rsid w:val="00416364"/>
    <w:rsid w:val="00417DAE"/>
    <w:rsid w:val="0042047F"/>
    <w:rsid w:val="0042066A"/>
    <w:rsid w:val="00420AA6"/>
    <w:rsid w:val="00420B9F"/>
    <w:rsid w:val="0042192C"/>
    <w:rsid w:val="004219CD"/>
    <w:rsid w:val="00422260"/>
    <w:rsid w:val="00422A24"/>
    <w:rsid w:val="00422AE4"/>
    <w:rsid w:val="0042413F"/>
    <w:rsid w:val="00424883"/>
    <w:rsid w:val="004271CC"/>
    <w:rsid w:val="004302EC"/>
    <w:rsid w:val="004319F8"/>
    <w:rsid w:val="00431E55"/>
    <w:rsid w:val="004321F6"/>
    <w:rsid w:val="00432798"/>
    <w:rsid w:val="00433044"/>
    <w:rsid w:val="00434088"/>
    <w:rsid w:val="004375B9"/>
    <w:rsid w:val="0044236C"/>
    <w:rsid w:val="004425C0"/>
    <w:rsid w:val="004428D0"/>
    <w:rsid w:val="00444185"/>
    <w:rsid w:val="004443A7"/>
    <w:rsid w:val="0044442C"/>
    <w:rsid w:val="0044540B"/>
    <w:rsid w:val="00445941"/>
    <w:rsid w:val="004464EB"/>
    <w:rsid w:val="00447D26"/>
    <w:rsid w:val="00447DFC"/>
    <w:rsid w:val="00447E93"/>
    <w:rsid w:val="004517AC"/>
    <w:rsid w:val="004549A9"/>
    <w:rsid w:val="004558BC"/>
    <w:rsid w:val="00455D45"/>
    <w:rsid w:val="00455F6B"/>
    <w:rsid w:val="00456ABD"/>
    <w:rsid w:val="00457D04"/>
    <w:rsid w:val="00460B7C"/>
    <w:rsid w:val="00460C85"/>
    <w:rsid w:val="0046157D"/>
    <w:rsid w:val="00464595"/>
    <w:rsid w:val="004657EE"/>
    <w:rsid w:val="004658B5"/>
    <w:rsid w:val="004679A2"/>
    <w:rsid w:val="004679BE"/>
    <w:rsid w:val="00471EA5"/>
    <w:rsid w:val="00472A79"/>
    <w:rsid w:val="00472C6D"/>
    <w:rsid w:val="00473094"/>
    <w:rsid w:val="00473F19"/>
    <w:rsid w:val="00475E22"/>
    <w:rsid w:val="0048088E"/>
    <w:rsid w:val="00480F2B"/>
    <w:rsid w:val="00482720"/>
    <w:rsid w:val="004835E7"/>
    <w:rsid w:val="004859E1"/>
    <w:rsid w:val="0048668F"/>
    <w:rsid w:val="004867E2"/>
    <w:rsid w:val="00490B17"/>
    <w:rsid w:val="00491130"/>
    <w:rsid w:val="00491B3A"/>
    <w:rsid w:val="00492CFD"/>
    <w:rsid w:val="00493187"/>
    <w:rsid w:val="00494207"/>
    <w:rsid w:val="00494DD5"/>
    <w:rsid w:val="004962D2"/>
    <w:rsid w:val="004A0DA1"/>
    <w:rsid w:val="004A13D6"/>
    <w:rsid w:val="004A1652"/>
    <w:rsid w:val="004A3425"/>
    <w:rsid w:val="004A380D"/>
    <w:rsid w:val="004A52E9"/>
    <w:rsid w:val="004A6040"/>
    <w:rsid w:val="004A6436"/>
    <w:rsid w:val="004A6597"/>
    <w:rsid w:val="004A7848"/>
    <w:rsid w:val="004A793B"/>
    <w:rsid w:val="004B0633"/>
    <w:rsid w:val="004B1CB4"/>
    <w:rsid w:val="004B2F18"/>
    <w:rsid w:val="004B3DDB"/>
    <w:rsid w:val="004B43BA"/>
    <w:rsid w:val="004B44FD"/>
    <w:rsid w:val="004B5CFC"/>
    <w:rsid w:val="004B6F79"/>
    <w:rsid w:val="004B774D"/>
    <w:rsid w:val="004C0591"/>
    <w:rsid w:val="004C1B46"/>
    <w:rsid w:val="004C2AC2"/>
    <w:rsid w:val="004C2F70"/>
    <w:rsid w:val="004C46BC"/>
    <w:rsid w:val="004C4AED"/>
    <w:rsid w:val="004C4C65"/>
    <w:rsid w:val="004C7EB9"/>
    <w:rsid w:val="004D01D4"/>
    <w:rsid w:val="004D04E0"/>
    <w:rsid w:val="004D1484"/>
    <w:rsid w:val="004D27CD"/>
    <w:rsid w:val="004D2C2D"/>
    <w:rsid w:val="004D4B50"/>
    <w:rsid w:val="004D5052"/>
    <w:rsid w:val="004D69B5"/>
    <w:rsid w:val="004D7227"/>
    <w:rsid w:val="004D7B5E"/>
    <w:rsid w:val="004E0E7F"/>
    <w:rsid w:val="004E0EB8"/>
    <w:rsid w:val="004E18E9"/>
    <w:rsid w:val="004E2ADC"/>
    <w:rsid w:val="004E43B2"/>
    <w:rsid w:val="004E700F"/>
    <w:rsid w:val="004E7E66"/>
    <w:rsid w:val="004F1109"/>
    <w:rsid w:val="004F1D02"/>
    <w:rsid w:val="004F1E6A"/>
    <w:rsid w:val="004F2679"/>
    <w:rsid w:val="004F274F"/>
    <w:rsid w:val="004F2B0A"/>
    <w:rsid w:val="004F2F21"/>
    <w:rsid w:val="004F3A68"/>
    <w:rsid w:val="004F3DE5"/>
    <w:rsid w:val="004F4D83"/>
    <w:rsid w:val="004F4E58"/>
    <w:rsid w:val="004F6913"/>
    <w:rsid w:val="004F69E0"/>
    <w:rsid w:val="004F6E5B"/>
    <w:rsid w:val="004F7077"/>
    <w:rsid w:val="004F7865"/>
    <w:rsid w:val="005000C3"/>
    <w:rsid w:val="0050174E"/>
    <w:rsid w:val="00501854"/>
    <w:rsid w:val="00501F85"/>
    <w:rsid w:val="0050219B"/>
    <w:rsid w:val="00502344"/>
    <w:rsid w:val="0050295D"/>
    <w:rsid w:val="00503F17"/>
    <w:rsid w:val="00503F3A"/>
    <w:rsid w:val="00506928"/>
    <w:rsid w:val="00507601"/>
    <w:rsid w:val="005077EF"/>
    <w:rsid w:val="00511AD5"/>
    <w:rsid w:val="00511DC7"/>
    <w:rsid w:val="00514177"/>
    <w:rsid w:val="005142C5"/>
    <w:rsid w:val="005143BC"/>
    <w:rsid w:val="0051501B"/>
    <w:rsid w:val="005152B5"/>
    <w:rsid w:val="00515886"/>
    <w:rsid w:val="00520F9F"/>
    <w:rsid w:val="0052123C"/>
    <w:rsid w:val="00521319"/>
    <w:rsid w:val="005228B0"/>
    <w:rsid w:val="00522BC8"/>
    <w:rsid w:val="00523C28"/>
    <w:rsid w:val="00524AFF"/>
    <w:rsid w:val="0052616F"/>
    <w:rsid w:val="00526528"/>
    <w:rsid w:val="0053176B"/>
    <w:rsid w:val="005341B3"/>
    <w:rsid w:val="00535C61"/>
    <w:rsid w:val="00536F42"/>
    <w:rsid w:val="00537182"/>
    <w:rsid w:val="00537207"/>
    <w:rsid w:val="005375B4"/>
    <w:rsid w:val="005378D9"/>
    <w:rsid w:val="00541228"/>
    <w:rsid w:val="00541594"/>
    <w:rsid w:val="00541EDD"/>
    <w:rsid w:val="00542743"/>
    <w:rsid w:val="005427B8"/>
    <w:rsid w:val="00542C2D"/>
    <w:rsid w:val="0054532F"/>
    <w:rsid w:val="00545E23"/>
    <w:rsid w:val="005465C5"/>
    <w:rsid w:val="005471E1"/>
    <w:rsid w:val="005478BD"/>
    <w:rsid w:val="005479E3"/>
    <w:rsid w:val="00551985"/>
    <w:rsid w:val="005522CB"/>
    <w:rsid w:val="00552BD3"/>
    <w:rsid w:val="005532A0"/>
    <w:rsid w:val="00555109"/>
    <w:rsid w:val="0055568B"/>
    <w:rsid w:val="00556B35"/>
    <w:rsid w:val="0055741A"/>
    <w:rsid w:val="00560AEC"/>
    <w:rsid w:val="005611B7"/>
    <w:rsid w:val="005618D4"/>
    <w:rsid w:val="00562A7B"/>
    <w:rsid w:val="0056388D"/>
    <w:rsid w:val="00564867"/>
    <w:rsid w:val="00565C79"/>
    <w:rsid w:val="00565DF0"/>
    <w:rsid w:val="0056696F"/>
    <w:rsid w:val="005670AB"/>
    <w:rsid w:val="00567BB0"/>
    <w:rsid w:val="00572269"/>
    <w:rsid w:val="0057244A"/>
    <w:rsid w:val="00572F26"/>
    <w:rsid w:val="005750C5"/>
    <w:rsid w:val="005752DE"/>
    <w:rsid w:val="00575AA1"/>
    <w:rsid w:val="00575ACA"/>
    <w:rsid w:val="00575D60"/>
    <w:rsid w:val="00575D8D"/>
    <w:rsid w:val="00576972"/>
    <w:rsid w:val="00576FA3"/>
    <w:rsid w:val="00577248"/>
    <w:rsid w:val="0058021F"/>
    <w:rsid w:val="00580BDA"/>
    <w:rsid w:val="00581CB6"/>
    <w:rsid w:val="00583699"/>
    <w:rsid w:val="00585CDD"/>
    <w:rsid w:val="00585F10"/>
    <w:rsid w:val="005865F3"/>
    <w:rsid w:val="00587058"/>
    <w:rsid w:val="00590291"/>
    <w:rsid w:val="00591957"/>
    <w:rsid w:val="005919DF"/>
    <w:rsid w:val="00593E28"/>
    <w:rsid w:val="005971F4"/>
    <w:rsid w:val="00597204"/>
    <w:rsid w:val="00597636"/>
    <w:rsid w:val="00597BF9"/>
    <w:rsid w:val="005A0C11"/>
    <w:rsid w:val="005A13B5"/>
    <w:rsid w:val="005A29E6"/>
    <w:rsid w:val="005A2F5F"/>
    <w:rsid w:val="005A309A"/>
    <w:rsid w:val="005A373D"/>
    <w:rsid w:val="005A3C58"/>
    <w:rsid w:val="005A419E"/>
    <w:rsid w:val="005A4935"/>
    <w:rsid w:val="005A52AD"/>
    <w:rsid w:val="005A5462"/>
    <w:rsid w:val="005A69D8"/>
    <w:rsid w:val="005B0B58"/>
    <w:rsid w:val="005B0B92"/>
    <w:rsid w:val="005B1C68"/>
    <w:rsid w:val="005B4602"/>
    <w:rsid w:val="005B4995"/>
    <w:rsid w:val="005B4E53"/>
    <w:rsid w:val="005B5857"/>
    <w:rsid w:val="005B65B8"/>
    <w:rsid w:val="005C19C4"/>
    <w:rsid w:val="005C1B83"/>
    <w:rsid w:val="005C25FF"/>
    <w:rsid w:val="005C2D55"/>
    <w:rsid w:val="005C31D6"/>
    <w:rsid w:val="005C346B"/>
    <w:rsid w:val="005C4E4A"/>
    <w:rsid w:val="005C53F4"/>
    <w:rsid w:val="005C58C7"/>
    <w:rsid w:val="005C5ABC"/>
    <w:rsid w:val="005D044D"/>
    <w:rsid w:val="005D0ABD"/>
    <w:rsid w:val="005D105E"/>
    <w:rsid w:val="005D18AD"/>
    <w:rsid w:val="005D2119"/>
    <w:rsid w:val="005D26B4"/>
    <w:rsid w:val="005D2F9B"/>
    <w:rsid w:val="005D3B1D"/>
    <w:rsid w:val="005D5798"/>
    <w:rsid w:val="005D5DB1"/>
    <w:rsid w:val="005E106C"/>
    <w:rsid w:val="005E1995"/>
    <w:rsid w:val="005E55A4"/>
    <w:rsid w:val="005E5E4A"/>
    <w:rsid w:val="005E6CBC"/>
    <w:rsid w:val="005E6D38"/>
    <w:rsid w:val="005E72FF"/>
    <w:rsid w:val="005E73C0"/>
    <w:rsid w:val="005E7F70"/>
    <w:rsid w:val="005F07ED"/>
    <w:rsid w:val="005F0D8D"/>
    <w:rsid w:val="005F1327"/>
    <w:rsid w:val="005F2706"/>
    <w:rsid w:val="005F2F1E"/>
    <w:rsid w:val="005F46B6"/>
    <w:rsid w:val="005F50A8"/>
    <w:rsid w:val="005F5DDF"/>
    <w:rsid w:val="005F6A8F"/>
    <w:rsid w:val="005F6BB7"/>
    <w:rsid w:val="005F6DB2"/>
    <w:rsid w:val="005F7588"/>
    <w:rsid w:val="005F7D34"/>
    <w:rsid w:val="005F7E00"/>
    <w:rsid w:val="006019F9"/>
    <w:rsid w:val="00601BE4"/>
    <w:rsid w:val="006027C5"/>
    <w:rsid w:val="00603DB9"/>
    <w:rsid w:val="00604270"/>
    <w:rsid w:val="006061D6"/>
    <w:rsid w:val="006067D1"/>
    <w:rsid w:val="00606FBA"/>
    <w:rsid w:val="006074D3"/>
    <w:rsid w:val="00607669"/>
    <w:rsid w:val="006076F4"/>
    <w:rsid w:val="0060785C"/>
    <w:rsid w:val="00607AFD"/>
    <w:rsid w:val="00611B12"/>
    <w:rsid w:val="00612F97"/>
    <w:rsid w:val="0061345D"/>
    <w:rsid w:val="00613FE1"/>
    <w:rsid w:val="0061549B"/>
    <w:rsid w:val="00616802"/>
    <w:rsid w:val="006174E8"/>
    <w:rsid w:val="00617E12"/>
    <w:rsid w:val="00620539"/>
    <w:rsid w:val="006206EC"/>
    <w:rsid w:val="00620C25"/>
    <w:rsid w:val="00621477"/>
    <w:rsid w:val="00621ADA"/>
    <w:rsid w:val="00621CCB"/>
    <w:rsid w:val="00622B5F"/>
    <w:rsid w:val="00623F7B"/>
    <w:rsid w:val="00624BD4"/>
    <w:rsid w:val="00625239"/>
    <w:rsid w:val="00631505"/>
    <w:rsid w:val="0063158F"/>
    <w:rsid w:val="00631BC7"/>
    <w:rsid w:val="00631D6B"/>
    <w:rsid w:val="00632183"/>
    <w:rsid w:val="00632C4B"/>
    <w:rsid w:val="006330A1"/>
    <w:rsid w:val="0063479F"/>
    <w:rsid w:val="006353F0"/>
    <w:rsid w:val="006357B5"/>
    <w:rsid w:val="00636137"/>
    <w:rsid w:val="006364A1"/>
    <w:rsid w:val="0063678E"/>
    <w:rsid w:val="00637BFD"/>
    <w:rsid w:val="00637C5C"/>
    <w:rsid w:val="00637E12"/>
    <w:rsid w:val="00640CD8"/>
    <w:rsid w:val="00641C4E"/>
    <w:rsid w:val="00641FB3"/>
    <w:rsid w:val="0064434C"/>
    <w:rsid w:val="006471CC"/>
    <w:rsid w:val="006472FE"/>
    <w:rsid w:val="0064797F"/>
    <w:rsid w:val="00647A29"/>
    <w:rsid w:val="0065079F"/>
    <w:rsid w:val="00652A28"/>
    <w:rsid w:val="0065379F"/>
    <w:rsid w:val="00656188"/>
    <w:rsid w:val="0065715A"/>
    <w:rsid w:val="006610F1"/>
    <w:rsid w:val="00661C6B"/>
    <w:rsid w:val="00662D3E"/>
    <w:rsid w:val="00663832"/>
    <w:rsid w:val="00663B09"/>
    <w:rsid w:val="00665411"/>
    <w:rsid w:val="00665C36"/>
    <w:rsid w:val="00666097"/>
    <w:rsid w:val="00666C4C"/>
    <w:rsid w:val="00667BE3"/>
    <w:rsid w:val="00671004"/>
    <w:rsid w:val="00672646"/>
    <w:rsid w:val="006727B7"/>
    <w:rsid w:val="006744BA"/>
    <w:rsid w:val="00674E42"/>
    <w:rsid w:val="00674F7C"/>
    <w:rsid w:val="00675BE7"/>
    <w:rsid w:val="00676563"/>
    <w:rsid w:val="0068003C"/>
    <w:rsid w:val="00680D2D"/>
    <w:rsid w:val="006813F8"/>
    <w:rsid w:val="006819F0"/>
    <w:rsid w:val="00682039"/>
    <w:rsid w:val="00682112"/>
    <w:rsid w:val="00682BA6"/>
    <w:rsid w:val="00683458"/>
    <w:rsid w:val="00683BF8"/>
    <w:rsid w:val="00684A5C"/>
    <w:rsid w:val="00686957"/>
    <w:rsid w:val="006872BA"/>
    <w:rsid w:val="00690795"/>
    <w:rsid w:val="00690D7C"/>
    <w:rsid w:val="00690FB9"/>
    <w:rsid w:val="00691648"/>
    <w:rsid w:val="006917D7"/>
    <w:rsid w:val="0069355F"/>
    <w:rsid w:val="0069434C"/>
    <w:rsid w:val="00694F44"/>
    <w:rsid w:val="00696C45"/>
    <w:rsid w:val="00696EF9"/>
    <w:rsid w:val="00696F51"/>
    <w:rsid w:val="006979A5"/>
    <w:rsid w:val="006A016F"/>
    <w:rsid w:val="006A0DF7"/>
    <w:rsid w:val="006A1CF6"/>
    <w:rsid w:val="006A4321"/>
    <w:rsid w:val="006A43D9"/>
    <w:rsid w:val="006A6B99"/>
    <w:rsid w:val="006A71FB"/>
    <w:rsid w:val="006A7E5F"/>
    <w:rsid w:val="006B1FDE"/>
    <w:rsid w:val="006B261B"/>
    <w:rsid w:val="006B2C90"/>
    <w:rsid w:val="006B32D5"/>
    <w:rsid w:val="006B35E6"/>
    <w:rsid w:val="006B465A"/>
    <w:rsid w:val="006B5D91"/>
    <w:rsid w:val="006B6DD0"/>
    <w:rsid w:val="006C0399"/>
    <w:rsid w:val="006C2A8E"/>
    <w:rsid w:val="006C2B85"/>
    <w:rsid w:val="006C2EC9"/>
    <w:rsid w:val="006C3255"/>
    <w:rsid w:val="006C3F26"/>
    <w:rsid w:val="006C5089"/>
    <w:rsid w:val="006C597A"/>
    <w:rsid w:val="006C77BE"/>
    <w:rsid w:val="006C7815"/>
    <w:rsid w:val="006D02B3"/>
    <w:rsid w:val="006D0D17"/>
    <w:rsid w:val="006D3C7D"/>
    <w:rsid w:val="006D4659"/>
    <w:rsid w:val="006D5D5F"/>
    <w:rsid w:val="006D68FB"/>
    <w:rsid w:val="006E04D0"/>
    <w:rsid w:val="006E11B6"/>
    <w:rsid w:val="006E2868"/>
    <w:rsid w:val="006E7036"/>
    <w:rsid w:val="006F0ADB"/>
    <w:rsid w:val="006F306C"/>
    <w:rsid w:val="006F63A5"/>
    <w:rsid w:val="006F738E"/>
    <w:rsid w:val="0070142B"/>
    <w:rsid w:val="0070276E"/>
    <w:rsid w:val="00702F8F"/>
    <w:rsid w:val="00703806"/>
    <w:rsid w:val="00705711"/>
    <w:rsid w:val="007079FC"/>
    <w:rsid w:val="00710DE2"/>
    <w:rsid w:val="0071173F"/>
    <w:rsid w:val="00711A36"/>
    <w:rsid w:val="007125D3"/>
    <w:rsid w:val="00712896"/>
    <w:rsid w:val="007129E9"/>
    <w:rsid w:val="00714C26"/>
    <w:rsid w:val="00714F95"/>
    <w:rsid w:val="0071529C"/>
    <w:rsid w:val="00716861"/>
    <w:rsid w:val="00716AE7"/>
    <w:rsid w:val="007170DA"/>
    <w:rsid w:val="007172AD"/>
    <w:rsid w:val="00717546"/>
    <w:rsid w:val="00720801"/>
    <w:rsid w:val="00722B1B"/>
    <w:rsid w:val="0072416F"/>
    <w:rsid w:val="00725A48"/>
    <w:rsid w:val="00727C94"/>
    <w:rsid w:val="00731B0A"/>
    <w:rsid w:val="00731EAE"/>
    <w:rsid w:val="00732ED3"/>
    <w:rsid w:val="00733073"/>
    <w:rsid w:val="007341AA"/>
    <w:rsid w:val="007348EF"/>
    <w:rsid w:val="00735033"/>
    <w:rsid w:val="00735328"/>
    <w:rsid w:val="00735FFF"/>
    <w:rsid w:val="0073685B"/>
    <w:rsid w:val="007449BF"/>
    <w:rsid w:val="007463FE"/>
    <w:rsid w:val="00746AEE"/>
    <w:rsid w:val="00746BC0"/>
    <w:rsid w:val="00747748"/>
    <w:rsid w:val="00747BD0"/>
    <w:rsid w:val="007510B4"/>
    <w:rsid w:val="007517A1"/>
    <w:rsid w:val="00751A1E"/>
    <w:rsid w:val="00752042"/>
    <w:rsid w:val="00752142"/>
    <w:rsid w:val="007523F9"/>
    <w:rsid w:val="0075357E"/>
    <w:rsid w:val="00753B29"/>
    <w:rsid w:val="00754CA3"/>
    <w:rsid w:val="00756911"/>
    <w:rsid w:val="007573E8"/>
    <w:rsid w:val="007606C3"/>
    <w:rsid w:val="00760C4E"/>
    <w:rsid w:val="00760F9E"/>
    <w:rsid w:val="007616E6"/>
    <w:rsid w:val="007627BE"/>
    <w:rsid w:val="00763798"/>
    <w:rsid w:val="00764F03"/>
    <w:rsid w:val="00765B1A"/>
    <w:rsid w:val="00765D0E"/>
    <w:rsid w:val="00765DC1"/>
    <w:rsid w:val="007712F9"/>
    <w:rsid w:val="0077197D"/>
    <w:rsid w:val="0077486F"/>
    <w:rsid w:val="00777335"/>
    <w:rsid w:val="007774AB"/>
    <w:rsid w:val="00781523"/>
    <w:rsid w:val="00782CB9"/>
    <w:rsid w:val="00782DA1"/>
    <w:rsid w:val="007843F2"/>
    <w:rsid w:val="007846FA"/>
    <w:rsid w:val="00785A9F"/>
    <w:rsid w:val="007865A7"/>
    <w:rsid w:val="007913A6"/>
    <w:rsid w:val="007924C6"/>
    <w:rsid w:val="007925DF"/>
    <w:rsid w:val="00796A73"/>
    <w:rsid w:val="007A0006"/>
    <w:rsid w:val="007A08AA"/>
    <w:rsid w:val="007A0A12"/>
    <w:rsid w:val="007A0D2B"/>
    <w:rsid w:val="007A132D"/>
    <w:rsid w:val="007A1345"/>
    <w:rsid w:val="007A2DDB"/>
    <w:rsid w:val="007A36D3"/>
    <w:rsid w:val="007A70BA"/>
    <w:rsid w:val="007B0D68"/>
    <w:rsid w:val="007B0D75"/>
    <w:rsid w:val="007B0DFF"/>
    <w:rsid w:val="007B251D"/>
    <w:rsid w:val="007B2B9B"/>
    <w:rsid w:val="007B3533"/>
    <w:rsid w:val="007B4F58"/>
    <w:rsid w:val="007B528D"/>
    <w:rsid w:val="007B63CA"/>
    <w:rsid w:val="007B77D1"/>
    <w:rsid w:val="007C07C7"/>
    <w:rsid w:val="007C1CD9"/>
    <w:rsid w:val="007C32EF"/>
    <w:rsid w:val="007C361D"/>
    <w:rsid w:val="007C48A7"/>
    <w:rsid w:val="007C4B84"/>
    <w:rsid w:val="007C58CF"/>
    <w:rsid w:val="007C70FF"/>
    <w:rsid w:val="007C7C25"/>
    <w:rsid w:val="007D004F"/>
    <w:rsid w:val="007D035F"/>
    <w:rsid w:val="007D03B8"/>
    <w:rsid w:val="007D06B2"/>
    <w:rsid w:val="007D0B38"/>
    <w:rsid w:val="007D110E"/>
    <w:rsid w:val="007D3AF4"/>
    <w:rsid w:val="007D4E6B"/>
    <w:rsid w:val="007D5220"/>
    <w:rsid w:val="007D5440"/>
    <w:rsid w:val="007D55BF"/>
    <w:rsid w:val="007D6330"/>
    <w:rsid w:val="007D69EB"/>
    <w:rsid w:val="007D6D54"/>
    <w:rsid w:val="007D6FF5"/>
    <w:rsid w:val="007D7D94"/>
    <w:rsid w:val="007E128F"/>
    <w:rsid w:val="007E59BC"/>
    <w:rsid w:val="007F02B1"/>
    <w:rsid w:val="007F0A22"/>
    <w:rsid w:val="007F1017"/>
    <w:rsid w:val="007F113A"/>
    <w:rsid w:val="007F4A3F"/>
    <w:rsid w:val="007F4A61"/>
    <w:rsid w:val="007F5255"/>
    <w:rsid w:val="007F56CC"/>
    <w:rsid w:val="007F5D11"/>
    <w:rsid w:val="007F616F"/>
    <w:rsid w:val="007F61C2"/>
    <w:rsid w:val="007F7282"/>
    <w:rsid w:val="00805142"/>
    <w:rsid w:val="00805A4A"/>
    <w:rsid w:val="00805FCE"/>
    <w:rsid w:val="00807A8B"/>
    <w:rsid w:val="00811383"/>
    <w:rsid w:val="00812149"/>
    <w:rsid w:val="00812CAC"/>
    <w:rsid w:val="00814BB5"/>
    <w:rsid w:val="00816361"/>
    <w:rsid w:val="008166EF"/>
    <w:rsid w:val="00816FEF"/>
    <w:rsid w:val="00820A8C"/>
    <w:rsid w:val="008215FB"/>
    <w:rsid w:val="008220CC"/>
    <w:rsid w:val="008226ED"/>
    <w:rsid w:val="00823174"/>
    <w:rsid w:val="00823B07"/>
    <w:rsid w:val="00825751"/>
    <w:rsid w:val="008264EB"/>
    <w:rsid w:val="008268CE"/>
    <w:rsid w:val="00827939"/>
    <w:rsid w:val="00827C23"/>
    <w:rsid w:val="008303C3"/>
    <w:rsid w:val="008334A8"/>
    <w:rsid w:val="00833B05"/>
    <w:rsid w:val="0083482A"/>
    <w:rsid w:val="00835E9E"/>
    <w:rsid w:val="008362B4"/>
    <w:rsid w:val="00840CA2"/>
    <w:rsid w:val="00841BCE"/>
    <w:rsid w:val="00843157"/>
    <w:rsid w:val="0084374F"/>
    <w:rsid w:val="00844A22"/>
    <w:rsid w:val="00846E24"/>
    <w:rsid w:val="00847703"/>
    <w:rsid w:val="00847CDD"/>
    <w:rsid w:val="00847DF5"/>
    <w:rsid w:val="00851EC0"/>
    <w:rsid w:val="0085309D"/>
    <w:rsid w:val="00853B3A"/>
    <w:rsid w:val="00856897"/>
    <w:rsid w:val="00856E9A"/>
    <w:rsid w:val="0086075D"/>
    <w:rsid w:val="00862502"/>
    <w:rsid w:val="00862CC1"/>
    <w:rsid w:val="00862F52"/>
    <w:rsid w:val="008642A7"/>
    <w:rsid w:val="00865D71"/>
    <w:rsid w:val="008660D4"/>
    <w:rsid w:val="008677AA"/>
    <w:rsid w:val="0087041A"/>
    <w:rsid w:val="00870E19"/>
    <w:rsid w:val="00871A37"/>
    <w:rsid w:val="00871FA9"/>
    <w:rsid w:val="008728E9"/>
    <w:rsid w:val="008730A3"/>
    <w:rsid w:val="00873145"/>
    <w:rsid w:val="00874E4D"/>
    <w:rsid w:val="0088177B"/>
    <w:rsid w:val="00882874"/>
    <w:rsid w:val="00882992"/>
    <w:rsid w:val="00882D71"/>
    <w:rsid w:val="00882E3C"/>
    <w:rsid w:val="0088308A"/>
    <w:rsid w:val="00883787"/>
    <w:rsid w:val="008855E4"/>
    <w:rsid w:val="00886653"/>
    <w:rsid w:val="00886CD2"/>
    <w:rsid w:val="00891E6F"/>
    <w:rsid w:val="0089275D"/>
    <w:rsid w:val="00892A36"/>
    <w:rsid w:val="00893239"/>
    <w:rsid w:val="0089365C"/>
    <w:rsid w:val="00894489"/>
    <w:rsid w:val="00894CD6"/>
    <w:rsid w:val="008963A5"/>
    <w:rsid w:val="00896D5D"/>
    <w:rsid w:val="00897502"/>
    <w:rsid w:val="008A3158"/>
    <w:rsid w:val="008A3363"/>
    <w:rsid w:val="008A3371"/>
    <w:rsid w:val="008A3C3E"/>
    <w:rsid w:val="008A5E9A"/>
    <w:rsid w:val="008A6084"/>
    <w:rsid w:val="008A79DE"/>
    <w:rsid w:val="008B01D2"/>
    <w:rsid w:val="008B1757"/>
    <w:rsid w:val="008B1C33"/>
    <w:rsid w:val="008B4B6F"/>
    <w:rsid w:val="008B616C"/>
    <w:rsid w:val="008B705A"/>
    <w:rsid w:val="008B7992"/>
    <w:rsid w:val="008B7D7E"/>
    <w:rsid w:val="008B7F20"/>
    <w:rsid w:val="008C17E6"/>
    <w:rsid w:val="008C2CB0"/>
    <w:rsid w:val="008C371F"/>
    <w:rsid w:val="008C4486"/>
    <w:rsid w:val="008C511B"/>
    <w:rsid w:val="008C5610"/>
    <w:rsid w:val="008C5739"/>
    <w:rsid w:val="008C7282"/>
    <w:rsid w:val="008C7ECB"/>
    <w:rsid w:val="008D1339"/>
    <w:rsid w:val="008D2595"/>
    <w:rsid w:val="008D2D2A"/>
    <w:rsid w:val="008D3128"/>
    <w:rsid w:val="008D39AD"/>
    <w:rsid w:val="008D3B86"/>
    <w:rsid w:val="008D43FD"/>
    <w:rsid w:val="008D4755"/>
    <w:rsid w:val="008D4C3D"/>
    <w:rsid w:val="008D6C6B"/>
    <w:rsid w:val="008D743C"/>
    <w:rsid w:val="008E0D3C"/>
    <w:rsid w:val="008E1B9E"/>
    <w:rsid w:val="008E2D86"/>
    <w:rsid w:val="008E4C1B"/>
    <w:rsid w:val="008E55AB"/>
    <w:rsid w:val="008F120A"/>
    <w:rsid w:val="008F1854"/>
    <w:rsid w:val="008F1A16"/>
    <w:rsid w:val="008F27E0"/>
    <w:rsid w:val="008F48EB"/>
    <w:rsid w:val="008F4F0B"/>
    <w:rsid w:val="008F6578"/>
    <w:rsid w:val="008F6BC9"/>
    <w:rsid w:val="009011F7"/>
    <w:rsid w:val="009046C4"/>
    <w:rsid w:val="009062A5"/>
    <w:rsid w:val="00907699"/>
    <w:rsid w:val="00910FA7"/>
    <w:rsid w:val="00911272"/>
    <w:rsid w:val="00911339"/>
    <w:rsid w:val="009117C7"/>
    <w:rsid w:val="009135D6"/>
    <w:rsid w:val="00914A66"/>
    <w:rsid w:val="00914C77"/>
    <w:rsid w:val="00914FCB"/>
    <w:rsid w:val="00915BA4"/>
    <w:rsid w:val="00915BED"/>
    <w:rsid w:val="009174B8"/>
    <w:rsid w:val="00921ACB"/>
    <w:rsid w:val="0092369B"/>
    <w:rsid w:val="00923CE0"/>
    <w:rsid w:val="0092478F"/>
    <w:rsid w:val="009247DA"/>
    <w:rsid w:val="0092693B"/>
    <w:rsid w:val="009300F3"/>
    <w:rsid w:val="0093038C"/>
    <w:rsid w:val="0093095C"/>
    <w:rsid w:val="0093396A"/>
    <w:rsid w:val="00934988"/>
    <w:rsid w:val="009353FF"/>
    <w:rsid w:val="009362FB"/>
    <w:rsid w:val="00937089"/>
    <w:rsid w:val="0094358C"/>
    <w:rsid w:val="009445E9"/>
    <w:rsid w:val="00944774"/>
    <w:rsid w:val="00944F8A"/>
    <w:rsid w:val="009503EC"/>
    <w:rsid w:val="00950C98"/>
    <w:rsid w:val="00950D75"/>
    <w:rsid w:val="009510A2"/>
    <w:rsid w:val="0095154D"/>
    <w:rsid w:val="009515EF"/>
    <w:rsid w:val="00953257"/>
    <w:rsid w:val="00953E58"/>
    <w:rsid w:val="00953EDF"/>
    <w:rsid w:val="0095474C"/>
    <w:rsid w:val="00957D92"/>
    <w:rsid w:val="00960940"/>
    <w:rsid w:val="00961993"/>
    <w:rsid w:val="00962CB9"/>
    <w:rsid w:val="00964312"/>
    <w:rsid w:val="009644E5"/>
    <w:rsid w:val="00964800"/>
    <w:rsid w:val="00965B8A"/>
    <w:rsid w:val="00967B50"/>
    <w:rsid w:val="0097071F"/>
    <w:rsid w:val="009717AC"/>
    <w:rsid w:val="009718B7"/>
    <w:rsid w:val="009751C1"/>
    <w:rsid w:val="00977D22"/>
    <w:rsid w:val="009811F1"/>
    <w:rsid w:val="0098187B"/>
    <w:rsid w:val="00982575"/>
    <w:rsid w:val="00983880"/>
    <w:rsid w:val="00983E57"/>
    <w:rsid w:val="009842CB"/>
    <w:rsid w:val="00984431"/>
    <w:rsid w:val="00985DE2"/>
    <w:rsid w:val="0098675D"/>
    <w:rsid w:val="00987B6F"/>
    <w:rsid w:val="00987BA4"/>
    <w:rsid w:val="00987F8C"/>
    <w:rsid w:val="00991604"/>
    <w:rsid w:val="009920CA"/>
    <w:rsid w:val="009926E0"/>
    <w:rsid w:val="00993C5E"/>
    <w:rsid w:val="0099451E"/>
    <w:rsid w:val="00996B1A"/>
    <w:rsid w:val="009A18F6"/>
    <w:rsid w:val="009A26DC"/>
    <w:rsid w:val="009A2DCC"/>
    <w:rsid w:val="009A366E"/>
    <w:rsid w:val="009A4B6A"/>
    <w:rsid w:val="009A5ABC"/>
    <w:rsid w:val="009A7F10"/>
    <w:rsid w:val="009B0254"/>
    <w:rsid w:val="009B1852"/>
    <w:rsid w:val="009B3E26"/>
    <w:rsid w:val="009B4247"/>
    <w:rsid w:val="009B4BEA"/>
    <w:rsid w:val="009B5C24"/>
    <w:rsid w:val="009B721C"/>
    <w:rsid w:val="009C1271"/>
    <w:rsid w:val="009C1A19"/>
    <w:rsid w:val="009C31D1"/>
    <w:rsid w:val="009C3706"/>
    <w:rsid w:val="009C386A"/>
    <w:rsid w:val="009C3A3A"/>
    <w:rsid w:val="009C5DC8"/>
    <w:rsid w:val="009C6CEA"/>
    <w:rsid w:val="009C7B85"/>
    <w:rsid w:val="009D0254"/>
    <w:rsid w:val="009D1A64"/>
    <w:rsid w:val="009D2246"/>
    <w:rsid w:val="009D373B"/>
    <w:rsid w:val="009D5B91"/>
    <w:rsid w:val="009D792E"/>
    <w:rsid w:val="009E08BB"/>
    <w:rsid w:val="009E0DFE"/>
    <w:rsid w:val="009E31F6"/>
    <w:rsid w:val="009E4C07"/>
    <w:rsid w:val="009E777F"/>
    <w:rsid w:val="009E7C5F"/>
    <w:rsid w:val="009F2B92"/>
    <w:rsid w:val="009F504E"/>
    <w:rsid w:val="009F54D1"/>
    <w:rsid w:val="009F6120"/>
    <w:rsid w:val="009F661D"/>
    <w:rsid w:val="00A004AE"/>
    <w:rsid w:val="00A00D76"/>
    <w:rsid w:val="00A01184"/>
    <w:rsid w:val="00A01449"/>
    <w:rsid w:val="00A01FFE"/>
    <w:rsid w:val="00A020F6"/>
    <w:rsid w:val="00A0265B"/>
    <w:rsid w:val="00A037C2"/>
    <w:rsid w:val="00A03D43"/>
    <w:rsid w:val="00A04380"/>
    <w:rsid w:val="00A04786"/>
    <w:rsid w:val="00A05472"/>
    <w:rsid w:val="00A05C32"/>
    <w:rsid w:val="00A06479"/>
    <w:rsid w:val="00A0653F"/>
    <w:rsid w:val="00A11CD0"/>
    <w:rsid w:val="00A13948"/>
    <w:rsid w:val="00A14641"/>
    <w:rsid w:val="00A1555B"/>
    <w:rsid w:val="00A155C5"/>
    <w:rsid w:val="00A15B3A"/>
    <w:rsid w:val="00A15F14"/>
    <w:rsid w:val="00A16AD8"/>
    <w:rsid w:val="00A2021E"/>
    <w:rsid w:val="00A20368"/>
    <w:rsid w:val="00A2143F"/>
    <w:rsid w:val="00A2163F"/>
    <w:rsid w:val="00A21C95"/>
    <w:rsid w:val="00A21CF3"/>
    <w:rsid w:val="00A21F82"/>
    <w:rsid w:val="00A24813"/>
    <w:rsid w:val="00A24D5E"/>
    <w:rsid w:val="00A27384"/>
    <w:rsid w:val="00A27AEC"/>
    <w:rsid w:val="00A27C73"/>
    <w:rsid w:val="00A320DB"/>
    <w:rsid w:val="00A32712"/>
    <w:rsid w:val="00A35D16"/>
    <w:rsid w:val="00A370BA"/>
    <w:rsid w:val="00A370D8"/>
    <w:rsid w:val="00A37BCD"/>
    <w:rsid w:val="00A4111E"/>
    <w:rsid w:val="00A41689"/>
    <w:rsid w:val="00A42592"/>
    <w:rsid w:val="00A43C59"/>
    <w:rsid w:val="00A477B7"/>
    <w:rsid w:val="00A50A6F"/>
    <w:rsid w:val="00A50ECD"/>
    <w:rsid w:val="00A518F3"/>
    <w:rsid w:val="00A52729"/>
    <w:rsid w:val="00A53675"/>
    <w:rsid w:val="00A54232"/>
    <w:rsid w:val="00A54852"/>
    <w:rsid w:val="00A564D7"/>
    <w:rsid w:val="00A56B6A"/>
    <w:rsid w:val="00A5712B"/>
    <w:rsid w:val="00A578DC"/>
    <w:rsid w:val="00A61472"/>
    <w:rsid w:val="00A640E2"/>
    <w:rsid w:val="00A6438F"/>
    <w:rsid w:val="00A64420"/>
    <w:rsid w:val="00A64D65"/>
    <w:rsid w:val="00A6725B"/>
    <w:rsid w:val="00A70240"/>
    <w:rsid w:val="00A70605"/>
    <w:rsid w:val="00A71157"/>
    <w:rsid w:val="00A711AF"/>
    <w:rsid w:val="00A73134"/>
    <w:rsid w:val="00A7365A"/>
    <w:rsid w:val="00A75615"/>
    <w:rsid w:val="00A76001"/>
    <w:rsid w:val="00A777B2"/>
    <w:rsid w:val="00A80887"/>
    <w:rsid w:val="00A82372"/>
    <w:rsid w:val="00A825D4"/>
    <w:rsid w:val="00A828F6"/>
    <w:rsid w:val="00A82B73"/>
    <w:rsid w:val="00A840F5"/>
    <w:rsid w:val="00A86E8B"/>
    <w:rsid w:val="00A87164"/>
    <w:rsid w:val="00A871A9"/>
    <w:rsid w:val="00A93072"/>
    <w:rsid w:val="00A938BD"/>
    <w:rsid w:val="00A93953"/>
    <w:rsid w:val="00A959D8"/>
    <w:rsid w:val="00AA08E6"/>
    <w:rsid w:val="00AA113D"/>
    <w:rsid w:val="00AA1BD9"/>
    <w:rsid w:val="00AA6BD5"/>
    <w:rsid w:val="00AA6BD8"/>
    <w:rsid w:val="00AA6C7D"/>
    <w:rsid w:val="00AA7FD6"/>
    <w:rsid w:val="00AB01D2"/>
    <w:rsid w:val="00AB042A"/>
    <w:rsid w:val="00AB11AD"/>
    <w:rsid w:val="00AB19EF"/>
    <w:rsid w:val="00AB2495"/>
    <w:rsid w:val="00AB2574"/>
    <w:rsid w:val="00AB25B7"/>
    <w:rsid w:val="00AB2D34"/>
    <w:rsid w:val="00AB3430"/>
    <w:rsid w:val="00AB37B9"/>
    <w:rsid w:val="00AB3AB8"/>
    <w:rsid w:val="00AB4AD1"/>
    <w:rsid w:val="00AB5E07"/>
    <w:rsid w:val="00AB7CFA"/>
    <w:rsid w:val="00AC2121"/>
    <w:rsid w:val="00AC5B42"/>
    <w:rsid w:val="00AC5B48"/>
    <w:rsid w:val="00AD1450"/>
    <w:rsid w:val="00AD15E8"/>
    <w:rsid w:val="00AD356D"/>
    <w:rsid w:val="00AD46C1"/>
    <w:rsid w:val="00AD6502"/>
    <w:rsid w:val="00AE0695"/>
    <w:rsid w:val="00AE3E7E"/>
    <w:rsid w:val="00AE7394"/>
    <w:rsid w:val="00AE7E53"/>
    <w:rsid w:val="00AF1315"/>
    <w:rsid w:val="00AF19BF"/>
    <w:rsid w:val="00AF2DC3"/>
    <w:rsid w:val="00AF4739"/>
    <w:rsid w:val="00AF6FB1"/>
    <w:rsid w:val="00AF7918"/>
    <w:rsid w:val="00B02242"/>
    <w:rsid w:val="00B0296C"/>
    <w:rsid w:val="00B033E5"/>
    <w:rsid w:val="00B03A63"/>
    <w:rsid w:val="00B07BA4"/>
    <w:rsid w:val="00B129A4"/>
    <w:rsid w:val="00B129B2"/>
    <w:rsid w:val="00B13F05"/>
    <w:rsid w:val="00B15264"/>
    <w:rsid w:val="00B201A4"/>
    <w:rsid w:val="00B201D1"/>
    <w:rsid w:val="00B213A6"/>
    <w:rsid w:val="00B22126"/>
    <w:rsid w:val="00B221DF"/>
    <w:rsid w:val="00B235B0"/>
    <w:rsid w:val="00B24578"/>
    <w:rsid w:val="00B24DF6"/>
    <w:rsid w:val="00B25BB5"/>
    <w:rsid w:val="00B26DDF"/>
    <w:rsid w:val="00B27A61"/>
    <w:rsid w:val="00B30965"/>
    <w:rsid w:val="00B34EFE"/>
    <w:rsid w:val="00B34FE2"/>
    <w:rsid w:val="00B35166"/>
    <w:rsid w:val="00B357D8"/>
    <w:rsid w:val="00B360F4"/>
    <w:rsid w:val="00B36A00"/>
    <w:rsid w:val="00B36DC5"/>
    <w:rsid w:val="00B3792B"/>
    <w:rsid w:val="00B37BFC"/>
    <w:rsid w:val="00B40358"/>
    <w:rsid w:val="00B41614"/>
    <w:rsid w:val="00B42526"/>
    <w:rsid w:val="00B42851"/>
    <w:rsid w:val="00B42F80"/>
    <w:rsid w:val="00B430B3"/>
    <w:rsid w:val="00B435CB"/>
    <w:rsid w:val="00B43FF9"/>
    <w:rsid w:val="00B440FE"/>
    <w:rsid w:val="00B465EC"/>
    <w:rsid w:val="00B467A2"/>
    <w:rsid w:val="00B46EB6"/>
    <w:rsid w:val="00B505C8"/>
    <w:rsid w:val="00B507CC"/>
    <w:rsid w:val="00B50DB8"/>
    <w:rsid w:val="00B53654"/>
    <w:rsid w:val="00B53905"/>
    <w:rsid w:val="00B546DB"/>
    <w:rsid w:val="00B54B5B"/>
    <w:rsid w:val="00B5562E"/>
    <w:rsid w:val="00B55862"/>
    <w:rsid w:val="00B55D65"/>
    <w:rsid w:val="00B56305"/>
    <w:rsid w:val="00B56A71"/>
    <w:rsid w:val="00B57000"/>
    <w:rsid w:val="00B60939"/>
    <w:rsid w:val="00B60AFD"/>
    <w:rsid w:val="00B61FF0"/>
    <w:rsid w:val="00B62715"/>
    <w:rsid w:val="00B62EA6"/>
    <w:rsid w:val="00B631F7"/>
    <w:rsid w:val="00B64204"/>
    <w:rsid w:val="00B6428C"/>
    <w:rsid w:val="00B65611"/>
    <w:rsid w:val="00B66E69"/>
    <w:rsid w:val="00B705AC"/>
    <w:rsid w:val="00B70E8E"/>
    <w:rsid w:val="00B76C92"/>
    <w:rsid w:val="00B802B4"/>
    <w:rsid w:val="00B80EFD"/>
    <w:rsid w:val="00B818A4"/>
    <w:rsid w:val="00B83212"/>
    <w:rsid w:val="00B83739"/>
    <w:rsid w:val="00B84117"/>
    <w:rsid w:val="00B858F0"/>
    <w:rsid w:val="00B85AA2"/>
    <w:rsid w:val="00B8649C"/>
    <w:rsid w:val="00B8695D"/>
    <w:rsid w:val="00B86CE0"/>
    <w:rsid w:val="00B87F0A"/>
    <w:rsid w:val="00B90E92"/>
    <w:rsid w:val="00B92D0B"/>
    <w:rsid w:val="00B942C5"/>
    <w:rsid w:val="00B94945"/>
    <w:rsid w:val="00B94DD6"/>
    <w:rsid w:val="00B970DA"/>
    <w:rsid w:val="00B97406"/>
    <w:rsid w:val="00BA322D"/>
    <w:rsid w:val="00BA63FA"/>
    <w:rsid w:val="00BB00B3"/>
    <w:rsid w:val="00BB0BDD"/>
    <w:rsid w:val="00BB176C"/>
    <w:rsid w:val="00BB2A73"/>
    <w:rsid w:val="00BB2E3E"/>
    <w:rsid w:val="00BB38F9"/>
    <w:rsid w:val="00BB3A45"/>
    <w:rsid w:val="00BB4342"/>
    <w:rsid w:val="00BB4ACC"/>
    <w:rsid w:val="00BB5525"/>
    <w:rsid w:val="00BB703E"/>
    <w:rsid w:val="00BB732D"/>
    <w:rsid w:val="00BB7405"/>
    <w:rsid w:val="00BB7943"/>
    <w:rsid w:val="00BB7F56"/>
    <w:rsid w:val="00BC1913"/>
    <w:rsid w:val="00BC1EC6"/>
    <w:rsid w:val="00BC3631"/>
    <w:rsid w:val="00BC3D0D"/>
    <w:rsid w:val="00BC4A17"/>
    <w:rsid w:val="00BC545E"/>
    <w:rsid w:val="00BC591F"/>
    <w:rsid w:val="00BC7D6D"/>
    <w:rsid w:val="00BD1E09"/>
    <w:rsid w:val="00BD2108"/>
    <w:rsid w:val="00BD2CFD"/>
    <w:rsid w:val="00BD35B5"/>
    <w:rsid w:val="00BD3C21"/>
    <w:rsid w:val="00BD68A3"/>
    <w:rsid w:val="00BD6938"/>
    <w:rsid w:val="00BD6CF3"/>
    <w:rsid w:val="00BD7F72"/>
    <w:rsid w:val="00BE0D3B"/>
    <w:rsid w:val="00BE0ECA"/>
    <w:rsid w:val="00BE10B9"/>
    <w:rsid w:val="00BE2180"/>
    <w:rsid w:val="00BE21F2"/>
    <w:rsid w:val="00BE3AE8"/>
    <w:rsid w:val="00BE3EF4"/>
    <w:rsid w:val="00BE4275"/>
    <w:rsid w:val="00BF034D"/>
    <w:rsid w:val="00BF06AE"/>
    <w:rsid w:val="00BF0F95"/>
    <w:rsid w:val="00BF110D"/>
    <w:rsid w:val="00BF2029"/>
    <w:rsid w:val="00BF2433"/>
    <w:rsid w:val="00BF2E6E"/>
    <w:rsid w:val="00BF34C5"/>
    <w:rsid w:val="00BF6182"/>
    <w:rsid w:val="00BF61C9"/>
    <w:rsid w:val="00BF6C94"/>
    <w:rsid w:val="00BF6D54"/>
    <w:rsid w:val="00C00424"/>
    <w:rsid w:val="00C00BB0"/>
    <w:rsid w:val="00C02038"/>
    <w:rsid w:val="00C0501A"/>
    <w:rsid w:val="00C07E2F"/>
    <w:rsid w:val="00C100B9"/>
    <w:rsid w:val="00C1179F"/>
    <w:rsid w:val="00C12470"/>
    <w:rsid w:val="00C127B9"/>
    <w:rsid w:val="00C128FA"/>
    <w:rsid w:val="00C12958"/>
    <w:rsid w:val="00C12C14"/>
    <w:rsid w:val="00C13DC2"/>
    <w:rsid w:val="00C13FD8"/>
    <w:rsid w:val="00C15F04"/>
    <w:rsid w:val="00C179B3"/>
    <w:rsid w:val="00C17E3F"/>
    <w:rsid w:val="00C200AA"/>
    <w:rsid w:val="00C2095C"/>
    <w:rsid w:val="00C21EEC"/>
    <w:rsid w:val="00C237ED"/>
    <w:rsid w:val="00C24632"/>
    <w:rsid w:val="00C25418"/>
    <w:rsid w:val="00C25D9C"/>
    <w:rsid w:val="00C2778B"/>
    <w:rsid w:val="00C31649"/>
    <w:rsid w:val="00C3434C"/>
    <w:rsid w:val="00C40385"/>
    <w:rsid w:val="00C415D2"/>
    <w:rsid w:val="00C416FE"/>
    <w:rsid w:val="00C41768"/>
    <w:rsid w:val="00C43AD4"/>
    <w:rsid w:val="00C445C8"/>
    <w:rsid w:val="00C475AA"/>
    <w:rsid w:val="00C47A74"/>
    <w:rsid w:val="00C47C2B"/>
    <w:rsid w:val="00C50026"/>
    <w:rsid w:val="00C51EA9"/>
    <w:rsid w:val="00C527C7"/>
    <w:rsid w:val="00C53C98"/>
    <w:rsid w:val="00C54C45"/>
    <w:rsid w:val="00C56FCF"/>
    <w:rsid w:val="00C57B6C"/>
    <w:rsid w:val="00C61A59"/>
    <w:rsid w:val="00C628A6"/>
    <w:rsid w:val="00C62DCD"/>
    <w:rsid w:val="00C64344"/>
    <w:rsid w:val="00C65108"/>
    <w:rsid w:val="00C65576"/>
    <w:rsid w:val="00C66165"/>
    <w:rsid w:val="00C66EC7"/>
    <w:rsid w:val="00C7060A"/>
    <w:rsid w:val="00C7151A"/>
    <w:rsid w:val="00C7154B"/>
    <w:rsid w:val="00C717E3"/>
    <w:rsid w:val="00C71F60"/>
    <w:rsid w:val="00C72241"/>
    <w:rsid w:val="00C728DD"/>
    <w:rsid w:val="00C750C8"/>
    <w:rsid w:val="00C7560F"/>
    <w:rsid w:val="00C766BB"/>
    <w:rsid w:val="00C76AE9"/>
    <w:rsid w:val="00C80A0E"/>
    <w:rsid w:val="00C80F56"/>
    <w:rsid w:val="00C8213F"/>
    <w:rsid w:val="00C8303F"/>
    <w:rsid w:val="00C85154"/>
    <w:rsid w:val="00C85A70"/>
    <w:rsid w:val="00C85ED2"/>
    <w:rsid w:val="00C869A9"/>
    <w:rsid w:val="00C8797A"/>
    <w:rsid w:val="00C900B8"/>
    <w:rsid w:val="00C90197"/>
    <w:rsid w:val="00C90C71"/>
    <w:rsid w:val="00C91FD1"/>
    <w:rsid w:val="00C931CF"/>
    <w:rsid w:val="00C937DE"/>
    <w:rsid w:val="00C938CF"/>
    <w:rsid w:val="00C94053"/>
    <w:rsid w:val="00C959D8"/>
    <w:rsid w:val="00C960E6"/>
    <w:rsid w:val="00C9624D"/>
    <w:rsid w:val="00C969DA"/>
    <w:rsid w:val="00C9702F"/>
    <w:rsid w:val="00C977C8"/>
    <w:rsid w:val="00CA0253"/>
    <w:rsid w:val="00CA2C77"/>
    <w:rsid w:val="00CA2E80"/>
    <w:rsid w:val="00CA396D"/>
    <w:rsid w:val="00CA444F"/>
    <w:rsid w:val="00CA5245"/>
    <w:rsid w:val="00CA71F4"/>
    <w:rsid w:val="00CA7B09"/>
    <w:rsid w:val="00CB019C"/>
    <w:rsid w:val="00CB1065"/>
    <w:rsid w:val="00CB12A5"/>
    <w:rsid w:val="00CB1CAC"/>
    <w:rsid w:val="00CB2F2A"/>
    <w:rsid w:val="00CB44A4"/>
    <w:rsid w:val="00CB5363"/>
    <w:rsid w:val="00CB5B1A"/>
    <w:rsid w:val="00CB6B22"/>
    <w:rsid w:val="00CB72AB"/>
    <w:rsid w:val="00CB7F5F"/>
    <w:rsid w:val="00CC1605"/>
    <w:rsid w:val="00CC1B39"/>
    <w:rsid w:val="00CC1BFA"/>
    <w:rsid w:val="00CC2E9F"/>
    <w:rsid w:val="00CC35EA"/>
    <w:rsid w:val="00CC3848"/>
    <w:rsid w:val="00CC6D5E"/>
    <w:rsid w:val="00CD0200"/>
    <w:rsid w:val="00CD3F77"/>
    <w:rsid w:val="00CD4B7E"/>
    <w:rsid w:val="00CD57BC"/>
    <w:rsid w:val="00CD6ADC"/>
    <w:rsid w:val="00CD7193"/>
    <w:rsid w:val="00CD7646"/>
    <w:rsid w:val="00CE2134"/>
    <w:rsid w:val="00CE2401"/>
    <w:rsid w:val="00CE2A7F"/>
    <w:rsid w:val="00CE2BCF"/>
    <w:rsid w:val="00CE38C8"/>
    <w:rsid w:val="00CE524F"/>
    <w:rsid w:val="00CE56F9"/>
    <w:rsid w:val="00CE58CC"/>
    <w:rsid w:val="00CE6274"/>
    <w:rsid w:val="00CE77B6"/>
    <w:rsid w:val="00CF0E58"/>
    <w:rsid w:val="00CF1D9B"/>
    <w:rsid w:val="00CF2B8D"/>
    <w:rsid w:val="00CF2DAC"/>
    <w:rsid w:val="00CF3A1B"/>
    <w:rsid w:val="00CF456B"/>
    <w:rsid w:val="00CF5641"/>
    <w:rsid w:val="00CF5A22"/>
    <w:rsid w:val="00D0262E"/>
    <w:rsid w:val="00D03679"/>
    <w:rsid w:val="00D05E3D"/>
    <w:rsid w:val="00D06139"/>
    <w:rsid w:val="00D07A30"/>
    <w:rsid w:val="00D10C73"/>
    <w:rsid w:val="00D110BD"/>
    <w:rsid w:val="00D11291"/>
    <w:rsid w:val="00D11EC8"/>
    <w:rsid w:val="00D12954"/>
    <w:rsid w:val="00D13675"/>
    <w:rsid w:val="00D13D58"/>
    <w:rsid w:val="00D141E1"/>
    <w:rsid w:val="00D15314"/>
    <w:rsid w:val="00D15B05"/>
    <w:rsid w:val="00D15B48"/>
    <w:rsid w:val="00D1714F"/>
    <w:rsid w:val="00D17D6C"/>
    <w:rsid w:val="00D20537"/>
    <w:rsid w:val="00D20638"/>
    <w:rsid w:val="00D2064E"/>
    <w:rsid w:val="00D2155B"/>
    <w:rsid w:val="00D218EF"/>
    <w:rsid w:val="00D23A23"/>
    <w:rsid w:val="00D23C7D"/>
    <w:rsid w:val="00D23D11"/>
    <w:rsid w:val="00D240F2"/>
    <w:rsid w:val="00D244B6"/>
    <w:rsid w:val="00D2754D"/>
    <w:rsid w:val="00D27B27"/>
    <w:rsid w:val="00D3071F"/>
    <w:rsid w:val="00D30D5B"/>
    <w:rsid w:val="00D33BE9"/>
    <w:rsid w:val="00D33F93"/>
    <w:rsid w:val="00D341BA"/>
    <w:rsid w:val="00D34A87"/>
    <w:rsid w:val="00D357FF"/>
    <w:rsid w:val="00D36CFF"/>
    <w:rsid w:val="00D40B9F"/>
    <w:rsid w:val="00D424C7"/>
    <w:rsid w:val="00D43B2A"/>
    <w:rsid w:val="00D43CF1"/>
    <w:rsid w:val="00D43D83"/>
    <w:rsid w:val="00D47575"/>
    <w:rsid w:val="00D5155A"/>
    <w:rsid w:val="00D5243B"/>
    <w:rsid w:val="00D52EDF"/>
    <w:rsid w:val="00D533EC"/>
    <w:rsid w:val="00D53C0A"/>
    <w:rsid w:val="00D547DA"/>
    <w:rsid w:val="00D54BCD"/>
    <w:rsid w:val="00D556FD"/>
    <w:rsid w:val="00D56659"/>
    <w:rsid w:val="00D56A95"/>
    <w:rsid w:val="00D600F4"/>
    <w:rsid w:val="00D60545"/>
    <w:rsid w:val="00D60674"/>
    <w:rsid w:val="00D6076E"/>
    <w:rsid w:val="00D6292D"/>
    <w:rsid w:val="00D65013"/>
    <w:rsid w:val="00D70EC6"/>
    <w:rsid w:val="00D70F16"/>
    <w:rsid w:val="00D72617"/>
    <w:rsid w:val="00D72F57"/>
    <w:rsid w:val="00D73DE4"/>
    <w:rsid w:val="00D76A44"/>
    <w:rsid w:val="00D815EF"/>
    <w:rsid w:val="00D81949"/>
    <w:rsid w:val="00D81F26"/>
    <w:rsid w:val="00D822E2"/>
    <w:rsid w:val="00D826CB"/>
    <w:rsid w:val="00D84194"/>
    <w:rsid w:val="00D843F2"/>
    <w:rsid w:val="00D8562F"/>
    <w:rsid w:val="00D85BDC"/>
    <w:rsid w:val="00D86231"/>
    <w:rsid w:val="00D912AB"/>
    <w:rsid w:val="00D91923"/>
    <w:rsid w:val="00D93753"/>
    <w:rsid w:val="00D93F89"/>
    <w:rsid w:val="00D96203"/>
    <w:rsid w:val="00D96ADB"/>
    <w:rsid w:val="00D9795F"/>
    <w:rsid w:val="00DA099A"/>
    <w:rsid w:val="00DA1729"/>
    <w:rsid w:val="00DA3167"/>
    <w:rsid w:val="00DA4DC3"/>
    <w:rsid w:val="00DA563A"/>
    <w:rsid w:val="00DA77A5"/>
    <w:rsid w:val="00DA7884"/>
    <w:rsid w:val="00DB0DB6"/>
    <w:rsid w:val="00DB0E36"/>
    <w:rsid w:val="00DB2172"/>
    <w:rsid w:val="00DB2E60"/>
    <w:rsid w:val="00DB2FC6"/>
    <w:rsid w:val="00DB3DBF"/>
    <w:rsid w:val="00DB45D5"/>
    <w:rsid w:val="00DB484F"/>
    <w:rsid w:val="00DB5004"/>
    <w:rsid w:val="00DB629C"/>
    <w:rsid w:val="00DB75B6"/>
    <w:rsid w:val="00DC04F6"/>
    <w:rsid w:val="00DC0690"/>
    <w:rsid w:val="00DC1D65"/>
    <w:rsid w:val="00DC3C57"/>
    <w:rsid w:val="00DC5501"/>
    <w:rsid w:val="00DC5DE4"/>
    <w:rsid w:val="00DC6A70"/>
    <w:rsid w:val="00DC7154"/>
    <w:rsid w:val="00DC7E8A"/>
    <w:rsid w:val="00DD0CC2"/>
    <w:rsid w:val="00DD0F78"/>
    <w:rsid w:val="00DD273C"/>
    <w:rsid w:val="00DD3F28"/>
    <w:rsid w:val="00DD4446"/>
    <w:rsid w:val="00DD4537"/>
    <w:rsid w:val="00DD4877"/>
    <w:rsid w:val="00DD4E15"/>
    <w:rsid w:val="00DD79F8"/>
    <w:rsid w:val="00DE2304"/>
    <w:rsid w:val="00DE3138"/>
    <w:rsid w:val="00DE37F8"/>
    <w:rsid w:val="00DE3F7C"/>
    <w:rsid w:val="00DE4273"/>
    <w:rsid w:val="00DE4FCB"/>
    <w:rsid w:val="00DE5D07"/>
    <w:rsid w:val="00DE62EF"/>
    <w:rsid w:val="00DE6CDC"/>
    <w:rsid w:val="00DE72A7"/>
    <w:rsid w:val="00DE7832"/>
    <w:rsid w:val="00DE7CCD"/>
    <w:rsid w:val="00DF18FC"/>
    <w:rsid w:val="00DF3063"/>
    <w:rsid w:val="00DF426A"/>
    <w:rsid w:val="00DF4803"/>
    <w:rsid w:val="00DF5D2B"/>
    <w:rsid w:val="00DF6341"/>
    <w:rsid w:val="00DF6686"/>
    <w:rsid w:val="00E00E8E"/>
    <w:rsid w:val="00E01C44"/>
    <w:rsid w:val="00E0208B"/>
    <w:rsid w:val="00E02FB9"/>
    <w:rsid w:val="00E03B31"/>
    <w:rsid w:val="00E0467F"/>
    <w:rsid w:val="00E04BBE"/>
    <w:rsid w:val="00E05630"/>
    <w:rsid w:val="00E06DBB"/>
    <w:rsid w:val="00E07CC2"/>
    <w:rsid w:val="00E10149"/>
    <w:rsid w:val="00E11340"/>
    <w:rsid w:val="00E122A1"/>
    <w:rsid w:val="00E13DBC"/>
    <w:rsid w:val="00E16372"/>
    <w:rsid w:val="00E167FD"/>
    <w:rsid w:val="00E16AD8"/>
    <w:rsid w:val="00E17FFA"/>
    <w:rsid w:val="00E20295"/>
    <w:rsid w:val="00E20482"/>
    <w:rsid w:val="00E20E4D"/>
    <w:rsid w:val="00E20ED6"/>
    <w:rsid w:val="00E21358"/>
    <w:rsid w:val="00E21C39"/>
    <w:rsid w:val="00E2249B"/>
    <w:rsid w:val="00E22A0D"/>
    <w:rsid w:val="00E244F6"/>
    <w:rsid w:val="00E258DB"/>
    <w:rsid w:val="00E262EC"/>
    <w:rsid w:val="00E26FD0"/>
    <w:rsid w:val="00E2771E"/>
    <w:rsid w:val="00E307B6"/>
    <w:rsid w:val="00E311EF"/>
    <w:rsid w:val="00E31459"/>
    <w:rsid w:val="00E31599"/>
    <w:rsid w:val="00E32180"/>
    <w:rsid w:val="00E336AD"/>
    <w:rsid w:val="00E34948"/>
    <w:rsid w:val="00E36CAC"/>
    <w:rsid w:val="00E36D14"/>
    <w:rsid w:val="00E37569"/>
    <w:rsid w:val="00E37705"/>
    <w:rsid w:val="00E401B2"/>
    <w:rsid w:val="00E41E30"/>
    <w:rsid w:val="00E42F73"/>
    <w:rsid w:val="00E43D70"/>
    <w:rsid w:val="00E456F5"/>
    <w:rsid w:val="00E45B85"/>
    <w:rsid w:val="00E466F3"/>
    <w:rsid w:val="00E47B2C"/>
    <w:rsid w:val="00E51560"/>
    <w:rsid w:val="00E51821"/>
    <w:rsid w:val="00E524DA"/>
    <w:rsid w:val="00E526DA"/>
    <w:rsid w:val="00E53209"/>
    <w:rsid w:val="00E53FC8"/>
    <w:rsid w:val="00E54347"/>
    <w:rsid w:val="00E55424"/>
    <w:rsid w:val="00E55915"/>
    <w:rsid w:val="00E55BB5"/>
    <w:rsid w:val="00E56B65"/>
    <w:rsid w:val="00E60E6B"/>
    <w:rsid w:val="00E611DF"/>
    <w:rsid w:val="00E612BB"/>
    <w:rsid w:val="00E6239B"/>
    <w:rsid w:val="00E63776"/>
    <w:rsid w:val="00E65C0C"/>
    <w:rsid w:val="00E65CC0"/>
    <w:rsid w:val="00E65E79"/>
    <w:rsid w:val="00E66BA2"/>
    <w:rsid w:val="00E67416"/>
    <w:rsid w:val="00E6755F"/>
    <w:rsid w:val="00E718B6"/>
    <w:rsid w:val="00E723BA"/>
    <w:rsid w:val="00E73581"/>
    <w:rsid w:val="00E756DE"/>
    <w:rsid w:val="00E76112"/>
    <w:rsid w:val="00E77865"/>
    <w:rsid w:val="00E83193"/>
    <w:rsid w:val="00E833F7"/>
    <w:rsid w:val="00E83BDF"/>
    <w:rsid w:val="00E84033"/>
    <w:rsid w:val="00E842A2"/>
    <w:rsid w:val="00E85E36"/>
    <w:rsid w:val="00E86FCC"/>
    <w:rsid w:val="00E87099"/>
    <w:rsid w:val="00E87A1D"/>
    <w:rsid w:val="00E9094A"/>
    <w:rsid w:val="00E91D35"/>
    <w:rsid w:val="00E926A5"/>
    <w:rsid w:val="00E95DE4"/>
    <w:rsid w:val="00E962A0"/>
    <w:rsid w:val="00E962CC"/>
    <w:rsid w:val="00EA17C3"/>
    <w:rsid w:val="00EA1EF6"/>
    <w:rsid w:val="00EA1FD2"/>
    <w:rsid w:val="00EA2CAA"/>
    <w:rsid w:val="00EA31E9"/>
    <w:rsid w:val="00EA3864"/>
    <w:rsid w:val="00EA6AD5"/>
    <w:rsid w:val="00EA75FE"/>
    <w:rsid w:val="00EA7F1C"/>
    <w:rsid w:val="00EB15B6"/>
    <w:rsid w:val="00EB1B65"/>
    <w:rsid w:val="00EB1D84"/>
    <w:rsid w:val="00EB31DC"/>
    <w:rsid w:val="00EB3941"/>
    <w:rsid w:val="00EB3D06"/>
    <w:rsid w:val="00EB4916"/>
    <w:rsid w:val="00EB4A10"/>
    <w:rsid w:val="00EB506A"/>
    <w:rsid w:val="00EB775B"/>
    <w:rsid w:val="00EC00AF"/>
    <w:rsid w:val="00EC00C9"/>
    <w:rsid w:val="00EC0DD9"/>
    <w:rsid w:val="00EC2649"/>
    <w:rsid w:val="00EC31ED"/>
    <w:rsid w:val="00EC5836"/>
    <w:rsid w:val="00EC688C"/>
    <w:rsid w:val="00EC689E"/>
    <w:rsid w:val="00ED12E3"/>
    <w:rsid w:val="00ED473A"/>
    <w:rsid w:val="00ED4B04"/>
    <w:rsid w:val="00ED4CE2"/>
    <w:rsid w:val="00ED506E"/>
    <w:rsid w:val="00ED57EA"/>
    <w:rsid w:val="00ED5BD4"/>
    <w:rsid w:val="00ED5F35"/>
    <w:rsid w:val="00ED704F"/>
    <w:rsid w:val="00EE0181"/>
    <w:rsid w:val="00EE07D3"/>
    <w:rsid w:val="00EE1996"/>
    <w:rsid w:val="00EE1C01"/>
    <w:rsid w:val="00EE22AF"/>
    <w:rsid w:val="00EE4A82"/>
    <w:rsid w:val="00EE5409"/>
    <w:rsid w:val="00EE5CAA"/>
    <w:rsid w:val="00EE67BB"/>
    <w:rsid w:val="00EF0171"/>
    <w:rsid w:val="00EF19E5"/>
    <w:rsid w:val="00EF1B25"/>
    <w:rsid w:val="00EF1DA0"/>
    <w:rsid w:val="00EF2B32"/>
    <w:rsid w:val="00EF4747"/>
    <w:rsid w:val="00EF4BF8"/>
    <w:rsid w:val="00F02253"/>
    <w:rsid w:val="00F03801"/>
    <w:rsid w:val="00F03C2E"/>
    <w:rsid w:val="00F04A66"/>
    <w:rsid w:val="00F04B4B"/>
    <w:rsid w:val="00F0516C"/>
    <w:rsid w:val="00F05EDA"/>
    <w:rsid w:val="00F067A2"/>
    <w:rsid w:val="00F07B9E"/>
    <w:rsid w:val="00F1116F"/>
    <w:rsid w:val="00F1263A"/>
    <w:rsid w:val="00F139C5"/>
    <w:rsid w:val="00F15653"/>
    <w:rsid w:val="00F15B77"/>
    <w:rsid w:val="00F17232"/>
    <w:rsid w:val="00F21236"/>
    <w:rsid w:val="00F223F2"/>
    <w:rsid w:val="00F239DF"/>
    <w:rsid w:val="00F24837"/>
    <w:rsid w:val="00F25699"/>
    <w:rsid w:val="00F2575F"/>
    <w:rsid w:val="00F25831"/>
    <w:rsid w:val="00F25F45"/>
    <w:rsid w:val="00F274C9"/>
    <w:rsid w:val="00F27565"/>
    <w:rsid w:val="00F27800"/>
    <w:rsid w:val="00F30586"/>
    <w:rsid w:val="00F310D4"/>
    <w:rsid w:val="00F31D5A"/>
    <w:rsid w:val="00F33863"/>
    <w:rsid w:val="00F33975"/>
    <w:rsid w:val="00F33DE9"/>
    <w:rsid w:val="00F35E6D"/>
    <w:rsid w:val="00F3619A"/>
    <w:rsid w:val="00F361CA"/>
    <w:rsid w:val="00F40604"/>
    <w:rsid w:val="00F40AAA"/>
    <w:rsid w:val="00F40BA7"/>
    <w:rsid w:val="00F40F9D"/>
    <w:rsid w:val="00F41ACD"/>
    <w:rsid w:val="00F44C74"/>
    <w:rsid w:val="00F466BD"/>
    <w:rsid w:val="00F46CB6"/>
    <w:rsid w:val="00F470E5"/>
    <w:rsid w:val="00F472E8"/>
    <w:rsid w:val="00F4756D"/>
    <w:rsid w:val="00F47DE8"/>
    <w:rsid w:val="00F504E0"/>
    <w:rsid w:val="00F53982"/>
    <w:rsid w:val="00F542C1"/>
    <w:rsid w:val="00F550E3"/>
    <w:rsid w:val="00F55E73"/>
    <w:rsid w:val="00F55EDA"/>
    <w:rsid w:val="00F56C80"/>
    <w:rsid w:val="00F60092"/>
    <w:rsid w:val="00F6119F"/>
    <w:rsid w:val="00F615F3"/>
    <w:rsid w:val="00F61C18"/>
    <w:rsid w:val="00F627B8"/>
    <w:rsid w:val="00F64693"/>
    <w:rsid w:val="00F654DC"/>
    <w:rsid w:val="00F65F4B"/>
    <w:rsid w:val="00F66A5D"/>
    <w:rsid w:val="00F67A69"/>
    <w:rsid w:val="00F70BFF"/>
    <w:rsid w:val="00F70C9D"/>
    <w:rsid w:val="00F73E08"/>
    <w:rsid w:val="00F74CD9"/>
    <w:rsid w:val="00F80A7B"/>
    <w:rsid w:val="00F80E5D"/>
    <w:rsid w:val="00F81E78"/>
    <w:rsid w:val="00F83916"/>
    <w:rsid w:val="00F83AB3"/>
    <w:rsid w:val="00F851CE"/>
    <w:rsid w:val="00F85C0F"/>
    <w:rsid w:val="00F91219"/>
    <w:rsid w:val="00F91FD9"/>
    <w:rsid w:val="00F92444"/>
    <w:rsid w:val="00F9393E"/>
    <w:rsid w:val="00F93F5A"/>
    <w:rsid w:val="00F9651E"/>
    <w:rsid w:val="00F96FD0"/>
    <w:rsid w:val="00F97A78"/>
    <w:rsid w:val="00FA0B20"/>
    <w:rsid w:val="00FA24E7"/>
    <w:rsid w:val="00FA29B9"/>
    <w:rsid w:val="00FA5EE6"/>
    <w:rsid w:val="00FA7956"/>
    <w:rsid w:val="00FB0824"/>
    <w:rsid w:val="00FB2251"/>
    <w:rsid w:val="00FB2FCB"/>
    <w:rsid w:val="00FB4C9C"/>
    <w:rsid w:val="00FB76AA"/>
    <w:rsid w:val="00FB7C55"/>
    <w:rsid w:val="00FC1074"/>
    <w:rsid w:val="00FC1884"/>
    <w:rsid w:val="00FC1EFE"/>
    <w:rsid w:val="00FC24EC"/>
    <w:rsid w:val="00FC371D"/>
    <w:rsid w:val="00FC5F0B"/>
    <w:rsid w:val="00FD0790"/>
    <w:rsid w:val="00FD0A38"/>
    <w:rsid w:val="00FD0B50"/>
    <w:rsid w:val="00FD1FEA"/>
    <w:rsid w:val="00FD2100"/>
    <w:rsid w:val="00FD436C"/>
    <w:rsid w:val="00FD446D"/>
    <w:rsid w:val="00FD4F2C"/>
    <w:rsid w:val="00FD5D25"/>
    <w:rsid w:val="00FD6394"/>
    <w:rsid w:val="00FD7853"/>
    <w:rsid w:val="00FE0E6C"/>
    <w:rsid w:val="00FE110B"/>
    <w:rsid w:val="00FE1CDC"/>
    <w:rsid w:val="00FE2E82"/>
    <w:rsid w:val="00FE50B1"/>
    <w:rsid w:val="00FE70C3"/>
    <w:rsid w:val="00FF1A8B"/>
    <w:rsid w:val="00FF2AD9"/>
    <w:rsid w:val="00FF2C64"/>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5B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Figure_name,Numbered Indented Text,Bullet- First level,List NUmber,Listenabsatz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Figure_nam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Table Grid nm,new style,HTAtableplain,Dossier table,Summary Table,MSD Table Grid,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9C1A1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9C1A19"/>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9"/>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character" w:styleId="UnresolvedMention">
    <w:name w:val="Unresolved Mention"/>
    <w:basedOn w:val="DefaultParagraphFont"/>
    <w:uiPriority w:val="99"/>
    <w:semiHidden/>
    <w:unhideWhenUsed/>
    <w:rsid w:val="00A50A6F"/>
    <w:rPr>
      <w:color w:val="605E5C"/>
      <w:shd w:val="clear" w:color="auto" w:fill="E1DFDD"/>
    </w:rPr>
  </w:style>
  <w:style w:type="paragraph" w:styleId="FootnoteText">
    <w:name w:val="footnote text"/>
    <w:basedOn w:val="Normal"/>
    <w:link w:val="FootnoteTextChar"/>
    <w:uiPriority w:val="99"/>
    <w:unhideWhenUsed/>
    <w:rsid w:val="0087041A"/>
    <w:rPr>
      <w:sz w:val="20"/>
      <w:szCs w:val="20"/>
    </w:rPr>
  </w:style>
  <w:style w:type="character" w:customStyle="1" w:styleId="FootnoteTextChar">
    <w:name w:val="Footnote Text Char"/>
    <w:basedOn w:val="DefaultParagraphFont"/>
    <w:link w:val="FootnoteText"/>
    <w:uiPriority w:val="99"/>
    <w:rsid w:val="0087041A"/>
    <w:rPr>
      <w:rFonts w:ascii="Calibri" w:hAnsi="Calibri" w:cs="Arial"/>
    </w:rPr>
  </w:style>
  <w:style w:type="character" w:styleId="FootnoteReference">
    <w:name w:val="footnote reference"/>
    <w:basedOn w:val="DefaultParagraphFont"/>
    <w:uiPriority w:val="99"/>
    <w:unhideWhenUsed/>
    <w:rsid w:val="0087041A"/>
    <w:rPr>
      <w:vertAlign w:val="superscript"/>
    </w:rPr>
  </w:style>
  <w:style w:type="table" w:customStyle="1" w:styleId="PBACTableStyle">
    <w:name w:val="PBAC Table Style"/>
    <w:basedOn w:val="TableGrid1"/>
    <w:uiPriority w:val="99"/>
    <w:rsid w:val="00383F0B"/>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PBACESParagraphBulletPoint">
    <w:name w:val="PBAC ES Paragraph Bullet Point"/>
    <w:basedOn w:val="ListParagraph"/>
    <w:link w:val="PBACESParagraphBulletPointChar"/>
    <w:uiPriority w:val="1"/>
    <w:qFormat/>
    <w:rsid w:val="00383F0B"/>
    <w:pPr>
      <w:numPr>
        <w:numId w:val="11"/>
      </w:numPr>
      <w:spacing w:before="120"/>
      <w:ind w:left="1491" w:hanging="357"/>
    </w:pPr>
    <w:rPr>
      <w:rFonts w:eastAsiaTheme="minorHAnsi" w:cstheme="minorBidi"/>
      <w:snapToGrid/>
      <w:color w:val="000000" w:themeColor="text1"/>
      <w:szCs w:val="22"/>
      <w:lang w:eastAsia="en-US"/>
    </w:rPr>
  </w:style>
  <w:style w:type="character" w:customStyle="1" w:styleId="PBACESParagraphBulletPointChar">
    <w:name w:val="PBAC ES Paragraph Bullet Point Char"/>
    <w:basedOn w:val="DefaultParagraphFont"/>
    <w:link w:val="PBACESParagraphBulletPoint"/>
    <w:uiPriority w:val="1"/>
    <w:rsid w:val="00383F0B"/>
    <w:rPr>
      <w:rFonts w:asciiTheme="minorHAnsi" w:eastAsiaTheme="minorHAnsi" w:hAnsiTheme="minorHAnsi" w:cstheme="minorBidi"/>
      <w:color w:val="000000" w:themeColor="text1"/>
      <w:sz w:val="24"/>
      <w:szCs w:val="22"/>
      <w:lang w:eastAsia="en-US"/>
    </w:rPr>
  </w:style>
  <w:style w:type="paragraph" w:customStyle="1" w:styleId="Tabletextleft">
    <w:name w:val="Table text left"/>
    <w:basedOn w:val="Normal"/>
    <w:link w:val="TabletextleftChar"/>
    <w:qFormat/>
    <w:rsid w:val="00383F0B"/>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383F0B"/>
    <w:rPr>
      <w:rFonts w:asciiTheme="minorHAnsi" w:hAnsiTheme="minorHAnsi"/>
      <w:sz w:val="18"/>
    </w:rPr>
  </w:style>
  <w:style w:type="table" w:styleId="TableGrid1">
    <w:name w:val="Table Grid 1"/>
    <w:basedOn w:val="TableNormal"/>
    <w:semiHidden/>
    <w:unhideWhenUsed/>
    <w:rsid w:val="00383F0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HTATableshaded">
    <w:name w:val="HTA Table shaded"/>
    <w:basedOn w:val="TableNormal"/>
    <w:rsid w:val="004F4D8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
    <w:name w:val="Table"/>
    <w:basedOn w:val="Normal"/>
    <w:link w:val="TableChar"/>
    <w:qFormat/>
    <w:rsid w:val="004F4D83"/>
    <w:pPr>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4F4D83"/>
    <w:rPr>
      <w:rFonts w:ascii="Candara" w:eastAsiaTheme="majorEastAsia" w:hAnsi="Candara" w:cstheme="majorBidi"/>
      <w:szCs w:val="22"/>
      <w:lang w:eastAsia="en-US" w:bidi="en-US"/>
    </w:rPr>
  </w:style>
  <w:style w:type="character" w:customStyle="1" w:styleId="CaptionFootnoteChar">
    <w:name w:val="Caption Footnote Char"/>
    <w:basedOn w:val="DefaultParagraphFont"/>
    <w:link w:val="CaptionFootnote"/>
    <w:rsid w:val="004F4D83"/>
    <w:rPr>
      <w:rFonts w:ascii="Candara" w:hAnsi="Candara"/>
      <w:bCs/>
      <w:sz w:val="16"/>
      <w:szCs w:val="18"/>
      <w:lang w:val="en-US"/>
    </w:rPr>
  </w:style>
  <w:style w:type="paragraph" w:customStyle="1" w:styleId="CaptionFootnote">
    <w:name w:val="Caption Footnote"/>
    <w:basedOn w:val="Caption"/>
    <w:link w:val="CaptionFootnoteChar"/>
    <w:qFormat/>
    <w:rsid w:val="004F4D83"/>
    <w:pPr>
      <w:keepNext w:val="0"/>
      <w:keepLines w:val="0"/>
      <w:widowControl w:val="0"/>
      <w:jc w:val="left"/>
    </w:pPr>
    <w:rPr>
      <w:rFonts w:ascii="Candara" w:hAnsi="Candara" w:cs="Times New Roman"/>
      <w:b w:val="0"/>
      <w:sz w:val="16"/>
      <w:lang w:val="en-US"/>
    </w:rPr>
  </w:style>
  <w:style w:type="paragraph" w:customStyle="1" w:styleId="EndNoteBibliographyTitle">
    <w:name w:val="EndNote Bibliography Title"/>
    <w:basedOn w:val="Normal"/>
    <w:link w:val="EndNoteBibliographyTitleChar"/>
    <w:rsid w:val="0025235A"/>
    <w:pPr>
      <w:jc w:val="center"/>
    </w:pPr>
    <w:rPr>
      <w:rFonts w:cs="Calibri"/>
      <w:noProof/>
    </w:rPr>
  </w:style>
  <w:style w:type="character" w:customStyle="1" w:styleId="ListBulletChar">
    <w:name w:val="List Bullet Char"/>
    <w:basedOn w:val="DefaultParagraphFont"/>
    <w:link w:val="ListBullet"/>
    <w:rsid w:val="0025235A"/>
    <w:rPr>
      <w:rFonts w:ascii="Calibri" w:hAnsi="Calibri" w:cs="Arial"/>
      <w:sz w:val="24"/>
      <w:szCs w:val="24"/>
    </w:rPr>
  </w:style>
  <w:style w:type="character" w:customStyle="1" w:styleId="EndNoteBibliographyTitleChar">
    <w:name w:val="EndNote Bibliography Title Char"/>
    <w:basedOn w:val="ListBulletChar"/>
    <w:link w:val="EndNoteBibliographyTitle"/>
    <w:rsid w:val="0025235A"/>
    <w:rPr>
      <w:rFonts w:ascii="Calibri" w:hAnsi="Calibri" w:cs="Calibri"/>
      <w:noProof/>
      <w:sz w:val="24"/>
      <w:szCs w:val="24"/>
    </w:rPr>
  </w:style>
  <w:style w:type="paragraph" w:customStyle="1" w:styleId="EndNoteBibliography">
    <w:name w:val="EndNote Bibliography"/>
    <w:basedOn w:val="Normal"/>
    <w:link w:val="EndNoteBibliographyChar"/>
    <w:rsid w:val="0025235A"/>
    <w:rPr>
      <w:rFonts w:cs="Calibri"/>
      <w:noProof/>
    </w:rPr>
  </w:style>
  <w:style w:type="character" w:customStyle="1" w:styleId="EndNoteBibliographyChar">
    <w:name w:val="EndNote Bibliography Char"/>
    <w:basedOn w:val="ListBulletChar"/>
    <w:link w:val="EndNoteBibliography"/>
    <w:rsid w:val="0025235A"/>
    <w:rPr>
      <w:rFonts w:ascii="Calibri" w:hAnsi="Calibri" w:cs="Calibri"/>
      <w:noProof/>
      <w:sz w:val="24"/>
      <w:szCs w:val="24"/>
    </w:rPr>
  </w:style>
  <w:style w:type="paragraph" w:customStyle="1" w:styleId="PBACESHeading1">
    <w:name w:val="PBAC ES Heading 1"/>
    <w:basedOn w:val="Heading1"/>
    <w:next w:val="ListParagraph"/>
    <w:uiPriority w:val="1"/>
    <w:qFormat/>
    <w:rsid w:val="000110D8"/>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link w:val="PBACESHeading2Char"/>
    <w:uiPriority w:val="1"/>
    <w:qFormat/>
    <w:rsid w:val="000110D8"/>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0110D8"/>
    <w:rPr>
      <w:i w:val="0"/>
      <w:smallCaps/>
      <w:sz w:val="32"/>
    </w:rPr>
  </w:style>
  <w:style w:type="paragraph" w:customStyle="1" w:styleId="PBACESHeading3">
    <w:name w:val="PBAC ES Heading 3"/>
    <w:basedOn w:val="PBACESHeading2"/>
    <w:uiPriority w:val="1"/>
    <w:qFormat/>
    <w:rsid w:val="000110D8"/>
    <w:pPr>
      <w:ind w:left="1080" w:hanging="1080"/>
    </w:pPr>
    <w:rPr>
      <w:i w:val="0"/>
      <w:sz w:val="24"/>
    </w:rPr>
  </w:style>
  <w:style w:type="paragraph" w:customStyle="1" w:styleId="MSACHeading1">
    <w:name w:val="MSAC Heading 1"/>
    <w:basedOn w:val="Heading1"/>
    <w:next w:val="Normal"/>
    <w:uiPriority w:val="1"/>
    <w:qFormat/>
    <w:rsid w:val="000110D8"/>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0110D8"/>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customStyle="1" w:styleId="TableFigNotes0">
    <w:name w:val="TableFigNotes+0"/>
    <w:basedOn w:val="Normal"/>
    <w:uiPriority w:val="4"/>
    <w:qFormat/>
    <w:rsid w:val="001538BB"/>
    <w:pPr>
      <w:keepNext/>
      <w:keepLines/>
      <w:jc w:val="left"/>
    </w:pPr>
    <w:rPr>
      <w:rFonts w:cs="Tahoma"/>
      <w:color w:val="000000"/>
      <w:sz w:val="16"/>
      <w:szCs w:val="18"/>
      <w:lang w:val="en-US"/>
    </w:rPr>
  </w:style>
  <w:style w:type="paragraph" w:customStyle="1" w:styleId="TableH2">
    <w:name w:val="Table H2"/>
    <w:basedOn w:val="Normal"/>
    <w:next w:val="Tabletextleft"/>
    <w:uiPriority w:val="4"/>
    <w:qFormat/>
    <w:rsid w:val="001538BB"/>
    <w:pPr>
      <w:keepNext/>
      <w:tabs>
        <w:tab w:val="left" w:pos="416"/>
        <w:tab w:val="left" w:pos="582"/>
        <w:tab w:val="left" w:pos="1134"/>
      </w:tabs>
      <w:spacing w:before="40" w:after="120"/>
    </w:pPr>
    <w:rPr>
      <w:rFonts w:asciiTheme="minorHAnsi" w:eastAsiaTheme="minorHAnsi" w:hAnsiTheme="minorHAnsi" w:cs="Tahoma"/>
      <w:b/>
      <w:spacing w:val="-1"/>
      <w:sz w:val="20"/>
      <w:szCs w:val="18"/>
      <w:lang w:val="en-US" w:eastAsia="en-US"/>
    </w:rPr>
  </w:style>
  <w:style w:type="paragraph" w:customStyle="1" w:styleId="Tabletextbold">
    <w:name w:val="Table text bold"/>
    <w:basedOn w:val="Tabletextleft"/>
    <w:link w:val="TabletextboldChar"/>
    <w:qFormat/>
    <w:rsid w:val="001538BB"/>
    <w:pPr>
      <w:ind w:left="57" w:right="57"/>
    </w:pPr>
    <w:rPr>
      <w:rFonts w:eastAsia="Arial"/>
      <w:b/>
      <w:lang w:val="de-DE"/>
    </w:rPr>
  </w:style>
  <w:style w:type="character" w:customStyle="1" w:styleId="TabletextboldChar">
    <w:name w:val="Table text bold Char"/>
    <w:basedOn w:val="TabletextleftChar"/>
    <w:link w:val="Tabletextbold"/>
    <w:rsid w:val="001538BB"/>
    <w:rPr>
      <w:rFonts w:asciiTheme="minorHAnsi" w:eastAsia="Arial" w:hAnsiTheme="minorHAnsi"/>
      <w:b/>
      <w:sz w:val="18"/>
      <w:lang w:val="de-DE"/>
    </w:rPr>
  </w:style>
  <w:style w:type="table" w:customStyle="1" w:styleId="HTATableshaded17">
    <w:name w:val="HTA Table shaded17"/>
    <w:basedOn w:val="TableNormal"/>
    <w:rsid w:val="001538B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5Char">
    <w:name w:val="Heading 5 Char"/>
    <w:basedOn w:val="DefaultParagraphFont"/>
    <w:link w:val="Heading5"/>
    <w:rsid w:val="001E51C6"/>
    <w:rPr>
      <w:rFonts w:ascii="Calibri" w:hAnsi="Calibri" w:cs="Arial"/>
      <w:b/>
      <w:bCs/>
      <w:iCs/>
      <w:sz w:val="26"/>
      <w:szCs w:val="26"/>
    </w:rPr>
  </w:style>
  <w:style w:type="paragraph" w:customStyle="1" w:styleId="Tableheadingcent">
    <w:name w:val="Table heading cent"/>
    <w:basedOn w:val="Normal"/>
    <w:qFormat/>
    <w:rsid w:val="00295361"/>
    <w:pPr>
      <w:spacing w:before="40" w:after="120"/>
      <w:jc w:val="center"/>
    </w:pPr>
    <w:rPr>
      <w:rFonts w:asciiTheme="minorHAnsi" w:eastAsiaTheme="minorHAnsi" w:hAnsiTheme="minorHAnsi" w:cs="Tahoma"/>
      <w:b/>
      <w:sz w:val="20"/>
      <w:szCs w:val="18"/>
      <w:lang w:val="de-DE" w:eastAsia="en-US"/>
    </w:rPr>
  </w:style>
  <w:style w:type="character" w:customStyle="1" w:styleId="FrontpageTahoma10pt">
    <w:name w:val="Front page Tahoma 10pt"/>
    <w:basedOn w:val="DefaultParagraphFont"/>
    <w:uiPriority w:val="1"/>
    <w:qFormat/>
    <w:rsid w:val="00313A8B"/>
    <w:rPr>
      <w:rFonts w:ascii="Tahoma" w:hAnsi="Tahoma" w:cs="Tahoma"/>
      <w:sz w:val="20"/>
    </w:rPr>
  </w:style>
  <w:style w:type="paragraph" w:customStyle="1" w:styleId="Tablebullet">
    <w:name w:val="Table bullet"/>
    <w:basedOn w:val="ListParagraph"/>
    <w:link w:val="TablebulletChar"/>
    <w:uiPriority w:val="99"/>
    <w:qFormat/>
    <w:rsid w:val="00CF5641"/>
    <w:pPr>
      <w:widowControl w:val="0"/>
      <w:numPr>
        <w:numId w:val="15"/>
      </w:numPr>
      <w:spacing w:before="60" w:after="60"/>
    </w:pPr>
    <w:rPr>
      <w:rFonts w:eastAsia="SimSun" w:cs="Times New Roman"/>
      <w:snapToGrid/>
      <w:sz w:val="18"/>
      <w:lang w:val="en-US" w:eastAsia="en-US"/>
    </w:rPr>
  </w:style>
  <w:style w:type="character" w:customStyle="1" w:styleId="TablebulletChar">
    <w:name w:val="Table bullet Char"/>
    <w:basedOn w:val="DefaultParagraphFont"/>
    <w:link w:val="Tablebullet"/>
    <w:uiPriority w:val="99"/>
    <w:rsid w:val="00CF5641"/>
    <w:rPr>
      <w:rFonts w:asciiTheme="minorHAnsi" w:eastAsia="SimSun" w:hAnsiTheme="minorHAnsi"/>
      <w:sz w:val="18"/>
      <w:szCs w:val="24"/>
      <w:lang w:val="en-US" w:eastAsia="en-US"/>
    </w:rPr>
  </w:style>
  <w:style w:type="paragraph" w:customStyle="1" w:styleId="Tablenormal0">
    <w:name w:val="Table normal"/>
    <w:basedOn w:val="Normal"/>
    <w:link w:val="TablenormalChar"/>
    <w:qFormat/>
    <w:rsid w:val="00CF5641"/>
    <w:pPr>
      <w:widowControl w:val="0"/>
      <w:spacing w:before="60" w:after="60"/>
      <w:jc w:val="left"/>
    </w:pPr>
    <w:rPr>
      <w:rFonts w:asciiTheme="minorHAnsi" w:eastAsia="SimSun" w:hAnsiTheme="minorHAnsi" w:cs="Times New Roman"/>
      <w:sz w:val="18"/>
      <w:lang w:val="en-US" w:eastAsia="en-US"/>
    </w:rPr>
  </w:style>
  <w:style w:type="character" w:customStyle="1" w:styleId="TablenormalChar">
    <w:name w:val="Table normal Char"/>
    <w:basedOn w:val="DefaultParagraphFont"/>
    <w:link w:val="Tablenormal0"/>
    <w:rsid w:val="00CF5641"/>
    <w:rPr>
      <w:rFonts w:asciiTheme="minorHAnsi" w:eastAsia="SimSun" w:hAnsiTheme="minorHAnsi"/>
      <w:sz w:val="18"/>
      <w:szCs w:val="24"/>
      <w:lang w:val="en-US" w:eastAsia="en-US"/>
    </w:rPr>
  </w:style>
  <w:style w:type="paragraph" w:customStyle="1" w:styleId="Smalltext80">
    <w:name w:val="Smalltext8:0"/>
    <w:uiPriority w:val="99"/>
    <w:rsid w:val="00DC6A70"/>
    <w:pPr>
      <w:widowControl w:val="0"/>
      <w:autoSpaceDE w:val="0"/>
      <w:autoSpaceDN w:val="0"/>
      <w:adjustRightInd w:val="0"/>
    </w:pPr>
    <w:rPr>
      <w:rFonts w:ascii="Calibri" w:hAnsi="Calibri"/>
      <w:color w:val="000000"/>
      <w:sz w:val="16"/>
    </w:rPr>
  </w:style>
  <w:style w:type="table" w:customStyle="1" w:styleId="HTATableshaded20">
    <w:name w:val="HTA Table shaded20"/>
    <w:basedOn w:val="TableNormal"/>
    <w:rsid w:val="00696C4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ureFooter">
    <w:name w:val="Table/Figure Footer"/>
    <w:basedOn w:val="Normal"/>
    <w:link w:val="TableFigureFooterChar"/>
    <w:qFormat/>
    <w:rsid w:val="00696C45"/>
    <w:pPr>
      <w:spacing w:after="120"/>
      <w:contextualSpacing/>
    </w:pPr>
    <w:rPr>
      <w:rFonts w:ascii="Arial Narrow" w:hAnsi="Arial Narrow"/>
      <w:snapToGrid w:val="0"/>
      <w:sz w:val="18"/>
      <w:szCs w:val="22"/>
      <w:lang w:eastAsia="en-US"/>
    </w:rPr>
  </w:style>
  <w:style w:type="character" w:customStyle="1" w:styleId="TableFigureFooterChar">
    <w:name w:val="Table/Figure Footer Char"/>
    <w:link w:val="TableFigureFooter"/>
    <w:rsid w:val="00696C45"/>
    <w:rPr>
      <w:rFonts w:ascii="Arial Narrow" w:hAnsi="Arial Narrow" w:cs="Arial"/>
      <w:snapToGrid w:val="0"/>
      <w:sz w:val="18"/>
      <w:szCs w:val="22"/>
      <w:lang w:eastAsia="en-US"/>
    </w:rPr>
  </w:style>
  <w:style w:type="table" w:customStyle="1" w:styleId="HTATableshaded19">
    <w:name w:val="HTA Table shaded19"/>
    <w:basedOn w:val="TableNormal"/>
    <w:rsid w:val="00B467A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cf01">
    <w:name w:val="cf01"/>
    <w:basedOn w:val="DefaultParagraphFont"/>
    <w:rsid w:val="00066ED6"/>
    <w:rPr>
      <w:rFonts w:ascii="Segoe UI" w:hAnsi="Segoe UI" w:cs="Segoe UI" w:hint="default"/>
      <w:sz w:val="18"/>
      <w:szCs w:val="18"/>
    </w:rPr>
  </w:style>
  <w:style w:type="paragraph" w:customStyle="1" w:styleId="pf0">
    <w:name w:val="pf0"/>
    <w:basedOn w:val="Normal"/>
    <w:rsid w:val="00066ED6"/>
    <w:pPr>
      <w:spacing w:before="100" w:beforeAutospacing="1" w:after="100" w:afterAutospacing="1"/>
      <w:jc w:val="left"/>
    </w:pPr>
    <w:rPr>
      <w:rFonts w:ascii="Times New Roman" w:hAnsi="Times New Roman" w:cs="Times New Roman"/>
    </w:rPr>
  </w:style>
  <w:style w:type="character" w:styleId="HTMLCite">
    <w:name w:val="HTML Cite"/>
    <w:basedOn w:val="DefaultParagraphFont"/>
    <w:uiPriority w:val="99"/>
    <w:semiHidden/>
    <w:rsid w:val="00066ED6"/>
    <w:rPr>
      <w:i/>
      <w:iCs/>
    </w:rPr>
  </w:style>
  <w:style w:type="character" w:customStyle="1" w:styleId="PBACESHeading2Char">
    <w:name w:val="PBAC ES Heading 2 Char"/>
    <w:basedOn w:val="Heading2Char"/>
    <w:link w:val="PBACESHeading2"/>
    <w:uiPriority w:val="1"/>
    <w:rsid w:val="00C80F56"/>
    <w:rPr>
      <w:rFonts w:asciiTheme="majorHAnsi" w:eastAsiaTheme="majorEastAsia" w:hAnsiTheme="majorHAnsi" w:cstheme="majorBidi"/>
      <w:b/>
      <w:i/>
      <w:snapToGrid w:val="0"/>
      <w:sz w:val="28"/>
      <w:szCs w:val="28"/>
      <w:lang w:eastAsia="en-US"/>
    </w:rPr>
  </w:style>
  <w:style w:type="table" w:customStyle="1" w:styleId="PBACTableStyle1">
    <w:name w:val="PBAC Table Style1"/>
    <w:basedOn w:val="TableGrid1"/>
    <w:uiPriority w:val="99"/>
    <w:rsid w:val="00D15B05"/>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cf11">
    <w:name w:val="cf11"/>
    <w:basedOn w:val="DefaultParagraphFont"/>
    <w:rsid w:val="00D15B05"/>
    <w:rPr>
      <w:rFonts w:ascii="Segoe UI" w:hAnsi="Segoe UI" w:cs="Segoe UI" w:hint="default"/>
      <w:i/>
      <w:iCs/>
      <w:sz w:val="18"/>
      <w:szCs w:val="18"/>
    </w:rPr>
  </w:style>
  <w:style w:type="table" w:customStyle="1" w:styleId="PBACTableStyle2">
    <w:name w:val="PBAC Table Style2"/>
    <w:basedOn w:val="TableGrid1"/>
    <w:uiPriority w:val="99"/>
    <w:rsid w:val="00D15B05"/>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1">
    <w:name w:val="PBAC Table Style11"/>
    <w:basedOn w:val="TableGrid1"/>
    <w:uiPriority w:val="99"/>
    <w:rsid w:val="00422A24"/>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1">
    <w:name w:val="PBAC Table Style21"/>
    <w:basedOn w:val="TableGrid1"/>
    <w:uiPriority w:val="99"/>
    <w:rsid w:val="00422A24"/>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2">
    <w:name w:val="PBAC Table Style12"/>
    <w:basedOn w:val="TableGrid1"/>
    <w:uiPriority w:val="99"/>
    <w:rsid w:val="00457D04"/>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2">
    <w:name w:val="PBAC Table Style22"/>
    <w:basedOn w:val="TableGrid1"/>
    <w:uiPriority w:val="99"/>
    <w:rsid w:val="00457D04"/>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3">
    <w:name w:val="PBAC Table Style3"/>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Cambria" w:hAnsi="Cambri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Cambria" w:hAnsi="Cambri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Cambria" w:hAnsi="Cambri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3">
    <w:name w:val="PBAC Table Style13"/>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3">
    <w:name w:val="PBAC Table Style23"/>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11">
    <w:name w:val="PBAC Table Style111"/>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11">
    <w:name w:val="PBAC Table Style211"/>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21">
    <w:name w:val="PBAC Table Style121"/>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21">
    <w:name w:val="PBAC Table Style221"/>
    <w:basedOn w:val="TableGrid1"/>
    <w:uiPriority w:val="99"/>
    <w:rsid w:val="00097911"/>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4">
    <w:name w:val="PBAC Table Style4"/>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Cambria" w:hAnsi="Cambri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Cambria" w:hAnsi="Cambri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Cambria" w:hAnsi="Cambri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4">
    <w:name w:val="PBAC Table Style14"/>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4">
    <w:name w:val="PBAC Table Style24"/>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12">
    <w:name w:val="PBAC Table Style112"/>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12">
    <w:name w:val="PBAC Table Style212"/>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122">
    <w:name w:val="PBAC Table Style122"/>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22">
    <w:name w:val="PBAC Table Style222"/>
    <w:basedOn w:val="TableGrid1"/>
    <w:uiPriority w:val="99"/>
    <w:rsid w:val="00BF034D"/>
    <w:pPr>
      <w:widowControl w:val="0"/>
      <w:spacing w:before="120"/>
      <w:contextualSpacing/>
      <w:jc w:val="center"/>
    </w:pPr>
    <w:rPr>
      <w:rFonts w:ascii="Arial Narrow" w:eastAsiaTheme="minorHAnsi" w:hAnsi="Arial Narrow" w:cstheme="minorBid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3-SubsectionHeading">
    <w:name w:val="3-Subsection Heading"/>
    <w:basedOn w:val="Heading2"/>
    <w:next w:val="Normal"/>
    <w:link w:val="3-SubsectionHeadingChar"/>
    <w:qFormat/>
    <w:rsid w:val="00886653"/>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886653"/>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customStyle="1" w:styleId="highlight">
    <w:name w:val="highlight"/>
    <w:basedOn w:val="DefaultParagraphFont"/>
    <w:rsid w:val="00D6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935">
      <w:bodyDiv w:val="1"/>
      <w:marLeft w:val="0"/>
      <w:marRight w:val="0"/>
      <w:marTop w:val="0"/>
      <w:marBottom w:val="0"/>
      <w:divBdr>
        <w:top w:val="none" w:sz="0" w:space="0" w:color="auto"/>
        <w:left w:val="none" w:sz="0" w:space="0" w:color="auto"/>
        <w:bottom w:val="none" w:sz="0" w:space="0" w:color="auto"/>
        <w:right w:val="none" w:sz="0" w:space="0" w:color="auto"/>
      </w:divBdr>
    </w:div>
    <w:div w:id="7466853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6064826">
      <w:bodyDiv w:val="1"/>
      <w:marLeft w:val="0"/>
      <w:marRight w:val="0"/>
      <w:marTop w:val="0"/>
      <w:marBottom w:val="0"/>
      <w:divBdr>
        <w:top w:val="none" w:sz="0" w:space="0" w:color="auto"/>
        <w:left w:val="none" w:sz="0" w:space="0" w:color="auto"/>
        <w:bottom w:val="none" w:sz="0" w:space="0" w:color="auto"/>
        <w:right w:val="none" w:sz="0" w:space="0" w:color="auto"/>
      </w:divBdr>
    </w:div>
    <w:div w:id="27721966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8236124">
      <w:bodyDiv w:val="1"/>
      <w:marLeft w:val="0"/>
      <w:marRight w:val="0"/>
      <w:marTop w:val="0"/>
      <w:marBottom w:val="0"/>
      <w:divBdr>
        <w:top w:val="none" w:sz="0" w:space="0" w:color="auto"/>
        <w:left w:val="none" w:sz="0" w:space="0" w:color="auto"/>
        <w:bottom w:val="none" w:sz="0" w:space="0" w:color="auto"/>
        <w:right w:val="none" w:sz="0" w:space="0" w:color="auto"/>
      </w:divBdr>
    </w:div>
    <w:div w:id="514226297">
      <w:bodyDiv w:val="1"/>
      <w:marLeft w:val="0"/>
      <w:marRight w:val="0"/>
      <w:marTop w:val="0"/>
      <w:marBottom w:val="0"/>
      <w:divBdr>
        <w:top w:val="none" w:sz="0" w:space="0" w:color="auto"/>
        <w:left w:val="none" w:sz="0" w:space="0" w:color="auto"/>
        <w:bottom w:val="none" w:sz="0" w:space="0" w:color="auto"/>
        <w:right w:val="none" w:sz="0" w:space="0" w:color="auto"/>
      </w:divBdr>
    </w:div>
    <w:div w:id="525407288">
      <w:bodyDiv w:val="1"/>
      <w:marLeft w:val="0"/>
      <w:marRight w:val="0"/>
      <w:marTop w:val="0"/>
      <w:marBottom w:val="0"/>
      <w:divBdr>
        <w:top w:val="none" w:sz="0" w:space="0" w:color="auto"/>
        <w:left w:val="none" w:sz="0" w:space="0" w:color="auto"/>
        <w:bottom w:val="none" w:sz="0" w:space="0" w:color="auto"/>
        <w:right w:val="none" w:sz="0" w:space="0" w:color="auto"/>
      </w:divBdr>
    </w:div>
    <w:div w:id="57227600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552">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64756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4434281">
      <w:bodyDiv w:val="1"/>
      <w:marLeft w:val="0"/>
      <w:marRight w:val="0"/>
      <w:marTop w:val="0"/>
      <w:marBottom w:val="0"/>
      <w:divBdr>
        <w:top w:val="none" w:sz="0" w:space="0" w:color="auto"/>
        <w:left w:val="none" w:sz="0" w:space="0" w:color="auto"/>
        <w:bottom w:val="none" w:sz="0" w:space="0" w:color="auto"/>
        <w:right w:val="none" w:sz="0" w:space="0" w:color="auto"/>
      </w:divBdr>
    </w:div>
    <w:div w:id="1405491035">
      <w:bodyDiv w:val="1"/>
      <w:marLeft w:val="0"/>
      <w:marRight w:val="0"/>
      <w:marTop w:val="0"/>
      <w:marBottom w:val="0"/>
      <w:divBdr>
        <w:top w:val="none" w:sz="0" w:space="0" w:color="auto"/>
        <w:left w:val="none" w:sz="0" w:space="0" w:color="auto"/>
        <w:bottom w:val="none" w:sz="0" w:space="0" w:color="auto"/>
        <w:right w:val="none" w:sz="0" w:space="0" w:color="auto"/>
      </w:divBdr>
    </w:div>
    <w:div w:id="1440566309">
      <w:bodyDiv w:val="1"/>
      <w:marLeft w:val="0"/>
      <w:marRight w:val="0"/>
      <w:marTop w:val="0"/>
      <w:marBottom w:val="0"/>
      <w:divBdr>
        <w:top w:val="none" w:sz="0" w:space="0" w:color="auto"/>
        <w:left w:val="none" w:sz="0" w:space="0" w:color="auto"/>
        <w:bottom w:val="none" w:sz="0" w:space="0" w:color="auto"/>
        <w:right w:val="none" w:sz="0" w:space="0" w:color="auto"/>
      </w:divBdr>
      <w:divsChild>
        <w:div w:id="1506480011">
          <w:marLeft w:val="1800"/>
          <w:marRight w:val="0"/>
          <w:marTop w:val="82"/>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23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image" Target="media/image2.png"/><Relationship Id="rId18" Type="http://schemas.openxmlformats.org/officeDocument/2006/relationships/hyperlink" Target="http://www.servicesaustralia.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rvicesaustralia.gov.au/HPO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ervicesaustralia.gov.au/hp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ervicesaustralia.gov.au/hpos" TargetMode="External"/><Relationship Id="rId19"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1774363/" TargetMode="External"/><Relationship Id="rId2" Type="http://schemas.openxmlformats.org/officeDocument/2006/relationships/hyperlink" Target="https://www.nature.com/articles/s41598-023-31055-3" TargetMode="External"/><Relationship Id="rId1" Type="http://schemas.openxmlformats.org/officeDocument/2006/relationships/hyperlink" Target="https://pubmed.ncbi.nlm.nih.gov/31375766/" TargetMode="External"/><Relationship Id="rId6" Type="http://schemas.openxmlformats.org/officeDocument/2006/relationships/hyperlink" Target="https://www.nature.com/articles/s41598-023-31055-3" TargetMode="External"/><Relationship Id="rId5" Type="http://schemas.openxmlformats.org/officeDocument/2006/relationships/hyperlink" Target="https://pubmed.ncbi.nlm.nih.gov/28794805/" TargetMode="External"/><Relationship Id="rId4" Type="http://schemas.openxmlformats.org/officeDocument/2006/relationships/hyperlink" Target="https://pubmed.ncbi.nlm.nih.gov/19396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AE44-25F2-4B6E-B4D3-664143D9D1EB}">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56</Pages>
  <Words>21532</Words>
  <Characters>122650</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2024-07-05T02:29:00Z</dcterms:created>
  <dcterms:modified xsi:type="dcterms:W3CDTF">2024-07-05T02:29:00Z</dcterms:modified>
</cp:coreProperties>
</file>