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BE7F" w14:textId="77777777" w:rsidR="00B0405F" w:rsidRPr="00151023" w:rsidRDefault="00B0405F" w:rsidP="00B0405F">
      <w:pPr>
        <w:rPr>
          <w:rFonts w:cs="Calibri"/>
        </w:rPr>
      </w:pPr>
      <w:bookmarkStart w:id="0" w:name="_Toc156985360"/>
    </w:p>
    <w:p w14:paraId="6DA2AD73" w14:textId="77777777" w:rsidR="007046D2" w:rsidRPr="00151023" w:rsidRDefault="00CA3C58" w:rsidP="007046D2">
      <w:pPr>
        <w:pStyle w:val="1-MainHeading"/>
        <w:spacing w:before="0" w:after="0"/>
      </w:pPr>
      <w:r w:rsidRPr="00151023">
        <w:t>6.16</w:t>
      </w:r>
      <w:r w:rsidR="00163F66" w:rsidRPr="00151023">
        <w:tab/>
      </w:r>
      <w:r w:rsidR="007046D2" w:rsidRPr="00151023">
        <w:t xml:space="preserve">INFLUENZA VACCINE </w:t>
      </w:r>
    </w:p>
    <w:p w14:paraId="5147249C" w14:textId="77777777" w:rsidR="00854D81" w:rsidRPr="00854D81" w:rsidRDefault="007046D2" w:rsidP="007046D2">
      <w:pPr>
        <w:pStyle w:val="1-MainHeading"/>
        <w:spacing w:before="0" w:after="0"/>
        <w:ind w:hanging="11"/>
      </w:pPr>
      <w:r w:rsidRPr="00151023">
        <w:t>Injection (0.5mL)</w:t>
      </w:r>
      <w:r w:rsidR="008D3119" w:rsidRPr="00151023">
        <w:br/>
        <w:t>Flucelvax® Quad,</w:t>
      </w:r>
      <w:r w:rsidR="008D3119" w:rsidRPr="00151023">
        <w:br/>
        <w:t>Seqirus (Australia) Pty Ltd</w:t>
      </w:r>
      <w:r w:rsidR="00C9142D" w:rsidRPr="00151023">
        <w:t>.</w:t>
      </w:r>
      <w:bookmarkEnd w:id="0"/>
    </w:p>
    <w:p w14:paraId="3947F2C0" w14:textId="01811D21" w:rsidR="00B50DB8" w:rsidRPr="00151023" w:rsidRDefault="00B50DB8" w:rsidP="004A6040">
      <w:pPr>
        <w:pStyle w:val="2-SectionHeading"/>
      </w:pPr>
      <w:bookmarkStart w:id="1" w:name="_Toc156985362"/>
      <w:r w:rsidRPr="00151023">
        <w:t xml:space="preserve">Purpose of </w:t>
      </w:r>
      <w:r w:rsidR="00CD7193" w:rsidRPr="00151023">
        <w:t>s</w:t>
      </w:r>
      <w:r w:rsidR="00BB3A45" w:rsidRPr="00151023">
        <w:t>ubmission</w:t>
      </w:r>
      <w:bookmarkEnd w:id="1"/>
    </w:p>
    <w:p w14:paraId="18388D6A" w14:textId="0DD5D137" w:rsidR="002C2775" w:rsidRPr="00151023" w:rsidRDefault="00DF5052" w:rsidP="004E18E9">
      <w:pPr>
        <w:pStyle w:val="3-BodyText"/>
      </w:pPr>
      <w:r w:rsidRPr="00151023">
        <w:t xml:space="preserve">The </w:t>
      </w:r>
      <w:r w:rsidR="00450FC7" w:rsidRPr="00151023">
        <w:t>Category 2</w:t>
      </w:r>
      <w:r w:rsidRPr="00151023">
        <w:t xml:space="preserve"> submission requested listing on the National Immunisation Program (NIP) Schedule for </w:t>
      </w:r>
      <w:r w:rsidR="007046D2" w:rsidRPr="00151023">
        <w:t xml:space="preserve">influenza vaccine (Flucelvax® Quad, </w:t>
      </w:r>
      <w:r w:rsidRPr="00151023">
        <w:t>quadrivalent influenza virus vaccine, surface antigen, inactivated, cell-based</w:t>
      </w:r>
      <w:r w:rsidR="007046D2" w:rsidRPr="00151023">
        <w:t>,</w:t>
      </w:r>
      <w:r w:rsidRPr="00151023">
        <w:t xml:space="preserve"> henceforth referred to as QIVc) for the prevention of influenza in</w:t>
      </w:r>
      <w:r w:rsidR="007710FE" w:rsidRPr="00151023">
        <w:t xml:space="preserve"> </w:t>
      </w:r>
      <w:r w:rsidR="00C25D24" w:rsidRPr="00151023">
        <w:t>individuals aged</w:t>
      </w:r>
      <w:r w:rsidRPr="00151023">
        <w:t xml:space="preserve"> 6 months and older</w:t>
      </w:r>
      <w:r w:rsidR="001D71F4" w:rsidRPr="00151023">
        <w:t>.</w:t>
      </w:r>
    </w:p>
    <w:p w14:paraId="6F5C7F2C" w14:textId="28B1BE15" w:rsidR="00B810F0" w:rsidRPr="00151023" w:rsidRDefault="00530EFE" w:rsidP="00B810F0">
      <w:pPr>
        <w:pStyle w:val="3-BodyText"/>
      </w:pPr>
      <w:r w:rsidRPr="00151023">
        <w:t>At</w:t>
      </w:r>
      <w:r w:rsidR="00DF5052" w:rsidRPr="00151023">
        <w:t xml:space="preserve"> the September 2022 Intracycle Meeting, the PBAC recommended that QIVc be a designated vaccine for the purposes of the </w:t>
      </w:r>
      <w:r w:rsidR="00DF5052" w:rsidRPr="00151023">
        <w:rPr>
          <w:i/>
          <w:iCs/>
        </w:rPr>
        <w:t>National Health Act 1953</w:t>
      </w:r>
      <w:r w:rsidR="00DF5052" w:rsidRPr="00151023">
        <w:t xml:space="preserve">, for vaccination against influenza in Aboriginal and Torres Strait Islander people aged ≥5 to &lt;65 years, people at increased risk of influenza disease complications aged ≥5 to &lt;65 years, and pregnant women. The </w:t>
      </w:r>
      <w:bookmarkStart w:id="2" w:name="_Hlk158727424"/>
      <w:r w:rsidR="002900B0" w:rsidRPr="00151023">
        <w:t>submission</w:t>
      </w:r>
      <w:r w:rsidR="00DF5052" w:rsidRPr="00151023">
        <w:t xml:space="preserve"> proposed extending the population </w:t>
      </w:r>
      <w:r w:rsidR="00067507" w:rsidRPr="00151023">
        <w:t xml:space="preserve">to include children aged 6 months to &lt; 5 </w:t>
      </w:r>
      <w:r w:rsidR="00DF5052" w:rsidRPr="00151023">
        <w:t>years</w:t>
      </w:r>
      <w:r w:rsidR="00067507" w:rsidRPr="00151023">
        <w:t xml:space="preserve">, </w:t>
      </w:r>
      <w:r w:rsidR="00714345" w:rsidRPr="00151023">
        <w:t xml:space="preserve">which is </w:t>
      </w:r>
      <w:r w:rsidR="00DF5052" w:rsidRPr="00151023">
        <w:t>in alignment with the TGA indication</w:t>
      </w:r>
      <w:r w:rsidR="00B810F0" w:rsidRPr="00151023">
        <w:t xml:space="preserve">. </w:t>
      </w:r>
    </w:p>
    <w:p w14:paraId="4013FC55" w14:textId="15051A2D" w:rsidR="00C50806" w:rsidRPr="00151023" w:rsidRDefault="00B810F0" w:rsidP="00C50806">
      <w:pPr>
        <w:pStyle w:val="3-BodyText"/>
      </w:pPr>
      <w:r w:rsidRPr="00151023">
        <w:t xml:space="preserve">Listing </w:t>
      </w:r>
      <w:r w:rsidR="00067507" w:rsidRPr="00151023">
        <w:t xml:space="preserve">in the </w:t>
      </w:r>
      <w:r w:rsidR="00EB3451" w:rsidRPr="00151023">
        <w:t>extended</w:t>
      </w:r>
      <w:r w:rsidR="00067507" w:rsidRPr="00151023">
        <w:t xml:space="preserve"> population </w:t>
      </w:r>
      <w:r w:rsidRPr="00151023">
        <w:t xml:space="preserve">was </w:t>
      </w:r>
      <w:r w:rsidR="00067507" w:rsidRPr="00151023">
        <w:t xml:space="preserve">requested at the same price as </w:t>
      </w:r>
      <w:r w:rsidR="00EC3F48" w:rsidRPr="00151023">
        <w:t>was</w:t>
      </w:r>
      <w:r w:rsidR="003F7B34" w:rsidRPr="00151023">
        <w:t xml:space="preserve"> previously</w:t>
      </w:r>
      <w:r w:rsidR="00EC3F48" w:rsidRPr="00151023">
        <w:t xml:space="preserve"> recommended </w:t>
      </w:r>
      <w:r w:rsidR="003F7B34" w:rsidRPr="00151023">
        <w:t xml:space="preserve">by the PBAC for </w:t>
      </w:r>
      <w:r w:rsidR="001871A5" w:rsidRPr="00151023">
        <w:t>QIVc</w:t>
      </w:r>
      <w:r w:rsidR="003F7B34" w:rsidRPr="00151023">
        <w:t xml:space="preserve"> in the existing NIP-funded population</w:t>
      </w:r>
      <w:r w:rsidR="00067507" w:rsidRPr="00151023">
        <w:t xml:space="preserve">. </w:t>
      </w:r>
    </w:p>
    <w:bookmarkEnd w:id="2"/>
    <w:p w14:paraId="6B534CD3" w14:textId="094333E2" w:rsidR="00AD5DF0" w:rsidRPr="00151023" w:rsidRDefault="00727408" w:rsidP="003C2320">
      <w:pPr>
        <w:pStyle w:val="3-BodyText"/>
      </w:pPr>
      <w:r w:rsidRPr="00151023">
        <w:t>The submission also requested advice from the PBAC regarding the claim of superior</w:t>
      </w:r>
      <w:r w:rsidR="00067507" w:rsidRPr="00151023">
        <w:t xml:space="preserve"> clinical effectiveness versus </w:t>
      </w:r>
      <w:r w:rsidR="001871A5" w:rsidRPr="00151023">
        <w:t>quadrivalent egg-based vaccines (QIVe)</w:t>
      </w:r>
      <w:r w:rsidRPr="00151023">
        <w:t xml:space="preserve"> for the current </w:t>
      </w:r>
      <w:r w:rsidR="00EB3451" w:rsidRPr="00151023">
        <w:t>NIP-</w:t>
      </w:r>
      <w:r w:rsidRPr="00151023">
        <w:t xml:space="preserve">funded cohorts. However, the </w:t>
      </w:r>
      <w:r w:rsidR="00A42727" w:rsidRPr="00151023">
        <w:t>pre-PBAC response withdrew th</w:t>
      </w:r>
      <w:r w:rsidRPr="00151023">
        <w:t>is request</w:t>
      </w:r>
      <w:r w:rsidR="00DE2624" w:rsidRPr="00151023">
        <w:t>.</w:t>
      </w:r>
      <w:r w:rsidR="00487027" w:rsidRPr="00151023">
        <w:t xml:space="preserve"> The clinical and economic components included in the submission to support this claim</w:t>
      </w:r>
      <w:r w:rsidR="00036786" w:rsidRPr="00151023">
        <w:t xml:space="preserve"> </w:t>
      </w:r>
      <w:r w:rsidR="00487027" w:rsidRPr="00151023">
        <w:t xml:space="preserve">were </w:t>
      </w:r>
      <w:r w:rsidR="002E3D74" w:rsidRPr="00151023">
        <w:t xml:space="preserve">therefore </w:t>
      </w:r>
      <w:r w:rsidR="00487027" w:rsidRPr="00151023">
        <w:t>not considered by the PBAC and are not presented</w:t>
      </w:r>
      <w:r w:rsidR="00A42727" w:rsidRPr="00151023">
        <w:t xml:space="preserve"> herein</w:t>
      </w:r>
      <w:r w:rsidR="00487027" w:rsidRPr="00151023">
        <w:t xml:space="preserve">. </w:t>
      </w:r>
    </w:p>
    <w:p w14:paraId="60FC3323" w14:textId="71D16F7F" w:rsidR="003C2320" w:rsidRPr="00151023" w:rsidRDefault="003C2320" w:rsidP="003C2320">
      <w:pPr>
        <w:pStyle w:val="3-BodyText"/>
      </w:pPr>
      <w:r w:rsidRPr="00151023">
        <w:t xml:space="preserve">The key components of the clinical issue addressed by the submission (as stated in the submission) are presented in </w:t>
      </w:r>
      <w:r w:rsidRPr="00151023">
        <w:fldChar w:fldCharType="begin" w:fldLock="1"/>
      </w:r>
      <w:r w:rsidRPr="00151023">
        <w:instrText xml:space="preserve"> REF _Ref151811046 \h </w:instrText>
      </w:r>
      <w:r w:rsidRPr="00151023">
        <w:fldChar w:fldCharType="separate"/>
      </w:r>
      <w:r w:rsidR="00603A66" w:rsidRPr="00151023">
        <w:t>Table 1</w:t>
      </w:r>
      <w:r w:rsidRPr="00151023">
        <w:fldChar w:fldCharType="end"/>
      </w:r>
      <w:r w:rsidRPr="00151023">
        <w:t>.</w:t>
      </w:r>
    </w:p>
    <w:p w14:paraId="4451BA1E" w14:textId="6217C669" w:rsidR="00714345" w:rsidRPr="00151023" w:rsidRDefault="00696EF9" w:rsidP="00714345">
      <w:pPr>
        <w:pStyle w:val="TableFigureHeading"/>
      </w:pPr>
      <w:bookmarkStart w:id="3" w:name="_Ref151811046"/>
      <w:r w:rsidRPr="00151023">
        <w:lastRenderedPageBreak/>
        <w:t xml:space="preserve">Table </w:t>
      </w:r>
      <w:fldSimple w:instr=" SEQ Table \* ARABIC " w:fldLock="1">
        <w:r w:rsidR="00603A66" w:rsidRPr="00151023">
          <w:t>1</w:t>
        </w:r>
      </w:fldSimple>
      <w:bookmarkEnd w:id="3"/>
      <w:r w:rsidRPr="00151023">
        <w:t>:</w:t>
      </w:r>
      <w:r w:rsidR="00BC591F" w:rsidRPr="00151023">
        <w:rPr>
          <w:rStyle w:val="CommentReference"/>
          <w:b/>
          <w:szCs w:val="24"/>
        </w:rPr>
        <w:t xml:space="preserve"> </w:t>
      </w:r>
      <w:r w:rsidR="00714345" w:rsidRPr="00151023">
        <w:rPr>
          <w:rStyle w:val="CommentReference"/>
          <w:b/>
          <w:szCs w:val="24"/>
        </w:rPr>
        <w:t>Key components of the clinical issue addressed by the submission</w:t>
      </w:r>
      <w:r w:rsidR="00EE7285" w:rsidRPr="00151023">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360"/>
      </w:tblGrid>
      <w:tr w:rsidR="00714345" w:rsidRPr="00151023" w14:paraId="4D58D63F" w14:textId="77777777" w:rsidTr="00A31F5D">
        <w:tc>
          <w:tcPr>
            <w:tcW w:w="1668" w:type="dxa"/>
            <w:vAlign w:val="center"/>
          </w:tcPr>
          <w:p w14:paraId="0E5DFC93" w14:textId="77777777" w:rsidR="00714345" w:rsidRPr="00151023" w:rsidRDefault="00714345" w:rsidP="00D4374D">
            <w:pPr>
              <w:pStyle w:val="TableText0"/>
              <w:rPr>
                <w:b/>
                <w:bCs w:val="0"/>
              </w:rPr>
            </w:pPr>
            <w:r w:rsidRPr="00151023">
              <w:rPr>
                <w:b/>
                <w:bCs w:val="0"/>
              </w:rPr>
              <w:t>Component</w:t>
            </w:r>
          </w:p>
        </w:tc>
        <w:tc>
          <w:tcPr>
            <w:tcW w:w="7488" w:type="dxa"/>
            <w:vAlign w:val="center"/>
          </w:tcPr>
          <w:p w14:paraId="46AF478D" w14:textId="77777777" w:rsidR="00714345" w:rsidRPr="00151023" w:rsidRDefault="00714345" w:rsidP="00D4374D">
            <w:pPr>
              <w:pStyle w:val="TableText0"/>
              <w:rPr>
                <w:b/>
                <w:bCs w:val="0"/>
              </w:rPr>
            </w:pPr>
            <w:r w:rsidRPr="00151023">
              <w:rPr>
                <w:b/>
                <w:bCs w:val="0"/>
              </w:rPr>
              <w:t>Description</w:t>
            </w:r>
          </w:p>
        </w:tc>
      </w:tr>
      <w:tr w:rsidR="00714345" w:rsidRPr="00151023" w14:paraId="5A40610A" w14:textId="77777777" w:rsidTr="00A31F5D">
        <w:tc>
          <w:tcPr>
            <w:tcW w:w="1668" w:type="dxa"/>
          </w:tcPr>
          <w:p w14:paraId="6420098C" w14:textId="052BE307" w:rsidR="00714345" w:rsidRPr="00151023" w:rsidRDefault="00714345" w:rsidP="00506CC8">
            <w:pPr>
              <w:pStyle w:val="TableText0"/>
              <w:rPr>
                <w:vertAlign w:val="superscript"/>
              </w:rPr>
            </w:pPr>
            <w:r w:rsidRPr="00151023">
              <w:t>Population</w:t>
            </w:r>
            <w:r w:rsidR="001871A5" w:rsidRPr="00151023">
              <w:t xml:space="preserve"> </w:t>
            </w:r>
            <w:r w:rsidR="001871A5" w:rsidRPr="00151023">
              <w:rPr>
                <w:vertAlign w:val="superscript"/>
              </w:rPr>
              <w:t>a</w:t>
            </w:r>
          </w:p>
        </w:tc>
        <w:tc>
          <w:tcPr>
            <w:tcW w:w="7488" w:type="dxa"/>
            <w:shd w:val="clear" w:color="auto" w:fill="auto"/>
          </w:tcPr>
          <w:p w14:paraId="3C1B37D2" w14:textId="4E55B82D" w:rsidR="00714345" w:rsidRPr="00151023" w:rsidRDefault="00714345" w:rsidP="00D4374D">
            <w:pPr>
              <w:pStyle w:val="TableText0"/>
            </w:pPr>
            <w:r w:rsidRPr="00151023">
              <w:t>Children aged ≥6 months to &lt;5 years</w:t>
            </w:r>
            <w:r w:rsidR="00327541">
              <w:t>.</w:t>
            </w:r>
          </w:p>
          <w:p w14:paraId="7B3945B5" w14:textId="4DF515E4" w:rsidR="00714345" w:rsidRPr="00151023" w:rsidRDefault="00714345" w:rsidP="00D4374D">
            <w:pPr>
              <w:pStyle w:val="TableText0"/>
            </w:pPr>
            <w:r w:rsidRPr="00151023">
              <w:t>Aboriginal and Torres Strait Islander</w:t>
            </w:r>
            <w:r w:rsidRPr="00151023">
              <w:rPr>
                <w:rStyle w:val="CommentReference"/>
                <w:b w:val="0"/>
                <w:szCs w:val="24"/>
              </w:rPr>
              <w:t xml:space="preserve"> </w:t>
            </w:r>
            <w:r w:rsidRPr="00151023">
              <w:t>people aged ≥6 months to &lt;65 years</w:t>
            </w:r>
            <w:r w:rsidR="00327541">
              <w:t>.</w:t>
            </w:r>
          </w:p>
          <w:p w14:paraId="5F342976" w14:textId="18D8BDC6" w:rsidR="00714345" w:rsidRPr="00151023" w:rsidRDefault="00714345" w:rsidP="00D4374D">
            <w:pPr>
              <w:pStyle w:val="TableText0"/>
            </w:pPr>
            <w:r w:rsidRPr="00151023">
              <w:t>Persons aged ≥6 months to &lt;65 years who have certain medical conditions that increase the risk of influenza disease complications</w:t>
            </w:r>
            <w:r w:rsidR="00327541">
              <w:t>.</w:t>
            </w:r>
          </w:p>
          <w:p w14:paraId="6F2785AE" w14:textId="77777777" w:rsidR="00714345" w:rsidRPr="00151023" w:rsidRDefault="00714345" w:rsidP="00D4374D">
            <w:pPr>
              <w:pStyle w:val="TableText0"/>
            </w:pPr>
            <w:r w:rsidRPr="00151023">
              <w:t>Pregnant women.</w:t>
            </w:r>
          </w:p>
        </w:tc>
      </w:tr>
      <w:tr w:rsidR="00714345" w:rsidRPr="00151023" w14:paraId="6B62BC7A" w14:textId="77777777" w:rsidTr="00A31F5D">
        <w:tc>
          <w:tcPr>
            <w:tcW w:w="1668" w:type="dxa"/>
          </w:tcPr>
          <w:p w14:paraId="72D7AE25" w14:textId="77777777" w:rsidR="00714345" w:rsidRPr="00151023" w:rsidRDefault="00714345" w:rsidP="00506CC8">
            <w:pPr>
              <w:pStyle w:val="TableText0"/>
            </w:pPr>
            <w:r w:rsidRPr="00151023">
              <w:t>Intervention</w:t>
            </w:r>
          </w:p>
        </w:tc>
        <w:tc>
          <w:tcPr>
            <w:tcW w:w="7488" w:type="dxa"/>
            <w:shd w:val="clear" w:color="auto" w:fill="auto"/>
          </w:tcPr>
          <w:p w14:paraId="5740C8C3" w14:textId="77777777" w:rsidR="00714345" w:rsidRPr="00151023" w:rsidRDefault="00714345" w:rsidP="00D4374D">
            <w:pPr>
              <w:pStyle w:val="TableText0"/>
            </w:pPr>
            <w:r w:rsidRPr="00151023">
              <w:t>QIVc</w:t>
            </w:r>
          </w:p>
        </w:tc>
      </w:tr>
      <w:tr w:rsidR="00714345" w:rsidRPr="00151023" w14:paraId="658A159B" w14:textId="77777777" w:rsidTr="00A31F5D">
        <w:tc>
          <w:tcPr>
            <w:tcW w:w="1668" w:type="dxa"/>
          </w:tcPr>
          <w:p w14:paraId="45E573C7" w14:textId="77777777" w:rsidR="00714345" w:rsidRPr="00151023" w:rsidRDefault="00714345" w:rsidP="00506CC8">
            <w:pPr>
              <w:pStyle w:val="TableText0"/>
            </w:pPr>
            <w:r w:rsidRPr="00151023">
              <w:t>Comparator</w:t>
            </w:r>
          </w:p>
        </w:tc>
        <w:tc>
          <w:tcPr>
            <w:tcW w:w="7488" w:type="dxa"/>
            <w:shd w:val="clear" w:color="auto" w:fill="auto"/>
          </w:tcPr>
          <w:p w14:paraId="0E978305" w14:textId="77777777" w:rsidR="00714345" w:rsidRPr="00151023" w:rsidRDefault="00714345" w:rsidP="00D4374D">
            <w:pPr>
              <w:pStyle w:val="TableText0"/>
            </w:pPr>
            <w:r w:rsidRPr="00151023">
              <w:t>QIVe</w:t>
            </w:r>
          </w:p>
        </w:tc>
      </w:tr>
      <w:tr w:rsidR="00714345" w:rsidRPr="00151023" w14:paraId="6FE9EBA5" w14:textId="77777777" w:rsidTr="00A31F5D">
        <w:tc>
          <w:tcPr>
            <w:tcW w:w="1668" w:type="dxa"/>
          </w:tcPr>
          <w:p w14:paraId="7D6BBD63" w14:textId="77777777" w:rsidR="00714345" w:rsidRPr="00151023" w:rsidRDefault="00714345" w:rsidP="00506CC8">
            <w:pPr>
              <w:pStyle w:val="TableText0"/>
            </w:pPr>
            <w:r w:rsidRPr="00151023">
              <w:t>Outcomes</w:t>
            </w:r>
          </w:p>
        </w:tc>
        <w:tc>
          <w:tcPr>
            <w:tcW w:w="7488" w:type="dxa"/>
            <w:shd w:val="clear" w:color="auto" w:fill="auto"/>
          </w:tcPr>
          <w:p w14:paraId="294D7641" w14:textId="77777777" w:rsidR="00714345" w:rsidRPr="00151023" w:rsidRDefault="00714345" w:rsidP="00D4374D">
            <w:pPr>
              <w:pStyle w:val="TableText0"/>
            </w:pPr>
            <w:r w:rsidRPr="00151023">
              <w:t>Effectiveness: Influenza like illness; laboratory confirmed influenza; influenza-related hospital and primary care encounters.</w:t>
            </w:r>
          </w:p>
          <w:p w14:paraId="1BBE55AF" w14:textId="77777777" w:rsidR="00714345" w:rsidRPr="00151023" w:rsidRDefault="00714345" w:rsidP="00D4374D">
            <w:pPr>
              <w:pStyle w:val="TableText0"/>
            </w:pPr>
            <w:r w:rsidRPr="00151023">
              <w:t>Safety: local reactions, systemic reactions; serious adverse events; non-serious reactions; adverse events of special interest.</w:t>
            </w:r>
          </w:p>
        </w:tc>
      </w:tr>
      <w:tr w:rsidR="00714345" w:rsidRPr="00151023" w14:paraId="2D56190D" w14:textId="77777777" w:rsidTr="00A31F5D">
        <w:tc>
          <w:tcPr>
            <w:tcW w:w="1668" w:type="dxa"/>
          </w:tcPr>
          <w:p w14:paraId="7C02074F" w14:textId="77777777" w:rsidR="00714345" w:rsidRPr="00151023" w:rsidRDefault="00714345" w:rsidP="00506CC8">
            <w:pPr>
              <w:pStyle w:val="TableText0"/>
            </w:pPr>
            <w:r w:rsidRPr="00151023">
              <w:t>Clinical claim</w:t>
            </w:r>
          </w:p>
        </w:tc>
        <w:tc>
          <w:tcPr>
            <w:tcW w:w="7488" w:type="dxa"/>
            <w:shd w:val="clear" w:color="auto" w:fill="auto"/>
          </w:tcPr>
          <w:p w14:paraId="74DF50F7" w14:textId="77777777" w:rsidR="00714345" w:rsidRPr="00151023" w:rsidRDefault="00714345" w:rsidP="00D4374D">
            <w:pPr>
              <w:pStyle w:val="TableText0"/>
            </w:pPr>
            <w:r w:rsidRPr="00151023">
              <w:t xml:space="preserve">In the population aged ≥6 months to &lt;65 years:  </w:t>
            </w:r>
          </w:p>
          <w:p w14:paraId="363209E5" w14:textId="0869F3BD" w:rsidR="00714345" w:rsidRPr="00151023" w:rsidRDefault="00714345" w:rsidP="00D4374D">
            <w:pPr>
              <w:pStyle w:val="TableText0"/>
            </w:pPr>
            <w:r w:rsidRPr="00151023">
              <w:t xml:space="preserve">QIVc is superior to QIVe in effectiveness against clinically relevant influenza-related outcomes </w:t>
            </w:r>
            <w:r w:rsidR="007046D2" w:rsidRPr="00151023">
              <w:rPr>
                <w:vertAlign w:val="superscript"/>
              </w:rPr>
              <w:t>a</w:t>
            </w:r>
          </w:p>
          <w:p w14:paraId="38B25AE7" w14:textId="77777777" w:rsidR="00714345" w:rsidRPr="00151023" w:rsidRDefault="00714345" w:rsidP="00D4374D">
            <w:pPr>
              <w:pStyle w:val="TableText0"/>
            </w:pPr>
            <w:r w:rsidRPr="00151023">
              <w:t>QIVc has a comparable safety profile to QIVe.</w:t>
            </w:r>
          </w:p>
        </w:tc>
      </w:tr>
    </w:tbl>
    <w:p w14:paraId="1AD5CEDD" w14:textId="4AD482D9" w:rsidR="004E43B2" w:rsidRPr="00151023" w:rsidRDefault="00714345" w:rsidP="001551FE">
      <w:pPr>
        <w:pStyle w:val="TableFooter"/>
      </w:pPr>
      <w:r w:rsidRPr="00151023">
        <w:t xml:space="preserve">Source: Table 1.1.1, p26 of the </w:t>
      </w:r>
      <w:r w:rsidR="002900B0" w:rsidRPr="00151023">
        <w:t>submission</w:t>
      </w:r>
    </w:p>
    <w:p w14:paraId="45C71B87" w14:textId="31B8DAC6" w:rsidR="001551FE" w:rsidRPr="00151023" w:rsidRDefault="001551FE" w:rsidP="001551FE">
      <w:pPr>
        <w:pStyle w:val="TableFooter"/>
      </w:pPr>
      <w:r w:rsidRPr="00151023">
        <w:t xml:space="preserve">QIVc = </w:t>
      </w:r>
      <w:r w:rsidR="00A1254D" w:rsidRPr="00151023">
        <w:t>c</w:t>
      </w:r>
      <w:r w:rsidRPr="00151023">
        <w:t xml:space="preserve">ell-based quadrivalent subunit influenza virus vaccine; QIVe = </w:t>
      </w:r>
      <w:r w:rsidR="00A1254D" w:rsidRPr="00151023">
        <w:t>e</w:t>
      </w:r>
      <w:r w:rsidRPr="00151023">
        <w:t>gg-based quadrivalent subunit influenza virus vaccine.</w:t>
      </w:r>
    </w:p>
    <w:p w14:paraId="6AB39ECF" w14:textId="042365D6" w:rsidR="007046D2" w:rsidRPr="00151023" w:rsidRDefault="007046D2" w:rsidP="001551FE">
      <w:pPr>
        <w:pStyle w:val="TableFooter"/>
        <w:rPr>
          <w:b/>
          <w:bCs/>
        </w:rPr>
      </w:pPr>
      <w:proofErr w:type="spellStart"/>
      <w:r w:rsidRPr="00151023">
        <w:rPr>
          <w:vertAlign w:val="superscript"/>
        </w:rPr>
        <w:t>a</w:t>
      </w:r>
      <w:proofErr w:type="spellEnd"/>
      <w:r w:rsidRPr="00151023">
        <w:t xml:space="preserve"> </w:t>
      </w:r>
      <w:r w:rsidR="001871A5" w:rsidRPr="00151023">
        <w:t xml:space="preserve">The pre-PBAC response updated the </w:t>
      </w:r>
      <w:r w:rsidR="00EB3451" w:rsidRPr="00151023">
        <w:t xml:space="preserve">requested </w:t>
      </w:r>
      <w:r w:rsidR="001871A5" w:rsidRPr="00151023">
        <w:t>population to only include children aged 6 months to &lt;5 years.</w:t>
      </w:r>
    </w:p>
    <w:p w14:paraId="176DB660" w14:textId="77777777" w:rsidR="005C25FF" w:rsidRPr="00151023" w:rsidRDefault="005C25FF" w:rsidP="004A6040">
      <w:pPr>
        <w:pStyle w:val="2-SectionHeading"/>
      </w:pPr>
      <w:bookmarkStart w:id="4" w:name="_Toc156985363"/>
      <w:r w:rsidRPr="00151023">
        <w:t>Background</w:t>
      </w:r>
      <w:bookmarkEnd w:id="4"/>
    </w:p>
    <w:p w14:paraId="66FA47CB" w14:textId="77777777" w:rsidR="005C25FF" w:rsidRPr="00151023" w:rsidRDefault="005C25FF" w:rsidP="004A6040">
      <w:pPr>
        <w:pStyle w:val="4-SubsectionHeading"/>
      </w:pPr>
      <w:bookmarkStart w:id="5" w:name="_Toc22897638"/>
      <w:bookmarkStart w:id="6" w:name="_Toc156985364"/>
      <w:r w:rsidRPr="00151023">
        <w:t>Registration status</w:t>
      </w:r>
      <w:bookmarkEnd w:id="5"/>
      <w:bookmarkEnd w:id="6"/>
    </w:p>
    <w:p w14:paraId="4022349A" w14:textId="03300B7D" w:rsidR="003F6410" w:rsidRPr="00151023" w:rsidRDefault="00714345" w:rsidP="004B0DDA">
      <w:pPr>
        <w:pStyle w:val="3-BodyText"/>
      </w:pPr>
      <w:r w:rsidRPr="00151023">
        <w:t>QIVc (Flucelvax® Quad) received initial registration in the Australian Register of Therapeutic Goods (ARTG) on 1 September 2020 for the prevention of influenza caused by influenza virus, Types A and B for use in adults and children 9 years of age and older.</w:t>
      </w:r>
      <w:r w:rsidR="003F6410" w:rsidRPr="00151023">
        <w:t xml:space="preserve"> </w:t>
      </w:r>
      <w:r w:rsidRPr="00151023">
        <w:t>On 11 November 2021, the TGA registration was extended to include use in adults and children 2 years of age and older for the prevention of influenza.</w:t>
      </w:r>
    </w:p>
    <w:p w14:paraId="2AA120CF" w14:textId="7E03FDFD" w:rsidR="00CF3A1B" w:rsidRPr="00151023" w:rsidRDefault="001551FE" w:rsidP="004B0DDA">
      <w:pPr>
        <w:pStyle w:val="3-BodyText"/>
      </w:pPr>
      <w:r w:rsidRPr="00151023">
        <w:t>In July 2023, the TGA registration was extended to include use in adults and children 6 months of age and older.</w:t>
      </w:r>
      <w:r w:rsidR="003F6410" w:rsidRPr="00151023">
        <w:t xml:space="preserve"> </w:t>
      </w:r>
    </w:p>
    <w:p w14:paraId="51084E1B" w14:textId="36F0D198" w:rsidR="00565204" w:rsidRPr="00151023" w:rsidRDefault="000E25E1" w:rsidP="00F97355">
      <w:pPr>
        <w:pStyle w:val="3-BodyText"/>
      </w:pPr>
      <w:r w:rsidRPr="00151023">
        <w:rPr>
          <w:iCs/>
        </w:rPr>
        <w:t>An updated Australian Public Assessment Report (</w:t>
      </w:r>
      <w:proofErr w:type="spellStart"/>
      <w:r w:rsidRPr="00151023">
        <w:rPr>
          <w:iCs/>
        </w:rPr>
        <w:t>A</w:t>
      </w:r>
      <w:r w:rsidR="00D25763" w:rsidRPr="00151023">
        <w:rPr>
          <w:iCs/>
        </w:rPr>
        <w:t>us</w:t>
      </w:r>
      <w:r w:rsidRPr="00151023">
        <w:rPr>
          <w:iCs/>
        </w:rPr>
        <w:t>PAR</w:t>
      </w:r>
      <w:proofErr w:type="spellEnd"/>
      <w:r w:rsidRPr="00151023">
        <w:rPr>
          <w:iCs/>
        </w:rPr>
        <w:t xml:space="preserve">) for </w:t>
      </w:r>
      <w:proofErr w:type="spellStart"/>
      <w:r w:rsidRPr="00151023">
        <w:rPr>
          <w:iCs/>
        </w:rPr>
        <w:t>QIVc</w:t>
      </w:r>
      <w:proofErr w:type="spellEnd"/>
      <w:r w:rsidRPr="00151023">
        <w:rPr>
          <w:iCs/>
        </w:rPr>
        <w:t xml:space="preserve"> was published in November 2023</w:t>
      </w:r>
      <w:r w:rsidRPr="00151023">
        <w:t xml:space="preserve"> (</w:t>
      </w:r>
      <w:proofErr w:type="spellStart"/>
      <w:r w:rsidRPr="00151023">
        <w:rPr>
          <w:iCs/>
        </w:rPr>
        <w:t>AusPAR</w:t>
      </w:r>
      <w:proofErr w:type="spellEnd"/>
      <w:r w:rsidRPr="00151023">
        <w:rPr>
          <w:iCs/>
        </w:rPr>
        <w:t xml:space="preserve"> – Flucelvax Quad – PM-2022-01977-1-2</w:t>
      </w:r>
      <w:r w:rsidR="00565204" w:rsidRPr="00151023">
        <w:rPr>
          <w:iCs/>
        </w:rPr>
        <w:t xml:space="preserve">, </w:t>
      </w:r>
      <w:r w:rsidRPr="00151023">
        <w:rPr>
          <w:iCs/>
        </w:rPr>
        <w:t>Final – 1 November 2023</w:t>
      </w:r>
      <w:r w:rsidR="00565204" w:rsidRPr="00151023">
        <w:rPr>
          <w:iCs/>
        </w:rPr>
        <w:t xml:space="preserve">). The clinical dossier consisted of the </w:t>
      </w:r>
      <w:r w:rsidR="00303E32" w:rsidRPr="00151023">
        <w:rPr>
          <w:iCs/>
        </w:rPr>
        <w:t xml:space="preserve">direct </w:t>
      </w:r>
      <w:r w:rsidR="00565204" w:rsidRPr="00151023">
        <w:rPr>
          <w:iCs/>
        </w:rPr>
        <w:t xml:space="preserve">Phase III V130_10 immunogenicity and safety trial </w:t>
      </w:r>
      <w:r w:rsidR="00303E32" w:rsidRPr="00151023">
        <w:rPr>
          <w:iCs/>
        </w:rPr>
        <w:t xml:space="preserve">assessing non-inferiority of QIVc versus </w:t>
      </w:r>
      <w:r w:rsidR="004C698C" w:rsidRPr="00151023">
        <w:rPr>
          <w:iCs/>
        </w:rPr>
        <w:t>QIVe (</w:t>
      </w:r>
      <w:r w:rsidR="002E3D74" w:rsidRPr="00151023">
        <w:t>Afluria® Quadrivalent</w:t>
      </w:r>
      <w:r w:rsidR="004C698C" w:rsidRPr="00151023">
        <w:t>)</w:t>
      </w:r>
      <w:r w:rsidR="002E3D74" w:rsidRPr="00151023">
        <w:t xml:space="preserve"> </w:t>
      </w:r>
      <w:r w:rsidR="00565204" w:rsidRPr="00151023">
        <w:rPr>
          <w:iCs/>
        </w:rPr>
        <w:t xml:space="preserve">in healthy </w:t>
      </w:r>
      <w:r w:rsidR="00FD5ABE" w:rsidRPr="00151023">
        <w:rPr>
          <w:iCs/>
        </w:rPr>
        <w:t>children</w:t>
      </w:r>
      <w:r w:rsidR="00EE1D5D" w:rsidRPr="00151023">
        <w:rPr>
          <w:iCs/>
        </w:rPr>
        <w:t xml:space="preserve"> </w:t>
      </w:r>
      <w:r w:rsidR="00565204" w:rsidRPr="00151023">
        <w:rPr>
          <w:iCs/>
        </w:rPr>
        <w:t xml:space="preserve">aged 6 months </w:t>
      </w:r>
      <w:r w:rsidR="001B148A" w:rsidRPr="00151023">
        <w:rPr>
          <w:iCs/>
        </w:rPr>
        <w:t xml:space="preserve">to </w:t>
      </w:r>
      <w:r w:rsidR="00565204" w:rsidRPr="00151023">
        <w:rPr>
          <w:iCs/>
        </w:rPr>
        <w:t xml:space="preserve">47 months </w:t>
      </w:r>
      <w:r w:rsidR="00303E32" w:rsidRPr="00151023">
        <w:rPr>
          <w:iCs/>
        </w:rPr>
        <w:t>(</w:t>
      </w:r>
      <w:r w:rsidR="00377F3A" w:rsidRPr="00151023">
        <w:rPr>
          <w:iCs/>
        </w:rPr>
        <w:t xml:space="preserve">V130_10 was </w:t>
      </w:r>
      <w:r w:rsidR="00303E32" w:rsidRPr="00151023">
        <w:rPr>
          <w:iCs/>
        </w:rPr>
        <w:t xml:space="preserve">also presented as evidence </w:t>
      </w:r>
      <w:r w:rsidR="00565204" w:rsidRPr="00151023">
        <w:rPr>
          <w:iCs/>
        </w:rPr>
        <w:t>in the current submission</w:t>
      </w:r>
      <w:r w:rsidR="00303E32" w:rsidRPr="00151023">
        <w:rPr>
          <w:iCs/>
        </w:rPr>
        <w:t>)</w:t>
      </w:r>
      <w:r w:rsidR="00565204" w:rsidRPr="00151023">
        <w:rPr>
          <w:iCs/>
        </w:rPr>
        <w:t>. Immunogenicity endpoints were assessed by the haemagglutination inhibition (HAI) and microneutralisation (MN) assay.</w:t>
      </w:r>
    </w:p>
    <w:p w14:paraId="35A038F8" w14:textId="722A2ADB" w:rsidR="004B0DDA" w:rsidRPr="00151023" w:rsidRDefault="00565204" w:rsidP="00303E32">
      <w:pPr>
        <w:pStyle w:val="3-BodyText"/>
        <w:spacing w:after="0"/>
      </w:pPr>
      <w:r w:rsidRPr="00151023">
        <w:rPr>
          <w:iCs/>
        </w:rPr>
        <w:t xml:space="preserve">The </w:t>
      </w:r>
      <w:proofErr w:type="spellStart"/>
      <w:r w:rsidRPr="00151023">
        <w:rPr>
          <w:iCs/>
        </w:rPr>
        <w:t>A</w:t>
      </w:r>
      <w:r w:rsidR="00D25763" w:rsidRPr="00151023">
        <w:rPr>
          <w:iCs/>
        </w:rPr>
        <w:t>us</w:t>
      </w:r>
      <w:r w:rsidRPr="00151023">
        <w:rPr>
          <w:iCs/>
        </w:rPr>
        <w:t>PAR</w:t>
      </w:r>
      <w:proofErr w:type="spellEnd"/>
      <w:r w:rsidRPr="00151023">
        <w:rPr>
          <w:iCs/>
        </w:rPr>
        <w:t xml:space="preserve"> noted the following limitations with the </w:t>
      </w:r>
      <w:r w:rsidR="00377F3A" w:rsidRPr="00151023">
        <w:rPr>
          <w:iCs/>
        </w:rPr>
        <w:t xml:space="preserve">V130_10 </w:t>
      </w:r>
      <w:r w:rsidRPr="00151023">
        <w:rPr>
          <w:iCs/>
        </w:rPr>
        <w:t>data (</w:t>
      </w:r>
      <w:proofErr w:type="spellStart"/>
      <w:r w:rsidR="00D25763" w:rsidRPr="00151023">
        <w:rPr>
          <w:iCs/>
        </w:rPr>
        <w:t>AusPAR</w:t>
      </w:r>
      <w:proofErr w:type="spellEnd"/>
      <w:r w:rsidR="00D25763" w:rsidRPr="00151023">
        <w:rPr>
          <w:iCs/>
        </w:rPr>
        <w:t xml:space="preserve"> Flucelvax Quad, </w:t>
      </w:r>
      <w:r w:rsidRPr="00151023">
        <w:rPr>
          <w:iCs/>
        </w:rPr>
        <w:t>PM-2022-01977-1-2, November 2023):</w:t>
      </w:r>
    </w:p>
    <w:p w14:paraId="1C3A0B2F" w14:textId="6D7BAE7A" w:rsidR="00565204" w:rsidRPr="00151023" w:rsidRDefault="00A0322B" w:rsidP="00CA21EE">
      <w:pPr>
        <w:pStyle w:val="3-BodyText"/>
        <w:numPr>
          <w:ilvl w:val="0"/>
          <w:numId w:val="8"/>
        </w:numPr>
        <w:spacing w:after="0"/>
        <w:rPr>
          <w:iCs/>
        </w:rPr>
      </w:pPr>
      <w:r w:rsidRPr="00151023">
        <w:rPr>
          <w:iCs/>
        </w:rPr>
        <w:t>N</w:t>
      </w:r>
      <w:r w:rsidR="00565204" w:rsidRPr="00151023">
        <w:rPr>
          <w:iCs/>
        </w:rPr>
        <w:t>o clinical efficacy data were available.</w:t>
      </w:r>
    </w:p>
    <w:p w14:paraId="79CBCB09" w14:textId="7D9C29C6" w:rsidR="00565204" w:rsidRPr="00151023" w:rsidRDefault="00A0322B" w:rsidP="00CA21EE">
      <w:pPr>
        <w:pStyle w:val="3-BodyText"/>
        <w:numPr>
          <w:ilvl w:val="0"/>
          <w:numId w:val="8"/>
        </w:numPr>
        <w:spacing w:after="0"/>
        <w:rPr>
          <w:iCs/>
        </w:rPr>
      </w:pPr>
      <w:r w:rsidRPr="00151023">
        <w:rPr>
          <w:iCs/>
        </w:rPr>
        <w:t>N</w:t>
      </w:r>
      <w:r w:rsidR="00565204" w:rsidRPr="00151023">
        <w:rPr>
          <w:iCs/>
        </w:rPr>
        <w:t xml:space="preserve">o data on </w:t>
      </w:r>
      <w:r w:rsidR="00FD5ABE" w:rsidRPr="00151023">
        <w:rPr>
          <w:iCs/>
        </w:rPr>
        <w:t xml:space="preserve">children </w:t>
      </w:r>
      <w:r w:rsidR="00565204" w:rsidRPr="00151023">
        <w:rPr>
          <w:iCs/>
        </w:rPr>
        <w:t>with co-morbidities and immune deficiency were available.</w:t>
      </w:r>
    </w:p>
    <w:p w14:paraId="6983E143" w14:textId="570F05D1" w:rsidR="00565204" w:rsidRPr="00151023" w:rsidRDefault="00A0322B" w:rsidP="00945D9A">
      <w:pPr>
        <w:pStyle w:val="3-BodyText"/>
        <w:numPr>
          <w:ilvl w:val="0"/>
          <w:numId w:val="8"/>
        </w:numPr>
        <w:ind w:left="1434" w:hanging="357"/>
        <w:rPr>
          <w:iCs/>
        </w:rPr>
      </w:pPr>
      <w:r w:rsidRPr="00151023">
        <w:rPr>
          <w:iCs/>
        </w:rPr>
        <w:lastRenderedPageBreak/>
        <w:t>N</w:t>
      </w:r>
      <w:r w:rsidR="00565204" w:rsidRPr="00151023">
        <w:rPr>
          <w:iCs/>
        </w:rPr>
        <w:t>o immunogenicity and safety data on co-administration with other vaccines in this age group were available, including for those recommended in the childhood immunisation programs</w:t>
      </w:r>
      <w:r w:rsidR="00D25763" w:rsidRPr="00151023">
        <w:rPr>
          <w:iCs/>
        </w:rPr>
        <w:t>.</w:t>
      </w:r>
    </w:p>
    <w:p w14:paraId="210FBDCB" w14:textId="56BB17E2" w:rsidR="00D25763" w:rsidRPr="00151023" w:rsidRDefault="00D25763" w:rsidP="00D25763">
      <w:pPr>
        <w:pStyle w:val="3-BodyText"/>
        <w:rPr>
          <w:iCs/>
        </w:rPr>
      </w:pPr>
      <w:r w:rsidRPr="00151023">
        <w:rPr>
          <w:iCs/>
        </w:rPr>
        <w:t xml:space="preserve">The Delegate noted that </w:t>
      </w:r>
      <w:r w:rsidR="00B824E1" w:rsidRPr="00151023">
        <w:rPr>
          <w:iCs/>
        </w:rPr>
        <w:t>HAI</w:t>
      </w:r>
      <w:r w:rsidRPr="00151023">
        <w:rPr>
          <w:iCs/>
        </w:rPr>
        <w:t xml:space="preserve"> and </w:t>
      </w:r>
      <w:r w:rsidR="00B824E1" w:rsidRPr="00151023">
        <w:rPr>
          <w:iCs/>
        </w:rPr>
        <w:t>MN</w:t>
      </w:r>
      <w:r w:rsidRPr="00151023">
        <w:rPr>
          <w:iCs/>
        </w:rPr>
        <w:t xml:space="preserve"> titres are not true surrogate markers as there is no defined cut-off titre correlating with clinical protection</w:t>
      </w:r>
      <w:r w:rsidR="00B824E1" w:rsidRPr="00151023">
        <w:rPr>
          <w:iCs/>
        </w:rPr>
        <w:t xml:space="preserve">, although </w:t>
      </w:r>
      <w:r w:rsidRPr="00151023">
        <w:rPr>
          <w:iCs/>
        </w:rPr>
        <w:t>it has been demonstrated that higher titres tend to correlate with better protection. Although the immunogenicity data are descriptive and without predetermined criteria for success, the QIVc group showed increase in the HAI titres (</w:t>
      </w:r>
      <w:proofErr w:type="spellStart"/>
      <w:r w:rsidRPr="00151023">
        <w:rPr>
          <w:iCs/>
        </w:rPr>
        <w:t>AusPAR</w:t>
      </w:r>
      <w:proofErr w:type="spellEnd"/>
      <w:r w:rsidR="00452FEB" w:rsidRPr="00151023">
        <w:rPr>
          <w:iCs/>
        </w:rPr>
        <w:t xml:space="preserve"> Flucelvax Quad</w:t>
      </w:r>
      <w:r w:rsidRPr="00151023">
        <w:rPr>
          <w:iCs/>
        </w:rPr>
        <w:t>,</w:t>
      </w:r>
      <w:r w:rsidR="00452FEB" w:rsidRPr="00151023">
        <w:rPr>
          <w:iCs/>
        </w:rPr>
        <w:t xml:space="preserve"> </w:t>
      </w:r>
      <w:r w:rsidRPr="00151023">
        <w:rPr>
          <w:iCs/>
        </w:rPr>
        <w:t>PM-2022-01977-1-2, November 2023).</w:t>
      </w:r>
    </w:p>
    <w:p w14:paraId="78D29008" w14:textId="62900A8C" w:rsidR="00057BED" w:rsidRPr="00151023" w:rsidRDefault="00057BED" w:rsidP="00D25763">
      <w:pPr>
        <w:pStyle w:val="3-BodyText"/>
        <w:rPr>
          <w:iCs/>
        </w:rPr>
      </w:pPr>
      <w:r w:rsidRPr="00151023">
        <w:rPr>
          <w:iCs/>
        </w:rPr>
        <w:t xml:space="preserve">The Delegate also noted that </w:t>
      </w:r>
      <w:r w:rsidR="004C698C" w:rsidRPr="00151023">
        <w:rPr>
          <w:iCs/>
        </w:rPr>
        <w:t xml:space="preserve">the </w:t>
      </w:r>
      <w:r w:rsidRPr="00151023">
        <w:rPr>
          <w:iCs/>
        </w:rPr>
        <w:t xml:space="preserve">current indication for </w:t>
      </w:r>
      <w:r w:rsidR="00945D9A" w:rsidRPr="00151023">
        <w:rPr>
          <w:iCs/>
        </w:rPr>
        <w:t>QIVc</w:t>
      </w:r>
      <w:r w:rsidRPr="00151023">
        <w:rPr>
          <w:iCs/>
        </w:rPr>
        <w:t xml:space="preserve"> is established for </w:t>
      </w:r>
      <w:r w:rsidR="00E03A2F" w:rsidRPr="00151023">
        <w:rPr>
          <w:iCs/>
        </w:rPr>
        <w:t>those</w:t>
      </w:r>
      <w:r w:rsidR="004C698C" w:rsidRPr="00151023">
        <w:rPr>
          <w:iCs/>
        </w:rPr>
        <w:t xml:space="preserve"> aged </w:t>
      </w:r>
      <w:r w:rsidR="004C698C" w:rsidRPr="00151023">
        <w:rPr>
          <w:rFonts w:cstheme="minorHAnsi"/>
          <w:iCs/>
        </w:rPr>
        <w:t>≥</w:t>
      </w:r>
      <w:r w:rsidRPr="00151023">
        <w:rPr>
          <w:iCs/>
        </w:rPr>
        <w:t xml:space="preserve">2 years </w:t>
      </w:r>
      <w:r w:rsidR="002E3D74" w:rsidRPr="00151023">
        <w:rPr>
          <w:iCs/>
        </w:rPr>
        <w:t xml:space="preserve">and that </w:t>
      </w:r>
      <w:r w:rsidRPr="00151023">
        <w:rPr>
          <w:iCs/>
        </w:rPr>
        <w:t>V130_10 provide</w:t>
      </w:r>
      <w:r w:rsidR="004C698C" w:rsidRPr="00151023">
        <w:rPr>
          <w:iCs/>
        </w:rPr>
        <w:t>d</w:t>
      </w:r>
      <w:r w:rsidRPr="00151023">
        <w:rPr>
          <w:iCs/>
        </w:rPr>
        <w:t xml:space="preserve"> safety data to support the extension of indication to children aged 6 months to 2 years (</w:t>
      </w:r>
      <w:proofErr w:type="spellStart"/>
      <w:r w:rsidRPr="00151023">
        <w:rPr>
          <w:iCs/>
        </w:rPr>
        <w:t>AusPAR</w:t>
      </w:r>
      <w:proofErr w:type="spellEnd"/>
      <w:r w:rsidRPr="00151023">
        <w:rPr>
          <w:iCs/>
        </w:rPr>
        <w:t xml:space="preserve"> Flucelvax Quad, PM-2022-01977-1-2, November 2023).</w:t>
      </w:r>
    </w:p>
    <w:p w14:paraId="5B6528A6" w14:textId="4AF187B5" w:rsidR="00D25763" w:rsidRPr="00151023" w:rsidRDefault="00D25763" w:rsidP="00303E32">
      <w:pPr>
        <w:pStyle w:val="3-BodyText"/>
        <w:spacing w:after="0"/>
        <w:rPr>
          <w:iCs/>
        </w:rPr>
      </w:pPr>
      <w:r w:rsidRPr="00151023">
        <w:rPr>
          <w:iCs/>
        </w:rPr>
        <w:t>The Advisory Committee on Vaccines (ACV), having considered the evaluations and the Delegate’s overview advised the following</w:t>
      </w:r>
      <w:r w:rsidR="00452FEB" w:rsidRPr="00151023">
        <w:rPr>
          <w:iCs/>
        </w:rPr>
        <w:t xml:space="preserve"> (</w:t>
      </w:r>
      <w:proofErr w:type="spellStart"/>
      <w:r w:rsidR="00452FEB" w:rsidRPr="00151023">
        <w:rPr>
          <w:iCs/>
        </w:rPr>
        <w:t>AusPAR</w:t>
      </w:r>
      <w:proofErr w:type="spellEnd"/>
      <w:r w:rsidR="00452FEB" w:rsidRPr="00151023">
        <w:rPr>
          <w:iCs/>
        </w:rPr>
        <w:t xml:space="preserve"> Flucelvax Quad, PM-2022-01977-1-2, November 2023):</w:t>
      </w:r>
    </w:p>
    <w:p w14:paraId="28501984" w14:textId="098D5F6D" w:rsidR="00452FEB" w:rsidRPr="00151023" w:rsidRDefault="00A0322B" w:rsidP="00CA21EE">
      <w:pPr>
        <w:pStyle w:val="3-BodyText"/>
        <w:numPr>
          <w:ilvl w:val="0"/>
          <w:numId w:val="9"/>
        </w:numPr>
        <w:spacing w:after="0"/>
        <w:rPr>
          <w:iCs/>
        </w:rPr>
      </w:pPr>
      <w:r w:rsidRPr="00151023">
        <w:rPr>
          <w:iCs/>
        </w:rPr>
        <w:t>T</w:t>
      </w:r>
      <w:r w:rsidR="00452FEB" w:rsidRPr="00151023">
        <w:rPr>
          <w:iCs/>
        </w:rPr>
        <w:t xml:space="preserve">here is a favourable benefit-risk balance for the use of </w:t>
      </w:r>
      <w:r w:rsidR="004C698C" w:rsidRPr="00151023">
        <w:rPr>
          <w:iCs/>
        </w:rPr>
        <w:t>QIV</w:t>
      </w:r>
      <w:r w:rsidR="00E03A2F" w:rsidRPr="00151023">
        <w:rPr>
          <w:iCs/>
        </w:rPr>
        <w:t>c</w:t>
      </w:r>
      <w:r w:rsidR="00452FEB" w:rsidRPr="00151023">
        <w:rPr>
          <w:iCs/>
        </w:rPr>
        <w:t xml:space="preserve"> in individuals 6 months to 2 years of age.</w:t>
      </w:r>
    </w:p>
    <w:p w14:paraId="1C2995BB" w14:textId="31526DAF" w:rsidR="00452FEB" w:rsidRPr="00151023" w:rsidRDefault="00D60BD3" w:rsidP="00CA21EE">
      <w:pPr>
        <w:pStyle w:val="3-BodyText"/>
        <w:numPr>
          <w:ilvl w:val="0"/>
          <w:numId w:val="9"/>
        </w:numPr>
        <w:spacing w:after="0"/>
        <w:rPr>
          <w:iCs/>
        </w:rPr>
      </w:pPr>
      <w:r w:rsidRPr="00151023">
        <w:rPr>
          <w:iCs/>
        </w:rPr>
        <w:t xml:space="preserve">Pre-defined success criteria of non-inferiority for the primary immunogenicity objectives were met, demonstrating that </w:t>
      </w:r>
      <w:r w:rsidR="004C698C" w:rsidRPr="00151023">
        <w:rPr>
          <w:iCs/>
        </w:rPr>
        <w:t>QIV</w:t>
      </w:r>
      <w:r w:rsidR="00E03A2F" w:rsidRPr="00151023">
        <w:rPr>
          <w:iCs/>
        </w:rPr>
        <w:t>c</w:t>
      </w:r>
      <w:r w:rsidRPr="00151023">
        <w:rPr>
          <w:iCs/>
        </w:rPr>
        <w:t xml:space="preserve"> was non-inferior to </w:t>
      </w:r>
      <w:r w:rsidR="00012ECD" w:rsidRPr="00151023">
        <w:rPr>
          <w:iCs/>
        </w:rPr>
        <w:t xml:space="preserve">the </w:t>
      </w:r>
      <w:r w:rsidRPr="00151023">
        <w:rPr>
          <w:iCs/>
        </w:rPr>
        <w:t>approved comparator vaccine in children 6 to 47 months of age for all 4 influenza strains, which has demonstrated efficacy or effectiveness</w:t>
      </w:r>
      <w:r w:rsidR="00452FEB" w:rsidRPr="00151023">
        <w:rPr>
          <w:iCs/>
        </w:rPr>
        <w:t>.</w:t>
      </w:r>
    </w:p>
    <w:p w14:paraId="27E5877D" w14:textId="53CFBC0D" w:rsidR="00452FEB" w:rsidRPr="00151023" w:rsidRDefault="00D60BD3" w:rsidP="00CA21EE">
      <w:pPr>
        <w:pStyle w:val="3-BodyText"/>
        <w:numPr>
          <w:ilvl w:val="0"/>
          <w:numId w:val="9"/>
        </w:numPr>
        <w:spacing w:after="0"/>
        <w:rPr>
          <w:iCs/>
        </w:rPr>
      </w:pPr>
      <w:r w:rsidRPr="00151023">
        <w:rPr>
          <w:iCs/>
        </w:rPr>
        <w:t>While reiterating that people with egg allergy, including a history of anaphylaxis, can be safely vaccinated with any inactivated influenza vaccine (including egg-based vaccines) unless they have reported a serious adverse reaction to influenza vaccines, the ACV noted that the availability of a cell-based vaccine for individuals 6 months to 2 years of age provided choice for parents and prescribers</w:t>
      </w:r>
      <w:r w:rsidR="00452FEB" w:rsidRPr="00151023">
        <w:rPr>
          <w:iCs/>
        </w:rPr>
        <w:t>.</w:t>
      </w:r>
    </w:p>
    <w:p w14:paraId="6FC756C9" w14:textId="43B2F598" w:rsidR="002E3D74" w:rsidRPr="00151023" w:rsidRDefault="002E3D74" w:rsidP="00CA21EE">
      <w:pPr>
        <w:pStyle w:val="3-BodyText"/>
        <w:numPr>
          <w:ilvl w:val="0"/>
          <w:numId w:val="9"/>
        </w:numPr>
        <w:spacing w:after="0"/>
        <w:rPr>
          <w:iCs/>
        </w:rPr>
      </w:pPr>
      <w:r w:rsidRPr="00151023">
        <w:t>The safety data appeared to be sufficient and comparable to other inactivated influenza vaccine</w:t>
      </w:r>
      <w:r w:rsidR="004C698C" w:rsidRPr="00151023">
        <w:t>s</w:t>
      </w:r>
      <w:r w:rsidRPr="00151023">
        <w:t xml:space="preserve"> administered to the age group 6 months to 2 years.</w:t>
      </w:r>
    </w:p>
    <w:p w14:paraId="06D05D7D" w14:textId="77777777" w:rsidR="005C25FF" w:rsidRPr="00151023" w:rsidRDefault="005C25FF" w:rsidP="004E18E9">
      <w:pPr>
        <w:pStyle w:val="4-SubsectionHeading"/>
      </w:pPr>
      <w:bookmarkStart w:id="7" w:name="_Toc22897639"/>
      <w:bookmarkStart w:id="8" w:name="_Toc156985365"/>
      <w:r w:rsidRPr="00151023">
        <w:t>Previous PBAC consideration</w:t>
      </w:r>
      <w:bookmarkEnd w:id="7"/>
      <w:bookmarkEnd w:id="8"/>
    </w:p>
    <w:p w14:paraId="1EB407C4" w14:textId="1B1CD63D" w:rsidR="00C50806" w:rsidRPr="00151023" w:rsidRDefault="00264798" w:rsidP="00264798">
      <w:pPr>
        <w:pStyle w:val="3-BodyText"/>
      </w:pPr>
      <w:r w:rsidRPr="00151023">
        <w:t>At the September 2022 PBAC Intracycle meeting, t</w:t>
      </w:r>
      <w:r w:rsidR="00E137A4" w:rsidRPr="00151023">
        <w:t xml:space="preserve">he PBAC recommended that QIVc be a designated vaccine for the purposes of the </w:t>
      </w:r>
      <w:r w:rsidR="00E137A4" w:rsidRPr="00151023">
        <w:rPr>
          <w:i/>
          <w:iCs/>
        </w:rPr>
        <w:t>National Health Act 1953</w:t>
      </w:r>
      <w:r w:rsidR="00E137A4" w:rsidRPr="00151023">
        <w:t xml:space="preserve">, for the vaccination against influenza in </w:t>
      </w:r>
      <w:r w:rsidR="0068793B" w:rsidRPr="00151023">
        <w:t xml:space="preserve">Aboriginal and Torres Strait </w:t>
      </w:r>
      <w:r w:rsidR="00C25D24" w:rsidRPr="00151023">
        <w:t>Islander people</w:t>
      </w:r>
      <w:r w:rsidR="00E137A4" w:rsidRPr="00151023">
        <w:t xml:space="preserve"> aged ≥5 to &lt;65 years, people at increased risk of influenza disease complications aged ≥5 to &lt;65 years, and pregnant women.</w:t>
      </w:r>
      <w:r w:rsidR="00945D9A" w:rsidRPr="00151023">
        <w:t xml:space="preserve"> The Public Summary Document (PSD) for that consideration states:</w:t>
      </w:r>
    </w:p>
    <w:p w14:paraId="0712278C" w14:textId="74BEFC4E" w:rsidR="00813CD1" w:rsidRPr="00151023" w:rsidRDefault="00945D9A" w:rsidP="00945D9A">
      <w:pPr>
        <w:pStyle w:val="3-BodyText"/>
        <w:numPr>
          <w:ilvl w:val="0"/>
          <w:numId w:val="32"/>
        </w:numPr>
      </w:pPr>
      <w:r w:rsidRPr="00151023">
        <w:lastRenderedPageBreak/>
        <w:t>“</w:t>
      </w:r>
      <w:r w:rsidR="00E137A4" w:rsidRPr="00151023">
        <w:t>The PBAC’s recommendation for listing was based on, among other matters, its assessment that the cost-effectiveness of QIVc would be acceptable with a price premium compared to QIVe vaccines and the acknowledgment of potential benefits associated with the diversification of vaccine manufacturing</w:t>
      </w:r>
      <w:r w:rsidRPr="00151023">
        <w:t>”</w:t>
      </w:r>
      <w:r w:rsidR="00E137A4" w:rsidRPr="00151023">
        <w:t xml:space="preserve"> (paragraph 7.1, </w:t>
      </w:r>
      <w:r w:rsidR="00264798" w:rsidRPr="00151023">
        <w:t>QIVc, Public Summary Document (PSD), September 2022 PBAC meeting</w:t>
      </w:r>
      <w:r w:rsidR="00E137A4" w:rsidRPr="00151023">
        <w:t>)</w:t>
      </w:r>
      <w:r w:rsidR="00264798" w:rsidRPr="00151023">
        <w:t>.</w:t>
      </w:r>
    </w:p>
    <w:p w14:paraId="5D060D95" w14:textId="6325009B" w:rsidR="00264798" w:rsidRPr="00151023" w:rsidRDefault="00945D9A" w:rsidP="00945D9A">
      <w:pPr>
        <w:pStyle w:val="3-BodyText"/>
        <w:numPr>
          <w:ilvl w:val="0"/>
          <w:numId w:val="32"/>
        </w:numPr>
      </w:pPr>
      <w:r w:rsidRPr="00151023">
        <w:t>“</w:t>
      </w:r>
      <w:r w:rsidR="00264798" w:rsidRPr="00151023">
        <w:t>The PBAC acknowledged there were advantages of cell-based vaccine production technology over the egg-based technology in diversifying vaccine production platforms. The PBAC noted that cell-based technology may allow faster start-up of vaccine production when required (e.g., in the event of a pandemic) and production would not be dependent on egg supply</w:t>
      </w:r>
      <w:r w:rsidRPr="00151023">
        <w:t>”</w:t>
      </w:r>
      <w:r w:rsidR="00264798" w:rsidRPr="00151023">
        <w:t xml:space="preserve"> (paragraph 7.2, QIVc, PSD, September 2022 PBAC meeting).</w:t>
      </w:r>
    </w:p>
    <w:p w14:paraId="5FA67DAA" w14:textId="144637C8" w:rsidR="00264798" w:rsidRPr="00151023" w:rsidRDefault="00945D9A" w:rsidP="00945D9A">
      <w:pPr>
        <w:pStyle w:val="3-BodyText"/>
        <w:numPr>
          <w:ilvl w:val="0"/>
          <w:numId w:val="32"/>
        </w:numPr>
      </w:pPr>
      <w:r w:rsidRPr="00151023">
        <w:t>“</w:t>
      </w:r>
      <w:r w:rsidR="00817F33" w:rsidRPr="00151023">
        <w:t xml:space="preserve">Although the PBAC considered that the clinical claim of superior efficacy was plausible, it considered that the comparative benefit was difficult to quantify and subject to </w:t>
      </w:r>
      <w:r w:rsidR="002E1775" w:rsidRPr="00151023">
        <w:t xml:space="preserve">a moderate level of </w:t>
      </w:r>
      <w:r w:rsidR="00817F33" w:rsidRPr="00151023">
        <w:t>uncertainty</w:t>
      </w:r>
      <w:r w:rsidRPr="00151023">
        <w:t>”</w:t>
      </w:r>
      <w:r w:rsidR="002E1775" w:rsidRPr="00151023">
        <w:t xml:space="preserve"> (paragraph 7.6, QIVc, PSD, September 2022 PBAC meeting)</w:t>
      </w:r>
      <w:r w:rsidR="00817F33" w:rsidRPr="00151023">
        <w:t xml:space="preserve">. </w:t>
      </w:r>
    </w:p>
    <w:p w14:paraId="2798F05A" w14:textId="3FA033E2" w:rsidR="004F550B" w:rsidRPr="00151023" w:rsidRDefault="004F550B" w:rsidP="004F550B">
      <w:pPr>
        <w:pStyle w:val="3-BodyText"/>
        <w:numPr>
          <w:ilvl w:val="0"/>
          <w:numId w:val="0"/>
        </w:numPr>
        <w:ind w:left="720"/>
        <w:rPr>
          <w:iCs/>
        </w:rPr>
      </w:pPr>
      <w:r w:rsidRPr="00151023">
        <w:rPr>
          <w:i/>
        </w:rPr>
        <w:t>For more detail on PBAC’s view, see section 7 PBAC outcome</w:t>
      </w:r>
      <w:r w:rsidRPr="00151023">
        <w:rPr>
          <w:iCs/>
        </w:rPr>
        <w:t>.</w:t>
      </w:r>
    </w:p>
    <w:p w14:paraId="6F5A2D83" w14:textId="4BC5437B" w:rsidR="00B60939" w:rsidRPr="00151023" w:rsidRDefault="00B50DB8" w:rsidP="003F7B34">
      <w:pPr>
        <w:pStyle w:val="2-SectionHeading"/>
        <w:keepLines/>
      </w:pPr>
      <w:bookmarkStart w:id="9" w:name="_Toc107902078"/>
      <w:bookmarkStart w:id="10" w:name="_Toc156985366"/>
      <w:bookmarkEnd w:id="9"/>
      <w:r w:rsidRPr="00151023">
        <w:t>Requested listing</w:t>
      </w:r>
      <w:bookmarkEnd w:id="10"/>
    </w:p>
    <w:tbl>
      <w:tblPr>
        <w:tblW w:w="4953" w:type="pct"/>
        <w:tblCellMar>
          <w:left w:w="28" w:type="dxa"/>
          <w:right w:w="28" w:type="dxa"/>
        </w:tblCellMar>
        <w:tblLook w:val="0000" w:firstRow="0" w:lastRow="0" w:firstColumn="0" w:lastColumn="0" w:noHBand="0" w:noVBand="0"/>
      </w:tblPr>
      <w:tblGrid>
        <w:gridCol w:w="2227"/>
        <w:gridCol w:w="1098"/>
        <w:gridCol w:w="1490"/>
        <w:gridCol w:w="1849"/>
        <w:gridCol w:w="2278"/>
      </w:tblGrid>
      <w:tr w:rsidR="006C3B6A" w:rsidRPr="00151023" w14:paraId="3039327C" w14:textId="77777777" w:rsidTr="00DA6980">
        <w:trPr>
          <w:cantSplit/>
          <w:trHeight w:val="463"/>
        </w:trPr>
        <w:tc>
          <w:tcPr>
            <w:tcW w:w="1859" w:type="pct"/>
            <w:gridSpan w:val="2"/>
            <w:tcBorders>
              <w:top w:val="single" w:sz="4" w:space="0" w:color="auto"/>
              <w:bottom w:val="single" w:sz="4" w:space="0" w:color="auto"/>
            </w:tcBorders>
            <w:vAlign w:val="center"/>
          </w:tcPr>
          <w:p w14:paraId="71FE9643" w14:textId="77777777" w:rsidR="006C3B6A" w:rsidRPr="00151023" w:rsidRDefault="006C3B6A" w:rsidP="003F7B34">
            <w:pPr>
              <w:keepNext/>
              <w:keepLines/>
              <w:rPr>
                <w:rFonts w:ascii="Arial Narrow" w:hAnsi="Arial Narrow"/>
                <w:b/>
                <w:sz w:val="20"/>
              </w:rPr>
            </w:pPr>
            <w:r w:rsidRPr="00151023">
              <w:rPr>
                <w:rFonts w:ascii="Arial Narrow" w:hAnsi="Arial Narrow"/>
                <w:b/>
                <w:sz w:val="20"/>
              </w:rPr>
              <w:t>Name, Restriction,</w:t>
            </w:r>
          </w:p>
          <w:p w14:paraId="4ED782C6" w14:textId="77777777" w:rsidR="006C3B6A" w:rsidRPr="00151023" w:rsidRDefault="006C3B6A" w:rsidP="003F7B34">
            <w:pPr>
              <w:keepNext/>
              <w:keepLines/>
              <w:rPr>
                <w:rFonts w:ascii="Arial Narrow" w:hAnsi="Arial Narrow"/>
                <w:b/>
                <w:sz w:val="20"/>
              </w:rPr>
            </w:pPr>
            <w:r w:rsidRPr="00151023">
              <w:rPr>
                <w:rFonts w:ascii="Arial Narrow" w:hAnsi="Arial Narrow"/>
                <w:b/>
                <w:sz w:val="20"/>
              </w:rPr>
              <w:t>Manner of administration and form</w:t>
            </w:r>
          </w:p>
        </w:tc>
        <w:tc>
          <w:tcPr>
            <w:tcW w:w="833" w:type="pct"/>
            <w:tcBorders>
              <w:top w:val="single" w:sz="4" w:space="0" w:color="auto"/>
              <w:bottom w:val="single" w:sz="4" w:space="0" w:color="auto"/>
            </w:tcBorders>
            <w:vAlign w:val="center"/>
          </w:tcPr>
          <w:p w14:paraId="3CC0B847" w14:textId="77777777" w:rsidR="006C3B6A" w:rsidRPr="00151023" w:rsidRDefault="006C3B6A" w:rsidP="003F7B34">
            <w:pPr>
              <w:keepNext/>
              <w:keepLines/>
              <w:jc w:val="center"/>
              <w:rPr>
                <w:rFonts w:ascii="Arial Narrow" w:hAnsi="Arial Narrow"/>
                <w:b/>
                <w:sz w:val="20"/>
              </w:rPr>
            </w:pPr>
            <w:r w:rsidRPr="00151023">
              <w:rPr>
                <w:rFonts w:ascii="Arial Narrow" w:hAnsi="Arial Narrow"/>
                <w:b/>
                <w:sz w:val="20"/>
              </w:rPr>
              <w:t>Ex-manufacturer price per dose</w:t>
            </w:r>
          </w:p>
        </w:tc>
        <w:tc>
          <w:tcPr>
            <w:tcW w:w="2308" w:type="pct"/>
            <w:gridSpan w:val="2"/>
            <w:tcBorders>
              <w:top w:val="single" w:sz="4" w:space="0" w:color="auto"/>
              <w:bottom w:val="single" w:sz="4" w:space="0" w:color="auto"/>
            </w:tcBorders>
            <w:vAlign w:val="center"/>
          </w:tcPr>
          <w:p w14:paraId="486A472C" w14:textId="77777777" w:rsidR="006C3B6A" w:rsidRPr="00151023" w:rsidRDefault="006C3B6A" w:rsidP="003F7B34">
            <w:pPr>
              <w:keepNext/>
              <w:keepLines/>
              <w:jc w:val="center"/>
              <w:rPr>
                <w:rFonts w:ascii="Arial Narrow" w:hAnsi="Arial Narrow"/>
                <w:b/>
                <w:sz w:val="20"/>
              </w:rPr>
            </w:pPr>
            <w:r w:rsidRPr="00151023">
              <w:rPr>
                <w:rFonts w:ascii="Arial Narrow" w:hAnsi="Arial Narrow"/>
                <w:b/>
                <w:sz w:val="20"/>
              </w:rPr>
              <w:t>Proprietary Name and Manufacturer</w:t>
            </w:r>
          </w:p>
        </w:tc>
      </w:tr>
      <w:tr w:rsidR="006C3B6A" w:rsidRPr="00151023" w14:paraId="6772304F" w14:textId="77777777" w:rsidTr="00DA6980">
        <w:trPr>
          <w:cantSplit/>
          <w:trHeight w:val="567"/>
        </w:trPr>
        <w:tc>
          <w:tcPr>
            <w:tcW w:w="1859" w:type="pct"/>
            <w:gridSpan w:val="2"/>
            <w:vAlign w:val="center"/>
          </w:tcPr>
          <w:p w14:paraId="1D528E2C" w14:textId="77777777" w:rsidR="006C3B6A" w:rsidRPr="00151023" w:rsidRDefault="006C3B6A" w:rsidP="003F7B34">
            <w:pPr>
              <w:keepNext/>
              <w:keepLines/>
              <w:rPr>
                <w:rFonts w:ascii="Arial Narrow" w:hAnsi="Arial Narrow"/>
                <w:sz w:val="20"/>
              </w:rPr>
            </w:pPr>
            <w:r w:rsidRPr="00151023">
              <w:rPr>
                <w:rFonts w:ascii="Arial Narrow" w:hAnsi="Arial Narrow"/>
                <w:smallCaps/>
                <w:sz w:val="20"/>
              </w:rPr>
              <w:t>Cell-Cultured Quadrivalent Influenza Vaccine (Surface Antigen, Inactivated)</w:t>
            </w:r>
          </w:p>
          <w:p w14:paraId="5285BA01" w14:textId="77777777" w:rsidR="00C72713" w:rsidRPr="00151023" w:rsidRDefault="00C72713" w:rsidP="003F7B34">
            <w:pPr>
              <w:keepNext/>
              <w:keepLines/>
              <w:rPr>
                <w:rFonts w:ascii="Arial Narrow" w:hAnsi="Arial Narrow" w:cs="Times New Roman"/>
                <w:snapToGrid w:val="0"/>
                <w:sz w:val="20"/>
              </w:rPr>
            </w:pPr>
            <w:r w:rsidRPr="00151023">
              <w:rPr>
                <w:rFonts w:ascii="Arial Narrow" w:hAnsi="Arial Narrow" w:cs="Times New Roman"/>
                <w:snapToGrid w:val="0"/>
                <w:sz w:val="20"/>
              </w:rPr>
              <w:t>Injection (0.5mL)</w:t>
            </w:r>
          </w:p>
          <w:p w14:paraId="032500A2" w14:textId="77777777" w:rsidR="006C3B6A" w:rsidRPr="00151023" w:rsidRDefault="006C3B6A" w:rsidP="003F7B34">
            <w:pPr>
              <w:keepNext/>
              <w:keepLines/>
              <w:rPr>
                <w:rFonts w:ascii="Arial Narrow" w:hAnsi="Arial Narrow"/>
                <w:sz w:val="20"/>
              </w:rPr>
            </w:pPr>
          </w:p>
          <w:p w14:paraId="6E4E3E42" w14:textId="51CCB6D1" w:rsidR="00C72713" w:rsidRPr="00151023" w:rsidRDefault="00C72713" w:rsidP="003F7B34">
            <w:pPr>
              <w:keepNext/>
              <w:keepLines/>
              <w:rPr>
                <w:rFonts w:ascii="Arial Narrow" w:hAnsi="Arial Narrow"/>
                <w:sz w:val="20"/>
              </w:rPr>
            </w:pPr>
          </w:p>
        </w:tc>
        <w:tc>
          <w:tcPr>
            <w:tcW w:w="833" w:type="pct"/>
            <w:vAlign w:val="center"/>
          </w:tcPr>
          <w:p w14:paraId="4AB74BD5" w14:textId="735C0E4A" w:rsidR="006C3B6A" w:rsidRPr="00151023" w:rsidRDefault="006C3B6A" w:rsidP="003F7B34">
            <w:pPr>
              <w:keepNext/>
              <w:keepLines/>
              <w:jc w:val="center"/>
              <w:rPr>
                <w:rFonts w:ascii="Arial Narrow" w:hAnsi="Arial Narrow"/>
                <w:sz w:val="20"/>
              </w:rPr>
            </w:pPr>
            <w:r w:rsidRPr="007364B7">
              <w:rPr>
                <w:rFonts w:ascii="Arial Narrow" w:hAnsi="Arial Narrow"/>
                <w:sz w:val="20"/>
              </w:rPr>
              <w:t>$</w:t>
            </w:r>
            <w:r w:rsidR="00854D81" w:rsidRPr="00854D81">
              <w:rPr>
                <w:rFonts w:ascii="Arial Narrow" w:hAnsi="Arial Narrow"/>
                <w:color w:val="000000"/>
                <w:sz w:val="20"/>
                <w:shd w:val="solid" w:color="000000" w:fill="000000"/>
                <w14:textFill>
                  <w14:solidFill>
                    <w14:srgbClr w14:val="000000">
                      <w14:alpha w14:val="100000"/>
                    </w14:srgbClr>
                  </w14:solidFill>
                </w14:textFill>
              </w:rPr>
              <w:t>|</w:t>
            </w:r>
          </w:p>
        </w:tc>
        <w:tc>
          <w:tcPr>
            <w:tcW w:w="1034" w:type="pct"/>
            <w:vAlign w:val="center"/>
          </w:tcPr>
          <w:p w14:paraId="74E50CE8" w14:textId="77777777" w:rsidR="006C3B6A" w:rsidRPr="00151023" w:rsidRDefault="006C3B6A" w:rsidP="003F7B34">
            <w:pPr>
              <w:keepNext/>
              <w:keepLines/>
              <w:jc w:val="center"/>
              <w:rPr>
                <w:rFonts w:ascii="Arial Narrow" w:hAnsi="Arial Narrow"/>
                <w:sz w:val="20"/>
              </w:rPr>
            </w:pPr>
            <w:r w:rsidRPr="00151023">
              <w:rPr>
                <w:rFonts w:ascii="Arial Narrow" w:hAnsi="Arial Narrow"/>
                <w:sz w:val="20"/>
              </w:rPr>
              <w:t>Flucelvax® Quad</w:t>
            </w:r>
          </w:p>
        </w:tc>
        <w:tc>
          <w:tcPr>
            <w:tcW w:w="1274" w:type="pct"/>
            <w:vAlign w:val="center"/>
          </w:tcPr>
          <w:p w14:paraId="122D1B04" w14:textId="77777777" w:rsidR="006C3B6A" w:rsidRPr="00151023" w:rsidRDefault="006C3B6A" w:rsidP="003F7B34">
            <w:pPr>
              <w:keepNext/>
              <w:keepLines/>
              <w:jc w:val="center"/>
              <w:rPr>
                <w:rFonts w:ascii="Arial Narrow" w:hAnsi="Arial Narrow"/>
                <w:sz w:val="20"/>
              </w:rPr>
            </w:pPr>
            <w:r w:rsidRPr="00151023">
              <w:rPr>
                <w:rFonts w:ascii="Arial Narrow" w:hAnsi="Arial Narrow"/>
                <w:sz w:val="20"/>
              </w:rPr>
              <w:t>Seqirus Australia Pty Ltd</w:t>
            </w:r>
          </w:p>
        </w:tc>
      </w:tr>
      <w:tr w:rsidR="006C3B6A" w:rsidRPr="00151023" w14:paraId="2F78EE67" w14:textId="77777777" w:rsidTr="00CC5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22B427F5" w14:textId="77777777" w:rsidR="006C3B6A" w:rsidRPr="00151023" w:rsidRDefault="006C3B6A" w:rsidP="003F7B34">
            <w:pPr>
              <w:pStyle w:val="Tabletext"/>
              <w:keepNext/>
              <w:keepLines/>
            </w:pPr>
            <w:r w:rsidRPr="00151023">
              <w:t>Category/Program:</w:t>
            </w:r>
          </w:p>
        </w:tc>
        <w:tc>
          <w:tcPr>
            <w:tcW w:w="3755" w:type="pct"/>
            <w:gridSpan w:val="4"/>
            <w:tcBorders>
              <w:top w:val="single" w:sz="4" w:space="0" w:color="auto"/>
              <w:left w:val="single" w:sz="4" w:space="0" w:color="auto"/>
              <w:bottom w:val="single" w:sz="4" w:space="0" w:color="auto"/>
              <w:right w:val="single" w:sz="4" w:space="0" w:color="auto"/>
            </w:tcBorders>
          </w:tcPr>
          <w:p w14:paraId="746DB300" w14:textId="77777777" w:rsidR="006C3B6A" w:rsidRPr="00151023" w:rsidRDefault="006C3B6A" w:rsidP="003F7B34">
            <w:pPr>
              <w:pStyle w:val="Tabletext"/>
              <w:keepNext/>
              <w:keepLines/>
            </w:pPr>
            <w:r w:rsidRPr="00151023">
              <w:t>NIP</w:t>
            </w:r>
          </w:p>
        </w:tc>
      </w:tr>
      <w:tr w:rsidR="006C3B6A" w:rsidRPr="00151023" w14:paraId="78D23B1F" w14:textId="77777777" w:rsidTr="00CC5B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5" w:type="pct"/>
            <w:tcBorders>
              <w:top w:val="single" w:sz="4" w:space="0" w:color="auto"/>
              <w:left w:val="single" w:sz="4" w:space="0" w:color="auto"/>
              <w:bottom w:val="single" w:sz="4" w:space="0" w:color="auto"/>
              <w:right w:val="single" w:sz="4" w:space="0" w:color="auto"/>
            </w:tcBorders>
            <w:hideMark/>
          </w:tcPr>
          <w:p w14:paraId="4D5EB25E" w14:textId="77777777" w:rsidR="006C3B6A" w:rsidRPr="00151023" w:rsidRDefault="006C3B6A" w:rsidP="003F7B34">
            <w:pPr>
              <w:pStyle w:val="Tabletext"/>
              <w:keepNext/>
              <w:keepLines/>
            </w:pPr>
            <w:r w:rsidRPr="00151023">
              <w:t>NIP indication</w:t>
            </w:r>
          </w:p>
          <w:p w14:paraId="44EDAEE4" w14:textId="77777777" w:rsidR="006C3B6A" w:rsidRPr="00151023" w:rsidRDefault="006C3B6A" w:rsidP="003F7B34">
            <w:pPr>
              <w:pStyle w:val="Tabletext"/>
              <w:keepNext/>
              <w:keepLines/>
            </w:pPr>
            <w:r w:rsidRPr="00151023">
              <w:t>Requested populations:</w:t>
            </w:r>
          </w:p>
        </w:tc>
        <w:tc>
          <w:tcPr>
            <w:tcW w:w="3755" w:type="pct"/>
            <w:gridSpan w:val="4"/>
            <w:tcBorders>
              <w:top w:val="single" w:sz="4" w:space="0" w:color="auto"/>
              <w:left w:val="single" w:sz="4" w:space="0" w:color="auto"/>
              <w:bottom w:val="single" w:sz="4" w:space="0" w:color="auto"/>
              <w:right w:val="single" w:sz="4" w:space="0" w:color="auto"/>
            </w:tcBorders>
          </w:tcPr>
          <w:p w14:paraId="6D5B4C7F" w14:textId="77777777" w:rsidR="006C3B6A" w:rsidRPr="00151023" w:rsidRDefault="006C3B6A" w:rsidP="003F7B34">
            <w:pPr>
              <w:pStyle w:val="TableText0"/>
              <w:keepLines/>
              <w:widowControl w:val="0"/>
            </w:pPr>
            <w:r w:rsidRPr="00151023">
              <w:t>All children aged ≥6 months to &lt;5 years</w:t>
            </w:r>
          </w:p>
          <w:p w14:paraId="6292A503" w14:textId="77777777" w:rsidR="006C3B6A" w:rsidRPr="00151023" w:rsidRDefault="006C3B6A" w:rsidP="003F7B34">
            <w:pPr>
              <w:pStyle w:val="TableText0"/>
              <w:keepLines/>
              <w:widowControl w:val="0"/>
            </w:pPr>
            <w:r w:rsidRPr="00151023">
              <w:rPr>
                <w:bCs w:val="0"/>
              </w:rPr>
              <w:t>Aboriginal and Torres Strait Islander</w:t>
            </w:r>
            <w:r w:rsidRPr="00151023">
              <w:t xml:space="preserve"> people aged ≥6 months to &lt;65 years</w:t>
            </w:r>
          </w:p>
          <w:p w14:paraId="2ED14E1D" w14:textId="77777777" w:rsidR="006C3B6A" w:rsidRPr="00151023" w:rsidRDefault="006C3B6A" w:rsidP="003F7B34">
            <w:pPr>
              <w:pStyle w:val="TableText0"/>
              <w:keepLines/>
              <w:widowControl w:val="0"/>
            </w:pPr>
            <w:r w:rsidRPr="00151023">
              <w:t>Persons aged ≥6 months to &lt;65 years who have certain medical conditions that increase the risk of influenza disease complications</w:t>
            </w:r>
          </w:p>
          <w:p w14:paraId="2EAE8933" w14:textId="77777777" w:rsidR="006C3B6A" w:rsidRPr="00151023" w:rsidRDefault="006C3B6A" w:rsidP="003F7B34">
            <w:pPr>
              <w:pStyle w:val="Tabletext"/>
              <w:keepNext/>
              <w:keepLines/>
            </w:pPr>
            <w:r w:rsidRPr="00151023">
              <w:t>Pregnant women.</w:t>
            </w:r>
          </w:p>
        </w:tc>
      </w:tr>
    </w:tbl>
    <w:p w14:paraId="34330D0C" w14:textId="39AA7290" w:rsidR="006C3B6A" w:rsidRPr="00151023" w:rsidRDefault="006C3B6A" w:rsidP="003F7B34">
      <w:pPr>
        <w:pStyle w:val="TableFigureFooter"/>
        <w:keepNext/>
        <w:keepLines/>
      </w:pPr>
      <w:r w:rsidRPr="00151023">
        <w:t xml:space="preserve">Source: Table 1.4.1, p 42 of the </w:t>
      </w:r>
      <w:r w:rsidR="002900B0" w:rsidRPr="00151023">
        <w:t>submission</w:t>
      </w:r>
    </w:p>
    <w:p w14:paraId="258857B5" w14:textId="77777777" w:rsidR="006C3B6A" w:rsidRPr="00151023" w:rsidRDefault="006C3B6A" w:rsidP="003F7B34">
      <w:pPr>
        <w:pStyle w:val="TableFigureFooter"/>
        <w:keepNext/>
        <w:keepLines/>
        <w:spacing w:after="240"/>
      </w:pPr>
      <w:r w:rsidRPr="00151023">
        <w:t>NIP = National Immunisation Program, mL= millilitres</w:t>
      </w:r>
    </w:p>
    <w:p w14:paraId="2CA933E3" w14:textId="66A9EFB0" w:rsidR="00EB3451" w:rsidRPr="00151023" w:rsidRDefault="00EB3451" w:rsidP="00EB3451">
      <w:pPr>
        <w:pStyle w:val="3-BodyText"/>
      </w:pPr>
      <w:r w:rsidRPr="00151023">
        <w:t xml:space="preserve">Under the NIP, QIVc is currently funded for pregnant women, Aboriginal and/or Torres Strait Islander Peoples aged ≥5 to &lt;65 years, and people aged ≥5 years to &lt;65 years with certain medical conditions associated with an increased risk of influenza disease complications. </w:t>
      </w:r>
    </w:p>
    <w:p w14:paraId="5947CE80" w14:textId="2E0A9874" w:rsidR="00EB3451" w:rsidRPr="00151023" w:rsidRDefault="006C3B6A" w:rsidP="006C3B6A">
      <w:pPr>
        <w:pStyle w:val="3-BodyText"/>
      </w:pPr>
      <w:r w:rsidRPr="00151023">
        <w:t xml:space="preserve">The </w:t>
      </w:r>
      <w:r w:rsidR="002900B0" w:rsidRPr="00151023">
        <w:t>submission</w:t>
      </w:r>
      <w:r w:rsidRPr="00151023">
        <w:t xml:space="preserve"> requested </w:t>
      </w:r>
      <w:r w:rsidR="00FC2A61" w:rsidRPr="00151023">
        <w:t xml:space="preserve">extending the </w:t>
      </w:r>
      <w:r w:rsidRPr="00151023">
        <w:t xml:space="preserve">NIP listing </w:t>
      </w:r>
      <w:r w:rsidR="00FC2A61" w:rsidRPr="00151023">
        <w:t>of QIVc to include</w:t>
      </w:r>
      <w:r w:rsidRPr="00151023">
        <w:t xml:space="preserve"> </w:t>
      </w:r>
      <w:r w:rsidR="00E03A2F" w:rsidRPr="00151023">
        <w:t>all children aged 6 months to &lt;5 years</w:t>
      </w:r>
      <w:r w:rsidR="00EB3451" w:rsidRPr="00151023">
        <w:t>, which would align with the current NIP listing of QIVe</w:t>
      </w:r>
      <w:r w:rsidR="00E03A2F" w:rsidRPr="00151023">
        <w:t>.</w:t>
      </w:r>
      <w:r w:rsidRPr="00151023">
        <w:t xml:space="preserve"> </w:t>
      </w:r>
    </w:p>
    <w:p w14:paraId="229375FA" w14:textId="4D5589B7" w:rsidR="0037031C" w:rsidRPr="00151023" w:rsidRDefault="00BF4E99" w:rsidP="006C3B6A">
      <w:pPr>
        <w:pStyle w:val="3-BodyText"/>
      </w:pPr>
      <w:r w:rsidRPr="00151023">
        <w:t>The submission</w:t>
      </w:r>
      <w:r w:rsidR="0037031C" w:rsidRPr="00151023">
        <w:t xml:space="preserve"> </w:t>
      </w:r>
      <w:r w:rsidR="00934CB8" w:rsidRPr="00151023">
        <w:t xml:space="preserve">proposed </w:t>
      </w:r>
      <w:r w:rsidRPr="00151023">
        <w:t>an e</w:t>
      </w:r>
      <w:r w:rsidR="0037031C" w:rsidRPr="00151023">
        <w:t xml:space="preserve">x-manufacturer price per dose </w:t>
      </w:r>
      <w:r w:rsidRPr="00151023">
        <w:t>of</w:t>
      </w:r>
      <w:r w:rsidR="0037031C" w:rsidRPr="00151023">
        <w:t xml:space="preserve"> </w:t>
      </w:r>
      <w:r w:rsidR="0037031C" w:rsidRPr="007364B7">
        <w:t>$</w:t>
      </w:r>
      <w:r w:rsidR="00854D81" w:rsidRPr="00854D81">
        <w:rPr>
          <w:color w:val="000000"/>
          <w:w w:val="60"/>
          <w:shd w:val="solid" w:color="000000" w:fill="000000"/>
          <w:fitText w:val="466" w:id="-962315520"/>
          <w14:textFill>
            <w14:solidFill>
              <w14:srgbClr w14:val="000000">
                <w14:alpha w14:val="100000"/>
              </w14:srgbClr>
            </w14:solidFill>
          </w14:textFill>
        </w:rPr>
        <w:t>|||  ||</w:t>
      </w:r>
      <w:r w:rsidR="00854D81" w:rsidRPr="00854D81">
        <w:rPr>
          <w:color w:val="000000"/>
          <w:spacing w:val="2"/>
          <w:w w:val="60"/>
          <w:shd w:val="solid" w:color="000000" w:fill="000000"/>
          <w:fitText w:val="466" w:id="-962315520"/>
          <w14:textFill>
            <w14:solidFill>
              <w14:srgbClr w14:val="000000">
                <w14:alpha w14:val="100000"/>
              </w14:srgbClr>
            </w14:solidFill>
          </w14:textFill>
        </w:rPr>
        <w:t>|</w:t>
      </w:r>
      <w:r w:rsidR="00AC126F" w:rsidRPr="00151023">
        <w:t xml:space="preserve">, consistent with the </w:t>
      </w:r>
      <w:r w:rsidR="00EC3F48" w:rsidRPr="00151023">
        <w:t>price that w</w:t>
      </w:r>
      <w:r w:rsidR="00530EFE" w:rsidRPr="00151023">
        <w:t xml:space="preserve">as previously recommended by the PBAC </w:t>
      </w:r>
      <w:r w:rsidR="00EC3F48" w:rsidRPr="00151023">
        <w:t xml:space="preserve">for QIVc in </w:t>
      </w:r>
      <w:r w:rsidR="003F7B34" w:rsidRPr="00151023">
        <w:t xml:space="preserve">the existing </w:t>
      </w:r>
      <w:r w:rsidR="00EC3F48" w:rsidRPr="00151023">
        <w:t>NIP-funded population</w:t>
      </w:r>
      <w:r w:rsidR="0037031C" w:rsidRPr="00151023">
        <w:t xml:space="preserve">. </w:t>
      </w:r>
    </w:p>
    <w:p w14:paraId="76D39A6D" w14:textId="196DBD37" w:rsidR="00C50806" w:rsidRPr="00151023" w:rsidRDefault="002705A4" w:rsidP="00F9393E">
      <w:pPr>
        <w:pStyle w:val="3-BodyText"/>
      </w:pPr>
      <w:r w:rsidRPr="00151023">
        <w:t xml:space="preserve">The </w:t>
      </w:r>
      <w:r w:rsidR="002900B0" w:rsidRPr="00151023">
        <w:t>submission</w:t>
      </w:r>
      <w:r w:rsidRPr="00151023">
        <w:t xml:space="preserve"> noted that listing of QIVc was not requested for individuals aged ≥65 years as QIVc was not designed to address </w:t>
      </w:r>
      <w:proofErr w:type="spellStart"/>
      <w:r w:rsidRPr="00151023">
        <w:t>immunosenescence</w:t>
      </w:r>
      <w:proofErr w:type="spellEnd"/>
      <w:r w:rsidRPr="00151023">
        <w:t xml:space="preserve"> from aging, and in Australia, adjuvanted </w:t>
      </w:r>
      <w:proofErr w:type="spellStart"/>
      <w:r w:rsidRPr="00151023">
        <w:t>QIVe</w:t>
      </w:r>
      <w:proofErr w:type="spellEnd"/>
      <w:r w:rsidRPr="00151023">
        <w:t xml:space="preserve"> (</w:t>
      </w:r>
      <w:proofErr w:type="spellStart"/>
      <w:r w:rsidRPr="00151023">
        <w:t>aQIVe</w:t>
      </w:r>
      <w:proofErr w:type="spellEnd"/>
      <w:r w:rsidRPr="00151023">
        <w:t>) is currently funded on the NIP for use in adults aged ≥65 years.</w:t>
      </w:r>
    </w:p>
    <w:p w14:paraId="498D1648" w14:textId="7AFE8DA9" w:rsidR="004F550B" w:rsidRPr="00151023" w:rsidRDefault="004F550B" w:rsidP="004F550B">
      <w:pPr>
        <w:pStyle w:val="3-BodyText"/>
        <w:numPr>
          <w:ilvl w:val="0"/>
          <w:numId w:val="0"/>
        </w:numPr>
        <w:ind w:left="720"/>
        <w:rPr>
          <w:i/>
          <w:iCs/>
        </w:rPr>
      </w:pPr>
      <w:r w:rsidRPr="00151023">
        <w:rPr>
          <w:i/>
          <w:iCs/>
        </w:rPr>
        <w:t>For more detail on PBAC’s view, see section 7 PBAC outcome.</w:t>
      </w:r>
    </w:p>
    <w:p w14:paraId="158AA79B" w14:textId="452EA82C" w:rsidR="00B50DB8" w:rsidRPr="00151023" w:rsidDel="00195452" w:rsidRDefault="00203181" w:rsidP="004E18E9">
      <w:pPr>
        <w:pStyle w:val="2-SectionHeading"/>
      </w:pPr>
      <w:bookmarkStart w:id="11" w:name="_Toc156985367"/>
      <w:r w:rsidRPr="00151023" w:rsidDel="00195452">
        <w:t xml:space="preserve">Population and </w:t>
      </w:r>
      <w:r w:rsidR="008E0D3C" w:rsidRPr="00151023" w:rsidDel="00195452">
        <w:t>d</w:t>
      </w:r>
      <w:r w:rsidRPr="00151023" w:rsidDel="00195452">
        <w:t>isease</w:t>
      </w:r>
      <w:bookmarkEnd w:id="11"/>
    </w:p>
    <w:p w14:paraId="0B20BDAB" w14:textId="26F519F9" w:rsidR="00CD6915" w:rsidRPr="00151023" w:rsidRDefault="00CD6915" w:rsidP="00CD6915">
      <w:pPr>
        <w:pStyle w:val="3-BodyText"/>
      </w:pPr>
      <w:r w:rsidRPr="00151023">
        <w:t xml:space="preserve">Influenza is a highly infectious disease that occurs in epidemics throughout the winter months of temperate climates but can occur year-round in tropical regions. </w:t>
      </w:r>
      <w:r w:rsidR="001B45D8" w:rsidRPr="00151023">
        <w:t>Specifically, influenza A and B viruses cause clinically important human disease and seasonal epidemics.</w:t>
      </w:r>
      <w:r w:rsidRPr="00151023">
        <w:t xml:space="preserve"> Influenza illness is characterised by respiratory/systemic effects which can cause serious illness with complications (pneumonia and exacerbation of many chronic conditions such as asthma, congestive heart failure, and chronic obstructive pulmonary disease). Vulnerable people are at high risk during epidemics and may die of pneumonia or cardiac decompensation</w:t>
      </w:r>
      <w:r w:rsidRPr="00151023">
        <w:rPr>
          <w:rStyle w:val="FootnoteReference"/>
        </w:rPr>
        <w:footnoteReference w:id="2"/>
      </w:r>
      <w:r w:rsidRPr="00151023">
        <w:t xml:space="preserve">. </w:t>
      </w:r>
    </w:p>
    <w:p w14:paraId="043AA1BB" w14:textId="72242224" w:rsidR="001B45D8" w:rsidRPr="00151023" w:rsidRDefault="001B45D8" w:rsidP="00CD6915">
      <w:pPr>
        <w:pStyle w:val="3-BodyText"/>
      </w:pPr>
      <w:r w:rsidRPr="00151023">
        <w:rPr>
          <w:iCs/>
        </w:rPr>
        <w:t>Children are most susceptible to infection by influenza viruses, and young children, particularly those &lt;2 years of age, are at increased risk of severe complications</w:t>
      </w:r>
      <w:r w:rsidRPr="00151023">
        <w:rPr>
          <w:rStyle w:val="FootnoteReference"/>
          <w:iCs/>
        </w:rPr>
        <w:footnoteReference w:id="3"/>
      </w:r>
      <w:r w:rsidRPr="00151023">
        <w:rPr>
          <w:iCs/>
        </w:rPr>
        <w:t>. Moreover, children have been noted to have high influenza transmission potential and an effective vaccine for this age group can have wider public health impacts by preventing the spread to other vulnerable groups, such as older and immunocompromised adults</w:t>
      </w:r>
      <w:r w:rsidRPr="00151023">
        <w:rPr>
          <w:rStyle w:val="FootnoteReference"/>
          <w:iCs/>
        </w:rPr>
        <w:footnoteReference w:id="4"/>
      </w:r>
      <w:r w:rsidRPr="00151023">
        <w:rPr>
          <w:iCs/>
        </w:rPr>
        <w:t>.</w:t>
      </w:r>
      <w:r w:rsidRPr="00151023">
        <w:t xml:space="preserve"> </w:t>
      </w:r>
    </w:p>
    <w:p w14:paraId="0218F675" w14:textId="176B236C" w:rsidR="00CD6915" w:rsidRPr="00151023" w:rsidRDefault="00CD6915" w:rsidP="00CD6915">
      <w:pPr>
        <w:pStyle w:val="3-BodyText"/>
      </w:pPr>
      <w:r w:rsidRPr="00151023">
        <w:t>Influenza viruses are coated with two proteins, haemagglutinin (HA) and neuraminidase (NA). Antibodies against these proteins provide protection against infection. As influenza viruses replicate, there are continual changes from mutations in the genes encoding the HA and NA surface proteins, called antigenic drift. These changes accumulate and existing antibodies become less effective at neutrali</w:t>
      </w:r>
      <w:r w:rsidR="006648F8" w:rsidRPr="00151023">
        <w:t>s</w:t>
      </w:r>
      <w:r w:rsidRPr="00151023">
        <w:t>ing the virus</w:t>
      </w:r>
      <w:r w:rsidR="0041005E" w:rsidRPr="00151023">
        <w:t>.</w:t>
      </w:r>
      <w:r w:rsidRPr="00151023">
        <w:t xml:space="preserve"> Therefore, protection by vaccination requires annual dosing with updated vaccines.</w:t>
      </w:r>
    </w:p>
    <w:p w14:paraId="12B395DD" w14:textId="487AFCD3" w:rsidR="00CD6915" w:rsidRPr="00151023" w:rsidRDefault="00CD6915" w:rsidP="00CD6915">
      <w:pPr>
        <w:pStyle w:val="3-BodyText"/>
      </w:pPr>
      <w:r w:rsidRPr="00151023">
        <w:t>In Australia, vaccine composition is decided by the TGA, with advice from the Australian Influenza Vaccine Committee (AIVC), which examines, among other things, epidemiology, antigenic and genetic characteristics of recent influenza isolates circulating in Australia and the southern hemisphere</w:t>
      </w:r>
      <w:r w:rsidR="0041005E" w:rsidRPr="00151023">
        <w:t xml:space="preserve"> (SH)</w:t>
      </w:r>
      <w:r w:rsidRPr="00151023">
        <w:t xml:space="preserve">. The AIVC meets after the annual </w:t>
      </w:r>
      <w:r w:rsidR="007E7275" w:rsidRPr="00151023">
        <w:t>World Health Organisation (</w:t>
      </w:r>
      <w:r w:rsidRPr="00151023">
        <w:t>WHO</w:t>
      </w:r>
      <w:r w:rsidR="007E7275" w:rsidRPr="00151023">
        <w:t>)</w:t>
      </w:r>
      <w:r w:rsidRPr="00151023">
        <w:t xml:space="preserve"> strain composition meeting and its advice generally aligns with the WHO recommendations, unless there are scientific or practical reasons for variations. Antigenic drift, and mismatch in vaccine and circulating viruses, means vaccine effectiveness can vary across (and within) seasons.</w:t>
      </w:r>
    </w:p>
    <w:p w14:paraId="0E88EAF9" w14:textId="7DBFABED" w:rsidR="00CD6915" w:rsidRPr="00151023" w:rsidRDefault="00CD6915" w:rsidP="00CD6915">
      <w:pPr>
        <w:pStyle w:val="3-BodyText"/>
      </w:pPr>
      <w:r w:rsidRPr="00151023">
        <w:t xml:space="preserve">The traditional manufacturing process for influenza vaccines utilises fertilised chicken eggs. During this process mutations can occur in the receptor binding region of HA, </w:t>
      </w:r>
      <w:r w:rsidR="0041005E" w:rsidRPr="00151023">
        <w:t>which</w:t>
      </w:r>
      <w:r w:rsidRPr="00151023">
        <w:t xml:space="preserve"> can lead to antigenic mismatch to circulating viruses, and reduced vaccine effectiveness</w:t>
      </w:r>
      <w:r w:rsidR="0041005E" w:rsidRPr="00151023">
        <w:t xml:space="preserve"> known as </w:t>
      </w:r>
      <w:r w:rsidRPr="00151023">
        <w:t>egg adaptation</w:t>
      </w:r>
      <w:r w:rsidR="0041005E" w:rsidRPr="00151023">
        <w:t xml:space="preserve">. This is </w:t>
      </w:r>
      <w:r w:rsidRPr="00151023">
        <w:t xml:space="preserve">a particular problem for influenza A/H3N2 and B viruses. Manufacturing influenza vaccines in cell-culture, from cell-derived candidate vaccine viruses, </w:t>
      </w:r>
      <w:r w:rsidR="0041005E" w:rsidRPr="00151023">
        <w:t>wa</w:t>
      </w:r>
      <w:r w:rsidRPr="00151023">
        <w:t>s designed to avoid this issue.</w:t>
      </w:r>
    </w:p>
    <w:p w14:paraId="0B5C0877" w14:textId="6FF2AE21" w:rsidR="004F550B" w:rsidRPr="00151023" w:rsidRDefault="004F550B" w:rsidP="004F550B">
      <w:pPr>
        <w:pStyle w:val="3-BodyText"/>
        <w:numPr>
          <w:ilvl w:val="0"/>
          <w:numId w:val="0"/>
        </w:numPr>
        <w:ind w:left="720"/>
        <w:rPr>
          <w:i/>
          <w:iCs/>
        </w:rPr>
      </w:pPr>
      <w:r w:rsidRPr="00151023">
        <w:rPr>
          <w:i/>
          <w:iCs/>
        </w:rPr>
        <w:t>For more detail on PBAC’s view, see section 7 PBAC outcome.</w:t>
      </w:r>
    </w:p>
    <w:p w14:paraId="0B234DA1" w14:textId="77777777" w:rsidR="00B50DB8" w:rsidRPr="00151023" w:rsidRDefault="00B50DB8" w:rsidP="004E18E9">
      <w:pPr>
        <w:pStyle w:val="2-SectionHeading"/>
      </w:pPr>
      <w:bookmarkStart w:id="12" w:name="_Toc156985368"/>
      <w:r w:rsidRPr="00151023">
        <w:t>Comparator</w:t>
      </w:r>
      <w:bookmarkEnd w:id="12"/>
    </w:p>
    <w:p w14:paraId="3188E4FD" w14:textId="21CC6DD0" w:rsidR="002C2775" w:rsidRPr="00151023" w:rsidRDefault="00CC6B9F" w:rsidP="00A076AA">
      <w:pPr>
        <w:pStyle w:val="3-BodyText"/>
      </w:pPr>
      <w:r w:rsidRPr="00151023">
        <w:rPr>
          <w:snapToGrid/>
        </w:rPr>
        <w:t xml:space="preserve">The submission nominated QIVe as the main comparator which is currently funded by the NIP for the proposed population. </w:t>
      </w:r>
      <w:r w:rsidRPr="00151023">
        <w:rPr>
          <w:iCs/>
          <w:snapToGrid/>
        </w:rPr>
        <w:t xml:space="preserve">The </w:t>
      </w:r>
      <w:r w:rsidR="00184E12" w:rsidRPr="00151023">
        <w:rPr>
          <w:iCs/>
          <w:snapToGrid/>
        </w:rPr>
        <w:t>evaluat</w:t>
      </w:r>
      <w:r w:rsidR="003F0FA9" w:rsidRPr="00151023">
        <w:rPr>
          <w:iCs/>
          <w:snapToGrid/>
        </w:rPr>
        <w:t>ion</w:t>
      </w:r>
      <w:r w:rsidR="00184E12" w:rsidRPr="00151023">
        <w:rPr>
          <w:iCs/>
          <w:snapToGrid/>
        </w:rPr>
        <w:t xml:space="preserve"> considered the </w:t>
      </w:r>
      <w:r w:rsidRPr="00151023">
        <w:rPr>
          <w:iCs/>
          <w:snapToGrid/>
        </w:rPr>
        <w:t>comparator appropriate</w:t>
      </w:r>
      <w:r w:rsidRPr="00151023">
        <w:rPr>
          <w:snapToGrid/>
        </w:rPr>
        <w:t>.</w:t>
      </w:r>
    </w:p>
    <w:p w14:paraId="62CD84ED" w14:textId="0EA0645B" w:rsidR="004F550B" w:rsidRPr="00151023" w:rsidRDefault="004F550B" w:rsidP="004F550B">
      <w:pPr>
        <w:pStyle w:val="3-BodyText"/>
        <w:numPr>
          <w:ilvl w:val="0"/>
          <w:numId w:val="0"/>
        </w:numPr>
        <w:ind w:left="720"/>
        <w:rPr>
          <w:i/>
          <w:iCs/>
        </w:rPr>
      </w:pPr>
      <w:r w:rsidRPr="00151023">
        <w:rPr>
          <w:i/>
          <w:iCs/>
        </w:rPr>
        <w:t>For more detail on PBAC’s view, see section 7 PBAC outcome.</w:t>
      </w:r>
    </w:p>
    <w:p w14:paraId="4B98C8C6" w14:textId="77777777" w:rsidR="00223D5A" w:rsidRPr="00151023" w:rsidRDefault="00223D5A" w:rsidP="00223D5A">
      <w:pPr>
        <w:pStyle w:val="2-SectionHeading"/>
        <w:numPr>
          <w:ilvl w:val="0"/>
          <w:numId w:val="1"/>
        </w:numPr>
      </w:pPr>
      <w:bookmarkStart w:id="13" w:name="_Toc156985369"/>
      <w:bookmarkStart w:id="14" w:name="_Toc22897640"/>
      <w:r w:rsidRPr="00151023">
        <w:t>Consideration of the evidence</w:t>
      </w:r>
      <w:bookmarkEnd w:id="13"/>
    </w:p>
    <w:p w14:paraId="275F8E54" w14:textId="77777777" w:rsidR="004F550B" w:rsidRPr="00151023" w:rsidRDefault="004F550B" w:rsidP="004F550B">
      <w:pPr>
        <w:pStyle w:val="4-SubsectionHeading"/>
      </w:pPr>
      <w:bookmarkStart w:id="15" w:name="_Hlk76375935"/>
      <w:r w:rsidRPr="00151023">
        <w:t>Sponsor hearing</w:t>
      </w:r>
    </w:p>
    <w:p w14:paraId="20F46CD2" w14:textId="12A9C791" w:rsidR="004F550B" w:rsidRPr="00151023" w:rsidRDefault="004F550B" w:rsidP="004F550B">
      <w:pPr>
        <w:widowControl w:val="0"/>
        <w:numPr>
          <w:ilvl w:val="1"/>
          <w:numId w:val="1"/>
        </w:numPr>
        <w:spacing w:after="120"/>
        <w:jc w:val="left"/>
        <w:rPr>
          <w:rFonts w:cs="Calibri"/>
          <w:bCs/>
          <w:snapToGrid w:val="0"/>
          <w:lang w:eastAsia="en-US"/>
        </w:rPr>
      </w:pPr>
      <w:r w:rsidRPr="00151023">
        <w:rPr>
          <w:rFonts w:cs="Calibri"/>
          <w:bCs/>
          <w:snapToGrid w:val="0"/>
          <w:lang w:eastAsia="en-US"/>
        </w:rPr>
        <w:t>There was no hearing for this item.</w:t>
      </w:r>
    </w:p>
    <w:p w14:paraId="7259038F" w14:textId="77777777" w:rsidR="004F550B" w:rsidRPr="00151023" w:rsidRDefault="004F550B" w:rsidP="004F550B">
      <w:pPr>
        <w:pStyle w:val="4-SubsectionHeading"/>
      </w:pPr>
      <w:r w:rsidRPr="00151023">
        <w:t>Consumer comments</w:t>
      </w:r>
    </w:p>
    <w:p w14:paraId="07EF3AFA" w14:textId="77777777" w:rsidR="00546181" w:rsidRPr="00151023" w:rsidRDefault="004F550B" w:rsidP="00AC126F">
      <w:pPr>
        <w:widowControl w:val="0"/>
        <w:numPr>
          <w:ilvl w:val="1"/>
          <w:numId w:val="1"/>
        </w:numPr>
        <w:spacing w:after="120"/>
        <w:rPr>
          <w:rFonts w:asciiTheme="minorHAnsi" w:hAnsiTheme="minorHAnsi"/>
          <w:bCs/>
          <w:snapToGrid w:val="0"/>
          <w:lang w:eastAsia="en-US"/>
        </w:rPr>
      </w:pPr>
      <w:bookmarkStart w:id="16" w:name="_Hlk76382618"/>
      <w:r w:rsidRPr="00151023">
        <w:rPr>
          <w:rFonts w:asciiTheme="minorHAnsi" w:hAnsiTheme="minorHAnsi"/>
          <w:bCs/>
          <w:snapToGrid w:val="0"/>
          <w:lang w:eastAsia="en-US"/>
        </w:rPr>
        <w:t xml:space="preserve">The PBAC noted and welcomed the input from </w:t>
      </w:r>
      <w:r w:rsidR="00546181" w:rsidRPr="00151023">
        <w:rPr>
          <w:rFonts w:asciiTheme="minorHAnsi" w:hAnsiTheme="minorHAnsi"/>
          <w:bCs/>
          <w:snapToGrid w:val="0"/>
          <w:lang w:eastAsia="en-US"/>
        </w:rPr>
        <w:t>1 organisation via the Consumer Comments facility on the PBS website.</w:t>
      </w:r>
    </w:p>
    <w:p w14:paraId="1BEF93E9" w14:textId="395FEF8B" w:rsidR="00546181" w:rsidRPr="00151023" w:rsidRDefault="00546181" w:rsidP="00EE1D5D">
      <w:pPr>
        <w:widowControl w:val="0"/>
        <w:numPr>
          <w:ilvl w:val="1"/>
          <w:numId w:val="1"/>
        </w:numPr>
        <w:spacing w:after="120"/>
        <w:rPr>
          <w:rFonts w:asciiTheme="minorHAnsi" w:hAnsiTheme="minorHAnsi"/>
          <w:bCs/>
          <w:snapToGrid w:val="0"/>
          <w:lang w:eastAsia="en-US"/>
        </w:rPr>
      </w:pPr>
      <w:r w:rsidRPr="00151023">
        <w:rPr>
          <w:rFonts w:asciiTheme="minorHAnsi" w:hAnsiTheme="minorHAnsi"/>
          <w:bCs/>
          <w:snapToGrid w:val="0"/>
          <w:lang w:eastAsia="en-US"/>
        </w:rPr>
        <w:t>Lung Foundation Australia expressed its support for the NIP listing of QIVc for</w:t>
      </w:r>
      <w:r w:rsidR="00DB6EA2" w:rsidRPr="00151023">
        <w:rPr>
          <w:rFonts w:asciiTheme="minorHAnsi" w:hAnsiTheme="minorHAnsi"/>
          <w:bCs/>
          <w:snapToGrid w:val="0"/>
          <w:lang w:eastAsia="en-US"/>
        </w:rPr>
        <w:t xml:space="preserve"> </w:t>
      </w:r>
      <w:r w:rsidR="00FD5ABE" w:rsidRPr="00151023">
        <w:rPr>
          <w:rFonts w:asciiTheme="minorHAnsi" w:hAnsiTheme="minorHAnsi"/>
          <w:bCs/>
          <w:snapToGrid w:val="0"/>
          <w:lang w:eastAsia="en-US"/>
        </w:rPr>
        <w:t>people</w:t>
      </w:r>
      <w:r w:rsidR="00DB6EA2" w:rsidRPr="00151023">
        <w:rPr>
          <w:rFonts w:asciiTheme="minorHAnsi" w:hAnsiTheme="minorHAnsi"/>
          <w:bCs/>
          <w:snapToGrid w:val="0"/>
          <w:lang w:eastAsia="en-US"/>
        </w:rPr>
        <w:t xml:space="preserve"> aged 6 months and older. </w:t>
      </w:r>
      <w:r w:rsidR="00F13212" w:rsidRPr="00151023">
        <w:rPr>
          <w:bCs/>
          <w:snapToGrid w:val="0"/>
        </w:rPr>
        <w:t xml:space="preserve">The organisation emphasised the potential benefits of reducing the burden of illness associated with influenza, particularly among children. Lung Foundation Australia noted that availability of </w:t>
      </w:r>
      <w:r w:rsidR="00F13212" w:rsidRPr="00151023">
        <w:t xml:space="preserve">QIVc for </w:t>
      </w:r>
      <w:r w:rsidR="00FD5ABE" w:rsidRPr="00151023">
        <w:t>people</w:t>
      </w:r>
      <w:r w:rsidR="00F13212" w:rsidRPr="00151023">
        <w:t xml:space="preserve"> aged 6 months and older through the NIP</w:t>
      </w:r>
      <w:r w:rsidR="00F13212" w:rsidRPr="00151023">
        <w:rPr>
          <w:bCs/>
          <w:snapToGrid w:val="0"/>
        </w:rPr>
        <w:t xml:space="preserve"> would provide Australians with an alternate supply of influenza vaccine, ensuring continued access when needed. Lung Foundation Australia also noted the benefits of reducing the risk of disease associated with influenza outbreaks and minimising the economic and social burden associated with illness. </w:t>
      </w:r>
    </w:p>
    <w:p w14:paraId="3F5B30B1" w14:textId="7C1BB50B" w:rsidR="00B60939" w:rsidRPr="00151023" w:rsidRDefault="00B60939" w:rsidP="002E4F02">
      <w:pPr>
        <w:pStyle w:val="4-SubsectionHeading"/>
      </w:pPr>
      <w:bookmarkStart w:id="17" w:name="_Toc156985370"/>
      <w:bookmarkEnd w:id="15"/>
      <w:bookmarkEnd w:id="16"/>
      <w:r w:rsidRPr="00151023">
        <w:t xml:space="preserve">Clinical </w:t>
      </w:r>
      <w:r w:rsidR="00D5243B" w:rsidRPr="00151023">
        <w:t>studies</w:t>
      </w:r>
      <w:bookmarkEnd w:id="14"/>
      <w:bookmarkEnd w:id="17"/>
    </w:p>
    <w:p w14:paraId="689C1AAB" w14:textId="1B93E14F" w:rsidR="00490E74" w:rsidRPr="00151023" w:rsidRDefault="00490E74" w:rsidP="00490E74">
      <w:pPr>
        <w:pStyle w:val="3-BodyText"/>
      </w:pPr>
      <w:r w:rsidRPr="00151023">
        <w:t xml:space="preserve">The </w:t>
      </w:r>
      <w:r w:rsidR="002900B0" w:rsidRPr="00151023">
        <w:t>submission</w:t>
      </w:r>
      <w:r w:rsidRPr="00151023">
        <w:t xml:space="preserve"> was based on:</w:t>
      </w:r>
    </w:p>
    <w:p w14:paraId="5EF415F2" w14:textId="2EF00558" w:rsidR="00490E74" w:rsidRPr="00CC3F0C" w:rsidRDefault="00490E74" w:rsidP="00CA21EE">
      <w:pPr>
        <w:pStyle w:val="3-BodyText"/>
        <w:numPr>
          <w:ilvl w:val="0"/>
          <w:numId w:val="10"/>
        </w:numPr>
      </w:pPr>
      <w:r w:rsidRPr="00CC3F0C">
        <w:t xml:space="preserve">a retrospective test-negative design (TND) study (V130_67) comparing QIVc versus QIVe in preventing outpatient test-confirmed influenza in </w:t>
      </w:r>
      <w:r w:rsidR="00FD5ABE" w:rsidRPr="00CC3F0C">
        <w:t>people</w:t>
      </w:r>
      <w:r w:rsidR="00EE1D5D" w:rsidRPr="00CC3F0C">
        <w:t xml:space="preserve"> </w:t>
      </w:r>
      <w:r w:rsidRPr="00CC3F0C">
        <w:t>aged 4 to 64 years in the Northern Hemisphere (U</w:t>
      </w:r>
      <w:r w:rsidR="002A7987" w:rsidRPr="00CC3F0C">
        <w:t xml:space="preserve">nited </w:t>
      </w:r>
      <w:r w:rsidRPr="00CC3F0C">
        <w:t>S</w:t>
      </w:r>
      <w:r w:rsidR="002A7987" w:rsidRPr="00CC3F0C">
        <w:t>tates</w:t>
      </w:r>
      <w:r w:rsidRPr="00CC3F0C">
        <w:t xml:space="preserve">) over three influenza seasons (2017-18, 2018-19, 2019-20). </w:t>
      </w:r>
      <w:r w:rsidR="0016373C" w:rsidRPr="00CC3F0C">
        <w:rPr>
          <w:rFonts w:eastAsia="Calibri"/>
        </w:rPr>
        <w:t>The submission noted that the V130_67 study represents</w:t>
      </w:r>
      <w:r w:rsidRPr="00CC3F0C">
        <w:rPr>
          <w:rFonts w:eastAsia="Calibri"/>
        </w:rPr>
        <w:t xml:space="preserve"> additional evidence to that previously considered by the PBAC in the September 2022 Intracycle meeting to support the claim that QIVc is superior in effectiveness to QIVe</w:t>
      </w:r>
      <w:r w:rsidRPr="00CC3F0C">
        <w:t>.</w:t>
      </w:r>
      <w:r w:rsidR="00F52B70" w:rsidRPr="00CC3F0C">
        <w:t xml:space="preserve"> As the request for the PBAC to consider this claim was withdrawn in</w:t>
      </w:r>
      <w:r w:rsidR="006D6A9E" w:rsidRPr="00CC3F0C">
        <w:t xml:space="preserve"> the</w:t>
      </w:r>
      <w:r w:rsidR="00F52B70" w:rsidRPr="00CC3F0C">
        <w:t xml:space="preserve"> pre-PBAC response, the </w:t>
      </w:r>
      <w:r w:rsidR="00F52B70" w:rsidRPr="00CC3F0C">
        <w:rPr>
          <w:rFonts w:eastAsia="Calibri"/>
        </w:rPr>
        <w:t>V130_67 study was not considered by the PBAC and is not presented below.</w:t>
      </w:r>
    </w:p>
    <w:p w14:paraId="31473DD6" w14:textId="48AF7D19" w:rsidR="00A76DE3" w:rsidRPr="00151023" w:rsidRDefault="00490E74" w:rsidP="00CA21EE">
      <w:pPr>
        <w:pStyle w:val="3-BodyText"/>
        <w:numPr>
          <w:ilvl w:val="0"/>
          <w:numId w:val="10"/>
        </w:numPr>
      </w:pPr>
      <w:r w:rsidRPr="00151023">
        <w:rPr>
          <w:snapToGrid/>
        </w:rPr>
        <w:t>a direct randomised controlled trial (V130_10) (Essink 2022</w:t>
      </w:r>
      <w:r w:rsidR="00762DF3" w:rsidRPr="00151023">
        <w:rPr>
          <w:snapToGrid/>
        </w:rPr>
        <w:t>)</w:t>
      </w:r>
      <w:r w:rsidRPr="00151023">
        <w:rPr>
          <w:snapToGrid/>
        </w:rPr>
        <w:t xml:space="preserve"> assessing the non-inferiority of QIVc compared to QIVe in terms of immunogenicity </w:t>
      </w:r>
      <w:r w:rsidR="00023DB8" w:rsidRPr="00151023">
        <w:rPr>
          <w:snapToGrid/>
        </w:rPr>
        <w:t xml:space="preserve">(as measured by HAI assay for A/H1N1, B/Yamagata, and B/Victoria strains and by MN assay for A/H3N2 strain using cell-derived target viruses) </w:t>
      </w:r>
      <w:r w:rsidRPr="00151023">
        <w:rPr>
          <w:snapToGrid/>
        </w:rPr>
        <w:t xml:space="preserve">and safety in healthy </w:t>
      </w:r>
      <w:r w:rsidR="00FD5ABE" w:rsidRPr="00151023">
        <w:rPr>
          <w:snapToGrid/>
        </w:rPr>
        <w:t>children</w:t>
      </w:r>
      <w:r w:rsidR="00EE1D5D" w:rsidRPr="00151023">
        <w:rPr>
          <w:snapToGrid/>
        </w:rPr>
        <w:t xml:space="preserve"> </w:t>
      </w:r>
      <w:r w:rsidRPr="00151023">
        <w:rPr>
          <w:snapToGrid/>
        </w:rPr>
        <w:t>aged 6</w:t>
      </w:r>
      <w:r w:rsidR="00A76DE3" w:rsidRPr="00151023">
        <w:rPr>
          <w:snapToGrid/>
        </w:rPr>
        <w:t xml:space="preserve"> months</w:t>
      </w:r>
      <w:r w:rsidRPr="00151023">
        <w:rPr>
          <w:snapToGrid/>
        </w:rPr>
        <w:t xml:space="preserve"> to 47 months</w:t>
      </w:r>
      <w:r w:rsidR="00023DB8" w:rsidRPr="00151023">
        <w:rPr>
          <w:snapToGrid/>
        </w:rPr>
        <w:t xml:space="preserve"> </w:t>
      </w:r>
      <w:r w:rsidRPr="00151023">
        <w:rPr>
          <w:snapToGrid/>
        </w:rPr>
        <w:t>during the 2019-2020 influenza season in the U</w:t>
      </w:r>
      <w:r w:rsidR="002A7987" w:rsidRPr="00151023">
        <w:rPr>
          <w:snapToGrid/>
        </w:rPr>
        <w:t xml:space="preserve">nited </w:t>
      </w:r>
      <w:r w:rsidRPr="00151023">
        <w:rPr>
          <w:snapToGrid/>
        </w:rPr>
        <w:t>S</w:t>
      </w:r>
      <w:r w:rsidR="002A7987" w:rsidRPr="00151023">
        <w:rPr>
          <w:snapToGrid/>
        </w:rPr>
        <w:t>tates (US)</w:t>
      </w:r>
      <w:r w:rsidRPr="00151023">
        <w:rPr>
          <w:snapToGrid/>
        </w:rPr>
        <w:t xml:space="preserve">. The </w:t>
      </w:r>
      <w:r w:rsidR="002900B0" w:rsidRPr="00151023">
        <w:rPr>
          <w:snapToGrid/>
        </w:rPr>
        <w:t>submission</w:t>
      </w:r>
      <w:r w:rsidRPr="00151023">
        <w:rPr>
          <w:snapToGrid/>
        </w:rPr>
        <w:t xml:space="preserve"> used this study to demonstrate that QIVc has a non-inferior immune response and </w:t>
      </w:r>
      <w:r w:rsidR="00A76DE3" w:rsidRPr="00151023">
        <w:rPr>
          <w:snapToGrid/>
        </w:rPr>
        <w:t xml:space="preserve">a comparable </w:t>
      </w:r>
      <w:r w:rsidRPr="00151023">
        <w:rPr>
          <w:snapToGrid/>
        </w:rPr>
        <w:t xml:space="preserve">safety profile </w:t>
      </w:r>
      <w:r w:rsidR="00A76DE3" w:rsidRPr="00151023">
        <w:rPr>
          <w:snapToGrid/>
        </w:rPr>
        <w:t>versus</w:t>
      </w:r>
      <w:r w:rsidRPr="00151023">
        <w:rPr>
          <w:snapToGrid/>
        </w:rPr>
        <w:t xml:space="preserve"> QIVe. </w:t>
      </w:r>
      <w:r w:rsidRPr="00151023">
        <w:rPr>
          <w:iCs/>
          <w:snapToGrid/>
        </w:rPr>
        <w:t xml:space="preserve">Safety data from this study </w:t>
      </w:r>
      <w:r w:rsidR="00023DB8" w:rsidRPr="00151023">
        <w:rPr>
          <w:iCs/>
          <w:snapToGrid/>
        </w:rPr>
        <w:t>have been</w:t>
      </w:r>
      <w:r w:rsidRPr="00151023">
        <w:rPr>
          <w:iCs/>
          <w:snapToGrid/>
        </w:rPr>
        <w:t xml:space="preserve"> </w:t>
      </w:r>
      <w:r w:rsidR="00023DB8" w:rsidRPr="00151023">
        <w:rPr>
          <w:iCs/>
          <w:snapToGrid/>
        </w:rPr>
        <w:t xml:space="preserve">previously </w:t>
      </w:r>
      <w:r w:rsidRPr="00151023">
        <w:rPr>
          <w:iCs/>
          <w:snapToGrid/>
        </w:rPr>
        <w:t>considered by the PBAC in the September 2022 PBAC Intracycle Meeting</w:t>
      </w:r>
      <w:r w:rsidR="00A76DE3" w:rsidRPr="00151023">
        <w:rPr>
          <w:iCs/>
          <w:snapToGrid/>
        </w:rPr>
        <w:t>.</w:t>
      </w:r>
      <w:r w:rsidR="005A3625" w:rsidRPr="00151023">
        <w:rPr>
          <w:iCs/>
          <w:snapToGrid/>
        </w:rPr>
        <w:t xml:space="preserve"> </w:t>
      </w:r>
    </w:p>
    <w:p w14:paraId="2867CB32" w14:textId="3E0F0383" w:rsidR="007F1017" w:rsidRPr="00151023" w:rsidRDefault="00A76DE3" w:rsidP="00CA21EE">
      <w:pPr>
        <w:pStyle w:val="3-BodyText"/>
        <w:numPr>
          <w:ilvl w:val="0"/>
          <w:numId w:val="10"/>
        </w:numPr>
      </w:pPr>
      <w:r w:rsidRPr="00151023">
        <w:rPr>
          <w:snapToGrid/>
        </w:rPr>
        <w:t xml:space="preserve">a supportive randomised controlled trial (V130_12) comparing QIVc with a </w:t>
      </w:r>
      <w:r w:rsidRPr="00151023">
        <w:rPr>
          <w:iCs/>
          <w:snapToGrid/>
        </w:rPr>
        <w:t>non-influenza</w:t>
      </w:r>
      <w:r w:rsidRPr="00151023">
        <w:rPr>
          <w:snapToGrid/>
        </w:rPr>
        <w:t xml:space="preserve"> vaccine comparator (Menveo®, Meningococcal ACWY vaccine) in children 2 to &lt;18 years of age. The </w:t>
      </w:r>
      <w:r w:rsidR="002900B0" w:rsidRPr="00151023">
        <w:rPr>
          <w:snapToGrid/>
        </w:rPr>
        <w:t>submission</w:t>
      </w:r>
      <w:r w:rsidRPr="00151023">
        <w:rPr>
          <w:snapToGrid/>
        </w:rPr>
        <w:t xml:space="preserve"> noted that V130_12 was excluded from the main body of the previous submission and ‘does not take a central place’ in current evidence base, as it did not include QIVe as the comparator arm. The </w:t>
      </w:r>
      <w:r w:rsidR="002900B0" w:rsidRPr="00151023">
        <w:rPr>
          <w:snapToGrid/>
        </w:rPr>
        <w:t>submission</w:t>
      </w:r>
      <w:r w:rsidRPr="00151023">
        <w:rPr>
          <w:snapToGrid/>
        </w:rPr>
        <w:t xml:space="preserve"> used this study to demonstrate that the </w:t>
      </w:r>
      <w:r w:rsidRPr="00151023">
        <w:rPr>
          <w:iCs/>
          <w:snapToGrid/>
        </w:rPr>
        <w:t>absolute</w:t>
      </w:r>
      <w:r w:rsidRPr="00151023">
        <w:rPr>
          <w:snapToGrid/>
        </w:rPr>
        <w:t xml:space="preserve"> efficacy of QIVc was consistent across different age groups (≥2 to &lt;4 years, ≥4 to &lt;18 years; ≥2 to &lt;9 years and ≥9 to &lt;18 years).</w:t>
      </w:r>
      <w:r w:rsidR="00490E74" w:rsidRPr="00151023">
        <w:rPr>
          <w:snapToGrid/>
        </w:rPr>
        <w:t xml:space="preserve"> </w:t>
      </w:r>
    </w:p>
    <w:p w14:paraId="30EB0F49" w14:textId="451FB064" w:rsidR="00862502" w:rsidRPr="00151023" w:rsidRDefault="00A73134" w:rsidP="002E4F02">
      <w:pPr>
        <w:pStyle w:val="3-BodyText"/>
      </w:pPr>
      <w:r w:rsidRPr="00151023">
        <w:rPr>
          <w:snapToGrid/>
        </w:rPr>
        <w:t xml:space="preserve">Details of the </w:t>
      </w:r>
      <w:r w:rsidR="00D5243B" w:rsidRPr="00151023">
        <w:rPr>
          <w:snapToGrid/>
        </w:rPr>
        <w:t>studies</w:t>
      </w:r>
      <w:r w:rsidRPr="00151023">
        <w:rPr>
          <w:snapToGrid/>
        </w:rPr>
        <w:t xml:space="preserve"> </w:t>
      </w:r>
      <w:r w:rsidR="00481504" w:rsidRPr="00151023">
        <w:rPr>
          <w:snapToGrid/>
        </w:rPr>
        <w:t>included</w:t>
      </w:r>
      <w:r w:rsidRPr="00151023">
        <w:rPr>
          <w:snapToGrid/>
        </w:rPr>
        <w:t xml:space="preserve"> in the </w:t>
      </w:r>
      <w:r w:rsidR="002900B0" w:rsidRPr="00151023">
        <w:rPr>
          <w:snapToGrid/>
        </w:rPr>
        <w:t>submission</w:t>
      </w:r>
      <w:r w:rsidRPr="00151023">
        <w:rPr>
          <w:snapToGrid/>
        </w:rPr>
        <w:t xml:space="preserve"> are provided in </w:t>
      </w:r>
      <w:r w:rsidR="00696EF9" w:rsidRPr="00151023">
        <w:rPr>
          <w:snapToGrid/>
        </w:rPr>
        <w:fldChar w:fldCharType="begin" w:fldLock="1"/>
      </w:r>
      <w:r w:rsidR="00696EF9" w:rsidRPr="00151023">
        <w:rPr>
          <w:snapToGrid/>
        </w:rPr>
        <w:instrText xml:space="preserve"> REF _Ref104803956 \h </w:instrText>
      </w:r>
      <w:r w:rsidR="00696EF9" w:rsidRPr="00151023">
        <w:rPr>
          <w:snapToGrid/>
        </w:rPr>
      </w:r>
      <w:r w:rsidR="00696EF9" w:rsidRPr="00151023">
        <w:rPr>
          <w:snapToGrid/>
        </w:rPr>
        <w:fldChar w:fldCharType="separate"/>
      </w:r>
      <w:r w:rsidR="00603A66" w:rsidRPr="00151023">
        <w:t>Table 2</w:t>
      </w:r>
      <w:r w:rsidR="00696EF9" w:rsidRPr="00151023">
        <w:rPr>
          <w:snapToGrid/>
        </w:rPr>
        <w:fldChar w:fldCharType="end"/>
      </w:r>
      <w:r w:rsidRPr="00151023">
        <w:rPr>
          <w:snapToGrid/>
        </w:rPr>
        <w:t>.</w:t>
      </w:r>
      <w:r w:rsidR="00BC591F" w:rsidRPr="00151023">
        <w:rPr>
          <w:snapToGrid/>
        </w:rPr>
        <w:t xml:space="preserve"> </w:t>
      </w:r>
    </w:p>
    <w:p w14:paraId="36ACB276" w14:textId="3E16E3BD" w:rsidR="00481504" w:rsidRPr="00151023" w:rsidRDefault="00696EF9" w:rsidP="00481504">
      <w:pPr>
        <w:pStyle w:val="TableHeading0"/>
        <w:rPr>
          <w:rStyle w:val="CommentReference"/>
          <w:b/>
          <w:szCs w:val="22"/>
        </w:rPr>
      </w:pPr>
      <w:bookmarkStart w:id="18" w:name="_Ref104803956"/>
      <w:r w:rsidRPr="00151023">
        <w:t xml:space="preserve">Table </w:t>
      </w:r>
      <w:fldSimple w:instr=" SEQ Table \* ARABIC " w:fldLock="1">
        <w:r w:rsidR="00603A66" w:rsidRPr="00151023">
          <w:t>2</w:t>
        </w:r>
      </w:fldSimple>
      <w:bookmarkEnd w:id="18"/>
      <w:r w:rsidRPr="00151023">
        <w:t>:</w:t>
      </w:r>
      <w:r w:rsidR="00BC591F" w:rsidRPr="00151023">
        <w:rPr>
          <w:rStyle w:val="CommentReference"/>
          <w:b/>
          <w:szCs w:val="24"/>
        </w:rPr>
        <w:t xml:space="preserve"> </w:t>
      </w:r>
      <w:r w:rsidR="00481504" w:rsidRPr="00151023">
        <w:rPr>
          <w:rStyle w:val="CommentReference"/>
          <w:b/>
          <w:szCs w:val="22"/>
        </w:rPr>
        <w:t>Trials/observational studies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5400"/>
        <w:gridCol w:w="2115"/>
      </w:tblGrid>
      <w:tr w:rsidR="00481504" w:rsidRPr="00151023" w14:paraId="16BDFE51" w14:textId="77777777" w:rsidTr="004469E4">
        <w:trPr>
          <w:cantSplit/>
          <w:trHeight w:val="113"/>
          <w:tblHeader/>
        </w:trPr>
        <w:tc>
          <w:tcPr>
            <w:tcW w:w="1470" w:type="dxa"/>
            <w:vAlign w:val="center"/>
          </w:tcPr>
          <w:p w14:paraId="1A473794"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b/>
                <w:bCs/>
                <w:color w:val="000000" w:themeColor="text1"/>
                <w:sz w:val="20"/>
                <w:szCs w:val="20"/>
              </w:rPr>
              <w:t xml:space="preserve">Trial ID </w:t>
            </w:r>
          </w:p>
        </w:tc>
        <w:tc>
          <w:tcPr>
            <w:tcW w:w="5400" w:type="dxa"/>
            <w:vAlign w:val="center"/>
          </w:tcPr>
          <w:p w14:paraId="392BF305"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b/>
                <w:bCs/>
                <w:color w:val="000000" w:themeColor="text1"/>
                <w:sz w:val="20"/>
                <w:szCs w:val="20"/>
              </w:rPr>
              <w:t xml:space="preserve">Protocol title/ Publication title </w:t>
            </w:r>
          </w:p>
        </w:tc>
        <w:tc>
          <w:tcPr>
            <w:tcW w:w="2115" w:type="dxa"/>
          </w:tcPr>
          <w:p w14:paraId="6616E0E1"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b/>
                <w:bCs/>
                <w:color w:val="000000" w:themeColor="text1"/>
                <w:sz w:val="20"/>
                <w:szCs w:val="20"/>
              </w:rPr>
              <w:t xml:space="preserve">Publication citation </w:t>
            </w:r>
          </w:p>
        </w:tc>
      </w:tr>
      <w:tr w:rsidR="00481504" w:rsidRPr="00151023" w14:paraId="487FCF7D" w14:textId="77777777" w:rsidTr="004469E4">
        <w:trPr>
          <w:cantSplit/>
          <w:trHeight w:val="113"/>
        </w:trPr>
        <w:tc>
          <w:tcPr>
            <w:tcW w:w="8985" w:type="dxa"/>
            <w:gridSpan w:val="3"/>
          </w:tcPr>
          <w:p w14:paraId="11D23675" w14:textId="74B33457" w:rsidR="00481504" w:rsidRPr="00151023" w:rsidRDefault="00481504" w:rsidP="00D4374D">
            <w:pPr>
              <w:keepNext/>
              <w:widowControl w:val="0"/>
              <w:rPr>
                <w:rFonts w:ascii="Arial Narrow" w:eastAsia="Arial Narrow" w:hAnsi="Arial Narrow" w:cs="Arial Narrow"/>
                <w:b/>
                <w:bCs/>
                <w:color w:val="000000" w:themeColor="text1"/>
                <w:sz w:val="20"/>
                <w:szCs w:val="20"/>
              </w:rPr>
            </w:pPr>
            <w:r w:rsidRPr="00151023">
              <w:rPr>
                <w:rFonts w:ascii="Arial Narrow" w:eastAsia="Arial Narrow" w:hAnsi="Arial Narrow" w:cs="Arial Narrow"/>
                <w:b/>
                <w:bCs/>
                <w:color w:val="000000" w:themeColor="text1"/>
                <w:sz w:val="20"/>
                <w:szCs w:val="20"/>
              </w:rPr>
              <w:t xml:space="preserve">Direct randomised controlled trial </w:t>
            </w:r>
            <w:r w:rsidR="00F751DB" w:rsidRPr="00151023">
              <w:rPr>
                <w:rFonts w:ascii="Arial Narrow" w:eastAsia="Arial Narrow" w:hAnsi="Arial Narrow" w:cs="Arial Narrow"/>
                <w:b/>
                <w:bCs/>
                <w:color w:val="000000" w:themeColor="text1"/>
                <w:sz w:val="20"/>
                <w:szCs w:val="20"/>
              </w:rPr>
              <w:t>(immunogenicity outcomes and safety)</w:t>
            </w:r>
          </w:p>
        </w:tc>
      </w:tr>
      <w:tr w:rsidR="00481504" w:rsidRPr="00151023" w14:paraId="665379F4" w14:textId="77777777" w:rsidTr="004469E4">
        <w:trPr>
          <w:cantSplit/>
          <w:trHeight w:val="113"/>
        </w:trPr>
        <w:tc>
          <w:tcPr>
            <w:tcW w:w="1470" w:type="dxa"/>
            <w:vAlign w:val="center"/>
          </w:tcPr>
          <w:p w14:paraId="6A47D5F5" w14:textId="1904143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V130_10 NCT04074928</w:t>
            </w:r>
          </w:p>
        </w:tc>
        <w:tc>
          <w:tcPr>
            <w:tcW w:w="5400" w:type="dxa"/>
            <w:vAlign w:val="center"/>
          </w:tcPr>
          <w:p w14:paraId="60E81941"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A phase 3, randomised, observer-blind, multicenter, noninferiority study to evaluate safety and immunogenicity of a cell-based quadrivalent subunit influenza virus vaccine (QIVc) and a United States-licensed quadrivalent influenza virus vaccine (QIV) in healthy subjects 6 months through 47 months.</w:t>
            </w:r>
          </w:p>
        </w:tc>
        <w:tc>
          <w:tcPr>
            <w:tcW w:w="2115" w:type="dxa"/>
          </w:tcPr>
          <w:p w14:paraId="431DB91E"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November 2020</w:t>
            </w:r>
          </w:p>
        </w:tc>
      </w:tr>
      <w:tr w:rsidR="00481504" w:rsidRPr="00151023" w14:paraId="40D3F796" w14:textId="77777777" w:rsidTr="004469E4">
        <w:trPr>
          <w:cantSplit/>
          <w:trHeight w:val="113"/>
        </w:trPr>
        <w:tc>
          <w:tcPr>
            <w:tcW w:w="1470" w:type="dxa"/>
            <w:vAlign w:val="center"/>
          </w:tcPr>
          <w:p w14:paraId="2B7A7F7A"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p>
        </w:tc>
        <w:tc>
          <w:tcPr>
            <w:tcW w:w="5400" w:type="dxa"/>
            <w:vAlign w:val="center"/>
          </w:tcPr>
          <w:p w14:paraId="15792C23"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 xml:space="preserve">Essink, BJ., et al. Safety and immunogenicity of cell-based quadrivalent influenza vaccine: a randomized trial." </w:t>
            </w:r>
          </w:p>
        </w:tc>
        <w:tc>
          <w:tcPr>
            <w:tcW w:w="2115" w:type="dxa"/>
          </w:tcPr>
          <w:p w14:paraId="649EF2C2"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proofErr w:type="spellStart"/>
            <w:r w:rsidRPr="00151023">
              <w:rPr>
                <w:rFonts w:ascii="Arial Narrow" w:eastAsia="Arial Narrow" w:hAnsi="Arial Narrow" w:cs="Arial Narrow"/>
                <w:i/>
                <w:iCs/>
                <w:color w:val="000000" w:themeColor="text1"/>
                <w:sz w:val="20"/>
                <w:szCs w:val="20"/>
              </w:rPr>
              <w:t>Pediatrics</w:t>
            </w:r>
            <w:proofErr w:type="spellEnd"/>
            <w:r w:rsidRPr="00151023">
              <w:rPr>
                <w:rFonts w:ascii="Arial Narrow" w:eastAsia="Arial Narrow" w:hAnsi="Arial Narrow" w:cs="Arial Narrow"/>
                <w:color w:val="000000" w:themeColor="text1"/>
                <w:sz w:val="20"/>
                <w:szCs w:val="20"/>
              </w:rPr>
              <w:t xml:space="preserve"> 2022; 150 (5) e2022057509</w:t>
            </w:r>
          </w:p>
        </w:tc>
      </w:tr>
      <w:tr w:rsidR="00481504" w:rsidRPr="00151023" w14:paraId="4F07F1AE" w14:textId="77777777" w:rsidTr="004469E4">
        <w:trPr>
          <w:cantSplit/>
          <w:trHeight w:val="113"/>
        </w:trPr>
        <w:tc>
          <w:tcPr>
            <w:tcW w:w="8985" w:type="dxa"/>
            <w:gridSpan w:val="3"/>
          </w:tcPr>
          <w:p w14:paraId="518AA5D0" w14:textId="4C884FE8" w:rsidR="00481504" w:rsidRPr="00151023" w:rsidRDefault="00481504" w:rsidP="00D4374D">
            <w:pPr>
              <w:keepNext/>
              <w:widowControl w:val="0"/>
              <w:rPr>
                <w:rFonts w:ascii="Arial Narrow" w:eastAsia="Arial Narrow" w:hAnsi="Arial Narrow" w:cs="Arial Narrow"/>
                <w:b/>
                <w:bCs/>
                <w:color w:val="000000" w:themeColor="text1"/>
                <w:sz w:val="20"/>
                <w:szCs w:val="20"/>
              </w:rPr>
            </w:pPr>
            <w:r w:rsidRPr="00151023">
              <w:rPr>
                <w:rFonts w:ascii="Arial Narrow" w:eastAsia="Arial Narrow" w:hAnsi="Arial Narrow" w:cs="Arial Narrow"/>
                <w:b/>
                <w:bCs/>
                <w:color w:val="000000" w:themeColor="text1"/>
                <w:sz w:val="20"/>
                <w:szCs w:val="20"/>
              </w:rPr>
              <w:t>Supporting randomised trial comparing QIVc with a meningococcal vaccine</w:t>
            </w:r>
          </w:p>
        </w:tc>
      </w:tr>
      <w:tr w:rsidR="00481504" w:rsidRPr="00151023" w14:paraId="0D15F2E9" w14:textId="77777777" w:rsidTr="004469E4">
        <w:trPr>
          <w:cantSplit/>
          <w:trHeight w:val="933"/>
        </w:trPr>
        <w:tc>
          <w:tcPr>
            <w:tcW w:w="1470" w:type="dxa"/>
          </w:tcPr>
          <w:p w14:paraId="7ECF873C"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V130_12</w:t>
            </w:r>
          </w:p>
          <w:p w14:paraId="7A83FFA1"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 xml:space="preserve">NCT03165617 </w:t>
            </w:r>
          </w:p>
        </w:tc>
        <w:tc>
          <w:tcPr>
            <w:tcW w:w="5400" w:type="dxa"/>
          </w:tcPr>
          <w:p w14:paraId="34F2C6FD" w14:textId="02C23EC1" w:rsidR="00481504" w:rsidRPr="00151023" w:rsidRDefault="00481504" w:rsidP="00D4374D">
            <w:pPr>
              <w:pStyle w:val="TableText0"/>
              <w:rPr>
                <w:rFonts w:eastAsia="Arial Narrow" w:cs="Arial Narrow"/>
                <w:color w:val="000000" w:themeColor="text1"/>
                <w:szCs w:val="20"/>
              </w:rPr>
            </w:pPr>
            <w:r w:rsidRPr="00151023">
              <w:t>Report: A phase III/IV, stratified, randomised, observed blind, multicenter clinical study to evaluate the efficacy, safety, and immunogenicity of a cell-based quadrivalent subunit influenza virus vaccine compared to a non-influenza comparator vaccine in subjects ≥2 years to &lt;18 years.</w:t>
            </w:r>
          </w:p>
        </w:tc>
        <w:tc>
          <w:tcPr>
            <w:tcW w:w="2115" w:type="dxa"/>
          </w:tcPr>
          <w:p w14:paraId="60C8A95B" w14:textId="77777777" w:rsidR="00481504" w:rsidRPr="00151023" w:rsidRDefault="00481504" w:rsidP="00D4374D">
            <w:pPr>
              <w:keepNext/>
              <w:widowControl w:val="0"/>
              <w:rPr>
                <w:rFonts w:ascii="Arial Narrow" w:eastAsia="Arial Narrow" w:hAnsi="Arial Narrow" w:cs="Arial Narrow"/>
                <w:color w:val="000000" w:themeColor="text1"/>
                <w:sz w:val="20"/>
                <w:szCs w:val="20"/>
              </w:rPr>
            </w:pPr>
            <w:r w:rsidRPr="00151023">
              <w:rPr>
                <w:rFonts w:ascii="Arial Narrow" w:eastAsia="Arial Narrow" w:hAnsi="Arial Narrow" w:cs="Arial Narrow"/>
                <w:color w:val="000000" w:themeColor="text1"/>
                <w:sz w:val="20"/>
                <w:szCs w:val="20"/>
              </w:rPr>
              <w:t>February 2020</w:t>
            </w:r>
          </w:p>
        </w:tc>
      </w:tr>
    </w:tbl>
    <w:p w14:paraId="44B6405B" w14:textId="2641A754" w:rsidR="00481504" w:rsidRPr="00151023" w:rsidRDefault="00481504" w:rsidP="003F0FA9">
      <w:pPr>
        <w:pStyle w:val="FooterTableFigure"/>
        <w:spacing w:after="240"/>
        <w:rPr>
          <w:rFonts w:eastAsia="Arial Narrow"/>
        </w:rPr>
      </w:pPr>
      <w:r w:rsidRPr="00151023">
        <w:rPr>
          <w:rFonts w:eastAsia="Arial Narrow"/>
        </w:rPr>
        <w:t xml:space="preserve">Source: Adapted from Table 2.2.1, p48 of the </w:t>
      </w:r>
      <w:r w:rsidR="002900B0" w:rsidRPr="00151023">
        <w:rPr>
          <w:rFonts w:eastAsia="Arial Narrow"/>
        </w:rPr>
        <w:t>submission</w:t>
      </w:r>
    </w:p>
    <w:p w14:paraId="34862C5E" w14:textId="6D892EB7" w:rsidR="007F1017" w:rsidRPr="00151023" w:rsidRDefault="008F120A" w:rsidP="00EC5836">
      <w:pPr>
        <w:pStyle w:val="3-BodyText"/>
      </w:pPr>
      <w:r w:rsidRPr="00151023">
        <w:t xml:space="preserve">The key features of the </w:t>
      </w:r>
      <w:r w:rsidR="00621ADA" w:rsidRPr="00151023">
        <w:t>included evidence</w:t>
      </w:r>
      <w:r w:rsidRPr="00151023">
        <w:t xml:space="preserve"> are summarised in</w:t>
      </w:r>
      <w:r w:rsidR="00D6076E" w:rsidRPr="00151023">
        <w:t xml:space="preserve"> </w:t>
      </w:r>
      <w:r w:rsidR="00D6076E" w:rsidRPr="00151023">
        <w:fldChar w:fldCharType="begin" w:fldLock="1"/>
      </w:r>
      <w:r w:rsidR="00D6076E" w:rsidRPr="00151023">
        <w:instrText xml:space="preserve"> REF _Ref104804098 \h  \* MERGEFORMAT </w:instrText>
      </w:r>
      <w:r w:rsidR="00D6076E" w:rsidRPr="00151023">
        <w:fldChar w:fldCharType="separate"/>
      </w:r>
      <w:r w:rsidR="00603A66" w:rsidRPr="00151023">
        <w:t>Table 3</w:t>
      </w:r>
      <w:r w:rsidR="00D6076E" w:rsidRPr="00151023">
        <w:fldChar w:fldCharType="end"/>
      </w:r>
      <w:r w:rsidRPr="00151023">
        <w:t>.</w:t>
      </w:r>
      <w:r w:rsidR="00BC591F" w:rsidRPr="00151023">
        <w:t xml:space="preserve"> </w:t>
      </w:r>
      <w:r w:rsidR="00F439F3" w:rsidRPr="00151023">
        <w:t xml:space="preserve">The </w:t>
      </w:r>
      <w:r w:rsidR="002900B0" w:rsidRPr="00151023">
        <w:t>submission</w:t>
      </w:r>
      <w:r w:rsidR="00F439F3" w:rsidRPr="00151023">
        <w:t xml:space="preserve"> did not consider the V130_12 randomised trial as key evidence due to the lack of a QIVe control arm.</w:t>
      </w:r>
    </w:p>
    <w:p w14:paraId="0A9C6201" w14:textId="2948FD84" w:rsidR="00481504" w:rsidRPr="00151023" w:rsidRDefault="00696EF9" w:rsidP="00481504">
      <w:pPr>
        <w:pStyle w:val="TableHeading0"/>
        <w:rPr>
          <w:rStyle w:val="CommentReference"/>
          <w:b/>
          <w:szCs w:val="22"/>
        </w:rPr>
      </w:pPr>
      <w:bookmarkStart w:id="19" w:name="_Ref104804098"/>
      <w:r w:rsidRPr="00151023">
        <w:rPr>
          <w:rStyle w:val="CommentReference"/>
          <w:b/>
          <w:szCs w:val="22"/>
        </w:rPr>
        <w:t xml:space="preserve">Table </w:t>
      </w:r>
      <w:r w:rsidRPr="00151023">
        <w:rPr>
          <w:rStyle w:val="CommentReference"/>
          <w:b/>
          <w:szCs w:val="22"/>
        </w:rPr>
        <w:fldChar w:fldCharType="begin" w:fldLock="1"/>
      </w:r>
      <w:r w:rsidRPr="00151023">
        <w:rPr>
          <w:rStyle w:val="CommentReference"/>
          <w:b/>
          <w:szCs w:val="22"/>
        </w:rPr>
        <w:instrText xml:space="preserve"> SEQ Table \* ARABIC </w:instrText>
      </w:r>
      <w:r w:rsidRPr="00151023">
        <w:rPr>
          <w:rStyle w:val="CommentReference"/>
          <w:b/>
          <w:szCs w:val="22"/>
        </w:rPr>
        <w:fldChar w:fldCharType="separate"/>
      </w:r>
      <w:r w:rsidR="00603A66" w:rsidRPr="00151023">
        <w:rPr>
          <w:rStyle w:val="CommentReference"/>
          <w:b/>
          <w:szCs w:val="22"/>
        </w:rPr>
        <w:t>3</w:t>
      </w:r>
      <w:r w:rsidRPr="00151023">
        <w:rPr>
          <w:rStyle w:val="CommentReference"/>
          <w:b/>
          <w:szCs w:val="22"/>
        </w:rPr>
        <w:fldChar w:fldCharType="end"/>
      </w:r>
      <w:bookmarkEnd w:id="19"/>
      <w:r w:rsidR="00D6076E" w:rsidRPr="00151023">
        <w:rPr>
          <w:rStyle w:val="CommentReference"/>
          <w:b/>
          <w:szCs w:val="22"/>
        </w:rPr>
        <w:t xml:space="preserve">: </w:t>
      </w:r>
      <w:r w:rsidR="00481504" w:rsidRPr="00151023">
        <w:rPr>
          <w:rStyle w:val="CommentReference"/>
          <w:b/>
          <w:szCs w:val="22"/>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4"/>
        <w:gridCol w:w="1318"/>
        <w:gridCol w:w="958"/>
        <w:gridCol w:w="703"/>
        <w:gridCol w:w="1277"/>
        <w:gridCol w:w="2909"/>
        <w:gridCol w:w="868"/>
      </w:tblGrid>
      <w:tr w:rsidR="00481504" w:rsidRPr="00151023" w14:paraId="4A8C8359" w14:textId="77777777" w:rsidTr="00603A66">
        <w:trPr>
          <w:cantSplit/>
          <w:tblHeader/>
        </w:trPr>
        <w:tc>
          <w:tcPr>
            <w:tcW w:w="546" w:type="pct"/>
            <w:shd w:val="clear" w:color="auto" w:fill="auto"/>
            <w:vAlign w:val="center"/>
          </w:tcPr>
          <w:p w14:paraId="2C6869CD" w14:textId="77777777" w:rsidR="00481504" w:rsidRPr="00151023" w:rsidRDefault="00481504" w:rsidP="001F65E2">
            <w:pPr>
              <w:pStyle w:val="TableText0"/>
              <w:rPr>
                <w:b/>
                <w:bCs w:val="0"/>
              </w:rPr>
            </w:pPr>
            <w:r w:rsidRPr="00151023">
              <w:rPr>
                <w:b/>
                <w:bCs w:val="0"/>
              </w:rPr>
              <w:t>Study</w:t>
            </w:r>
          </w:p>
        </w:tc>
        <w:tc>
          <w:tcPr>
            <w:tcW w:w="731" w:type="pct"/>
            <w:shd w:val="clear" w:color="auto" w:fill="auto"/>
            <w:vAlign w:val="center"/>
          </w:tcPr>
          <w:p w14:paraId="3CAFA21C" w14:textId="77777777" w:rsidR="00481504" w:rsidRPr="00151023" w:rsidRDefault="00481504" w:rsidP="001F65E2">
            <w:pPr>
              <w:pStyle w:val="TableText0"/>
              <w:rPr>
                <w:b/>
                <w:bCs w:val="0"/>
              </w:rPr>
            </w:pPr>
            <w:r w:rsidRPr="00151023">
              <w:rPr>
                <w:b/>
                <w:bCs w:val="0"/>
              </w:rPr>
              <w:t>N</w:t>
            </w:r>
          </w:p>
        </w:tc>
        <w:tc>
          <w:tcPr>
            <w:tcW w:w="531" w:type="pct"/>
            <w:shd w:val="clear" w:color="auto" w:fill="auto"/>
            <w:vAlign w:val="center"/>
          </w:tcPr>
          <w:p w14:paraId="38EACE56" w14:textId="77777777" w:rsidR="00481504" w:rsidRPr="00151023" w:rsidRDefault="00481504" w:rsidP="001F65E2">
            <w:pPr>
              <w:pStyle w:val="TableText0"/>
              <w:rPr>
                <w:b/>
                <w:bCs w:val="0"/>
              </w:rPr>
            </w:pPr>
            <w:r w:rsidRPr="00151023">
              <w:rPr>
                <w:b/>
                <w:bCs w:val="0"/>
              </w:rPr>
              <w:t>Adjustment</w:t>
            </w:r>
          </w:p>
        </w:tc>
        <w:tc>
          <w:tcPr>
            <w:tcW w:w="390" w:type="pct"/>
            <w:shd w:val="clear" w:color="auto" w:fill="auto"/>
            <w:vAlign w:val="center"/>
          </w:tcPr>
          <w:p w14:paraId="22FA7BA1" w14:textId="77777777" w:rsidR="00481504" w:rsidRPr="00151023" w:rsidRDefault="00481504" w:rsidP="001F65E2">
            <w:pPr>
              <w:pStyle w:val="TableText0"/>
              <w:rPr>
                <w:b/>
                <w:bCs w:val="0"/>
              </w:rPr>
            </w:pPr>
            <w:r w:rsidRPr="00151023">
              <w:rPr>
                <w:b/>
                <w:bCs w:val="0"/>
              </w:rPr>
              <w:t>Risk of bias</w:t>
            </w:r>
          </w:p>
        </w:tc>
        <w:tc>
          <w:tcPr>
            <w:tcW w:w="708" w:type="pct"/>
            <w:shd w:val="clear" w:color="auto" w:fill="auto"/>
            <w:vAlign w:val="center"/>
          </w:tcPr>
          <w:p w14:paraId="7E65A6C7" w14:textId="77777777" w:rsidR="00481504" w:rsidRPr="00151023" w:rsidRDefault="00481504" w:rsidP="001F65E2">
            <w:pPr>
              <w:pStyle w:val="TableText0"/>
              <w:rPr>
                <w:b/>
                <w:bCs w:val="0"/>
              </w:rPr>
            </w:pPr>
            <w:r w:rsidRPr="00151023">
              <w:rPr>
                <w:b/>
                <w:bCs w:val="0"/>
              </w:rPr>
              <w:t>Data source</w:t>
            </w:r>
          </w:p>
        </w:tc>
        <w:tc>
          <w:tcPr>
            <w:tcW w:w="1613" w:type="pct"/>
            <w:shd w:val="clear" w:color="auto" w:fill="auto"/>
            <w:vAlign w:val="center"/>
          </w:tcPr>
          <w:p w14:paraId="1CBC1196" w14:textId="77777777" w:rsidR="00481504" w:rsidRPr="00151023" w:rsidRDefault="00481504" w:rsidP="001F65E2">
            <w:pPr>
              <w:pStyle w:val="TableText0"/>
              <w:rPr>
                <w:b/>
                <w:bCs w:val="0"/>
              </w:rPr>
            </w:pPr>
            <w:r w:rsidRPr="00151023">
              <w:rPr>
                <w:b/>
                <w:bCs w:val="0"/>
              </w:rPr>
              <w:t>Outcome(s)</w:t>
            </w:r>
          </w:p>
        </w:tc>
        <w:tc>
          <w:tcPr>
            <w:tcW w:w="482" w:type="pct"/>
            <w:shd w:val="clear" w:color="auto" w:fill="auto"/>
            <w:vAlign w:val="center"/>
          </w:tcPr>
          <w:p w14:paraId="75FB738B" w14:textId="77777777" w:rsidR="00481504" w:rsidRPr="00151023" w:rsidRDefault="00481504" w:rsidP="001F65E2">
            <w:pPr>
              <w:pStyle w:val="TableText0"/>
              <w:rPr>
                <w:b/>
                <w:bCs w:val="0"/>
              </w:rPr>
            </w:pPr>
            <w:r w:rsidRPr="00151023">
              <w:rPr>
                <w:b/>
                <w:bCs w:val="0"/>
              </w:rPr>
              <w:t>Use in modelled evaluation</w:t>
            </w:r>
          </w:p>
        </w:tc>
      </w:tr>
      <w:tr w:rsidR="00481504" w:rsidRPr="00151023" w14:paraId="575C44B1" w14:textId="77777777" w:rsidTr="00603A66">
        <w:trPr>
          <w:cantSplit/>
        </w:trPr>
        <w:tc>
          <w:tcPr>
            <w:tcW w:w="5000" w:type="pct"/>
            <w:gridSpan w:val="7"/>
            <w:shd w:val="clear" w:color="auto" w:fill="auto"/>
            <w:vAlign w:val="center"/>
          </w:tcPr>
          <w:p w14:paraId="0B97BDE2" w14:textId="77777777" w:rsidR="00481504" w:rsidRPr="00151023" w:rsidRDefault="00481504" w:rsidP="001F65E2">
            <w:pPr>
              <w:pStyle w:val="TableText0"/>
              <w:rPr>
                <w:b/>
              </w:rPr>
            </w:pPr>
            <w:r w:rsidRPr="00151023">
              <w:rPr>
                <w:b/>
                <w:color w:val="000000" w:themeColor="text1"/>
              </w:rPr>
              <w:t>QIVc versus QIVe</w:t>
            </w:r>
          </w:p>
        </w:tc>
      </w:tr>
      <w:tr w:rsidR="00481504" w:rsidRPr="00151023" w14:paraId="603EA892" w14:textId="77777777" w:rsidTr="00603A66">
        <w:trPr>
          <w:cantSplit/>
        </w:trPr>
        <w:tc>
          <w:tcPr>
            <w:tcW w:w="546" w:type="pct"/>
            <w:shd w:val="clear" w:color="auto" w:fill="auto"/>
            <w:vAlign w:val="center"/>
          </w:tcPr>
          <w:p w14:paraId="0CE5A5D0" w14:textId="77777777" w:rsidR="00481504" w:rsidRPr="00151023" w:rsidRDefault="00481504" w:rsidP="001F65E2">
            <w:pPr>
              <w:pStyle w:val="TableText0"/>
            </w:pPr>
            <w:r w:rsidRPr="00151023">
              <w:t>V130_10</w:t>
            </w:r>
          </w:p>
          <w:p w14:paraId="0DF84BDE" w14:textId="21BBFCBB" w:rsidR="00F439F3" w:rsidRPr="00151023" w:rsidRDefault="00F439F3" w:rsidP="001F65E2">
            <w:pPr>
              <w:pStyle w:val="TableText0"/>
            </w:pPr>
            <w:r w:rsidRPr="00151023">
              <w:t>Age 6</w:t>
            </w:r>
            <w:r w:rsidR="004469E4" w:rsidRPr="00151023">
              <w:t>−</w:t>
            </w:r>
            <w:r w:rsidRPr="00151023">
              <w:t>47 months</w:t>
            </w:r>
          </w:p>
        </w:tc>
        <w:tc>
          <w:tcPr>
            <w:tcW w:w="731" w:type="pct"/>
            <w:shd w:val="clear" w:color="auto" w:fill="auto"/>
            <w:vAlign w:val="center"/>
          </w:tcPr>
          <w:p w14:paraId="09834058" w14:textId="3F3B8301" w:rsidR="00481504" w:rsidRPr="00151023" w:rsidRDefault="00481504" w:rsidP="001F65E2">
            <w:pPr>
              <w:pStyle w:val="TableText0"/>
              <w:rPr>
                <w:color w:val="000000" w:themeColor="text1"/>
              </w:rPr>
            </w:pPr>
            <w:r w:rsidRPr="00151023">
              <w:rPr>
                <w:color w:val="000000" w:themeColor="text1"/>
              </w:rPr>
              <w:t xml:space="preserve">QIVc: </w:t>
            </w:r>
            <w:r w:rsidR="00A34D84" w:rsidRPr="00151023">
              <w:rPr>
                <w:color w:val="000000" w:themeColor="text1"/>
              </w:rPr>
              <w:t>1,092</w:t>
            </w:r>
          </w:p>
          <w:p w14:paraId="0B482865" w14:textId="64E08215" w:rsidR="00481504" w:rsidRPr="00151023" w:rsidRDefault="00481504" w:rsidP="001F65E2">
            <w:pPr>
              <w:pStyle w:val="TableText0"/>
              <w:rPr>
                <w:b/>
              </w:rPr>
            </w:pPr>
            <w:r w:rsidRPr="00151023">
              <w:rPr>
                <w:color w:val="000000" w:themeColor="text1"/>
              </w:rPr>
              <w:t xml:space="preserve">QIVe: </w:t>
            </w:r>
            <w:r w:rsidR="00A34D84" w:rsidRPr="00151023">
              <w:rPr>
                <w:color w:val="000000" w:themeColor="text1"/>
              </w:rPr>
              <w:t>575</w:t>
            </w:r>
            <w:r w:rsidR="00981FCC" w:rsidRPr="00151023">
              <w:t xml:space="preserve"> Season 2019-20</w:t>
            </w:r>
          </w:p>
        </w:tc>
        <w:tc>
          <w:tcPr>
            <w:tcW w:w="531" w:type="pct"/>
            <w:shd w:val="clear" w:color="auto" w:fill="auto"/>
            <w:vAlign w:val="center"/>
          </w:tcPr>
          <w:p w14:paraId="6A42558C" w14:textId="62E9BAF3" w:rsidR="00481504" w:rsidRPr="00151023" w:rsidRDefault="001F65E2" w:rsidP="001F65E2">
            <w:pPr>
              <w:pStyle w:val="TableText0"/>
            </w:pPr>
            <w:r w:rsidRPr="00151023">
              <w:rPr>
                <w:color w:val="000000" w:themeColor="text1"/>
              </w:rPr>
              <w:t>Unadjusted</w:t>
            </w:r>
          </w:p>
        </w:tc>
        <w:tc>
          <w:tcPr>
            <w:tcW w:w="390" w:type="pct"/>
            <w:shd w:val="clear" w:color="auto" w:fill="auto"/>
            <w:vAlign w:val="center"/>
          </w:tcPr>
          <w:p w14:paraId="0DD8D82B" w14:textId="28DDAD54" w:rsidR="00A34D84" w:rsidRPr="00151023" w:rsidRDefault="00A34D84" w:rsidP="001F65E2">
            <w:pPr>
              <w:pStyle w:val="TableText0"/>
              <w:rPr>
                <w:iCs/>
              </w:rPr>
            </w:pPr>
            <w:r w:rsidRPr="00151023">
              <w:rPr>
                <w:iCs/>
              </w:rPr>
              <w:t>Low</w:t>
            </w:r>
          </w:p>
        </w:tc>
        <w:tc>
          <w:tcPr>
            <w:tcW w:w="708" w:type="pct"/>
            <w:shd w:val="clear" w:color="auto" w:fill="auto"/>
            <w:vAlign w:val="center"/>
          </w:tcPr>
          <w:p w14:paraId="2729DF11" w14:textId="276161C6" w:rsidR="00481504" w:rsidRPr="00151023" w:rsidRDefault="00A34D84" w:rsidP="001F65E2">
            <w:pPr>
              <w:pStyle w:val="TableText0"/>
            </w:pPr>
            <w:r w:rsidRPr="00151023">
              <w:t xml:space="preserve">Randomised controlled </w:t>
            </w:r>
            <w:r w:rsidR="00360264" w:rsidRPr="00151023">
              <w:t xml:space="preserve">non-inferiority </w:t>
            </w:r>
            <w:r w:rsidRPr="00151023">
              <w:t>trial.</w:t>
            </w:r>
          </w:p>
          <w:p w14:paraId="52E9AA35" w14:textId="7F634049" w:rsidR="00A34D84" w:rsidRPr="00151023" w:rsidRDefault="00A34D84" w:rsidP="00603A66">
            <w:pPr>
              <w:pStyle w:val="TableText0"/>
            </w:pPr>
            <w:r w:rsidRPr="00151023">
              <w:t>Northern Hemisphere (US)</w:t>
            </w:r>
          </w:p>
        </w:tc>
        <w:tc>
          <w:tcPr>
            <w:tcW w:w="1613" w:type="pct"/>
            <w:shd w:val="clear" w:color="auto" w:fill="auto"/>
            <w:vAlign w:val="center"/>
          </w:tcPr>
          <w:p w14:paraId="0EC89395" w14:textId="1EE486D0" w:rsidR="00981FCC" w:rsidRPr="00151023" w:rsidRDefault="00A34D84" w:rsidP="001F65E2">
            <w:pPr>
              <w:pStyle w:val="TableText0"/>
            </w:pPr>
            <w:r w:rsidRPr="00151023">
              <w:rPr>
                <w:color w:val="000000" w:themeColor="text1"/>
              </w:rPr>
              <w:t>Immunogenicity and safety</w:t>
            </w:r>
            <w:r w:rsidR="007452FD" w:rsidRPr="00151023">
              <w:rPr>
                <w:color w:val="000000" w:themeColor="text1"/>
              </w:rPr>
              <w:t>.</w:t>
            </w:r>
            <w:r w:rsidR="00481504" w:rsidRPr="00151023">
              <w:t xml:space="preserve"> </w:t>
            </w:r>
            <w:r w:rsidR="00981FCC" w:rsidRPr="00151023">
              <w:t>Immunogenicity as measured by HAI assay for A/H1N1, B/Yamagata, and B/Victoria strains and by MN assay for A/H3N2 strain, using cell-derived target viruses.</w:t>
            </w:r>
          </w:p>
          <w:p w14:paraId="7F578C88" w14:textId="77777777" w:rsidR="00981FCC" w:rsidRPr="00151023" w:rsidRDefault="00981FCC" w:rsidP="001F65E2">
            <w:pPr>
              <w:pStyle w:val="TableText0"/>
            </w:pPr>
          </w:p>
          <w:p w14:paraId="6933A31F" w14:textId="097C445E" w:rsidR="00360264" w:rsidRPr="00151023" w:rsidRDefault="00360264" w:rsidP="001F65E2">
            <w:pPr>
              <w:pStyle w:val="TableText0"/>
              <w:rPr>
                <w:iCs/>
              </w:rPr>
            </w:pPr>
            <w:r w:rsidRPr="00151023">
              <w:rPr>
                <w:iCs/>
              </w:rPr>
              <w:t>No effectiveness data available.</w:t>
            </w:r>
          </w:p>
        </w:tc>
        <w:tc>
          <w:tcPr>
            <w:tcW w:w="482" w:type="pct"/>
            <w:shd w:val="clear" w:color="auto" w:fill="auto"/>
            <w:vAlign w:val="center"/>
          </w:tcPr>
          <w:p w14:paraId="7D05BD5E" w14:textId="77777777" w:rsidR="00481504" w:rsidRPr="00151023" w:rsidRDefault="00481504" w:rsidP="001F65E2">
            <w:pPr>
              <w:pStyle w:val="TableText0"/>
            </w:pPr>
            <w:r w:rsidRPr="00151023">
              <w:t>Not used</w:t>
            </w:r>
          </w:p>
        </w:tc>
      </w:tr>
    </w:tbl>
    <w:p w14:paraId="5F481183" w14:textId="796B2B2D" w:rsidR="00481504" w:rsidRPr="00151023" w:rsidRDefault="00481504" w:rsidP="004C1394">
      <w:pPr>
        <w:pStyle w:val="TableFigureFooter"/>
        <w:spacing w:after="0"/>
      </w:pPr>
      <w:r w:rsidRPr="00151023">
        <w:t xml:space="preserve">Source: </w:t>
      </w:r>
      <w:r w:rsidR="004C1394" w:rsidRPr="00151023">
        <w:t>Sections 2.2</w:t>
      </w:r>
      <w:r w:rsidR="00542033" w:rsidRPr="00151023">
        <w:t>,</w:t>
      </w:r>
      <w:r w:rsidR="004C1394" w:rsidRPr="00151023">
        <w:t xml:space="preserve"> 2.3, </w:t>
      </w:r>
      <w:r w:rsidR="00C80E5D" w:rsidRPr="00151023">
        <w:t>and</w:t>
      </w:r>
      <w:r w:rsidR="004C1394" w:rsidRPr="00151023">
        <w:t xml:space="preserve"> 2.4.3 of the </w:t>
      </w:r>
      <w:r w:rsidR="002900B0" w:rsidRPr="00151023">
        <w:t>submission</w:t>
      </w:r>
      <w:r w:rsidR="00311EB2" w:rsidRPr="00151023">
        <w:t>.</w:t>
      </w:r>
    </w:p>
    <w:p w14:paraId="6AD4B816" w14:textId="4143C6CC" w:rsidR="00481504" w:rsidRPr="00151023" w:rsidRDefault="00481504" w:rsidP="00376F62">
      <w:pPr>
        <w:pStyle w:val="TableFigureFooter"/>
        <w:spacing w:after="240"/>
      </w:pPr>
      <w:r w:rsidRPr="00151023">
        <w:t>QIVc = cell-based quadrivalent subunit influenza virus vaccine, QIVe = egg-based quadrivalent subunit influenza virus vaccine</w:t>
      </w:r>
      <w:r w:rsidR="004C1394" w:rsidRPr="00151023">
        <w:t>; US = United States.</w:t>
      </w:r>
    </w:p>
    <w:p w14:paraId="10488A47" w14:textId="13254442" w:rsidR="005A3625" w:rsidRPr="00151023" w:rsidDel="005A3625" w:rsidRDefault="005A3625" w:rsidP="005A3625">
      <w:pPr>
        <w:pStyle w:val="3-BodyText"/>
      </w:pPr>
      <w:r w:rsidRPr="00151023">
        <w:t xml:space="preserve">For the direct randomised V130_10 non-inferiority trial, the risk of bias was considered low in the submission. </w:t>
      </w:r>
      <w:r w:rsidRPr="00151023">
        <w:rPr>
          <w:iCs/>
        </w:rPr>
        <w:t>This evaluation considered that this was reasonable</w:t>
      </w:r>
      <w:r w:rsidRPr="00151023">
        <w:t>.</w:t>
      </w:r>
    </w:p>
    <w:p w14:paraId="3ECE2C83" w14:textId="3E8D10B9" w:rsidR="00360264" w:rsidRPr="00151023" w:rsidRDefault="00360264" w:rsidP="00360264">
      <w:pPr>
        <w:pStyle w:val="3-BodyText"/>
      </w:pPr>
      <w:r w:rsidRPr="00151023">
        <w:t xml:space="preserve">The primary objective of the V130_10 trial was to demonstrate that vaccination with QIVc elicits an immune response that is non-inferior to that of QIVe containing the recommended strains for the 2019-2020 season, in </w:t>
      </w:r>
      <w:r w:rsidR="00FD5ABE" w:rsidRPr="00151023">
        <w:t>children</w:t>
      </w:r>
      <w:r w:rsidR="00EE1D5D" w:rsidRPr="00151023">
        <w:t xml:space="preserve"> </w:t>
      </w:r>
      <w:r w:rsidRPr="00151023">
        <w:t xml:space="preserve">6 months to 47 months of age, as measured by HAI assay for influenza A/H1N1, influenza B/Yamagata, and influenza B/Victoria strains, and by MN assay for influenza A/H3N2 strain, using cell-derived target viruses. Analyses were performed </w:t>
      </w:r>
      <w:r w:rsidR="00BF039D" w:rsidRPr="00151023">
        <w:t>at</w:t>
      </w:r>
      <w:r w:rsidRPr="00151023">
        <w:t xml:space="preserve"> Day 29 for previously vaccinated </w:t>
      </w:r>
      <w:r w:rsidR="00FD5ABE" w:rsidRPr="00151023">
        <w:t>people</w:t>
      </w:r>
      <w:r w:rsidR="00EE1D5D" w:rsidRPr="00151023">
        <w:t xml:space="preserve"> </w:t>
      </w:r>
      <w:r w:rsidRPr="00151023">
        <w:t xml:space="preserve">and </w:t>
      </w:r>
      <w:r w:rsidR="00BF039D" w:rsidRPr="00151023">
        <w:t xml:space="preserve">at </w:t>
      </w:r>
      <w:r w:rsidRPr="00151023">
        <w:t xml:space="preserve">Day 57 for </w:t>
      </w:r>
      <w:r w:rsidR="00FD5ABE" w:rsidRPr="00151023">
        <w:t>people</w:t>
      </w:r>
      <w:r w:rsidR="00EE1D5D" w:rsidRPr="00151023">
        <w:t xml:space="preserve"> </w:t>
      </w:r>
      <w:r w:rsidRPr="00151023">
        <w:t>who have not been previously vaccinated with influenza vaccine.</w:t>
      </w:r>
    </w:p>
    <w:p w14:paraId="436F83DD" w14:textId="374634C0" w:rsidR="00360264" w:rsidRPr="00151023" w:rsidRDefault="00360264" w:rsidP="00360264">
      <w:pPr>
        <w:pStyle w:val="3-BodyText"/>
      </w:pPr>
      <w:r w:rsidRPr="00151023">
        <w:t xml:space="preserve">The non-inferiority </w:t>
      </w:r>
      <w:r w:rsidR="00CC6AA3" w:rsidRPr="00151023">
        <w:t xml:space="preserve">criteria </w:t>
      </w:r>
      <w:r w:rsidRPr="00151023">
        <w:t xml:space="preserve">for geometric mean titre (GMT) ratio four weeks after the last vaccination (Day 29/57) </w:t>
      </w:r>
      <w:r w:rsidR="004469E4" w:rsidRPr="00151023">
        <w:t>was</w:t>
      </w:r>
      <w:r w:rsidRPr="00151023">
        <w:t xml:space="preserve"> </w:t>
      </w:r>
      <w:r w:rsidR="00CC6AA3" w:rsidRPr="00151023">
        <w:t>an</w:t>
      </w:r>
      <w:r w:rsidR="00375CAD" w:rsidRPr="00151023">
        <w:t xml:space="preserve"> </w:t>
      </w:r>
      <w:r w:rsidRPr="00151023">
        <w:t>upper bound of the 2-sided 95%</w:t>
      </w:r>
      <w:r w:rsidR="008D7F7C" w:rsidRPr="00151023">
        <w:t xml:space="preserve"> confidence interval</w:t>
      </w:r>
      <w:r w:rsidRPr="00151023">
        <w:t xml:space="preserve"> </w:t>
      </w:r>
      <w:r w:rsidR="008D7F7C" w:rsidRPr="00151023">
        <w:t>(</w:t>
      </w:r>
      <w:r w:rsidRPr="00151023">
        <w:t>CI</w:t>
      </w:r>
      <w:r w:rsidR="008D7F7C" w:rsidRPr="00151023">
        <w:t>)</w:t>
      </w:r>
      <w:r w:rsidRPr="00151023">
        <w:t xml:space="preserve"> for the GMT ratio</w:t>
      </w:r>
      <w:r w:rsidR="00CC6AA3" w:rsidRPr="00151023">
        <w:t xml:space="preserve"> of </w:t>
      </w:r>
      <w:r w:rsidR="00375CAD" w:rsidRPr="00151023">
        <w:t xml:space="preserve">less than </w:t>
      </w:r>
      <w:r w:rsidRPr="00151023">
        <w:t>1.5.</w:t>
      </w:r>
    </w:p>
    <w:p w14:paraId="570B5751" w14:textId="105B9541" w:rsidR="00360264" w:rsidRPr="00151023" w:rsidRDefault="00360264" w:rsidP="00360264">
      <w:pPr>
        <w:pStyle w:val="3-BodyText"/>
      </w:pPr>
      <w:r w:rsidRPr="00151023">
        <w:t xml:space="preserve">The non-inferiority </w:t>
      </w:r>
      <w:r w:rsidR="00CC6AA3" w:rsidRPr="00151023">
        <w:t xml:space="preserve">criteria </w:t>
      </w:r>
      <w:r w:rsidRPr="00151023">
        <w:t xml:space="preserve">for the difference in seroconversion rate (SCR) four weeks after the last vaccination (Day 29/57) </w:t>
      </w:r>
      <w:r w:rsidR="00375CAD" w:rsidRPr="00151023">
        <w:t xml:space="preserve">was </w:t>
      </w:r>
      <w:r w:rsidR="00CC6AA3" w:rsidRPr="00151023">
        <w:t xml:space="preserve">an </w:t>
      </w:r>
      <w:r w:rsidRPr="00151023">
        <w:t xml:space="preserve">upper bound of the 2-sided 95% CI for the difference between SCRs </w:t>
      </w:r>
      <w:r w:rsidR="00CC6AA3" w:rsidRPr="00151023">
        <w:t xml:space="preserve">of </w:t>
      </w:r>
      <w:r w:rsidR="00375CAD" w:rsidRPr="00151023">
        <w:t>less than</w:t>
      </w:r>
      <w:r w:rsidRPr="00151023">
        <w:t xml:space="preserve"> 10%.</w:t>
      </w:r>
    </w:p>
    <w:p w14:paraId="358DDC6A" w14:textId="4909CB99" w:rsidR="00E56C1A" w:rsidRPr="00151023" w:rsidRDefault="005A3625" w:rsidP="00360264">
      <w:pPr>
        <w:pStyle w:val="3-BodyText"/>
      </w:pPr>
      <w:r w:rsidRPr="00151023">
        <w:t>The evaluation considered that the</w:t>
      </w:r>
      <w:r w:rsidRPr="00151023">
        <w:rPr>
          <w:iCs/>
        </w:rPr>
        <w:t xml:space="preserve"> lack of effectiveness data was a major limitation in V130_10.</w:t>
      </w:r>
      <w:r w:rsidR="001E1B92" w:rsidRPr="00151023">
        <w:rPr>
          <w:iCs/>
        </w:rPr>
        <w:t xml:space="preserve"> The pre-PBAC response argued that while effectiveness outcomes were not reported in V130_10,</w:t>
      </w:r>
      <w:r w:rsidR="001E1B92" w:rsidRPr="00151023">
        <w:t xml:space="preserve"> immunogenicity is a well-established outcome for comparing influenza vaccines</w:t>
      </w:r>
      <w:r w:rsidR="00151023">
        <w:t xml:space="preserve">. </w:t>
      </w:r>
    </w:p>
    <w:p w14:paraId="44448202" w14:textId="77777777" w:rsidR="00B60939" w:rsidRPr="00151023" w:rsidRDefault="00B60939" w:rsidP="00EC5836">
      <w:pPr>
        <w:pStyle w:val="4-SubsectionHeading"/>
      </w:pPr>
      <w:bookmarkStart w:id="20" w:name="_Toc22897641"/>
      <w:bookmarkStart w:id="21" w:name="_Toc156985371"/>
      <w:r w:rsidRPr="00151023">
        <w:t>Comparative effectiveness</w:t>
      </w:r>
      <w:bookmarkEnd w:id="20"/>
      <w:bookmarkEnd w:id="21"/>
    </w:p>
    <w:p w14:paraId="133C5EB2" w14:textId="59CA73F1" w:rsidR="002C2775" w:rsidRPr="00151023" w:rsidRDefault="002D19AD" w:rsidP="00EC5836">
      <w:pPr>
        <w:pStyle w:val="3-BodyText"/>
      </w:pPr>
      <w:r w:rsidRPr="00151023">
        <w:t>For the direct V130_10 trial, t</w:t>
      </w:r>
      <w:r w:rsidR="008C5E34" w:rsidRPr="00151023">
        <w:t>he</w:t>
      </w:r>
      <w:r w:rsidR="003B4484" w:rsidRPr="00151023">
        <w:t xml:space="preserve"> </w:t>
      </w:r>
      <w:r w:rsidR="003B4484" w:rsidRPr="00151023">
        <w:rPr>
          <w:iCs/>
        </w:rPr>
        <w:t>ESC recalled that the</w:t>
      </w:r>
      <w:r w:rsidR="008C5E34" w:rsidRPr="00151023">
        <w:t xml:space="preserve"> primary immunogenicity objective was met. For all 4 strains, the upper bounds of the 2-sided 95% CIs did not exceed the pre-specified non-inferiority margin of 1.5 for the Day 29 or Day 57 GMT ratio (influenza A/H1N1: 0.836; influenza A/H3N2: 1.160; influenza B/Yamagata: 0.809; influenza B/Victoria: 0.972) or the pre specified non inferiority margin of 10% for the SCR difference (influenza A/H1N1: -6.423%; influenza A/H3N2: 7.812%; influenza B/Yamagata: -9.983%; influenza B/Victoria: -1.440%)</w:t>
      </w:r>
      <w:r w:rsidR="00360264" w:rsidRPr="00151023">
        <w:t>.</w:t>
      </w:r>
    </w:p>
    <w:p w14:paraId="768D6BB7" w14:textId="01101F92" w:rsidR="00762477" w:rsidRPr="00151023" w:rsidRDefault="00636267" w:rsidP="00762477">
      <w:pPr>
        <w:pStyle w:val="3-BodyText"/>
      </w:pPr>
      <w:r w:rsidRPr="00151023">
        <w:t xml:space="preserve">Using cell derived target viruses, immune responses to influenza A/H3N2 and influenza B/Victoria were not different for the QIVc and QIVe vaccines, whereas for influenza A/H1N1 and influenza B/Yamagata, higher post-vaccination GMTs, geometric mean ratios (GMRs), percentage of </w:t>
      </w:r>
      <w:r w:rsidR="00FD5ABE" w:rsidRPr="00151023">
        <w:t>people</w:t>
      </w:r>
      <w:r w:rsidR="00EE1D5D" w:rsidRPr="00151023">
        <w:t xml:space="preserve"> </w:t>
      </w:r>
      <w:r w:rsidRPr="00151023">
        <w:t>with titre above 1:40, and SCRs were observed for QIVc compared with QIV</w:t>
      </w:r>
      <w:r w:rsidR="00963B26" w:rsidRPr="00151023">
        <w:t>e</w:t>
      </w:r>
      <w:r w:rsidRPr="00151023">
        <w:t>.</w:t>
      </w:r>
      <w:r w:rsidR="00762477" w:rsidRPr="00151023">
        <w:t xml:space="preserve"> </w:t>
      </w:r>
      <w:r w:rsidR="00B6115F" w:rsidRPr="00151023">
        <w:rPr>
          <w:iCs/>
        </w:rPr>
        <w:t>T</w:t>
      </w:r>
      <w:r w:rsidR="00762477" w:rsidRPr="00151023">
        <w:rPr>
          <w:iCs/>
        </w:rPr>
        <w:t xml:space="preserve">here was no pre-specified threshold for superiority. </w:t>
      </w:r>
      <w:r w:rsidR="000B5963" w:rsidRPr="00151023">
        <w:rPr>
          <w:iCs/>
        </w:rPr>
        <w:t xml:space="preserve">The evaluation and the ESC considered that </w:t>
      </w:r>
      <w:r w:rsidR="00762477" w:rsidRPr="00151023">
        <w:rPr>
          <w:iCs/>
        </w:rPr>
        <w:t>HI and MN titres are not well-established surrogate markers of protection as there is no defined cut-off titre correlating with clinical protection</w:t>
      </w:r>
      <w:r w:rsidR="00762477" w:rsidRPr="00151023">
        <w:t xml:space="preserve">. </w:t>
      </w:r>
      <w:r w:rsidR="00762477" w:rsidRPr="00151023">
        <w:rPr>
          <w:iCs/>
        </w:rPr>
        <w:t>Assays are based on biological reagents that are difficult to standardise and can vary substantially by geography, by chance, by intention (i.e., choosing reagents that yield the most favourable results), and several other factors</w:t>
      </w:r>
      <w:r w:rsidR="00762477" w:rsidRPr="00151023">
        <w:rPr>
          <w:rStyle w:val="FootnoteReference"/>
          <w:iCs/>
        </w:rPr>
        <w:footnoteReference w:id="5"/>
      </w:r>
      <w:r w:rsidR="00762477" w:rsidRPr="00151023">
        <w:rPr>
          <w:iCs/>
        </w:rPr>
        <w:t>.</w:t>
      </w:r>
    </w:p>
    <w:p w14:paraId="597758BA" w14:textId="0BBAD939" w:rsidR="00334189" w:rsidRPr="00151023" w:rsidRDefault="009E70D6" w:rsidP="00EC5836">
      <w:pPr>
        <w:pStyle w:val="3-BodyText"/>
      </w:pPr>
      <w:r w:rsidRPr="00151023">
        <w:rPr>
          <w:snapToGrid/>
        </w:rPr>
        <w:t>Results from S</w:t>
      </w:r>
      <w:r w:rsidR="00334189" w:rsidRPr="00151023">
        <w:rPr>
          <w:snapToGrid/>
        </w:rPr>
        <w:t>tudy V130_12</w:t>
      </w:r>
      <w:r w:rsidRPr="00151023">
        <w:rPr>
          <w:snapToGrid/>
        </w:rPr>
        <w:t>,</w:t>
      </w:r>
      <w:r w:rsidR="00334189" w:rsidRPr="00151023">
        <w:rPr>
          <w:snapToGrid/>
        </w:rPr>
        <w:t xml:space="preserve"> which evaluated the efficacy and immunogenicity of QIVc compared to a non-influenza comparator vaccine (Menveo®, Meningococcal ACWY vaccine) in healthy children ≥2 years to &lt;18 years of age</w:t>
      </w:r>
      <w:r w:rsidRPr="00151023">
        <w:rPr>
          <w:snapToGrid/>
        </w:rPr>
        <w:t>, are summarised</w:t>
      </w:r>
      <w:r w:rsidR="00334189" w:rsidRPr="00151023">
        <w:rPr>
          <w:snapToGrid/>
        </w:rPr>
        <w:t xml:space="preserve"> </w:t>
      </w:r>
      <w:r w:rsidR="00D3352B" w:rsidRPr="00151023">
        <w:rPr>
          <w:snapToGrid/>
        </w:rPr>
        <w:t>by age subgroup</w:t>
      </w:r>
      <w:r w:rsidR="00334189" w:rsidRPr="00151023">
        <w:rPr>
          <w:snapToGrid/>
        </w:rPr>
        <w:t xml:space="preserve"> in</w:t>
      </w:r>
      <w:r w:rsidR="00D3352B" w:rsidRPr="00151023">
        <w:rPr>
          <w:snapToGrid/>
        </w:rPr>
        <w:t xml:space="preserve"> </w:t>
      </w:r>
      <w:r w:rsidR="00D3352B" w:rsidRPr="00151023">
        <w:rPr>
          <w:snapToGrid/>
        </w:rPr>
        <w:fldChar w:fldCharType="begin" w:fldLock="1"/>
      </w:r>
      <w:r w:rsidR="00D3352B" w:rsidRPr="00151023">
        <w:rPr>
          <w:snapToGrid/>
        </w:rPr>
        <w:instrText xml:space="preserve"> REF _Ref152062203 \h </w:instrText>
      </w:r>
      <w:r w:rsidR="00D3352B" w:rsidRPr="00151023">
        <w:rPr>
          <w:snapToGrid/>
        </w:rPr>
      </w:r>
      <w:r w:rsidR="00D3352B" w:rsidRPr="00151023">
        <w:rPr>
          <w:snapToGrid/>
        </w:rPr>
        <w:fldChar w:fldCharType="separate"/>
      </w:r>
      <w:r w:rsidR="00603A66" w:rsidRPr="00151023">
        <w:t>Table 4</w:t>
      </w:r>
      <w:r w:rsidR="00D3352B" w:rsidRPr="00151023">
        <w:rPr>
          <w:snapToGrid/>
        </w:rPr>
        <w:fldChar w:fldCharType="end"/>
      </w:r>
      <w:r w:rsidR="00D3352B" w:rsidRPr="00151023">
        <w:rPr>
          <w:snapToGrid/>
        </w:rPr>
        <w:t>.</w:t>
      </w:r>
    </w:p>
    <w:p w14:paraId="3CA6F474" w14:textId="74978CE5" w:rsidR="00334189" w:rsidRPr="00151023" w:rsidRDefault="00334189" w:rsidP="00334189">
      <w:pPr>
        <w:pStyle w:val="Caption"/>
      </w:pPr>
      <w:bookmarkStart w:id="22" w:name="_Ref152062203"/>
      <w:r w:rsidRPr="00151023">
        <w:t xml:space="preserve">Table </w:t>
      </w:r>
      <w:fldSimple w:instr=" SEQ Table \* ARABIC " w:fldLock="1">
        <w:r w:rsidR="00603A66" w:rsidRPr="00151023">
          <w:t>4</w:t>
        </w:r>
      </w:fldSimple>
      <w:bookmarkEnd w:id="22"/>
      <w:r w:rsidRPr="00151023">
        <w:t xml:space="preserve">: </w:t>
      </w:r>
      <w:r w:rsidR="00D3352B" w:rsidRPr="00151023">
        <w:t xml:space="preserve">V130_12 - </w:t>
      </w:r>
      <w:r w:rsidRPr="00151023">
        <w:t xml:space="preserve">Participants with first-occurrence RT-PCR laboratory confirmed influenza (any strain) and absolute vaccine efficacy (95% CI) </w:t>
      </w:r>
      <w:r w:rsidR="00D3352B" w:rsidRPr="00151023">
        <w:t>by</w:t>
      </w:r>
      <w:r w:rsidRPr="00151023">
        <w:t xml:space="preserve"> age sub-groups – FAS</w:t>
      </w:r>
    </w:p>
    <w:tbl>
      <w:tblPr>
        <w:tblStyle w:val="TableGrid"/>
        <w:tblW w:w="5000" w:type="pct"/>
        <w:tblLook w:val="04A0" w:firstRow="1" w:lastRow="0" w:firstColumn="1" w:lastColumn="0" w:noHBand="0" w:noVBand="1"/>
      </w:tblPr>
      <w:tblGrid>
        <w:gridCol w:w="1809"/>
        <w:gridCol w:w="1100"/>
        <w:gridCol w:w="1266"/>
        <w:gridCol w:w="1100"/>
        <w:gridCol w:w="1405"/>
        <w:gridCol w:w="2337"/>
      </w:tblGrid>
      <w:tr w:rsidR="00334189" w:rsidRPr="00151023" w14:paraId="38397068" w14:textId="77777777" w:rsidTr="00CC5B99">
        <w:trPr>
          <w:cantSplit/>
          <w:trHeight w:val="20"/>
        </w:trPr>
        <w:tc>
          <w:tcPr>
            <w:tcW w:w="1003" w:type="pct"/>
            <w:vMerge w:val="restart"/>
            <w:shd w:val="clear" w:color="auto" w:fill="auto"/>
          </w:tcPr>
          <w:p w14:paraId="6BFCD93C" w14:textId="77777777" w:rsidR="00334189" w:rsidRPr="00151023" w:rsidRDefault="00334189" w:rsidP="00D4374D">
            <w:pPr>
              <w:pStyle w:val="TableText0"/>
            </w:pPr>
            <w:r w:rsidRPr="00151023">
              <w:t>Age group</w:t>
            </w:r>
          </w:p>
        </w:tc>
        <w:tc>
          <w:tcPr>
            <w:tcW w:w="2701" w:type="pct"/>
            <w:gridSpan w:val="4"/>
            <w:shd w:val="clear" w:color="auto" w:fill="auto"/>
          </w:tcPr>
          <w:p w14:paraId="5E26BD7E" w14:textId="77777777" w:rsidR="00334189" w:rsidRPr="00151023" w:rsidRDefault="00334189" w:rsidP="00E9171F">
            <w:pPr>
              <w:pStyle w:val="TableText0"/>
              <w:jc w:val="center"/>
              <w:rPr>
                <w:b/>
                <w:bCs w:val="0"/>
              </w:rPr>
            </w:pPr>
            <w:r w:rsidRPr="00151023">
              <w:rPr>
                <w:b/>
                <w:bCs w:val="0"/>
              </w:rPr>
              <w:t>RT-PCR or Culture confirmed influenza</w:t>
            </w:r>
          </w:p>
          <w:p w14:paraId="0F407DCB" w14:textId="77777777" w:rsidR="00334189" w:rsidRPr="00151023" w:rsidRDefault="00334189" w:rsidP="00E9171F">
            <w:pPr>
              <w:pStyle w:val="TableText0"/>
              <w:jc w:val="center"/>
              <w:rPr>
                <w:b/>
                <w:bCs w:val="0"/>
              </w:rPr>
            </w:pPr>
            <w:r w:rsidRPr="00151023">
              <w:rPr>
                <w:b/>
                <w:bCs w:val="0"/>
              </w:rPr>
              <w:t>Number of cases [attack rate]</w:t>
            </w:r>
          </w:p>
        </w:tc>
        <w:tc>
          <w:tcPr>
            <w:tcW w:w="1296" w:type="pct"/>
            <w:vMerge w:val="restart"/>
            <w:shd w:val="clear" w:color="auto" w:fill="auto"/>
          </w:tcPr>
          <w:p w14:paraId="38268141" w14:textId="77777777" w:rsidR="00334189" w:rsidRPr="00151023" w:rsidRDefault="00334189" w:rsidP="00D4374D">
            <w:pPr>
              <w:pStyle w:val="TableText0"/>
              <w:rPr>
                <w:b/>
                <w:bCs w:val="0"/>
              </w:rPr>
            </w:pPr>
            <w:r w:rsidRPr="00151023">
              <w:rPr>
                <w:b/>
                <w:bCs w:val="0"/>
              </w:rPr>
              <w:t>Absolute vaccine efficacy (95% CI)</w:t>
            </w:r>
            <w:r w:rsidRPr="00151023">
              <w:rPr>
                <w:b/>
                <w:bCs w:val="0"/>
                <w:vertAlign w:val="superscript"/>
              </w:rPr>
              <w:t>a</w:t>
            </w:r>
          </w:p>
        </w:tc>
      </w:tr>
      <w:tr w:rsidR="00334189" w:rsidRPr="00151023" w14:paraId="7157D772" w14:textId="77777777" w:rsidTr="00CC5B99">
        <w:trPr>
          <w:cantSplit/>
          <w:trHeight w:val="20"/>
        </w:trPr>
        <w:tc>
          <w:tcPr>
            <w:tcW w:w="1003" w:type="pct"/>
            <w:vMerge/>
          </w:tcPr>
          <w:p w14:paraId="0E9A1ECD" w14:textId="77777777" w:rsidR="00334189" w:rsidRPr="00151023" w:rsidRDefault="00334189" w:rsidP="00D4374D">
            <w:pPr>
              <w:pStyle w:val="TableText0"/>
            </w:pPr>
          </w:p>
        </w:tc>
        <w:tc>
          <w:tcPr>
            <w:tcW w:w="1312" w:type="pct"/>
            <w:gridSpan w:val="2"/>
            <w:shd w:val="clear" w:color="auto" w:fill="auto"/>
          </w:tcPr>
          <w:p w14:paraId="499C49DB" w14:textId="77777777" w:rsidR="00334189" w:rsidRPr="00151023" w:rsidRDefault="00334189" w:rsidP="00E9171F">
            <w:pPr>
              <w:pStyle w:val="TableText0"/>
              <w:jc w:val="center"/>
            </w:pPr>
            <w:r w:rsidRPr="00151023">
              <w:t>QIVc</w:t>
            </w:r>
          </w:p>
        </w:tc>
        <w:tc>
          <w:tcPr>
            <w:tcW w:w="1389" w:type="pct"/>
            <w:gridSpan w:val="2"/>
            <w:shd w:val="clear" w:color="auto" w:fill="auto"/>
          </w:tcPr>
          <w:p w14:paraId="0BCA36EB" w14:textId="77777777" w:rsidR="00334189" w:rsidRPr="00151023" w:rsidRDefault="00334189" w:rsidP="00E9171F">
            <w:pPr>
              <w:pStyle w:val="TableText0"/>
              <w:jc w:val="center"/>
            </w:pPr>
            <w:r w:rsidRPr="00151023">
              <w:t>Non-influenza comparator</w:t>
            </w:r>
          </w:p>
        </w:tc>
        <w:tc>
          <w:tcPr>
            <w:tcW w:w="1296" w:type="pct"/>
            <w:vMerge/>
          </w:tcPr>
          <w:p w14:paraId="67A99F79" w14:textId="77777777" w:rsidR="00334189" w:rsidRPr="00151023" w:rsidRDefault="00334189" w:rsidP="00D4374D">
            <w:pPr>
              <w:pStyle w:val="TableText0"/>
            </w:pPr>
          </w:p>
        </w:tc>
      </w:tr>
      <w:tr w:rsidR="00334189" w:rsidRPr="00151023" w14:paraId="0B8F46C0" w14:textId="77777777" w:rsidTr="00CC5B99">
        <w:trPr>
          <w:cantSplit/>
          <w:trHeight w:val="20"/>
        </w:trPr>
        <w:tc>
          <w:tcPr>
            <w:tcW w:w="1003" w:type="pct"/>
            <w:vMerge/>
          </w:tcPr>
          <w:p w14:paraId="51F11F3B" w14:textId="77777777" w:rsidR="00334189" w:rsidRPr="00151023" w:rsidRDefault="00334189" w:rsidP="00D4374D">
            <w:pPr>
              <w:pStyle w:val="TableText0"/>
            </w:pPr>
          </w:p>
        </w:tc>
        <w:tc>
          <w:tcPr>
            <w:tcW w:w="610" w:type="pct"/>
            <w:shd w:val="clear" w:color="auto" w:fill="auto"/>
            <w:vAlign w:val="center"/>
          </w:tcPr>
          <w:p w14:paraId="2A480D27" w14:textId="77777777" w:rsidR="00334189" w:rsidRPr="00151023" w:rsidRDefault="00334189" w:rsidP="00E9171F">
            <w:pPr>
              <w:pStyle w:val="TableText0"/>
              <w:jc w:val="center"/>
            </w:pPr>
            <w:r w:rsidRPr="00151023">
              <w:t>N</w:t>
            </w:r>
          </w:p>
        </w:tc>
        <w:tc>
          <w:tcPr>
            <w:tcW w:w="702" w:type="pct"/>
            <w:shd w:val="clear" w:color="auto" w:fill="auto"/>
          </w:tcPr>
          <w:p w14:paraId="292D482B" w14:textId="77777777" w:rsidR="00334189" w:rsidRPr="00151023" w:rsidRDefault="00334189" w:rsidP="00E9171F">
            <w:pPr>
              <w:pStyle w:val="TableText0"/>
              <w:jc w:val="center"/>
            </w:pPr>
            <w:r w:rsidRPr="00151023">
              <w:t>n (%)</w:t>
            </w:r>
          </w:p>
        </w:tc>
        <w:tc>
          <w:tcPr>
            <w:tcW w:w="610" w:type="pct"/>
            <w:shd w:val="clear" w:color="auto" w:fill="auto"/>
          </w:tcPr>
          <w:p w14:paraId="49365989" w14:textId="77777777" w:rsidR="00334189" w:rsidRPr="00151023" w:rsidRDefault="00334189" w:rsidP="00E9171F">
            <w:pPr>
              <w:pStyle w:val="TableText0"/>
              <w:jc w:val="center"/>
            </w:pPr>
            <w:r w:rsidRPr="00151023">
              <w:t>N</w:t>
            </w:r>
          </w:p>
        </w:tc>
        <w:tc>
          <w:tcPr>
            <w:tcW w:w="778" w:type="pct"/>
            <w:shd w:val="clear" w:color="auto" w:fill="auto"/>
          </w:tcPr>
          <w:p w14:paraId="4515B449" w14:textId="77777777" w:rsidR="00334189" w:rsidRPr="00151023" w:rsidRDefault="00334189" w:rsidP="00E9171F">
            <w:pPr>
              <w:pStyle w:val="TableText0"/>
              <w:jc w:val="center"/>
            </w:pPr>
            <w:r w:rsidRPr="00151023">
              <w:t>n (%)</w:t>
            </w:r>
          </w:p>
        </w:tc>
        <w:tc>
          <w:tcPr>
            <w:tcW w:w="1296" w:type="pct"/>
            <w:vMerge/>
            <w:tcBorders>
              <w:bottom w:val="single" w:sz="4" w:space="0" w:color="auto"/>
            </w:tcBorders>
          </w:tcPr>
          <w:p w14:paraId="6CB2345A" w14:textId="77777777" w:rsidR="00334189" w:rsidRPr="00151023" w:rsidRDefault="00334189" w:rsidP="00D4374D">
            <w:pPr>
              <w:pStyle w:val="TableText0"/>
            </w:pPr>
          </w:p>
        </w:tc>
      </w:tr>
      <w:tr w:rsidR="00334189" w:rsidRPr="00151023" w14:paraId="7664DC91" w14:textId="77777777" w:rsidTr="00CC5B99">
        <w:trPr>
          <w:cantSplit/>
        </w:trPr>
        <w:tc>
          <w:tcPr>
            <w:tcW w:w="1003" w:type="pct"/>
          </w:tcPr>
          <w:p w14:paraId="1299F684" w14:textId="77777777" w:rsidR="00334189" w:rsidRPr="00151023" w:rsidRDefault="00334189" w:rsidP="00D4374D">
            <w:pPr>
              <w:pStyle w:val="TableText0"/>
            </w:pPr>
            <w:r w:rsidRPr="00151023">
              <w:t>≥2 to &lt;4 years</w:t>
            </w:r>
          </w:p>
        </w:tc>
        <w:tc>
          <w:tcPr>
            <w:tcW w:w="610" w:type="pct"/>
          </w:tcPr>
          <w:p w14:paraId="3792D35C" w14:textId="77777777" w:rsidR="00334189" w:rsidRPr="00151023" w:rsidRDefault="00334189" w:rsidP="00E9171F">
            <w:pPr>
              <w:pStyle w:val="TableText0"/>
              <w:jc w:val="center"/>
            </w:pPr>
            <w:r w:rsidRPr="00151023">
              <w:t>212</w:t>
            </w:r>
          </w:p>
        </w:tc>
        <w:tc>
          <w:tcPr>
            <w:tcW w:w="702" w:type="pct"/>
          </w:tcPr>
          <w:p w14:paraId="16C34D1C" w14:textId="77777777" w:rsidR="00334189" w:rsidRPr="00151023" w:rsidRDefault="00334189" w:rsidP="00E9171F">
            <w:pPr>
              <w:pStyle w:val="TableText0"/>
              <w:jc w:val="center"/>
            </w:pPr>
            <w:r w:rsidRPr="00151023">
              <w:t>21 (9.9)</w:t>
            </w:r>
          </w:p>
        </w:tc>
        <w:tc>
          <w:tcPr>
            <w:tcW w:w="610" w:type="pct"/>
          </w:tcPr>
          <w:p w14:paraId="5D71F919" w14:textId="77777777" w:rsidR="00334189" w:rsidRPr="00151023" w:rsidRDefault="00334189" w:rsidP="00E9171F">
            <w:pPr>
              <w:pStyle w:val="TableText0"/>
              <w:jc w:val="center"/>
            </w:pPr>
            <w:r w:rsidRPr="00151023">
              <w:t>220</w:t>
            </w:r>
          </w:p>
        </w:tc>
        <w:tc>
          <w:tcPr>
            <w:tcW w:w="778" w:type="pct"/>
          </w:tcPr>
          <w:p w14:paraId="786E0A52" w14:textId="77777777" w:rsidR="00334189" w:rsidRPr="00151023" w:rsidRDefault="00334189" w:rsidP="00E9171F">
            <w:pPr>
              <w:pStyle w:val="TableText0"/>
              <w:jc w:val="center"/>
            </w:pPr>
            <w:r w:rsidRPr="00151023">
              <w:t>54 (24.5)</w:t>
            </w:r>
          </w:p>
        </w:tc>
        <w:tc>
          <w:tcPr>
            <w:tcW w:w="1296" w:type="pct"/>
            <w:tcBorders>
              <w:top w:val="single" w:sz="4" w:space="0" w:color="auto"/>
            </w:tcBorders>
          </w:tcPr>
          <w:p w14:paraId="308EEE9D" w14:textId="77777777" w:rsidR="00334189" w:rsidRPr="00151023" w:rsidRDefault="00334189" w:rsidP="00E9171F">
            <w:pPr>
              <w:pStyle w:val="TableText0"/>
              <w:jc w:val="center"/>
              <w:rPr>
                <w:b/>
                <w:bCs w:val="0"/>
              </w:rPr>
            </w:pPr>
            <w:r w:rsidRPr="00151023">
              <w:rPr>
                <w:b/>
                <w:bCs w:val="0"/>
              </w:rPr>
              <w:t>62.66 (38.06, 77.49)</w:t>
            </w:r>
          </w:p>
        </w:tc>
      </w:tr>
      <w:tr w:rsidR="00334189" w:rsidRPr="00151023" w14:paraId="5B6E21FE" w14:textId="77777777" w:rsidTr="00CC5B99">
        <w:trPr>
          <w:cantSplit/>
        </w:trPr>
        <w:tc>
          <w:tcPr>
            <w:tcW w:w="1003" w:type="pct"/>
          </w:tcPr>
          <w:p w14:paraId="166E9739" w14:textId="77777777" w:rsidR="00334189" w:rsidRPr="00151023" w:rsidRDefault="00334189" w:rsidP="00D4374D">
            <w:pPr>
              <w:pStyle w:val="TableText0"/>
            </w:pPr>
            <w:r w:rsidRPr="00151023">
              <w:t>≥4 to &lt;18 years</w:t>
            </w:r>
          </w:p>
        </w:tc>
        <w:tc>
          <w:tcPr>
            <w:tcW w:w="610" w:type="pct"/>
          </w:tcPr>
          <w:p w14:paraId="2BAC1297" w14:textId="77777777" w:rsidR="00334189" w:rsidRPr="00151023" w:rsidRDefault="00334189" w:rsidP="00E9171F">
            <w:pPr>
              <w:pStyle w:val="TableText0"/>
              <w:jc w:val="center"/>
            </w:pPr>
            <w:r w:rsidRPr="00151023">
              <w:t>2,045</w:t>
            </w:r>
          </w:p>
        </w:tc>
        <w:tc>
          <w:tcPr>
            <w:tcW w:w="702" w:type="pct"/>
          </w:tcPr>
          <w:p w14:paraId="0351FD21" w14:textId="77777777" w:rsidR="00334189" w:rsidRPr="00151023" w:rsidRDefault="00334189" w:rsidP="00E9171F">
            <w:pPr>
              <w:pStyle w:val="TableText0"/>
              <w:jc w:val="center"/>
            </w:pPr>
            <w:r w:rsidRPr="00151023">
              <w:t>154 (7.5)</w:t>
            </w:r>
          </w:p>
        </w:tc>
        <w:tc>
          <w:tcPr>
            <w:tcW w:w="610" w:type="pct"/>
          </w:tcPr>
          <w:p w14:paraId="7B689F65" w14:textId="77777777" w:rsidR="00334189" w:rsidRPr="00151023" w:rsidRDefault="00334189" w:rsidP="00E9171F">
            <w:pPr>
              <w:pStyle w:val="TableText0"/>
              <w:jc w:val="center"/>
            </w:pPr>
            <w:r w:rsidRPr="00151023">
              <w:t>2,032</w:t>
            </w:r>
          </w:p>
        </w:tc>
        <w:tc>
          <w:tcPr>
            <w:tcW w:w="778" w:type="pct"/>
          </w:tcPr>
          <w:p w14:paraId="77B7DFAD" w14:textId="77777777" w:rsidR="00334189" w:rsidRPr="00151023" w:rsidRDefault="00334189" w:rsidP="00E9171F">
            <w:pPr>
              <w:pStyle w:val="TableText0"/>
              <w:jc w:val="center"/>
            </w:pPr>
            <w:r w:rsidRPr="00151023">
              <w:t>310 (15.3)</w:t>
            </w:r>
          </w:p>
        </w:tc>
        <w:tc>
          <w:tcPr>
            <w:tcW w:w="1296" w:type="pct"/>
          </w:tcPr>
          <w:p w14:paraId="640CD5AC" w14:textId="77777777" w:rsidR="00334189" w:rsidRPr="00151023" w:rsidRDefault="00334189" w:rsidP="00E9171F">
            <w:pPr>
              <w:pStyle w:val="TableText0"/>
              <w:jc w:val="center"/>
              <w:rPr>
                <w:b/>
                <w:bCs w:val="0"/>
              </w:rPr>
            </w:pPr>
            <w:r w:rsidRPr="00151023">
              <w:rPr>
                <w:b/>
                <w:bCs w:val="0"/>
              </w:rPr>
              <w:t>53.33 (43.38, 61.54)</w:t>
            </w:r>
          </w:p>
        </w:tc>
      </w:tr>
      <w:tr w:rsidR="00334189" w:rsidRPr="00151023" w14:paraId="1797286E" w14:textId="77777777" w:rsidTr="00CC5B99">
        <w:trPr>
          <w:cantSplit/>
        </w:trPr>
        <w:tc>
          <w:tcPr>
            <w:tcW w:w="1003" w:type="pct"/>
          </w:tcPr>
          <w:p w14:paraId="2B1AE671" w14:textId="77777777" w:rsidR="00334189" w:rsidRPr="00151023" w:rsidRDefault="00334189" w:rsidP="00D4374D">
            <w:pPr>
              <w:pStyle w:val="TableText0"/>
            </w:pPr>
            <w:r w:rsidRPr="00151023">
              <w:t>≥2 to &lt;9 years</w:t>
            </w:r>
          </w:p>
        </w:tc>
        <w:tc>
          <w:tcPr>
            <w:tcW w:w="610" w:type="pct"/>
          </w:tcPr>
          <w:p w14:paraId="4207365F" w14:textId="77777777" w:rsidR="00334189" w:rsidRPr="00151023" w:rsidRDefault="00334189" w:rsidP="00E9171F">
            <w:pPr>
              <w:pStyle w:val="TableText0"/>
              <w:jc w:val="center"/>
            </w:pPr>
            <w:r w:rsidRPr="00151023">
              <w:t>1,146</w:t>
            </w:r>
          </w:p>
        </w:tc>
        <w:tc>
          <w:tcPr>
            <w:tcW w:w="702" w:type="pct"/>
          </w:tcPr>
          <w:p w14:paraId="29BDB2A1" w14:textId="77777777" w:rsidR="00334189" w:rsidRPr="00151023" w:rsidRDefault="00334189" w:rsidP="00E9171F">
            <w:pPr>
              <w:pStyle w:val="TableText0"/>
              <w:jc w:val="center"/>
            </w:pPr>
            <w:r w:rsidRPr="00151023">
              <w:t>123 (10.7)</w:t>
            </w:r>
          </w:p>
        </w:tc>
        <w:tc>
          <w:tcPr>
            <w:tcW w:w="610" w:type="pct"/>
          </w:tcPr>
          <w:p w14:paraId="6D7A9557" w14:textId="77777777" w:rsidR="00334189" w:rsidRPr="00151023" w:rsidRDefault="00334189" w:rsidP="00E9171F">
            <w:pPr>
              <w:pStyle w:val="TableText0"/>
              <w:jc w:val="center"/>
            </w:pPr>
            <w:r w:rsidRPr="00151023">
              <w:t>1,142</w:t>
            </w:r>
          </w:p>
        </w:tc>
        <w:tc>
          <w:tcPr>
            <w:tcW w:w="778" w:type="pct"/>
          </w:tcPr>
          <w:p w14:paraId="12C0160E" w14:textId="77777777" w:rsidR="00334189" w:rsidRPr="00151023" w:rsidRDefault="00334189" w:rsidP="00E9171F">
            <w:pPr>
              <w:pStyle w:val="TableText0"/>
              <w:jc w:val="center"/>
            </w:pPr>
            <w:r w:rsidRPr="00151023">
              <w:t>234 (20.5)</w:t>
            </w:r>
          </w:p>
        </w:tc>
        <w:tc>
          <w:tcPr>
            <w:tcW w:w="1296" w:type="pct"/>
          </w:tcPr>
          <w:p w14:paraId="6E1ADCD7" w14:textId="77777777" w:rsidR="00334189" w:rsidRPr="00151023" w:rsidRDefault="00334189" w:rsidP="00E9171F">
            <w:pPr>
              <w:pStyle w:val="TableText0"/>
              <w:jc w:val="center"/>
              <w:rPr>
                <w:b/>
                <w:bCs w:val="0"/>
              </w:rPr>
            </w:pPr>
            <w:r w:rsidRPr="00151023">
              <w:rPr>
                <w:b/>
                <w:bCs w:val="0"/>
              </w:rPr>
              <w:t>50.51 (38.43, 60.22)</w:t>
            </w:r>
          </w:p>
        </w:tc>
      </w:tr>
      <w:tr w:rsidR="00334189" w:rsidRPr="00151023" w14:paraId="52922FF7" w14:textId="77777777" w:rsidTr="00CC5B99">
        <w:trPr>
          <w:cantSplit/>
          <w:trHeight w:val="180"/>
        </w:trPr>
        <w:tc>
          <w:tcPr>
            <w:tcW w:w="1003" w:type="pct"/>
          </w:tcPr>
          <w:p w14:paraId="1CF6D569" w14:textId="77777777" w:rsidR="00334189" w:rsidRPr="00151023" w:rsidRDefault="00334189" w:rsidP="00D4374D">
            <w:pPr>
              <w:pStyle w:val="TableText0"/>
            </w:pPr>
            <w:r w:rsidRPr="00151023">
              <w:t>≥9 to &lt;18 years</w:t>
            </w:r>
          </w:p>
        </w:tc>
        <w:tc>
          <w:tcPr>
            <w:tcW w:w="610" w:type="pct"/>
          </w:tcPr>
          <w:p w14:paraId="4465E1A1" w14:textId="77777777" w:rsidR="00334189" w:rsidRPr="00151023" w:rsidRDefault="00334189" w:rsidP="00E9171F">
            <w:pPr>
              <w:pStyle w:val="TableText0"/>
              <w:jc w:val="center"/>
            </w:pPr>
            <w:r w:rsidRPr="00151023">
              <w:t>1,111</w:t>
            </w:r>
          </w:p>
        </w:tc>
        <w:tc>
          <w:tcPr>
            <w:tcW w:w="702" w:type="pct"/>
          </w:tcPr>
          <w:p w14:paraId="138DB814" w14:textId="77777777" w:rsidR="00334189" w:rsidRPr="00151023" w:rsidRDefault="00334189" w:rsidP="00E9171F">
            <w:pPr>
              <w:pStyle w:val="TableText0"/>
              <w:jc w:val="center"/>
            </w:pPr>
            <w:r w:rsidRPr="00151023">
              <w:t>52 (4.7)</w:t>
            </w:r>
          </w:p>
        </w:tc>
        <w:tc>
          <w:tcPr>
            <w:tcW w:w="610" w:type="pct"/>
          </w:tcPr>
          <w:p w14:paraId="3EDBA1E5" w14:textId="77777777" w:rsidR="00334189" w:rsidRPr="00151023" w:rsidRDefault="00334189" w:rsidP="00E9171F">
            <w:pPr>
              <w:pStyle w:val="TableText0"/>
              <w:jc w:val="center"/>
            </w:pPr>
            <w:r w:rsidRPr="00151023">
              <w:t>1,110</w:t>
            </w:r>
          </w:p>
        </w:tc>
        <w:tc>
          <w:tcPr>
            <w:tcW w:w="778" w:type="pct"/>
          </w:tcPr>
          <w:p w14:paraId="0ADEA4BD" w14:textId="77777777" w:rsidR="00334189" w:rsidRPr="00151023" w:rsidRDefault="00334189" w:rsidP="00E9171F">
            <w:pPr>
              <w:pStyle w:val="TableText0"/>
              <w:jc w:val="center"/>
            </w:pPr>
            <w:r w:rsidRPr="00151023">
              <w:t>130 (11.7)</w:t>
            </w:r>
          </w:p>
        </w:tc>
        <w:tc>
          <w:tcPr>
            <w:tcW w:w="1296" w:type="pct"/>
          </w:tcPr>
          <w:p w14:paraId="1A629245" w14:textId="77777777" w:rsidR="00334189" w:rsidRPr="00151023" w:rsidRDefault="00334189" w:rsidP="00E9171F">
            <w:pPr>
              <w:pStyle w:val="TableText0"/>
              <w:jc w:val="center"/>
              <w:rPr>
                <w:b/>
                <w:bCs w:val="0"/>
              </w:rPr>
            </w:pPr>
            <w:r w:rsidRPr="00151023">
              <w:rPr>
                <w:b/>
                <w:bCs w:val="0"/>
              </w:rPr>
              <w:t>61.85 (47.37, 72.34)</w:t>
            </w:r>
          </w:p>
        </w:tc>
      </w:tr>
    </w:tbl>
    <w:p w14:paraId="4D46FAD6" w14:textId="265B18D1" w:rsidR="00334189" w:rsidRPr="00151023" w:rsidRDefault="00334189" w:rsidP="003D38C5">
      <w:pPr>
        <w:pStyle w:val="FooterTableFigure"/>
      </w:pPr>
      <w:r w:rsidRPr="00151023">
        <w:t xml:space="preserve">Source: Table 2.6.1, p76 of the </w:t>
      </w:r>
      <w:r w:rsidR="002900B0" w:rsidRPr="00151023">
        <w:t>submission</w:t>
      </w:r>
      <w:r w:rsidRPr="00151023">
        <w:t>.</w:t>
      </w:r>
    </w:p>
    <w:p w14:paraId="3711B0FE" w14:textId="056A4AF5" w:rsidR="00334189" w:rsidRPr="00151023" w:rsidRDefault="00334189" w:rsidP="003D38C5">
      <w:pPr>
        <w:pStyle w:val="FooterTableFigure"/>
      </w:pPr>
      <w:r w:rsidRPr="00151023">
        <w:t>CI = confidence interval; FAS = Full Analysis Set (FAS);</w:t>
      </w:r>
      <w:r w:rsidR="003D38C5" w:rsidRPr="00151023">
        <w:t xml:space="preserve"> QIVc = Cell-based quadrivalent subunit influenza virus vaccine;</w:t>
      </w:r>
      <w:r w:rsidRPr="00151023">
        <w:t xml:space="preserve"> RT-PCR = re</w:t>
      </w:r>
      <w:r w:rsidR="003D38C5" w:rsidRPr="00151023">
        <w:t>verse transcription</w:t>
      </w:r>
      <w:r w:rsidRPr="00151023">
        <w:t xml:space="preserve"> polymerase chain reaction.</w:t>
      </w:r>
    </w:p>
    <w:p w14:paraId="3CBFE487" w14:textId="77777777" w:rsidR="00334189" w:rsidRPr="00151023" w:rsidRDefault="00334189" w:rsidP="003D38C5">
      <w:pPr>
        <w:pStyle w:val="FooterTableFigure"/>
      </w:pPr>
      <w:r w:rsidRPr="00151023">
        <w:t>Efficacy: All participants in the All Enrolled Set who received at least one dose of study vaccine and were evaluated for efficacy from 14 days after the last vaccination.</w:t>
      </w:r>
    </w:p>
    <w:p w14:paraId="1FD61475" w14:textId="28AEEA3C" w:rsidR="00DA3167" w:rsidRPr="00151023" w:rsidRDefault="00334189" w:rsidP="003F0FA9">
      <w:pPr>
        <w:pStyle w:val="FooterTableFigure"/>
        <w:spacing w:after="240"/>
      </w:pPr>
      <w:proofErr w:type="spellStart"/>
      <w:r w:rsidRPr="00151023">
        <w:rPr>
          <w:vertAlign w:val="superscript"/>
        </w:rPr>
        <w:t>a</w:t>
      </w:r>
      <w:r w:rsidRPr="00151023">
        <w:t>Adjusted</w:t>
      </w:r>
      <w:proofErr w:type="spellEnd"/>
      <w:r w:rsidRPr="00151023">
        <w:t xml:space="preserve"> absolute vaccine efficacy</w:t>
      </w:r>
    </w:p>
    <w:p w14:paraId="72DB915C" w14:textId="74C9F336" w:rsidR="00247925" w:rsidRPr="00151023" w:rsidRDefault="00C47EFC" w:rsidP="00EB0AB6">
      <w:pPr>
        <w:pStyle w:val="3-BodyText"/>
      </w:pPr>
      <w:r w:rsidRPr="00151023">
        <w:t>T</w:t>
      </w:r>
      <w:r w:rsidR="00D3352B" w:rsidRPr="00151023">
        <w:t>here were no statistically significant differences in absolute vaccine efficacy between the age groups (between ≥2 years to &lt;4 years and ≥4 years to &lt;18 years, and between ≥2 years to &lt;9 years and ≥9 years to &lt;18 years), with overlapping 95% CIs around the point estimates. The</w:t>
      </w:r>
      <w:r w:rsidR="004C136A" w:rsidRPr="00151023">
        <w:t xml:space="preserve"> </w:t>
      </w:r>
      <w:r w:rsidR="004C136A" w:rsidRPr="00151023">
        <w:rPr>
          <w:iCs/>
        </w:rPr>
        <w:t>ESC noted</w:t>
      </w:r>
      <w:r w:rsidR="00D3352B" w:rsidRPr="00151023">
        <w:t xml:space="preserve"> that the absolute vaccine efficacy (</w:t>
      </w:r>
      <w:proofErr w:type="spellStart"/>
      <w:r w:rsidR="00D3352B" w:rsidRPr="00151023">
        <w:t>aVE</w:t>
      </w:r>
      <w:proofErr w:type="spellEnd"/>
      <w:r w:rsidR="00D3352B" w:rsidRPr="00151023">
        <w:t xml:space="preserve">) results support the consistent efficacy of QIVc across </w:t>
      </w:r>
      <w:r w:rsidR="007F1754" w:rsidRPr="00151023">
        <w:rPr>
          <w:iCs/>
        </w:rPr>
        <w:t>individuals</w:t>
      </w:r>
      <w:r w:rsidR="007F1754" w:rsidRPr="00151023">
        <w:t xml:space="preserve"> </w:t>
      </w:r>
      <w:r w:rsidR="00D3352B" w:rsidRPr="00151023">
        <w:t>age</w:t>
      </w:r>
      <w:r w:rsidR="007F1754" w:rsidRPr="00151023">
        <w:t>d</w:t>
      </w:r>
      <w:r w:rsidR="00D3352B" w:rsidRPr="00151023">
        <w:t xml:space="preserve"> ≥2 years to &lt;</w:t>
      </w:r>
      <w:r w:rsidR="004C136A" w:rsidRPr="00151023">
        <w:t>4</w:t>
      </w:r>
      <w:r w:rsidR="00D3352B" w:rsidRPr="00151023">
        <w:t xml:space="preserve"> years</w:t>
      </w:r>
      <w:r w:rsidR="007F1754" w:rsidRPr="00151023">
        <w:t xml:space="preserve"> </w:t>
      </w:r>
      <w:r w:rsidR="007F1754" w:rsidRPr="00151023">
        <w:rPr>
          <w:iCs/>
        </w:rPr>
        <w:t>and other age groups</w:t>
      </w:r>
      <w:r w:rsidR="00D3352B" w:rsidRPr="00151023">
        <w:rPr>
          <w:iCs/>
        </w:rPr>
        <w:t xml:space="preserve">. </w:t>
      </w:r>
      <w:r w:rsidR="004C136A" w:rsidRPr="00151023">
        <w:rPr>
          <w:iCs/>
        </w:rPr>
        <w:t xml:space="preserve">However, </w:t>
      </w:r>
      <w:r w:rsidR="00EB3451" w:rsidRPr="00151023">
        <w:rPr>
          <w:iCs/>
        </w:rPr>
        <w:t xml:space="preserve">the </w:t>
      </w:r>
      <w:r w:rsidR="00E9171F" w:rsidRPr="00151023">
        <w:rPr>
          <w:iCs/>
        </w:rPr>
        <w:t xml:space="preserve">ESC </w:t>
      </w:r>
      <w:r w:rsidR="004C136A" w:rsidRPr="00151023">
        <w:rPr>
          <w:iCs/>
        </w:rPr>
        <w:t>also noted that t</w:t>
      </w:r>
      <w:r w:rsidR="00D3352B" w:rsidRPr="00151023">
        <w:rPr>
          <w:iCs/>
        </w:rPr>
        <w:t>he comparator in study V130_12 is a non-influenza vaccine and thus the results do not inform the relative effectiveness of QIVc compared with QIVe.</w:t>
      </w:r>
      <w:r w:rsidR="00D3352B" w:rsidRPr="00151023">
        <w:t xml:space="preserve"> </w:t>
      </w:r>
    </w:p>
    <w:p w14:paraId="5AA7E2BF" w14:textId="77777777" w:rsidR="00B60939" w:rsidRPr="00151023" w:rsidRDefault="00B60939" w:rsidP="00D86231">
      <w:pPr>
        <w:pStyle w:val="4-SubsectionHeading"/>
      </w:pPr>
      <w:bookmarkStart w:id="23" w:name="_Toc22897642"/>
      <w:bookmarkStart w:id="24" w:name="_Toc156985372"/>
      <w:r w:rsidRPr="00151023">
        <w:t>Comparative harms</w:t>
      </w:r>
      <w:bookmarkEnd w:id="23"/>
      <w:bookmarkEnd w:id="24"/>
    </w:p>
    <w:p w14:paraId="3DD308D5" w14:textId="13D5EE0D" w:rsidR="00D3352B" w:rsidRPr="00151023" w:rsidRDefault="00D3352B" w:rsidP="00D3352B">
      <w:pPr>
        <w:pStyle w:val="3-BodyText"/>
      </w:pPr>
      <w:r w:rsidRPr="00151023">
        <w:t xml:space="preserve">Safety data from V130_10 was used to demonstrate the safety profile of QIVc compared to QIVe. </w:t>
      </w:r>
      <w:r w:rsidRPr="00151023">
        <w:rPr>
          <w:iCs/>
        </w:rPr>
        <w:t>Th</w:t>
      </w:r>
      <w:r w:rsidR="00D854FE" w:rsidRPr="00151023">
        <w:rPr>
          <w:iCs/>
        </w:rPr>
        <w:t>e evaluation considered that th</w:t>
      </w:r>
      <w:r w:rsidRPr="00151023">
        <w:rPr>
          <w:iCs/>
        </w:rPr>
        <w:t xml:space="preserve">is </w:t>
      </w:r>
      <w:r w:rsidR="00D854FE" w:rsidRPr="00151023">
        <w:rPr>
          <w:iCs/>
        </w:rPr>
        <w:t>wa</w:t>
      </w:r>
      <w:r w:rsidRPr="00151023">
        <w:rPr>
          <w:iCs/>
        </w:rPr>
        <w:t xml:space="preserve">s reasonable as the direct trial population enrolled </w:t>
      </w:r>
      <w:r w:rsidR="00FD5ABE" w:rsidRPr="00151023">
        <w:rPr>
          <w:iCs/>
        </w:rPr>
        <w:t>children</w:t>
      </w:r>
      <w:r w:rsidR="00EE1D5D" w:rsidRPr="00151023">
        <w:rPr>
          <w:iCs/>
        </w:rPr>
        <w:t xml:space="preserve"> </w:t>
      </w:r>
      <w:r w:rsidRPr="00151023">
        <w:rPr>
          <w:iCs/>
        </w:rPr>
        <w:t xml:space="preserve">six months to 47 months of age. These data have been considered by the PBAC </w:t>
      </w:r>
      <w:r w:rsidR="00E9171F" w:rsidRPr="00151023">
        <w:rPr>
          <w:iCs/>
        </w:rPr>
        <w:t>at</w:t>
      </w:r>
      <w:r w:rsidRPr="00151023">
        <w:rPr>
          <w:iCs/>
        </w:rPr>
        <w:t xml:space="preserve"> the September 2022 Intracycle meeting</w:t>
      </w:r>
      <w:r w:rsidRPr="00151023">
        <w:t>.</w:t>
      </w:r>
    </w:p>
    <w:p w14:paraId="64069A7C" w14:textId="1F2C71E5" w:rsidR="00D3352B" w:rsidRPr="00151023" w:rsidRDefault="00D3352B" w:rsidP="00D3352B">
      <w:pPr>
        <w:pStyle w:val="3-BodyText"/>
      </w:pPr>
      <w:r w:rsidRPr="00151023">
        <w:t>The key safety results for solicited and unsolicited adverse eve</w:t>
      </w:r>
      <w:r w:rsidR="0007751A" w:rsidRPr="00151023">
        <w:t>n</w:t>
      </w:r>
      <w:r w:rsidRPr="00151023">
        <w:t>ts (AEs) are summarised in</w:t>
      </w:r>
      <w:r w:rsidR="0007751A" w:rsidRPr="00151023">
        <w:t xml:space="preserve"> </w:t>
      </w:r>
      <w:r w:rsidR="0007751A" w:rsidRPr="00151023">
        <w:fldChar w:fldCharType="begin" w:fldLock="1"/>
      </w:r>
      <w:r w:rsidR="0007751A" w:rsidRPr="00151023">
        <w:instrText xml:space="preserve"> REF _Ref152063046 \h </w:instrText>
      </w:r>
      <w:r w:rsidR="0007751A" w:rsidRPr="00151023">
        <w:fldChar w:fldCharType="separate"/>
      </w:r>
      <w:r w:rsidR="00603A66" w:rsidRPr="00151023">
        <w:t>Table 5</w:t>
      </w:r>
      <w:r w:rsidR="0007751A" w:rsidRPr="00151023">
        <w:fldChar w:fldCharType="end"/>
      </w:r>
      <w:r w:rsidR="0007751A" w:rsidRPr="00151023">
        <w:t xml:space="preserve"> and </w:t>
      </w:r>
      <w:r w:rsidR="0007751A" w:rsidRPr="00151023">
        <w:fldChar w:fldCharType="begin" w:fldLock="1"/>
      </w:r>
      <w:r w:rsidR="0007751A" w:rsidRPr="00151023">
        <w:instrText xml:space="preserve"> REF _Ref152063049 \h </w:instrText>
      </w:r>
      <w:r w:rsidR="0007751A" w:rsidRPr="00151023">
        <w:fldChar w:fldCharType="separate"/>
      </w:r>
      <w:r w:rsidR="00603A66" w:rsidRPr="00151023">
        <w:t>Table 6</w:t>
      </w:r>
      <w:r w:rsidR="0007751A" w:rsidRPr="00151023">
        <w:fldChar w:fldCharType="end"/>
      </w:r>
      <w:r w:rsidR="0007751A" w:rsidRPr="00151023">
        <w:t>, respectively.</w:t>
      </w:r>
    </w:p>
    <w:p w14:paraId="03635B85" w14:textId="7804787F" w:rsidR="00D3352B" w:rsidRPr="00151023" w:rsidRDefault="00D3352B" w:rsidP="0051729C">
      <w:pPr>
        <w:pStyle w:val="Caption"/>
        <w:rPr>
          <w:sz w:val="16"/>
          <w:szCs w:val="16"/>
        </w:rPr>
      </w:pPr>
      <w:bookmarkStart w:id="25" w:name="_Ref152063046"/>
      <w:r w:rsidRPr="00151023">
        <w:t xml:space="preserve">Table </w:t>
      </w:r>
      <w:fldSimple w:instr=" SEQ Table \* ARABIC " w:fldLock="1">
        <w:r w:rsidR="00603A66" w:rsidRPr="00151023">
          <w:t>5</w:t>
        </w:r>
      </w:fldSimple>
      <w:bookmarkEnd w:id="25"/>
      <w:r w:rsidRPr="00151023">
        <w:t xml:space="preserve">: </w:t>
      </w:r>
      <w:r w:rsidR="0007751A" w:rsidRPr="00151023">
        <w:t xml:space="preserve">V130_10 - </w:t>
      </w:r>
      <w:r w:rsidRPr="00151023">
        <w:t xml:space="preserve">Number (%) of participants with at least one solicited adverse </w:t>
      </w:r>
      <w:proofErr w:type="spellStart"/>
      <w:r w:rsidRPr="00151023">
        <w:t>event</w:t>
      </w:r>
      <w:r w:rsidRPr="00151023">
        <w:rPr>
          <w:vertAlign w:val="superscript"/>
        </w:rPr>
        <w:t>a</w:t>
      </w:r>
      <w:proofErr w:type="spellEnd"/>
      <w:r w:rsidRPr="00151023">
        <w:t xml:space="preserve"> postvaccination (Day 1 through Day 7) – solicited safety </w:t>
      </w:r>
      <w:proofErr w:type="spellStart"/>
      <w:r w:rsidRPr="00151023">
        <w:t>set</w:t>
      </w:r>
      <w:r w:rsidRPr="00151023">
        <w:rPr>
          <w:vertAlign w:val="superscript"/>
        </w:rPr>
        <w:t>b</w:t>
      </w:r>
      <w:proofErr w:type="spellEnd"/>
    </w:p>
    <w:tbl>
      <w:tblPr>
        <w:tblStyle w:val="TableGrid"/>
        <w:tblW w:w="0" w:type="auto"/>
        <w:tblLayout w:type="fixed"/>
        <w:tblLook w:val="04A0" w:firstRow="1" w:lastRow="0" w:firstColumn="1" w:lastColumn="0" w:noHBand="0" w:noVBand="1"/>
      </w:tblPr>
      <w:tblGrid>
        <w:gridCol w:w="2145"/>
        <w:gridCol w:w="1695"/>
        <w:gridCol w:w="1560"/>
        <w:gridCol w:w="1695"/>
        <w:gridCol w:w="1830"/>
      </w:tblGrid>
      <w:tr w:rsidR="00D3352B" w:rsidRPr="00151023" w14:paraId="730A2AFA" w14:textId="77777777" w:rsidTr="00D4374D">
        <w:tc>
          <w:tcPr>
            <w:tcW w:w="2145" w:type="dxa"/>
            <w:vMerge w:val="restart"/>
            <w:tcBorders>
              <w:top w:val="single" w:sz="6" w:space="0" w:color="auto"/>
              <w:left w:val="single" w:sz="6" w:space="0" w:color="auto"/>
              <w:right w:val="single" w:sz="6" w:space="0" w:color="auto"/>
            </w:tcBorders>
          </w:tcPr>
          <w:p w14:paraId="15BAAE3F" w14:textId="77777777" w:rsidR="00D3352B" w:rsidRPr="00151023" w:rsidRDefault="00D3352B" w:rsidP="0051729C">
            <w:pPr>
              <w:pStyle w:val="TableText0"/>
              <w:rPr>
                <w:b/>
                <w:bCs w:val="0"/>
              </w:rPr>
            </w:pPr>
            <w:r w:rsidRPr="00151023">
              <w:rPr>
                <w:b/>
                <w:bCs w:val="0"/>
              </w:rPr>
              <w:t>Solicited adverse event n (%)</w:t>
            </w:r>
          </w:p>
        </w:tc>
        <w:tc>
          <w:tcPr>
            <w:tcW w:w="6780" w:type="dxa"/>
            <w:gridSpan w:val="4"/>
            <w:tcBorders>
              <w:left w:val="single" w:sz="6" w:space="0" w:color="auto"/>
            </w:tcBorders>
          </w:tcPr>
          <w:p w14:paraId="35BB71D1" w14:textId="76EB80A4" w:rsidR="00D3352B" w:rsidRPr="00151023" w:rsidRDefault="0007751A" w:rsidP="0051729C">
            <w:pPr>
              <w:pStyle w:val="TableText0"/>
              <w:jc w:val="center"/>
              <w:rPr>
                <w:b/>
                <w:bCs w:val="0"/>
              </w:rPr>
            </w:pPr>
            <w:r w:rsidRPr="00151023">
              <w:rPr>
                <w:b/>
                <w:bCs w:val="0"/>
              </w:rPr>
              <w:t>Duration after vaccin</w:t>
            </w:r>
            <w:r w:rsidR="001A7EF4" w:rsidRPr="00151023">
              <w:rPr>
                <w:b/>
                <w:bCs w:val="0"/>
              </w:rPr>
              <w:t>a</w:t>
            </w:r>
            <w:r w:rsidRPr="00151023">
              <w:rPr>
                <w:b/>
                <w:bCs w:val="0"/>
              </w:rPr>
              <w:t>tion</w:t>
            </w:r>
          </w:p>
        </w:tc>
      </w:tr>
      <w:tr w:rsidR="00D3352B" w:rsidRPr="00151023" w14:paraId="1BF58A9A" w14:textId="77777777" w:rsidTr="00D4374D">
        <w:tc>
          <w:tcPr>
            <w:tcW w:w="2145" w:type="dxa"/>
            <w:vMerge/>
            <w:vAlign w:val="center"/>
          </w:tcPr>
          <w:p w14:paraId="681FA0AB" w14:textId="77777777" w:rsidR="00D3352B" w:rsidRPr="00151023" w:rsidRDefault="00D3352B" w:rsidP="0051729C">
            <w:pPr>
              <w:pStyle w:val="TableText0"/>
              <w:rPr>
                <w:b/>
                <w:bCs w:val="0"/>
              </w:rPr>
            </w:pPr>
          </w:p>
        </w:tc>
        <w:tc>
          <w:tcPr>
            <w:tcW w:w="3255" w:type="dxa"/>
            <w:gridSpan w:val="2"/>
            <w:tcBorders>
              <w:left w:val="single" w:sz="6" w:space="0" w:color="auto"/>
            </w:tcBorders>
          </w:tcPr>
          <w:p w14:paraId="2063B709" w14:textId="77777777" w:rsidR="00D3352B" w:rsidRPr="00151023" w:rsidRDefault="00D3352B" w:rsidP="0051729C">
            <w:pPr>
              <w:pStyle w:val="TableText0"/>
              <w:jc w:val="center"/>
              <w:rPr>
                <w:b/>
                <w:bCs w:val="0"/>
              </w:rPr>
            </w:pPr>
            <w:r w:rsidRPr="00151023">
              <w:rPr>
                <w:b/>
                <w:bCs w:val="0"/>
              </w:rPr>
              <w:t xml:space="preserve">30 minutes </w:t>
            </w:r>
            <w:r w:rsidRPr="00151023">
              <w:rPr>
                <w:b/>
                <w:bCs w:val="0"/>
              </w:rPr>
              <w:br/>
              <w:t>after any vaccination</w:t>
            </w:r>
          </w:p>
        </w:tc>
        <w:tc>
          <w:tcPr>
            <w:tcW w:w="3525" w:type="dxa"/>
            <w:gridSpan w:val="2"/>
          </w:tcPr>
          <w:p w14:paraId="2C7191DD" w14:textId="77777777" w:rsidR="00D3352B" w:rsidRPr="00151023" w:rsidRDefault="00D3352B" w:rsidP="0051729C">
            <w:pPr>
              <w:pStyle w:val="TableText0"/>
              <w:jc w:val="center"/>
              <w:rPr>
                <w:b/>
                <w:bCs w:val="0"/>
              </w:rPr>
            </w:pPr>
            <w:r w:rsidRPr="00151023">
              <w:rPr>
                <w:b/>
                <w:bCs w:val="0"/>
              </w:rPr>
              <w:t xml:space="preserve">Day 1 through 7 days </w:t>
            </w:r>
            <w:r w:rsidRPr="00151023">
              <w:rPr>
                <w:b/>
                <w:bCs w:val="0"/>
              </w:rPr>
              <w:br/>
              <w:t>after any vaccination</w:t>
            </w:r>
          </w:p>
        </w:tc>
      </w:tr>
      <w:tr w:rsidR="00D3352B" w:rsidRPr="00151023" w14:paraId="70754579" w14:textId="77777777" w:rsidTr="00D4374D">
        <w:tc>
          <w:tcPr>
            <w:tcW w:w="2145" w:type="dxa"/>
            <w:vMerge/>
            <w:vAlign w:val="center"/>
          </w:tcPr>
          <w:p w14:paraId="35D2FC14" w14:textId="77777777" w:rsidR="00D3352B" w:rsidRPr="00151023" w:rsidRDefault="00D3352B" w:rsidP="0051729C">
            <w:pPr>
              <w:pStyle w:val="TableText0"/>
            </w:pPr>
          </w:p>
        </w:tc>
        <w:tc>
          <w:tcPr>
            <w:tcW w:w="1695" w:type="dxa"/>
            <w:tcBorders>
              <w:left w:val="single" w:sz="6" w:space="0" w:color="auto"/>
            </w:tcBorders>
          </w:tcPr>
          <w:p w14:paraId="7A1D65B3" w14:textId="77777777" w:rsidR="00D3352B" w:rsidRPr="00151023" w:rsidRDefault="00D3352B" w:rsidP="0051729C">
            <w:pPr>
              <w:pStyle w:val="TableText0"/>
              <w:jc w:val="center"/>
            </w:pPr>
            <w:r w:rsidRPr="00151023">
              <w:t>QIVc</w:t>
            </w:r>
          </w:p>
        </w:tc>
        <w:tc>
          <w:tcPr>
            <w:tcW w:w="1560" w:type="dxa"/>
          </w:tcPr>
          <w:p w14:paraId="54D38D72" w14:textId="77777777" w:rsidR="00D3352B" w:rsidRPr="00151023" w:rsidRDefault="00D3352B" w:rsidP="0051729C">
            <w:pPr>
              <w:pStyle w:val="TableText0"/>
              <w:jc w:val="center"/>
            </w:pPr>
            <w:r w:rsidRPr="00151023">
              <w:t>QIVe</w:t>
            </w:r>
          </w:p>
        </w:tc>
        <w:tc>
          <w:tcPr>
            <w:tcW w:w="1695" w:type="dxa"/>
          </w:tcPr>
          <w:p w14:paraId="52E62D59" w14:textId="77777777" w:rsidR="00D3352B" w:rsidRPr="00151023" w:rsidRDefault="00D3352B" w:rsidP="0051729C">
            <w:pPr>
              <w:pStyle w:val="TableText0"/>
              <w:jc w:val="center"/>
            </w:pPr>
            <w:r w:rsidRPr="00151023">
              <w:t>QIVc</w:t>
            </w:r>
          </w:p>
        </w:tc>
        <w:tc>
          <w:tcPr>
            <w:tcW w:w="1830" w:type="dxa"/>
          </w:tcPr>
          <w:p w14:paraId="63668E7D" w14:textId="77777777" w:rsidR="00D3352B" w:rsidRPr="00151023" w:rsidRDefault="00D3352B" w:rsidP="0051729C">
            <w:pPr>
              <w:pStyle w:val="TableText0"/>
              <w:jc w:val="center"/>
            </w:pPr>
            <w:r w:rsidRPr="00151023">
              <w:t>QIVe</w:t>
            </w:r>
          </w:p>
        </w:tc>
      </w:tr>
      <w:tr w:rsidR="00D3352B" w:rsidRPr="00151023" w14:paraId="7593CB55" w14:textId="77777777" w:rsidTr="00D4374D">
        <w:tc>
          <w:tcPr>
            <w:tcW w:w="2145" w:type="dxa"/>
            <w:tcBorders>
              <w:top w:val="single" w:sz="6" w:space="0" w:color="auto"/>
              <w:left w:val="single" w:sz="6" w:space="0" w:color="auto"/>
              <w:right w:val="single" w:sz="6" w:space="0" w:color="auto"/>
            </w:tcBorders>
          </w:tcPr>
          <w:p w14:paraId="5DF71AA8" w14:textId="77777777" w:rsidR="00D3352B" w:rsidRPr="00151023" w:rsidRDefault="00D3352B" w:rsidP="0051729C">
            <w:pPr>
              <w:pStyle w:val="TableText0"/>
            </w:pPr>
            <w:r w:rsidRPr="00151023">
              <w:t>N</w:t>
            </w:r>
          </w:p>
        </w:tc>
        <w:tc>
          <w:tcPr>
            <w:tcW w:w="1695" w:type="dxa"/>
            <w:shd w:val="clear" w:color="auto" w:fill="C6D9F1" w:themeFill="text2" w:themeFillTint="33"/>
          </w:tcPr>
          <w:p w14:paraId="6BC687DB" w14:textId="77777777" w:rsidR="00D3352B" w:rsidRPr="00151023" w:rsidRDefault="00D3352B" w:rsidP="0051729C">
            <w:pPr>
              <w:pStyle w:val="TableText0"/>
              <w:jc w:val="center"/>
              <w:rPr>
                <w:szCs w:val="20"/>
              </w:rPr>
            </w:pPr>
            <w:r w:rsidRPr="00151023">
              <w:rPr>
                <w:szCs w:val="20"/>
              </w:rPr>
              <w:t>1,564</w:t>
            </w:r>
          </w:p>
        </w:tc>
        <w:tc>
          <w:tcPr>
            <w:tcW w:w="1560" w:type="dxa"/>
            <w:shd w:val="clear" w:color="auto" w:fill="C6D9F1" w:themeFill="text2" w:themeFillTint="33"/>
          </w:tcPr>
          <w:p w14:paraId="3A56BAD2" w14:textId="77777777" w:rsidR="00D3352B" w:rsidRPr="00151023" w:rsidRDefault="00D3352B" w:rsidP="0051729C">
            <w:pPr>
              <w:pStyle w:val="TableText0"/>
              <w:jc w:val="center"/>
              <w:rPr>
                <w:szCs w:val="20"/>
              </w:rPr>
            </w:pPr>
            <w:r w:rsidRPr="00151023">
              <w:rPr>
                <w:szCs w:val="20"/>
              </w:rPr>
              <w:t>784</w:t>
            </w:r>
          </w:p>
        </w:tc>
        <w:tc>
          <w:tcPr>
            <w:tcW w:w="1695" w:type="dxa"/>
            <w:shd w:val="clear" w:color="auto" w:fill="C6D9F1" w:themeFill="text2" w:themeFillTint="33"/>
          </w:tcPr>
          <w:p w14:paraId="2C49D13F" w14:textId="77777777" w:rsidR="00D3352B" w:rsidRPr="00151023" w:rsidRDefault="00D3352B" w:rsidP="0051729C">
            <w:pPr>
              <w:pStyle w:val="TableText0"/>
              <w:jc w:val="center"/>
              <w:rPr>
                <w:szCs w:val="20"/>
              </w:rPr>
            </w:pPr>
            <w:r w:rsidRPr="00151023">
              <w:rPr>
                <w:szCs w:val="20"/>
              </w:rPr>
              <w:t>1,564</w:t>
            </w:r>
          </w:p>
        </w:tc>
        <w:tc>
          <w:tcPr>
            <w:tcW w:w="1830" w:type="dxa"/>
            <w:shd w:val="clear" w:color="auto" w:fill="C6D9F1" w:themeFill="text2" w:themeFillTint="33"/>
          </w:tcPr>
          <w:p w14:paraId="26ED3841" w14:textId="77777777" w:rsidR="00D3352B" w:rsidRPr="00151023" w:rsidRDefault="00D3352B" w:rsidP="0051729C">
            <w:pPr>
              <w:pStyle w:val="TableText0"/>
              <w:jc w:val="center"/>
              <w:rPr>
                <w:szCs w:val="20"/>
              </w:rPr>
            </w:pPr>
            <w:r w:rsidRPr="00151023">
              <w:rPr>
                <w:szCs w:val="20"/>
              </w:rPr>
              <w:t>784</w:t>
            </w:r>
          </w:p>
        </w:tc>
      </w:tr>
      <w:tr w:rsidR="00D3352B" w:rsidRPr="00151023" w14:paraId="7405E01F" w14:textId="77777777" w:rsidTr="00D4374D">
        <w:tc>
          <w:tcPr>
            <w:tcW w:w="2145" w:type="dxa"/>
            <w:tcBorders>
              <w:left w:val="single" w:sz="6" w:space="0" w:color="auto"/>
              <w:right w:val="single" w:sz="6" w:space="0" w:color="auto"/>
            </w:tcBorders>
          </w:tcPr>
          <w:p w14:paraId="41EC8526" w14:textId="77777777" w:rsidR="00D3352B" w:rsidRPr="00151023" w:rsidRDefault="00D3352B" w:rsidP="0051729C">
            <w:pPr>
              <w:pStyle w:val="TableText0"/>
            </w:pPr>
            <w:r w:rsidRPr="00151023">
              <w:t>Any</w:t>
            </w:r>
          </w:p>
        </w:tc>
        <w:tc>
          <w:tcPr>
            <w:tcW w:w="1695" w:type="dxa"/>
            <w:shd w:val="clear" w:color="auto" w:fill="C6D9F1" w:themeFill="text2" w:themeFillTint="33"/>
          </w:tcPr>
          <w:p w14:paraId="29BCD3A7" w14:textId="77777777" w:rsidR="00D3352B" w:rsidRPr="00151023" w:rsidRDefault="00D3352B" w:rsidP="0051729C">
            <w:pPr>
              <w:pStyle w:val="TableText0"/>
              <w:jc w:val="center"/>
              <w:rPr>
                <w:color w:val="000000" w:themeColor="text1"/>
                <w:szCs w:val="20"/>
              </w:rPr>
            </w:pPr>
            <w:r w:rsidRPr="00151023">
              <w:rPr>
                <w:color w:val="000000" w:themeColor="text1"/>
                <w:szCs w:val="20"/>
              </w:rPr>
              <w:t>192 (12.3)</w:t>
            </w:r>
          </w:p>
        </w:tc>
        <w:tc>
          <w:tcPr>
            <w:tcW w:w="1560" w:type="dxa"/>
            <w:shd w:val="clear" w:color="auto" w:fill="C6D9F1" w:themeFill="text2" w:themeFillTint="33"/>
          </w:tcPr>
          <w:p w14:paraId="4C108722" w14:textId="77777777" w:rsidR="00D3352B" w:rsidRPr="00151023" w:rsidRDefault="00D3352B" w:rsidP="0051729C">
            <w:pPr>
              <w:pStyle w:val="TableText0"/>
              <w:jc w:val="center"/>
              <w:rPr>
                <w:color w:val="000000" w:themeColor="text1"/>
                <w:szCs w:val="20"/>
              </w:rPr>
            </w:pPr>
            <w:r w:rsidRPr="00151023">
              <w:rPr>
                <w:color w:val="000000" w:themeColor="text1"/>
                <w:szCs w:val="20"/>
              </w:rPr>
              <w:t>104 (13.3)</w:t>
            </w:r>
          </w:p>
        </w:tc>
        <w:tc>
          <w:tcPr>
            <w:tcW w:w="1695" w:type="dxa"/>
            <w:shd w:val="clear" w:color="auto" w:fill="C6D9F1" w:themeFill="text2" w:themeFillTint="33"/>
          </w:tcPr>
          <w:p w14:paraId="311CF88C" w14:textId="77777777" w:rsidR="00D3352B" w:rsidRPr="00151023" w:rsidRDefault="00D3352B" w:rsidP="0051729C">
            <w:pPr>
              <w:pStyle w:val="TableText0"/>
              <w:jc w:val="center"/>
              <w:rPr>
                <w:color w:val="000000" w:themeColor="text1"/>
                <w:szCs w:val="20"/>
              </w:rPr>
            </w:pPr>
            <w:r w:rsidRPr="00151023">
              <w:rPr>
                <w:color w:val="000000" w:themeColor="text1"/>
                <w:szCs w:val="20"/>
              </w:rPr>
              <w:t>940 (60.1)</w:t>
            </w:r>
          </w:p>
        </w:tc>
        <w:tc>
          <w:tcPr>
            <w:tcW w:w="1830" w:type="dxa"/>
            <w:shd w:val="clear" w:color="auto" w:fill="C6D9F1" w:themeFill="text2" w:themeFillTint="33"/>
          </w:tcPr>
          <w:p w14:paraId="3F77DA7E" w14:textId="77777777" w:rsidR="00D3352B" w:rsidRPr="00151023" w:rsidRDefault="00D3352B" w:rsidP="0051729C">
            <w:pPr>
              <w:pStyle w:val="TableText0"/>
              <w:jc w:val="center"/>
              <w:rPr>
                <w:color w:val="000000" w:themeColor="text1"/>
                <w:szCs w:val="20"/>
              </w:rPr>
            </w:pPr>
            <w:r w:rsidRPr="00151023">
              <w:rPr>
                <w:color w:val="000000" w:themeColor="text1"/>
                <w:szCs w:val="20"/>
              </w:rPr>
              <w:t>491 (62.6)</w:t>
            </w:r>
          </w:p>
        </w:tc>
      </w:tr>
      <w:tr w:rsidR="00D3352B" w:rsidRPr="00151023" w14:paraId="62B25F83" w14:textId="77777777" w:rsidTr="00D4374D">
        <w:tc>
          <w:tcPr>
            <w:tcW w:w="2145" w:type="dxa"/>
            <w:tcBorders>
              <w:left w:val="single" w:sz="6" w:space="0" w:color="auto"/>
              <w:right w:val="single" w:sz="6" w:space="0" w:color="auto"/>
            </w:tcBorders>
          </w:tcPr>
          <w:p w14:paraId="207408FD" w14:textId="77777777" w:rsidR="00D3352B" w:rsidRPr="00151023" w:rsidRDefault="00D3352B" w:rsidP="0051729C">
            <w:pPr>
              <w:pStyle w:val="TableText0"/>
            </w:pPr>
            <w:r w:rsidRPr="00151023">
              <w:t xml:space="preserve">Local </w:t>
            </w:r>
          </w:p>
        </w:tc>
        <w:tc>
          <w:tcPr>
            <w:tcW w:w="1695" w:type="dxa"/>
            <w:shd w:val="clear" w:color="auto" w:fill="C6D9F1" w:themeFill="text2" w:themeFillTint="33"/>
          </w:tcPr>
          <w:p w14:paraId="1E8991FA" w14:textId="77777777" w:rsidR="00D3352B" w:rsidRPr="00151023" w:rsidRDefault="00D3352B" w:rsidP="0051729C">
            <w:pPr>
              <w:pStyle w:val="TableText0"/>
              <w:jc w:val="center"/>
              <w:rPr>
                <w:color w:val="000000" w:themeColor="text1"/>
                <w:szCs w:val="20"/>
              </w:rPr>
            </w:pPr>
            <w:r w:rsidRPr="00151023">
              <w:rPr>
                <w:color w:val="000000" w:themeColor="text1"/>
                <w:szCs w:val="20"/>
              </w:rPr>
              <w:t>171 (10.9)</w:t>
            </w:r>
          </w:p>
        </w:tc>
        <w:tc>
          <w:tcPr>
            <w:tcW w:w="1560" w:type="dxa"/>
            <w:shd w:val="clear" w:color="auto" w:fill="C6D9F1" w:themeFill="text2" w:themeFillTint="33"/>
          </w:tcPr>
          <w:p w14:paraId="1EB1E2EA" w14:textId="77777777" w:rsidR="00D3352B" w:rsidRPr="00151023" w:rsidRDefault="00D3352B" w:rsidP="0051729C">
            <w:pPr>
              <w:pStyle w:val="TableText0"/>
              <w:jc w:val="center"/>
              <w:rPr>
                <w:color w:val="000000" w:themeColor="text1"/>
                <w:szCs w:val="20"/>
              </w:rPr>
            </w:pPr>
            <w:r w:rsidRPr="00151023">
              <w:rPr>
                <w:color w:val="000000" w:themeColor="text1"/>
                <w:szCs w:val="20"/>
              </w:rPr>
              <w:t>95 (12.1)</w:t>
            </w:r>
          </w:p>
        </w:tc>
        <w:tc>
          <w:tcPr>
            <w:tcW w:w="1695" w:type="dxa"/>
            <w:shd w:val="clear" w:color="auto" w:fill="C6D9F1" w:themeFill="text2" w:themeFillTint="33"/>
          </w:tcPr>
          <w:p w14:paraId="295ADC3D" w14:textId="77777777" w:rsidR="00D3352B" w:rsidRPr="00151023" w:rsidRDefault="00D3352B" w:rsidP="0051729C">
            <w:pPr>
              <w:pStyle w:val="TableText0"/>
              <w:jc w:val="center"/>
              <w:rPr>
                <w:color w:val="000000" w:themeColor="text1"/>
                <w:szCs w:val="20"/>
              </w:rPr>
            </w:pPr>
            <w:r w:rsidRPr="00151023">
              <w:rPr>
                <w:color w:val="000000" w:themeColor="text1"/>
                <w:szCs w:val="20"/>
              </w:rPr>
              <w:t>656 (41.9)</w:t>
            </w:r>
          </w:p>
        </w:tc>
        <w:tc>
          <w:tcPr>
            <w:tcW w:w="1830" w:type="dxa"/>
            <w:shd w:val="clear" w:color="auto" w:fill="C6D9F1" w:themeFill="text2" w:themeFillTint="33"/>
          </w:tcPr>
          <w:p w14:paraId="1DBFD09A" w14:textId="77777777" w:rsidR="00D3352B" w:rsidRPr="00151023" w:rsidRDefault="00D3352B" w:rsidP="0051729C">
            <w:pPr>
              <w:pStyle w:val="TableText0"/>
              <w:jc w:val="center"/>
              <w:rPr>
                <w:color w:val="000000" w:themeColor="text1"/>
                <w:szCs w:val="20"/>
              </w:rPr>
            </w:pPr>
            <w:r w:rsidRPr="00151023">
              <w:rPr>
                <w:color w:val="000000" w:themeColor="text1"/>
                <w:szCs w:val="20"/>
              </w:rPr>
              <w:t>350 (44.6)</w:t>
            </w:r>
          </w:p>
        </w:tc>
      </w:tr>
      <w:tr w:rsidR="00D3352B" w:rsidRPr="00151023" w14:paraId="216EB2AE" w14:textId="77777777" w:rsidTr="00D4374D">
        <w:tc>
          <w:tcPr>
            <w:tcW w:w="2145" w:type="dxa"/>
          </w:tcPr>
          <w:p w14:paraId="70070DF0" w14:textId="77777777" w:rsidR="00D3352B" w:rsidRPr="00151023" w:rsidRDefault="00D3352B" w:rsidP="0051729C">
            <w:pPr>
              <w:pStyle w:val="TableText0"/>
            </w:pPr>
            <w:r w:rsidRPr="00151023">
              <w:t>Systemic</w:t>
            </w:r>
          </w:p>
        </w:tc>
        <w:tc>
          <w:tcPr>
            <w:tcW w:w="1695" w:type="dxa"/>
            <w:shd w:val="clear" w:color="auto" w:fill="C6D9F1" w:themeFill="text2" w:themeFillTint="33"/>
          </w:tcPr>
          <w:p w14:paraId="59AE98DC" w14:textId="77777777" w:rsidR="00D3352B" w:rsidRPr="00151023" w:rsidRDefault="00D3352B" w:rsidP="0051729C">
            <w:pPr>
              <w:pStyle w:val="TableText0"/>
              <w:jc w:val="center"/>
              <w:rPr>
                <w:color w:val="000000" w:themeColor="text1"/>
                <w:szCs w:val="20"/>
              </w:rPr>
            </w:pPr>
            <w:r w:rsidRPr="00151023">
              <w:rPr>
                <w:color w:val="000000" w:themeColor="text1"/>
                <w:szCs w:val="20"/>
              </w:rPr>
              <w:t>30 (1.9)</w:t>
            </w:r>
          </w:p>
        </w:tc>
        <w:tc>
          <w:tcPr>
            <w:tcW w:w="1560" w:type="dxa"/>
            <w:shd w:val="clear" w:color="auto" w:fill="C6D9F1" w:themeFill="text2" w:themeFillTint="33"/>
          </w:tcPr>
          <w:p w14:paraId="1A2B26B0" w14:textId="77777777" w:rsidR="00D3352B" w:rsidRPr="00151023" w:rsidRDefault="00D3352B" w:rsidP="0051729C">
            <w:pPr>
              <w:pStyle w:val="TableText0"/>
              <w:jc w:val="center"/>
              <w:rPr>
                <w:color w:val="000000" w:themeColor="text1"/>
                <w:szCs w:val="20"/>
              </w:rPr>
            </w:pPr>
            <w:r w:rsidRPr="00151023">
              <w:rPr>
                <w:color w:val="000000" w:themeColor="text1"/>
                <w:szCs w:val="20"/>
              </w:rPr>
              <w:t>18 (2.3)</w:t>
            </w:r>
          </w:p>
        </w:tc>
        <w:tc>
          <w:tcPr>
            <w:tcW w:w="1695" w:type="dxa"/>
            <w:shd w:val="clear" w:color="auto" w:fill="C6D9F1" w:themeFill="text2" w:themeFillTint="33"/>
          </w:tcPr>
          <w:p w14:paraId="0477DD99" w14:textId="77777777" w:rsidR="00D3352B" w:rsidRPr="00151023" w:rsidRDefault="00D3352B" w:rsidP="0051729C">
            <w:pPr>
              <w:pStyle w:val="TableText0"/>
              <w:jc w:val="center"/>
              <w:rPr>
                <w:color w:val="000000" w:themeColor="text1"/>
                <w:szCs w:val="20"/>
              </w:rPr>
            </w:pPr>
            <w:r w:rsidRPr="00151023">
              <w:rPr>
                <w:color w:val="000000" w:themeColor="text1"/>
                <w:szCs w:val="20"/>
              </w:rPr>
              <w:t>681 (43.5)</w:t>
            </w:r>
          </w:p>
        </w:tc>
        <w:tc>
          <w:tcPr>
            <w:tcW w:w="1830" w:type="dxa"/>
            <w:shd w:val="clear" w:color="auto" w:fill="C6D9F1" w:themeFill="text2" w:themeFillTint="33"/>
          </w:tcPr>
          <w:p w14:paraId="057CD7C7" w14:textId="77777777" w:rsidR="00D3352B" w:rsidRPr="00151023" w:rsidRDefault="00D3352B" w:rsidP="0051729C">
            <w:pPr>
              <w:pStyle w:val="TableText0"/>
              <w:jc w:val="center"/>
              <w:rPr>
                <w:color w:val="000000" w:themeColor="text1"/>
                <w:szCs w:val="20"/>
              </w:rPr>
            </w:pPr>
            <w:r w:rsidRPr="00151023">
              <w:rPr>
                <w:color w:val="000000" w:themeColor="text1"/>
                <w:szCs w:val="20"/>
              </w:rPr>
              <w:t>358 (45.7)</w:t>
            </w:r>
          </w:p>
        </w:tc>
      </w:tr>
      <w:tr w:rsidR="00D3352B" w:rsidRPr="00151023" w14:paraId="406BA8B2" w14:textId="77777777" w:rsidTr="00D4374D">
        <w:tc>
          <w:tcPr>
            <w:tcW w:w="2145" w:type="dxa"/>
          </w:tcPr>
          <w:p w14:paraId="2EC97855" w14:textId="77777777" w:rsidR="00D3352B" w:rsidRPr="00151023" w:rsidRDefault="00D3352B" w:rsidP="0051729C">
            <w:pPr>
              <w:pStyle w:val="TableText0"/>
              <w:rPr>
                <w:sz w:val="16"/>
                <w:szCs w:val="16"/>
              </w:rPr>
            </w:pPr>
            <w:r w:rsidRPr="00151023">
              <w:t xml:space="preserve">Analgesic/Antipyretic </w:t>
            </w:r>
            <w:proofErr w:type="spellStart"/>
            <w:r w:rsidRPr="00151023">
              <w:t>use</w:t>
            </w:r>
            <w:r w:rsidRPr="00151023">
              <w:rPr>
                <w:vertAlign w:val="superscript"/>
              </w:rPr>
              <w:t>c</w:t>
            </w:r>
            <w:proofErr w:type="spellEnd"/>
          </w:p>
        </w:tc>
        <w:tc>
          <w:tcPr>
            <w:tcW w:w="1695" w:type="dxa"/>
            <w:shd w:val="clear" w:color="auto" w:fill="C6D9F1" w:themeFill="text2" w:themeFillTint="33"/>
          </w:tcPr>
          <w:p w14:paraId="021A146C" w14:textId="77777777" w:rsidR="00D3352B" w:rsidRPr="00151023" w:rsidRDefault="00D3352B" w:rsidP="0051729C">
            <w:pPr>
              <w:pStyle w:val="TableText0"/>
              <w:jc w:val="center"/>
              <w:rPr>
                <w:color w:val="000000" w:themeColor="text1"/>
                <w:szCs w:val="20"/>
              </w:rPr>
            </w:pPr>
            <w:r w:rsidRPr="00151023">
              <w:rPr>
                <w:color w:val="000000" w:themeColor="text1"/>
                <w:szCs w:val="20"/>
              </w:rPr>
              <w:t>8 (0.5)</w:t>
            </w:r>
          </w:p>
        </w:tc>
        <w:tc>
          <w:tcPr>
            <w:tcW w:w="1560" w:type="dxa"/>
            <w:shd w:val="clear" w:color="auto" w:fill="C6D9F1" w:themeFill="text2" w:themeFillTint="33"/>
          </w:tcPr>
          <w:p w14:paraId="3D8E27E9" w14:textId="77777777" w:rsidR="00D3352B" w:rsidRPr="00151023" w:rsidRDefault="00D3352B" w:rsidP="0051729C">
            <w:pPr>
              <w:pStyle w:val="TableText0"/>
              <w:jc w:val="center"/>
              <w:rPr>
                <w:color w:val="000000" w:themeColor="text1"/>
                <w:szCs w:val="20"/>
              </w:rPr>
            </w:pPr>
            <w:r w:rsidRPr="00151023">
              <w:rPr>
                <w:color w:val="000000" w:themeColor="text1"/>
                <w:szCs w:val="20"/>
              </w:rPr>
              <w:t>2 (0.3)</w:t>
            </w:r>
          </w:p>
        </w:tc>
        <w:tc>
          <w:tcPr>
            <w:tcW w:w="1695" w:type="dxa"/>
            <w:shd w:val="clear" w:color="auto" w:fill="C6D9F1" w:themeFill="text2" w:themeFillTint="33"/>
          </w:tcPr>
          <w:p w14:paraId="119DE3BA" w14:textId="77777777" w:rsidR="00D3352B" w:rsidRPr="00151023" w:rsidRDefault="00D3352B" w:rsidP="0051729C">
            <w:pPr>
              <w:pStyle w:val="TableText0"/>
              <w:jc w:val="center"/>
              <w:rPr>
                <w:color w:val="000000" w:themeColor="text1"/>
                <w:szCs w:val="20"/>
              </w:rPr>
            </w:pPr>
            <w:r w:rsidRPr="00151023">
              <w:rPr>
                <w:color w:val="000000" w:themeColor="text1"/>
                <w:szCs w:val="20"/>
              </w:rPr>
              <w:t>240 (15.3)</w:t>
            </w:r>
          </w:p>
        </w:tc>
        <w:tc>
          <w:tcPr>
            <w:tcW w:w="1830" w:type="dxa"/>
            <w:shd w:val="clear" w:color="auto" w:fill="C6D9F1" w:themeFill="text2" w:themeFillTint="33"/>
          </w:tcPr>
          <w:p w14:paraId="71360506" w14:textId="77777777" w:rsidR="00D3352B" w:rsidRPr="00151023" w:rsidRDefault="00D3352B" w:rsidP="0051729C">
            <w:pPr>
              <w:pStyle w:val="TableText0"/>
              <w:jc w:val="center"/>
              <w:rPr>
                <w:color w:val="000000" w:themeColor="text1"/>
                <w:szCs w:val="20"/>
              </w:rPr>
            </w:pPr>
            <w:r w:rsidRPr="00151023">
              <w:rPr>
                <w:color w:val="000000" w:themeColor="text1"/>
                <w:szCs w:val="20"/>
              </w:rPr>
              <w:t>136 (17.3)</w:t>
            </w:r>
          </w:p>
        </w:tc>
      </w:tr>
    </w:tbl>
    <w:p w14:paraId="7D3395B1" w14:textId="471D1DFB" w:rsidR="00D3352B" w:rsidRPr="00151023" w:rsidRDefault="00D3352B" w:rsidP="0051729C">
      <w:pPr>
        <w:pStyle w:val="FooterTableFigure"/>
        <w:keepNext/>
        <w:rPr>
          <w:rFonts w:ascii="Calibri" w:hAnsi="Calibri"/>
        </w:rPr>
      </w:pPr>
      <w:r w:rsidRPr="00151023">
        <w:t xml:space="preserve">Source: Table 2.5.5, p73 of the </w:t>
      </w:r>
      <w:r w:rsidR="002900B0" w:rsidRPr="00151023">
        <w:t>submission</w:t>
      </w:r>
      <w:r w:rsidRPr="00151023">
        <w:t xml:space="preserve"> and paragraph 6.23, </w:t>
      </w:r>
      <w:r w:rsidR="00D23487" w:rsidRPr="00151023">
        <w:t xml:space="preserve">QIVc, </w:t>
      </w:r>
      <w:r w:rsidRPr="00151023">
        <w:t>Public Summary Document, September 2022 PBAC meeting.</w:t>
      </w:r>
    </w:p>
    <w:p w14:paraId="3F02B01F" w14:textId="77777777" w:rsidR="00D3352B" w:rsidRPr="00151023" w:rsidRDefault="00D3352B" w:rsidP="0051729C">
      <w:pPr>
        <w:pStyle w:val="FooterTableFigure"/>
        <w:keepNext/>
      </w:pPr>
      <w:r w:rsidRPr="00151023">
        <w:t>QIVc = cell-based quadrivalent subunit influenza virus vaccine, QIVe = egg-based quadrivalent subunit influenza virus vaccine, n = number of patients with an event, N = number of study participants</w:t>
      </w:r>
    </w:p>
    <w:p w14:paraId="652B62D0" w14:textId="77777777" w:rsidR="00D3352B" w:rsidRPr="00151023" w:rsidRDefault="00D3352B" w:rsidP="0051729C">
      <w:pPr>
        <w:pStyle w:val="FooterTableFigure"/>
        <w:keepNext/>
        <w:rPr>
          <w:rFonts w:ascii="Calibri" w:hAnsi="Calibri"/>
        </w:rPr>
      </w:pPr>
      <w:r w:rsidRPr="00151023">
        <w:rPr>
          <w:rStyle w:val="CommentReference"/>
          <w:b w:val="0"/>
          <w:bCs/>
          <w:iCs/>
          <w:sz w:val="18"/>
          <w:szCs w:val="18"/>
          <w:shd w:val="clear" w:color="auto" w:fill="B8CCE4" w:themeFill="accent1" w:themeFillTint="66"/>
        </w:rPr>
        <w:t>Blue shading</w:t>
      </w:r>
      <w:r w:rsidRPr="00151023">
        <w:rPr>
          <w:rStyle w:val="CommentReference"/>
          <w:b w:val="0"/>
          <w:bCs/>
          <w:iCs/>
          <w:sz w:val="18"/>
          <w:szCs w:val="18"/>
        </w:rPr>
        <w:t xml:space="preserve"> indicates information previously seen by the PBAC</w:t>
      </w:r>
    </w:p>
    <w:p w14:paraId="4C7A9F53" w14:textId="77777777" w:rsidR="00D3352B" w:rsidRPr="00151023" w:rsidRDefault="00D3352B" w:rsidP="0051729C">
      <w:pPr>
        <w:pStyle w:val="FooterTableFigure"/>
        <w:keepNext/>
        <w:rPr>
          <w:rFonts w:eastAsiaTheme="minorEastAsia" w:cstheme="minorBidi"/>
        </w:rPr>
      </w:pPr>
      <w:proofErr w:type="spellStart"/>
      <w:r w:rsidRPr="00151023">
        <w:rPr>
          <w:vertAlign w:val="superscript"/>
        </w:rPr>
        <w:t>a</w:t>
      </w:r>
      <w:r w:rsidRPr="00151023">
        <w:t>Solicited</w:t>
      </w:r>
      <w:proofErr w:type="spellEnd"/>
      <w:r w:rsidRPr="00151023">
        <w:t xml:space="preserve"> AEs were reported through the first 30 minutes after vaccination (by clinical study staff) and from 30 minutes after vaccination through Day 7 using Subject Diary Cards. On Day 1, it was recommended to assess solicited AEs preferably in the evening, at approximately 6 hours postvaccination.</w:t>
      </w:r>
    </w:p>
    <w:p w14:paraId="173F2439" w14:textId="77777777" w:rsidR="00D3352B" w:rsidRPr="00151023" w:rsidRDefault="00D3352B" w:rsidP="0051729C">
      <w:pPr>
        <w:pStyle w:val="FooterTableFigure"/>
        <w:keepNext/>
        <w:rPr>
          <w:rFonts w:eastAsiaTheme="minorEastAsia" w:cstheme="minorBidi"/>
        </w:rPr>
      </w:pPr>
      <w:proofErr w:type="spellStart"/>
      <w:r w:rsidRPr="00151023">
        <w:rPr>
          <w:vertAlign w:val="superscript"/>
        </w:rPr>
        <w:t>b</w:t>
      </w:r>
      <w:r w:rsidRPr="00151023">
        <w:t>Solicited</w:t>
      </w:r>
      <w:proofErr w:type="spellEnd"/>
      <w:r w:rsidRPr="00151023">
        <w:t xml:space="preserve"> safety set: All subjects in the All Enrolled Set who were randomised and received a study vaccination who were not part of the Cell-Mediated Immunity (CMI) population and who received vaccine on Day 1 and provided serology specimens which yielded valid serology assay results from both Day 1 and Day 29 (previously vaccinated subjects) or Day 1 and Day 57 (not previously vaccinated subjects) with any solicited AE data.</w:t>
      </w:r>
    </w:p>
    <w:p w14:paraId="3A533BA4" w14:textId="65EDA609" w:rsidR="0051729C" w:rsidRPr="00151023" w:rsidRDefault="00D3352B" w:rsidP="003F0FA9">
      <w:pPr>
        <w:pStyle w:val="FooterTableFigure"/>
        <w:spacing w:after="240"/>
      </w:pPr>
      <w:proofErr w:type="spellStart"/>
      <w:r w:rsidRPr="00151023">
        <w:rPr>
          <w:vertAlign w:val="superscript"/>
        </w:rPr>
        <w:t>c</w:t>
      </w:r>
      <w:r w:rsidRPr="00151023">
        <w:t>Analgesic</w:t>
      </w:r>
      <w:proofErr w:type="spellEnd"/>
      <w:r w:rsidRPr="00151023">
        <w:t>/antipyretic use was for prevention or treatment of pain/fever</w:t>
      </w:r>
      <w:r w:rsidR="0007751A" w:rsidRPr="00151023">
        <w:t>.</w:t>
      </w:r>
    </w:p>
    <w:p w14:paraId="33AFBAD4" w14:textId="2CC6AF25" w:rsidR="0007751A" w:rsidRPr="00151023" w:rsidRDefault="0007751A" w:rsidP="00127D8A">
      <w:pPr>
        <w:pStyle w:val="Caption"/>
      </w:pPr>
      <w:bookmarkStart w:id="26" w:name="_Ref152063049"/>
      <w:r w:rsidRPr="00151023">
        <w:t xml:space="preserve">Table </w:t>
      </w:r>
      <w:fldSimple w:instr=" SEQ Table \* ARABIC " w:fldLock="1">
        <w:r w:rsidR="00603A66" w:rsidRPr="00151023">
          <w:t>6</w:t>
        </w:r>
      </w:fldSimple>
      <w:bookmarkEnd w:id="26"/>
      <w:r w:rsidRPr="00151023">
        <w:t xml:space="preserve">: V130_10 - Number (%) of participants with unsolicited adverse events after </w:t>
      </w:r>
      <w:proofErr w:type="spellStart"/>
      <w:r w:rsidRPr="00151023">
        <w:t>vaccination</w:t>
      </w:r>
      <w:r w:rsidRPr="00151023">
        <w:rPr>
          <w:vertAlign w:val="superscript"/>
        </w:rPr>
        <w:t>a</w:t>
      </w:r>
      <w:proofErr w:type="spellEnd"/>
      <w:r w:rsidRPr="00151023">
        <w:t xml:space="preserve"> – unsolicited safety </w:t>
      </w:r>
      <w:proofErr w:type="spellStart"/>
      <w:r w:rsidRPr="00151023">
        <w:t>set</w:t>
      </w:r>
      <w:r w:rsidRPr="00151023">
        <w:rPr>
          <w:vertAlign w:val="superscript"/>
        </w:rPr>
        <w:t>b</w:t>
      </w:r>
      <w:proofErr w:type="spellEnd"/>
      <w:r w:rsidRPr="00151023">
        <w:t xml:space="preserve"> </w:t>
      </w:r>
    </w:p>
    <w:tbl>
      <w:tblPr>
        <w:tblStyle w:val="TableGrid"/>
        <w:tblW w:w="5000" w:type="pct"/>
        <w:tblLayout w:type="fixed"/>
        <w:tblLook w:val="04A0" w:firstRow="1" w:lastRow="0" w:firstColumn="1" w:lastColumn="0" w:noHBand="0" w:noVBand="1"/>
      </w:tblPr>
      <w:tblGrid>
        <w:gridCol w:w="3630"/>
        <w:gridCol w:w="2883"/>
        <w:gridCol w:w="2501"/>
      </w:tblGrid>
      <w:tr w:rsidR="0007751A" w:rsidRPr="00151023" w14:paraId="62228C7C" w14:textId="77777777" w:rsidTr="0051729C">
        <w:trPr>
          <w:cantSplit/>
          <w:trHeight w:val="232"/>
        </w:trPr>
        <w:tc>
          <w:tcPr>
            <w:tcW w:w="3630" w:type="dxa"/>
            <w:tcBorders>
              <w:top w:val="single" w:sz="6" w:space="0" w:color="auto"/>
              <w:left w:val="single" w:sz="6" w:space="0" w:color="auto"/>
              <w:right w:val="single" w:sz="6" w:space="0" w:color="auto"/>
            </w:tcBorders>
          </w:tcPr>
          <w:p w14:paraId="779F32A6" w14:textId="77777777" w:rsidR="0007751A" w:rsidRPr="00151023" w:rsidRDefault="0007751A" w:rsidP="00127D8A">
            <w:pPr>
              <w:pStyle w:val="TableText0"/>
              <w:keepLines/>
            </w:pPr>
          </w:p>
        </w:tc>
        <w:tc>
          <w:tcPr>
            <w:tcW w:w="2883" w:type="dxa"/>
            <w:tcBorders>
              <w:left w:val="single" w:sz="6" w:space="0" w:color="auto"/>
            </w:tcBorders>
          </w:tcPr>
          <w:p w14:paraId="31671021" w14:textId="77777777" w:rsidR="0007751A" w:rsidRPr="00151023" w:rsidRDefault="0007751A" w:rsidP="00127D8A">
            <w:pPr>
              <w:pStyle w:val="TableText0"/>
              <w:keepLines/>
              <w:jc w:val="center"/>
            </w:pPr>
            <w:r w:rsidRPr="00151023">
              <w:rPr>
                <w:b/>
              </w:rPr>
              <w:t>QIVc</w:t>
            </w:r>
          </w:p>
        </w:tc>
        <w:tc>
          <w:tcPr>
            <w:tcW w:w="2501" w:type="dxa"/>
            <w:tcBorders>
              <w:left w:val="single" w:sz="6" w:space="0" w:color="auto"/>
            </w:tcBorders>
          </w:tcPr>
          <w:p w14:paraId="59E28559" w14:textId="77777777" w:rsidR="0007751A" w:rsidRPr="00151023" w:rsidRDefault="0007751A" w:rsidP="00127D8A">
            <w:pPr>
              <w:pStyle w:val="TableText0"/>
              <w:keepLines/>
              <w:jc w:val="center"/>
            </w:pPr>
            <w:r w:rsidRPr="00151023">
              <w:rPr>
                <w:b/>
              </w:rPr>
              <w:t>QIVe</w:t>
            </w:r>
          </w:p>
        </w:tc>
      </w:tr>
      <w:tr w:rsidR="0007751A" w:rsidRPr="00151023" w14:paraId="64D78056" w14:textId="77777777" w:rsidTr="0051729C">
        <w:trPr>
          <w:cantSplit/>
        </w:trPr>
        <w:tc>
          <w:tcPr>
            <w:tcW w:w="3630" w:type="dxa"/>
            <w:tcBorders>
              <w:top w:val="single" w:sz="6" w:space="0" w:color="auto"/>
              <w:left w:val="single" w:sz="6" w:space="0" w:color="auto"/>
              <w:right w:val="single" w:sz="6" w:space="0" w:color="auto"/>
            </w:tcBorders>
          </w:tcPr>
          <w:p w14:paraId="62745320" w14:textId="77777777" w:rsidR="0007751A" w:rsidRPr="00151023" w:rsidRDefault="0007751A" w:rsidP="00127D8A">
            <w:pPr>
              <w:pStyle w:val="TableText0"/>
              <w:keepLines/>
            </w:pPr>
            <w:r w:rsidRPr="00151023">
              <w:t>N</w:t>
            </w:r>
          </w:p>
        </w:tc>
        <w:tc>
          <w:tcPr>
            <w:tcW w:w="2883" w:type="dxa"/>
            <w:shd w:val="clear" w:color="auto" w:fill="C6D9F1" w:themeFill="text2" w:themeFillTint="33"/>
          </w:tcPr>
          <w:p w14:paraId="23A5E9EA" w14:textId="77777777" w:rsidR="0007751A" w:rsidRPr="00151023" w:rsidRDefault="0007751A" w:rsidP="00127D8A">
            <w:pPr>
              <w:pStyle w:val="TableText0"/>
              <w:keepLines/>
              <w:jc w:val="center"/>
            </w:pPr>
            <w:r w:rsidRPr="00151023">
              <w:t>1,597</w:t>
            </w:r>
          </w:p>
        </w:tc>
        <w:tc>
          <w:tcPr>
            <w:tcW w:w="2501" w:type="dxa"/>
            <w:tcBorders>
              <w:left w:val="single" w:sz="6" w:space="0" w:color="auto"/>
            </w:tcBorders>
            <w:shd w:val="clear" w:color="auto" w:fill="C6D9F1" w:themeFill="text2" w:themeFillTint="33"/>
          </w:tcPr>
          <w:p w14:paraId="2F0B7014" w14:textId="77777777" w:rsidR="0007751A" w:rsidRPr="00151023" w:rsidRDefault="0007751A" w:rsidP="00127D8A">
            <w:pPr>
              <w:pStyle w:val="TableText0"/>
              <w:keepLines/>
              <w:jc w:val="center"/>
            </w:pPr>
            <w:r w:rsidRPr="00151023">
              <w:t>805</w:t>
            </w:r>
          </w:p>
        </w:tc>
      </w:tr>
      <w:tr w:rsidR="0007751A" w:rsidRPr="00151023" w14:paraId="5DD2AC91" w14:textId="77777777" w:rsidTr="0051729C">
        <w:trPr>
          <w:cantSplit/>
        </w:trPr>
        <w:tc>
          <w:tcPr>
            <w:tcW w:w="3630" w:type="dxa"/>
            <w:tcBorders>
              <w:left w:val="single" w:sz="6" w:space="0" w:color="auto"/>
              <w:bottom w:val="single" w:sz="6" w:space="0" w:color="auto"/>
              <w:right w:val="single" w:sz="6" w:space="0" w:color="auto"/>
            </w:tcBorders>
          </w:tcPr>
          <w:p w14:paraId="3A63519D" w14:textId="77777777" w:rsidR="0007751A" w:rsidRPr="00151023" w:rsidRDefault="0007751A" w:rsidP="00127D8A">
            <w:pPr>
              <w:pStyle w:val="TableText0"/>
              <w:keepLines/>
            </w:pPr>
            <w:r w:rsidRPr="00151023">
              <w:t>Any AE, n (%)</w:t>
            </w:r>
          </w:p>
        </w:tc>
        <w:tc>
          <w:tcPr>
            <w:tcW w:w="2883" w:type="dxa"/>
            <w:tcBorders>
              <w:bottom w:val="single" w:sz="6" w:space="0" w:color="auto"/>
            </w:tcBorders>
            <w:shd w:val="clear" w:color="auto" w:fill="C6D9F1" w:themeFill="text2" w:themeFillTint="33"/>
          </w:tcPr>
          <w:p w14:paraId="0F3EBCDE" w14:textId="77777777" w:rsidR="0007751A" w:rsidRPr="00151023" w:rsidRDefault="0007751A" w:rsidP="00127D8A">
            <w:pPr>
              <w:pStyle w:val="TableText0"/>
              <w:keepLines/>
              <w:jc w:val="center"/>
              <w:rPr>
                <w:color w:val="000000" w:themeColor="text1"/>
              </w:rPr>
            </w:pPr>
            <w:r w:rsidRPr="00151023">
              <w:rPr>
                <w:color w:val="000000" w:themeColor="text1"/>
              </w:rPr>
              <w:t>418 (26.2)</w:t>
            </w:r>
          </w:p>
        </w:tc>
        <w:tc>
          <w:tcPr>
            <w:tcW w:w="2501" w:type="dxa"/>
            <w:tcBorders>
              <w:left w:val="single" w:sz="6" w:space="0" w:color="auto"/>
              <w:bottom w:val="single" w:sz="6" w:space="0" w:color="auto"/>
            </w:tcBorders>
            <w:shd w:val="clear" w:color="auto" w:fill="C6D9F1" w:themeFill="text2" w:themeFillTint="33"/>
            <w:vAlign w:val="bottom"/>
          </w:tcPr>
          <w:p w14:paraId="74E05967" w14:textId="77777777" w:rsidR="0007751A" w:rsidRPr="00151023" w:rsidRDefault="0007751A" w:rsidP="00127D8A">
            <w:pPr>
              <w:pStyle w:val="TableText0"/>
              <w:keepLines/>
              <w:jc w:val="center"/>
              <w:rPr>
                <w:color w:val="000000" w:themeColor="text1"/>
              </w:rPr>
            </w:pPr>
            <w:r w:rsidRPr="00151023">
              <w:rPr>
                <w:color w:val="000000" w:themeColor="text1"/>
              </w:rPr>
              <w:t>207 (25.7)</w:t>
            </w:r>
          </w:p>
        </w:tc>
      </w:tr>
      <w:tr w:rsidR="0007751A" w:rsidRPr="00151023" w14:paraId="08D32036" w14:textId="77777777" w:rsidTr="0051729C">
        <w:trPr>
          <w:cantSplit/>
        </w:trPr>
        <w:tc>
          <w:tcPr>
            <w:tcW w:w="3630" w:type="dxa"/>
            <w:tcBorders>
              <w:top w:val="single" w:sz="6" w:space="0" w:color="auto"/>
              <w:left w:val="single" w:sz="6" w:space="0" w:color="auto"/>
              <w:bottom w:val="single" w:sz="6" w:space="0" w:color="auto"/>
              <w:right w:val="single" w:sz="6" w:space="0" w:color="auto"/>
            </w:tcBorders>
          </w:tcPr>
          <w:p w14:paraId="76332318" w14:textId="77777777" w:rsidR="0007751A" w:rsidRPr="00151023" w:rsidRDefault="0007751A" w:rsidP="00127D8A">
            <w:pPr>
              <w:pStyle w:val="TableText0"/>
              <w:keepLines/>
            </w:pPr>
            <w:r w:rsidRPr="00151023">
              <w:t>Any AE by severity</w:t>
            </w:r>
          </w:p>
        </w:tc>
        <w:tc>
          <w:tcPr>
            <w:tcW w:w="288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2D6498E" w14:textId="77777777" w:rsidR="0007751A" w:rsidRPr="00151023" w:rsidRDefault="0007751A" w:rsidP="00127D8A">
            <w:pPr>
              <w:pStyle w:val="TableText0"/>
              <w:keepLines/>
              <w:jc w:val="center"/>
            </w:pPr>
          </w:p>
        </w:tc>
        <w:tc>
          <w:tcPr>
            <w:tcW w:w="2501"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1D08D8D" w14:textId="77777777" w:rsidR="0007751A" w:rsidRPr="00151023" w:rsidRDefault="0007751A" w:rsidP="00127D8A">
            <w:pPr>
              <w:pStyle w:val="TableText0"/>
              <w:keepLines/>
              <w:jc w:val="center"/>
            </w:pPr>
          </w:p>
        </w:tc>
      </w:tr>
      <w:tr w:rsidR="0007751A" w:rsidRPr="00151023" w14:paraId="7C354EF9" w14:textId="77777777" w:rsidTr="0051729C">
        <w:trPr>
          <w:cantSplit/>
        </w:trPr>
        <w:tc>
          <w:tcPr>
            <w:tcW w:w="3630" w:type="dxa"/>
            <w:tcBorders>
              <w:top w:val="single" w:sz="6" w:space="0" w:color="auto"/>
            </w:tcBorders>
          </w:tcPr>
          <w:p w14:paraId="26875DC2" w14:textId="77777777" w:rsidR="0007751A" w:rsidRPr="00151023" w:rsidRDefault="0007751A" w:rsidP="00127D8A">
            <w:pPr>
              <w:pStyle w:val="TableText0"/>
              <w:keepLines/>
              <w:ind w:left="720" w:hanging="558"/>
            </w:pPr>
            <w:r w:rsidRPr="00151023">
              <w:t>Mild, n (%)</w:t>
            </w:r>
          </w:p>
        </w:tc>
        <w:tc>
          <w:tcPr>
            <w:tcW w:w="2883" w:type="dxa"/>
            <w:tcBorders>
              <w:top w:val="single" w:sz="6" w:space="0" w:color="auto"/>
            </w:tcBorders>
            <w:shd w:val="clear" w:color="auto" w:fill="C6D9F1" w:themeFill="text2" w:themeFillTint="33"/>
          </w:tcPr>
          <w:p w14:paraId="3224A069" w14:textId="77777777" w:rsidR="0007751A" w:rsidRPr="00151023" w:rsidRDefault="0007751A" w:rsidP="00127D8A">
            <w:pPr>
              <w:pStyle w:val="TableText0"/>
              <w:keepLines/>
              <w:jc w:val="center"/>
              <w:rPr>
                <w:color w:val="000000" w:themeColor="text1"/>
              </w:rPr>
            </w:pPr>
            <w:r w:rsidRPr="00151023">
              <w:rPr>
                <w:color w:val="000000" w:themeColor="text1"/>
              </w:rPr>
              <w:t>308 (19.3)</w:t>
            </w:r>
          </w:p>
        </w:tc>
        <w:tc>
          <w:tcPr>
            <w:tcW w:w="2501" w:type="dxa"/>
            <w:tcBorders>
              <w:top w:val="single" w:sz="6" w:space="0" w:color="auto"/>
              <w:left w:val="single" w:sz="6" w:space="0" w:color="auto"/>
            </w:tcBorders>
            <w:shd w:val="clear" w:color="auto" w:fill="C6D9F1" w:themeFill="text2" w:themeFillTint="33"/>
          </w:tcPr>
          <w:p w14:paraId="422ABA2E" w14:textId="77777777" w:rsidR="0007751A" w:rsidRPr="00151023" w:rsidRDefault="0007751A" w:rsidP="00127D8A">
            <w:pPr>
              <w:pStyle w:val="TableText0"/>
              <w:keepLines/>
              <w:jc w:val="center"/>
              <w:rPr>
                <w:color w:val="000000" w:themeColor="text1"/>
              </w:rPr>
            </w:pPr>
            <w:r w:rsidRPr="00151023">
              <w:rPr>
                <w:color w:val="000000" w:themeColor="text1"/>
              </w:rPr>
              <w:t>164 (20.4)</w:t>
            </w:r>
          </w:p>
        </w:tc>
      </w:tr>
      <w:tr w:rsidR="0007751A" w:rsidRPr="00151023" w14:paraId="6E788BF3" w14:textId="77777777" w:rsidTr="0051729C">
        <w:trPr>
          <w:cantSplit/>
        </w:trPr>
        <w:tc>
          <w:tcPr>
            <w:tcW w:w="3630" w:type="dxa"/>
          </w:tcPr>
          <w:p w14:paraId="2423A59D" w14:textId="77777777" w:rsidR="0007751A" w:rsidRPr="00151023" w:rsidRDefault="0007751A" w:rsidP="00127D8A">
            <w:pPr>
              <w:pStyle w:val="TableText0"/>
              <w:keepLines/>
              <w:ind w:left="720" w:hanging="558"/>
            </w:pPr>
            <w:r w:rsidRPr="00151023">
              <w:t>Moderate, n (%)</w:t>
            </w:r>
          </w:p>
        </w:tc>
        <w:tc>
          <w:tcPr>
            <w:tcW w:w="2883" w:type="dxa"/>
            <w:shd w:val="clear" w:color="auto" w:fill="C6D9F1" w:themeFill="text2" w:themeFillTint="33"/>
          </w:tcPr>
          <w:p w14:paraId="069534F5" w14:textId="77777777" w:rsidR="0007751A" w:rsidRPr="00151023" w:rsidRDefault="0007751A" w:rsidP="00127D8A">
            <w:pPr>
              <w:pStyle w:val="TableText0"/>
              <w:keepLines/>
              <w:jc w:val="center"/>
              <w:rPr>
                <w:color w:val="000000" w:themeColor="text1"/>
              </w:rPr>
            </w:pPr>
            <w:r w:rsidRPr="00151023">
              <w:rPr>
                <w:color w:val="000000" w:themeColor="text1"/>
              </w:rPr>
              <w:t>98 (6.1)</w:t>
            </w:r>
          </w:p>
        </w:tc>
        <w:tc>
          <w:tcPr>
            <w:tcW w:w="2501" w:type="dxa"/>
            <w:tcBorders>
              <w:left w:val="single" w:sz="6" w:space="0" w:color="auto"/>
            </w:tcBorders>
            <w:shd w:val="clear" w:color="auto" w:fill="C6D9F1" w:themeFill="text2" w:themeFillTint="33"/>
          </w:tcPr>
          <w:p w14:paraId="251D41F8" w14:textId="77777777" w:rsidR="0007751A" w:rsidRPr="00151023" w:rsidRDefault="0007751A" w:rsidP="00127D8A">
            <w:pPr>
              <w:pStyle w:val="TableText0"/>
              <w:keepLines/>
              <w:jc w:val="center"/>
              <w:rPr>
                <w:color w:val="000000" w:themeColor="text1"/>
              </w:rPr>
            </w:pPr>
            <w:r w:rsidRPr="00151023">
              <w:rPr>
                <w:color w:val="000000" w:themeColor="text1"/>
              </w:rPr>
              <w:t>41 (5.1)</w:t>
            </w:r>
          </w:p>
        </w:tc>
      </w:tr>
      <w:tr w:rsidR="0007751A" w:rsidRPr="00151023" w14:paraId="73911F47" w14:textId="77777777" w:rsidTr="0051729C">
        <w:trPr>
          <w:cantSplit/>
        </w:trPr>
        <w:tc>
          <w:tcPr>
            <w:tcW w:w="3630" w:type="dxa"/>
            <w:shd w:val="clear" w:color="auto" w:fill="auto"/>
          </w:tcPr>
          <w:p w14:paraId="219DE6B6" w14:textId="77777777" w:rsidR="0007751A" w:rsidRPr="00151023" w:rsidRDefault="0007751A" w:rsidP="00127D8A">
            <w:pPr>
              <w:pStyle w:val="TableText0"/>
              <w:keepLines/>
              <w:ind w:left="720" w:hanging="558"/>
            </w:pPr>
            <w:r w:rsidRPr="00151023">
              <w:t>Severe, n (%)</w:t>
            </w:r>
          </w:p>
        </w:tc>
        <w:tc>
          <w:tcPr>
            <w:tcW w:w="2883" w:type="dxa"/>
            <w:shd w:val="clear" w:color="auto" w:fill="C6D9F1" w:themeFill="text2" w:themeFillTint="33"/>
          </w:tcPr>
          <w:p w14:paraId="41A88A4A" w14:textId="77777777" w:rsidR="0007751A" w:rsidRPr="00151023" w:rsidRDefault="0007751A" w:rsidP="00127D8A">
            <w:pPr>
              <w:pStyle w:val="TableText0"/>
              <w:keepLines/>
              <w:jc w:val="center"/>
              <w:rPr>
                <w:color w:val="000000" w:themeColor="text1"/>
              </w:rPr>
            </w:pPr>
            <w:r w:rsidRPr="00151023">
              <w:rPr>
                <w:color w:val="000000" w:themeColor="text1"/>
              </w:rPr>
              <w:t>12 (0.8)</w:t>
            </w:r>
          </w:p>
        </w:tc>
        <w:tc>
          <w:tcPr>
            <w:tcW w:w="2501" w:type="dxa"/>
            <w:tcBorders>
              <w:left w:val="single" w:sz="6" w:space="0" w:color="auto"/>
            </w:tcBorders>
            <w:shd w:val="clear" w:color="auto" w:fill="C6D9F1" w:themeFill="text2" w:themeFillTint="33"/>
          </w:tcPr>
          <w:p w14:paraId="79CE1F3B" w14:textId="77777777" w:rsidR="0007751A" w:rsidRPr="00151023" w:rsidRDefault="0007751A" w:rsidP="00127D8A">
            <w:pPr>
              <w:pStyle w:val="TableText0"/>
              <w:keepLines/>
              <w:jc w:val="center"/>
              <w:rPr>
                <w:color w:val="000000" w:themeColor="text1"/>
              </w:rPr>
            </w:pPr>
            <w:r w:rsidRPr="00151023">
              <w:rPr>
                <w:color w:val="000000" w:themeColor="text1"/>
              </w:rPr>
              <w:t>2 (0.2)</w:t>
            </w:r>
          </w:p>
        </w:tc>
      </w:tr>
      <w:tr w:rsidR="0007751A" w:rsidRPr="00151023" w14:paraId="55E985BE" w14:textId="77777777" w:rsidTr="0051729C">
        <w:trPr>
          <w:cantSplit/>
        </w:trPr>
        <w:tc>
          <w:tcPr>
            <w:tcW w:w="3630" w:type="dxa"/>
          </w:tcPr>
          <w:p w14:paraId="2169E8F2" w14:textId="77777777" w:rsidR="0007751A" w:rsidRPr="00151023" w:rsidRDefault="0007751A" w:rsidP="00127D8A">
            <w:pPr>
              <w:pStyle w:val="TableText0"/>
              <w:keepLines/>
            </w:pPr>
            <w:r w:rsidRPr="00151023">
              <w:t>AE - possibly related, n (%)</w:t>
            </w:r>
          </w:p>
        </w:tc>
        <w:tc>
          <w:tcPr>
            <w:tcW w:w="2883" w:type="dxa"/>
            <w:shd w:val="clear" w:color="auto" w:fill="C6D9F1" w:themeFill="text2" w:themeFillTint="33"/>
          </w:tcPr>
          <w:p w14:paraId="771A5305" w14:textId="77777777" w:rsidR="0007751A" w:rsidRPr="00151023" w:rsidRDefault="0007751A" w:rsidP="00127D8A">
            <w:pPr>
              <w:pStyle w:val="TableText0"/>
              <w:keepLines/>
              <w:jc w:val="center"/>
              <w:rPr>
                <w:color w:val="000000" w:themeColor="text1"/>
              </w:rPr>
            </w:pPr>
            <w:r w:rsidRPr="00151023">
              <w:rPr>
                <w:color w:val="000000" w:themeColor="text1"/>
              </w:rPr>
              <w:t>70 (4.4)</w:t>
            </w:r>
          </w:p>
        </w:tc>
        <w:tc>
          <w:tcPr>
            <w:tcW w:w="2501" w:type="dxa"/>
            <w:tcBorders>
              <w:left w:val="single" w:sz="6" w:space="0" w:color="auto"/>
            </w:tcBorders>
            <w:shd w:val="clear" w:color="auto" w:fill="C6D9F1" w:themeFill="text2" w:themeFillTint="33"/>
          </w:tcPr>
          <w:p w14:paraId="47EFCF1E" w14:textId="77777777" w:rsidR="0007751A" w:rsidRPr="00151023" w:rsidRDefault="0007751A" w:rsidP="00127D8A">
            <w:pPr>
              <w:pStyle w:val="TableText0"/>
              <w:keepLines/>
              <w:jc w:val="center"/>
              <w:rPr>
                <w:color w:val="000000" w:themeColor="text1"/>
              </w:rPr>
            </w:pPr>
            <w:r w:rsidRPr="00151023">
              <w:rPr>
                <w:color w:val="000000" w:themeColor="text1"/>
              </w:rPr>
              <w:t>36 (4.5)</w:t>
            </w:r>
          </w:p>
        </w:tc>
      </w:tr>
      <w:tr w:rsidR="0007751A" w:rsidRPr="00151023" w14:paraId="3718015A" w14:textId="77777777" w:rsidTr="0051729C">
        <w:trPr>
          <w:cantSplit/>
        </w:trPr>
        <w:tc>
          <w:tcPr>
            <w:tcW w:w="3630" w:type="dxa"/>
          </w:tcPr>
          <w:p w14:paraId="7ABCADAD" w14:textId="77777777" w:rsidR="0007751A" w:rsidRPr="00151023" w:rsidRDefault="0007751A" w:rsidP="00127D8A">
            <w:pPr>
              <w:pStyle w:val="TableText0"/>
              <w:keepLines/>
            </w:pPr>
            <w:r w:rsidRPr="00151023">
              <w:t>SAE, n (%)</w:t>
            </w:r>
          </w:p>
        </w:tc>
        <w:tc>
          <w:tcPr>
            <w:tcW w:w="2883" w:type="dxa"/>
            <w:shd w:val="clear" w:color="auto" w:fill="C6D9F1" w:themeFill="text2" w:themeFillTint="33"/>
          </w:tcPr>
          <w:p w14:paraId="335FB604" w14:textId="77777777" w:rsidR="0007751A" w:rsidRPr="00151023" w:rsidRDefault="0007751A" w:rsidP="00127D8A">
            <w:pPr>
              <w:pStyle w:val="TableText0"/>
              <w:keepLines/>
              <w:jc w:val="center"/>
              <w:rPr>
                <w:color w:val="000000" w:themeColor="text1"/>
              </w:rPr>
            </w:pPr>
            <w:r w:rsidRPr="00151023">
              <w:rPr>
                <w:color w:val="000000" w:themeColor="text1"/>
              </w:rPr>
              <w:t>15 (0.9)</w:t>
            </w:r>
          </w:p>
        </w:tc>
        <w:tc>
          <w:tcPr>
            <w:tcW w:w="2501" w:type="dxa"/>
            <w:tcBorders>
              <w:left w:val="single" w:sz="6" w:space="0" w:color="auto"/>
            </w:tcBorders>
            <w:shd w:val="clear" w:color="auto" w:fill="C6D9F1" w:themeFill="text2" w:themeFillTint="33"/>
          </w:tcPr>
          <w:p w14:paraId="79D68E24" w14:textId="77777777" w:rsidR="0007751A" w:rsidRPr="00151023" w:rsidRDefault="0007751A" w:rsidP="00127D8A">
            <w:pPr>
              <w:pStyle w:val="TableText0"/>
              <w:keepLines/>
              <w:jc w:val="center"/>
              <w:rPr>
                <w:color w:val="000000" w:themeColor="text1"/>
              </w:rPr>
            </w:pPr>
            <w:r w:rsidRPr="00151023">
              <w:rPr>
                <w:color w:val="000000" w:themeColor="text1"/>
              </w:rPr>
              <w:t>7 (0.9)</w:t>
            </w:r>
          </w:p>
        </w:tc>
      </w:tr>
      <w:tr w:rsidR="0007751A" w:rsidRPr="00151023" w14:paraId="26E6915F" w14:textId="77777777" w:rsidTr="0051729C">
        <w:trPr>
          <w:cantSplit/>
        </w:trPr>
        <w:tc>
          <w:tcPr>
            <w:tcW w:w="3630" w:type="dxa"/>
          </w:tcPr>
          <w:p w14:paraId="2EF8A05B" w14:textId="77777777" w:rsidR="0007751A" w:rsidRPr="00151023" w:rsidRDefault="0007751A" w:rsidP="00127D8A">
            <w:pPr>
              <w:pStyle w:val="TableText0"/>
              <w:keepLines/>
            </w:pPr>
            <w:r w:rsidRPr="00151023">
              <w:t>SAE - possibly related, n (%)</w:t>
            </w:r>
          </w:p>
        </w:tc>
        <w:tc>
          <w:tcPr>
            <w:tcW w:w="2883" w:type="dxa"/>
            <w:shd w:val="clear" w:color="auto" w:fill="C6D9F1" w:themeFill="text2" w:themeFillTint="33"/>
          </w:tcPr>
          <w:p w14:paraId="132C818D" w14:textId="77777777" w:rsidR="0007751A" w:rsidRPr="00151023" w:rsidRDefault="0007751A" w:rsidP="00127D8A">
            <w:pPr>
              <w:pStyle w:val="TableText0"/>
              <w:keepLines/>
              <w:jc w:val="center"/>
            </w:pPr>
            <w:r w:rsidRPr="00151023">
              <w:t>0</w:t>
            </w:r>
          </w:p>
        </w:tc>
        <w:tc>
          <w:tcPr>
            <w:tcW w:w="2501" w:type="dxa"/>
            <w:tcBorders>
              <w:left w:val="single" w:sz="6" w:space="0" w:color="auto"/>
            </w:tcBorders>
            <w:shd w:val="clear" w:color="auto" w:fill="C6D9F1" w:themeFill="text2" w:themeFillTint="33"/>
          </w:tcPr>
          <w:p w14:paraId="2D72C46F" w14:textId="77777777" w:rsidR="0007751A" w:rsidRPr="00151023" w:rsidRDefault="0007751A" w:rsidP="00127D8A">
            <w:pPr>
              <w:pStyle w:val="TableText0"/>
              <w:keepLines/>
              <w:jc w:val="center"/>
            </w:pPr>
            <w:r w:rsidRPr="00151023">
              <w:t>0</w:t>
            </w:r>
          </w:p>
        </w:tc>
      </w:tr>
      <w:tr w:rsidR="0007751A" w:rsidRPr="00151023" w14:paraId="19970213" w14:textId="77777777" w:rsidTr="0051729C">
        <w:trPr>
          <w:cantSplit/>
        </w:trPr>
        <w:tc>
          <w:tcPr>
            <w:tcW w:w="3630" w:type="dxa"/>
          </w:tcPr>
          <w:p w14:paraId="7663A214" w14:textId="77777777" w:rsidR="0007751A" w:rsidRPr="00151023" w:rsidRDefault="0007751A" w:rsidP="00127D8A">
            <w:pPr>
              <w:pStyle w:val="TableText0"/>
              <w:keepLines/>
            </w:pPr>
            <w:r w:rsidRPr="00151023">
              <w:t>AE leading to premature withdrawal, n (%)</w:t>
            </w:r>
          </w:p>
        </w:tc>
        <w:tc>
          <w:tcPr>
            <w:tcW w:w="2883" w:type="dxa"/>
            <w:shd w:val="clear" w:color="auto" w:fill="C6D9F1" w:themeFill="text2" w:themeFillTint="33"/>
          </w:tcPr>
          <w:p w14:paraId="674DDEC9" w14:textId="77777777" w:rsidR="0007751A" w:rsidRPr="00151023" w:rsidRDefault="0007751A" w:rsidP="00127D8A">
            <w:pPr>
              <w:pStyle w:val="TableText0"/>
              <w:keepLines/>
              <w:jc w:val="center"/>
              <w:rPr>
                <w:color w:val="000000" w:themeColor="text1"/>
              </w:rPr>
            </w:pPr>
            <w:r w:rsidRPr="00151023">
              <w:rPr>
                <w:color w:val="000000" w:themeColor="text1"/>
              </w:rPr>
              <w:t>3 (0.2)</w:t>
            </w:r>
          </w:p>
        </w:tc>
        <w:tc>
          <w:tcPr>
            <w:tcW w:w="2501" w:type="dxa"/>
            <w:tcBorders>
              <w:left w:val="single" w:sz="6" w:space="0" w:color="auto"/>
            </w:tcBorders>
            <w:shd w:val="clear" w:color="auto" w:fill="C6D9F1" w:themeFill="text2" w:themeFillTint="33"/>
          </w:tcPr>
          <w:p w14:paraId="3168B93C" w14:textId="77777777" w:rsidR="0007751A" w:rsidRPr="00151023" w:rsidRDefault="0007751A" w:rsidP="00127D8A">
            <w:pPr>
              <w:pStyle w:val="TableText0"/>
              <w:keepLines/>
              <w:jc w:val="center"/>
              <w:rPr>
                <w:color w:val="000000" w:themeColor="text1"/>
              </w:rPr>
            </w:pPr>
            <w:r w:rsidRPr="00151023">
              <w:rPr>
                <w:color w:val="000000" w:themeColor="text1"/>
              </w:rPr>
              <w:t>0</w:t>
            </w:r>
          </w:p>
        </w:tc>
      </w:tr>
      <w:tr w:rsidR="0007751A" w:rsidRPr="00151023" w14:paraId="520495BE" w14:textId="77777777" w:rsidTr="0051729C">
        <w:trPr>
          <w:cantSplit/>
        </w:trPr>
        <w:tc>
          <w:tcPr>
            <w:tcW w:w="3630" w:type="dxa"/>
          </w:tcPr>
          <w:p w14:paraId="51374D1F" w14:textId="77777777" w:rsidR="0007751A" w:rsidRPr="00151023" w:rsidRDefault="0007751A" w:rsidP="00127D8A">
            <w:pPr>
              <w:pStyle w:val="TableText0"/>
              <w:keepLines/>
            </w:pPr>
            <w:r w:rsidRPr="00151023">
              <w:t>Medically attended AE, n (%)</w:t>
            </w:r>
          </w:p>
        </w:tc>
        <w:tc>
          <w:tcPr>
            <w:tcW w:w="2883" w:type="dxa"/>
            <w:shd w:val="clear" w:color="auto" w:fill="C6D9F1" w:themeFill="text2" w:themeFillTint="33"/>
          </w:tcPr>
          <w:p w14:paraId="51967D45" w14:textId="77777777" w:rsidR="0007751A" w:rsidRPr="00151023" w:rsidRDefault="0007751A" w:rsidP="00127D8A">
            <w:pPr>
              <w:pStyle w:val="TableText0"/>
              <w:keepLines/>
              <w:jc w:val="center"/>
              <w:rPr>
                <w:color w:val="000000" w:themeColor="text1"/>
              </w:rPr>
            </w:pPr>
            <w:r w:rsidRPr="00151023">
              <w:rPr>
                <w:color w:val="000000" w:themeColor="text1"/>
              </w:rPr>
              <w:t>222 (13.9)</w:t>
            </w:r>
          </w:p>
        </w:tc>
        <w:tc>
          <w:tcPr>
            <w:tcW w:w="2501" w:type="dxa"/>
            <w:tcBorders>
              <w:left w:val="single" w:sz="6" w:space="0" w:color="auto"/>
            </w:tcBorders>
            <w:shd w:val="clear" w:color="auto" w:fill="C6D9F1" w:themeFill="text2" w:themeFillTint="33"/>
          </w:tcPr>
          <w:p w14:paraId="1550A632" w14:textId="77777777" w:rsidR="0007751A" w:rsidRPr="00151023" w:rsidRDefault="0007751A" w:rsidP="00127D8A">
            <w:pPr>
              <w:pStyle w:val="TableText0"/>
              <w:keepLines/>
              <w:jc w:val="center"/>
              <w:rPr>
                <w:color w:val="000000" w:themeColor="text1"/>
              </w:rPr>
            </w:pPr>
            <w:r w:rsidRPr="00151023">
              <w:rPr>
                <w:color w:val="000000" w:themeColor="text1"/>
              </w:rPr>
              <w:t>97 (12.0)</w:t>
            </w:r>
          </w:p>
        </w:tc>
      </w:tr>
      <w:tr w:rsidR="0007751A" w:rsidRPr="00151023" w14:paraId="2F33AD72" w14:textId="77777777" w:rsidTr="0051729C">
        <w:trPr>
          <w:cantSplit/>
        </w:trPr>
        <w:tc>
          <w:tcPr>
            <w:tcW w:w="3630" w:type="dxa"/>
          </w:tcPr>
          <w:p w14:paraId="14F1821A" w14:textId="77777777" w:rsidR="0007751A" w:rsidRPr="00151023" w:rsidRDefault="0007751A" w:rsidP="00127D8A">
            <w:pPr>
              <w:pStyle w:val="TableText0"/>
              <w:keepLines/>
            </w:pPr>
            <w:r w:rsidRPr="00151023">
              <w:t xml:space="preserve">New onset chronic disease, n (%) </w:t>
            </w:r>
          </w:p>
        </w:tc>
        <w:tc>
          <w:tcPr>
            <w:tcW w:w="2883" w:type="dxa"/>
            <w:shd w:val="clear" w:color="auto" w:fill="C6D9F1" w:themeFill="text2" w:themeFillTint="33"/>
          </w:tcPr>
          <w:p w14:paraId="1018DE63" w14:textId="77777777" w:rsidR="0007751A" w:rsidRPr="00151023" w:rsidRDefault="0007751A" w:rsidP="00127D8A">
            <w:pPr>
              <w:pStyle w:val="TableText0"/>
              <w:keepLines/>
              <w:jc w:val="center"/>
              <w:rPr>
                <w:color w:val="000000" w:themeColor="text1"/>
              </w:rPr>
            </w:pPr>
            <w:r w:rsidRPr="00151023">
              <w:rPr>
                <w:color w:val="000000" w:themeColor="text1"/>
              </w:rPr>
              <w:t>22 (1.4)</w:t>
            </w:r>
          </w:p>
        </w:tc>
        <w:tc>
          <w:tcPr>
            <w:tcW w:w="2501" w:type="dxa"/>
            <w:tcBorders>
              <w:left w:val="single" w:sz="6" w:space="0" w:color="auto"/>
            </w:tcBorders>
            <w:shd w:val="clear" w:color="auto" w:fill="C6D9F1" w:themeFill="text2" w:themeFillTint="33"/>
          </w:tcPr>
          <w:p w14:paraId="2518459F" w14:textId="77777777" w:rsidR="0007751A" w:rsidRPr="00151023" w:rsidRDefault="0007751A" w:rsidP="00127D8A">
            <w:pPr>
              <w:pStyle w:val="TableText0"/>
              <w:keepLines/>
              <w:jc w:val="center"/>
              <w:rPr>
                <w:color w:val="000000" w:themeColor="text1"/>
              </w:rPr>
            </w:pPr>
            <w:r w:rsidRPr="00151023">
              <w:rPr>
                <w:color w:val="000000" w:themeColor="text1"/>
              </w:rPr>
              <w:t>13 (1.6)</w:t>
            </w:r>
          </w:p>
        </w:tc>
      </w:tr>
      <w:tr w:rsidR="0007751A" w:rsidRPr="00151023" w14:paraId="1DA238ED" w14:textId="77777777" w:rsidTr="0051729C">
        <w:trPr>
          <w:cantSplit/>
        </w:trPr>
        <w:tc>
          <w:tcPr>
            <w:tcW w:w="3630" w:type="dxa"/>
          </w:tcPr>
          <w:p w14:paraId="6C91A93B" w14:textId="77777777" w:rsidR="0007751A" w:rsidRPr="00151023" w:rsidRDefault="0007751A" w:rsidP="00127D8A">
            <w:pPr>
              <w:pStyle w:val="TableText0"/>
              <w:keepLines/>
            </w:pPr>
            <w:r w:rsidRPr="00151023">
              <w:t>Death, n (%)</w:t>
            </w:r>
          </w:p>
        </w:tc>
        <w:tc>
          <w:tcPr>
            <w:tcW w:w="2883" w:type="dxa"/>
            <w:shd w:val="clear" w:color="auto" w:fill="C6D9F1" w:themeFill="text2" w:themeFillTint="33"/>
          </w:tcPr>
          <w:p w14:paraId="2B162CD4" w14:textId="77777777" w:rsidR="0007751A" w:rsidRPr="00151023" w:rsidRDefault="0007751A" w:rsidP="00127D8A">
            <w:pPr>
              <w:pStyle w:val="TableText0"/>
              <w:keepLines/>
              <w:jc w:val="center"/>
            </w:pPr>
            <w:r w:rsidRPr="00151023">
              <w:t>2 (0.1)</w:t>
            </w:r>
          </w:p>
        </w:tc>
        <w:tc>
          <w:tcPr>
            <w:tcW w:w="2501" w:type="dxa"/>
            <w:tcBorders>
              <w:left w:val="single" w:sz="6" w:space="0" w:color="auto"/>
            </w:tcBorders>
            <w:shd w:val="clear" w:color="auto" w:fill="C6D9F1" w:themeFill="text2" w:themeFillTint="33"/>
          </w:tcPr>
          <w:p w14:paraId="0CC2862E" w14:textId="77777777" w:rsidR="0007751A" w:rsidRPr="00151023" w:rsidRDefault="0007751A" w:rsidP="00127D8A">
            <w:pPr>
              <w:pStyle w:val="TableText0"/>
              <w:keepLines/>
              <w:jc w:val="center"/>
            </w:pPr>
            <w:r w:rsidRPr="00151023">
              <w:t>0</w:t>
            </w:r>
          </w:p>
        </w:tc>
      </w:tr>
      <w:tr w:rsidR="0007751A" w:rsidRPr="00151023" w14:paraId="64D803A5" w14:textId="77777777" w:rsidTr="0051729C">
        <w:trPr>
          <w:cantSplit/>
        </w:trPr>
        <w:tc>
          <w:tcPr>
            <w:tcW w:w="3630" w:type="dxa"/>
          </w:tcPr>
          <w:p w14:paraId="736EA7FF" w14:textId="77777777" w:rsidR="0007751A" w:rsidRPr="00151023" w:rsidRDefault="0007751A" w:rsidP="00127D8A">
            <w:pPr>
              <w:pStyle w:val="TableText0"/>
              <w:keepLines/>
            </w:pPr>
            <w:r w:rsidRPr="00151023">
              <w:t>Death – possibly related, n (%)</w:t>
            </w:r>
          </w:p>
        </w:tc>
        <w:tc>
          <w:tcPr>
            <w:tcW w:w="2883" w:type="dxa"/>
            <w:shd w:val="clear" w:color="auto" w:fill="C6D9F1" w:themeFill="text2" w:themeFillTint="33"/>
          </w:tcPr>
          <w:p w14:paraId="772FE1E9" w14:textId="77777777" w:rsidR="0007751A" w:rsidRPr="00151023" w:rsidRDefault="0007751A" w:rsidP="00127D8A">
            <w:pPr>
              <w:pStyle w:val="TableText0"/>
              <w:keepLines/>
              <w:jc w:val="center"/>
            </w:pPr>
            <w:r w:rsidRPr="00151023">
              <w:t>0</w:t>
            </w:r>
          </w:p>
        </w:tc>
        <w:tc>
          <w:tcPr>
            <w:tcW w:w="2501" w:type="dxa"/>
            <w:tcBorders>
              <w:left w:val="single" w:sz="6" w:space="0" w:color="auto"/>
            </w:tcBorders>
            <w:shd w:val="clear" w:color="auto" w:fill="C6D9F1" w:themeFill="text2" w:themeFillTint="33"/>
          </w:tcPr>
          <w:p w14:paraId="02FAA6A7" w14:textId="77777777" w:rsidR="0007751A" w:rsidRPr="00151023" w:rsidRDefault="0007751A" w:rsidP="00127D8A">
            <w:pPr>
              <w:pStyle w:val="TableText0"/>
              <w:keepLines/>
              <w:jc w:val="center"/>
            </w:pPr>
            <w:r w:rsidRPr="00151023">
              <w:t>0</w:t>
            </w:r>
          </w:p>
        </w:tc>
      </w:tr>
    </w:tbl>
    <w:p w14:paraId="4E10CCE0" w14:textId="4313EE44" w:rsidR="0007751A" w:rsidRPr="00151023" w:rsidRDefault="0007751A" w:rsidP="00127D8A">
      <w:pPr>
        <w:pStyle w:val="FooterTableFigure"/>
        <w:keepNext/>
        <w:keepLines/>
        <w:rPr>
          <w:rFonts w:eastAsia="Arial Narrow"/>
        </w:rPr>
      </w:pPr>
      <w:r w:rsidRPr="00151023">
        <w:rPr>
          <w:rFonts w:eastAsia="Arial Narrow"/>
        </w:rPr>
        <w:t xml:space="preserve">Source: Adapted from Table 2.5.7, p 74 of the </w:t>
      </w:r>
      <w:r w:rsidR="002900B0" w:rsidRPr="00151023">
        <w:rPr>
          <w:rFonts w:eastAsia="Arial Narrow"/>
        </w:rPr>
        <w:t>submission</w:t>
      </w:r>
      <w:r w:rsidRPr="00151023">
        <w:rPr>
          <w:rFonts w:eastAsia="Arial Narrow"/>
        </w:rPr>
        <w:t xml:space="preserve"> and paragraph 6.23, </w:t>
      </w:r>
      <w:r w:rsidR="00D23487" w:rsidRPr="00151023">
        <w:rPr>
          <w:rFonts w:eastAsia="Arial Narrow"/>
        </w:rPr>
        <w:t xml:space="preserve">QIVc, </w:t>
      </w:r>
      <w:r w:rsidRPr="00151023">
        <w:rPr>
          <w:rFonts w:eastAsia="Arial Narrow"/>
        </w:rPr>
        <w:t xml:space="preserve">Public Summary Document, September 2022 PBAC meeting </w:t>
      </w:r>
    </w:p>
    <w:p w14:paraId="7590887C" w14:textId="77777777" w:rsidR="0007751A" w:rsidRPr="00151023" w:rsidRDefault="0007751A" w:rsidP="00127D8A">
      <w:pPr>
        <w:pStyle w:val="FooterTableFigure"/>
        <w:keepNext/>
        <w:keepLines/>
      </w:pPr>
      <w:r w:rsidRPr="00151023">
        <w:rPr>
          <w:rFonts w:eastAsia="Arial Narrow"/>
        </w:rPr>
        <w:t xml:space="preserve">AE = Adverse event; SAE = Serious adverse event; n = number of participants with event, N = Number of participants; </w:t>
      </w:r>
      <w:r w:rsidRPr="00151023">
        <w:t>QIVc = cell-based quadrivalent subunit influenza virus vaccine, QIVe = egg-based quadrivalent subunit influenza virus vaccine.</w:t>
      </w:r>
    </w:p>
    <w:p w14:paraId="44D0F874" w14:textId="77777777" w:rsidR="0007751A" w:rsidRPr="00151023" w:rsidRDefault="0007751A" w:rsidP="00127D8A">
      <w:pPr>
        <w:pStyle w:val="FooterTableFigure"/>
        <w:keepNext/>
        <w:keepLines/>
        <w:rPr>
          <w:rFonts w:ascii="Calibri" w:hAnsi="Calibri"/>
          <w:szCs w:val="18"/>
        </w:rPr>
      </w:pPr>
      <w:r w:rsidRPr="00151023">
        <w:rPr>
          <w:rStyle w:val="CommentReference"/>
          <w:b w:val="0"/>
          <w:bCs/>
          <w:iCs/>
          <w:sz w:val="18"/>
          <w:szCs w:val="18"/>
          <w:shd w:val="clear" w:color="auto" w:fill="B8CCE4" w:themeFill="accent1" w:themeFillTint="66"/>
        </w:rPr>
        <w:t>Blue shading</w:t>
      </w:r>
      <w:r w:rsidRPr="00151023">
        <w:rPr>
          <w:rStyle w:val="CommentReference"/>
          <w:b w:val="0"/>
          <w:bCs/>
          <w:iCs/>
          <w:sz w:val="18"/>
          <w:szCs w:val="18"/>
        </w:rPr>
        <w:t xml:space="preserve"> indicates information previously seen by the PBAC</w:t>
      </w:r>
    </w:p>
    <w:p w14:paraId="1FD85A47" w14:textId="77777777" w:rsidR="0007751A" w:rsidRPr="00151023" w:rsidRDefault="0007751A" w:rsidP="00127D8A">
      <w:pPr>
        <w:pStyle w:val="FooterTableFigure"/>
        <w:keepNext/>
        <w:keepLines/>
        <w:rPr>
          <w:rFonts w:eastAsia="Arial Narrow"/>
        </w:rPr>
      </w:pPr>
      <w:r w:rsidRPr="00151023">
        <w:rPr>
          <w:rFonts w:eastAsia="Arial Narrow"/>
          <w:vertAlign w:val="superscript"/>
        </w:rPr>
        <w:t>a</w:t>
      </w:r>
      <w:r w:rsidRPr="00151023">
        <w:rPr>
          <w:rFonts w:eastAsia="Arial Narrow"/>
        </w:rPr>
        <w:t>V130_10: All unsolicited AEs were collected during the treatment period (Day 1 to 29/57); SAEs, medically attended AEs, AEs leading to withdrawal from the study and New Onset Chronic Diseases were collected from Day 1 through Day 181/209.</w:t>
      </w:r>
    </w:p>
    <w:p w14:paraId="60135F4A" w14:textId="5852ABE6" w:rsidR="0051729C" w:rsidRPr="0051729C" w:rsidRDefault="0007751A" w:rsidP="00127D8A">
      <w:pPr>
        <w:pStyle w:val="FooterTableFigure"/>
        <w:keepNext/>
        <w:keepLines/>
        <w:rPr>
          <w:rFonts w:eastAsia="Arial Narrow"/>
        </w:rPr>
      </w:pPr>
      <w:proofErr w:type="spellStart"/>
      <w:r w:rsidRPr="00151023">
        <w:rPr>
          <w:rFonts w:eastAsia="Arial Narrow"/>
          <w:vertAlign w:val="superscript"/>
        </w:rPr>
        <w:t>b</w:t>
      </w:r>
      <w:r w:rsidRPr="00151023">
        <w:rPr>
          <w:rFonts w:eastAsia="Arial Narrow"/>
        </w:rPr>
        <w:t>Unsolicited</w:t>
      </w:r>
      <w:proofErr w:type="spellEnd"/>
      <w:r w:rsidRPr="00151023">
        <w:rPr>
          <w:rFonts w:eastAsia="Arial Narrow"/>
        </w:rPr>
        <w:t xml:space="preserve"> Safety Set (V130_10): All subjects in the All Enrolled Set who were randomised and received a study vaccination who were not part of the Cell-Mediated Immunity [CMI] population and who received vaccine on Day 1 and provided serology specimens which yielded valid serology assay results from both Day 1 and Day 29 [previously vaccinated subjects] or Day 1 and Day 57 [not previously vaccinated subjects] with any unsolicited AE data.</w:t>
      </w:r>
    </w:p>
    <w:p w14:paraId="0E0A5EAB" w14:textId="4612DDFD" w:rsidR="0007751A" w:rsidRPr="00151023" w:rsidRDefault="0007751A" w:rsidP="0007751A">
      <w:pPr>
        <w:pStyle w:val="3-BodyText"/>
      </w:pPr>
      <w:r w:rsidRPr="00151023">
        <w:t xml:space="preserve">Rates of solicited and unsolicited AEs were similar between the 2 vaccine groups; any solicited AE after any vaccination was reported in 63.7% and 65.9% of </w:t>
      </w:r>
      <w:r w:rsidR="00FD5ABE" w:rsidRPr="00151023">
        <w:t>children</w:t>
      </w:r>
      <w:r w:rsidR="00EE1D5D" w:rsidRPr="00151023">
        <w:t xml:space="preserve"> </w:t>
      </w:r>
      <w:r w:rsidRPr="00151023">
        <w:t>receiving QIVc and QIVe, respectively, and any unsolicited AE was reported during the treatment period in 26.2% and 25.7%, respectively.</w:t>
      </w:r>
    </w:p>
    <w:p w14:paraId="7B416DD7" w14:textId="0CAE6930" w:rsidR="0007751A" w:rsidRPr="00151023" w:rsidRDefault="0007751A" w:rsidP="0007751A">
      <w:pPr>
        <w:pStyle w:val="3-BodyText"/>
      </w:pPr>
      <w:r w:rsidRPr="00151023">
        <w:t xml:space="preserve">The majority of solicited AEs were of mild to moderate severity in both groups. The most common solicited local AEs were tenderness and erythema at the injection site, and most common solicited systemic AEs were irritability and sleepiness. </w:t>
      </w:r>
      <w:r w:rsidR="000A3C3D" w:rsidRPr="00151023">
        <w:t xml:space="preserve">The most frequently reported unsolicited AEs during the treatment period for both vaccine groups were upper respiratory tract infection and pyrexia. </w:t>
      </w:r>
      <w:r w:rsidR="00FD5ABE" w:rsidRPr="00151023">
        <w:t>Children</w:t>
      </w:r>
      <w:r w:rsidR="00EE1D5D" w:rsidRPr="00151023">
        <w:t xml:space="preserve"> </w:t>
      </w:r>
      <w:r w:rsidR="000A3C3D" w:rsidRPr="00151023">
        <w:t>reporting unsolicited AEs assessed as at least possibly related to study vaccine were similar for QIVc (4.4%) and QIVe (4.5%).</w:t>
      </w:r>
    </w:p>
    <w:p w14:paraId="18292FF6" w14:textId="5ED19384" w:rsidR="0007751A" w:rsidRPr="00151023" w:rsidRDefault="0007751A" w:rsidP="0007751A">
      <w:pPr>
        <w:pStyle w:val="3-BodyText"/>
      </w:pPr>
      <w:r w:rsidRPr="00151023">
        <w:t xml:space="preserve">Serious AEs (SAEs) were reported in less than 1% of </w:t>
      </w:r>
      <w:r w:rsidR="00FD5ABE" w:rsidRPr="00151023">
        <w:t>children</w:t>
      </w:r>
      <w:r w:rsidR="00EE1D5D" w:rsidRPr="00151023">
        <w:t xml:space="preserve"> </w:t>
      </w:r>
      <w:r w:rsidRPr="00151023">
        <w:t xml:space="preserve">in each vaccine group and none were assessed as related to the vaccine. </w:t>
      </w:r>
    </w:p>
    <w:p w14:paraId="2356F5D3" w14:textId="78017D13" w:rsidR="00820DE6" w:rsidRPr="00151023" w:rsidRDefault="00820DE6" w:rsidP="00820DE6">
      <w:pPr>
        <w:pStyle w:val="3-BodyText"/>
        <w:rPr>
          <w:iCs/>
        </w:rPr>
      </w:pPr>
      <w:r w:rsidRPr="00151023">
        <w:rPr>
          <w:iCs/>
        </w:rPr>
        <w:t>One limitation of the V130_10 trial is that no safety data on co-administration with other vaccines were available, including for those recommended in the childhood immunisation programs.</w:t>
      </w:r>
    </w:p>
    <w:p w14:paraId="4CCD56A5" w14:textId="77777777" w:rsidR="0007751A" w:rsidRPr="00151023" w:rsidRDefault="0007751A" w:rsidP="0007751A">
      <w:pPr>
        <w:pStyle w:val="3-BodyText"/>
        <w:rPr>
          <w:iCs/>
        </w:rPr>
      </w:pPr>
      <w:r w:rsidRPr="00151023">
        <w:rPr>
          <w:iCs/>
        </w:rPr>
        <w:t xml:space="preserve">Overall, the QIVc and QIVe vaccines were well tolerated in the six to 47 months of age trial population, with both vaccines associated with a clinically acceptable safety profile. There were no notable differences in fever, incidences of anaphylactic reactions and/or hypersensitivity/drug hypersensitivity were reported. </w:t>
      </w:r>
    </w:p>
    <w:p w14:paraId="19AA8ABB" w14:textId="17D48321" w:rsidR="0007751A" w:rsidRPr="00151023" w:rsidRDefault="0007751A" w:rsidP="0007751A">
      <w:pPr>
        <w:pStyle w:val="3-BodyText"/>
        <w:rPr>
          <w:iCs/>
        </w:rPr>
      </w:pPr>
      <w:r w:rsidRPr="00151023">
        <w:rPr>
          <w:iCs/>
        </w:rPr>
        <w:t xml:space="preserve">In the </w:t>
      </w:r>
      <w:r w:rsidR="00A31E16" w:rsidRPr="00151023">
        <w:rPr>
          <w:iCs/>
        </w:rPr>
        <w:t xml:space="preserve">pre-submission </w:t>
      </w:r>
      <w:r w:rsidR="00790684" w:rsidRPr="00790684">
        <w:rPr>
          <w:iCs/>
        </w:rPr>
        <w:t xml:space="preserve">Australian Technical Advisor Group on Immunisation </w:t>
      </w:r>
      <w:r w:rsidR="00790684">
        <w:rPr>
          <w:iCs/>
        </w:rPr>
        <w:t>(</w:t>
      </w:r>
      <w:r w:rsidRPr="00151023">
        <w:rPr>
          <w:iCs/>
        </w:rPr>
        <w:t>ATAGI</w:t>
      </w:r>
      <w:r w:rsidR="00790684">
        <w:rPr>
          <w:iCs/>
        </w:rPr>
        <w:t>)</w:t>
      </w:r>
      <w:r w:rsidRPr="00151023">
        <w:rPr>
          <w:iCs/>
        </w:rPr>
        <w:t xml:space="preserve"> advice to </w:t>
      </w:r>
      <w:r w:rsidR="00820DE6" w:rsidRPr="00151023">
        <w:rPr>
          <w:iCs/>
        </w:rPr>
        <w:t xml:space="preserve">the </w:t>
      </w:r>
      <w:r w:rsidRPr="00151023">
        <w:rPr>
          <w:iCs/>
        </w:rPr>
        <w:t xml:space="preserve">PBAC for the previous submission, ATAGI noted that </w:t>
      </w:r>
      <w:r w:rsidR="00EE052A" w:rsidRPr="00151023">
        <w:rPr>
          <w:iCs/>
        </w:rPr>
        <w:t>‘</w:t>
      </w:r>
      <w:r w:rsidRPr="00151023">
        <w:rPr>
          <w:iCs/>
        </w:rPr>
        <w:t>Safety data are limited but there are no apparent concerns that the QIVc is less safe than the QIVe vaccine</w:t>
      </w:r>
      <w:r w:rsidR="00820DE6" w:rsidRPr="00151023">
        <w:rPr>
          <w:iCs/>
        </w:rPr>
        <w:t xml:space="preserve">. </w:t>
      </w:r>
      <w:r w:rsidR="00820DE6" w:rsidRPr="00151023">
        <w:t>Safety data are available for the trivalent cell-based vaccine, which is considered likely to be equivalent in terms of safety and reactogenicity to the egg-based comparator</w:t>
      </w:r>
      <w:r w:rsidR="00A31E16" w:rsidRPr="00151023">
        <w:t>’ (</w:t>
      </w:r>
      <w:r w:rsidR="00A31E16" w:rsidRPr="00151023">
        <w:rPr>
          <w:snapToGrid/>
        </w:rPr>
        <w:t xml:space="preserve">ATAGI </w:t>
      </w:r>
      <w:r w:rsidR="005A6E2A" w:rsidRPr="00151023">
        <w:rPr>
          <w:snapToGrid/>
        </w:rPr>
        <w:t>pre-submission a</w:t>
      </w:r>
      <w:r w:rsidR="00A31E16" w:rsidRPr="00151023">
        <w:rPr>
          <w:snapToGrid/>
        </w:rPr>
        <w:t>dvice, September 2021).</w:t>
      </w:r>
    </w:p>
    <w:p w14:paraId="0A0F78F2" w14:textId="77777777" w:rsidR="007F1017" w:rsidRPr="00151023" w:rsidRDefault="007F1017" w:rsidP="00D86231">
      <w:pPr>
        <w:pStyle w:val="4-SubsectionHeading"/>
      </w:pPr>
      <w:bookmarkStart w:id="27" w:name="_Toc22897643"/>
      <w:bookmarkStart w:id="28" w:name="_Toc156985373"/>
      <w:r w:rsidRPr="00151023">
        <w:t>Benefits/harms</w:t>
      </w:r>
      <w:bookmarkEnd w:id="27"/>
      <w:bookmarkEnd w:id="28"/>
    </w:p>
    <w:p w14:paraId="568B12F6" w14:textId="48B625DF" w:rsidR="008312D7" w:rsidRPr="00151023" w:rsidRDefault="00ED57F2" w:rsidP="00D2155B">
      <w:pPr>
        <w:pStyle w:val="3-BodyText"/>
        <w:rPr>
          <w:iCs/>
        </w:rPr>
      </w:pPr>
      <w:r w:rsidRPr="00151023">
        <w:rPr>
          <w:iCs/>
          <w:snapToGrid/>
        </w:rPr>
        <w:t xml:space="preserve">For the newly requested </w:t>
      </w:r>
      <w:r w:rsidRPr="00151023">
        <w:t>≥</w:t>
      </w:r>
      <w:r w:rsidRPr="00151023">
        <w:rPr>
          <w:iCs/>
          <w:snapToGrid/>
        </w:rPr>
        <w:t>6 months to &lt;5 years age group, t</w:t>
      </w:r>
      <w:r w:rsidR="00EE052A" w:rsidRPr="00151023">
        <w:rPr>
          <w:iCs/>
          <w:snapToGrid/>
        </w:rPr>
        <w:t xml:space="preserve">he comparative </w:t>
      </w:r>
      <w:r w:rsidR="000B5963" w:rsidRPr="00151023">
        <w:rPr>
          <w:iCs/>
          <w:snapToGrid/>
        </w:rPr>
        <w:t>evidence between QIVc and QIVe</w:t>
      </w:r>
      <w:r w:rsidR="00EE052A" w:rsidRPr="00151023">
        <w:rPr>
          <w:iCs/>
          <w:snapToGrid/>
        </w:rPr>
        <w:t xml:space="preserve"> </w:t>
      </w:r>
      <w:r w:rsidR="000B5963" w:rsidRPr="00151023">
        <w:rPr>
          <w:iCs/>
          <w:snapToGrid/>
        </w:rPr>
        <w:t>was limited to immunogenicity and safety data</w:t>
      </w:r>
      <w:r w:rsidR="00EE052A" w:rsidRPr="00151023">
        <w:rPr>
          <w:iCs/>
          <w:snapToGrid/>
        </w:rPr>
        <w:t xml:space="preserve">. </w:t>
      </w:r>
      <w:r w:rsidR="000B5963" w:rsidRPr="00151023">
        <w:rPr>
          <w:iCs/>
          <w:snapToGrid/>
        </w:rPr>
        <w:t xml:space="preserve">Comparative harms have not been presented as the submission did not claim a safety difference. </w:t>
      </w:r>
    </w:p>
    <w:p w14:paraId="5044719D" w14:textId="77777777" w:rsidR="00B60939" w:rsidRPr="00151023" w:rsidRDefault="00B60939" w:rsidP="00E9094A">
      <w:pPr>
        <w:pStyle w:val="4-SubsectionHeading"/>
      </w:pPr>
      <w:bookmarkStart w:id="29" w:name="_Toc22897644"/>
      <w:bookmarkStart w:id="30" w:name="_Toc156985374"/>
      <w:r w:rsidRPr="00151023">
        <w:t>Clinical claim</w:t>
      </w:r>
      <w:bookmarkEnd w:id="29"/>
      <w:bookmarkEnd w:id="30"/>
    </w:p>
    <w:p w14:paraId="41657F8F" w14:textId="3744FB6C" w:rsidR="00DA2557" w:rsidRPr="00CC3F0C" w:rsidRDefault="00EB02E2" w:rsidP="007710FE">
      <w:pPr>
        <w:pStyle w:val="3-BodyText"/>
      </w:pPr>
      <w:r w:rsidRPr="00CC3F0C">
        <w:t xml:space="preserve">For the population aged ≥6 months to &lt;65 years, the </w:t>
      </w:r>
      <w:r w:rsidR="002900B0" w:rsidRPr="00CC3F0C">
        <w:t>submission</w:t>
      </w:r>
      <w:r w:rsidRPr="00CC3F0C">
        <w:t xml:space="preserve"> claimed QIVc was superior to QIVe in effectiveness in terms of clinically relevant influenza-related outcomes, and comparable to QIVe in terms of safety.</w:t>
      </w:r>
      <w:r w:rsidR="007710FE" w:rsidRPr="00CC3F0C">
        <w:t xml:space="preserve"> </w:t>
      </w:r>
      <w:r w:rsidR="000B5963" w:rsidRPr="00CC3F0C">
        <w:t xml:space="preserve">The pre-PBAC response withdrew this </w:t>
      </w:r>
      <w:r w:rsidR="004A6AF4" w:rsidRPr="00CC3F0C">
        <w:t>claim.</w:t>
      </w:r>
    </w:p>
    <w:p w14:paraId="3A95B551" w14:textId="0511D63E" w:rsidR="00EB02E2" w:rsidRPr="00CC3F0C" w:rsidRDefault="00EB02E2" w:rsidP="00EB02E2">
      <w:pPr>
        <w:pStyle w:val="3-BodyText"/>
        <w:spacing w:after="0"/>
      </w:pPr>
      <w:r w:rsidRPr="00CC3F0C">
        <w:t xml:space="preserve">For the newly requested 6 months to &lt;5 years age group, the </w:t>
      </w:r>
      <w:r w:rsidR="00DA2557" w:rsidRPr="00CC3F0C">
        <w:t xml:space="preserve">evaluation considered that </w:t>
      </w:r>
      <w:r w:rsidRPr="00CC3F0C">
        <w:t xml:space="preserve">superior effectiveness </w:t>
      </w:r>
      <w:r w:rsidR="00A60A31" w:rsidRPr="00CC3F0C">
        <w:t>wa</w:t>
      </w:r>
      <w:r w:rsidRPr="00CC3F0C">
        <w:t xml:space="preserve">s not adequately supported by the evidence presented in </w:t>
      </w:r>
      <w:r w:rsidR="00A31E16" w:rsidRPr="00CC3F0C">
        <w:t>the submission</w:t>
      </w:r>
      <w:r w:rsidRPr="00CC3F0C">
        <w:t xml:space="preserve"> because there were no comparative effectiveness data in the included evidence</w:t>
      </w:r>
      <w:r w:rsidR="003F0FA9" w:rsidRPr="00CC3F0C">
        <w:t>, and</w:t>
      </w:r>
      <w:r w:rsidRPr="00CC3F0C">
        <w:t>:</w:t>
      </w:r>
    </w:p>
    <w:p w14:paraId="44A0586F" w14:textId="1854AE97" w:rsidR="00EB02E2" w:rsidRPr="00CC3F0C" w:rsidRDefault="00EB02E2" w:rsidP="00CA21EE">
      <w:pPr>
        <w:pStyle w:val="3-BodyText"/>
        <w:numPr>
          <w:ilvl w:val="0"/>
          <w:numId w:val="11"/>
        </w:numPr>
        <w:spacing w:after="0"/>
      </w:pPr>
      <w:bookmarkStart w:id="31" w:name="_Hlk156470990"/>
      <w:r w:rsidRPr="00CC3F0C">
        <w:t xml:space="preserve">the retrospective V130_67 TND study only assessed </w:t>
      </w:r>
      <w:r w:rsidR="00FD5ABE" w:rsidRPr="00CC3F0C">
        <w:t>people</w:t>
      </w:r>
      <w:r w:rsidRPr="00CC3F0C">
        <w:t xml:space="preserve"> 4 years to 64 years of age</w:t>
      </w:r>
      <w:bookmarkEnd w:id="31"/>
      <w:r w:rsidRPr="00CC3F0C">
        <w:t>;</w:t>
      </w:r>
    </w:p>
    <w:p w14:paraId="566D70DE" w14:textId="31054607" w:rsidR="00EB02E2" w:rsidRPr="00CC3F0C" w:rsidRDefault="00EB02E2" w:rsidP="00CA21EE">
      <w:pPr>
        <w:pStyle w:val="3-BodyText"/>
        <w:numPr>
          <w:ilvl w:val="0"/>
          <w:numId w:val="11"/>
        </w:numPr>
        <w:spacing w:after="0"/>
      </w:pPr>
      <w:r w:rsidRPr="00CC3F0C">
        <w:t>the V130_10 direct trial only provided immunogenicity data rather than clinically relevant effectiveness outcomes; and</w:t>
      </w:r>
    </w:p>
    <w:p w14:paraId="7FD7A657" w14:textId="48EB8E4E" w:rsidR="00D53271" w:rsidRPr="00CC3F0C" w:rsidRDefault="00EB02E2" w:rsidP="00CA21EE">
      <w:pPr>
        <w:pStyle w:val="3-BodyText"/>
        <w:numPr>
          <w:ilvl w:val="0"/>
          <w:numId w:val="11"/>
        </w:numPr>
        <w:spacing w:after="0"/>
      </w:pPr>
      <w:r w:rsidRPr="00CC3F0C">
        <w:t>the supporting V130_12 trial consisted of a non-influenza vaccine and thus could only provide absolute vaccine efficacy estimates.</w:t>
      </w:r>
    </w:p>
    <w:p w14:paraId="7EEE8908" w14:textId="049673FF" w:rsidR="00D53271" w:rsidRPr="00151023" w:rsidRDefault="00D53271" w:rsidP="00A31F5D">
      <w:pPr>
        <w:pStyle w:val="3-BodyText"/>
        <w:numPr>
          <w:ilvl w:val="0"/>
          <w:numId w:val="0"/>
        </w:numPr>
        <w:ind w:left="709"/>
        <w:rPr>
          <w:iCs/>
        </w:rPr>
      </w:pPr>
      <w:r w:rsidRPr="00CC3F0C">
        <w:t xml:space="preserve">The </w:t>
      </w:r>
      <w:r w:rsidR="00014B21" w:rsidRPr="00CC3F0C">
        <w:t>Pre-Sub-Committee Response</w:t>
      </w:r>
      <w:r w:rsidR="000509D6" w:rsidRPr="00CC3F0C">
        <w:t xml:space="preserve"> </w:t>
      </w:r>
      <w:r w:rsidRPr="00CC3F0C">
        <w:t>acknowledge</w:t>
      </w:r>
      <w:r w:rsidR="00324EC2" w:rsidRPr="00CC3F0C">
        <w:t>d</w:t>
      </w:r>
      <w:r w:rsidRPr="00CC3F0C">
        <w:t xml:space="preserve"> the lack of comparative effectiveness data in </w:t>
      </w:r>
      <w:r w:rsidR="004A6AF4" w:rsidRPr="00CC3F0C">
        <w:t>children</w:t>
      </w:r>
      <w:r w:rsidRPr="00CC3F0C">
        <w:t xml:space="preserve"> aged &lt;4 years </w:t>
      </w:r>
      <w:r w:rsidR="004A6AF4" w:rsidRPr="00CC3F0C">
        <w:t>but</w:t>
      </w:r>
      <w:r w:rsidRPr="00CC3F0C">
        <w:t xml:space="preserve"> argued that the biological basis for superiority would logically apply to the population aged &lt;4 years</w:t>
      </w:r>
      <w:r w:rsidR="00151023" w:rsidRPr="00CC3F0C">
        <w:t>.</w:t>
      </w:r>
      <w:r w:rsidR="00151023" w:rsidRPr="00CC3F0C">
        <w:rPr>
          <w:iCs/>
        </w:rPr>
        <w:t xml:space="preserve"> </w:t>
      </w:r>
    </w:p>
    <w:p w14:paraId="3E045944" w14:textId="4B3F9B39" w:rsidR="00303340" w:rsidRPr="00151023" w:rsidRDefault="00303340" w:rsidP="001A24C4">
      <w:pPr>
        <w:pStyle w:val="3-BodyText"/>
        <w:rPr>
          <w:iCs/>
        </w:rPr>
      </w:pPr>
      <w:r w:rsidRPr="00151023">
        <w:rPr>
          <w:iCs/>
        </w:rPr>
        <w:t xml:space="preserve">The PBAC considered that QIVc was non-inferior in terms of comparative effectiveness in children aged 6 months to &lt;5 years. </w:t>
      </w:r>
    </w:p>
    <w:p w14:paraId="079EC78F" w14:textId="4ED8D7D5" w:rsidR="003F0FA9" w:rsidRPr="00151023" w:rsidRDefault="003F0FA9" w:rsidP="003F0FA9">
      <w:pPr>
        <w:pStyle w:val="3-BodyText"/>
        <w:rPr>
          <w:iCs/>
        </w:rPr>
      </w:pPr>
      <w:r w:rsidRPr="00151023">
        <w:rPr>
          <w:iCs/>
        </w:rPr>
        <w:t xml:space="preserve">In its previous consideration of QIVc in specific individuals aged ≥5 years, the PBAC considered that although the clinical claim of superior efficacy was plausible, the comparative benefit was difficult to quantify and subject to a moderate level of uncertainty (paragraph 7.6, QIVc PSD, September 2022 PBAC meeting). </w:t>
      </w:r>
      <w:r w:rsidR="00FD5ABE" w:rsidRPr="00151023">
        <w:rPr>
          <w:iCs/>
        </w:rPr>
        <w:t xml:space="preserve">The ESC considered this advice remained relevant noting the clinical claim was primarily based on immunogenicity outcomes. The ESC also noted that there were minimal clinical data for children between 6 months and &lt; 2 years of age and no comparative clinical efficacy for children aged less than 4 years old. </w:t>
      </w:r>
      <w:r w:rsidR="00811457" w:rsidRPr="00151023">
        <w:rPr>
          <w:iCs/>
        </w:rPr>
        <w:t>Overall, t</w:t>
      </w:r>
      <w:r w:rsidRPr="00151023">
        <w:rPr>
          <w:iCs/>
        </w:rPr>
        <w:t xml:space="preserve">he PBAC considered this same conclusion was also relevant to the newly requested population of children aged 6 months to &lt;5 years. </w:t>
      </w:r>
    </w:p>
    <w:p w14:paraId="3F6B6CAF" w14:textId="33E3B0ED" w:rsidR="00DA2557" w:rsidRPr="00151023" w:rsidRDefault="00EB02E2" w:rsidP="00A234D3">
      <w:pPr>
        <w:pStyle w:val="3-BodyText"/>
        <w:rPr>
          <w:iCs/>
        </w:rPr>
      </w:pPr>
      <w:r w:rsidRPr="00151023">
        <w:rPr>
          <w:iCs/>
        </w:rPr>
        <w:t xml:space="preserve">The </w:t>
      </w:r>
      <w:r w:rsidR="00944E1E" w:rsidRPr="00151023">
        <w:t>ESC</w:t>
      </w:r>
      <w:r w:rsidR="00A31E16" w:rsidRPr="00151023">
        <w:t xml:space="preserve"> considered the </w:t>
      </w:r>
      <w:r w:rsidR="003F0FA9" w:rsidRPr="00151023">
        <w:rPr>
          <w:iCs/>
        </w:rPr>
        <w:t xml:space="preserve">claim of comparable safety versus QIVe </w:t>
      </w:r>
      <w:r w:rsidRPr="00151023">
        <w:rPr>
          <w:iCs/>
        </w:rPr>
        <w:t>appeared reasonable</w:t>
      </w:r>
      <w:r w:rsidR="003F0FA9" w:rsidRPr="00151023">
        <w:rPr>
          <w:iCs/>
        </w:rPr>
        <w:t xml:space="preserve"> noting t</w:t>
      </w:r>
      <w:r w:rsidR="00A31E16" w:rsidRPr="00151023">
        <w:rPr>
          <w:iCs/>
        </w:rPr>
        <w:t>he e</w:t>
      </w:r>
      <w:r w:rsidRPr="00151023">
        <w:rPr>
          <w:iCs/>
        </w:rPr>
        <w:t>vidence from the direct V130_10 randomised trial suggests that QIVc is well tolerated and has a comparable safety profile to QIVe.</w:t>
      </w:r>
    </w:p>
    <w:p w14:paraId="60AB4D31" w14:textId="490F52FB" w:rsidR="007944CE" w:rsidRPr="00151023" w:rsidRDefault="007944CE" w:rsidP="00A234D3">
      <w:pPr>
        <w:widowControl w:val="0"/>
        <w:numPr>
          <w:ilvl w:val="1"/>
          <w:numId w:val="1"/>
        </w:numPr>
        <w:spacing w:after="120"/>
        <w:rPr>
          <w:rFonts w:asciiTheme="minorHAnsi" w:hAnsiTheme="minorHAnsi"/>
          <w:snapToGrid w:val="0"/>
          <w:szCs w:val="20"/>
        </w:rPr>
      </w:pPr>
      <w:r w:rsidRPr="00151023">
        <w:t xml:space="preserve">The PBAC </w:t>
      </w:r>
      <w:r w:rsidR="006D6A9E" w:rsidRPr="00151023">
        <w:t xml:space="preserve">considered that the claim of non-inferior comparative </w:t>
      </w:r>
      <w:r w:rsidR="00122F9E" w:rsidRPr="00151023">
        <w:t xml:space="preserve">safety </w:t>
      </w:r>
      <w:r w:rsidR="00443328" w:rsidRPr="00151023">
        <w:t xml:space="preserve">for </w:t>
      </w:r>
      <w:r w:rsidR="00303340" w:rsidRPr="00151023">
        <w:t>children</w:t>
      </w:r>
      <w:r w:rsidR="00443328" w:rsidRPr="00151023">
        <w:t xml:space="preserve"> aged </w:t>
      </w:r>
      <w:r w:rsidR="00443328" w:rsidRPr="00151023">
        <w:rPr>
          <w:rFonts w:cs="Calibri"/>
        </w:rPr>
        <w:t>≥</w:t>
      </w:r>
      <w:r w:rsidR="00443328" w:rsidRPr="00151023">
        <w:t xml:space="preserve">6 months to &lt; 5 years old </w:t>
      </w:r>
      <w:r w:rsidR="00122F9E" w:rsidRPr="00151023">
        <w:t xml:space="preserve">was reasonable. </w:t>
      </w:r>
    </w:p>
    <w:p w14:paraId="40375EE0" w14:textId="77777777" w:rsidR="00B60939" w:rsidRPr="00151023" w:rsidRDefault="00B60939" w:rsidP="00E9094A">
      <w:pPr>
        <w:pStyle w:val="4-SubsectionHeading"/>
      </w:pPr>
      <w:bookmarkStart w:id="32" w:name="_Toc22897645"/>
      <w:bookmarkStart w:id="33" w:name="_Toc156985375"/>
      <w:r w:rsidRPr="00151023">
        <w:t>Economic analysis</w:t>
      </w:r>
      <w:bookmarkEnd w:id="32"/>
      <w:bookmarkEnd w:id="33"/>
      <w:r w:rsidR="00491B3A" w:rsidRPr="00151023">
        <w:t xml:space="preserve"> </w:t>
      </w:r>
    </w:p>
    <w:p w14:paraId="789BABCC" w14:textId="77F76630" w:rsidR="004676FD" w:rsidRPr="00151023" w:rsidRDefault="004676FD" w:rsidP="00E44F35">
      <w:pPr>
        <w:pStyle w:val="3-BodyText"/>
      </w:pPr>
      <w:r w:rsidRPr="00151023">
        <w:rPr>
          <w:iCs/>
        </w:rPr>
        <w:t>The submission presented a cost-utility analysis</w:t>
      </w:r>
      <w:r w:rsidR="0050706A" w:rsidRPr="00151023">
        <w:t xml:space="preserve"> for a comparison of QIVc vs QIVe</w:t>
      </w:r>
      <w:r w:rsidR="007944CE" w:rsidRPr="00151023">
        <w:rPr>
          <w:b/>
          <w:bCs/>
        </w:rPr>
        <w:t xml:space="preserve"> </w:t>
      </w:r>
      <w:r w:rsidR="007944CE" w:rsidRPr="00151023">
        <w:t xml:space="preserve">based on the </w:t>
      </w:r>
      <w:r w:rsidR="00474154" w:rsidRPr="00151023">
        <w:t>V130_67</w:t>
      </w:r>
      <w:r w:rsidR="007944CE" w:rsidRPr="00151023">
        <w:t xml:space="preserve"> study</w:t>
      </w:r>
      <w:r w:rsidR="00474154" w:rsidRPr="00151023">
        <w:t xml:space="preserve">. </w:t>
      </w:r>
      <w:r w:rsidR="0050706A" w:rsidRPr="00151023">
        <w:t>As the request for the PBAC to consider the claim that QIVc is superior in effectiveness to QIVe</w:t>
      </w:r>
      <w:r w:rsidR="00895CCD" w:rsidRPr="00151023">
        <w:t xml:space="preserve"> in the currently funded cohorts on the NIP</w:t>
      </w:r>
      <w:r w:rsidR="0050706A" w:rsidRPr="00151023">
        <w:t xml:space="preserve"> was withdrawn by the sponsor</w:t>
      </w:r>
      <w:r w:rsidR="00895CCD" w:rsidRPr="00151023">
        <w:t>,</w:t>
      </w:r>
      <w:r w:rsidR="0050706A" w:rsidRPr="00151023">
        <w:t xml:space="preserve"> the economic model was not considered by the PBAC and is not presented.</w:t>
      </w:r>
    </w:p>
    <w:p w14:paraId="3A860D12" w14:textId="63767306" w:rsidR="00C25D9C" w:rsidRPr="00151023" w:rsidRDefault="004121BF" w:rsidP="00BB732D">
      <w:pPr>
        <w:pStyle w:val="4-SubsectionHeading"/>
      </w:pPr>
      <w:bookmarkStart w:id="34" w:name="_Toc22897646"/>
      <w:bookmarkStart w:id="35" w:name="_Toc156985376"/>
      <w:r w:rsidRPr="00151023">
        <w:t>Vaccine cost/</w:t>
      </w:r>
      <w:r w:rsidR="00FD5ABE" w:rsidRPr="00151023">
        <w:t>person</w:t>
      </w:r>
      <w:r w:rsidRPr="00151023">
        <w:t>/year</w:t>
      </w:r>
      <w:bookmarkEnd w:id="34"/>
      <w:bookmarkEnd w:id="35"/>
    </w:p>
    <w:p w14:paraId="5B8DB57B" w14:textId="0FBF1BD7" w:rsidR="00494207" w:rsidRPr="00151023" w:rsidRDefault="00E16AD8" w:rsidP="00E16AD8">
      <w:pPr>
        <w:pStyle w:val="Caption"/>
        <w:rPr>
          <w:rStyle w:val="CommentReference"/>
          <w:b/>
          <w:szCs w:val="24"/>
        </w:rPr>
      </w:pPr>
      <w:bookmarkStart w:id="36" w:name="_Ref104805102"/>
      <w:r w:rsidRPr="00151023">
        <w:t xml:space="preserve">Table </w:t>
      </w:r>
      <w:fldSimple w:instr=" SEQ Table \* ARABIC " w:fldLock="1">
        <w:r w:rsidR="00603A66" w:rsidRPr="00151023">
          <w:t>7</w:t>
        </w:r>
      </w:fldSimple>
      <w:bookmarkEnd w:id="36"/>
      <w:r w:rsidRPr="00151023">
        <w:t>:</w:t>
      </w:r>
      <w:r w:rsidR="00494207" w:rsidRPr="00151023">
        <w:rPr>
          <w:rStyle w:val="CommentReference"/>
          <w:b/>
          <w:szCs w:val="24"/>
        </w:rPr>
        <w:t xml:space="preserve"> Drug cost per </w:t>
      </w:r>
      <w:r w:rsidR="00FD5ABE" w:rsidRPr="00151023">
        <w:rPr>
          <w:rStyle w:val="CommentReference"/>
          <w:b/>
          <w:szCs w:val="24"/>
        </w:rPr>
        <w:t xml:space="preserve">child </w:t>
      </w:r>
      <w:r w:rsidR="00C72713" w:rsidRPr="00151023">
        <w:rPr>
          <w:rStyle w:val="CommentReference"/>
          <w:b/>
          <w:szCs w:val="24"/>
        </w:rPr>
        <w:t>(</w:t>
      </w:r>
      <w:r w:rsidR="00C72713" w:rsidRPr="00151023">
        <w:rPr>
          <w:rStyle w:val="CommentReference"/>
          <w:b/>
          <w:iCs/>
          <w:szCs w:val="24"/>
        </w:rPr>
        <w:t>aged 6 months to 5 years</w:t>
      </w:r>
      <w:r w:rsidR="00C72713" w:rsidRPr="00151023">
        <w:rPr>
          <w:rStyle w:val="CommentReference"/>
          <w:b/>
          <w:szCs w:val="24"/>
        </w:rPr>
        <w:t xml:space="preserve">) </w:t>
      </w:r>
      <w:r w:rsidR="00494207" w:rsidRPr="00151023">
        <w:rPr>
          <w:rStyle w:val="CommentReference"/>
          <w:b/>
          <w:szCs w:val="24"/>
        </w:rPr>
        <w:t>for proposed and comparator drugs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3967"/>
        <w:gridCol w:w="1948"/>
        <w:gridCol w:w="1688"/>
      </w:tblGrid>
      <w:tr w:rsidR="00EB3451" w:rsidRPr="00151023" w14:paraId="5221A3C4" w14:textId="77777777" w:rsidTr="00EB3451">
        <w:trPr>
          <w:cantSplit/>
          <w:tblHeader/>
        </w:trPr>
        <w:tc>
          <w:tcPr>
            <w:tcW w:w="784" w:type="pct"/>
            <w:shd w:val="clear" w:color="auto" w:fill="auto"/>
            <w:vAlign w:val="center"/>
          </w:tcPr>
          <w:p w14:paraId="6678071F" w14:textId="77777777" w:rsidR="00EB3451" w:rsidRPr="00151023" w:rsidRDefault="00EB3451" w:rsidP="00BB732D">
            <w:pPr>
              <w:pStyle w:val="In-tableHeading"/>
              <w:jc w:val="center"/>
              <w:rPr>
                <w:lang w:val="en-AU"/>
              </w:rPr>
            </w:pPr>
          </w:p>
        </w:tc>
        <w:tc>
          <w:tcPr>
            <w:tcW w:w="2200" w:type="pct"/>
            <w:shd w:val="clear" w:color="auto" w:fill="auto"/>
            <w:vAlign w:val="center"/>
          </w:tcPr>
          <w:p w14:paraId="5948B895" w14:textId="6797A519" w:rsidR="00EB3451" w:rsidRPr="00151023" w:rsidRDefault="00EB3451" w:rsidP="00BB732D">
            <w:pPr>
              <w:pStyle w:val="In-tableHeading"/>
              <w:jc w:val="center"/>
              <w:rPr>
                <w:lang w:val="en-AU"/>
              </w:rPr>
            </w:pPr>
            <w:r w:rsidRPr="00151023">
              <w:rPr>
                <w:lang w:val="en-AU"/>
              </w:rPr>
              <w:t>QIVc / QIVe recommended dose and frequency</w:t>
            </w:r>
          </w:p>
        </w:tc>
        <w:tc>
          <w:tcPr>
            <w:tcW w:w="1080" w:type="pct"/>
            <w:shd w:val="clear" w:color="auto" w:fill="auto"/>
            <w:vAlign w:val="center"/>
          </w:tcPr>
          <w:p w14:paraId="53C6D10D" w14:textId="3668EB9F" w:rsidR="00EB3451" w:rsidRPr="00151023" w:rsidRDefault="00EB3451" w:rsidP="00BB732D">
            <w:pPr>
              <w:pStyle w:val="In-tableHeading"/>
              <w:jc w:val="center"/>
              <w:rPr>
                <w:lang w:val="en-AU"/>
              </w:rPr>
            </w:pPr>
            <w:r w:rsidRPr="00151023">
              <w:rPr>
                <w:lang w:val="en-AU"/>
              </w:rPr>
              <w:t>QIVc</w:t>
            </w:r>
          </w:p>
          <w:p w14:paraId="0D4ED164" w14:textId="77777777" w:rsidR="00EB3451" w:rsidRPr="00151023" w:rsidRDefault="00EB3451" w:rsidP="00BB732D">
            <w:pPr>
              <w:pStyle w:val="In-tableHeading"/>
              <w:jc w:val="center"/>
              <w:rPr>
                <w:lang w:val="en-AU"/>
              </w:rPr>
            </w:pPr>
            <w:r w:rsidRPr="00151023">
              <w:rPr>
                <w:lang w:val="en-AU"/>
              </w:rPr>
              <w:t>Financial estimates</w:t>
            </w:r>
          </w:p>
        </w:tc>
        <w:tc>
          <w:tcPr>
            <w:tcW w:w="936" w:type="pct"/>
          </w:tcPr>
          <w:p w14:paraId="08212163" w14:textId="77777777" w:rsidR="00EB3451" w:rsidRPr="00151023" w:rsidRDefault="00EB3451" w:rsidP="00422B32">
            <w:pPr>
              <w:pStyle w:val="In-tableHeading"/>
              <w:jc w:val="center"/>
              <w:rPr>
                <w:lang w:val="en-AU"/>
              </w:rPr>
            </w:pPr>
            <w:r w:rsidRPr="00151023">
              <w:rPr>
                <w:lang w:val="en-AU"/>
              </w:rPr>
              <w:t xml:space="preserve">QIVe </w:t>
            </w:r>
          </w:p>
          <w:p w14:paraId="7ADED86C" w14:textId="1FEDFD74" w:rsidR="00EB3451" w:rsidRPr="00151023" w:rsidRDefault="00EB3451" w:rsidP="00422B32">
            <w:pPr>
              <w:pStyle w:val="In-tableHeading"/>
              <w:jc w:val="center"/>
              <w:rPr>
                <w:lang w:val="en-AU"/>
              </w:rPr>
            </w:pPr>
            <w:r w:rsidRPr="00151023">
              <w:rPr>
                <w:lang w:val="en-AU"/>
              </w:rPr>
              <w:t>Financial estimates</w:t>
            </w:r>
          </w:p>
        </w:tc>
      </w:tr>
      <w:tr w:rsidR="00EB3451" w:rsidRPr="00151023" w14:paraId="3D8F756E" w14:textId="77777777" w:rsidTr="00EB3451">
        <w:trPr>
          <w:cantSplit/>
        </w:trPr>
        <w:tc>
          <w:tcPr>
            <w:tcW w:w="784" w:type="pct"/>
            <w:shd w:val="clear" w:color="auto" w:fill="auto"/>
            <w:vAlign w:val="center"/>
          </w:tcPr>
          <w:p w14:paraId="6F946BD8" w14:textId="768D0CB9" w:rsidR="00EB3451" w:rsidRPr="00151023" w:rsidRDefault="00EB3451" w:rsidP="004121BF">
            <w:pPr>
              <w:pStyle w:val="TableText0"/>
            </w:pPr>
            <w:r w:rsidRPr="00151023">
              <w:t>Dose</w:t>
            </w:r>
          </w:p>
        </w:tc>
        <w:tc>
          <w:tcPr>
            <w:tcW w:w="2200" w:type="pct"/>
            <w:shd w:val="clear" w:color="auto" w:fill="auto"/>
            <w:vAlign w:val="center"/>
          </w:tcPr>
          <w:p w14:paraId="2BFA2EE9" w14:textId="5FC05DD7" w:rsidR="00EB3451" w:rsidRPr="00151023" w:rsidRDefault="00EB3451" w:rsidP="004121BF">
            <w:pPr>
              <w:pStyle w:val="TableText0"/>
              <w:jc w:val="center"/>
              <w:rPr>
                <w:b/>
              </w:rPr>
            </w:pPr>
            <w:r w:rsidRPr="00151023">
              <w:rPr>
                <w:bCs w:val="0"/>
              </w:rPr>
              <w:t xml:space="preserve">One or two </w:t>
            </w:r>
            <w:proofErr w:type="spellStart"/>
            <w:r w:rsidRPr="00151023">
              <w:rPr>
                <w:bCs w:val="0"/>
              </w:rPr>
              <w:t>doses</w:t>
            </w:r>
            <w:r w:rsidRPr="00151023">
              <w:rPr>
                <w:bCs w:val="0"/>
                <w:vertAlign w:val="superscript"/>
              </w:rPr>
              <w:t>a</w:t>
            </w:r>
            <w:proofErr w:type="spellEnd"/>
          </w:p>
        </w:tc>
        <w:tc>
          <w:tcPr>
            <w:tcW w:w="1080" w:type="pct"/>
            <w:shd w:val="clear" w:color="auto" w:fill="auto"/>
            <w:vAlign w:val="center"/>
          </w:tcPr>
          <w:p w14:paraId="20013834" w14:textId="43B7FEBD" w:rsidR="00EB3451" w:rsidRPr="00151023" w:rsidRDefault="00EB3451" w:rsidP="004121BF">
            <w:pPr>
              <w:pStyle w:val="TableText0"/>
              <w:jc w:val="center"/>
              <w:rPr>
                <w:b/>
              </w:rPr>
            </w:pPr>
            <w:r w:rsidRPr="00151023">
              <w:rPr>
                <w:bCs w:val="0"/>
              </w:rPr>
              <w:t>1.25 doses</w:t>
            </w:r>
          </w:p>
        </w:tc>
        <w:tc>
          <w:tcPr>
            <w:tcW w:w="936" w:type="pct"/>
            <w:vAlign w:val="center"/>
          </w:tcPr>
          <w:p w14:paraId="46C98F68" w14:textId="665DE7C6" w:rsidR="00EB3451" w:rsidRPr="00151023" w:rsidRDefault="00EB3451" w:rsidP="004121BF">
            <w:pPr>
              <w:pStyle w:val="TableText0"/>
              <w:jc w:val="center"/>
              <w:rPr>
                <w:b/>
              </w:rPr>
            </w:pPr>
            <w:r w:rsidRPr="00151023">
              <w:rPr>
                <w:bCs w:val="0"/>
              </w:rPr>
              <w:t>1.25 doses</w:t>
            </w:r>
          </w:p>
        </w:tc>
      </w:tr>
      <w:tr w:rsidR="00EB3451" w:rsidRPr="00151023" w14:paraId="0DCA41AE" w14:textId="77777777" w:rsidTr="00EB3451">
        <w:trPr>
          <w:cantSplit/>
        </w:trPr>
        <w:tc>
          <w:tcPr>
            <w:tcW w:w="784" w:type="pct"/>
            <w:shd w:val="clear" w:color="auto" w:fill="auto"/>
            <w:vAlign w:val="center"/>
          </w:tcPr>
          <w:p w14:paraId="4398BEF9" w14:textId="35E90B97" w:rsidR="00EB3451" w:rsidRPr="00151023" w:rsidRDefault="00EB3451" w:rsidP="00E457AB">
            <w:pPr>
              <w:pStyle w:val="TableText0"/>
            </w:pPr>
            <w:r w:rsidRPr="00151023">
              <w:t>Frequency</w:t>
            </w:r>
          </w:p>
        </w:tc>
        <w:tc>
          <w:tcPr>
            <w:tcW w:w="2200" w:type="pct"/>
            <w:shd w:val="clear" w:color="auto" w:fill="auto"/>
            <w:vAlign w:val="center"/>
          </w:tcPr>
          <w:p w14:paraId="55E33145" w14:textId="43F44CFB" w:rsidR="00EB3451" w:rsidRPr="00151023" w:rsidRDefault="00EB3451" w:rsidP="00EB3451">
            <w:pPr>
              <w:pStyle w:val="TableText0"/>
              <w:jc w:val="center"/>
              <w:rPr>
                <w:bCs w:val="0"/>
                <w:vertAlign w:val="superscript"/>
              </w:rPr>
            </w:pPr>
            <w:r w:rsidRPr="00151023">
              <w:rPr>
                <w:bCs w:val="0"/>
              </w:rPr>
              <w:t xml:space="preserve">Once or twice a year </w:t>
            </w:r>
            <w:r w:rsidRPr="00151023">
              <w:rPr>
                <w:bCs w:val="0"/>
                <w:vertAlign w:val="superscript"/>
              </w:rPr>
              <w:t>a</w:t>
            </w:r>
          </w:p>
        </w:tc>
        <w:tc>
          <w:tcPr>
            <w:tcW w:w="1080" w:type="pct"/>
            <w:shd w:val="clear" w:color="auto" w:fill="auto"/>
            <w:vAlign w:val="center"/>
          </w:tcPr>
          <w:p w14:paraId="1E24F520" w14:textId="00F44988" w:rsidR="00EB3451" w:rsidRPr="00151023" w:rsidRDefault="00EB3451" w:rsidP="00E457AB">
            <w:pPr>
              <w:pStyle w:val="TableText0"/>
              <w:jc w:val="center"/>
              <w:rPr>
                <w:b/>
              </w:rPr>
            </w:pPr>
            <w:r w:rsidRPr="00151023">
              <w:rPr>
                <w:bCs w:val="0"/>
              </w:rPr>
              <w:t>Once a year</w:t>
            </w:r>
          </w:p>
        </w:tc>
        <w:tc>
          <w:tcPr>
            <w:tcW w:w="936" w:type="pct"/>
            <w:vAlign w:val="center"/>
          </w:tcPr>
          <w:p w14:paraId="0500E127" w14:textId="1ECB6344" w:rsidR="00EB3451" w:rsidRPr="00151023" w:rsidRDefault="00EB3451" w:rsidP="00E457AB">
            <w:pPr>
              <w:pStyle w:val="TableText0"/>
              <w:jc w:val="center"/>
              <w:rPr>
                <w:b/>
              </w:rPr>
            </w:pPr>
            <w:r w:rsidRPr="00151023">
              <w:rPr>
                <w:bCs w:val="0"/>
              </w:rPr>
              <w:t>Once a year</w:t>
            </w:r>
          </w:p>
        </w:tc>
      </w:tr>
      <w:tr w:rsidR="00EB3451" w:rsidRPr="00151023" w14:paraId="2A2B30FF" w14:textId="77777777" w:rsidTr="00EB3451">
        <w:trPr>
          <w:cantSplit/>
        </w:trPr>
        <w:tc>
          <w:tcPr>
            <w:tcW w:w="784" w:type="pct"/>
            <w:shd w:val="clear" w:color="auto" w:fill="auto"/>
            <w:vAlign w:val="center"/>
          </w:tcPr>
          <w:p w14:paraId="23465FA5" w14:textId="72DA46CE" w:rsidR="00EB3451" w:rsidRPr="00151023" w:rsidRDefault="00EB3451" w:rsidP="00E457AB">
            <w:pPr>
              <w:pStyle w:val="TableText0"/>
            </w:pPr>
            <w:r w:rsidRPr="00151023">
              <w:t>Cost/</w:t>
            </w:r>
            <w:r w:rsidR="00FD5ABE" w:rsidRPr="00151023">
              <w:t>child</w:t>
            </w:r>
            <w:r w:rsidRPr="00151023">
              <w:t>/year</w:t>
            </w:r>
          </w:p>
        </w:tc>
        <w:tc>
          <w:tcPr>
            <w:tcW w:w="2200" w:type="pct"/>
            <w:shd w:val="clear" w:color="auto" w:fill="auto"/>
            <w:vAlign w:val="center"/>
          </w:tcPr>
          <w:p w14:paraId="0B73EA36" w14:textId="656338E4" w:rsidR="00EB3451" w:rsidRPr="00151023" w:rsidRDefault="00EB3451" w:rsidP="00E457AB">
            <w:pPr>
              <w:pStyle w:val="TableText0"/>
              <w:jc w:val="center"/>
            </w:pPr>
            <w:r w:rsidRPr="00151023">
              <w:t xml:space="preserve">QIVc: </w:t>
            </w:r>
            <w:r w:rsidRPr="007364B7">
              <w:t>$</w:t>
            </w:r>
            <w:r w:rsidR="00854D81" w:rsidRPr="00854D81">
              <w:rPr>
                <w:color w:val="000000"/>
                <w:shd w:val="solid" w:color="000000" w:fill="000000"/>
                <w14:textFill>
                  <w14:solidFill>
                    <w14:srgbClr w14:val="000000">
                      <w14:alpha w14:val="100000"/>
                    </w14:srgbClr>
                  </w14:solidFill>
                </w14:textFill>
              </w:rPr>
              <w:t>|</w:t>
            </w:r>
            <w:r w:rsidR="00854D81" w:rsidRPr="00854D81">
              <w:t xml:space="preserve"> </w:t>
            </w:r>
            <w:r w:rsidRPr="00151023">
              <w:t xml:space="preserve">per dose </w:t>
            </w:r>
          </w:p>
          <w:p w14:paraId="5DCFEF97" w14:textId="711CBBF1" w:rsidR="00EB3451" w:rsidRPr="00151023" w:rsidRDefault="00EB3451" w:rsidP="00E457AB">
            <w:pPr>
              <w:pStyle w:val="TableText0"/>
              <w:jc w:val="center"/>
            </w:pPr>
            <w:r w:rsidRPr="00151023">
              <w:t>QIVe</w:t>
            </w:r>
            <w:r w:rsidRPr="007364B7">
              <w:t>: $</w:t>
            </w:r>
            <w:r w:rsidR="00854D81" w:rsidRPr="00854D81">
              <w:rPr>
                <w:color w:val="000000"/>
                <w:shd w:val="solid" w:color="000000" w:fill="000000"/>
                <w14:textFill>
                  <w14:solidFill>
                    <w14:srgbClr w14:val="000000">
                      <w14:alpha w14:val="100000"/>
                    </w14:srgbClr>
                  </w14:solidFill>
                </w14:textFill>
              </w:rPr>
              <w:t>|</w:t>
            </w:r>
            <w:r w:rsidR="00854D81" w:rsidRPr="00854D81">
              <w:t xml:space="preserve"> </w:t>
            </w:r>
            <w:r w:rsidRPr="00151023">
              <w:t>per dose</w:t>
            </w:r>
          </w:p>
        </w:tc>
        <w:tc>
          <w:tcPr>
            <w:tcW w:w="1080" w:type="pct"/>
            <w:shd w:val="clear" w:color="auto" w:fill="auto"/>
            <w:vAlign w:val="center"/>
          </w:tcPr>
          <w:p w14:paraId="3C65C317" w14:textId="6E8BD00E" w:rsidR="00EB3451" w:rsidRPr="00FF66D2" w:rsidRDefault="00EB3451" w:rsidP="00E457AB">
            <w:pPr>
              <w:pStyle w:val="TableText0"/>
              <w:jc w:val="center"/>
              <w:rPr>
                <w:highlight w:val="yellow"/>
              </w:rPr>
            </w:pPr>
            <w:r w:rsidRPr="007364B7">
              <w:t>$</w:t>
            </w:r>
            <w:r w:rsidR="00854D81" w:rsidRPr="00854D81">
              <w:rPr>
                <w:color w:val="000000"/>
                <w:shd w:val="solid" w:color="000000" w:fill="000000"/>
                <w14:textFill>
                  <w14:solidFill>
                    <w14:srgbClr w14:val="000000">
                      <w14:alpha w14:val="100000"/>
                    </w14:srgbClr>
                  </w14:solidFill>
                </w14:textFill>
              </w:rPr>
              <w:t>|</w:t>
            </w:r>
          </w:p>
        </w:tc>
        <w:tc>
          <w:tcPr>
            <w:tcW w:w="936" w:type="pct"/>
            <w:vAlign w:val="center"/>
          </w:tcPr>
          <w:p w14:paraId="62C13C17" w14:textId="78DCE393" w:rsidR="00EB3451" w:rsidRPr="00FF66D2" w:rsidRDefault="00EB3451" w:rsidP="00E457AB">
            <w:pPr>
              <w:pStyle w:val="TableText0"/>
              <w:jc w:val="center"/>
              <w:rPr>
                <w:highlight w:val="yellow"/>
              </w:rPr>
            </w:pPr>
            <w:r w:rsidRPr="007364B7">
              <w:t>$</w:t>
            </w:r>
            <w:r w:rsidR="00854D81" w:rsidRPr="00854D81">
              <w:rPr>
                <w:color w:val="000000"/>
                <w:shd w:val="solid" w:color="000000" w:fill="000000"/>
                <w14:textFill>
                  <w14:solidFill>
                    <w14:srgbClr w14:val="000000">
                      <w14:alpha w14:val="100000"/>
                    </w14:srgbClr>
                  </w14:solidFill>
                </w14:textFill>
              </w:rPr>
              <w:t>|</w:t>
            </w:r>
          </w:p>
        </w:tc>
      </w:tr>
    </w:tbl>
    <w:p w14:paraId="0A5E3674" w14:textId="6E9AD327" w:rsidR="00494207" w:rsidRPr="00151023" w:rsidRDefault="00494207" w:rsidP="00C94053">
      <w:pPr>
        <w:pStyle w:val="FooterTableFigure"/>
      </w:pPr>
      <w:r w:rsidRPr="00151023">
        <w:t xml:space="preserve">Source: </w:t>
      </w:r>
      <w:r w:rsidR="00422B32" w:rsidRPr="00151023">
        <w:t xml:space="preserve">Table 3.6.1, p116 of the </w:t>
      </w:r>
      <w:r w:rsidR="002900B0" w:rsidRPr="00151023">
        <w:t>submission</w:t>
      </w:r>
      <w:r w:rsidR="00422B32" w:rsidRPr="00151023">
        <w:t xml:space="preserve"> and the </w:t>
      </w:r>
      <w:r w:rsidR="00363764" w:rsidRPr="00151023">
        <w:t>“Flucelvax Quad Section 4 spreadsheet”</w:t>
      </w:r>
      <w:r w:rsidR="00422B32" w:rsidRPr="00151023">
        <w:t xml:space="preserve">. </w:t>
      </w:r>
    </w:p>
    <w:p w14:paraId="30339851" w14:textId="35F46FFB" w:rsidR="004121BF" w:rsidRPr="00151023" w:rsidRDefault="004121BF" w:rsidP="003F0FA9">
      <w:pPr>
        <w:pStyle w:val="FooterTableFigure"/>
        <w:spacing w:after="240"/>
      </w:pPr>
      <w:proofErr w:type="spellStart"/>
      <w:r w:rsidRPr="00151023">
        <w:rPr>
          <w:vertAlign w:val="superscript"/>
        </w:rPr>
        <w:t>a</w:t>
      </w:r>
      <w:r w:rsidRPr="00151023">
        <w:t>The</w:t>
      </w:r>
      <w:proofErr w:type="spellEnd"/>
      <w:r w:rsidRPr="00151023">
        <w:t xml:space="preserve"> TGA consumer medicine information</w:t>
      </w:r>
      <w:r w:rsidR="00E457AB" w:rsidRPr="00151023">
        <w:t xml:space="preserve"> sheets</w:t>
      </w:r>
      <w:r w:rsidRPr="00151023">
        <w:t xml:space="preserve"> for </w:t>
      </w:r>
      <w:r w:rsidR="00E457AB" w:rsidRPr="00151023">
        <w:t xml:space="preserve">both QIVe and </w:t>
      </w:r>
      <w:r w:rsidRPr="00151023">
        <w:t>QIVc notes that children less than 9 years of age who have not been previously vaccinated against influenza should receive a second dose (at least 4 weeks after the first dose).</w:t>
      </w:r>
    </w:p>
    <w:p w14:paraId="2A412FFD" w14:textId="77777777" w:rsidR="00B60939" w:rsidRPr="00151023" w:rsidRDefault="00B60939" w:rsidP="002B05A1">
      <w:pPr>
        <w:pStyle w:val="4-SubsectionHeading"/>
      </w:pPr>
      <w:bookmarkStart w:id="37" w:name="_Toc22897647"/>
      <w:bookmarkStart w:id="38" w:name="_Toc156985377"/>
      <w:r w:rsidRPr="00151023">
        <w:t>Estimated PBS usage &amp; financial implications</w:t>
      </w:r>
      <w:bookmarkEnd w:id="37"/>
      <w:bookmarkEnd w:id="38"/>
    </w:p>
    <w:p w14:paraId="410B0E6D" w14:textId="16C67CA3" w:rsidR="00363764" w:rsidRPr="00151023" w:rsidRDefault="00C25D9C" w:rsidP="002B05A1">
      <w:pPr>
        <w:pStyle w:val="3-BodyText"/>
      </w:pPr>
      <w:r w:rsidRPr="00151023">
        <w:t xml:space="preserve">This </w:t>
      </w:r>
      <w:r w:rsidR="002900B0" w:rsidRPr="00151023">
        <w:t>submission</w:t>
      </w:r>
      <w:r w:rsidRPr="00151023">
        <w:t xml:space="preserve"> </w:t>
      </w:r>
      <w:r w:rsidR="00F32E36" w:rsidRPr="00151023">
        <w:t>was not</w:t>
      </w:r>
      <w:r w:rsidR="00D23D11" w:rsidRPr="00151023">
        <w:t xml:space="preserve"> </w:t>
      </w:r>
      <w:r w:rsidRPr="00151023">
        <w:t>considered by DUSC</w:t>
      </w:r>
      <w:r w:rsidR="00363764" w:rsidRPr="00151023">
        <w:t xml:space="preserve">. The </w:t>
      </w:r>
      <w:r w:rsidR="002900B0" w:rsidRPr="00151023">
        <w:t>submission</w:t>
      </w:r>
      <w:r w:rsidR="00363764" w:rsidRPr="00151023">
        <w:t xml:space="preserve"> used an epidemiological approach to estimate the financial implications of a complete substitution of QIVe with QIVc in the ≥6 month to &lt;5 year population. </w:t>
      </w:r>
      <w:r w:rsidR="00926142" w:rsidRPr="00151023">
        <w:t xml:space="preserve">The submission had assumed that the QIVc market share would increase from 30% to 100% (replacing QIVe). </w:t>
      </w:r>
      <w:r w:rsidR="00926142" w:rsidRPr="00CC3F0C">
        <w:t>However, t</w:t>
      </w:r>
      <w:r w:rsidR="00B92DEF" w:rsidRPr="00CC3F0C">
        <w:t xml:space="preserve">he pre-PBAC response </w:t>
      </w:r>
      <w:r w:rsidR="005A6624" w:rsidRPr="00CC3F0C">
        <w:t>noted that</w:t>
      </w:r>
      <w:r w:rsidR="00894BF3" w:rsidRPr="00CC3F0C">
        <w:t xml:space="preserve"> as the request for the PBAC to consider a claim of superiority had been withdrawn, </w:t>
      </w:r>
      <w:r w:rsidR="002631C0" w:rsidRPr="00CC3F0C">
        <w:t>complete substitution was not likely.</w:t>
      </w:r>
    </w:p>
    <w:p w14:paraId="77902187" w14:textId="67763D4D" w:rsidR="00363764" w:rsidRPr="00151023" w:rsidRDefault="00363764" w:rsidP="002B05A1">
      <w:pPr>
        <w:pStyle w:val="3-BodyText"/>
      </w:pPr>
      <w:r w:rsidRPr="00151023">
        <w:t xml:space="preserve">The </w:t>
      </w:r>
      <w:r w:rsidR="002900B0" w:rsidRPr="00151023">
        <w:t>submission</w:t>
      </w:r>
      <w:r w:rsidRPr="00151023">
        <w:t xml:space="preserve"> used Australian Bureau of Statistics data to estimate population numbers. </w:t>
      </w:r>
    </w:p>
    <w:p w14:paraId="7ED04E25" w14:textId="06D2AF15" w:rsidR="00363764" w:rsidRPr="00151023" w:rsidRDefault="00363764" w:rsidP="006241AE">
      <w:pPr>
        <w:pStyle w:val="Caption"/>
      </w:pPr>
      <w:r w:rsidRPr="00151023">
        <w:t xml:space="preserve">Table </w:t>
      </w:r>
      <w:fldSimple w:instr=" SEQ Table \* ARABIC " w:fldLock="1">
        <w:r w:rsidR="00603A66" w:rsidRPr="00151023">
          <w:t>8</w:t>
        </w:r>
      </w:fldSimple>
      <w:r w:rsidRPr="00151023">
        <w:t>: Data sources and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3054"/>
        <w:gridCol w:w="3746"/>
      </w:tblGrid>
      <w:tr w:rsidR="00363764" w:rsidRPr="00151023" w14:paraId="0332D8ED" w14:textId="77777777" w:rsidTr="00EB3451">
        <w:trPr>
          <w:trHeight w:val="290"/>
          <w:tblHeader/>
        </w:trPr>
        <w:tc>
          <w:tcPr>
            <w:tcW w:w="2217" w:type="dxa"/>
            <w:vAlign w:val="center"/>
          </w:tcPr>
          <w:p w14:paraId="400DB5B4" w14:textId="77777777" w:rsidR="00363764" w:rsidRPr="00151023" w:rsidRDefault="00363764" w:rsidP="006241AE">
            <w:pPr>
              <w:pStyle w:val="TableText0"/>
              <w:keepLines/>
              <w:widowControl w:val="0"/>
              <w:rPr>
                <w:b/>
                <w:bCs w:val="0"/>
              </w:rPr>
            </w:pPr>
            <w:r w:rsidRPr="00151023">
              <w:rPr>
                <w:b/>
                <w:bCs w:val="0"/>
              </w:rPr>
              <w:t>Parameter</w:t>
            </w:r>
          </w:p>
        </w:tc>
        <w:tc>
          <w:tcPr>
            <w:tcW w:w="3054" w:type="dxa"/>
            <w:vAlign w:val="center"/>
          </w:tcPr>
          <w:p w14:paraId="6900A011" w14:textId="77777777" w:rsidR="00363764" w:rsidRPr="00151023" w:rsidRDefault="00363764" w:rsidP="006241AE">
            <w:pPr>
              <w:pStyle w:val="TableText0"/>
              <w:keepLines/>
              <w:widowControl w:val="0"/>
              <w:rPr>
                <w:b/>
                <w:bCs w:val="0"/>
              </w:rPr>
            </w:pPr>
            <w:r w:rsidRPr="00151023">
              <w:rPr>
                <w:b/>
                <w:bCs w:val="0"/>
              </w:rPr>
              <w:t>Source</w:t>
            </w:r>
          </w:p>
        </w:tc>
        <w:tc>
          <w:tcPr>
            <w:tcW w:w="3746" w:type="dxa"/>
            <w:vAlign w:val="center"/>
          </w:tcPr>
          <w:p w14:paraId="580998AC" w14:textId="77777777" w:rsidR="00363764" w:rsidRPr="00151023" w:rsidRDefault="00363764" w:rsidP="006241AE">
            <w:pPr>
              <w:pStyle w:val="TableText0"/>
              <w:keepLines/>
              <w:widowControl w:val="0"/>
              <w:rPr>
                <w:b/>
                <w:bCs w:val="0"/>
              </w:rPr>
            </w:pPr>
            <w:r w:rsidRPr="00151023">
              <w:rPr>
                <w:b/>
                <w:bCs w:val="0"/>
              </w:rPr>
              <w:t>Comments</w:t>
            </w:r>
          </w:p>
        </w:tc>
      </w:tr>
      <w:tr w:rsidR="00363764" w:rsidRPr="00151023" w14:paraId="1FD6C7D7" w14:textId="77777777" w:rsidTr="00EB3451">
        <w:tc>
          <w:tcPr>
            <w:tcW w:w="2217" w:type="dxa"/>
            <w:vAlign w:val="center"/>
          </w:tcPr>
          <w:p w14:paraId="50B8B8CA" w14:textId="77777777" w:rsidR="00363764" w:rsidRPr="00151023" w:rsidRDefault="00363764" w:rsidP="006241AE">
            <w:pPr>
              <w:pStyle w:val="TableText0"/>
              <w:keepLines/>
              <w:widowControl w:val="0"/>
            </w:pPr>
            <w:r w:rsidRPr="00151023">
              <w:t>Population of children ≥6 months to &lt;5 years</w:t>
            </w:r>
          </w:p>
        </w:tc>
        <w:tc>
          <w:tcPr>
            <w:tcW w:w="3054" w:type="dxa"/>
            <w:vAlign w:val="center"/>
          </w:tcPr>
          <w:p w14:paraId="5995FC2B" w14:textId="00FA974B" w:rsidR="00363764" w:rsidRPr="00151023" w:rsidRDefault="00363764" w:rsidP="006241AE">
            <w:pPr>
              <w:pStyle w:val="TableText0"/>
              <w:keepLines/>
              <w:widowControl w:val="0"/>
              <w:rPr>
                <w:iCs/>
              </w:rPr>
            </w:pPr>
            <w:r w:rsidRPr="00151023">
              <w:t>Table B9, ABS 3222.0 Projected population data.</w:t>
            </w:r>
          </w:p>
        </w:tc>
        <w:tc>
          <w:tcPr>
            <w:tcW w:w="3746" w:type="dxa"/>
            <w:vAlign w:val="center"/>
          </w:tcPr>
          <w:p w14:paraId="47584188" w14:textId="77777777" w:rsidR="00363764" w:rsidRPr="00151023" w:rsidRDefault="00363764" w:rsidP="006241AE">
            <w:pPr>
              <w:pStyle w:val="TableText0"/>
              <w:keepLines/>
              <w:widowControl w:val="0"/>
              <w:rPr>
                <w:iCs/>
              </w:rPr>
            </w:pPr>
            <w:r w:rsidRPr="00151023">
              <w:rPr>
                <w:iCs/>
              </w:rPr>
              <w:t>This source is appropriate.</w:t>
            </w:r>
          </w:p>
        </w:tc>
      </w:tr>
      <w:tr w:rsidR="00363764" w:rsidRPr="00151023" w14:paraId="64C47565" w14:textId="77777777" w:rsidTr="00EB3451">
        <w:tc>
          <w:tcPr>
            <w:tcW w:w="2217" w:type="dxa"/>
            <w:vAlign w:val="center"/>
          </w:tcPr>
          <w:p w14:paraId="6F512D6B" w14:textId="77777777" w:rsidR="00363764" w:rsidRPr="00151023" w:rsidRDefault="00363764" w:rsidP="006241AE">
            <w:pPr>
              <w:pStyle w:val="TableText0"/>
              <w:keepLines/>
              <w:widowControl w:val="0"/>
            </w:pPr>
            <w:r w:rsidRPr="00151023">
              <w:t>Vaccine coverage</w:t>
            </w:r>
          </w:p>
        </w:tc>
        <w:tc>
          <w:tcPr>
            <w:tcW w:w="3054" w:type="dxa"/>
            <w:vAlign w:val="center"/>
          </w:tcPr>
          <w:p w14:paraId="3802FD26" w14:textId="2320AF59" w:rsidR="00740150" w:rsidRPr="00151023" w:rsidRDefault="00363764" w:rsidP="006241AE">
            <w:pPr>
              <w:pStyle w:val="TableText0"/>
              <w:keepLines/>
              <w:widowControl w:val="0"/>
            </w:pPr>
            <w:r w:rsidRPr="00151023">
              <w:t>50%. Beard et al. 2020</w:t>
            </w:r>
            <w:r w:rsidR="00CD7E99" w:rsidRPr="00151023">
              <w:rPr>
                <w:rStyle w:val="FootnoteReference"/>
              </w:rPr>
              <w:footnoteReference w:id="6"/>
            </w:r>
            <w:r w:rsidRPr="00151023">
              <w:t>, 2021/previous ATAGI advice QIV PSD, July 2019</w:t>
            </w:r>
          </w:p>
          <w:p w14:paraId="270D9242" w14:textId="1FCA455B" w:rsidR="00363764" w:rsidRPr="00151023" w:rsidRDefault="00363764" w:rsidP="006241AE">
            <w:pPr>
              <w:pStyle w:val="TableText0"/>
              <w:keepLines/>
              <w:widowControl w:val="0"/>
            </w:pPr>
          </w:p>
        </w:tc>
        <w:tc>
          <w:tcPr>
            <w:tcW w:w="3746" w:type="dxa"/>
            <w:vAlign w:val="center"/>
          </w:tcPr>
          <w:p w14:paraId="756953E5" w14:textId="1AEE73D4" w:rsidR="00363764" w:rsidRPr="00151023" w:rsidRDefault="00363764" w:rsidP="006241AE">
            <w:pPr>
              <w:pStyle w:val="TableText0"/>
              <w:keepLines/>
              <w:widowControl w:val="0"/>
              <w:rPr>
                <w:i/>
                <w:iCs/>
              </w:rPr>
            </w:pPr>
            <w:r w:rsidRPr="00151023">
              <w:rPr>
                <w:iCs/>
              </w:rPr>
              <w:t>ATAGI advice indicated that vaccine coverage would increase from 30% in 2020 to 50% in 2025 for children aged under 5 years</w:t>
            </w:r>
            <w:r w:rsidR="00151023">
              <w:rPr>
                <w:iCs/>
              </w:rPr>
              <w:t xml:space="preserve">. </w:t>
            </w:r>
          </w:p>
        </w:tc>
      </w:tr>
      <w:tr w:rsidR="00363764" w:rsidRPr="00151023" w14:paraId="2275E59A" w14:textId="77777777" w:rsidTr="00EB3451">
        <w:tc>
          <w:tcPr>
            <w:tcW w:w="2217" w:type="dxa"/>
            <w:vAlign w:val="center"/>
          </w:tcPr>
          <w:p w14:paraId="5FD8919C" w14:textId="77777777" w:rsidR="00363764" w:rsidRPr="00151023" w:rsidRDefault="00363764" w:rsidP="006241AE">
            <w:pPr>
              <w:pStyle w:val="TableText0"/>
              <w:keepLines/>
              <w:widowControl w:val="0"/>
            </w:pPr>
            <w:r w:rsidRPr="00151023">
              <w:t>Additional doses needed for children &gt;6 months to &lt;5 years</w:t>
            </w:r>
          </w:p>
        </w:tc>
        <w:tc>
          <w:tcPr>
            <w:tcW w:w="3054" w:type="dxa"/>
            <w:vAlign w:val="center"/>
          </w:tcPr>
          <w:p w14:paraId="1256F96C" w14:textId="376B1525" w:rsidR="00363764" w:rsidRPr="00151023" w:rsidRDefault="00363764" w:rsidP="006241AE">
            <w:pPr>
              <w:pStyle w:val="TableText0"/>
              <w:keepLines/>
              <w:widowControl w:val="0"/>
            </w:pPr>
            <w:r w:rsidRPr="00151023">
              <w:t xml:space="preserve">The cohort aged ≥6 months to &lt;5 years will receive an average of 1.25 doses </w:t>
            </w:r>
          </w:p>
        </w:tc>
        <w:tc>
          <w:tcPr>
            <w:tcW w:w="3746" w:type="dxa"/>
            <w:vAlign w:val="center"/>
          </w:tcPr>
          <w:p w14:paraId="2DAB5F5B" w14:textId="04C2146C" w:rsidR="00363764" w:rsidRPr="00151023" w:rsidRDefault="002631C0" w:rsidP="006241AE">
            <w:pPr>
              <w:pStyle w:val="TableText0"/>
              <w:keepLines/>
              <w:widowControl w:val="0"/>
              <w:rPr>
                <w:iCs/>
              </w:rPr>
            </w:pPr>
            <w:r w:rsidRPr="00151023">
              <w:rPr>
                <w:iCs/>
              </w:rPr>
              <w:t xml:space="preserve">The </w:t>
            </w:r>
            <w:r w:rsidRPr="00151023">
              <w:t>TGA consumer medicine information sheets for QIVc that states children less than 9 years of age who have not been previously vaccinated against influenza should receive a second dose (at least 4 weeks after the first dose).</w:t>
            </w:r>
          </w:p>
        </w:tc>
      </w:tr>
      <w:tr w:rsidR="00363764" w:rsidRPr="00151023" w14:paraId="13C770C7" w14:textId="77777777" w:rsidTr="00EB3451">
        <w:tc>
          <w:tcPr>
            <w:tcW w:w="2217" w:type="dxa"/>
            <w:vAlign w:val="center"/>
          </w:tcPr>
          <w:p w14:paraId="1FF5F99F" w14:textId="77777777" w:rsidR="00363764" w:rsidRPr="00151023" w:rsidRDefault="00363764" w:rsidP="006241AE">
            <w:pPr>
              <w:pStyle w:val="TableText0"/>
              <w:keepLines/>
              <w:widowControl w:val="0"/>
            </w:pPr>
            <w:r w:rsidRPr="00151023">
              <w:t>Vaccine substitution</w:t>
            </w:r>
          </w:p>
        </w:tc>
        <w:tc>
          <w:tcPr>
            <w:tcW w:w="3054" w:type="dxa"/>
            <w:vAlign w:val="center"/>
          </w:tcPr>
          <w:p w14:paraId="25D878F5" w14:textId="2F7491B6" w:rsidR="00363764" w:rsidRPr="00151023" w:rsidRDefault="00363764" w:rsidP="006241AE">
            <w:pPr>
              <w:pStyle w:val="TableText0"/>
              <w:keepLines/>
              <w:widowControl w:val="0"/>
              <w:rPr>
                <w:i/>
                <w:iCs/>
              </w:rPr>
            </w:pPr>
            <w:r w:rsidRPr="00151023">
              <w:t>Assumed to be 100%.</w:t>
            </w:r>
          </w:p>
        </w:tc>
        <w:tc>
          <w:tcPr>
            <w:tcW w:w="3746" w:type="dxa"/>
            <w:vAlign w:val="center"/>
          </w:tcPr>
          <w:p w14:paraId="76180D69" w14:textId="6B56E1FE" w:rsidR="00E63E84" w:rsidRPr="00151023" w:rsidRDefault="00363764" w:rsidP="006241AE">
            <w:pPr>
              <w:keepNext/>
              <w:keepLines/>
              <w:widowControl w:val="0"/>
              <w:jc w:val="left"/>
              <w:rPr>
                <w:rFonts w:ascii="Arial Narrow" w:eastAsiaTheme="majorEastAsia" w:hAnsi="Arial Narrow" w:cstheme="majorBidi"/>
                <w:bCs/>
                <w:i/>
                <w:sz w:val="20"/>
              </w:rPr>
            </w:pPr>
            <w:r w:rsidRPr="00151023">
              <w:rPr>
                <w:rFonts w:ascii="Arial Narrow" w:eastAsiaTheme="majorEastAsia" w:hAnsi="Arial Narrow" w:cstheme="majorBidi"/>
                <w:bCs/>
                <w:iCs/>
                <w:sz w:val="20"/>
              </w:rPr>
              <w:t xml:space="preserve">ATAGI has stated that complete product substitution is unlikely (ATAGI </w:t>
            </w:r>
            <w:r w:rsidR="00FE6AE0" w:rsidRPr="00151023">
              <w:rPr>
                <w:rFonts w:ascii="Arial Narrow" w:eastAsiaTheme="majorEastAsia" w:hAnsi="Arial Narrow" w:cstheme="majorBidi"/>
                <w:bCs/>
                <w:iCs/>
                <w:sz w:val="20"/>
              </w:rPr>
              <w:t xml:space="preserve">pre-submission </w:t>
            </w:r>
            <w:r w:rsidRPr="00151023">
              <w:rPr>
                <w:rFonts w:ascii="Arial Narrow" w:eastAsiaTheme="majorEastAsia" w:hAnsi="Arial Narrow" w:cstheme="majorBidi"/>
                <w:bCs/>
                <w:iCs/>
                <w:sz w:val="20"/>
              </w:rPr>
              <w:t>advice</w:t>
            </w:r>
            <w:r w:rsidR="00FE6AE0" w:rsidRPr="00151023">
              <w:rPr>
                <w:rFonts w:ascii="Arial Narrow" w:eastAsiaTheme="majorEastAsia" w:hAnsi="Arial Narrow" w:cstheme="majorBidi"/>
                <w:bCs/>
                <w:iCs/>
                <w:sz w:val="20"/>
              </w:rPr>
              <w:t xml:space="preserve">, </w:t>
            </w:r>
            <w:r w:rsidRPr="00151023">
              <w:rPr>
                <w:rFonts w:ascii="Arial Narrow" w:eastAsiaTheme="majorEastAsia" w:hAnsi="Arial Narrow" w:cstheme="majorBidi"/>
                <w:bCs/>
                <w:iCs/>
                <w:sz w:val="20"/>
              </w:rPr>
              <w:t>September 2021).</w:t>
            </w:r>
            <w:r w:rsidR="00171EA8" w:rsidRPr="00151023">
              <w:rPr>
                <w:rFonts w:ascii="Arial Narrow" w:eastAsiaTheme="majorEastAsia" w:hAnsi="Arial Narrow" w:cstheme="majorBidi"/>
                <w:bCs/>
                <w:iCs/>
                <w:sz w:val="20"/>
              </w:rPr>
              <w:t xml:space="preserve"> The pre-PBAC response also states complete substitution is unlikely</w:t>
            </w:r>
            <w:r w:rsidR="00EB3451" w:rsidRPr="00151023">
              <w:rPr>
                <w:rFonts w:ascii="Arial Narrow" w:eastAsiaTheme="majorEastAsia" w:hAnsi="Arial Narrow" w:cstheme="majorBidi"/>
                <w:bCs/>
                <w:iCs/>
                <w:sz w:val="20"/>
              </w:rPr>
              <w:t>, however n</w:t>
            </w:r>
            <w:r w:rsidRPr="00151023">
              <w:rPr>
                <w:rFonts w:ascii="Arial Narrow" w:eastAsiaTheme="majorEastAsia" w:hAnsi="Arial Narrow" w:cstheme="majorBidi"/>
                <w:bCs/>
                <w:iCs/>
                <w:sz w:val="20"/>
              </w:rPr>
              <w:t xml:space="preserve">o alternative market share </w:t>
            </w:r>
            <w:r w:rsidR="00926142" w:rsidRPr="00151023">
              <w:rPr>
                <w:rFonts w:ascii="Arial Narrow" w:eastAsiaTheme="majorEastAsia" w:hAnsi="Arial Narrow" w:cstheme="majorBidi"/>
                <w:bCs/>
                <w:iCs/>
                <w:sz w:val="20"/>
              </w:rPr>
              <w:t>assumptions</w:t>
            </w:r>
            <w:r w:rsidR="00EB3451" w:rsidRPr="00151023">
              <w:rPr>
                <w:rFonts w:ascii="Arial Narrow" w:eastAsiaTheme="majorEastAsia" w:hAnsi="Arial Narrow" w:cstheme="majorBidi"/>
                <w:bCs/>
                <w:iCs/>
                <w:sz w:val="20"/>
              </w:rPr>
              <w:t xml:space="preserve"> were provided</w:t>
            </w:r>
          </w:p>
        </w:tc>
      </w:tr>
      <w:tr w:rsidR="00363764" w:rsidRPr="00151023" w14:paraId="28473A42" w14:textId="77777777" w:rsidTr="00EB3451">
        <w:tc>
          <w:tcPr>
            <w:tcW w:w="2217" w:type="dxa"/>
            <w:vAlign w:val="center"/>
          </w:tcPr>
          <w:p w14:paraId="653E510A" w14:textId="77777777" w:rsidR="00363764" w:rsidRPr="00151023" w:rsidRDefault="00363764" w:rsidP="006241AE">
            <w:pPr>
              <w:pStyle w:val="TableText0"/>
              <w:keepLines/>
              <w:widowControl w:val="0"/>
            </w:pPr>
            <w:r w:rsidRPr="00151023">
              <w:t xml:space="preserve">Additional vaccine cost </w:t>
            </w:r>
          </w:p>
        </w:tc>
        <w:tc>
          <w:tcPr>
            <w:tcW w:w="3054" w:type="dxa"/>
            <w:vAlign w:val="center"/>
          </w:tcPr>
          <w:p w14:paraId="22B7E92A" w14:textId="0470BCCF" w:rsidR="00363764" w:rsidRPr="00151023" w:rsidRDefault="00363764" w:rsidP="006241AE">
            <w:pPr>
              <w:pStyle w:val="TableText0"/>
              <w:keepLines/>
              <w:widowControl w:val="0"/>
            </w:pPr>
            <w:r w:rsidRPr="00151023">
              <w:t xml:space="preserve">Price per dose </w:t>
            </w:r>
            <w:r w:rsidRPr="007364B7">
              <w:t>of $</w:t>
            </w:r>
            <w:r w:rsidR="00854D81" w:rsidRPr="00854D81">
              <w:rPr>
                <w:color w:val="000000"/>
                <w:spacing w:val="55"/>
                <w:shd w:val="solid" w:color="000000" w:fill="000000"/>
                <w:fitText w:val="337" w:id="-962315519"/>
                <w14:textFill>
                  <w14:solidFill>
                    <w14:srgbClr w14:val="000000">
                      <w14:alpha w14:val="100000"/>
                    </w14:srgbClr>
                  </w14:solidFill>
                </w14:textFill>
              </w:rPr>
              <w:t>|||</w:t>
            </w:r>
            <w:r w:rsidR="00854D81" w:rsidRPr="00854D81">
              <w:rPr>
                <w:color w:val="000000"/>
                <w:spacing w:val="2"/>
                <w:shd w:val="solid" w:color="000000" w:fill="000000"/>
                <w:fitText w:val="337" w:id="-962315519"/>
                <w14:textFill>
                  <w14:solidFill>
                    <w14:srgbClr w14:val="000000">
                      <w14:alpha w14:val="100000"/>
                    </w14:srgbClr>
                  </w14:solidFill>
                </w14:textFill>
              </w:rPr>
              <w:t>|</w:t>
            </w:r>
            <w:r w:rsidR="00854D81" w:rsidRPr="00854D81">
              <w:t xml:space="preserve"> </w:t>
            </w:r>
            <w:r w:rsidRPr="007364B7">
              <w:t>for</w:t>
            </w:r>
            <w:r w:rsidRPr="00151023">
              <w:t xml:space="preserve"> QIVc, compared to the current NIP tender price for QIVe </w:t>
            </w:r>
            <w:r w:rsidRPr="007364B7">
              <w:t>of $</w:t>
            </w:r>
            <w:r w:rsidR="00854D81" w:rsidRPr="00854D81">
              <w:rPr>
                <w:color w:val="000000"/>
                <w:spacing w:val="55"/>
                <w:shd w:val="solid" w:color="000000" w:fill="000000"/>
                <w:fitText w:val="336" w:id="-962315518"/>
                <w14:textFill>
                  <w14:solidFill>
                    <w14:srgbClr w14:val="000000">
                      <w14:alpha w14:val="100000"/>
                    </w14:srgbClr>
                  </w14:solidFill>
                </w14:textFill>
              </w:rPr>
              <w:t>|||</w:t>
            </w:r>
            <w:r w:rsidR="00854D81" w:rsidRPr="00854D81">
              <w:rPr>
                <w:color w:val="000000"/>
                <w:spacing w:val="1"/>
                <w:shd w:val="solid" w:color="000000" w:fill="000000"/>
                <w:fitText w:val="336" w:id="-962315518"/>
                <w14:textFill>
                  <w14:solidFill>
                    <w14:srgbClr w14:val="000000">
                      <w14:alpha w14:val="100000"/>
                    </w14:srgbClr>
                  </w14:solidFill>
                </w14:textFill>
              </w:rPr>
              <w:t>|</w:t>
            </w:r>
          </w:p>
        </w:tc>
        <w:tc>
          <w:tcPr>
            <w:tcW w:w="3746" w:type="dxa"/>
            <w:vAlign w:val="center"/>
          </w:tcPr>
          <w:p w14:paraId="0478C5C1" w14:textId="77777777" w:rsidR="00363764" w:rsidRPr="00151023" w:rsidRDefault="00363764" w:rsidP="006241AE">
            <w:pPr>
              <w:pStyle w:val="TableText0"/>
              <w:keepLines/>
              <w:widowControl w:val="0"/>
              <w:rPr>
                <w:iCs/>
              </w:rPr>
            </w:pPr>
            <w:r w:rsidRPr="00151023">
              <w:rPr>
                <w:iCs/>
              </w:rPr>
              <w:t xml:space="preserve">The cost for QIVc is stated to be the current cost on the NIP for the approved populations. </w:t>
            </w:r>
          </w:p>
        </w:tc>
      </w:tr>
    </w:tbl>
    <w:p w14:paraId="366C8B34" w14:textId="34EBFA97" w:rsidR="00363764" w:rsidRPr="00151023" w:rsidRDefault="00363764" w:rsidP="006241AE">
      <w:pPr>
        <w:pStyle w:val="FooterTableFigure"/>
        <w:keepNext/>
      </w:pPr>
      <w:r w:rsidRPr="00151023">
        <w:t xml:space="preserve">Source: generated during the evaluation from Section 4 of the </w:t>
      </w:r>
      <w:r w:rsidR="002900B0" w:rsidRPr="00151023">
        <w:t>submission</w:t>
      </w:r>
      <w:r w:rsidRPr="00151023">
        <w:t>.</w:t>
      </w:r>
    </w:p>
    <w:p w14:paraId="7D2526B9" w14:textId="7BD9791E" w:rsidR="00363764" w:rsidRPr="00151023" w:rsidRDefault="00363764" w:rsidP="006241AE">
      <w:pPr>
        <w:pStyle w:val="FooterTableFigure"/>
        <w:keepNext/>
        <w:spacing w:after="240"/>
      </w:pPr>
      <w:r w:rsidRPr="00151023">
        <w:t xml:space="preserve">ABS = Australian Bureau of Statistics; ATAGI = </w:t>
      </w:r>
      <w:bookmarkStart w:id="39" w:name="_Hlk165033379"/>
      <w:r w:rsidRPr="00151023">
        <w:t>Australian Technical Advisor Group on Immunisation</w:t>
      </w:r>
      <w:bookmarkEnd w:id="39"/>
      <w:r w:rsidRPr="00151023">
        <w:t>; NIP = National Immunisation Program; PBAC = Pharmaceutical Benefit Advisory Committee; PSD = public summary document; QIVc = Cell-based quadrivalent subunit influenza virus vaccine; QIVe = Egg-based quadrivalent subunit influenza virus vaccine.</w:t>
      </w:r>
    </w:p>
    <w:p w14:paraId="063423A3" w14:textId="07C750C6" w:rsidR="0080067A" w:rsidRPr="00151023" w:rsidRDefault="0080067A" w:rsidP="00363764">
      <w:pPr>
        <w:pStyle w:val="3-BodyText"/>
      </w:pPr>
      <w:r w:rsidRPr="00151023">
        <w:t xml:space="preserve">The estimated financial implications to the NIP of listing QIVc for children ≥6 months to &lt;5 years </w:t>
      </w:r>
      <w:r w:rsidR="00EB3451" w:rsidRPr="00151023">
        <w:t xml:space="preserve">are </w:t>
      </w:r>
      <w:r w:rsidRPr="00151023">
        <w:t xml:space="preserve">presented in </w:t>
      </w:r>
      <w:r w:rsidRPr="00151023">
        <w:fldChar w:fldCharType="begin" w:fldLock="1"/>
      </w:r>
      <w:r w:rsidRPr="00151023">
        <w:instrText xml:space="preserve"> REF _Ref153210276 \h  \* MERGEFORMAT </w:instrText>
      </w:r>
      <w:r w:rsidRPr="00151023">
        <w:fldChar w:fldCharType="separate"/>
      </w:r>
      <w:r w:rsidR="00603A66" w:rsidRPr="00151023">
        <w:t>Table 9</w:t>
      </w:r>
      <w:r w:rsidRPr="00151023">
        <w:fldChar w:fldCharType="end"/>
      </w:r>
      <w:r w:rsidRPr="00151023">
        <w:t>.</w:t>
      </w:r>
    </w:p>
    <w:p w14:paraId="60B0EF99" w14:textId="301CA0B8" w:rsidR="007B77F7" w:rsidRPr="00151023" w:rsidRDefault="007B77F7" w:rsidP="006241AE">
      <w:pPr>
        <w:pStyle w:val="Caption"/>
      </w:pPr>
      <w:bookmarkStart w:id="40" w:name="_Ref153210276"/>
      <w:r w:rsidRPr="00151023">
        <w:t xml:space="preserve">Table </w:t>
      </w:r>
      <w:fldSimple w:instr=" SEQ Table \* ARABIC " w:fldLock="1">
        <w:r w:rsidR="00603A66" w:rsidRPr="00151023">
          <w:t>9</w:t>
        </w:r>
      </w:fldSimple>
      <w:bookmarkEnd w:id="40"/>
      <w:r w:rsidRPr="00151023">
        <w:t xml:space="preserve"> Estimated scripts and financial implications of listing QIVc on the NIP for children ≥6 months to &lt;5 years</w:t>
      </w:r>
    </w:p>
    <w:tbl>
      <w:tblPr>
        <w:tblStyle w:val="TableGrid"/>
        <w:tblW w:w="0" w:type="auto"/>
        <w:tblLook w:val="04A0" w:firstRow="1" w:lastRow="0" w:firstColumn="1" w:lastColumn="0" w:noHBand="0" w:noVBand="1"/>
      </w:tblPr>
      <w:tblGrid>
        <w:gridCol w:w="1980"/>
        <w:gridCol w:w="1172"/>
        <w:gridCol w:w="1173"/>
        <w:gridCol w:w="1173"/>
        <w:gridCol w:w="1173"/>
        <w:gridCol w:w="1173"/>
        <w:gridCol w:w="1173"/>
      </w:tblGrid>
      <w:tr w:rsidR="005F597C" w:rsidRPr="00151023" w14:paraId="7238CB53" w14:textId="77777777" w:rsidTr="00305FCD">
        <w:tc>
          <w:tcPr>
            <w:tcW w:w="1980" w:type="dxa"/>
            <w:vAlign w:val="center"/>
          </w:tcPr>
          <w:p w14:paraId="62B6C73E" w14:textId="77777777" w:rsidR="005F597C" w:rsidRPr="00151023" w:rsidRDefault="005F597C" w:rsidP="006241AE">
            <w:pPr>
              <w:keepNext/>
              <w:jc w:val="left"/>
              <w:rPr>
                <w:iCs/>
              </w:rPr>
            </w:pPr>
          </w:p>
        </w:tc>
        <w:tc>
          <w:tcPr>
            <w:tcW w:w="1172" w:type="dxa"/>
            <w:vAlign w:val="center"/>
          </w:tcPr>
          <w:p w14:paraId="19067895" w14:textId="77777777" w:rsidR="005F597C" w:rsidRPr="00151023" w:rsidRDefault="005F597C" w:rsidP="006241AE">
            <w:pPr>
              <w:keepNext/>
              <w:jc w:val="center"/>
              <w:rPr>
                <w:iCs/>
              </w:rPr>
            </w:pPr>
            <w:r w:rsidRPr="00151023">
              <w:rPr>
                <w:rFonts w:ascii="Arial Narrow" w:hAnsi="Arial Narrow" w:cs="Calibri"/>
                <w:b/>
                <w:bCs/>
                <w:color w:val="000000"/>
                <w:sz w:val="20"/>
                <w:szCs w:val="20"/>
              </w:rPr>
              <w:t>Year 1</w:t>
            </w:r>
          </w:p>
        </w:tc>
        <w:tc>
          <w:tcPr>
            <w:tcW w:w="1173" w:type="dxa"/>
            <w:vAlign w:val="center"/>
          </w:tcPr>
          <w:p w14:paraId="284CA48D" w14:textId="77777777" w:rsidR="005F597C" w:rsidRPr="00151023" w:rsidRDefault="005F597C" w:rsidP="006241AE">
            <w:pPr>
              <w:keepNext/>
              <w:jc w:val="center"/>
              <w:rPr>
                <w:iCs/>
              </w:rPr>
            </w:pPr>
            <w:r w:rsidRPr="00151023">
              <w:rPr>
                <w:rFonts w:ascii="Arial Narrow" w:hAnsi="Arial Narrow" w:cs="Calibri"/>
                <w:b/>
                <w:bCs/>
                <w:color w:val="000000"/>
                <w:sz w:val="20"/>
                <w:szCs w:val="20"/>
              </w:rPr>
              <w:t>Year 2</w:t>
            </w:r>
          </w:p>
        </w:tc>
        <w:tc>
          <w:tcPr>
            <w:tcW w:w="1173" w:type="dxa"/>
            <w:vAlign w:val="center"/>
          </w:tcPr>
          <w:p w14:paraId="1F518672" w14:textId="77777777" w:rsidR="005F597C" w:rsidRPr="00151023" w:rsidRDefault="005F597C" w:rsidP="006241AE">
            <w:pPr>
              <w:keepNext/>
              <w:jc w:val="center"/>
              <w:rPr>
                <w:iCs/>
              </w:rPr>
            </w:pPr>
            <w:r w:rsidRPr="00151023">
              <w:rPr>
                <w:rFonts w:ascii="Arial Narrow" w:hAnsi="Arial Narrow" w:cs="Calibri"/>
                <w:b/>
                <w:bCs/>
                <w:color w:val="000000"/>
                <w:sz w:val="20"/>
                <w:szCs w:val="20"/>
              </w:rPr>
              <w:t>Year 3</w:t>
            </w:r>
          </w:p>
        </w:tc>
        <w:tc>
          <w:tcPr>
            <w:tcW w:w="1173" w:type="dxa"/>
            <w:vAlign w:val="center"/>
          </w:tcPr>
          <w:p w14:paraId="159F995C" w14:textId="77777777" w:rsidR="005F597C" w:rsidRPr="00151023" w:rsidRDefault="005F597C" w:rsidP="006241AE">
            <w:pPr>
              <w:keepNext/>
              <w:jc w:val="center"/>
              <w:rPr>
                <w:iCs/>
              </w:rPr>
            </w:pPr>
            <w:r w:rsidRPr="00151023">
              <w:rPr>
                <w:rFonts w:ascii="Arial Narrow" w:hAnsi="Arial Narrow" w:cs="Calibri"/>
                <w:b/>
                <w:bCs/>
                <w:color w:val="000000"/>
                <w:sz w:val="20"/>
                <w:szCs w:val="20"/>
              </w:rPr>
              <w:t>Year 4</w:t>
            </w:r>
          </w:p>
        </w:tc>
        <w:tc>
          <w:tcPr>
            <w:tcW w:w="1173" w:type="dxa"/>
            <w:vAlign w:val="center"/>
          </w:tcPr>
          <w:p w14:paraId="26CB1F03" w14:textId="77777777" w:rsidR="005F597C" w:rsidRPr="00151023" w:rsidRDefault="005F597C" w:rsidP="006241AE">
            <w:pPr>
              <w:keepNext/>
              <w:jc w:val="center"/>
              <w:rPr>
                <w:iCs/>
              </w:rPr>
            </w:pPr>
            <w:r w:rsidRPr="00151023">
              <w:rPr>
                <w:rFonts w:ascii="Arial Narrow" w:hAnsi="Arial Narrow" w:cs="Calibri"/>
                <w:b/>
                <w:bCs/>
                <w:color w:val="000000"/>
                <w:sz w:val="20"/>
                <w:szCs w:val="20"/>
              </w:rPr>
              <w:t>Year 5</w:t>
            </w:r>
          </w:p>
        </w:tc>
        <w:tc>
          <w:tcPr>
            <w:tcW w:w="1173" w:type="dxa"/>
            <w:vAlign w:val="center"/>
          </w:tcPr>
          <w:p w14:paraId="59717F98" w14:textId="77777777" w:rsidR="005F597C" w:rsidRPr="00151023" w:rsidRDefault="005F597C" w:rsidP="006241AE">
            <w:pPr>
              <w:keepNext/>
              <w:jc w:val="center"/>
              <w:rPr>
                <w:iCs/>
              </w:rPr>
            </w:pPr>
            <w:r w:rsidRPr="00151023">
              <w:rPr>
                <w:rFonts w:ascii="Arial Narrow" w:hAnsi="Arial Narrow" w:cs="Calibri"/>
                <w:b/>
                <w:bCs/>
                <w:color w:val="000000"/>
                <w:sz w:val="20"/>
                <w:szCs w:val="20"/>
              </w:rPr>
              <w:t>Year 6</w:t>
            </w:r>
          </w:p>
        </w:tc>
      </w:tr>
      <w:tr w:rsidR="005F597C" w:rsidRPr="00151023" w14:paraId="5CF5DCAE" w14:textId="77777777" w:rsidTr="00305FCD">
        <w:tc>
          <w:tcPr>
            <w:tcW w:w="1980" w:type="dxa"/>
            <w:vAlign w:val="center"/>
          </w:tcPr>
          <w:p w14:paraId="07DD1895" w14:textId="77777777" w:rsidR="005F597C" w:rsidRPr="00151023" w:rsidRDefault="005F597C" w:rsidP="006241AE">
            <w:pPr>
              <w:keepNext/>
              <w:jc w:val="left"/>
              <w:rPr>
                <w:i/>
                <w:iCs/>
              </w:rPr>
            </w:pPr>
            <w:r w:rsidRPr="00151023">
              <w:rPr>
                <w:rFonts w:ascii="Arial Narrow" w:hAnsi="Arial Narrow" w:cs="Calibri"/>
                <w:color w:val="000000"/>
                <w:sz w:val="20"/>
                <w:szCs w:val="20"/>
              </w:rPr>
              <w:t>Children ≥6 months to &lt;5 years</w:t>
            </w:r>
          </w:p>
        </w:tc>
        <w:tc>
          <w:tcPr>
            <w:tcW w:w="1172" w:type="dxa"/>
            <w:vAlign w:val="center"/>
          </w:tcPr>
          <w:p w14:paraId="4804AF1F" w14:textId="24E794CC"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17"/>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17"/>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17"/>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76BF0B6E" w14:textId="35F5700B"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3" w:id="-962315516"/>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3" w:id="-962315516"/>
                <w14:textFill>
                  <w14:solidFill>
                    <w14:srgbClr w14:val="000000">
                      <w14:alpha w14:val="100000"/>
                    </w14:srgbClr>
                  </w14:solidFill>
                </w14:textFill>
              </w:rPr>
              <w:t>|</w:t>
            </w:r>
            <w:r w:rsidRPr="00854D81">
              <w:rPr>
                <w:rFonts w:ascii="Arial Narrow" w:hAnsi="Arial Narrow" w:cs="Calibri" w:hint="eastAsia"/>
                <w:color w:val="000000"/>
                <w:spacing w:val="2"/>
                <w:w w:val="25"/>
                <w:sz w:val="20"/>
                <w:szCs w:val="20"/>
                <w:shd w:val="solid" w:color="000000" w:fill="000000"/>
                <w:fitText w:val="113" w:id="-962315516"/>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1A266CA1" w14:textId="2CEC721D"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15"/>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15"/>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15"/>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4F222518" w14:textId="53C8A148"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14"/>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14"/>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14"/>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6BF5E3EE" w14:textId="42349726"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13"/>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13"/>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13"/>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533615F9" w14:textId="63935782"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12"/>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12"/>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12"/>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r>
      <w:tr w:rsidR="005F597C" w:rsidRPr="00151023" w14:paraId="3DC40051" w14:textId="77777777" w:rsidTr="00305FCD">
        <w:tc>
          <w:tcPr>
            <w:tcW w:w="1980" w:type="dxa"/>
            <w:vAlign w:val="center"/>
          </w:tcPr>
          <w:p w14:paraId="5F1FD647" w14:textId="77777777" w:rsidR="005F597C" w:rsidRPr="00151023" w:rsidRDefault="005F597C" w:rsidP="006241AE">
            <w:pPr>
              <w:keepNext/>
              <w:jc w:val="left"/>
              <w:rPr>
                <w:i/>
                <w:iCs/>
              </w:rPr>
            </w:pPr>
            <w:r w:rsidRPr="00151023">
              <w:rPr>
                <w:rFonts w:ascii="Arial Narrow" w:hAnsi="Arial Narrow" w:cs="Calibri"/>
                <w:sz w:val="20"/>
                <w:szCs w:val="20"/>
              </w:rPr>
              <w:t>Vaccine coverage</w:t>
            </w:r>
          </w:p>
        </w:tc>
        <w:tc>
          <w:tcPr>
            <w:tcW w:w="1172" w:type="dxa"/>
            <w:vAlign w:val="center"/>
          </w:tcPr>
          <w:p w14:paraId="636C3E2D" w14:textId="77777777" w:rsidR="005F597C" w:rsidRPr="00151023" w:rsidRDefault="005F597C" w:rsidP="006241AE">
            <w:pPr>
              <w:keepNext/>
              <w:jc w:val="center"/>
              <w:rPr>
                <w:i/>
                <w:iCs/>
              </w:rPr>
            </w:pPr>
            <w:r w:rsidRPr="00151023">
              <w:rPr>
                <w:rFonts w:ascii="Arial Narrow" w:hAnsi="Arial Narrow" w:cs="Calibri"/>
                <w:sz w:val="20"/>
                <w:szCs w:val="20"/>
              </w:rPr>
              <w:t>50%</w:t>
            </w:r>
          </w:p>
        </w:tc>
        <w:tc>
          <w:tcPr>
            <w:tcW w:w="1173" w:type="dxa"/>
            <w:vAlign w:val="center"/>
          </w:tcPr>
          <w:p w14:paraId="4A9A4320" w14:textId="77777777" w:rsidR="005F597C" w:rsidRPr="00151023" w:rsidRDefault="005F597C" w:rsidP="006241AE">
            <w:pPr>
              <w:keepNext/>
              <w:jc w:val="center"/>
              <w:rPr>
                <w:i/>
                <w:iCs/>
              </w:rPr>
            </w:pPr>
            <w:r w:rsidRPr="00151023">
              <w:rPr>
                <w:rFonts w:ascii="Arial Narrow" w:hAnsi="Arial Narrow" w:cs="Calibri"/>
                <w:sz w:val="20"/>
                <w:szCs w:val="20"/>
              </w:rPr>
              <w:t>50%</w:t>
            </w:r>
          </w:p>
        </w:tc>
        <w:tc>
          <w:tcPr>
            <w:tcW w:w="1173" w:type="dxa"/>
            <w:vAlign w:val="center"/>
          </w:tcPr>
          <w:p w14:paraId="1B0E095B" w14:textId="77777777" w:rsidR="005F597C" w:rsidRPr="00151023" w:rsidRDefault="005F597C" w:rsidP="006241AE">
            <w:pPr>
              <w:keepNext/>
              <w:jc w:val="center"/>
              <w:rPr>
                <w:i/>
                <w:iCs/>
              </w:rPr>
            </w:pPr>
            <w:r w:rsidRPr="00151023">
              <w:rPr>
                <w:rFonts w:ascii="Arial Narrow" w:hAnsi="Arial Narrow" w:cs="Calibri"/>
                <w:sz w:val="20"/>
                <w:szCs w:val="20"/>
              </w:rPr>
              <w:t>50%</w:t>
            </w:r>
          </w:p>
        </w:tc>
        <w:tc>
          <w:tcPr>
            <w:tcW w:w="1173" w:type="dxa"/>
            <w:vAlign w:val="center"/>
          </w:tcPr>
          <w:p w14:paraId="04899CAA" w14:textId="77777777" w:rsidR="005F597C" w:rsidRPr="00151023" w:rsidRDefault="005F597C" w:rsidP="006241AE">
            <w:pPr>
              <w:keepNext/>
              <w:jc w:val="center"/>
              <w:rPr>
                <w:i/>
                <w:iCs/>
              </w:rPr>
            </w:pPr>
            <w:r w:rsidRPr="00151023">
              <w:rPr>
                <w:rFonts w:ascii="Arial Narrow" w:hAnsi="Arial Narrow" w:cs="Calibri"/>
                <w:sz w:val="20"/>
                <w:szCs w:val="20"/>
              </w:rPr>
              <w:t>50%</w:t>
            </w:r>
          </w:p>
        </w:tc>
        <w:tc>
          <w:tcPr>
            <w:tcW w:w="1173" w:type="dxa"/>
            <w:vAlign w:val="center"/>
          </w:tcPr>
          <w:p w14:paraId="2E4BC681" w14:textId="77777777" w:rsidR="005F597C" w:rsidRPr="00151023" w:rsidRDefault="005F597C" w:rsidP="006241AE">
            <w:pPr>
              <w:keepNext/>
              <w:jc w:val="center"/>
              <w:rPr>
                <w:i/>
                <w:iCs/>
              </w:rPr>
            </w:pPr>
            <w:r w:rsidRPr="00151023">
              <w:rPr>
                <w:rFonts w:ascii="Arial Narrow" w:hAnsi="Arial Narrow" w:cs="Calibri"/>
                <w:sz w:val="20"/>
                <w:szCs w:val="20"/>
              </w:rPr>
              <w:t>50%</w:t>
            </w:r>
          </w:p>
        </w:tc>
        <w:tc>
          <w:tcPr>
            <w:tcW w:w="1173" w:type="dxa"/>
            <w:vAlign w:val="center"/>
          </w:tcPr>
          <w:p w14:paraId="2C0B04CD" w14:textId="77777777" w:rsidR="005F597C" w:rsidRPr="00151023" w:rsidRDefault="005F597C" w:rsidP="006241AE">
            <w:pPr>
              <w:keepNext/>
              <w:jc w:val="center"/>
              <w:rPr>
                <w:i/>
                <w:iCs/>
              </w:rPr>
            </w:pPr>
            <w:r w:rsidRPr="00151023">
              <w:rPr>
                <w:rFonts w:ascii="Arial Narrow" w:hAnsi="Arial Narrow" w:cs="Calibri"/>
                <w:sz w:val="20"/>
                <w:szCs w:val="20"/>
              </w:rPr>
              <w:t>50%</w:t>
            </w:r>
          </w:p>
        </w:tc>
      </w:tr>
      <w:tr w:rsidR="005F597C" w:rsidRPr="00151023" w14:paraId="70714CC7" w14:textId="77777777" w:rsidTr="00305FCD">
        <w:tc>
          <w:tcPr>
            <w:tcW w:w="1980" w:type="dxa"/>
            <w:vAlign w:val="center"/>
          </w:tcPr>
          <w:p w14:paraId="234D0715" w14:textId="77777777" w:rsidR="005F597C" w:rsidRPr="00151023" w:rsidRDefault="005F597C" w:rsidP="006241AE">
            <w:pPr>
              <w:keepNext/>
              <w:jc w:val="left"/>
              <w:rPr>
                <w:i/>
                <w:iCs/>
              </w:rPr>
            </w:pPr>
            <w:r w:rsidRPr="00151023">
              <w:rPr>
                <w:rFonts w:ascii="Arial Narrow" w:hAnsi="Arial Narrow" w:cs="Calibri"/>
                <w:sz w:val="20"/>
                <w:szCs w:val="20"/>
              </w:rPr>
              <w:t>Vaccine uptake</w:t>
            </w:r>
          </w:p>
        </w:tc>
        <w:tc>
          <w:tcPr>
            <w:tcW w:w="1172" w:type="dxa"/>
            <w:vAlign w:val="center"/>
          </w:tcPr>
          <w:p w14:paraId="5D157A6F" w14:textId="77777777" w:rsidR="005F597C" w:rsidRPr="00151023" w:rsidRDefault="005F597C" w:rsidP="006241AE">
            <w:pPr>
              <w:keepNext/>
              <w:jc w:val="center"/>
              <w:rPr>
                <w:i/>
                <w:iCs/>
              </w:rPr>
            </w:pPr>
            <w:r w:rsidRPr="00151023">
              <w:rPr>
                <w:rFonts w:ascii="Arial Narrow" w:hAnsi="Arial Narrow" w:cs="Calibri"/>
                <w:sz w:val="20"/>
                <w:szCs w:val="20"/>
              </w:rPr>
              <w:t>100%</w:t>
            </w:r>
          </w:p>
        </w:tc>
        <w:tc>
          <w:tcPr>
            <w:tcW w:w="1173" w:type="dxa"/>
            <w:vAlign w:val="center"/>
          </w:tcPr>
          <w:p w14:paraId="1C06CAF2" w14:textId="77777777" w:rsidR="005F597C" w:rsidRPr="00151023" w:rsidRDefault="005F597C" w:rsidP="006241AE">
            <w:pPr>
              <w:keepNext/>
              <w:jc w:val="center"/>
              <w:rPr>
                <w:i/>
                <w:iCs/>
              </w:rPr>
            </w:pPr>
            <w:r w:rsidRPr="00151023">
              <w:rPr>
                <w:rFonts w:ascii="Arial Narrow" w:hAnsi="Arial Narrow" w:cs="Calibri"/>
                <w:sz w:val="20"/>
                <w:szCs w:val="20"/>
              </w:rPr>
              <w:t>100%</w:t>
            </w:r>
          </w:p>
        </w:tc>
        <w:tc>
          <w:tcPr>
            <w:tcW w:w="1173" w:type="dxa"/>
            <w:vAlign w:val="center"/>
          </w:tcPr>
          <w:p w14:paraId="4BA4587E" w14:textId="77777777" w:rsidR="005F597C" w:rsidRPr="00151023" w:rsidRDefault="005F597C" w:rsidP="006241AE">
            <w:pPr>
              <w:keepNext/>
              <w:jc w:val="center"/>
              <w:rPr>
                <w:i/>
                <w:iCs/>
              </w:rPr>
            </w:pPr>
            <w:r w:rsidRPr="00151023">
              <w:rPr>
                <w:rFonts w:ascii="Arial Narrow" w:hAnsi="Arial Narrow" w:cs="Calibri"/>
                <w:sz w:val="20"/>
                <w:szCs w:val="20"/>
              </w:rPr>
              <w:t>100%</w:t>
            </w:r>
          </w:p>
        </w:tc>
        <w:tc>
          <w:tcPr>
            <w:tcW w:w="1173" w:type="dxa"/>
            <w:vAlign w:val="center"/>
          </w:tcPr>
          <w:p w14:paraId="7AE3A48C" w14:textId="77777777" w:rsidR="005F597C" w:rsidRPr="00151023" w:rsidRDefault="005F597C" w:rsidP="006241AE">
            <w:pPr>
              <w:keepNext/>
              <w:jc w:val="center"/>
              <w:rPr>
                <w:i/>
                <w:iCs/>
              </w:rPr>
            </w:pPr>
            <w:r w:rsidRPr="00151023">
              <w:rPr>
                <w:rFonts w:ascii="Arial Narrow" w:hAnsi="Arial Narrow" w:cs="Calibri"/>
                <w:sz w:val="20"/>
                <w:szCs w:val="20"/>
              </w:rPr>
              <w:t>100%</w:t>
            </w:r>
          </w:p>
        </w:tc>
        <w:tc>
          <w:tcPr>
            <w:tcW w:w="1173" w:type="dxa"/>
            <w:vAlign w:val="center"/>
          </w:tcPr>
          <w:p w14:paraId="0A2C99B5" w14:textId="77777777" w:rsidR="005F597C" w:rsidRPr="00151023" w:rsidRDefault="005F597C" w:rsidP="006241AE">
            <w:pPr>
              <w:keepNext/>
              <w:jc w:val="center"/>
              <w:rPr>
                <w:i/>
                <w:iCs/>
              </w:rPr>
            </w:pPr>
            <w:r w:rsidRPr="00151023">
              <w:rPr>
                <w:rFonts w:ascii="Arial Narrow" w:hAnsi="Arial Narrow" w:cs="Calibri"/>
                <w:sz w:val="20"/>
                <w:szCs w:val="20"/>
              </w:rPr>
              <w:t>100%</w:t>
            </w:r>
          </w:p>
        </w:tc>
        <w:tc>
          <w:tcPr>
            <w:tcW w:w="1173" w:type="dxa"/>
            <w:vAlign w:val="center"/>
          </w:tcPr>
          <w:p w14:paraId="6C115831" w14:textId="77777777" w:rsidR="005F597C" w:rsidRPr="00151023" w:rsidRDefault="005F597C" w:rsidP="006241AE">
            <w:pPr>
              <w:keepNext/>
              <w:jc w:val="center"/>
              <w:rPr>
                <w:i/>
                <w:iCs/>
              </w:rPr>
            </w:pPr>
            <w:r w:rsidRPr="00151023">
              <w:rPr>
                <w:rFonts w:ascii="Arial Narrow" w:hAnsi="Arial Narrow" w:cs="Calibri"/>
                <w:sz w:val="20"/>
                <w:szCs w:val="20"/>
              </w:rPr>
              <w:t>100%</w:t>
            </w:r>
          </w:p>
        </w:tc>
      </w:tr>
      <w:tr w:rsidR="005F597C" w:rsidRPr="00151023" w14:paraId="12767CBC" w14:textId="77777777" w:rsidTr="00305FCD">
        <w:tc>
          <w:tcPr>
            <w:tcW w:w="1980" w:type="dxa"/>
            <w:vAlign w:val="center"/>
          </w:tcPr>
          <w:p w14:paraId="459B6D99" w14:textId="77777777" w:rsidR="005F597C" w:rsidRPr="00151023" w:rsidRDefault="005F597C" w:rsidP="006241AE">
            <w:pPr>
              <w:keepNext/>
              <w:jc w:val="left"/>
              <w:rPr>
                <w:i/>
                <w:iCs/>
              </w:rPr>
            </w:pPr>
            <w:r w:rsidRPr="00151023">
              <w:rPr>
                <w:rFonts w:ascii="Arial Narrow" w:hAnsi="Arial Narrow" w:cs="Calibri"/>
                <w:sz w:val="20"/>
                <w:szCs w:val="20"/>
              </w:rPr>
              <w:t>Scripts per person</w:t>
            </w:r>
          </w:p>
        </w:tc>
        <w:tc>
          <w:tcPr>
            <w:tcW w:w="1172" w:type="dxa"/>
            <w:vAlign w:val="center"/>
          </w:tcPr>
          <w:p w14:paraId="76C8516F" w14:textId="77777777" w:rsidR="005F597C" w:rsidRPr="00151023" w:rsidRDefault="005F597C" w:rsidP="006241AE">
            <w:pPr>
              <w:keepNext/>
              <w:jc w:val="center"/>
              <w:rPr>
                <w:i/>
                <w:iCs/>
              </w:rPr>
            </w:pPr>
            <w:r w:rsidRPr="00151023">
              <w:rPr>
                <w:rFonts w:ascii="Arial Narrow" w:hAnsi="Arial Narrow" w:cs="Calibri"/>
                <w:sz w:val="20"/>
                <w:szCs w:val="20"/>
              </w:rPr>
              <w:t>1.25</w:t>
            </w:r>
          </w:p>
        </w:tc>
        <w:tc>
          <w:tcPr>
            <w:tcW w:w="1173" w:type="dxa"/>
            <w:vAlign w:val="center"/>
          </w:tcPr>
          <w:p w14:paraId="7DE8FAC5" w14:textId="77777777" w:rsidR="005F597C" w:rsidRPr="00151023" w:rsidRDefault="005F597C" w:rsidP="006241AE">
            <w:pPr>
              <w:keepNext/>
              <w:jc w:val="center"/>
              <w:rPr>
                <w:i/>
                <w:iCs/>
              </w:rPr>
            </w:pPr>
            <w:r w:rsidRPr="00151023">
              <w:rPr>
                <w:rFonts w:ascii="Arial Narrow" w:hAnsi="Arial Narrow" w:cs="Calibri"/>
                <w:sz w:val="20"/>
                <w:szCs w:val="20"/>
              </w:rPr>
              <w:t>1.25</w:t>
            </w:r>
          </w:p>
        </w:tc>
        <w:tc>
          <w:tcPr>
            <w:tcW w:w="1173" w:type="dxa"/>
            <w:vAlign w:val="center"/>
          </w:tcPr>
          <w:p w14:paraId="6DE943AF" w14:textId="77777777" w:rsidR="005F597C" w:rsidRPr="00151023" w:rsidRDefault="005F597C" w:rsidP="006241AE">
            <w:pPr>
              <w:keepNext/>
              <w:jc w:val="center"/>
              <w:rPr>
                <w:i/>
                <w:iCs/>
              </w:rPr>
            </w:pPr>
            <w:r w:rsidRPr="00151023">
              <w:rPr>
                <w:rFonts w:ascii="Arial Narrow" w:hAnsi="Arial Narrow" w:cs="Calibri"/>
                <w:sz w:val="20"/>
                <w:szCs w:val="20"/>
              </w:rPr>
              <w:t>1.25</w:t>
            </w:r>
          </w:p>
        </w:tc>
        <w:tc>
          <w:tcPr>
            <w:tcW w:w="1173" w:type="dxa"/>
            <w:vAlign w:val="center"/>
          </w:tcPr>
          <w:p w14:paraId="28D694F9" w14:textId="77777777" w:rsidR="005F597C" w:rsidRPr="00151023" w:rsidRDefault="005F597C" w:rsidP="006241AE">
            <w:pPr>
              <w:keepNext/>
              <w:jc w:val="center"/>
              <w:rPr>
                <w:i/>
                <w:iCs/>
              </w:rPr>
            </w:pPr>
            <w:r w:rsidRPr="00151023">
              <w:rPr>
                <w:rFonts w:ascii="Arial Narrow" w:hAnsi="Arial Narrow" w:cs="Calibri"/>
                <w:sz w:val="20"/>
                <w:szCs w:val="20"/>
              </w:rPr>
              <w:t>1.25</w:t>
            </w:r>
          </w:p>
        </w:tc>
        <w:tc>
          <w:tcPr>
            <w:tcW w:w="1173" w:type="dxa"/>
            <w:vAlign w:val="center"/>
          </w:tcPr>
          <w:p w14:paraId="4B1DECCC" w14:textId="77777777" w:rsidR="005F597C" w:rsidRPr="00151023" w:rsidRDefault="005F597C" w:rsidP="006241AE">
            <w:pPr>
              <w:keepNext/>
              <w:jc w:val="center"/>
              <w:rPr>
                <w:i/>
                <w:iCs/>
              </w:rPr>
            </w:pPr>
            <w:r w:rsidRPr="00151023">
              <w:rPr>
                <w:rFonts w:ascii="Arial Narrow" w:hAnsi="Arial Narrow" w:cs="Calibri"/>
                <w:sz w:val="20"/>
                <w:szCs w:val="20"/>
              </w:rPr>
              <w:t>1.25</w:t>
            </w:r>
          </w:p>
        </w:tc>
        <w:tc>
          <w:tcPr>
            <w:tcW w:w="1173" w:type="dxa"/>
            <w:vAlign w:val="center"/>
          </w:tcPr>
          <w:p w14:paraId="56122DDE" w14:textId="77777777" w:rsidR="005F597C" w:rsidRPr="00151023" w:rsidRDefault="005F597C" w:rsidP="006241AE">
            <w:pPr>
              <w:keepNext/>
              <w:jc w:val="center"/>
              <w:rPr>
                <w:i/>
                <w:iCs/>
              </w:rPr>
            </w:pPr>
            <w:r w:rsidRPr="00151023">
              <w:rPr>
                <w:rFonts w:ascii="Arial Narrow" w:hAnsi="Arial Narrow" w:cs="Calibri"/>
                <w:sz w:val="20"/>
                <w:szCs w:val="20"/>
              </w:rPr>
              <w:t>1.25</w:t>
            </w:r>
          </w:p>
        </w:tc>
      </w:tr>
      <w:tr w:rsidR="005F597C" w:rsidRPr="00151023" w14:paraId="59858816" w14:textId="77777777" w:rsidTr="00305FCD">
        <w:tc>
          <w:tcPr>
            <w:tcW w:w="1980" w:type="dxa"/>
            <w:vAlign w:val="center"/>
          </w:tcPr>
          <w:p w14:paraId="669BFF07" w14:textId="77777777" w:rsidR="005F597C" w:rsidRPr="00151023" w:rsidRDefault="005F597C" w:rsidP="006241AE">
            <w:pPr>
              <w:keepNext/>
              <w:jc w:val="left"/>
              <w:rPr>
                <w:i/>
                <w:iCs/>
              </w:rPr>
            </w:pPr>
            <w:r w:rsidRPr="00151023">
              <w:rPr>
                <w:rFonts w:ascii="Arial Narrow" w:hAnsi="Arial Narrow" w:cs="Calibri"/>
                <w:color w:val="000000"/>
                <w:sz w:val="20"/>
                <w:szCs w:val="20"/>
              </w:rPr>
              <w:t>Total script numbers</w:t>
            </w:r>
          </w:p>
        </w:tc>
        <w:tc>
          <w:tcPr>
            <w:tcW w:w="1172" w:type="dxa"/>
            <w:vAlign w:val="center"/>
          </w:tcPr>
          <w:p w14:paraId="09939B5E" w14:textId="26108D31"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11"/>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11"/>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11"/>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7EBC273B" w14:textId="4E1FE977"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3" w:id="-962315510"/>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3" w:id="-962315510"/>
                <w14:textFill>
                  <w14:solidFill>
                    <w14:srgbClr w14:val="000000">
                      <w14:alpha w14:val="100000"/>
                    </w14:srgbClr>
                  </w14:solidFill>
                </w14:textFill>
              </w:rPr>
              <w:t>|</w:t>
            </w:r>
            <w:r w:rsidRPr="00854D81">
              <w:rPr>
                <w:rFonts w:ascii="Arial Narrow" w:hAnsi="Arial Narrow" w:cs="Calibri" w:hint="eastAsia"/>
                <w:color w:val="000000"/>
                <w:spacing w:val="2"/>
                <w:w w:val="25"/>
                <w:sz w:val="20"/>
                <w:szCs w:val="20"/>
                <w:shd w:val="solid" w:color="000000" w:fill="000000"/>
                <w:fitText w:val="113" w:id="-962315510"/>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133A0A95" w14:textId="0A2EB7A7"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5509"/>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5509"/>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5509"/>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34B4AB41" w14:textId="2354D50E"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4240"/>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40"/>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40"/>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121AAE23" w14:textId="65ADF001"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4239"/>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9"/>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9"/>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c>
          <w:tcPr>
            <w:tcW w:w="1173" w:type="dxa"/>
            <w:vAlign w:val="center"/>
          </w:tcPr>
          <w:p w14:paraId="2497402B" w14:textId="77C0F5AB" w:rsidR="005F597C" w:rsidRPr="00DB471E" w:rsidRDefault="00854D81" w:rsidP="006241AE">
            <w:pPr>
              <w:keepNext/>
              <w:jc w:val="center"/>
              <w:rPr>
                <w:i/>
                <w:iCs/>
                <w:highlight w:val="lightGray"/>
              </w:rPr>
            </w:pPr>
            <w:r w:rsidRPr="00854D81">
              <w:rPr>
                <w:rFonts w:ascii="Arial Narrow" w:hAnsi="Arial Narrow" w:cs="Calibri" w:hint="eastAsia"/>
                <w:color w:val="000000"/>
                <w:w w:val="25"/>
                <w:sz w:val="20"/>
                <w:szCs w:val="20"/>
                <w:shd w:val="solid" w:color="000000" w:fill="000000"/>
                <w:fitText w:val="112" w:id="-962314238"/>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8"/>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8"/>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1</w:t>
            </w:r>
          </w:p>
        </w:tc>
      </w:tr>
      <w:tr w:rsidR="007B77F7" w:rsidRPr="00151023" w14:paraId="1EB70FC8" w14:textId="77777777" w:rsidTr="007B77F7">
        <w:tc>
          <w:tcPr>
            <w:tcW w:w="1980" w:type="dxa"/>
          </w:tcPr>
          <w:p w14:paraId="63125B56" w14:textId="77777777" w:rsidR="007B77F7" w:rsidRPr="00151023" w:rsidRDefault="007B77F7" w:rsidP="006241AE">
            <w:pPr>
              <w:keepNext/>
              <w:jc w:val="left"/>
              <w:rPr>
                <w:rFonts w:ascii="Arial Narrow" w:hAnsi="Arial Narrow"/>
                <w:i/>
                <w:iCs/>
                <w:sz w:val="20"/>
                <w:szCs w:val="20"/>
              </w:rPr>
            </w:pPr>
            <w:r w:rsidRPr="00151023">
              <w:rPr>
                <w:rFonts w:ascii="Arial Narrow" w:hAnsi="Arial Narrow" w:cs="Calibri"/>
                <w:color w:val="000000"/>
                <w:sz w:val="20"/>
                <w:szCs w:val="20"/>
              </w:rPr>
              <w:t>Cost to the NIP of listing QIVc</w:t>
            </w:r>
          </w:p>
        </w:tc>
        <w:tc>
          <w:tcPr>
            <w:tcW w:w="1172" w:type="dxa"/>
          </w:tcPr>
          <w:p w14:paraId="5246D260" w14:textId="70491ABA" w:rsidR="007B77F7" w:rsidRPr="00DB471E" w:rsidRDefault="00854D81" w:rsidP="006241AE">
            <w:pPr>
              <w:keepNext/>
              <w:jc w:val="center"/>
              <w:rPr>
                <w:rFonts w:ascii="Arial Narrow" w:hAnsi="Arial Narrow"/>
                <w:i/>
                <w:iCs/>
                <w:sz w:val="20"/>
                <w:szCs w:val="20"/>
                <w:highlight w:val="lightGray"/>
              </w:rPr>
            </w:pPr>
            <w:r w:rsidRPr="00854D81">
              <w:rPr>
                <w:rFonts w:ascii="Arial Narrow" w:hAnsi="Arial Narrow" w:cs="Calibri" w:hint="eastAsia"/>
                <w:color w:val="000000"/>
                <w:w w:val="25"/>
                <w:sz w:val="20"/>
                <w:szCs w:val="20"/>
                <w:shd w:val="solid" w:color="000000" w:fill="000000"/>
                <w:fitText w:val="112" w:id="-962314237"/>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7"/>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7"/>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02018871" w14:textId="19528699" w:rsidR="007B77F7" w:rsidRPr="00DB471E" w:rsidRDefault="00854D81" w:rsidP="006241AE">
            <w:pPr>
              <w:keepNext/>
              <w:jc w:val="center"/>
              <w:rPr>
                <w:rFonts w:ascii="Arial Narrow" w:hAnsi="Arial Narrow"/>
                <w:i/>
                <w:iCs/>
                <w:sz w:val="20"/>
                <w:szCs w:val="20"/>
                <w:highlight w:val="lightGray"/>
              </w:rPr>
            </w:pPr>
            <w:r w:rsidRPr="00854D81">
              <w:rPr>
                <w:rFonts w:ascii="Arial Narrow" w:hAnsi="Arial Narrow" w:cs="Calibri" w:hint="eastAsia"/>
                <w:color w:val="000000"/>
                <w:w w:val="25"/>
                <w:sz w:val="20"/>
                <w:szCs w:val="20"/>
                <w:shd w:val="solid" w:color="000000" w:fill="000000"/>
                <w:fitText w:val="113" w:id="-962314236"/>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3" w:id="-962314236"/>
                <w14:textFill>
                  <w14:solidFill>
                    <w14:srgbClr w14:val="000000">
                      <w14:alpha w14:val="100000"/>
                    </w14:srgbClr>
                  </w14:solidFill>
                </w14:textFill>
              </w:rPr>
              <w:t>|</w:t>
            </w:r>
            <w:r w:rsidRPr="00854D81">
              <w:rPr>
                <w:rFonts w:ascii="Arial Narrow" w:hAnsi="Arial Narrow" w:cs="Calibri" w:hint="eastAsia"/>
                <w:color w:val="000000"/>
                <w:spacing w:val="2"/>
                <w:w w:val="25"/>
                <w:sz w:val="20"/>
                <w:szCs w:val="20"/>
                <w:shd w:val="solid" w:color="000000" w:fill="000000"/>
                <w:fitText w:val="113" w:id="-962314236"/>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0FDC092E" w14:textId="65AE05CB" w:rsidR="007B77F7" w:rsidRPr="00DB471E" w:rsidRDefault="00854D81" w:rsidP="006241AE">
            <w:pPr>
              <w:keepNext/>
              <w:jc w:val="center"/>
              <w:rPr>
                <w:rFonts w:ascii="Arial Narrow" w:hAnsi="Arial Narrow"/>
                <w:i/>
                <w:iCs/>
                <w:sz w:val="20"/>
                <w:szCs w:val="20"/>
                <w:highlight w:val="lightGray"/>
              </w:rPr>
            </w:pPr>
            <w:r w:rsidRPr="00854D81">
              <w:rPr>
                <w:rFonts w:ascii="Arial Narrow" w:hAnsi="Arial Narrow" w:cs="Calibri" w:hint="eastAsia"/>
                <w:color w:val="000000"/>
                <w:w w:val="25"/>
                <w:sz w:val="20"/>
                <w:szCs w:val="20"/>
                <w:shd w:val="solid" w:color="000000" w:fill="000000"/>
                <w:fitText w:val="112" w:id="-962314235"/>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5"/>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5"/>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0758F10C" w14:textId="6ACCB9AF" w:rsidR="007B77F7" w:rsidRPr="00DB471E" w:rsidRDefault="00854D81" w:rsidP="006241AE">
            <w:pPr>
              <w:keepNext/>
              <w:jc w:val="center"/>
              <w:rPr>
                <w:rFonts w:ascii="Arial Narrow" w:hAnsi="Arial Narrow"/>
                <w:i/>
                <w:iCs/>
                <w:sz w:val="20"/>
                <w:szCs w:val="20"/>
                <w:highlight w:val="lightGray"/>
              </w:rPr>
            </w:pPr>
            <w:r w:rsidRPr="00854D81">
              <w:rPr>
                <w:rFonts w:ascii="Arial Narrow" w:hAnsi="Arial Narrow" w:cs="Calibri" w:hint="eastAsia"/>
                <w:color w:val="000000"/>
                <w:w w:val="25"/>
                <w:sz w:val="20"/>
                <w:szCs w:val="20"/>
                <w:shd w:val="solid" w:color="000000" w:fill="000000"/>
                <w:fitText w:val="112" w:id="-962314234"/>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4"/>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4"/>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7A2420D6" w14:textId="7BF118E1" w:rsidR="007B77F7" w:rsidRPr="00DB471E" w:rsidRDefault="00854D81" w:rsidP="006241AE">
            <w:pPr>
              <w:keepNext/>
              <w:jc w:val="center"/>
              <w:rPr>
                <w:rFonts w:ascii="Arial Narrow" w:hAnsi="Arial Narrow"/>
                <w:i/>
                <w:iCs/>
                <w:sz w:val="20"/>
                <w:szCs w:val="20"/>
                <w:highlight w:val="lightGray"/>
              </w:rPr>
            </w:pPr>
            <w:r w:rsidRPr="00854D81">
              <w:rPr>
                <w:rFonts w:ascii="Arial Narrow" w:hAnsi="Arial Narrow" w:cs="Calibri" w:hint="eastAsia"/>
                <w:color w:val="000000"/>
                <w:w w:val="25"/>
                <w:sz w:val="20"/>
                <w:szCs w:val="20"/>
                <w:shd w:val="solid" w:color="000000" w:fill="000000"/>
                <w:fitText w:val="112" w:id="-962314233"/>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3"/>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3"/>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570CBCE2" w14:textId="27F5859E" w:rsidR="007B77F7" w:rsidRPr="00DB471E" w:rsidRDefault="00854D81" w:rsidP="006241AE">
            <w:pPr>
              <w:keepNext/>
              <w:jc w:val="center"/>
              <w:rPr>
                <w:rFonts w:ascii="Arial Narrow" w:hAnsi="Arial Narrow"/>
                <w:i/>
                <w:iCs/>
                <w:sz w:val="20"/>
                <w:szCs w:val="20"/>
                <w:highlight w:val="lightGray"/>
              </w:rPr>
            </w:pPr>
            <w:r w:rsidRPr="00854D81">
              <w:rPr>
                <w:rFonts w:ascii="Arial Narrow" w:hAnsi="Arial Narrow" w:cs="Calibri" w:hint="eastAsia"/>
                <w:color w:val="000000"/>
                <w:w w:val="25"/>
                <w:sz w:val="20"/>
                <w:szCs w:val="20"/>
                <w:shd w:val="solid" w:color="000000" w:fill="000000"/>
                <w:fitText w:val="112" w:id="-962314232"/>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2"/>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2"/>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r>
      <w:tr w:rsidR="007B77F7" w:rsidRPr="00151023" w14:paraId="01A29DE0" w14:textId="77777777" w:rsidTr="007B77F7">
        <w:tc>
          <w:tcPr>
            <w:tcW w:w="1980" w:type="dxa"/>
          </w:tcPr>
          <w:p w14:paraId="68007D67" w14:textId="77777777" w:rsidR="007B77F7" w:rsidRPr="00151023" w:rsidRDefault="007B77F7" w:rsidP="006241AE">
            <w:pPr>
              <w:keepNext/>
              <w:jc w:val="left"/>
              <w:rPr>
                <w:rFonts w:ascii="Arial Narrow" w:hAnsi="Arial Narrow"/>
                <w:sz w:val="20"/>
                <w:szCs w:val="20"/>
              </w:rPr>
            </w:pPr>
            <w:r w:rsidRPr="00151023">
              <w:rPr>
                <w:rFonts w:ascii="Arial Narrow" w:hAnsi="Arial Narrow" w:cs="Calibri"/>
                <w:color w:val="000000"/>
                <w:sz w:val="20"/>
                <w:szCs w:val="20"/>
              </w:rPr>
              <w:t>Cost to the NIP of current listing QIVe</w:t>
            </w:r>
          </w:p>
        </w:tc>
        <w:tc>
          <w:tcPr>
            <w:tcW w:w="1172" w:type="dxa"/>
          </w:tcPr>
          <w:p w14:paraId="75D7C476" w14:textId="7082EDCD" w:rsidR="007B77F7" w:rsidRPr="00DB471E" w:rsidRDefault="00854D81" w:rsidP="006241AE">
            <w:pPr>
              <w:keepNext/>
              <w:jc w:val="center"/>
              <w:rPr>
                <w:rFonts w:ascii="Arial Narrow" w:hAnsi="Arial Narrow"/>
                <w:sz w:val="20"/>
                <w:szCs w:val="20"/>
                <w:highlight w:val="lightGray"/>
              </w:rPr>
            </w:pPr>
            <w:r w:rsidRPr="00854D81">
              <w:rPr>
                <w:rFonts w:ascii="Arial Narrow" w:hAnsi="Arial Narrow" w:cs="Calibri" w:hint="eastAsia"/>
                <w:color w:val="000000"/>
                <w:w w:val="25"/>
                <w:sz w:val="20"/>
                <w:szCs w:val="20"/>
                <w:shd w:val="solid" w:color="000000" w:fill="000000"/>
                <w:fitText w:val="112" w:id="-962314231"/>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1"/>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1"/>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7198E038" w14:textId="49E82530" w:rsidR="007B77F7" w:rsidRPr="00DB471E" w:rsidRDefault="00854D81" w:rsidP="006241AE">
            <w:pPr>
              <w:keepNext/>
              <w:jc w:val="center"/>
              <w:rPr>
                <w:rFonts w:ascii="Arial Narrow" w:hAnsi="Arial Narrow"/>
                <w:sz w:val="20"/>
                <w:szCs w:val="20"/>
                <w:highlight w:val="lightGray"/>
              </w:rPr>
            </w:pPr>
            <w:r w:rsidRPr="00854D81">
              <w:rPr>
                <w:rFonts w:ascii="Arial Narrow" w:hAnsi="Arial Narrow" w:cs="Calibri" w:hint="eastAsia"/>
                <w:color w:val="000000"/>
                <w:w w:val="25"/>
                <w:sz w:val="20"/>
                <w:szCs w:val="20"/>
                <w:shd w:val="solid" w:color="000000" w:fill="000000"/>
                <w:fitText w:val="113" w:id="-962314230"/>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3" w:id="-962314230"/>
                <w14:textFill>
                  <w14:solidFill>
                    <w14:srgbClr w14:val="000000">
                      <w14:alpha w14:val="100000"/>
                    </w14:srgbClr>
                  </w14:solidFill>
                </w14:textFill>
              </w:rPr>
              <w:t>|</w:t>
            </w:r>
            <w:r w:rsidRPr="00854D81">
              <w:rPr>
                <w:rFonts w:ascii="Arial Narrow" w:hAnsi="Arial Narrow" w:cs="Calibri" w:hint="eastAsia"/>
                <w:color w:val="000000"/>
                <w:spacing w:val="2"/>
                <w:w w:val="25"/>
                <w:sz w:val="20"/>
                <w:szCs w:val="20"/>
                <w:shd w:val="solid" w:color="000000" w:fill="000000"/>
                <w:fitText w:val="113" w:id="-962314230"/>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10DEC034" w14:textId="7DC096FA" w:rsidR="007B77F7" w:rsidRPr="00DB471E" w:rsidRDefault="00854D81" w:rsidP="006241AE">
            <w:pPr>
              <w:keepNext/>
              <w:jc w:val="center"/>
              <w:rPr>
                <w:rFonts w:ascii="Arial Narrow" w:hAnsi="Arial Narrow"/>
                <w:sz w:val="20"/>
                <w:szCs w:val="20"/>
                <w:highlight w:val="lightGray"/>
              </w:rPr>
            </w:pPr>
            <w:r w:rsidRPr="00854D81">
              <w:rPr>
                <w:rFonts w:ascii="Arial Narrow" w:hAnsi="Arial Narrow" w:cs="Calibri" w:hint="eastAsia"/>
                <w:color w:val="000000"/>
                <w:w w:val="25"/>
                <w:sz w:val="20"/>
                <w:szCs w:val="20"/>
                <w:shd w:val="solid" w:color="000000" w:fill="000000"/>
                <w:fitText w:val="112" w:id="-962314229"/>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29"/>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29"/>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4C80481B" w14:textId="1352AA96" w:rsidR="007B77F7" w:rsidRPr="00DB471E" w:rsidRDefault="00854D81" w:rsidP="006241AE">
            <w:pPr>
              <w:keepNext/>
              <w:jc w:val="center"/>
              <w:rPr>
                <w:rFonts w:ascii="Arial Narrow" w:hAnsi="Arial Narrow"/>
                <w:sz w:val="20"/>
                <w:szCs w:val="20"/>
                <w:highlight w:val="lightGray"/>
              </w:rPr>
            </w:pPr>
            <w:r w:rsidRPr="00854D81">
              <w:rPr>
                <w:rFonts w:ascii="Arial Narrow" w:hAnsi="Arial Narrow" w:cs="Calibri" w:hint="eastAsia"/>
                <w:color w:val="000000"/>
                <w:w w:val="25"/>
                <w:sz w:val="20"/>
                <w:szCs w:val="20"/>
                <w:shd w:val="solid" w:color="000000" w:fill="000000"/>
                <w:fitText w:val="112" w:id="-962314228"/>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28"/>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28"/>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705B1D01" w14:textId="7984755D" w:rsidR="007B77F7" w:rsidRPr="00DB471E" w:rsidRDefault="00854D81" w:rsidP="006241AE">
            <w:pPr>
              <w:keepNext/>
              <w:jc w:val="center"/>
              <w:rPr>
                <w:rFonts w:ascii="Arial Narrow" w:hAnsi="Arial Narrow"/>
                <w:sz w:val="20"/>
                <w:szCs w:val="20"/>
                <w:highlight w:val="lightGray"/>
              </w:rPr>
            </w:pPr>
            <w:r w:rsidRPr="00854D81">
              <w:rPr>
                <w:rFonts w:ascii="Arial Narrow" w:hAnsi="Arial Narrow" w:cs="Calibri" w:hint="eastAsia"/>
                <w:color w:val="000000"/>
                <w:w w:val="25"/>
                <w:sz w:val="20"/>
                <w:szCs w:val="20"/>
                <w:shd w:val="solid" w:color="000000" w:fill="000000"/>
                <w:fitText w:val="112" w:id="-962314227"/>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27"/>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27"/>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7274B076" w14:textId="2B67073F" w:rsidR="007B77F7" w:rsidRPr="00DB471E" w:rsidRDefault="00854D81" w:rsidP="006241AE">
            <w:pPr>
              <w:keepNext/>
              <w:jc w:val="center"/>
              <w:rPr>
                <w:rFonts w:ascii="Arial Narrow" w:hAnsi="Arial Narrow"/>
                <w:sz w:val="20"/>
                <w:szCs w:val="20"/>
                <w:highlight w:val="lightGray"/>
              </w:rPr>
            </w:pPr>
            <w:r w:rsidRPr="00854D81">
              <w:rPr>
                <w:rFonts w:ascii="Arial Narrow" w:hAnsi="Arial Narrow" w:cs="Calibri" w:hint="eastAsia"/>
                <w:color w:val="000000"/>
                <w:w w:val="25"/>
                <w:sz w:val="20"/>
                <w:szCs w:val="20"/>
                <w:shd w:val="solid" w:color="000000" w:fill="000000"/>
                <w:fitText w:val="112" w:id="-962314226"/>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26"/>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26"/>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r>
      <w:tr w:rsidR="007B77F7" w:rsidRPr="00151023" w14:paraId="0333BE55" w14:textId="77777777" w:rsidTr="007B77F7">
        <w:tc>
          <w:tcPr>
            <w:tcW w:w="1980" w:type="dxa"/>
          </w:tcPr>
          <w:p w14:paraId="1D61C275" w14:textId="77777777" w:rsidR="007B77F7" w:rsidRPr="00151023" w:rsidRDefault="007B77F7" w:rsidP="006241AE">
            <w:pPr>
              <w:keepNext/>
              <w:jc w:val="left"/>
              <w:rPr>
                <w:rFonts w:ascii="Arial Narrow" w:hAnsi="Arial Narrow"/>
                <w:sz w:val="20"/>
                <w:szCs w:val="20"/>
              </w:rPr>
            </w:pPr>
            <w:r w:rsidRPr="00151023">
              <w:rPr>
                <w:rFonts w:ascii="Arial Narrow" w:hAnsi="Arial Narrow" w:cs="Calibri"/>
                <w:color w:val="000000"/>
                <w:sz w:val="20"/>
                <w:szCs w:val="20"/>
              </w:rPr>
              <w:t>Net cost of listing QIVc on the NIP</w:t>
            </w:r>
          </w:p>
        </w:tc>
        <w:tc>
          <w:tcPr>
            <w:tcW w:w="1172" w:type="dxa"/>
          </w:tcPr>
          <w:p w14:paraId="4A6DD18E" w14:textId="69A5ABA7" w:rsidR="007B77F7" w:rsidRPr="00790684" w:rsidRDefault="00854D81" w:rsidP="006241AE">
            <w:pPr>
              <w:keepNext/>
              <w:jc w:val="center"/>
              <w:rPr>
                <w:highlight w:val="lightGray"/>
              </w:rPr>
            </w:pPr>
            <w:r w:rsidRPr="00854D81">
              <w:rPr>
                <w:rFonts w:ascii="Arial Narrow" w:hAnsi="Arial Narrow" w:cs="Calibri" w:hint="eastAsia"/>
                <w:color w:val="000000"/>
                <w:w w:val="25"/>
                <w:sz w:val="20"/>
                <w:szCs w:val="20"/>
                <w:shd w:val="solid" w:color="000000" w:fill="000000"/>
                <w:fitText w:val="112" w:id="-962314225"/>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25"/>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25"/>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720D0043" w14:textId="2862E872" w:rsidR="007B77F7" w:rsidRPr="00790684" w:rsidRDefault="00854D81" w:rsidP="006241AE">
            <w:pPr>
              <w:keepNext/>
              <w:jc w:val="center"/>
              <w:rPr>
                <w:highlight w:val="lightGray"/>
              </w:rPr>
            </w:pPr>
            <w:r w:rsidRPr="00854D81">
              <w:rPr>
                <w:rFonts w:ascii="Arial Narrow" w:hAnsi="Arial Narrow" w:cs="Calibri" w:hint="eastAsia"/>
                <w:color w:val="000000"/>
                <w:w w:val="25"/>
                <w:sz w:val="20"/>
                <w:szCs w:val="20"/>
                <w:shd w:val="solid" w:color="000000" w:fill="000000"/>
                <w:fitText w:val="113" w:id="-962314224"/>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3" w:id="-962314224"/>
                <w14:textFill>
                  <w14:solidFill>
                    <w14:srgbClr w14:val="000000">
                      <w14:alpha w14:val="100000"/>
                    </w14:srgbClr>
                  </w14:solidFill>
                </w14:textFill>
              </w:rPr>
              <w:t>|</w:t>
            </w:r>
            <w:r w:rsidRPr="00854D81">
              <w:rPr>
                <w:rFonts w:ascii="Arial Narrow" w:hAnsi="Arial Narrow" w:cs="Calibri" w:hint="eastAsia"/>
                <w:color w:val="000000"/>
                <w:spacing w:val="2"/>
                <w:w w:val="25"/>
                <w:sz w:val="20"/>
                <w:szCs w:val="20"/>
                <w:shd w:val="solid" w:color="000000" w:fill="000000"/>
                <w:fitText w:val="113" w:id="-962314224"/>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77CFF5B6" w14:textId="690390DD" w:rsidR="007B77F7" w:rsidRPr="00790684" w:rsidRDefault="00854D81" w:rsidP="006241AE">
            <w:pPr>
              <w:keepNext/>
              <w:jc w:val="center"/>
              <w:rPr>
                <w:highlight w:val="lightGray"/>
              </w:rPr>
            </w:pPr>
            <w:r w:rsidRPr="00854D81">
              <w:rPr>
                <w:rFonts w:ascii="Arial Narrow" w:hAnsi="Arial Narrow" w:cs="Calibri" w:hint="eastAsia"/>
                <w:color w:val="000000"/>
                <w:w w:val="25"/>
                <w:sz w:val="20"/>
                <w:szCs w:val="20"/>
                <w:shd w:val="solid" w:color="000000" w:fill="000000"/>
                <w:fitText w:val="112" w:id="-962314240"/>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40"/>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40"/>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00122C33" w14:textId="044941E3" w:rsidR="007B77F7" w:rsidRPr="00790684" w:rsidRDefault="00854D81" w:rsidP="006241AE">
            <w:pPr>
              <w:keepNext/>
              <w:jc w:val="center"/>
              <w:rPr>
                <w:highlight w:val="lightGray"/>
              </w:rPr>
            </w:pPr>
            <w:r w:rsidRPr="00854D81">
              <w:rPr>
                <w:rFonts w:ascii="Arial Narrow" w:hAnsi="Arial Narrow" w:cs="Calibri" w:hint="eastAsia"/>
                <w:color w:val="000000"/>
                <w:w w:val="25"/>
                <w:sz w:val="20"/>
                <w:szCs w:val="20"/>
                <w:shd w:val="solid" w:color="000000" w:fill="000000"/>
                <w:fitText w:val="112" w:id="-962314239"/>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9"/>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9"/>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5436555A" w14:textId="231C0E05" w:rsidR="007B77F7" w:rsidRPr="00790684" w:rsidRDefault="00854D81" w:rsidP="006241AE">
            <w:pPr>
              <w:keepNext/>
              <w:jc w:val="center"/>
              <w:rPr>
                <w:highlight w:val="lightGray"/>
              </w:rPr>
            </w:pPr>
            <w:r w:rsidRPr="00854D81">
              <w:rPr>
                <w:rFonts w:ascii="Arial Narrow" w:hAnsi="Arial Narrow" w:cs="Calibri" w:hint="eastAsia"/>
                <w:color w:val="000000"/>
                <w:w w:val="25"/>
                <w:sz w:val="20"/>
                <w:szCs w:val="20"/>
                <w:shd w:val="solid" w:color="000000" w:fill="000000"/>
                <w:fitText w:val="112" w:id="-962314238"/>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8"/>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8"/>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c>
          <w:tcPr>
            <w:tcW w:w="1173" w:type="dxa"/>
          </w:tcPr>
          <w:p w14:paraId="437539B5" w14:textId="2BA9246A" w:rsidR="007B77F7" w:rsidRPr="00790684" w:rsidRDefault="00854D81" w:rsidP="006241AE">
            <w:pPr>
              <w:keepNext/>
              <w:jc w:val="center"/>
              <w:rPr>
                <w:highlight w:val="lightGray"/>
              </w:rPr>
            </w:pPr>
            <w:r w:rsidRPr="00854D81">
              <w:rPr>
                <w:rFonts w:ascii="Arial Narrow" w:hAnsi="Arial Narrow" w:cs="Calibri" w:hint="eastAsia"/>
                <w:color w:val="000000"/>
                <w:w w:val="25"/>
                <w:sz w:val="20"/>
                <w:szCs w:val="20"/>
                <w:shd w:val="solid" w:color="000000" w:fill="000000"/>
                <w:fitText w:val="112" w:id="-962314237"/>
                <w14:textFill>
                  <w14:solidFill>
                    <w14:srgbClr w14:val="000000">
                      <w14:alpha w14:val="100000"/>
                    </w14:srgbClr>
                  </w14:solidFill>
                </w14:textFill>
              </w:rPr>
              <w:t xml:space="preserve">　</w:t>
            </w:r>
            <w:r w:rsidRPr="00854D81">
              <w:rPr>
                <w:rFonts w:ascii="Arial Narrow" w:hAnsi="Arial Narrow" w:cs="Calibri"/>
                <w:color w:val="000000"/>
                <w:w w:val="25"/>
                <w:sz w:val="20"/>
                <w:szCs w:val="20"/>
                <w:shd w:val="solid" w:color="000000" w:fill="000000"/>
                <w:fitText w:val="112" w:id="-962314237"/>
                <w14:textFill>
                  <w14:solidFill>
                    <w14:srgbClr w14:val="000000">
                      <w14:alpha w14:val="100000"/>
                    </w14:srgbClr>
                  </w14:solidFill>
                </w14:textFill>
              </w:rPr>
              <w:t>|</w:t>
            </w:r>
            <w:r w:rsidRPr="00854D81">
              <w:rPr>
                <w:rFonts w:ascii="Arial Narrow" w:hAnsi="Arial Narrow" w:cs="Calibri" w:hint="eastAsia"/>
                <w:color w:val="000000"/>
                <w:spacing w:val="1"/>
                <w:w w:val="25"/>
                <w:sz w:val="20"/>
                <w:szCs w:val="20"/>
                <w:shd w:val="solid" w:color="000000" w:fill="000000"/>
                <w:fitText w:val="112" w:id="-962314237"/>
                <w14:textFill>
                  <w14:solidFill>
                    <w14:srgbClr w14:val="000000">
                      <w14:alpha w14:val="100000"/>
                    </w14:srgbClr>
                  </w14:solidFill>
                </w14:textFill>
              </w:rPr>
              <w:t xml:space="preserve">　</w:t>
            </w:r>
            <w:r w:rsidR="00790684" w:rsidRPr="00790684">
              <w:rPr>
                <w:rFonts w:ascii="Arial Narrow" w:hAnsi="Arial Narrow" w:cs="Calibri"/>
                <w:color w:val="000000"/>
                <w:sz w:val="20"/>
                <w:szCs w:val="20"/>
                <w:vertAlign w:val="superscript"/>
              </w:rPr>
              <w:t>2</w:t>
            </w:r>
          </w:p>
        </w:tc>
      </w:tr>
    </w:tbl>
    <w:p w14:paraId="3CBB729D" w14:textId="77777777" w:rsidR="003D23E3" w:rsidRPr="00151023" w:rsidRDefault="003D23E3" w:rsidP="006241AE">
      <w:pPr>
        <w:pStyle w:val="FooterTableFigure"/>
        <w:keepNext/>
      </w:pPr>
      <w:r w:rsidRPr="00151023">
        <w:t>Source: Generated during the evaluation from “Flucelvax Quad Section 4 spreadsheet”.</w:t>
      </w:r>
    </w:p>
    <w:p w14:paraId="18F27B62" w14:textId="19749099" w:rsidR="005F597C" w:rsidRDefault="00AD4C62" w:rsidP="006241AE">
      <w:pPr>
        <w:pStyle w:val="FooterTableFigure"/>
        <w:keepNext/>
        <w:spacing w:after="240"/>
      </w:pPr>
      <w:r w:rsidRPr="00151023">
        <w:t>NIP = National Immunisation Program; QIVc = Cell-based quadrivalent subunit influenza virus vaccine; QIVe = Egg-based quadrivalent subunit influenza virus vaccine.</w:t>
      </w:r>
    </w:p>
    <w:p w14:paraId="115228CA" w14:textId="77777777" w:rsidR="00790684" w:rsidRDefault="00790684" w:rsidP="006241AE">
      <w:pPr>
        <w:pStyle w:val="FooterTableFigure"/>
        <w:keepNext/>
        <w:spacing w:after="240"/>
        <w:rPr>
          <w:i/>
        </w:rPr>
      </w:pPr>
      <w:r w:rsidRPr="00790684">
        <w:rPr>
          <w:i/>
        </w:rPr>
        <w:t>The redacted values correspond to the following ranges:</w:t>
      </w:r>
    </w:p>
    <w:p w14:paraId="35D24840" w14:textId="58F63B01" w:rsidR="00790684" w:rsidRDefault="00790684" w:rsidP="006241AE">
      <w:pPr>
        <w:pStyle w:val="FooterTableFigure"/>
        <w:keepNext/>
        <w:spacing w:after="240"/>
        <w:rPr>
          <w:i/>
        </w:rPr>
      </w:pPr>
      <w:r w:rsidRPr="00790684">
        <w:rPr>
          <w:i/>
          <w:vertAlign w:val="superscript"/>
        </w:rPr>
        <w:t>1</w:t>
      </w:r>
      <w:r>
        <w:rPr>
          <w:i/>
        </w:rPr>
        <w:t xml:space="preserve"> </w:t>
      </w:r>
      <w:r w:rsidRPr="00790684">
        <w:rPr>
          <w:i/>
        </w:rPr>
        <w:t>1,000,000 to &lt; 2,000,000</w:t>
      </w:r>
    </w:p>
    <w:p w14:paraId="11832395" w14:textId="3F3021D3" w:rsidR="00790684" w:rsidRPr="00790684" w:rsidRDefault="00790684" w:rsidP="006241AE">
      <w:pPr>
        <w:pStyle w:val="FooterTableFigure"/>
        <w:keepNext/>
        <w:spacing w:after="240"/>
        <w:rPr>
          <w:i/>
        </w:rPr>
      </w:pPr>
      <w:r w:rsidRPr="00790684">
        <w:rPr>
          <w:i/>
          <w:vertAlign w:val="superscript"/>
        </w:rPr>
        <w:t>2</w:t>
      </w:r>
      <w:r>
        <w:rPr>
          <w:i/>
        </w:rPr>
        <w:t xml:space="preserve"> </w:t>
      </w:r>
      <w:r w:rsidRPr="00790684">
        <w:rPr>
          <w:i/>
        </w:rPr>
        <w:t>$0 to &lt; $10 million</w:t>
      </w:r>
    </w:p>
    <w:p w14:paraId="3A2CAAA7" w14:textId="77777777" w:rsidR="00790684" w:rsidRPr="00151023" w:rsidRDefault="00790684" w:rsidP="003F0FA9">
      <w:pPr>
        <w:pStyle w:val="FooterTableFigure"/>
        <w:spacing w:after="240"/>
      </w:pPr>
    </w:p>
    <w:p w14:paraId="471DAE46" w14:textId="7A90F290" w:rsidR="00363764" w:rsidRPr="00151023" w:rsidRDefault="00AD4C62" w:rsidP="00363764">
      <w:pPr>
        <w:pStyle w:val="3-BodyText"/>
      </w:pPr>
      <w:r w:rsidRPr="00151023">
        <w:t xml:space="preserve">The </w:t>
      </w:r>
      <w:r w:rsidR="00926142" w:rsidRPr="00151023">
        <w:t xml:space="preserve">submission estimated that the </w:t>
      </w:r>
      <w:r w:rsidRPr="00151023">
        <w:t xml:space="preserve">net cost of listing QIVc in children ≥6 months to &lt;5 years </w:t>
      </w:r>
      <w:r w:rsidR="00926142" w:rsidRPr="00151023">
        <w:t>would</w:t>
      </w:r>
      <w:r w:rsidRPr="00151023">
        <w:t xml:space="preserve"> be $</w:t>
      </w:r>
      <w:r w:rsidR="00790684" w:rsidRPr="00790684">
        <w:t>0 to &lt; $10 million</w:t>
      </w:r>
      <w:r w:rsidR="00790684">
        <w:t xml:space="preserve"> </w:t>
      </w:r>
      <w:r w:rsidR="00EB3451" w:rsidRPr="00151023">
        <w:t xml:space="preserve">over </w:t>
      </w:r>
      <w:r w:rsidRPr="00151023">
        <w:t xml:space="preserve">6 years. </w:t>
      </w:r>
      <w:r w:rsidR="00926142" w:rsidRPr="00151023">
        <w:t xml:space="preserve">However, this was based on the assumption </w:t>
      </w:r>
      <w:r w:rsidRPr="00151023">
        <w:t xml:space="preserve">that QIVc </w:t>
      </w:r>
      <w:r w:rsidR="00926142" w:rsidRPr="00151023">
        <w:t xml:space="preserve">would </w:t>
      </w:r>
      <w:r w:rsidRPr="00151023">
        <w:t>entirely replace QIVe.</w:t>
      </w:r>
      <w:r w:rsidR="00C10260" w:rsidRPr="00151023">
        <w:t xml:space="preserve"> The pre-PBAC response noted that complete substitution </w:t>
      </w:r>
      <w:r w:rsidR="00171EA8" w:rsidRPr="00151023">
        <w:t>is</w:t>
      </w:r>
      <w:r w:rsidR="00C10260" w:rsidRPr="00151023">
        <w:t xml:space="preserve"> </w:t>
      </w:r>
      <w:r w:rsidR="00EB3451" w:rsidRPr="00151023">
        <w:t>un</w:t>
      </w:r>
      <w:r w:rsidR="00C10260" w:rsidRPr="00151023">
        <w:t>likely and the financial estimates presented by the submission would likely be lower.</w:t>
      </w:r>
      <w:r w:rsidR="00EB3451" w:rsidRPr="00151023">
        <w:t xml:space="preserve"> The pre-PBAC response further stated that QIVe “is likely to gain a minority share of the tender (currently it has 30% for the 5 to 64 year old cohorts)”.</w:t>
      </w:r>
    </w:p>
    <w:p w14:paraId="65B3638C" w14:textId="25B684BC" w:rsidR="004F550B" w:rsidRPr="00151023" w:rsidRDefault="00AC4868" w:rsidP="004F550B">
      <w:pPr>
        <w:pStyle w:val="3-BodyText"/>
      </w:pPr>
      <w:r w:rsidRPr="00151023">
        <w:t xml:space="preserve">The uptake of influenza vaccination in children ≥6 months to &lt;5 years has increased over previous years. </w:t>
      </w:r>
      <w:r w:rsidR="00D13D2A" w:rsidRPr="00151023">
        <w:t xml:space="preserve">The evaluation noted that the financial estimates are sensitive to uptake assumptions, however the PBAC agreed with </w:t>
      </w:r>
      <w:r w:rsidRPr="00151023">
        <w:t xml:space="preserve">ATAGI </w:t>
      </w:r>
      <w:r w:rsidR="00D13D2A" w:rsidRPr="00151023">
        <w:t xml:space="preserve">that </w:t>
      </w:r>
      <w:r w:rsidRPr="00151023">
        <w:t>the</w:t>
      </w:r>
      <w:r w:rsidR="00D13D2A" w:rsidRPr="00151023">
        <w:t xml:space="preserve"> submission’s</w:t>
      </w:r>
      <w:r w:rsidRPr="00151023">
        <w:t xml:space="preserve"> estimate of 50% vaccine coverage in this population </w:t>
      </w:r>
      <w:r w:rsidR="00D13D2A" w:rsidRPr="00151023">
        <w:t xml:space="preserve">was reasonable </w:t>
      </w:r>
      <w:r w:rsidRPr="00151023">
        <w:t xml:space="preserve">(ATAGI </w:t>
      </w:r>
      <w:r w:rsidR="00FE6AE0" w:rsidRPr="00151023">
        <w:t xml:space="preserve">pre-submission </w:t>
      </w:r>
      <w:r w:rsidRPr="00151023">
        <w:t>advice</w:t>
      </w:r>
      <w:r w:rsidR="00FE6AE0" w:rsidRPr="00151023">
        <w:t xml:space="preserve">, </w:t>
      </w:r>
      <w:r w:rsidRPr="00151023">
        <w:t>September 2021).</w:t>
      </w:r>
    </w:p>
    <w:p w14:paraId="72359A81" w14:textId="4D2CF2AC" w:rsidR="00606FBA" w:rsidRPr="00151023" w:rsidRDefault="004F550B" w:rsidP="007E12AC">
      <w:pPr>
        <w:pStyle w:val="3-BodyText"/>
        <w:numPr>
          <w:ilvl w:val="0"/>
          <w:numId w:val="0"/>
        </w:numPr>
        <w:ind w:left="720"/>
        <w:rPr>
          <w:i/>
          <w:iCs/>
        </w:rPr>
      </w:pPr>
      <w:r w:rsidRPr="00151023">
        <w:rPr>
          <w:i/>
          <w:iCs/>
        </w:rPr>
        <w:t>For more detail on PBAC’s view, see section 7 PBAC outcome.</w:t>
      </w:r>
    </w:p>
    <w:p w14:paraId="4DB6A3FB" w14:textId="77777777" w:rsidR="007E12AC" w:rsidRPr="00151023" w:rsidRDefault="007E12AC" w:rsidP="00EE1D5D">
      <w:pPr>
        <w:pStyle w:val="2-SectionHeading"/>
        <w:numPr>
          <w:ilvl w:val="0"/>
          <w:numId w:val="1"/>
        </w:numPr>
      </w:pPr>
      <w:bookmarkStart w:id="41" w:name="_Hlk76381249"/>
      <w:r w:rsidRPr="00151023">
        <w:t>PBAC Outcome</w:t>
      </w:r>
    </w:p>
    <w:p w14:paraId="2281FE14" w14:textId="36A73A59" w:rsidR="00774A46" w:rsidRPr="00151023" w:rsidRDefault="00124264" w:rsidP="00F428B5">
      <w:pPr>
        <w:widowControl w:val="0"/>
        <w:numPr>
          <w:ilvl w:val="1"/>
          <w:numId w:val="1"/>
        </w:numPr>
        <w:spacing w:after="120"/>
      </w:pPr>
      <w:r w:rsidRPr="00151023">
        <w:rPr>
          <w:snapToGrid w:val="0"/>
        </w:rPr>
        <w:t>The PBAC recommended that influenza vaccine (Flucelvax® Quad</w:t>
      </w:r>
      <w:r w:rsidR="007046D2" w:rsidRPr="00151023">
        <w:rPr>
          <w:snapToGrid w:val="0"/>
        </w:rPr>
        <w:t>, QIVc</w:t>
      </w:r>
      <w:r w:rsidRPr="00151023">
        <w:rPr>
          <w:snapToGrid w:val="0"/>
        </w:rPr>
        <w:t xml:space="preserve">) be a designated vaccine for the purposes of the </w:t>
      </w:r>
      <w:r w:rsidRPr="00151023">
        <w:rPr>
          <w:i/>
          <w:iCs/>
          <w:snapToGrid w:val="0"/>
        </w:rPr>
        <w:t>National Health Act 1953</w:t>
      </w:r>
      <w:r w:rsidRPr="00151023">
        <w:rPr>
          <w:snapToGrid w:val="0"/>
        </w:rPr>
        <w:t>, for the vaccination against</w:t>
      </w:r>
      <w:r w:rsidRPr="00151023">
        <w:t xml:space="preserve"> influenza in </w:t>
      </w:r>
      <w:r w:rsidR="003F0FA9" w:rsidRPr="00151023">
        <w:t xml:space="preserve">children </w:t>
      </w:r>
      <w:r w:rsidRPr="00151023">
        <w:t>aged ≥6 months to &lt;5 years.</w:t>
      </w:r>
      <w:r w:rsidRPr="00151023">
        <w:rPr>
          <w:snapToGrid w:val="0"/>
        </w:rPr>
        <w:t xml:space="preserve"> The PBAC’s recommendation for listing was based on, among other matters, its assessment that the cost-effectiveness of QIVc</w:t>
      </w:r>
      <w:r w:rsidR="004D3E4A" w:rsidRPr="00151023">
        <w:rPr>
          <w:snapToGrid w:val="0"/>
        </w:rPr>
        <w:t xml:space="preserve"> </w:t>
      </w:r>
      <w:r w:rsidRPr="00151023">
        <w:rPr>
          <w:snapToGrid w:val="0"/>
        </w:rPr>
        <w:t>would be acceptable</w:t>
      </w:r>
      <w:r w:rsidR="004D3E4A" w:rsidRPr="00151023">
        <w:rPr>
          <w:snapToGrid w:val="0"/>
        </w:rPr>
        <w:t xml:space="preserve"> </w:t>
      </w:r>
      <w:r w:rsidR="00EB3451" w:rsidRPr="00151023">
        <w:rPr>
          <w:snapToGrid w:val="0"/>
        </w:rPr>
        <w:t>at the same price as was previously recommended for QIVc for the current NIP-funded population.</w:t>
      </w:r>
      <w:bookmarkStart w:id="42" w:name="_Hlk114517443"/>
      <w:r w:rsidR="004D3E4A" w:rsidRPr="00151023">
        <w:t xml:space="preserve"> </w:t>
      </w:r>
    </w:p>
    <w:p w14:paraId="487449ED" w14:textId="685D50D8" w:rsidR="00745A5D" w:rsidRPr="00151023" w:rsidRDefault="00C6601B" w:rsidP="00774A46">
      <w:pPr>
        <w:widowControl w:val="0"/>
        <w:numPr>
          <w:ilvl w:val="1"/>
          <w:numId w:val="1"/>
        </w:numPr>
        <w:spacing w:after="120"/>
      </w:pPr>
      <w:r w:rsidRPr="00151023">
        <w:t>The PBAC welcomed the input from Lung Foundation Australia</w:t>
      </w:r>
      <w:r w:rsidR="009C611F" w:rsidRPr="00151023">
        <w:t xml:space="preserve"> </w:t>
      </w:r>
      <w:r w:rsidR="00F401C0" w:rsidRPr="00151023">
        <w:t>outlining</w:t>
      </w:r>
      <w:r w:rsidR="00D13D2A" w:rsidRPr="00151023">
        <w:t xml:space="preserve"> that </w:t>
      </w:r>
      <w:r w:rsidR="009C611F" w:rsidRPr="00151023">
        <w:t xml:space="preserve">QIVc </w:t>
      </w:r>
      <w:r w:rsidR="00D13D2A" w:rsidRPr="00151023">
        <w:t xml:space="preserve">would provide an alternative supply of NIP-funded influenza vaccines </w:t>
      </w:r>
      <w:r w:rsidR="009C611F" w:rsidRPr="00151023">
        <w:t xml:space="preserve">for </w:t>
      </w:r>
      <w:r w:rsidR="00F401C0" w:rsidRPr="00151023">
        <w:t xml:space="preserve">children </w:t>
      </w:r>
      <w:r w:rsidR="009C611F" w:rsidRPr="00151023">
        <w:t xml:space="preserve">aged ≥6 months to &lt;5 years </w:t>
      </w:r>
      <w:r w:rsidR="00893BD8" w:rsidRPr="00151023">
        <w:t>old</w:t>
      </w:r>
      <w:r w:rsidR="009C611F" w:rsidRPr="00151023">
        <w:t>.</w:t>
      </w:r>
    </w:p>
    <w:p w14:paraId="5B409CA8" w14:textId="6FBBD0E9" w:rsidR="007E12AC" w:rsidRPr="00151023" w:rsidRDefault="00DD4942" w:rsidP="007E12AC">
      <w:pPr>
        <w:widowControl w:val="0"/>
        <w:numPr>
          <w:ilvl w:val="1"/>
          <w:numId w:val="1"/>
        </w:numPr>
        <w:spacing w:after="120"/>
      </w:pPr>
      <w:r w:rsidRPr="00151023">
        <w:t xml:space="preserve">The PBAC considered that </w:t>
      </w:r>
      <w:r w:rsidR="00D13D2A" w:rsidRPr="00151023">
        <w:t xml:space="preserve">the </w:t>
      </w:r>
      <w:r w:rsidRPr="00151023">
        <w:t xml:space="preserve">nomination of </w:t>
      </w:r>
      <w:r w:rsidR="00774A46" w:rsidRPr="00151023">
        <w:t>existing NIP-funded quadrivalent egg-based vaccines (</w:t>
      </w:r>
      <w:r w:rsidRPr="00151023">
        <w:t>QIVe</w:t>
      </w:r>
      <w:r w:rsidR="00774A46" w:rsidRPr="00151023">
        <w:t>)</w:t>
      </w:r>
      <w:r w:rsidRPr="00151023">
        <w:t xml:space="preserve"> as the main comparator was appropriate</w:t>
      </w:r>
      <w:r w:rsidR="00B6226E" w:rsidRPr="00151023">
        <w:t xml:space="preserve"> for the proposed population</w:t>
      </w:r>
      <w:r w:rsidRPr="00151023">
        <w:t>.</w:t>
      </w:r>
      <w:bookmarkEnd w:id="42"/>
    </w:p>
    <w:p w14:paraId="11A06983" w14:textId="7E04F9F0" w:rsidR="00E91BE1" w:rsidRPr="00151023" w:rsidRDefault="00A74EF5" w:rsidP="00E91BE1">
      <w:pPr>
        <w:pStyle w:val="3-BodyText"/>
        <w:rPr>
          <w:rFonts w:ascii="Calibri" w:hAnsi="Calibri"/>
          <w:snapToGrid/>
        </w:rPr>
      </w:pPr>
      <w:r w:rsidRPr="00151023">
        <w:t xml:space="preserve">The </w:t>
      </w:r>
      <w:r w:rsidR="00A37C70" w:rsidRPr="00151023">
        <w:t xml:space="preserve">pivotal evidence to support the extended listing of QIVc to </w:t>
      </w:r>
      <w:r w:rsidR="003F0FA9" w:rsidRPr="00151023">
        <w:t xml:space="preserve">include children </w:t>
      </w:r>
      <w:r w:rsidR="00A37C70" w:rsidRPr="00151023">
        <w:t>aged 6 months to &lt;5 years was</w:t>
      </w:r>
      <w:r w:rsidR="006B3BAB" w:rsidRPr="00151023">
        <w:t xml:space="preserve"> </w:t>
      </w:r>
      <w:r w:rsidR="003F27C7" w:rsidRPr="00151023">
        <w:t>based on a direct randomised controlled trial (V130_10; Essink 2022) assessing the non-inferiority of QIVc compared to QIVe in terms of immunogenicity and safety in individuals aged 6 to 47 months during the 2019</w:t>
      </w:r>
      <w:r w:rsidR="003F27C7" w:rsidRPr="00151023">
        <w:rPr>
          <w:rFonts w:cs="Calibri"/>
        </w:rPr>
        <w:t>−</w:t>
      </w:r>
      <w:r w:rsidR="003F27C7" w:rsidRPr="00151023">
        <w:t>2020 influenza season in the United States.</w:t>
      </w:r>
      <w:r w:rsidR="008553C8" w:rsidRPr="00151023">
        <w:t xml:space="preserve"> The PBAC noted that the TGA </w:t>
      </w:r>
      <w:r w:rsidR="00E03A2F" w:rsidRPr="00151023">
        <w:t>D</w:t>
      </w:r>
      <w:r w:rsidR="008553C8" w:rsidRPr="00151023">
        <w:t xml:space="preserve">elegate and </w:t>
      </w:r>
      <w:r w:rsidR="008553C8" w:rsidRPr="00151023">
        <w:rPr>
          <w:iCs/>
        </w:rPr>
        <w:t xml:space="preserve">the Advisory Committee on Vaccines </w:t>
      </w:r>
      <w:r w:rsidR="004D3345" w:rsidRPr="00151023">
        <w:t xml:space="preserve">reported that the predefined success criteria of non-inferiority for the primary immunogenicity objectives were met, demonstrating that QIVc was non-inferior to </w:t>
      </w:r>
      <w:r w:rsidR="00CC6C5E" w:rsidRPr="00151023">
        <w:t xml:space="preserve">QIVe </w:t>
      </w:r>
      <w:r w:rsidR="004D3345" w:rsidRPr="00151023">
        <w:t>in children 6</w:t>
      </w:r>
      <w:r w:rsidR="00893BD8" w:rsidRPr="00151023">
        <w:rPr>
          <w:rFonts w:cstheme="minorHAnsi"/>
        </w:rPr>
        <w:t>−</w:t>
      </w:r>
      <w:r w:rsidR="004D3345" w:rsidRPr="00151023">
        <w:t>47 months of age</w:t>
      </w:r>
      <w:r w:rsidR="00CC6C5E" w:rsidRPr="00151023">
        <w:t>.</w:t>
      </w:r>
      <w:r w:rsidR="00392724" w:rsidRPr="00151023">
        <w:t xml:space="preserve"> </w:t>
      </w:r>
    </w:p>
    <w:p w14:paraId="31C1F0A2" w14:textId="14349099" w:rsidR="00392724" w:rsidRPr="00151023" w:rsidRDefault="003763CE" w:rsidP="00392724">
      <w:pPr>
        <w:widowControl w:val="0"/>
        <w:numPr>
          <w:ilvl w:val="1"/>
          <w:numId w:val="1"/>
        </w:numPr>
        <w:spacing w:after="120"/>
        <w:rPr>
          <w:rFonts w:asciiTheme="minorHAnsi" w:hAnsiTheme="minorHAnsi"/>
          <w:snapToGrid w:val="0"/>
          <w:szCs w:val="20"/>
        </w:rPr>
      </w:pPr>
      <w:bookmarkStart w:id="43" w:name="_Hlk162013393"/>
      <w:r w:rsidRPr="00151023">
        <w:t>Based on the data available for the cohort aged 6 months to &lt;5 years, t</w:t>
      </w:r>
      <w:r w:rsidR="00392724" w:rsidRPr="00151023">
        <w:t xml:space="preserve">he PBAC considered that </w:t>
      </w:r>
      <w:r w:rsidR="00D13D2A" w:rsidRPr="00151023">
        <w:t xml:space="preserve">QIVc was </w:t>
      </w:r>
      <w:r w:rsidR="00392724" w:rsidRPr="00151023">
        <w:t xml:space="preserve">non-inferior </w:t>
      </w:r>
      <w:r w:rsidR="00D13D2A" w:rsidRPr="00151023">
        <w:t xml:space="preserve">in terms of </w:t>
      </w:r>
      <w:r w:rsidR="00392724" w:rsidRPr="00151023">
        <w:t xml:space="preserve">comparative effectiveness </w:t>
      </w:r>
      <w:r w:rsidR="00D13D2A" w:rsidRPr="00151023">
        <w:t xml:space="preserve">in </w:t>
      </w:r>
      <w:r w:rsidR="00303340" w:rsidRPr="00151023">
        <w:t>children</w:t>
      </w:r>
      <w:r w:rsidR="00D13D2A" w:rsidRPr="00151023">
        <w:t xml:space="preserve"> aged 6 months to &lt;5 years</w:t>
      </w:r>
      <w:r w:rsidR="00392724" w:rsidRPr="00151023">
        <w:t xml:space="preserve">. </w:t>
      </w:r>
    </w:p>
    <w:p w14:paraId="75C1F06E" w14:textId="71E3439E" w:rsidR="00811457" w:rsidRPr="00151023" w:rsidRDefault="00811457" w:rsidP="00392724">
      <w:pPr>
        <w:widowControl w:val="0"/>
        <w:numPr>
          <w:ilvl w:val="1"/>
          <w:numId w:val="1"/>
        </w:numPr>
        <w:spacing w:after="120"/>
        <w:rPr>
          <w:rFonts w:asciiTheme="minorHAnsi" w:hAnsiTheme="minorHAnsi"/>
          <w:snapToGrid w:val="0"/>
          <w:szCs w:val="20"/>
        </w:rPr>
      </w:pPr>
      <w:r w:rsidRPr="00151023">
        <w:rPr>
          <w:rFonts w:asciiTheme="minorHAnsi" w:hAnsiTheme="minorHAnsi"/>
          <w:snapToGrid w:val="0"/>
          <w:szCs w:val="20"/>
        </w:rPr>
        <w:t>Further, the PBAC recalled that, in its previous consideration of QIVc for eligible people aged ≥5 to &lt;65 years, it had considered that the clinical claim of superior efficacy was “plausible” but “the comparative benefit was difficult to quantify and subject to a moderate level of uncertainty” (paragraph 7.6, QIVc PSD, September 2022 PBAC meeting). The PBAC considered this same conclusion was also relevant to the extended population of children aged 6 months to &lt;5 years.</w:t>
      </w:r>
    </w:p>
    <w:bookmarkEnd w:id="43"/>
    <w:p w14:paraId="6C9B6746" w14:textId="79FE9A8F" w:rsidR="00503366" w:rsidRPr="00151023" w:rsidRDefault="00356392" w:rsidP="00503366">
      <w:pPr>
        <w:pStyle w:val="3-BodyText"/>
        <w:ind w:left="709"/>
      </w:pPr>
      <w:r w:rsidRPr="00151023">
        <w:t>The PBAC</w:t>
      </w:r>
      <w:r w:rsidR="00603ED1" w:rsidRPr="00151023">
        <w:t xml:space="preserve"> recalled it had previously considered</w:t>
      </w:r>
      <w:r w:rsidR="00503366" w:rsidRPr="00151023">
        <w:t xml:space="preserve"> that</w:t>
      </w:r>
      <w:r w:rsidR="00603ED1" w:rsidRPr="00151023">
        <w:t xml:space="preserve"> the </w:t>
      </w:r>
      <w:r w:rsidR="00893BD8" w:rsidRPr="00151023">
        <w:t xml:space="preserve">V130_10 clinical trial data </w:t>
      </w:r>
      <w:r w:rsidRPr="00151023">
        <w:t>supported the claim of non-inferior safety</w:t>
      </w:r>
      <w:r w:rsidR="00603ED1" w:rsidRPr="00151023">
        <w:t xml:space="preserve"> </w:t>
      </w:r>
      <w:r w:rsidRPr="00151023">
        <w:t>of QIVc compared to QIVe</w:t>
      </w:r>
      <w:r w:rsidR="00603ED1" w:rsidRPr="00151023">
        <w:t xml:space="preserve"> (para 7.7, QIVc, PSD, September 2022 PBAC meeting) and considered these data also supported</w:t>
      </w:r>
      <w:r w:rsidR="00503366" w:rsidRPr="00151023">
        <w:t xml:space="preserve"> </w:t>
      </w:r>
      <w:r w:rsidR="00603ED1" w:rsidRPr="00151023">
        <w:t>non-inferior safety for the proposed population</w:t>
      </w:r>
      <w:r w:rsidR="00893BD8" w:rsidRPr="00151023">
        <w:t xml:space="preserve"> aged ≥6 months to &lt;5 years old</w:t>
      </w:r>
      <w:r w:rsidRPr="00151023">
        <w:t>.</w:t>
      </w:r>
    </w:p>
    <w:p w14:paraId="78324E28" w14:textId="045FB37D" w:rsidR="00503366" w:rsidRPr="00151023" w:rsidRDefault="00503366" w:rsidP="00503366">
      <w:pPr>
        <w:pStyle w:val="3-BodyText"/>
        <w:ind w:left="709"/>
      </w:pPr>
      <w:r w:rsidRPr="00151023">
        <w:t xml:space="preserve">The PBAC noted that the submission </w:t>
      </w:r>
      <w:r w:rsidR="00D678B0" w:rsidRPr="00151023">
        <w:t xml:space="preserve">proposed listing QIVc in the </w:t>
      </w:r>
      <w:r w:rsidR="00EB3451" w:rsidRPr="00151023">
        <w:t>extended</w:t>
      </w:r>
      <w:r w:rsidR="00D678B0" w:rsidRPr="00151023">
        <w:t xml:space="preserve"> population (</w:t>
      </w:r>
      <w:r w:rsidR="003F7B34" w:rsidRPr="00151023">
        <w:t xml:space="preserve">children </w:t>
      </w:r>
      <w:r w:rsidR="00D678B0" w:rsidRPr="00151023">
        <w:t xml:space="preserve">aged 6 months to &lt;5 years old) at the same price as was </w:t>
      </w:r>
      <w:r w:rsidR="003F7B34" w:rsidRPr="00151023">
        <w:t xml:space="preserve">previously </w:t>
      </w:r>
      <w:r w:rsidR="00D678B0" w:rsidRPr="00151023">
        <w:t xml:space="preserve">recommended for QIVc for the </w:t>
      </w:r>
      <w:r w:rsidR="003F7B34" w:rsidRPr="00151023">
        <w:t>current NIP-funded populations</w:t>
      </w:r>
      <w:r w:rsidRPr="00151023">
        <w:t>.</w:t>
      </w:r>
      <w:r w:rsidR="001E4B00" w:rsidRPr="00151023">
        <w:t xml:space="preserve"> </w:t>
      </w:r>
      <w:r w:rsidR="00893BD8" w:rsidRPr="00151023">
        <w:t xml:space="preserve">The PBAC considered that the cost-effectiveness of QIVc would </w:t>
      </w:r>
      <w:r w:rsidR="00704A0A" w:rsidRPr="00151023">
        <w:t xml:space="preserve">also </w:t>
      </w:r>
      <w:r w:rsidR="00893BD8" w:rsidRPr="00151023">
        <w:t xml:space="preserve">be acceptable at this price for </w:t>
      </w:r>
      <w:r w:rsidR="00636086" w:rsidRPr="00151023">
        <w:t xml:space="preserve">the </w:t>
      </w:r>
      <w:r w:rsidR="00EB3451" w:rsidRPr="00151023">
        <w:t xml:space="preserve">extended </w:t>
      </w:r>
      <w:r w:rsidR="00636086" w:rsidRPr="00151023">
        <w:t>population aged 6 months to &lt;5 years old.</w:t>
      </w:r>
    </w:p>
    <w:p w14:paraId="35E4B302" w14:textId="660EF50A" w:rsidR="00851803" w:rsidRPr="00151023" w:rsidRDefault="00851803" w:rsidP="00503366">
      <w:pPr>
        <w:pStyle w:val="3-BodyText"/>
        <w:ind w:left="709"/>
      </w:pPr>
      <w:r w:rsidRPr="00151023">
        <w:t>The PBAC noted that the financial estimates</w:t>
      </w:r>
      <w:r w:rsidR="00E77F38" w:rsidRPr="00151023">
        <w:t xml:space="preserve"> presented in the submission</w:t>
      </w:r>
      <w:r w:rsidRPr="00151023">
        <w:t xml:space="preserve"> assumed that QIVc would substitute </w:t>
      </w:r>
      <w:r w:rsidR="00E77F38" w:rsidRPr="00151023">
        <w:t xml:space="preserve">all </w:t>
      </w:r>
      <w:r w:rsidRPr="00151023">
        <w:t xml:space="preserve">QIVe doses. The PBAC agreed with the pre-PBAC response that complete substitution of QIVe with QIVc was </w:t>
      </w:r>
      <w:r w:rsidR="00EB3451" w:rsidRPr="00151023">
        <w:t>un</w:t>
      </w:r>
      <w:r w:rsidRPr="00151023">
        <w:t>likely</w:t>
      </w:r>
      <w:r w:rsidR="00E77F38" w:rsidRPr="00151023">
        <w:t xml:space="preserve"> and the financial implication</w:t>
      </w:r>
      <w:r w:rsidR="00D01C0A" w:rsidRPr="00151023">
        <w:t>s</w:t>
      </w:r>
      <w:r w:rsidR="00E77F38" w:rsidRPr="00151023">
        <w:t xml:space="preserve"> of listing QIVc for the proposed population would be lower than </w:t>
      </w:r>
      <w:r w:rsidR="00D01C0A" w:rsidRPr="00151023">
        <w:t>estimated</w:t>
      </w:r>
      <w:r w:rsidR="00E77F38" w:rsidRPr="00151023">
        <w:t xml:space="preserve"> in the submission</w:t>
      </w:r>
      <w:r w:rsidRPr="00151023">
        <w:t>.</w:t>
      </w:r>
    </w:p>
    <w:p w14:paraId="125EA712" w14:textId="091458B2" w:rsidR="00A37C70" w:rsidRPr="00151023" w:rsidRDefault="00503366" w:rsidP="00503366">
      <w:pPr>
        <w:pStyle w:val="3-BodyText"/>
        <w:ind w:left="709"/>
      </w:pPr>
      <w:r w:rsidRPr="00151023">
        <w:rPr>
          <w:bCs/>
        </w:rPr>
        <w:t xml:space="preserve">The PBAC noted that this submission is not eligible for an Independent Review as </w:t>
      </w:r>
      <w:r w:rsidRPr="00151023">
        <w:t>independent review is only relevant to requests for PBS listing.</w:t>
      </w:r>
      <w:r w:rsidRPr="00151023" w:rsidDel="00F63B70">
        <w:rPr>
          <w:bCs/>
        </w:rPr>
        <w:t xml:space="preserve"> </w:t>
      </w:r>
    </w:p>
    <w:p w14:paraId="58C6BC03" w14:textId="77777777" w:rsidR="007E12AC" w:rsidRPr="00151023" w:rsidRDefault="007E12AC" w:rsidP="007E12AC">
      <w:pPr>
        <w:spacing w:before="240"/>
        <w:rPr>
          <w:rFonts w:asciiTheme="minorHAnsi" w:hAnsiTheme="minorHAnsi"/>
          <w:b/>
          <w:bCs/>
          <w:snapToGrid w:val="0"/>
        </w:rPr>
      </w:pPr>
      <w:r w:rsidRPr="00151023">
        <w:rPr>
          <w:rFonts w:asciiTheme="minorHAnsi" w:hAnsiTheme="minorHAnsi"/>
          <w:b/>
          <w:bCs/>
          <w:snapToGrid w:val="0"/>
        </w:rPr>
        <w:t>Outcome:</w:t>
      </w:r>
    </w:p>
    <w:p w14:paraId="5B2796E8" w14:textId="06306A57" w:rsidR="007E12AC" w:rsidRPr="00151023" w:rsidRDefault="007E12AC" w:rsidP="007E12AC">
      <w:pPr>
        <w:rPr>
          <w:rFonts w:asciiTheme="minorHAnsi" w:hAnsiTheme="minorHAnsi"/>
          <w:bCs/>
          <w:snapToGrid w:val="0"/>
        </w:rPr>
      </w:pPr>
      <w:r w:rsidRPr="00151023">
        <w:rPr>
          <w:rFonts w:asciiTheme="minorHAnsi" w:hAnsiTheme="minorHAnsi"/>
          <w:bCs/>
          <w:snapToGrid w:val="0"/>
        </w:rPr>
        <w:t xml:space="preserve">Recommended </w:t>
      </w:r>
    </w:p>
    <w:p w14:paraId="18D517A1" w14:textId="77777777" w:rsidR="007E12AC" w:rsidRPr="00151023" w:rsidRDefault="007E12AC" w:rsidP="007E12AC">
      <w:pPr>
        <w:widowControl w:val="0"/>
        <w:rPr>
          <w:rFonts w:asciiTheme="minorHAnsi" w:hAnsiTheme="minorHAnsi"/>
          <w:b/>
          <w:bCs/>
          <w:snapToGrid w:val="0"/>
        </w:rPr>
      </w:pPr>
    </w:p>
    <w:bookmarkEnd w:id="41"/>
    <w:p w14:paraId="6E84802A" w14:textId="77777777" w:rsidR="007E12AC" w:rsidRPr="00151023" w:rsidRDefault="007E12AC" w:rsidP="00EE1D5D">
      <w:pPr>
        <w:pStyle w:val="2-SectionHeading"/>
        <w:numPr>
          <w:ilvl w:val="0"/>
          <w:numId w:val="1"/>
        </w:numPr>
        <w:rPr>
          <w:b w:val="0"/>
          <w:bCs/>
          <w:iCs/>
        </w:rPr>
      </w:pPr>
      <w:r w:rsidRPr="00151023">
        <w:rPr>
          <w:bCs/>
        </w:rPr>
        <w:t>Recommended listing</w:t>
      </w:r>
    </w:p>
    <w:p w14:paraId="272452E3" w14:textId="77777777" w:rsidR="00745A5D" w:rsidRPr="00151023" w:rsidRDefault="00745A5D" w:rsidP="00745A5D">
      <w:pPr>
        <w:widowControl w:val="0"/>
        <w:numPr>
          <w:ilvl w:val="1"/>
          <w:numId w:val="1"/>
        </w:numPr>
        <w:spacing w:before="120" w:after="120"/>
        <w:rPr>
          <w:b/>
          <w:bCs/>
          <w:snapToGrid w:val="0"/>
        </w:rPr>
      </w:pPr>
      <w:r w:rsidRPr="00151023">
        <w:rPr>
          <w:bCs/>
          <w:snapToGrid w:val="0"/>
        </w:rPr>
        <w:t xml:space="preserve">Add new item to the Determination: </w:t>
      </w:r>
    </w:p>
    <w:tbl>
      <w:tblPr>
        <w:tblW w:w="5000" w:type="pct"/>
        <w:tblInd w:w="28" w:type="dxa"/>
        <w:tblCellMar>
          <w:left w:w="28" w:type="dxa"/>
          <w:right w:w="28" w:type="dxa"/>
        </w:tblCellMar>
        <w:tblLook w:val="0000" w:firstRow="0" w:lastRow="0" w:firstColumn="0" w:lastColumn="0" w:noHBand="0" w:noVBand="0"/>
      </w:tblPr>
      <w:tblGrid>
        <w:gridCol w:w="2100"/>
        <w:gridCol w:w="1415"/>
        <w:gridCol w:w="1419"/>
        <w:gridCol w:w="4093"/>
      </w:tblGrid>
      <w:tr w:rsidR="00745A5D" w:rsidRPr="00151023" w14:paraId="48546674" w14:textId="77777777" w:rsidTr="00E95128">
        <w:trPr>
          <w:cantSplit/>
          <w:trHeight w:val="463"/>
        </w:trPr>
        <w:tc>
          <w:tcPr>
            <w:tcW w:w="1163" w:type="pct"/>
            <w:tcBorders>
              <w:top w:val="single" w:sz="4" w:space="0" w:color="auto"/>
              <w:bottom w:val="single" w:sz="4" w:space="0" w:color="auto"/>
            </w:tcBorders>
            <w:vAlign w:val="center"/>
          </w:tcPr>
          <w:p w14:paraId="712DDEB4" w14:textId="77777777" w:rsidR="00745A5D" w:rsidRPr="00151023" w:rsidRDefault="00745A5D" w:rsidP="00E95128">
            <w:pPr>
              <w:keepNext/>
              <w:keepLines/>
              <w:rPr>
                <w:rFonts w:ascii="Arial Narrow" w:hAnsi="Arial Narrow"/>
                <w:b/>
                <w:sz w:val="20"/>
              </w:rPr>
            </w:pPr>
            <w:r w:rsidRPr="00151023">
              <w:rPr>
                <w:rFonts w:ascii="Arial Narrow" w:hAnsi="Arial Narrow"/>
                <w:b/>
                <w:sz w:val="20"/>
              </w:rPr>
              <w:t>Vaccine and the circumstances in which vaccine may be provided</w:t>
            </w:r>
          </w:p>
        </w:tc>
        <w:tc>
          <w:tcPr>
            <w:tcW w:w="784" w:type="pct"/>
            <w:tcBorders>
              <w:top w:val="single" w:sz="4" w:space="0" w:color="auto"/>
              <w:bottom w:val="single" w:sz="4" w:space="0" w:color="auto"/>
            </w:tcBorders>
            <w:vAlign w:val="center"/>
          </w:tcPr>
          <w:p w14:paraId="07C586CC" w14:textId="77777777" w:rsidR="00745A5D" w:rsidRPr="00151023" w:rsidRDefault="00745A5D" w:rsidP="00E95128">
            <w:pPr>
              <w:keepNext/>
              <w:keepLines/>
              <w:jc w:val="center"/>
              <w:rPr>
                <w:rFonts w:ascii="Arial Narrow" w:hAnsi="Arial Narrow"/>
                <w:b/>
                <w:sz w:val="20"/>
              </w:rPr>
            </w:pPr>
            <w:r w:rsidRPr="00151023">
              <w:rPr>
                <w:rFonts w:ascii="Arial Narrow" w:hAnsi="Arial Narrow"/>
                <w:b/>
                <w:sz w:val="20"/>
              </w:rPr>
              <w:t>Brand</w:t>
            </w:r>
          </w:p>
        </w:tc>
        <w:tc>
          <w:tcPr>
            <w:tcW w:w="786" w:type="pct"/>
            <w:tcBorders>
              <w:top w:val="single" w:sz="4" w:space="0" w:color="auto"/>
              <w:bottom w:val="single" w:sz="4" w:space="0" w:color="auto"/>
            </w:tcBorders>
            <w:vAlign w:val="center"/>
          </w:tcPr>
          <w:p w14:paraId="3FD0E6B3" w14:textId="77777777" w:rsidR="00745A5D" w:rsidRPr="00151023" w:rsidRDefault="00745A5D" w:rsidP="00E95128">
            <w:pPr>
              <w:keepNext/>
              <w:keepLines/>
              <w:jc w:val="center"/>
              <w:rPr>
                <w:rFonts w:ascii="Arial Narrow" w:hAnsi="Arial Narrow"/>
                <w:b/>
                <w:sz w:val="20"/>
              </w:rPr>
            </w:pPr>
            <w:r w:rsidRPr="00151023">
              <w:rPr>
                <w:rFonts w:ascii="Arial Narrow" w:hAnsi="Arial Narrow"/>
                <w:b/>
                <w:sz w:val="20"/>
              </w:rPr>
              <w:t>Formulation</w:t>
            </w:r>
          </w:p>
        </w:tc>
        <w:tc>
          <w:tcPr>
            <w:tcW w:w="2267" w:type="pct"/>
            <w:tcBorders>
              <w:top w:val="single" w:sz="4" w:space="0" w:color="auto"/>
              <w:bottom w:val="single" w:sz="4" w:space="0" w:color="auto"/>
            </w:tcBorders>
            <w:vAlign w:val="center"/>
          </w:tcPr>
          <w:p w14:paraId="4C2F2968" w14:textId="77777777" w:rsidR="00745A5D" w:rsidRPr="00151023" w:rsidRDefault="00745A5D" w:rsidP="00E95128">
            <w:pPr>
              <w:keepNext/>
              <w:keepLines/>
              <w:jc w:val="center"/>
              <w:rPr>
                <w:rFonts w:ascii="Arial Narrow" w:hAnsi="Arial Narrow"/>
                <w:b/>
                <w:sz w:val="20"/>
              </w:rPr>
            </w:pPr>
            <w:r w:rsidRPr="00151023">
              <w:rPr>
                <w:rFonts w:ascii="Arial Narrow" w:hAnsi="Arial Narrow"/>
                <w:b/>
                <w:sz w:val="20"/>
              </w:rPr>
              <w:t>Number and timing of doses</w:t>
            </w:r>
          </w:p>
        </w:tc>
      </w:tr>
      <w:tr w:rsidR="00745A5D" w:rsidRPr="00151023" w14:paraId="73B743EF" w14:textId="77777777" w:rsidTr="00E95128">
        <w:trPr>
          <w:cantSplit/>
          <w:trHeight w:val="567"/>
        </w:trPr>
        <w:tc>
          <w:tcPr>
            <w:tcW w:w="1163" w:type="pct"/>
            <w:vAlign w:val="center"/>
          </w:tcPr>
          <w:p w14:paraId="68EB4AA7" w14:textId="77777777" w:rsidR="00745A5D" w:rsidRPr="00151023" w:rsidRDefault="00745A5D" w:rsidP="00E95128">
            <w:pPr>
              <w:keepNext/>
              <w:keepLines/>
              <w:rPr>
                <w:rFonts w:ascii="Arial Narrow" w:hAnsi="Arial Narrow"/>
                <w:sz w:val="20"/>
              </w:rPr>
            </w:pPr>
            <w:r w:rsidRPr="00151023">
              <w:rPr>
                <w:rFonts w:ascii="Arial Narrow" w:hAnsi="Arial Narrow"/>
                <w:sz w:val="20"/>
              </w:rPr>
              <w:t>Influenza</w:t>
            </w:r>
          </w:p>
        </w:tc>
        <w:tc>
          <w:tcPr>
            <w:tcW w:w="784" w:type="pct"/>
            <w:vAlign w:val="center"/>
          </w:tcPr>
          <w:p w14:paraId="259BD2B2" w14:textId="77777777" w:rsidR="00745A5D" w:rsidRPr="00151023" w:rsidRDefault="00745A5D" w:rsidP="00E95128">
            <w:pPr>
              <w:keepNext/>
              <w:keepLines/>
              <w:jc w:val="center"/>
              <w:rPr>
                <w:rFonts w:ascii="Arial Narrow" w:hAnsi="Arial Narrow"/>
                <w:sz w:val="20"/>
              </w:rPr>
            </w:pPr>
            <w:r w:rsidRPr="00151023">
              <w:rPr>
                <w:rFonts w:ascii="Arial Narrow" w:hAnsi="Arial Narrow"/>
                <w:sz w:val="20"/>
              </w:rPr>
              <w:t>Flucelvax Quad</w:t>
            </w:r>
          </w:p>
        </w:tc>
        <w:tc>
          <w:tcPr>
            <w:tcW w:w="786" w:type="pct"/>
            <w:vAlign w:val="center"/>
          </w:tcPr>
          <w:p w14:paraId="65EEAAF6" w14:textId="77777777" w:rsidR="00745A5D" w:rsidRPr="00151023" w:rsidRDefault="00745A5D" w:rsidP="00E95128">
            <w:pPr>
              <w:keepNext/>
              <w:keepLines/>
              <w:jc w:val="center"/>
              <w:rPr>
                <w:rFonts w:ascii="Arial Narrow" w:hAnsi="Arial Narrow"/>
                <w:sz w:val="20"/>
              </w:rPr>
            </w:pPr>
            <w:r w:rsidRPr="00151023">
              <w:rPr>
                <w:rFonts w:ascii="Arial Narrow" w:hAnsi="Arial Narrow"/>
                <w:sz w:val="20"/>
              </w:rPr>
              <w:t>Injection (0.5mL)</w:t>
            </w:r>
          </w:p>
        </w:tc>
        <w:tc>
          <w:tcPr>
            <w:tcW w:w="2267" w:type="pct"/>
            <w:vAlign w:val="center"/>
          </w:tcPr>
          <w:p w14:paraId="10219755" w14:textId="77777777" w:rsidR="00745A5D" w:rsidRPr="00151023" w:rsidRDefault="00745A5D" w:rsidP="00E95128">
            <w:pPr>
              <w:keepNext/>
              <w:keepLines/>
              <w:rPr>
                <w:rFonts w:ascii="Arial Narrow" w:hAnsi="Arial Narrow"/>
                <w:sz w:val="20"/>
              </w:rPr>
            </w:pPr>
            <w:r w:rsidRPr="00151023">
              <w:rPr>
                <w:rFonts w:ascii="Arial Narrow" w:hAnsi="Arial Narrow"/>
                <w:sz w:val="20"/>
              </w:rPr>
              <w:t>For children at least 6 months but less than 9 years, 2 doses at least 1 month apart for the first vaccination and 1 dose per calendar year after that. For persons 9 years and less than 65 years, 1 dose per calendar year.</w:t>
            </w:r>
          </w:p>
        </w:tc>
      </w:tr>
      <w:tr w:rsidR="00745A5D" w:rsidRPr="00151023" w14:paraId="1BDCE90C" w14:textId="77777777" w:rsidTr="00E95128">
        <w:trPr>
          <w:cantSplit/>
          <w:trHeight w:val="567"/>
        </w:trPr>
        <w:tc>
          <w:tcPr>
            <w:tcW w:w="5000" w:type="pct"/>
            <w:gridSpan w:val="4"/>
            <w:vAlign w:val="center"/>
          </w:tcPr>
          <w:p w14:paraId="58B62088" w14:textId="77777777" w:rsidR="00745A5D" w:rsidRPr="00151023" w:rsidRDefault="00745A5D" w:rsidP="00E95128">
            <w:pPr>
              <w:keepNext/>
              <w:keepLines/>
              <w:rPr>
                <w:rFonts w:ascii="Arial Narrow" w:hAnsi="Arial Narrow"/>
                <w:sz w:val="20"/>
              </w:rPr>
            </w:pPr>
            <w:r w:rsidRPr="00151023">
              <w:rPr>
                <w:rFonts w:ascii="Arial Narrow" w:hAnsi="Arial Narrow"/>
                <w:sz w:val="20"/>
              </w:rPr>
              <w:t>Circumstances</w:t>
            </w:r>
          </w:p>
          <w:p w14:paraId="5E0AF339" w14:textId="77777777" w:rsidR="00745A5D" w:rsidRPr="00151023" w:rsidRDefault="00745A5D" w:rsidP="00E95128">
            <w:pPr>
              <w:keepNext/>
              <w:keepLines/>
              <w:rPr>
                <w:rFonts w:ascii="Arial Narrow" w:hAnsi="Arial Narrow"/>
                <w:sz w:val="20"/>
              </w:rPr>
            </w:pPr>
            <w:r w:rsidRPr="00151023">
              <w:rPr>
                <w:rFonts w:ascii="Arial Narrow" w:hAnsi="Arial Narrow"/>
                <w:sz w:val="20"/>
              </w:rPr>
              <w:t>Vaccine may be provided to any of the following:</w:t>
            </w:r>
          </w:p>
          <w:p w14:paraId="6521A82C" w14:textId="77777777" w:rsidR="00745A5D" w:rsidRPr="00151023" w:rsidRDefault="00745A5D" w:rsidP="00E95128">
            <w:pPr>
              <w:keepNext/>
              <w:keepLines/>
              <w:numPr>
                <w:ilvl w:val="0"/>
                <w:numId w:val="19"/>
              </w:numPr>
              <w:ind w:left="649"/>
              <w:jc w:val="left"/>
              <w:rPr>
                <w:rFonts w:ascii="Arial Narrow" w:hAnsi="Arial Narrow"/>
                <w:sz w:val="20"/>
              </w:rPr>
            </w:pPr>
            <w:r w:rsidRPr="00151023">
              <w:rPr>
                <w:rFonts w:ascii="Arial Narrow" w:hAnsi="Arial Narrow"/>
                <w:sz w:val="20"/>
              </w:rPr>
              <w:t>a child who is at least 6 months old but less than 5 years old; or</w:t>
            </w:r>
          </w:p>
          <w:p w14:paraId="573D915A" w14:textId="77777777" w:rsidR="00745A5D" w:rsidRPr="00151023" w:rsidRDefault="00745A5D" w:rsidP="00E95128">
            <w:pPr>
              <w:keepNext/>
              <w:keepLines/>
              <w:numPr>
                <w:ilvl w:val="0"/>
                <w:numId w:val="19"/>
              </w:numPr>
              <w:ind w:left="649"/>
              <w:jc w:val="left"/>
              <w:rPr>
                <w:rFonts w:ascii="Arial Narrow" w:hAnsi="Arial Narrow"/>
                <w:sz w:val="20"/>
              </w:rPr>
            </w:pPr>
            <w:r w:rsidRPr="00151023">
              <w:rPr>
                <w:rFonts w:ascii="Arial Narrow" w:hAnsi="Arial Narrow"/>
                <w:sz w:val="20"/>
              </w:rPr>
              <w:t xml:space="preserve">an Aboriginal or Torres Strait Islander person who is at least 6 months old but less than 65 years old; or </w:t>
            </w:r>
          </w:p>
          <w:p w14:paraId="6FFDFCB7" w14:textId="77777777" w:rsidR="00745A5D" w:rsidRPr="00151023" w:rsidRDefault="00745A5D" w:rsidP="00E95128">
            <w:pPr>
              <w:keepNext/>
              <w:keepLines/>
              <w:numPr>
                <w:ilvl w:val="0"/>
                <w:numId w:val="19"/>
              </w:numPr>
              <w:ind w:left="649" w:hanging="357"/>
              <w:jc w:val="left"/>
              <w:rPr>
                <w:rFonts w:ascii="Arial Narrow" w:hAnsi="Arial Narrow"/>
                <w:sz w:val="20"/>
              </w:rPr>
            </w:pPr>
            <w:r w:rsidRPr="00151023">
              <w:rPr>
                <w:rFonts w:ascii="Arial Narrow" w:hAnsi="Arial Narrow"/>
                <w:sz w:val="20"/>
              </w:rPr>
              <w:t>a person who is at least 6 months old but less than 65 years old and who:</w:t>
            </w:r>
          </w:p>
          <w:p w14:paraId="7DD4DC35" w14:textId="77777777" w:rsidR="00745A5D" w:rsidRPr="00151023" w:rsidRDefault="00745A5D" w:rsidP="00E95128">
            <w:pPr>
              <w:keepNext/>
              <w:keepLines/>
              <w:numPr>
                <w:ilvl w:val="0"/>
                <w:numId w:val="20"/>
              </w:numPr>
              <w:ind w:left="933"/>
              <w:jc w:val="left"/>
              <w:rPr>
                <w:rFonts w:ascii="Arial Narrow" w:hAnsi="Arial Narrow"/>
                <w:sz w:val="20"/>
              </w:rPr>
            </w:pPr>
            <w:r w:rsidRPr="00151023">
              <w:rPr>
                <w:rFonts w:ascii="Arial Narrow" w:hAnsi="Arial Narrow"/>
                <w:sz w:val="20"/>
              </w:rPr>
              <w:t>has cardiac disease including cyanotic congenital heart disease, coronary artery disease and congestive heart failure; or</w:t>
            </w:r>
          </w:p>
          <w:p w14:paraId="6A10D476" w14:textId="77777777" w:rsidR="00745A5D" w:rsidRPr="00151023" w:rsidRDefault="00745A5D" w:rsidP="00E95128">
            <w:pPr>
              <w:keepNext/>
              <w:keepLines/>
              <w:numPr>
                <w:ilvl w:val="0"/>
                <w:numId w:val="20"/>
              </w:numPr>
              <w:ind w:left="933"/>
              <w:jc w:val="left"/>
              <w:rPr>
                <w:rFonts w:ascii="Arial Narrow" w:hAnsi="Arial Narrow"/>
                <w:sz w:val="20"/>
              </w:rPr>
            </w:pPr>
            <w:r w:rsidRPr="00151023">
              <w:rPr>
                <w:rFonts w:ascii="Arial Narrow" w:hAnsi="Arial Narrow"/>
                <w:sz w:val="20"/>
              </w:rPr>
              <w:t>has a chronic respiratory condition including suppurative lung disease, bronchiectasis, cystic fibrosis, chronic obstructive pulmonary disease, chronic emphysema and severe asthma; or</w:t>
            </w:r>
          </w:p>
          <w:p w14:paraId="22B3B2C6" w14:textId="77777777" w:rsidR="00745A5D" w:rsidRPr="00151023" w:rsidRDefault="00745A5D" w:rsidP="00E95128">
            <w:pPr>
              <w:keepNext/>
              <w:keepLines/>
              <w:numPr>
                <w:ilvl w:val="0"/>
                <w:numId w:val="20"/>
              </w:numPr>
              <w:ind w:left="933"/>
              <w:jc w:val="left"/>
              <w:rPr>
                <w:rFonts w:ascii="Arial Narrow" w:hAnsi="Arial Narrow"/>
                <w:sz w:val="20"/>
              </w:rPr>
            </w:pPr>
            <w:r w:rsidRPr="00151023">
              <w:rPr>
                <w:rFonts w:ascii="Arial Narrow" w:hAnsi="Arial Narrow"/>
                <w:sz w:val="20"/>
              </w:rPr>
              <w:t>has another chronic illness requiring regular medical follow-up or hospitalisation in the preceding year, including diabetes mellitus, chronic metabolic diseases, chronic renal failure, haemoglobinopathies and impaired immunity (including drug-induced immune impairment); or</w:t>
            </w:r>
          </w:p>
          <w:p w14:paraId="62DE0BBA" w14:textId="77777777" w:rsidR="00745A5D" w:rsidRPr="00151023" w:rsidRDefault="00745A5D" w:rsidP="00E95128">
            <w:pPr>
              <w:keepNext/>
              <w:keepLines/>
              <w:numPr>
                <w:ilvl w:val="0"/>
                <w:numId w:val="20"/>
              </w:numPr>
              <w:ind w:left="933"/>
              <w:jc w:val="left"/>
              <w:rPr>
                <w:rFonts w:ascii="Arial Narrow" w:hAnsi="Arial Narrow"/>
                <w:sz w:val="20"/>
              </w:rPr>
            </w:pPr>
            <w:r w:rsidRPr="00151023">
              <w:rPr>
                <w:rFonts w:ascii="Arial Narrow" w:hAnsi="Arial Narrow"/>
                <w:sz w:val="20"/>
              </w:rPr>
              <w:t>has a chronic neurological condition, including multiple sclerosis, spinal cord injuries, seizure disorders or other neuromuscular disorders; or</w:t>
            </w:r>
          </w:p>
          <w:p w14:paraId="7B74C871" w14:textId="77777777" w:rsidR="00745A5D" w:rsidRPr="00151023" w:rsidRDefault="00745A5D" w:rsidP="00E95128">
            <w:pPr>
              <w:keepNext/>
              <w:keepLines/>
              <w:numPr>
                <w:ilvl w:val="0"/>
                <w:numId w:val="20"/>
              </w:numPr>
              <w:ind w:left="933"/>
              <w:jc w:val="left"/>
              <w:rPr>
                <w:rFonts w:ascii="Arial Narrow" w:hAnsi="Arial Narrow"/>
                <w:sz w:val="20"/>
              </w:rPr>
            </w:pPr>
            <w:r w:rsidRPr="00151023">
              <w:rPr>
                <w:rFonts w:ascii="Arial Narrow" w:hAnsi="Arial Narrow"/>
                <w:sz w:val="20"/>
              </w:rPr>
              <w:t>has impaired immunity, including HIV infection; or</w:t>
            </w:r>
          </w:p>
          <w:p w14:paraId="4A3A8A24" w14:textId="77777777" w:rsidR="00745A5D" w:rsidRPr="00151023" w:rsidRDefault="00745A5D" w:rsidP="00E95128">
            <w:pPr>
              <w:keepNext/>
              <w:keepLines/>
              <w:numPr>
                <w:ilvl w:val="0"/>
                <w:numId w:val="19"/>
              </w:numPr>
              <w:ind w:left="649" w:hanging="357"/>
              <w:jc w:val="left"/>
              <w:rPr>
                <w:rFonts w:ascii="Arial Narrow" w:hAnsi="Arial Narrow"/>
                <w:sz w:val="20"/>
              </w:rPr>
            </w:pPr>
            <w:r w:rsidRPr="00151023">
              <w:rPr>
                <w:rFonts w:ascii="Arial Narrow" w:hAnsi="Arial Narrow"/>
                <w:sz w:val="20"/>
              </w:rPr>
              <w:t>a person who is at least 6 months old but is less than 11 years old and is receiving long-term aspirin therapy; or</w:t>
            </w:r>
          </w:p>
          <w:p w14:paraId="42D260EB" w14:textId="77777777" w:rsidR="00745A5D" w:rsidRPr="00151023" w:rsidRDefault="00745A5D" w:rsidP="00E95128">
            <w:pPr>
              <w:keepNext/>
              <w:keepLines/>
              <w:numPr>
                <w:ilvl w:val="0"/>
                <w:numId w:val="19"/>
              </w:numPr>
              <w:ind w:left="649" w:hanging="357"/>
              <w:jc w:val="left"/>
              <w:rPr>
                <w:rFonts w:ascii="Arial Narrow" w:hAnsi="Arial Narrow"/>
                <w:sz w:val="20"/>
              </w:rPr>
            </w:pPr>
            <w:r w:rsidRPr="00151023">
              <w:rPr>
                <w:rFonts w:ascii="Arial Narrow" w:hAnsi="Arial Narrow"/>
                <w:sz w:val="20"/>
              </w:rPr>
              <w:t>a woman who is pregnant.</w:t>
            </w:r>
          </w:p>
        </w:tc>
      </w:tr>
    </w:tbl>
    <w:p w14:paraId="3E8227FC" w14:textId="04E52464" w:rsidR="007E12AC" w:rsidRPr="00151023" w:rsidRDefault="007E12AC" w:rsidP="007E12AC">
      <w:pPr>
        <w:rPr>
          <w:rFonts w:asciiTheme="minorHAnsi" w:hAnsiTheme="minorHAnsi"/>
          <w:bCs/>
          <w:snapToGrid w:val="0"/>
        </w:rPr>
      </w:pPr>
    </w:p>
    <w:p w14:paraId="0A08F5FD" w14:textId="7ED5D999" w:rsidR="007E12AC" w:rsidRDefault="00745A5D" w:rsidP="00EF312E">
      <w:pPr>
        <w:rPr>
          <w:b/>
          <w:i/>
        </w:rPr>
      </w:pPr>
      <w:r w:rsidRPr="00151023">
        <w:rPr>
          <w:b/>
          <w:i/>
        </w:rPr>
        <w:t>This restriction may be subject to further review. Should there be any changes made to the restriction the sponsor will be informed.</w:t>
      </w:r>
    </w:p>
    <w:p w14:paraId="0A694F65" w14:textId="77777777" w:rsidR="00014B21" w:rsidRDefault="00014B21" w:rsidP="00EF312E">
      <w:pPr>
        <w:rPr>
          <w:b/>
          <w:i/>
        </w:rPr>
      </w:pPr>
    </w:p>
    <w:p w14:paraId="49A5DF92" w14:textId="77777777" w:rsidR="00014B21" w:rsidRPr="00D4216F" w:rsidRDefault="00014B21" w:rsidP="00014B21">
      <w:pPr>
        <w:pStyle w:val="2-SectionHeading"/>
        <w:keepLines/>
        <w:numPr>
          <w:ilvl w:val="0"/>
          <w:numId w:val="1"/>
        </w:numPr>
      </w:pPr>
      <w:r w:rsidRPr="00C07617">
        <w:t>Context for Decision</w:t>
      </w:r>
    </w:p>
    <w:p w14:paraId="7B7EBB67" w14:textId="77777777" w:rsidR="00014B21" w:rsidRPr="00D4216F" w:rsidRDefault="00014B21" w:rsidP="00014B21">
      <w:pPr>
        <w:keepNext/>
        <w:keepLines/>
        <w:widowControl w:val="0"/>
        <w:spacing w:after="120"/>
        <w:ind w:left="720"/>
        <w:rPr>
          <w:rFonts w:asciiTheme="minorHAnsi" w:hAnsiTheme="minorHAnsi"/>
          <w:bCs/>
          <w:snapToGrid w:val="0"/>
        </w:rPr>
      </w:pPr>
      <w:r w:rsidRPr="00D4216F">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7E856AD" w14:textId="77777777" w:rsidR="00014B21" w:rsidRPr="00D4216F" w:rsidRDefault="00014B21" w:rsidP="00014B21">
      <w:pPr>
        <w:pStyle w:val="2-SectionHeading"/>
        <w:keepLines/>
        <w:numPr>
          <w:ilvl w:val="0"/>
          <w:numId w:val="1"/>
        </w:numPr>
      </w:pPr>
      <w:r>
        <w:t>Sponsor’s Comment</w:t>
      </w:r>
    </w:p>
    <w:p w14:paraId="639E422C" w14:textId="77777777" w:rsidR="00014B21" w:rsidRPr="00D4216F" w:rsidRDefault="00014B21" w:rsidP="00014B21">
      <w:pPr>
        <w:keepNext/>
        <w:keepLines/>
        <w:widowControl w:val="0"/>
        <w:spacing w:after="120"/>
        <w:ind w:firstLine="720"/>
        <w:rPr>
          <w:rFonts w:asciiTheme="minorHAnsi" w:hAnsiTheme="minorHAnsi"/>
          <w:bCs/>
          <w:snapToGrid w:val="0"/>
        </w:rPr>
      </w:pPr>
      <w:r w:rsidRPr="00D4216F">
        <w:rPr>
          <w:rFonts w:asciiTheme="minorHAnsi" w:hAnsiTheme="minorHAnsi"/>
          <w:bCs/>
          <w:snapToGrid w:val="0"/>
        </w:rPr>
        <w:t>The sponsor had no comment.</w:t>
      </w:r>
    </w:p>
    <w:p w14:paraId="33349824" w14:textId="77777777" w:rsidR="00014B21" w:rsidRPr="00EF312E" w:rsidRDefault="00014B21" w:rsidP="00EF312E">
      <w:pPr>
        <w:rPr>
          <w:b/>
          <w:i/>
        </w:rPr>
      </w:pPr>
    </w:p>
    <w:sectPr w:rsidR="00014B21" w:rsidRPr="00EF312E" w:rsidSect="006475E3">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2808" w14:textId="77777777" w:rsidR="0079145B" w:rsidRDefault="0079145B" w:rsidP="00124A51">
      <w:r>
        <w:separator/>
      </w:r>
    </w:p>
    <w:p w14:paraId="6D586BFB" w14:textId="77777777" w:rsidR="0079145B" w:rsidRDefault="0079145B"/>
  </w:endnote>
  <w:endnote w:type="continuationSeparator" w:id="0">
    <w:p w14:paraId="76125577" w14:textId="77777777" w:rsidR="0079145B" w:rsidRDefault="0079145B" w:rsidP="00124A51">
      <w:r>
        <w:continuationSeparator/>
      </w:r>
    </w:p>
    <w:p w14:paraId="3865ACD8" w14:textId="77777777" w:rsidR="0079145B" w:rsidRDefault="0079145B"/>
  </w:endnote>
  <w:endnote w:type="continuationNotice" w:id="1">
    <w:p w14:paraId="671C8AE4" w14:textId="77777777" w:rsidR="0079145B" w:rsidRDefault="00791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C27C" w14:textId="77777777" w:rsidR="00023F10" w:rsidRDefault="00023F10">
    <w:pPr>
      <w:pStyle w:val="Footer"/>
    </w:pPr>
  </w:p>
  <w:p w14:paraId="7BC8638A" w14:textId="77777777" w:rsidR="007E12AC" w:rsidRDefault="007E12AC"/>
  <w:p w14:paraId="7E20C136" w14:textId="77777777" w:rsidR="007E12AC" w:rsidRDefault="007E1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688" w14:textId="77777777" w:rsidR="00575AA1" w:rsidRDefault="00575AA1" w:rsidP="00753B29">
    <w:pPr>
      <w:pStyle w:val="Footer"/>
      <w:jc w:val="center"/>
    </w:pPr>
  </w:p>
  <w:bookmarkStart w:id="44" w:name="_Hlk76375156"/>
  <w:p w14:paraId="4128D726" w14:textId="03B81C6F" w:rsidR="00575AA1" w:rsidRPr="00023F10" w:rsidRDefault="00023F10" w:rsidP="00023F10">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44"/>
  </w:p>
  <w:p w14:paraId="6D9D181C" w14:textId="77777777" w:rsidR="007E12AC" w:rsidRDefault="007E12AC"/>
  <w:p w14:paraId="2E156186" w14:textId="77777777" w:rsidR="007E12AC" w:rsidRDefault="007E1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7E8E" w14:textId="77777777" w:rsidR="00854D81" w:rsidRDefault="0085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B926" w14:textId="77777777" w:rsidR="0079145B" w:rsidRDefault="0079145B" w:rsidP="00124A51">
      <w:r>
        <w:separator/>
      </w:r>
    </w:p>
  </w:footnote>
  <w:footnote w:type="continuationSeparator" w:id="0">
    <w:p w14:paraId="123FD140" w14:textId="77777777" w:rsidR="0079145B" w:rsidRDefault="0079145B" w:rsidP="00124A51">
      <w:r>
        <w:continuationSeparator/>
      </w:r>
    </w:p>
    <w:p w14:paraId="354B413E" w14:textId="77777777" w:rsidR="0079145B" w:rsidRDefault="0079145B"/>
  </w:footnote>
  <w:footnote w:type="continuationNotice" w:id="1">
    <w:p w14:paraId="466196E3" w14:textId="77777777" w:rsidR="0079145B" w:rsidRDefault="0079145B"/>
  </w:footnote>
  <w:footnote w:id="2">
    <w:p w14:paraId="20F48137" w14:textId="266ECAF0" w:rsidR="00CD6915" w:rsidRPr="001959B7" w:rsidRDefault="00CD6915" w:rsidP="00CF75BC">
      <w:pPr>
        <w:pStyle w:val="FootnoteText"/>
        <w:rPr>
          <w:rFonts w:asciiTheme="minorHAnsi" w:hAnsiTheme="minorHAnsi" w:cstheme="minorHAnsi"/>
        </w:rPr>
      </w:pPr>
      <w:r w:rsidRPr="001959B7">
        <w:rPr>
          <w:rStyle w:val="FootnoteReference"/>
          <w:rFonts w:asciiTheme="minorHAnsi" w:hAnsiTheme="minorHAnsi" w:cstheme="minorHAnsi"/>
        </w:rPr>
        <w:footnoteRef/>
      </w:r>
      <w:r w:rsidRPr="001959B7">
        <w:rPr>
          <w:rFonts w:asciiTheme="minorHAnsi" w:hAnsiTheme="minorHAnsi" w:cstheme="minorHAnsi"/>
        </w:rPr>
        <w:t xml:space="preserve"> Rajaram S et al (2020). Influenza vaccines: the potential benefits of cell-culture isolation and manufacturing. Therapeutic advances in vaccines and immunotherapy. </w:t>
      </w:r>
    </w:p>
  </w:footnote>
  <w:footnote w:id="3">
    <w:p w14:paraId="11A36266" w14:textId="77777777" w:rsidR="001B45D8" w:rsidRPr="001959B7" w:rsidRDefault="001B45D8" w:rsidP="001B45D8">
      <w:pPr>
        <w:pStyle w:val="FootnoteText"/>
        <w:rPr>
          <w:rFonts w:asciiTheme="minorHAnsi" w:hAnsiTheme="minorHAnsi" w:cstheme="minorHAnsi"/>
        </w:rPr>
      </w:pPr>
      <w:r w:rsidRPr="001959B7">
        <w:rPr>
          <w:rStyle w:val="FootnoteReference"/>
          <w:rFonts w:asciiTheme="minorHAnsi" w:hAnsiTheme="minorHAnsi" w:cstheme="minorHAnsi"/>
        </w:rPr>
        <w:footnoteRef/>
      </w:r>
      <w:r w:rsidRPr="001959B7">
        <w:rPr>
          <w:rFonts w:asciiTheme="minorHAnsi" w:hAnsiTheme="minorHAnsi" w:cstheme="minorHAnsi"/>
        </w:rPr>
        <w:t xml:space="preserve"> Center for Disease Control and Prevention (CDC). People at Higher Risk of Flu Complications. Available online </w:t>
      </w:r>
      <w:hyperlink r:id="rId1" w:history="1">
        <w:r w:rsidRPr="001959B7">
          <w:rPr>
            <w:rStyle w:val="Hyperlink"/>
            <w:rFonts w:asciiTheme="minorHAnsi" w:hAnsiTheme="minorHAnsi" w:cstheme="minorHAnsi"/>
            <w:color w:val="auto"/>
            <w:u w:val="none"/>
          </w:rPr>
          <w:t>https://www.cdc.gov/flu/highrisk/infantcare.htm</w:t>
        </w:r>
      </w:hyperlink>
      <w:r w:rsidRPr="001959B7">
        <w:rPr>
          <w:rFonts w:asciiTheme="minorHAnsi" w:hAnsiTheme="minorHAnsi" w:cstheme="minorHAnsi"/>
        </w:rPr>
        <w:t xml:space="preserve"> (accessed on 28 November 2023)</w:t>
      </w:r>
    </w:p>
  </w:footnote>
  <w:footnote w:id="4">
    <w:p w14:paraId="4402AB36" w14:textId="77777777" w:rsidR="001B45D8" w:rsidRDefault="001B45D8" w:rsidP="001B45D8">
      <w:pPr>
        <w:pStyle w:val="FootnoteText"/>
      </w:pPr>
      <w:r w:rsidRPr="001959B7">
        <w:rPr>
          <w:rStyle w:val="FootnoteReference"/>
          <w:rFonts w:asciiTheme="minorHAnsi" w:hAnsiTheme="minorHAnsi" w:cstheme="minorHAnsi"/>
        </w:rPr>
        <w:footnoteRef/>
      </w:r>
      <w:r w:rsidRPr="001959B7">
        <w:rPr>
          <w:rFonts w:asciiTheme="minorHAnsi" w:hAnsiTheme="minorHAnsi" w:cstheme="minorHAnsi"/>
        </w:rPr>
        <w:t xml:space="preserve"> Mould-Quevedo, JF et al (2023). Vaccine Effectiveness of Cell-Based Quadrivalent Influenza Vaccine in Children: A Narrative Review. Vaccines 11 (10): 1954.</w:t>
      </w:r>
    </w:p>
  </w:footnote>
  <w:footnote w:id="5">
    <w:p w14:paraId="6BD77199" w14:textId="28448C0A" w:rsidR="00762477" w:rsidRPr="006F0432" w:rsidRDefault="00762477" w:rsidP="00CF75BC">
      <w:pPr>
        <w:pStyle w:val="FootnoteText"/>
        <w:rPr>
          <w:rFonts w:asciiTheme="minorHAnsi" w:hAnsiTheme="minorHAnsi" w:cstheme="minorHAnsi"/>
        </w:rPr>
      </w:pPr>
      <w:r w:rsidRPr="006F0432">
        <w:rPr>
          <w:rStyle w:val="FootnoteReference"/>
          <w:rFonts w:asciiTheme="minorHAnsi" w:hAnsiTheme="minorHAnsi" w:cstheme="minorHAnsi"/>
        </w:rPr>
        <w:footnoteRef/>
      </w:r>
      <w:r w:rsidRPr="006F0432">
        <w:rPr>
          <w:rFonts w:asciiTheme="minorHAnsi" w:hAnsiTheme="minorHAnsi" w:cstheme="minorHAnsi"/>
        </w:rPr>
        <w:t xml:space="preserve"> Ward BJ et al (2018). The establishment of surrogates and correlates of protection: Useful tools for the licensure of effective influenza vaccines? Human vaccines &amp; immunotherapeutics; 14(3):647-56</w:t>
      </w:r>
    </w:p>
  </w:footnote>
  <w:footnote w:id="6">
    <w:p w14:paraId="6DA079BF" w14:textId="1326B38A" w:rsidR="00CD7E99" w:rsidRDefault="00CD7E99">
      <w:pPr>
        <w:pStyle w:val="FootnoteText"/>
      </w:pPr>
      <w:r>
        <w:rPr>
          <w:rStyle w:val="FootnoteReference"/>
        </w:rPr>
        <w:footnoteRef/>
      </w:r>
      <w:r>
        <w:t xml:space="preserve"> </w:t>
      </w:r>
      <w:r w:rsidRPr="00CD7E99">
        <w:t>Beard F, Hendry A, Macartney K. Influenza vaccination uptake in our most vulnerable groups: how well are we protecting them in 2019. Commun Dis Intell. 2020;2020:44.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844C" w14:textId="77777777" w:rsidR="00023F10" w:rsidRDefault="00023F10">
    <w:pPr>
      <w:pStyle w:val="Header"/>
    </w:pPr>
  </w:p>
  <w:p w14:paraId="6B385839" w14:textId="77777777" w:rsidR="007E12AC" w:rsidRDefault="007E12AC"/>
  <w:p w14:paraId="088522CA" w14:textId="77777777" w:rsidR="007E12AC" w:rsidRDefault="007E1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9F05" w14:textId="5623B39C" w:rsidR="00575AA1" w:rsidRPr="007B20DF" w:rsidRDefault="008026FA" w:rsidP="007B20DF">
    <w:pPr>
      <w:pStyle w:val="Header"/>
      <w:rPr>
        <w:rFonts w:asciiTheme="minorHAnsi" w:hAnsiTheme="minorHAnsi"/>
        <w:i/>
        <w:color w:val="808080"/>
      </w:rPr>
    </w:pPr>
    <w:r w:rsidRPr="008026FA">
      <w:rPr>
        <w:rFonts w:asciiTheme="minorHAnsi" w:hAnsiTheme="minorHAnsi"/>
        <w:i/>
        <w:color w:val="808080"/>
      </w:rPr>
      <w:t xml:space="preserve">Public Summary Document </w:t>
    </w:r>
    <w:r w:rsidR="00023F10" w:rsidRPr="00056684">
      <w:rPr>
        <w:rFonts w:asciiTheme="minorHAnsi" w:hAnsiTheme="minorHAnsi"/>
        <w:i/>
        <w:color w:val="808080"/>
      </w:rPr>
      <w:t>–</w:t>
    </w:r>
    <w:r w:rsidR="00023F10">
      <w:rPr>
        <w:rFonts w:asciiTheme="minorHAnsi" w:hAnsiTheme="minorHAnsi"/>
        <w:i/>
        <w:color w:val="808080"/>
      </w:rPr>
      <w:t xml:space="preserve"> </w:t>
    </w:r>
    <w:r w:rsidR="008D3119">
      <w:rPr>
        <w:rFonts w:asciiTheme="minorHAnsi" w:hAnsiTheme="minorHAnsi"/>
        <w:i/>
        <w:color w:val="808080"/>
      </w:rPr>
      <w:t>March</w:t>
    </w:r>
    <w:r w:rsidR="00575AA1">
      <w:rPr>
        <w:rFonts w:asciiTheme="minorHAnsi" w:hAnsiTheme="minorHAnsi"/>
        <w:i/>
        <w:color w:val="808080"/>
      </w:rPr>
      <w:t xml:space="preserve"> 202</w:t>
    </w:r>
    <w:r w:rsidR="008D3119">
      <w:rPr>
        <w:rFonts w:asciiTheme="minorHAnsi" w:hAnsiTheme="minorHAnsi"/>
        <w:i/>
        <w:color w:val="808080"/>
      </w:rPr>
      <w:t>4</w:t>
    </w:r>
    <w:r w:rsidR="00575AA1">
      <w:rPr>
        <w:rFonts w:asciiTheme="minorHAnsi" w:hAnsiTheme="minorHAnsi"/>
        <w:i/>
        <w:color w:val="808080"/>
      </w:rPr>
      <w:t xml:space="preserve"> </w:t>
    </w:r>
    <w:r w:rsidR="00575AA1" w:rsidRPr="00195452">
      <w:rPr>
        <w:rFonts w:asciiTheme="minorHAnsi" w:hAnsiTheme="minorHAnsi"/>
        <w:i/>
        <w:color w:val="808080"/>
      </w:rPr>
      <w:t>PBAC Meeting</w:t>
    </w:r>
  </w:p>
  <w:p w14:paraId="57DDE2B5" w14:textId="77777777" w:rsidR="007E12AC" w:rsidRDefault="007E12AC"/>
  <w:p w14:paraId="02DBFCD3" w14:textId="77777777" w:rsidR="007E12AC" w:rsidRDefault="007E12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C8B5" w14:textId="77777777" w:rsidR="00854D81" w:rsidRDefault="0085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B041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9363C8"/>
    <w:multiLevelType w:val="hybridMultilevel"/>
    <w:tmpl w:val="30628FAC"/>
    <w:lvl w:ilvl="0" w:tplc="FFFFFFFF">
      <w:start w:val="1"/>
      <w:numFmt w:val="lowerLetter"/>
      <w:lvlText w:val="(%1)"/>
      <w:lvlJc w:val="left"/>
      <w:pPr>
        <w:ind w:left="144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C63DA"/>
    <w:multiLevelType w:val="hybridMultilevel"/>
    <w:tmpl w:val="FE2C94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743404"/>
    <w:multiLevelType w:val="hybridMultilevel"/>
    <w:tmpl w:val="41B2B8A4"/>
    <w:lvl w:ilvl="0" w:tplc="E4925D3A">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523395"/>
    <w:multiLevelType w:val="hybridMultilevel"/>
    <w:tmpl w:val="1C2C2B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E631E0"/>
    <w:multiLevelType w:val="multilevel"/>
    <w:tmpl w:val="4BF206F0"/>
    <w:lvl w:ilvl="0">
      <w:start w:val="1"/>
      <w:numFmt w:val="bullet"/>
      <w:lvlText w:val=""/>
      <w:lvlJc w:val="left"/>
      <w:pPr>
        <w:ind w:left="720" w:hanging="72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940A7"/>
    <w:multiLevelType w:val="hybridMultilevel"/>
    <w:tmpl w:val="F2A8A9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BA6A61"/>
    <w:multiLevelType w:val="hybridMultilevel"/>
    <w:tmpl w:val="CCBA8E98"/>
    <w:lvl w:ilvl="0" w:tplc="2AC08A7E">
      <w:start w:val="1"/>
      <w:numFmt w:val="lowerRoman"/>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D4A0D"/>
    <w:multiLevelType w:val="hybridMultilevel"/>
    <w:tmpl w:val="CCBA8E98"/>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625C2A"/>
    <w:multiLevelType w:val="hybridMultilevel"/>
    <w:tmpl w:val="E45C3F58"/>
    <w:lvl w:ilvl="0" w:tplc="2758D07A">
      <w:numFmt w:val="bullet"/>
      <w:lvlText w:val="•"/>
      <w:lvlJc w:val="left"/>
      <w:pPr>
        <w:ind w:left="1080" w:hanging="360"/>
      </w:pPr>
      <w:rPr>
        <w:rFonts w:ascii="Calibri" w:eastAsia="Times New Roman" w:hAnsi="Calibri" w:cs="Calibri"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49224F3F"/>
    <w:multiLevelType w:val="hybridMultilevel"/>
    <w:tmpl w:val="30628FAC"/>
    <w:lvl w:ilvl="0" w:tplc="13A4D516">
      <w:start w:val="1"/>
      <w:numFmt w:val="lowerLetter"/>
      <w:lvlText w:val="(%1)"/>
      <w:lvlJc w:val="left"/>
      <w:pPr>
        <w:ind w:left="1440" w:hanging="360"/>
      </w:pPr>
      <w:rPr>
        <w:rFonts w:hint="default"/>
      </w:rPr>
    </w:lvl>
    <w:lvl w:ilvl="1" w:tplc="2AB01CEE">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F1BAF"/>
    <w:multiLevelType w:val="hybridMultilevel"/>
    <w:tmpl w:val="0FB26B90"/>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0" w15:restartNumberingAfterBreak="0">
    <w:nsid w:val="59D34D7B"/>
    <w:multiLevelType w:val="hybridMultilevel"/>
    <w:tmpl w:val="7E726AB6"/>
    <w:lvl w:ilvl="0" w:tplc="2514BD64">
      <w:start w:val="1"/>
      <w:numFmt w:val="bullet"/>
      <w:pStyle w:val="bulletlevel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0D522E7"/>
    <w:multiLevelType w:val="hybridMultilevel"/>
    <w:tmpl w:val="20163FC4"/>
    <w:lvl w:ilvl="0" w:tplc="8B7CB1CC">
      <w:start w:val="1"/>
      <w:numFmt w:val="bullet"/>
      <w:pStyle w:val="TableTex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732401A"/>
    <w:multiLevelType w:val="hybridMultilevel"/>
    <w:tmpl w:val="EABA77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5C6E91"/>
    <w:multiLevelType w:val="hybridMultilevel"/>
    <w:tmpl w:val="0D70F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EC272B"/>
    <w:multiLevelType w:val="hybridMultilevel"/>
    <w:tmpl w:val="72F0D2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27004D"/>
    <w:multiLevelType w:val="hybridMultilevel"/>
    <w:tmpl w:val="638437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14660414">
    <w:abstractNumId w:val="27"/>
  </w:num>
  <w:num w:numId="2" w16cid:durableId="846603432">
    <w:abstractNumId w:val="14"/>
  </w:num>
  <w:num w:numId="3" w16cid:durableId="248464333">
    <w:abstractNumId w:val="0"/>
  </w:num>
  <w:num w:numId="4" w16cid:durableId="398282931">
    <w:abstractNumId w:val="27"/>
  </w:num>
  <w:num w:numId="5" w16cid:durableId="1925724131">
    <w:abstractNumId w:val="28"/>
  </w:num>
  <w:num w:numId="6" w16cid:durableId="149442798">
    <w:abstractNumId w:val="23"/>
  </w:num>
  <w:num w:numId="7" w16cid:durableId="1484276048">
    <w:abstractNumId w:val="22"/>
  </w:num>
  <w:num w:numId="8" w16cid:durableId="4404872">
    <w:abstractNumId w:val="11"/>
  </w:num>
  <w:num w:numId="9" w16cid:durableId="1109282097">
    <w:abstractNumId w:val="3"/>
  </w:num>
  <w:num w:numId="10" w16cid:durableId="929042345">
    <w:abstractNumId w:val="24"/>
  </w:num>
  <w:num w:numId="11" w16cid:durableId="1203206381">
    <w:abstractNumId w:val="29"/>
  </w:num>
  <w:num w:numId="12" w16cid:durableId="398407196">
    <w:abstractNumId w:val="20"/>
  </w:num>
  <w:num w:numId="13" w16cid:durableId="722867031">
    <w:abstractNumId w:val="8"/>
  </w:num>
  <w:num w:numId="14" w16cid:durableId="1176992014">
    <w:abstractNumId w:val="16"/>
  </w:num>
  <w:num w:numId="15" w16cid:durableId="155002791">
    <w:abstractNumId w:val="6"/>
  </w:num>
  <w:num w:numId="16" w16cid:durableId="1721049931">
    <w:abstractNumId w:val="26"/>
  </w:num>
  <w:num w:numId="17" w16cid:durableId="1034041993">
    <w:abstractNumId w:val="17"/>
  </w:num>
  <w:num w:numId="18" w16cid:durableId="1264799516">
    <w:abstractNumId w:val="13"/>
  </w:num>
  <w:num w:numId="19" w16cid:durableId="495346626">
    <w:abstractNumId w:val="2"/>
  </w:num>
  <w:num w:numId="20" w16cid:durableId="1488741081">
    <w:abstractNumId w:val="15"/>
  </w:num>
  <w:num w:numId="21" w16cid:durableId="1751846746">
    <w:abstractNumId w:val="19"/>
  </w:num>
  <w:num w:numId="22" w16cid:durableId="1164124385">
    <w:abstractNumId w:val="4"/>
  </w:num>
  <w:num w:numId="23" w16cid:durableId="803042374">
    <w:abstractNumId w:val="18"/>
  </w:num>
  <w:num w:numId="24" w16cid:durableId="1692150002">
    <w:abstractNumId w:val="5"/>
  </w:num>
  <w:num w:numId="25" w16cid:durableId="324356541">
    <w:abstractNumId w:val="1"/>
  </w:num>
  <w:num w:numId="26" w16cid:durableId="354119089">
    <w:abstractNumId w:val="10"/>
  </w:num>
  <w:num w:numId="27" w16cid:durableId="1556161803">
    <w:abstractNumId w:val="12"/>
  </w:num>
  <w:num w:numId="28" w16cid:durableId="1260216976">
    <w:abstractNumId w:val="9"/>
  </w:num>
  <w:num w:numId="29" w16cid:durableId="12974431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4779825">
    <w:abstractNumId w:val="25"/>
  </w:num>
  <w:num w:numId="31" w16cid:durableId="1334652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788335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p2d9fr4ats5xexxzz5rzr82twaewzf25tp&quot;&gt;QuadVaccine2023&lt;record-ids&gt;&lt;item&gt;1&lt;/item&gt;&lt;item&gt;2&lt;/item&gt;&lt;item&gt;3&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record-ids&gt;&lt;/item&gt;&lt;/Libraries&gt;"/>
  </w:docVars>
  <w:rsids>
    <w:rsidRoot w:val="00E65E79"/>
    <w:rsid w:val="00000790"/>
    <w:rsid w:val="00000DFC"/>
    <w:rsid w:val="0000110B"/>
    <w:rsid w:val="00001F14"/>
    <w:rsid w:val="00003499"/>
    <w:rsid w:val="000039B7"/>
    <w:rsid w:val="000056B9"/>
    <w:rsid w:val="00005920"/>
    <w:rsid w:val="0000639A"/>
    <w:rsid w:val="000071E2"/>
    <w:rsid w:val="00012ECD"/>
    <w:rsid w:val="00013247"/>
    <w:rsid w:val="000142EE"/>
    <w:rsid w:val="00014360"/>
    <w:rsid w:val="00014B21"/>
    <w:rsid w:val="00015886"/>
    <w:rsid w:val="000162EF"/>
    <w:rsid w:val="00016FF0"/>
    <w:rsid w:val="0001705B"/>
    <w:rsid w:val="000207C9"/>
    <w:rsid w:val="0002194D"/>
    <w:rsid w:val="0002225F"/>
    <w:rsid w:val="00023763"/>
    <w:rsid w:val="00023DB8"/>
    <w:rsid w:val="00023F10"/>
    <w:rsid w:val="00024EB5"/>
    <w:rsid w:val="000274B8"/>
    <w:rsid w:val="0002761E"/>
    <w:rsid w:val="00030C37"/>
    <w:rsid w:val="000313A5"/>
    <w:rsid w:val="0003359A"/>
    <w:rsid w:val="00033863"/>
    <w:rsid w:val="00035AA4"/>
    <w:rsid w:val="00035DC0"/>
    <w:rsid w:val="00036786"/>
    <w:rsid w:val="00036829"/>
    <w:rsid w:val="00040895"/>
    <w:rsid w:val="00040A6A"/>
    <w:rsid w:val="000410A0"/>
    <w:rsid w:val="000435EE"/>
    <w:rsid w:val="00043C37"/>
    <w:rsid w:val="00045017"/>
    <w:rsid w:val="000453CF"/>
    <w:rsid w:val="00045A2B"/>
    <w:rsid w:val="0004698F"/>
    <w:rsid w:val="00046D64"/>
    <w:rsid w:val="000508C2"/>
    <w:rsid w:val="000509D6"/>
    <w:rsid w:val="000539D0"/>
    <w:rsid w:val="00054621"/>
    <w:rsid w:val="000546D7"/>
    <w:rsid w:val="00054A8D"/>
    <w:rsid w:val="00055414"/>
    <w:rsid w:val="00056ECF"/>
    <w:rsid w:val="00057BED"/>
    <w:rsid w:val="000604DF"/>
    <w:rsid w:val="0006079E"/>
    <w:rsid w:val="00062324"/>
    <w:rsid w:val="00064DBC"/>
    <w:rsid w:val="000653B5"/>
    <w:rsid w:val="00066360"/>
    <w:rsid w:val="00066AF8"/>
    <w:rsid w:val="00067507"/>
    <w:rsid w:val="00071248"/>
    <w:rsid w:val="0007163C"/>
    <w:rsid w:val="000720B9"/>
    <w:rsid w:val="00073018"/>
    <w:rsid w:val="0007349E"/>
    <w:rsid w:val="00073630"/>
    <w:rsid w:val="000737F7"/>
    <w:rsid w:val="0007672F"/>
    <w:rsid w:val="00076B54"/>
    <w:rsid w:val="000774F0"/>
    <w:rsid w:val="0007751A"/>
    <w:rsid w:val="00080909"/>
    <w:rsid w:val="000812CA"/>
    <w:rsid w:val="00081E63"/>
    <w:rsid w:val="0008258D"/>
    <w:rsid w:val="00083E99"/>
    <w:rsid w:val="00084418"/>
    <w:rsid w:val="00084FA8"/>
    <w:rsid w:val="000856C5"/>
    <w:rsid w:val="00085C31"/>
    <w:rsid w:val="000902D9"/>
    <w:rsid w:val="00090C7E"/>
    <w:rsid w:val="000911AC"/>
    <w:rsid w:val="00092600"/>
    <w:rsid w:val="0009262B"/>
    <w:rsid w:val="00093310"/>
    <w:rsid w:val="00093BB5"/>
    <w:rsid w:val="0009445C"/>
    <w:rsid w:val="00095200"/>
    <w:rsid w:val="00095A2F"/>
    <w:rsid w:val="00095FE5"/>
    <w:rsid w:val="00096284"/>
    <w:rsid w:val="000A1BC0"/>
    <w:rsid w:val="000A2F9E"/>
    <w:rsid w:val="000A3C3D"/>
    <w:rsid w:val="000A3E47"/>
    <w:rsid w:val="000A3E58"/>
    <w:rsid w:val="000A3F2F"/>
    <w:rsid w:val="000A522B"/>
    <w:rsid w:val="000A5876"/>
    <w:rsid w:val="000A6039"/>
    <w:rsid w:val="000A62D5"/>
    <w:rsid w:val="000A7453"/>
    <w:rsid w:val="000A7D08"/>
    <w:rsid w:val="000B0121"/>
    <w:rsid w:val="000B05EF"/>
    <w:rsid w:val="000B0670"/>
    <w:rsid w:val="000B0A1A"/>
    <w:rsid w:val="000B0E75"/>
    <w:rsid w:val="000B2DCB"/>
    <w:rsid w:val="000B5963"/>
    <w:rsid w:val="000B5CE0"/>
    <w:rsid w:val="000B6CAC"/>
    <w:rsid w:val="000B70CA"/>
    <w:rsid w:val="000B7612"/>
    <w:rsid w:val="000B78AE"/>
    <w:rsid w:val="000C129C"/>
    <w:rsid w:val="000C3DF9"/>
    <w:rsid w:val="000C4CF2"/>
    <w:rsid w:val="000C5147"/>
    <w:rsid w:val="000C6713"/>
    <w:rsid w:val="000D1BFC"/>
    <w:rsid w:val="000D1D5D"/>
    <w:rsid w:val="000D281A"/>
    <w:rsid w:val="000D2848"/>
    <w:rsid w:val="000D326A"/>
    <w:rsid w:val="000D51FB"/>
    <w:rsid w:val="000E0640"/>
    <w:rsid w:val="000E135D"/>
    <w:rsid w:val="000E14B0"/>
    <w:rsid w:val="000E200E"/>
    <w:rsid w:val="000E25E1"/>
    <w:rsid w:val="000E2B82"/>
    <w:rsid w:val="000E6A8B"/>
    <w:rsid w:val="000F00BA"/>
    <w:rsid w:val="000F03AA"/>
    <w:rsid w:val="000F316A"/>
    <w:rsid w:val="000F3C74"/>
    <w:rsid w:val="000F4BB8"/>
    <w:rsid w:val="000F4FA9"/>
    <w:rsid w:val="000F53FB"/>
    <w:rsid w:val="000F7127"/>
    <w:rsid w:val="000F7B54"/>
    <w:rsid w:val="001000B3"/>
    <w:rsid w:val="001005EC"/>
    <w:rsid w:val="00100F8A"/>
    <w:rsid w:val="0010452E"/>
    <w:rsid w:val="0010456D"/>
    <w:rsid w:val="00105AE2"/>
    <w:rsid w:val="001060C6"/>
    <w:rsid w:val="00106B80"/>
    <w:rsid w:val="001071D2"/>
    <w:rsid w:val="0011032E"/>
    <w:rsid w:val="001107A5"/>
    <w:rsid w:val="00110EA1"/>
    <w:rsid w:val="00112355"/>
    <w:rsid w:val="0011348B"/>
    <w:rsid w:val="00115982"/>
    <w:rsid w:val="00115D14"/>
    <w:rsid w:val="00116C53"/>
    <w:rsid w:val="00117B99"/>
    <w:rsid w:val="00121799"/>
    <w:rsid w:val="00121A72"/>
    <w:rsid w:val="001222FC"/>
    <w:rsid w:val="0012239D"/>
    <w:rsid w:val="00122F9E"/>
    <w:rsid w:val="001234BE"/>
    <w:rsid w:val="00123902"/>
    <w:rsid w:val="00124264"/>
    <w:rsid w:val="00124A51"/>
    <w:rsid w:val="00125021"/>
    <w:rsid w:val="00125110"/>
    <w:rsid w:val="00125DB7"/>
    <w:rsid w:val="00126621"/>
    <w:rsid w:val="001266A1"/>
    <w:rsid w:val="00126B1D"/>
    <w:rsid w:val="00127D8A"/>
    <w:rsid w:val="001301E9"/>
    <w:rsid w:val="00131D82"/>
    <w:rsid w:val="00132B22"/>
    <w:rsid w:val="001338AA"/>
    <w:rsid w:val="001339AC"/>
    <w:rsid w:val="00133D36"/>
    <w:rsid w:val="00137645"/>
    <w:rsid w:val="0014015A"/>
    <w:rsid w:val="001402A7"/>
    <w:rsid w:val="00140E99"/>
    <w:rsid w:val="00143F67"/>
    <w:rsid w:val="00144F07"/>
    <w:rsid w:val="00145234"/>
    <w:rsid w:val="00145540"/>
    <w:rsid w:val="001456B0"/>
    <w:rsid w:val="00150162"/>
    <w:rsid w:val="001509BD"/>
    <w:rsid w:val="00151023"/>
    <w:rsid w:val="00152AAC"/>
    <w:rsid w:val="001547AB"/>
    <w:rsid w:val="001551FE"/>
    <w:rsid w:val="00156F8F"/>
    <w:rsid w:val="00157130"/>
    <w:rsid w:val="001576B1"/>
    <w:rsid w:val="0016047B"/>
    <w:rsid w:val="001607FA"/>
    <w:rsid w:val="00160867"/>
    <w:rsid w:val="00160A4C"/>
    <w:rsid w:val="00161E09"/>
    <w:rsid w:val="00162913"/>
    <w:rsid w:val="0016316A"/>
    <w:rsid w:val="0016373C"/>
    <w:rsid w:val="00163EFF"/>
    <w:rsid w:val="00163F66"/>
    <w:rsid w:val="0016478E"/>
    <w:rsid w:val="00165EC4"/>
    <w:rsid w:val="001661FB"/>
    <w:rsid w:val="001671A0"/>
    <w:rsid w:val="0016767F"/>
    <w:rsid w:val="001714C0"/>
    <w:rsid w:val="00171EA8"/>
    <w:rsid w:val="00173565"/>
    <w:rsid w:val="00173B07"/>
    <w:rsid w:val="001744B5"/>
    <w:rsid w:val="001751FA"/>
    <w:rsid w:val="00177577"/>
    <w:rsid w:val="00181C10"/>
    <w:rsid w:val="00181D9C"/>
    <w:rsid w:val="001837FF"/>
    <w:rsid w:val="001839A4"/>
    <w:rsid w:val="00184B0E"/>
    <w:rsid w:val="00184E12"/>
    <w:rsid w:val="00185163"/>
    <w:rsid w:val="001871A5"/>
    <w:rsid w:val="0018752F"/>
    <w:rsid w:val="0018785F"/>
    <w:rsid w:val="00193838"/>
    <w:rsid w:val="00194AD8"/>
    <w:rsid w:val="00194DE4"/>
    <w:rsid w:val="00195222"/>
    <w:rsid w:val="00195452"/>
    <w:rsid w:val="001959B7"/>
    <w:rsid w:val="00196B89"/>
    <w:rsid w:val="001975D8"/>
    <w:rsid w:val="001A178E"/>
    <w:rsid w:val="001A43FA"/>
    <w:rsid w:val="001A47C5"/>
    <w:rsid w:val="001A59FB"/>
    <w:rsid w:val="001A5E9E"/>
    <w:rsid w:val="001A6354"/>
    <w:rsid w:val="001A6366"/>
    <w:rsid w:val="001A7AE8"/>
    <w:rsid w:val="001A7C7C"/>
    <w:rsid w:val="001A7EF4"/>
    <w:rsid w:val="001B148A"/>
    <w:rsid w:val="001B1D10"/>
    <w:rsid w:val="001B204E"/>
    <w:rsid w:val="001B2372"/>
    <w:rsid w:val="001B3443"/>
    <w:rsid w:val="001B344C"/>
    <w:rsid w:val="001B45D8"/>
    <w:rsid w:val="001B49C8"/>
    <w:rsid w:val="001B4D20"/>
    <w:rsid w:val="001B7F84"/>
    <w:rsid w:val="001C11A2"/>
    <w:rsid w:val="001C2A9B"/>
    <w:rsid w:val="001C3DD6"/>
    <w:rsid w:val="001C4299"/>
    <w:rsid w:val="001C429C"/>
    <w:rsid w:val="001C4874"/>
    <w:rsid w:val="001C5F94"/>
    <w:rsid w:val="001C6E66"/>
    <w:rsid w:val="001C78A3"/>
    <w:rsid w:val="001C7BE0"/>
    <w:rsid w:val="001D1100"/>
    <w:rsid w:val="001D1391"/>
    <w:rsid w:val="001D25D7"/>
    <w:rsid w:val="001D50B2"/>
    <w:rsid w:val="001D71F4"/>
    <w:rsid w:val="001D7645"/>
    <w:rsid w:val="001E0039"/>
    <w:rsid w:val="001E1B92"/>
    <w:rsid w:val="001E1E86"/>
    <w:rsid w:val="001E238E"/>
    <w:rsid w:val="001E2483"/>
    <w:rsid w:val="001E2B1E"/>
    <w:rsid w:val="001E2CFF"/>
    <w:rsid w:val="001E2F24"/>
    <w:rsid w:val="001E30D4"/>
    <w:rsid w:val="001E34DF"/>
    <w:rsid w:val="001E4B00"/>
    <w:rsid w:val="001E52EB"/>
    <w:rsid w:val="001E61D2"/>
    <w:rsid w:val="001E740C"/>
    <w:rsid w:val="001F1235"/>
    <w:rsid w:val="001F1CB3"/>
    <w:rsid w:val="001F38B5"/>
    <w:rsid w:val="001F4081"/>
    <w:rsid w:val="001F65E2"/>
    <w:rsid w:val="001F6CA3"/>
    <w:rsid w:val="001F7361"/>
    <w:rsid w:val="001F76BD"/>
    <w:rsid w:val="002011B0"/>
    <w:rsid w:val="00201495"/>
    <w:rsid w:val="0020193F"/>
    <w:rsid w:val="00203181"/>
    <w:rsid w:val="00203783"/>
    <w:rsid w:val="0020385F"/>
    <w:rsid w:val="00205BFF"/>
    <w:rsid w:val="00206894"/>
    <w:rsid w:val="002068A0"/>
    <w:rsid w:val="00207021"/>
    <w:rsid w:val="0020732F"/>
    <w:rsid w:val="00207D00"/>
    <w:rsid w:val="002105C1"/>
    <w:rsid w:val="002116FD"/>
    <w:rsid w:val="00213EF5"/>
    <w:rsid w:val="00216BF5"/>
    <w:rsid w:val="00223B49"/>
    <w:rsid w:val="00223D5A"/>
    <w:rsid w:val="00224DD4"/>
    <w:rsid w:val="00226BB5"/>
    <w:rsid w:val="002278A0"/>
    <w:rsid w:val="00227AC8"/>
    <w:rsid w:val="002309CC"/>
    <w:rsid w:val="00230A52"/>
    <w:rsid w:val="00231843"/>
    <w:rsid w:val="00231BA9"/>
    <w:rsid w:val="0023209F"/>
    <w:rsid w:val="00232B98"/>
    <w:rsid w:val="00233C01"/>
    <w:rsid w:val="0023413C"/>
    <w:rsid w:val="002346F0"/>
    <w:rsid w:val="0023629D"/>
    <w:rsid w:val="00237255"/>
    <w:rsid w:val="00240687"/>
    <w:rsid w:val="002424AF"/>
    <w:rsid w:val="002439DC"/>
    <w:rsid w:val="002441D2"/>
    <w:rsid w:val="0024445C"/>
    <w:rsid w:val="00244DC8"/>
    <w:rsid w:val="002458BA"/>
    <w:rsid w:val="00245CE9"/>
    <w:rsid w:val="0024636C"/>
    <w:rsid w:val="00246F62"/>
    <w:rsid w:val="00247925"/>
    <w:rsid w:val="00247F7A"/>
    <w:rsid w:val="0025014F"/>
    <w:rsid w:val="00251006"/>
    <w:rsid w:val="002524D5"/>
    <w:rsid w:val="00252DE2"/>
    <w:rsid w:val="00253B1D"/>
    <w:rsid w:val="00254DCF"/>
    <w:rsid w:val="0025534B"/>
    <w:rsid w:val="00255BB7"/>
    <w:rsid w:val="0025689F"/>
    <w:rsid w:val="00256E29"/>
    <w:rsid w:val="00257541"/>
    <w:rsid w:val="00257A39"/>
    <w:rsid w:val="00257AC4"/>
    <w:rsid w:val="00257BBE"/>
    <w:rsid w:val="00261EEF"/>
    <w:rsid w:val="00262A1A"/>
    <w:rsid w:val="00262A87"/>
    <w:rsid w:val="002631C0"/>
    <w:rsid w:val="00264798"/>
    <w:rsid w:val="00264D26"/>
    <w:rsid w:val="00265B45"/>
    <w:rsid w:val="002666F5"/>
    <w:rsid w:val="00267642"/>
    <w:rsid w:val="00267AEA"/>
    <w:rsid w:val="002700E6"/>
    <w:rsid w:val="0027036D"/>
    <w:rsid w:val="002705A4"/>
    <w:rsid w:val="0027294B"/>
    <w:rsid w:val="00273EB4"/>
    <w:rsid w:val="00274682"/>
    <w:rsid w:val="00275158"/>
    <w:rsid w:val="00275C5A"/>
    <w:rsid w:val="00275CD2"/>
    <w:rsid w:val="00276FA9"/>
    <w:rsid w:val="002774C7"/>
    <w:rsid w:val="00277DD7"/>
    <w:rsid w:val="00281014"/>
    <w:rsid w:val="002832E8"/>
    <w:rsid w:val="00285BCE"/>
    <w:rsid w:val="0028665D"/>
    <w:rsid w:val="002871C8"/>
    <w:rsid w:val="00287951"/>
    <w:rsid w:val="002900B0"/>
    <w:rsid w:val="002908D1"/>
    <w:rsid w:val="00291FA9"/>
    <w:rsid w:val="002A14AB"/>
    <w:rsid w:val="002A2ADE"/>
    <w:rsid w:val="002A2F50"/>
    <w:rsid w:val="002A58AC"/>
    <w:rsid w:val="002A7943"/>
    <w:rsid w:val="002A7987"/>
    <w:rsid w:val="002B05A1"/>
    <w:rsid w:val="002B09A4"/>
    <w:rsid w:val="002B1C1F"/>
    <w:rsid w:val="002B3564"/>
    <w:rsid w:val="002B3AA0"/>
    <w:rsid w:val="002B432F"/>
    <w:rsid w:val="002B62B3"/>
    <w:rsid w:val="002B6754"/>
    <w:rsid w:val="002B6C1D"/>
    <w:rsid w:val="002B6CCE"/>
    <w:rsid w:val="002B7950"/>
    <w:rsid w:val="002C1871"/>
    <w:rsid w:val="002C2510"/>
    <w:rsid w:val="002C2775"/>
    <w:rsid w:val="002C27C1"/>
    <w:rsid w:val="002C27E7"/>
    <w:rsid w:val="002C36E3"/>
    <w:rsid w:val="002C4533"/>
    <w:rsid w:val="002C45E8"/>
    <w:rsid w:val="002C5099"/>
    <w:rsid w:val="002C5889"/>
    <w:rsid w:val="002C59F6"/>
    <w:rsid w:val="002C71CE"/>
    <w:rsid w:val="002D08F8"/>
    <w:rsid w:val="002D15C1"/>
    <w:rsid w:val="002D19AD"/>
    <w:rsid w:val="002D577C"/>
    <w:rsid w:val="002D6161"/>
    <w:rsid w:val="002D7832"/>
    <w:rsid w:val="002E02CB"/>
    <w:rsid w:val="002E1071"/>
    <w:rsid w:val="002E1183"/>
    <w:rsid w:val="002E15B9"/>
    <w:rsid w:val="002E1775"/>
    <w:rsid w:val="002E2158"/>
    <w:rsid w:val="002E3D74"/>
    <w:rsid w:val="002E4151"/>
    <w:rsid w:val="002E4F02"/>
    <w:rsid w:val="002E51FB"/>
    <w:rsid w:val="002E5EDE"/>
    <w:rsid w:val="002E7722"/>
    <w:rsid w:val="002F07BA"/>
    <w:rsid w:val="002F08BB"/>
    <w:rsid w:val="002F0DA9"/>
    <w:rsid w:val="002F1014"/>
    <w:rsid w:val="002F1E3B"/>
    <w:rsid w:val="002F4BD7"/>
    <w:rsid w:val="002F643C"/>
    <w:rsid w:val="002F64D4"/>
    <w:rsid w:val="002F71C0"/>
    <w:rsid w:val="002F74F1"/>
    <w:rsid w:val="00301017"/>
    <w:rsid w:val="0030155F"/>
    <w:rsid w:val="00301E6A"/>
    <w:rsid w:val="00303340"/>
    <w:rsid w:val="003036C4"/>
    <w:rsid w:val="00303E32"/>
    <w:rsid w:val="00304693"/>
    <w:rsid w:val="00304DCB"/>
    <w:rsid w:val="00304DFC"/>
    <w:rsid w:val="0030587B"/>
    <w:rsid w:val="00306D98"/>
    <w:rsid w:val="0030786C"/>
    <w:rsid w:val="0031031A"/>
    <w:rsid w:val="00310981"/>
    <w:rsid w:val="00311D9B"/>
    <w:rsid w:val="00311EB2"/>
    <w:rsid w:val="003124D9"/>
    <w:rsid w:val="00312594"/>
    <w:rsid w:val="00313783"/>
    <w:rsid w:val="00315498"/>
    <w:rsid w:val="00316474"/>
    <w:rsid w:val="0032119C"/>
    <w:rsid w:val="00322107"/>
    <w:rsid w:val="00322355"/>
    <w:rsid w:val="00322846"/>
    <w:rsid w:val="00322B53"/>
    <w:rsid w:val="00324AF0"/>
    <w:rsid w:val="00324EC2"/>
    <w:rsid w:val="00324EC9"/>
    <w:rsid w:val="00324F17"/>
    <w:rsid w:val="0032625F"/>
    <w:rsid w:val="00326DA7"/>
    <w:rsid w:val="003270E4"/>
    <w:rsid w:val="00327541"/>
    <w:rsid w:val="00327E53"/>
    <w:rsid w:val="00330DAA"/>
    <w:rsid w:val="00330F5C"/>
    <w:rsid w:val="00333512"/>
    <w:rsid w:val="00334189"/>
    <w:rsid w:val="003366C9"/>
    <w:rsid w:val="003371B0"/>
    <w:rsid w:val="00337DE0"/>
    <w:rsid w:val="00340030"/>
    <w:rsid w:val="003402C3"/>
    <w:rsid w:val="00340DF1"/>
    <w:rsid w:val="00342638"/>
    <w:rsid w:val="00343392"/>
    <w:rsid w:val="0035112F"/>
    <w:rsid w:val="003517F9"/>
    <w:rsid w:val="00351BA9"/>
    <w:rsid w:val="00352A31"/>
    <w:rsid w:val="00352DEC"/>
    <w:rsid w:val="00354F64"/>
    <w:rsid w:val="0035620E"/>
    <w:rsid w:val="00356392"/>
    <w:rsid w:val="0035753C"/>
    <w:rsid w:val="003575BE"/>
    <w:rsid w:val="00360264"/>
    <w:rsid w:val="00360345"/>
    <w:rsid w:val="00361A05"/>
    <w:rsid w:val="00361D41"/>
    <w:rsid w:val="003624C4"/>
    <w:rsid w:val="00363764"/>
    <w:rsid w:val="00363B00"/>
    <w:rsid w:val="003654AC"/>
    <w:rsid w:val="0037031C"/>
    <w:rsid w:val="003704AB"/>
    <w:rsid w:val="003710CF"/>
    <w:rsid w:val="00371620"/>
    <w:rsid w:val="00372460"/>
    <w:rsid w:val="0037358A"/>
    <w:rsid w:val="003750F6"/>
    <w:rsid w:val="00375CAD"/>
    <w:rsid w:val="003760FC"/>
    <w:rsid w:val="003763CE"/>
    <w:rsid w:val="0037655C"/>
    <w:rsid w:val="00376F62"/>
    <w:rsid w:val="00377F3A"/>
    <w:rsid w:val="0038365C"/>
    <w:rsid w:val="0038369B"/>
    <w:rsid w:val="00383B78"/>
    <w:rsid w:val="00384B6B"/>
    <w:rsid w:val="00385A9D"/>
    <w:rsid w:val="00387121"/>
    <w:rsid w:val="003902B1"/>
    <w:rsid w:val="003912F1"/>
    <w:rsid w:val="003915DC"/>
    <w:rsid w:val="0039179C"/>
    <w:rsid w:val="00391EF3"/>
    <w:rsid w:val="00392724"/>
    <w:rsid w:val="00395654"/>
    <w:rsid w:val="00396896"/>
    <w:rsid w:val="00396FD0"/>
    <w:rsid w:val="003A1A7A"/>
    <w:rsid w:val="003A2392"/>
    <w:rsid w:val="003A2831"/>
    <w:rsid w:val="003A32AF"/>
    <w:rsid w:val="003A3CB6"/>
    <w:rsid w:val="003A3ED1"/>
    <w:rsid w:val="003A44DB"/>
    <w:rsid w:val="003A4C14"/>
    <w:rsid w:val="003B0AE4"/>
    <w:rsid w:val="003B1E89"/>
    <w:rsid w:val="003B3971"/>
    <w:rsid w:val="003B3A90"/>
    <w:rsid w:val="003B3F66"/>
    <w:rsid w:val="003B4484"/>
    <w:rsid w:val="003B473C"/>
    <w:rsid w:val="003B55D1"/>
    <w:rsid w:val="003B55DA"/>
    <w:rsid w:val="003B5B61"/>
    <w:rsid w:val="003B7A1F"/>
    <w:rsid w:val="003C08B0"/>
    <w:rsid w:val="003C1654"/>
    <w:rsid w:val="003C1FE5"/>
    <w:rsid w:val="003C2320"/>
    <w:rsid w:val="003C2DD5"/>
    <w:rsid w:val="003C3460"/>
    <w:rsid w:val="003C5542"/>
    <w:rsid w:val="003C7C15"/>
    <w:rsid w:val="003C7D19"/>
    <w:rsid w:val="003C7D2F"/>
    <w:rsid w:val="003D0C5A"/>
    <w:rsid w:val="003D1828"/>
    <w:rsid w:val="003D1DE4"/>
    <w:rsid w:val="003D1E9A"/>
    <w:rsid w:val="003D23E3"/>
    <w:rsid w:val="003D2422"/>
    <w:rsid w:val="003D264C"/>
    <w:rsid w:val="003D38C5"/>
    <w:rsid w:val="003D39A1"/>
    <w:rsid w:val="003D3FBF"/>
    <w:rsid w:val="003D4A30"/>
    <w:rsid w:val="003D5CDD"/>
    <w:rsid w:val="003D6843"/>
    <w:rsid w:val="003D7452"/>
    <w:rsid w:val="003D79BB"/>
    <w:rsid w:val="003D7C98"/>
    <w:rsid w:val="003D7D9D"/>
    <w:rsid w:val="003E0543"/>
    <w:rsid w:val="003E2AA4"/>
    <w:rsid w:val="003E3C07"/>
    <w:rsid w:val="003E4DB6"/>
    <w:rsid w:val="003E5603"/>
    <w:rsid w:val="003E6B71"/>
    <w:rsid w:val="003E749E"/>
    <w:rsid w:val="003F0D78"/>
    <w:rsid w:val="003F0FA9"/>
    <w:rsid w:val="003F27C7"/>
    <w:rsid w:val="003F4156"/>
    <w:rsid w:val="003F5ADF"/>
    <w:rsid w:val="003F6410"/>
    <w:rsid w:val="003F7B34"/>
    <w:rsid w:val="00400B29"/>
    <w:rsid w:val="00402812"/>
    <w:rsid w:val="0040504B"/>
    <w:rsid w:val="004059F4"/>
    <w:rsid w:val="00407400"/>
    <w:rsid w:val="00407FE5"/>
    <w:rsid w:val="0041005E"/>
    <w:rsid w:val="004101B0"/>
    <w:rsid w:val="00410326"/>
    <w:rsid w:val="00410708"/>
    <w:rsid w:val="00410EC7"/>
    <w:rsid w:val="00411B39"/>
    <w:rsid w:val="00411C06"/>
    <w:rsid w:val="004121BF"/>
    <w:rsid w:val="004127A7"/>
    <w:rsid w:val="00413A1E"/>
    <w:rsid w:val="00414476"/>
    <w:rsid w:val="00414C2E"/>
    <w:rsid w:val="004151CF"/>
    <w:rsid w:val="00416364"/>
    <w:rsid w:val="004200F2"/>
    <w:rsid w:val="0042047F"/>
    <w:rsid w:val="00420AA6"/>
    <w:rsid w:val="00420B9F"/>
    <w:rsid w:val="0042192C"/>
    <w:rsid w:val="00422260"/>
    <w:rsid w:val="00422AE4"/>
    <w:rsid w:val="00422B32"/>
    <w:rsid w:val="0042413F"/>
    <w:rsid w:val="004251E4"/>
    <w:rsid w:val="0042606E"/>
    <w:rsid w:val="004267BC"/>
    <w:rsid w:val="00426DB8"/>
    <w:rsid w:val="00427444"/>
    <w:rsid w:val="004319F8"/>
    <w:rsid w:val="00431E55"/>
    <w:rsid w:val="004321F6"/>
    <w:rsid w:val="00433044"/>
    <w:rsid w:val="00434088"/>
    <w:rsid w:val="004346C3"/>
    <w:rsid w:val="00437537"/>
    <w:rsid w:val="004375B9"/>
    <w:rsid w:val="004411C2"/>
    <w:rsid w:val="004428D0"/>
    <w:rsid w:val="00443328"/>
    <w:rsid w:val="00443856"/>
    <w:rsid w:val="00443DC8"/>
    <w:rsid w:val="00444185"/>
    <w:rsid w:val="004443A7"/>
    <w:rsid w:val="0044442C"/>
    <w:rsid w:val="00445941"/>
    <w:rsid w:val="00445B5C"/>
    <w:rsid w:val="00445E25"/>
    <w:rsid w:val="004464EB"/>
    <w:rsid w:val="004469E4"/>
    <w:rsid w:val="00446AE6"/>
    <w:rsid w:val="00447674"/>
    <w:rsid w:val="00447D26"/>
    <w:rsid w:val="00447DFC"/>
    <w:rsid w:val="00450FC7"/>
    <w:rsid w:val="00452300"/>
    <w:rsid w:val="00452FEB"/>
    <w:rsid w:val="00454B7A"/>
    <w:rsid w:val="00455D45"/>
    <w:rsid w:val="00461188"/>
    <w:rsid w:val="00464595"/>
    <w:rsid w:val="004658B5"/>
    <w:rsid w:val="004676FD"/>
    <w:rsid w:val="00471EA5"/>
    <w:rsid w:val="00472A79"/>
    <w:rsid w:val="00473F19"/>
    <w:rsid w:val="00474154"/>
    <w:rsid w:val="00474508"/>
    <w:rsid w:val="00475CE0"/>
    <w:rsid w:val="00475E22"/>
    <w:rsid w:val="0048088E"/>
    <w:rsid w:val="00480F2B"/>
    <w:rsid w:val="00481504"/>
    <w:rsid w:val="00482720"/>
    <w:rsid w:val="004835E7"/>
    <w:rsid w:val="004859E1"/>
    <w:rsid w:val="004867E2"/>
    <w:rsid w:val="00487027"/>
    <w:rsid w:val="00490B17"/>
    <w:rsid w:val="00490E74"/>
    <w:rsid w:val="00491B3A"/>
    <w:rsid w:val="004921ED"/>
    <w:rsid w:val="00492CFD"/>
    <w:rsid w:val="00494207"/>
    <w:rsid w:val="00494DD5"/>
    <w:rsid w:val="00494EDF"/>
    <w:rsid w:val="004952DE"/>
    <w:rsid w:val="00495DEF"/>
    <w:rsid w:val="004962D2"/>
    <w:rsid w:val="004A0DA1"/>
    <w:rsid w:val="004A13D6"/>
    <w:rsid w:val="004A334A"/>
    <w:rsid w:val="004A4281"/>
    <w:rsid w:val="004A52E9"/>
    <w:rsid w:val="004A6040"/>
    <w:rsid w:val="004A6597"/>
    <w:rsid w:val="004A6AF4"/>
    <w:rsid w:val="004A7848"/>
    <w:rsid w:val="004A793B"/>
    <w:rsid w:val="004B0DDA"/>
    <w:rsid w:val="004B1134"/>
    <w:rsid w:val="004B1CB4"/>
    <w:rsid w:val="004B2F18"/>
    <w:rsid w:val="004B33E1"/>
    <w:rsid w:val="004B38BC"/>
    <w:rsid w:val="004B3DDB"/>
    <w:rsid w:val="004B44FD"/>
    <w:rsid w:val="004B5CFC"/>
    <w:rsid w:val="004B6F79"/>
    <w:rsid w:val="004B774D"/>
    <w:rsid w:val="004C0B4A"/>
    <w:rsid w:val="004C136A"/>
    <w:rsid w:val="004C1394"/>
    <w:rsid w:val="004C2483"/>
    <w:rsid w:val="004C2AC2"/>
    <w:rsid w:val="004C461B"/>
    <w:rsid w:val="004C4AED"/>
    <w:rsid w:val="004C698C"/>
    <w:rsid w:val="004D2C2D"/>
    <w:rsid w:val="004D3345"/>
    <w:rsid w:val="004D3E4A"/>
    <w:rsid w:val="004D60C5"/>
    <w:rsid w:val="004D69B5"/>
    <w:rsid w:val="004D7227"/>
    <w:rsid w:val="004D7B5E"/>
    <w:rsid w:val="004E05F6"/>
    <w:rsid w:val="004E0E7F"/>
    <w:rsid w:val="004E0EB8"/>
    <w:rsid w:val="004E18E9"/>
    <w:rsid w:val="004E2ADC"/>
    <w:rsid w:val="004E43B2"/>
    <w:rsid w:val="004E56E9"/>
    <w:rsid w:val="004F1D02"/>
    <w:rsid w:val="004F2679"/>
    <w:rsid w:val="004F2F21"/>
    <w:rsid w:val="004F32F7"/>
    <w:rsid w:val="004F3916"/>
    <w:rsid w:val="004F3DE5"/>
    <w:rsid w:val="004F4F32"/>
    <w:rsid w:val="004F4F47"/>
    <w:rsid w:val="004F550B"/>
    <w:rsid w:val="004F6913"/>
    <w:rsid w:val="004F7865"/>
    <w:rsid w:val="005008D5"/>
    <w:rsid w:val="0050139B"/>
    <w:rsid w:val="0050174E"/>
    <w:rsid w:val="00501854"/>
    <w:rsid w:val="0050219B"/>
    <w:rsid w:val="00503366"/>
    <w:rsid w:val="00503BF9"/>
    <w:rsid w:val="00503F17"/>
    <w:rsid w:val="00503F3A"/>
    <w:rsid w:val="00506928"/>
    <w:rsid w:val="00506CC8"/>
    <w:rsid w:val="0050706A"/>
    <w:rsid w:val="005077EF"/>
    <w:rsid w:val="00510CF4"/>
    <w:rsid w:val="00511AD5"/>
    <w:rsid w:val="00511DC7"/>
    <w:rsid w:val="005142C5"/>
    <w:rsid w:val="00514F30"/>
    <w:rsid w:val="0051501B"/>
    <w:rsid w:val="005152B5"/>
    <w:rsid w:val="00515886"/>
    <w:rsid w:val="00515A57"/>
    <w:rsid w:val="0051729C"/>
    <w:rsid w:val="0052123C"/>
    <w:rsid w:val="00521319"/>
    <w:rsid w:val="00522BC8"/>
    <w:rsid w:val="00523C28"/>
    <w:rsid w:val="005248F0"/>
    <w:rsid w:val="005277D1"/>
    <w:rsid w:val="00530C06"/>
    <w:rsid w:val="00530EFE"/>
    <w:rsid w:val="0053176B"/>
    <w:rsid w:val="00531C61"/>
    <w:rsid w:val="00531D92"/>
    <w:rsid w:val="00532F8A"/>
    <w:rsid w:val="00533252"/>
    <w:rsid w:val="005335C1"/>
    <w:rsid w:val="005341B3"/>
    <w:rsid w:val="00536F42"/>
    <w:rsid w:val="00537182"/>
    <w:rsid w:val="005412EB"/>
    <w:rsid w:val="00541EDD"/>
    <w:rsid w:val="00542033"/>
    <w:rsid w:val="00542743"/>
    <w:rsid w:val="00542C2D"/>
    <w:rsid w:val="00545475"/>
    <w:rsid w:val="00546181"/>
    <w:rsid w:val="005478BD"/>
    <w:rsid w:val="005479E3"/>
    <w:rsid w:val="00551985"/>
    <w:rsid w:val="00552BD3"/>
    <w:rsid w:val="00553109"/>
    <w:rsid w:val="005532A0"/>
    <w:rsid w:val="00555109"/>
    <w:rsid w:val="005564D1"/>
    <w:rsid w:val="00556B35"/>
    <w:rsid w:val="0055741A"/>
    <w:rsid w:val="00557A8C"/>
    <w:rsid w:val="00557D9A"/>
    <w:rsid w:val="005611B7"/>
    <w:rsid w:val="005618D4"/>
    <w:rsid w:val="00563C0A"/>
    <w:rsid w:val="00564867"/>
    <w:rsid w:val="00565204"/>
    <w:rsid w:val="00565C79"/>
    <w:rsid w:val="00565DF0"/>
    <w:rsid w:val="0056696F"/>
    <w:rsid w:val="005713F6"/>
    <w:rsid w:val="0057166F"/>
    <w:rsid w:val="00571E49"/>
    <w:rsid w:val="00572269"/>
    <w:rsid w:val="0057244A"/>
    <w:rsid w:val="005729DE"/>
    <w:rsid w:val="00572F26"/>
    <w:rsid w:val="005750C5"/>
    <w:rsid w:val="005752DE"/>
    <w:rsid w:val="005753C0"/>
    <w:rsid w:val="00575AA1"/>
    <w:rsid w:val="00575D60"/>
    <w:rsid w:val="00575D8D"/>
    <w:rsid w:val="00576531"/>
    <w:rsid w:val="00576972"/>
    <w:rsid w:val="00577248"/>
    <w:rsid w:val="00577487"/>
    <w:rsid w:val="00580DF4"/>
    <w:rsid w:val="00580FE1"/>
    <w:rsid w:val="005819DA"/>
    <w:rsid w:val="005826A3"/>
    <w:rsid w:val="00583699"/>
    <w:rsid w:val="00584862"/>
    <w:rsid w:val="00585CDD"/>
    <w:rsid w:val="0058648A"/>
    <w:rsid w:val="00587058"/>
    <w:rsid w:val="00591957"/>
    <w:rsid w:val="00597BF9"/>
    <w:rsid w:val="005A0C11"/>
    <w:rsid w:val="005A309A"/>
    <w:rsid w:val="005A3267"/>
    <w:rsid w:val="005A3625"/>
    <w:rsid w:val="005A373D"/>
    <w:rsid w:val="005A6624"/>
    <w:rsid w:val="005A6E2A"/>
    <w:rsid w:val="005B0B58"/>
    <w:rsid w:val="005B2896"/>
    <w:rsid w:val="005B3CCD"/>
    <w:rsid w:val="005B4E53"/>
    <w:rsid w:val="005B5857"/>
    <w:rsid w:val="005C19C4"/>
    <w:rsid w:val="005C1B83"/>
    <w:rsid w:val="005C25FF"/>
    <w:rsid w:val="005C2D55"/>
    <w:rsid w:val="005C346B"/>
    <w:rsid w:val="005C4178"/>
    <w:rsid w:val="005C4423"/>
    <w:rsid w:val="005C5ABC"/>
    <w:rsid w:val="005C5C79"/>
    <w:rsid w:val="005C73E9"/>
    <w:rsid w:val="005D044D"/>
    <w:rsid w:val="005D0ABD"/>
    <w:rsid w:val="005D138A"/>
    <w:rsid w:val="005D18AD"/>
    <w:rsid w:val="005D26B4"/>
    <w:rsid w:val="005D2F94"/>
    <w:rsid w:val="005D6193"/>
    <w:rsid w:val="005D6E13"/>
    <w:rsid w:val="005E1995"/>
    <w:rsid w:val="005E6CBC"/>
    <w:rsid w:val="005E72FF"/>
    <w:rsid w:val="005E73C0"/>
    <w:rsid w:val="005E7DC7"/>
    <w:rsid w:val="005F07ED"/>
    <w:rsid w:val="005F1DBF"/>
    <w:rsid w:val="005F2706"/>
    <w:rsid w:val="005F37CF"/>
    <w:rsid w:val="005F4347"/>
    <w:rsid w:val="005F4DB5"/>
    <w:rsid w:val="005F597C"/>
    <w:rsid w:val="005F6A8F"/>
    <w:rsid w:val="005F6B07"/>
    <w:rsid w:val="005F6BB7"/>
    <w:rsid w:val="005F7588"/>
    <w:rsid w:val="00600EB8"/>
    <w:rsid w:val="006012A0"/>
    <w:rsid w:val="00601402"/>
    <w:rsid w:val="00601454"/>
    <w:rsid w:val="0060153E"/>
    <w:rsid w:val="00603A66"/>
    <w:rsid w:val="00603DB9"/>
    <w:rsid w:val="00603ED1"/>
    <w:rsid w:val="006067AB"/>
    <w:rsid w:val="00606FBA"/>
    <w:rsid w:val="00607669"/>
    <w:rsid w:val="006076F4"/>
    <w:rsid w:val="00607AFD"/>
    <w:rsid w:val="00611B12"/>
    <w:rsid w:val="00612F97"/>
    <w:rsid w:val="0061345D"/>
    <w:rsid w:val="006151BE"/>
    <w:rsid w:val="0061549B"/>
    <w:rsid w:val="00616802"/>
    <w:rsid w:val="00616EB0"/>
    <w:rsid w:val="00617E12"/>
    <w:rsid w:val="00620C25"/>
    <w:rsid w:val="00620D08"/>
    <w:rsid w:val="00621477"/>
    <w:rsid w:val="00621ADA"/>
    <w:rsid w:val="00623F7B"/>
    <w:rsid w:val="006241AE"/>
    <w:rsid w:val="0062425E"/>
    <w:rsid w:val="006246FF"/>
    <w:rsid w:val="00624BD4"/>
    <w:rsid w:val="0063129D"/>
    <w:rsid w:val="0063158F"/>
    <w:rsid w:val="00631A44"/>
    <w:rsid w:val="00631D6B"/>
    <w:rsid w:val="00632183"/>
    <w:rsid w:val="006330A1"/>
    <w:rsid w:val="0063479F"/>
    <w:rsid w:val="00634C90"/>
    <w:rsid w:val="006353F0"/>
    <w:rsid w:val="006357B5"/>
    <w:rsid w:val="00636086"/>
    <w:rsid w:val="00636267"/>
    <w:rsid w:val="006362B2"/>
    <w:rsid w:val="006364A1"/>
    <w:rsid w:val="0063678E"/>
    <w:rsid w:val="006378D6"/>
    <w:rsid w:val="00637BFD"/>
    <w:rsid w:val="00637C5C"/>
    <w:rsid w:val="00641C4E"/>
    <w:rsid w:val="00641FB3"/>
    <w:rsid w:val="0064434C"/>
    <w:rsid w:val="00646E02"/>
    <w:rsid w:val="006471CC"/>
    <w:rsid w:val="006472FE"/>
    <w:rsid w:val="006475E3"/>
    <w:rsid w:val="00647A29"/>
    <w:rsid w:val="00647C79"/>
    <w:rsid w:val="0065079F"/>
    <w:rsid w:val="00652476"/>
    <w:rsid w:val="00652A28"/>
    <w:rsid w:val="0065379F"/>
    <w:rsid w:val="00653ADA"/>
    <w:rsid w:val="00656188"/>
    <w:rsid w:val="00656D17"/>
    <w:rsid w:val="0065715A"/>
    <w:rsid w:val="006576A4"/>
    <w:rsid w:val="006610F1"/>
    <w:rsid w:val="00661C6B"/>
    <w:rsid w:val="0066222A"/>
    <w:rsid w:val="00662D3E"/>
    <w:rsid w:val="006643F3"/>
    <w:rsid w:val="006648F8"/>
    <w:rsid w:val="00664D77"/>
    <w:rsid w:val="006665D5"/>
    <w:rsid w:val="00667BE3"/>
    <w:rsid w:val="006700D5"/>
    <w:rsid w:val="00670B3E"/>
    <w:rsid w:val="00671004"/>
    <w:rsid w:val="00672646"/>
    <w:rsid w:val="006727A6"/>
    <w:rsid w:val="00672917"/>
    <w:rsid w:val="00674E42"/>
    <w:rsid w:val="00676563"/>
    <w:rsid w:val="006813F8"/>
    <w:rsid w:val="00682112"/>
    <w:rsid w:val="00682BA6"/>
    <w:rsid w:val="00684A5C"/>
    <w:rsid w:val="0068691E"/>
    <w:rsid w:val="00686957"/>
    <w:rsid w:val="006872BA"/>
    <w:rsid w:val="0068793B"/>
    <w:rsid w:val="00690795"/>
    <w:rsid w:val="00691648"/>
    <w:rsid w:val="006917D7"/>
    <w:rsid w:val="006937E2"/>
    <w:rsid w:val="0069434C"/>
    <w:rsid w:val="00694F44"/>
    <w:rsid w:val="006952AA"/>
    <w:rsid w:val="00696E11"/>
    <w:rsid w:val="00696EF9"/>
    <w:rsid w:val="00696F51"/>
    <w:rsid w:val="006978BC"/>
    <w:rsid w:val="006979A5"/>
    <w:rsid w:val="006A016F"/>
    <w:rsid w:val="006A0DF7"/>
    <w:rsid w:val="006A4321"/>
    <w:rsid w:val="006A43D9"/>
    <w:rsid w:val="006A492B"/>
    <w:rsid w:val="006A55FB"/>
    <w:rsid w:val="006A6B99"/>
    <w:rsid w:val="006A7E5F"/>
    <w:rsid w:val="006B03F1"/>
    <w:rsid w:val="006B261B"/>
    <w:rsid w:val="006B2C90"/>
    <w:rsid w:val="006B35E6"/>
    <w:rsid w:val="006B3BAB"/>
    <w:rsid w:val="006B465A"/>
    <w:rsid w:val="006B6DD0"/>
    <w:rsid w:val="006C0399"/>
    <w:rsid w:val="006C2A8E"/>
    <w:rsid w:val="006C3255"/>
    <w:rsid w:val="006C3B6A"/>
    <w:rsid w:val="006C3F26"/>
    <w:rsid w:val="006C49D4"/>
    <w:rsid w:val="006C6E94"/>
    <w:rsid w:val="006D0D17"/>
    <w:rsid w:val="006D1A3F"/>
    <w:rsid w:val="006D2249"/>
    <w:rsid w:val="006D3C7D"/>
    <w:rsid w:val="006D4659"/>
    <w:rsid w:val="006D5D5F"/>
    <w:rsid w:val="006D68FB"/>
    <w:rsid w:val="006D6A9E"/>
    <w:rsid w:val="006D6B67"/>
    <w:rsid w:val="006D7CE0"/>
    <w:rsid w:val="006E1EF7"/>
    <w:rsid w:val="006E2868"/>
    <w:rsid w:val="006E47A2"/>
    <w:rsid w:val="006E4833"/>
    <w:rsid w:val="006E5152"/>
    <w:rsid w:val="006E7794"/>
    <w:rsid w:val="006F0432"/>
    <w:rsid w:val="006F2EB4"/>
    <w:rsid w:val="006F306C"/>
    <w:rsid w:val="006F36AD"/>
    <w:rsid w:val="006F63A5"/>
    <w:rsid w:val="006F7E2B"/>
    <w:rsid w:val="0070142B"/>
    <w:rsid w:val="0070276E"/>
    <w:rsid w:val="00702F8F"/>
    <w:rsid w:val="007046D2"/>
    <w:rsid w:val="00704A0A"/>
    <w:rsid w:val="00705350"/>
    <w:rsid w:val="00705542"/>
    <w:rsid w:val="007079FC"/>
    <w:rsid w:val="00711A36"/>
    <w:rsid w:val="007125D3"/>
    <w:rsid w:val="00714345"/>
    <w:rsid w:val="00714C26"/>
    <w:rsid w:val="0071529C"/>
    <w:rsid w:val="007170DA"/>
    <w:rsid w:val="007172AD"/>
    <w:rsid w:val="00717546"/>
    <w:rsid w:val="00720801"/>
    <w:rsid w:val="007209B8"/>
    <w:rsid w:val="00722B1B"/>
    <w:rsid w:val="0072416F"/>
    <w:rsid w:val="00727408"/>
    <w:rsid w:val="00727C94"/>
    <w:rsid w:val="00731B0A"/>
    <w:rsid w:val="00731EAE"/>
    <w:rsid w:val="00733073"/>
    <w:rsid w:val="00735033"/>
    <w:rsid w:val="00735328"/>
    <w:rsid w:val="00735715"/>
    <w:rsid w:val="007364B7"/>
    <w:rsid w:val="0073685B"/>
    <w:rsid w:val="00740150"/>
    <w:rsid w:val="00742815"/>
    <w:rsid w:val="00742E4C"/>
    <w:rsid w:val="00744071"/>
    <w:rsid w:val="007449BF"/>
    <w:rsid w:val="007452FD"/>
    <w:rsid w:val="00745A5D"/>
    <w:rsid w:val="007463FE"/>
    <w:rsid w:val="00746BC0"/>
    <w:rsid w:val="007510B4"/>
    <w:rsid w:val="00752142"/>
    <w:rsid w:val="007521B7"/>
    <w:rsid w:val="007523F9"/>
    <w:rsid w:val="0075357E"/>
    <w:rsid w:val="007539D9"/>
    <w:rsid w:val="00753B29"/>
    <w:rsid w:val="007542C5"/>
    <w:rsid w:val="00756E10"/>
    <w:rsid w:val="007573E8"/>
    <w:rsid w:val="00760C4E"/>
    <w:rsid w:val="00760D43"/>
    <w:rsid w:val="00760F9E"/>
    <w:rsid w:val="007616E6"/>
    <w:rsid w:val="00762477"/>
    <w:rsid w:val="007627BE"/>
    <w:rsid w:val="00762B8A"/>
    <w:rsid w:val="00762DF3"/>
    <w:rsid w:val="00764F03"/>
    <w:rsid w:val="00765B1A"/>
    <w:rsid w:val="00765DC1"/>
    <w:rsid w:val="007700E8"/>
    <w:rsid w:val="007710FE"/>
    <w:rsid w:val="007712D0"/>
    <w:rsid w:val="007732F9"/>
    <w:rsid w:val="00774A46"/>
    <w:rsid w:val="00775F3D"/>
    <w:rsid w:val="00777335"/>
    <w:rsid w:val="00783974"/>
    <w:rsid w:val="007843F2"/>
    <w:rsid w:val="007846FA"/>
    <w:rsid w:val="00784CDD"/>
    <w:rsid w:val="00785A9F"/>
    <w:rsid w:val="00787CA3"/>
    <w:rsid w:val="00790684"/>
    <w:rsid w:val="00791083"/>
    <w:rsid w:val="0079145B"/>
    <w:rsid w:val="007925DF"/>
    <w:rsid w:val="007940EA"/>
    <w:rsid w:val="007944CE"/>
    <w:rsid w:val="007A08AA"/>
    <w:rsid w:val="007A0A12"/>
    <w:rsid w:val="007A132D"/>
    <w:rsid w:val="007A1345"/>
    <w:rsid w:val="007A2DDB"/>
    <w:rsid w:val="007A2FDA"/>
    <w:rsid w:val="007A37DB"/>
    <w:rsid w:val="007A4366"/>
    <w:rsid w:val="007A620D"/>
    <w:rsid w:val="007A65F4"/>
    <w:rsid w:val="007A6DF7"/>
    <w:rsid w:val="007A70BA"/>
    <w:rsid w:val="007A78F9"/>
    <w:rsid w:val="007B0D68"/>
    <w:rsid w:val="007B20DF"/>
    <w:rsid w:val="007B251D"/>
    <w:rsid w:val="007B3533"/>
    <w:rsid w:val="007B4F58"/>
    <w:rsid w:val="007B528D"/>
    <w:rsid w:val="007B63CA"/>
    <w:rsid w:val="007B77D1"/>
    <w:rsid w:val="007B77F7"/>
    <w:rsid w:val="007B7E30"/>
    <w:rsid w:val="007C07C7"/>
    <w:rsid w:val="007C152F"/>
    <w:rsid w:val="007C1CD9"/>
    <w:rsid w:val="007C32EF"/>
    <w:rsid w:val="007C361D"/>
    <w:rsid w:val="007C4B84"/>
    <w:rsid w:val="007C70FF"/>
    <w:rsid w:val="007C7C25"/>
    <w:rsid w:val="007D004F"/>
    <w:rsid w:val="007D035F"/>
    <w:rsid w:val="007D06B2"/>
    <w:rsid w:val="007D0B38"/>
    <w:rsid w:val="007D1159"/>
    <w:rsid w:val="007D1556"/>
    <w:rsid w:val="007D3399"/>
    <w:rsid w:val="007D5440"/>
    <w:rsid w:val="007D6228"/>
    <w:rsid w:val="007D69EB"/>
    <w:rsid w:val="007E128F"/>
    <w:rsid w:val="007E12AC"/>
    <w:rsid w:val="007E2562"/>
    <w:rsid w:val="007E4432"/>
    <w:rsid w:val="007E6C41"/>
    <w:rsid w:val="007E7275"/>
    <w:rsid w:val="007F1017"/>
    <w:rsid w:val="007F1754"/>
    <w:rsid w:val="007F3412"/>
    <w:rsid w:val="007F4A3F"/>
    <w:rsid w:val="007F4A61"/>
    <w:rsid w:val="007F5255"/>
    <w:rsid w:val="007F56CC"/>
    <w:rsid w:val="007F61C2"/>
    <w:rsid w:val="007F64AB"/>
    <w:rsid w:val="007F7940"/>
    <w:rsid w:val="00800051"/>
    <w:rsid w:val="0080067A"/>
    <w:rsid w:val="008026FA"/>
    <w:rsid w:val="00805142"/>
    <w:rsid w:val="00805BB9"/>
    <w:rsid w:val="00805FCE"/>
    <w:rsid w:val="00807A8B"/>
    <w:rsid w:val="00811383"/>
    <w:rsid w:val="00811457"/>
    <w:rsid w:val="0081212A"/>
    <w:rsid w:val="00812149"/>
    <w:rsid w:val="00812CAC"/>
    <w:rsid w:val="00813CD1"/>
    <w:rsid w:val="00815DBB"/>
    <w:rsid w:val="00816361"/>
    <w:rsid w:val="008166EF"/>
    <w:rsid w:val="00816FEF"/>
    <w:rsid w:val="00817F33"/>
    <w:rsid w:val="00820A8C"/>
    <w:rsid w:val="00820DE6"/>
    <w:rsid w:val="008215FB"/>
    <w:rsid w:val="008220CC"/>
    <w:rsid w:val="00822A4A"/>
    <w:rsid w:val="00823174"/>
    <w:rsid w:val="00825751"/>
    <w:rsid w:val="008264EB"/>
    <w:rsid w:val="008268CE"/>
    <w:rsid w:val="00827C23"/>
    <w:rsid w:val="00827DE0"/>
    <w:rsid w:val="00830169"/>
    <w:rsid w:val="008312D7"/>
    <w:rsid w:val="00833B05"/>
    <w:rsid w:val="008362B4"/>
    <w:rsid w:val="008364C9"/>
    <w:rsid w:val="00837B4C"/>
    <w:rsid w:val="00840CA2"/>
    <w:rsid w:val="00841331"/>
    <w:rsid w:val="0084374F"/>
    <w:rsid w:val="00844A22"/>
    <w:rsid w:val="00845B55"/>
    <w:rsid w:val="00845C01"/>
    <w:rsid w:val="00846C69"/>
    <w:rsid w:val="00847703"/>
    <w:rsid w:val="00847DF5"/>
    <w:rsid w:val="00851803"/>
    <w:rsid w:val="0085309D"/>
    <w:rsid w:val="008537CB"/>
    <w:rsid w:val="00854351"/>
    <w:rsid w:val="00854D81"/>
    <w:rsid w:val="008553C8"/>
    <w:rsid w:val="00856897"/>
    <w:rsid w:val="00856E9A"/>
    <w:rsid w:val="0086064F"/>
    <w:rsid w:val="0086075D"/>
    <w:rsid w:val="0086214C"/>
    <w:rsid w:val="00862502"/>
    <w:rsid w:val="00862CC1"/>
    <w:rsid w:val="008642A7"/>
    <w:rsid w:val="008660D4"/>
    <w:rsid w:val="008715AE"/>
    <w:rsid w:val="00871FA9"/>
    <w:rsid w:val="008728E9"/>
    <w:rsid w:val="00881B18"/>
    <w:rsid w:val="008820D5"/>
    <w:rsid w:val="00882874"/>
    <w:rsid w:val="00882E3C"/>
    <w:rsid w:val="0088308A"/>
    <w:rsid w:val="00883787"/>
    <w:rsid w:val="008855E4"/>
    <w:rsid w:val="00886CD2"/>
    <w:rsid w:val="00891E6F"/>
    <w:rsid w:val="0089275D"/>
    <w:rsid w:val="00892A36"/>
    <w:rsid w:val="00893239"/>
    <w:rsid w:val="00893BD8"/>
    <w:rsid w:val="00894489"/>
    <w:rsid w:val="00894BF3"/>
    <w:rsid w:val="00894CD6"/>
    <w:rsid w:val="00895CCD"/>
    <w:rsid w:val="008963A5"/>
    <w:rsid w:val="0089642C"/>
    <w:rsid w:val="00896D5D"/>
    <w:rsid w:val="008A06AF"/>
    <w:rsid w:val="008A0A3E"/>
    <w:rsid w:val="008A3158"/>
    <w:rsid w:val="008A3363"/>
    <w:rsid w:val="008A3371"/>
    <w:rsid w:val="008A3C3E"/>
    <w:rsid w:val="008A4327"/>
    <w:rsid w:val="008A4EA7"/>
    <w:rsid w:val="008A6DBF"/>
    <w:rsid w:val="008A76FE"/>
    <w:rsid w:val="008A79DE"/>
    <w:rsid w:val="008B1757"/>
    <w:rsid w:val="008B1C33"/>
    <w:rsid w:val="008B4B6F"/>
    <w:rsid w:val="008B6C0C"/>
    <w:rsid w:val="008B7992"/>
    <w:rsid w:val="008B7D7E"/>
    <w:rsid w:val="008C0634"/>
    <w:rsid w:val="008C1408"/>
    <w:rsid w:val="008C1CD8"/>
    <w:rsid w:val="008C511B"/>
    <w:rsid w:val="008C5610"/>
    <w:rsid w:val="008C5739"/>
    <w:rsid w:val="008C5E34"/>
    <w:rsid w:val="008C6DE7"/>
    <w:rsid w:val="008C7282"/>
    <w:rsid w:val="008C7ECB"/>
    <w:rsid w:val="008D1DFE"/>
    <w:rsid w:val="008D3119"/>
    <w:rsid w:val="008D3B5A"/>
    <w:rsid w:val="008D3B86"/>
    <w:rsid w:val="008D43FD"/>
    <w:rsid w:val="008D4755"/>
    <w:rsid w:val="008D4C3D"/>
    <w:rsid w:val="008D5E2D"/>
    <w:rsid w:val="008D743C"/>
    <w:rsid w:val="008D7F7C"/>
    <w:rsid w:val="008E03EE"/>
    <w:rsid w:val="008E0D3C"/>
    <w:rsid w:val="008E1B9E"/>
    <w:rsid w:val="008E55AB"/>
    <w:rsid w:val="008F00E9"/>
    <w:rsid w:val="008F0F43"/>
    <w:rsid w:val="008F119D"/>
    <w:rsid w:val="008F120A"/>
    <w:rsid w:val="008F27E0"/>
    <w:rsid w:val="008F48EB"/>
    <w:rsid w:val="008F4F0B"/>
    <w:rsid w:val="008F5175"/>
    <w:rsid w:val="008F55E7"/>
    <w:rsid w:val="008F754E"/>
    <w:rsid w:val="009046C4"/>
    <w:rsid w:val="00904FFB"/>
    <w:rsid w:val="009062A5"/>
    <w:rsid w:val="009068A2"/>
    <w:rsid w:val="00907699"/>
    <w:rsid w:val="00910FA7"/>
    <w:rsid w:val="00911272"/>
    <w:rsid w:val="00911339"/>
    <w:rsid w:val="00911828"/>
    <w:rsid w:val="009135D6"/>
    <w:rsid w:val="00914C77"/>
    <w:rsid w:val="00921ACB"/>
    <w:rsid w:val="0092369B"/>
    <w:rsid w:val="00926142"/>
    <w:rsid w:val="00926BF8"/>
    <w:rsid w:val="00934988"/>
    <w:rsid w:val="00934CB8"/>
    <w:rsid w:val="00937089"/>
    <w:rsid w:val="00940057"/>
    <w:rsid w:val="00944491"/>
    <w:rsid w:val="00944E1E"/>
    <w:rsid w:val="00944F8A"/>
    <w:rsid w:val="00945D9A"/>
    <w:rsid w:val="009510A2"/>
    <w:rsid w:val="009528AE"/>
    <w:rsid w:val="009530E1"/>
    <w:rsid w:val="00953257"/>
    <w:rsid w:val="00953C73"/>
    <w:rsid w:val="0095474C"/>
    <w:rsid w:val="00957D92"/>
    <w:rsid w:val="00960F9A"/>
    <w:rsid w:val="00962CB9"/>
    <w:rsid w:val="00963B26"/>
    <w:rsid w:val="00964312"/>
    <w:rsid w:val="009658D0"/>
    <w:rsid w:val="00965B8A"/>
    <w:rsid w:val="009668D4"/>
    <w:rsid w:val="0097071F"/>
    <w:rsid w:val="009717AC"/>
    <w:rsid w:val="0097453A"/>
    <w:rsid w:val="00974DA2"/>
    <w:rsid w:val="009750B3"/>
    <w:rsid w:val="009751C1"/>
    <w:rsid w:val="009754FC"/>
    <w:rsid w:val="009811F1"/>
    <w:rsid w:val="00981FCC"/>
    <w:rsid w:val="00983E57"/>
    <w:rsid w:val="009855E1"/>
    <w:rsid w:val="00985DE2"/>
    <w:rsid w:val="00985E5E"/>
    <w:rsid w:val="00985EF3"/>
    <w:rsid w:val="0098675D"/>
    <w:rsid w:val="00987BA4"/>
    <w:rsid w:val="009903DD"/>
    <w:rsid w:val="00991CB4"/>
    <w:rsid w:val="009920CA"/>
    <w:rsid w:val="009926E0"/>
    <w:rsid w:val="0099451E"/>
    <w:rsid w:val="00996B1A"/>
    <w:rsid w:val="00997CDC"/>
    <w:rsid w:val="009A18F6"/>
    <w:rsid w:val="009A29B2"/>
    <w:rsid w:val="009A2A6A"/>
    <w:rsid w:val="009A2DCC"/>
    <w:rsid w:val="009A5ABC"/>
    <w:rsid w:val="009A608C"/>
    <w:rsid w:val="009A72B5"/>
    <w:rsid w:val="009A7F10"/>
    <w:rsid w:val="009B3E26"/>
    <w:rsid w:val="009C1271"/>
    <w:rsid w:val="009C29A0"/>
    <w:rsid w:val="009C3706"/>
    <w:rsid w:val="009C3A3A"/>
    <w:rsid w:val="009C611F"/>
    <w:rsid w:val="009C640D"/>
    <w:rsid w:val="009C6CEA"/>
    <w:rsid w:val="009C744A"/>
    <w:rsid w:val="009C7B85"/>
    <w:rsid w:val="009D0254"/>
    <w:rsid w:val="009D1A64"/>
    <w:rsid w:val="009D227C"/>
    <w:rsid w:val="009D5507"/>
    <w:rsid w:val="009D5B91"/>
    <w:rsid w:val="009D5C7D"/>
    <w:rsid w:val="009D792E"/>
    <w:rsid w:val="009E0DFE"/>
    <w:rsid w:val="009E0EAF"/>
    <w:rsid w:val="009E31F6"/>
    <w:rsid w:val="009E4C07"/>
    <w:rsid w:val="009E66F6"/>
    <w:rsid w:val="009E70D6"/>
    <w:rsid w:val="009E777F"/>
    <w:rsid w:val="009F2164"/>
    <w:rsid w:val="009F6120"/>
    <w:rsid w:val="00A00D76"/>
    <w:rsid w:val="00A01184"/>
    <w:rsid w:val="00A01449"/>
    <w:rsid w:val="00A0147B"/>
    <w:rsid w:val="00A0322B"/>
    <w:rsid w:val="00A037C2"/>
    <w:rsid w:val="00A03D43"/>
    <w:rsid w:val="00A04380"/>
    <w:rsid w:val="00A04786"/>
    <w:rsid w:val="00A04F94"/>
    <w:rsid w:val="00A05472"/>
    <w:rsid w:val="00A05C32"/>
    <w:rsid w:val="00A060D4"/>
    <w:rsid w:val="00A0653F"/>
    <w:rsid w:val="00A11AA8"/>
    <w:rsid w:val="00A11CD0"/>
    <w:rsid w:val="00A1254D"/>
    <w:rsid w:val="00A13948"/>
    <w:rsid w:val="00A1555B"/>
    <w:rsid w:val="00A155C5"/>
    <w:rsid w:val="00A16AD8"/>
    <w:rsid w:val="00A17385"/>
    <w:rsid w:val="00A2021E"/>
    <w:rsid w:val="00A21C95"/>
    <w:rsid w:val="00A21CF3"/>
    <w:rsid w:val="00A2228C"/>
    <w:rsid w:val="00A22DB2"/>
    <w:rsid w:val="00A234D3"/>
    <w:rsid w:val="00A236A4"/>
    <w:rsid w:val="00A24813"/>
    <w:rsid w:val="00A24CFF"/>
    <w:rsid w:val="00A265DE"/>
    <w:rsid w:val="00A27AEC"/>
    <w:rsid w:val="00A310CF"/>
    <w:rsid w:val="00A31E16"/>
    <w:rsid w:val="00A31F5D"/>
    <w:rsid w:val="00A320DB"/>
    <w:rsid w:val="00A32254"/>
    <w:rsid w:val="00A329D2"/>
    <w:rsid w:val="00A34D84"/>
    <w:rsid w:val="00A352E7"/>
    <w:rsid w:val="00A35D16"/>
    <w:rsid w:val="00A365DF"/>
    <w:rsid w:val="00A371BA"/>
    <w:rsid w:val="00A377A5"/>
    <w:rsid w:val="00A37BCD"/>
    <w:rsid w:val="00A37C70"/>
    <w:rsid w:val="00A41689"/>
    <w:rsid w:val="00A42592"/>
    <w:rsid w:val="00A42727"/>
    <w:rsid w:val="00A42D75"/>
    <w:rsid w:val="00A43C59"/>
    <w:rsid w:val="00A44B4F"/>
    <w:rsid w:val="00A50ECD"/>
    <w:rsid w:val="00A517F4"/>
    <w:rsid w:val="00A518F3"/>
    <w:rsid w:val="00A52729"/>
    <w:rsid w:val="00A53675"/>
    <w:rsid w:val="00A564D7"/>
    <w:rsid w:val="00A56B6A"/>
    <w:rsid w:val="00A578DC"/>
    <w:rsid w:val="00A60A31"/>
    <w:rsid w:val="00A640E2"/>
    <w:rsid w:val="00A64684"/>
    <w:rsid w:val="00A64D65"/>
    <w:rsid w:val="00A66CF1"/>
    <w:rsid w:val="00A6725B"/>
    <w:rsid w:val="00A67506"/>
    <w:rsid w:val="00A67CAA"/>
    <w:rsid w:val="00A70605"/>
    <w:rsid w:val="00A71CF1"/>
    <w:rsid w:val="00A7302B"/>
    <w:rsid w:val="00A73134"/>
    <w:rsid w:val="00A73542"/>
    <w:rsid w:val="00A7365A"/>
    <w:rsid w:val="00A741E8"/>
    <w:rsid w:val="00A74BC9"/>
    <w:rsid w:val="00A74EF5"/>
    <w:rsid w:val="00A76001"/>
    <w:rsid w:val="00A76DE3"/>
    <w:rsid w:val="00A774FE"/>
    <w:rsid w:val="00A777B2"/>
    <w:rsid w:val="00A81BA0"/>
    <w:rsid w:val="00A825D4"/>
    <w:rsid w:val="00A828F6"/>
    <w:rsid w:val="00A82B73"/>
    <w:rsid w:val="00A83BB6"/>
    <w:rsid w:val="00A86E8B"/>
    <w:rsid w:val="00A87164"/>
    <w:rsid w:val="00A871A9"/>
    <w:rsid w:val="00A9282A"/>
    <w:rsid w:val="00A93072"/>
    <w:rsid w:val="00A93333"/>
    <w:rsid w:val="00A938BD"/>
    <w:rsid w:val="00A93953"/>
    <w:rsid w:val="00A959D8"/>
    <w:rsid w:val="00A97475"/>
    <w:rsid w:val="00A9781C"/>
    <w:rsid w:val="00AA113D"/>
    <w:rsid w:val="00AA24CD"/>
    <w:rsid w:val="00AA6386"/>
    <w:rsid w:val="00AA67E5"/>
    <w:rsid w:val="00AA6BD5"/>
    <w:rsid w:val="00AA6BD8"/>
    <w:rsid w:val="00AA6C7D"/>
    <w:rsid w:val="00AA7FD6"/>
    <w:rsid w:val="00AB00A3"/>
    <w:rsid w:val="00AB042A"/>
    <w:rsid w:val="00AB11AD"/>
    <w:rsid w:val="00AB19EF"/>
    <w:rsid w:val="00AB2495"/>
    <w:rsid w:val="00AB2D34"/>
    <w:rsid w:val="00AB305F"/>
    <w:rsid w:val="00AB3430"/>
    <w:rsid w:val="00AB37B9"/>
    <w:rsid w:val="00AB423D"/>
    <w:rsid w:val="00AB4AD1"/>
    <w:rsid w:val="00AB5E07"/>
    <w:rsid w:val="00AB7CFA"/>
    <w:rsid w:val="00AC126F"/>
    <w:rsid w:val="00AC4868"/>
    <w:rsid w:val="00AC5B42"/>
    <w:rsid w:val="00AC5B48"/>
    <w:rsid w:val="00AC6A80"/>
    <w:rsid w:val="00AC7FE5"/>
    <w:rsid w:val="00AD1450"/>
    <w:rsid w:val="00AD15E8"/>
    <w:rsid w:val="00AD19A8"/>
    <w:rsid w:val="00AD356D"/>
    <w:rsid w:val="00AD4C62"/>
    <w:rsid w:val="00AD5DF0"/>
    <w:rsid w:val="00AD6502"/>
    <w:rsid w:val="00AD6D11"/>
    <w:rsid w:val="00AE033C"/>
    <w:rsid w:val="00AE0695"/>
    <w:rsid w:val="00AE3E7E"/>
    <w:rsid w:val="00AE7E53"/>
    <w:rsid w:val="00AF1315"/>
    <w:rsid w:val="00AF15C0"/>
    <w:rsid w:val="00AF19BF"/>
    <w:rsid w:val="00AF2DC3"/>
    <w:rsid w:val="00AF4D04"/>
    <w:rsid w:val="00AF5DCC"/>
    <w:rsid w:val="00AF739A"/>
    <w:rsid w:val="00B033E5"/>
    <w:rsid w:val="00B03A63"/>
    <w:rsid w:val="00B0405F"/>
    <w:rsid w:val="00B11F72"/>
    <w:rsid w:val="00B129A4"/>
    <w:rsid w:val="00B12A57"/>
    <w:rsid w:val="00B201A4"/>
    <w:rsid w:val="00B201D1"/>
    <w:rsid w:val="00B213A6"/>
    <w:rsid w:val="00B235B0"/>
    <w:rsid w:val="00B2403D"/>
    <w:rsid w:val="00B24DF6"/>
    <w:rsid w:val="00B26A8C"/>
    <w:rsid w:val="00B27A61"/>
    <w:rsid w:val="00B32569"/>
    <w:rsid w:val="00B3369F"/>
    <w:rsid w:val="00B34FE2"/>
    <w:rsid w:val="00B35166"/>
    <w:rsid w:val="00B357D8"/>
    <w:rsid w:val="00B360F4"/>
    <w:rsid w:val="00B36A00"/>
    <w:rsid w:val="00B3792B"/>
    <w:rsid w:val="00B37BFC"/>
    <w:rsid w:val="00B40358"/>
    <w:rsid w:val="00B41305"/>
    <w:rsid w:val="00B41614"/>
    <w:rsid w:val="00B41E6D"/>
    <w:rsid w:val="00B42851"/>
    <w:rsid w:val="00B42F80"/>
    <w:rsid w:val="00B42FED"/>
    <w:rsid w:val="00B435CB"/>
    <w:rsid w:val="00B465EC"/>
    <w:rsid w:val="00B505C8"/>
    <w:rsid w:val="00B50DB8"/>
    <w:rsid w:val="00B52B5D"/>
    <w:rsid w:val="00B53654"/>
    <w:rsid w:val="00B53905"/>
    <w:rsid w:val="00B546DB"/>
    <w:rsid w:val="00B54B5B"/>
    <w:rsid w:val="00B5562E"/>
    <w:rsid w:val="00B55862"/>
    <w:rsid w:val="00B55D65"/>
    <w:rsid w:val="00B56305"/>
    <w:rsid w:val="00B56A65"/>
    <w:rsid w:val="00B57000"/>
    <w:rsid w:val="00B57747"/>
    <w:rsid w:val="00B60939"/>
    <w:rsid w:val="00B60AFD"/>
    <w:rsid w:val="00B6115F"/>
    <w:rsid w:val="00B6226E"/>
    <w:rsid w:val="00B62715"/>
    <w:rsid w:val="00B632C0"/>
    <w:rsid w:val="00B63938"/>
    <w:rsid w:val="00B65611"/>
    <w:rsid w:val="00B65C29"/>
    <w:rsid w:val="00B65F09"/>
    <w:rsid w:val="00B70E8E"/>
    <w:rsid w:val="00B7301D"/>
    <w:rsid w:val="00B759E1"/>
    <w:rsid w:val="00B76C92"/>
    <w:rsid w:val="00B77795"/>
    <w:rsid w:val="00B77C1C"/>
    <w:rsid w:val="00B80EFD"/>
    <w:rsid w:val="00B810F0"/>
    <w:rsid w:val="00B818A4"/>
    <w:rsid w:val="00B81ABB"/>
    <w:rsid w:val="00B824E1"/>
    <w:rsid w:val="00B83739"/>
    <w:rsid w:val="00B84117"/>
    <w:rsid w:val="00B847DD"/>
    <w:rsid w:val="00B858F0"/>
    <w:rsid w:val="00B85AA2"/>
    <w:rsid w:val="00B8649C"/>
    <w:rsid w:val="00B8695D"/>
    <w:rsid w:val="00B871CE"/>
    <w:rsid w:val="00B87F0A"/>
    <w:rsid w:val="00B92D0B"/>
    <w:rsid w:val="00B92DEF"/>
    <w:rsid w:val="00B94945"/>
    <w:rsid w:val="00B94DD6"/>
    <w:rsid w:val="00BA05C0"/>
    <w:rsid w:val="00BA1EB4"/>
    <w:rsid w:val="00BA2C25"/>
    <w:rsid w:val="00BA2CDD"/>
    <w:rsid w:val="00BA322D"/>
    <w:rsid w:val="00BA63FA"/>
    <w:rsid w:val="00BB00B3"/>
    <w:rsid w:val="00BB0BDD"/>
    <w:rsid w:val="00BB176C"/>
    <w:rsid w:val="00BB1CA9"/>
    <w:rsid w:val="00BB2A73"/>
    <w:rsid w:val="00BB3A45"/>
    <w:rsid w:val="00BB4ACC"/>
    <w:rsid w:val="00BB6759"/>
    <w:rsid w:val="00BB703E"/>
    <w:rsid w:val="00BB732D"/>
    <w:rsid w:val="00BB7405"/>
    <w:rsid w:val="00BC0B52"/>
    <w:rsid w:val="00BC198D"/>
    <w:rsid w:val="00BC1CDC"/>
    <w:rsid w:val="00BC200B"/>
    <w:rsid w:val="00BC2AC9"/>
    <w:rsid w:val="00BC3631"/>
    <w:rsid w:val="00BC47D3"/>
    <w:rsid w:val="00BC5201"/>
    <w:rsid w:val="00BC591F"/>
    <w:rsid w:val="00BC6BD0"/>
    <w:rsid w:val="00BC7D6D"/>
    <w:rsid w:val="00BD0BF8"/>
    <w:rsid w:val="00BD2108"/>
    <w:rsid w:val="00BD3C14"/>
    <w:rsid w:val="00BD3EBC"/>
    <w:rsid w:val="00BD68A3"/>
    <w:rsid w:val="00BD6938"/>
    <w:rsid w:val="00BD6CF3"/>
    <w:rsid w:val="00BD7F72"/>
    <w:rsid w:val="00BE0EB8"/>
    <w:rsid w:val="00BE0ECA"/>
    <w:rsid w:val="00BE1B12"/>
    <w:rsid w:val="00BE2180"/>
    <w:rsid w:val="00BE21F2"/>
    <w:rsid w:val="00BE4275"/>
    <w:rsid w:val="00BE4B93"/>
    <w:rsid w:val="00BE5AB1"/>
    <w:rsid w:val="00BF039D"/>
    <w:rsid w:val="00BF06AE"/>
    <w:rsid w:val="00BF0F95"/>
    <w:rsid w:val="00BF2433"/>
    <w:rsid w:val="00BF2CE7"/>
    <w:rsid w:val="00BF2E6E"/>
    <w:rsid w:val="00BF4E99"/>
    <w:rsid w:val="00BF5329"/>
    <w:rsid w:val="00BF61C9"/>
    <w:rsid w:val="00BF6C94"/>
    <w:rsid w:val="00C00424"/>
    <w:rsid w:val="00C00BB0"/>
    <w:rsid w:val="00C02B8B"/>
    <w:rsid w:val="00C06697"/>
    <w:rsid w:val="00C10260"/>
    <w:rsid w:val="00C1179F"/>
    <w:rsid w:val="00C127B9"/>
    <w:rsid w:val="00C128FA"/>
    <w:rsid w:val="00C12C14"/>
    <w:rsid w:val="00C12F34"/>
    <w:rsid w:val="00C1424C"/>
    <w:rsid w:val="00C15F04"/>
    <w:rsid w:val="00C179B3"/>
    <w:rsid w:val="00C17E3F"/>
    <w:rsid w:val="00C200AA"/>
    <w:rsid w:val="00C20356"/>
    <w:rsid w:val="00C22313"/>
    <w:rsid w:val="00C237ED"/>
    <w:rsid w:val="00C24632"/>
    <w:rsid w:val="00C25418"/>
    <w:rsid w:val="00C25D24"/>
    <w:rsid w:val="00C25D9C"/>
    <w:rsid w:val="00C2778B"/>
    <w:rsid w:val="00C30BFE"/>
    <w:rsid w:val="00C31649"/>
    <w:rsid w:val="00C33278"/>
    <w:rsid w:val="00C337C4"/>
    <w:rsid w:val="00C3434C"/>
    <w:rsid w:val="00C36AF7"/>
    <w:rsid w:val="00C36CE2"/>
    <w:rsid w:val="00C40385"/>
    <w:rsid w:val="00C40C74"/>
    <w:rsid w:val="00C41768"/>
    <w:rsid w:val="00C475AA"/>
    <w:rsid w:val="00C477A1"/>
    <w:rsid w:val="00C47EFC"/>
    <w:rsid w:val="00C50806"/>
    <w:rsid w:val="00C527C7"/>
    <w:rsid w:val="00C53C98"/>
    <w:rsid w:val="00C56FCF"/>
    <w:rsid w:val="00C57B6C"/>
    <w:rsid w:val="00C61A59"/>
    <w:rsid w:val="00C6283C"/>
    <w:rsid w:val="00C628A6"/>
    <w:rsid w:val="00C63A4C"/>
    <w:rsid w:val="00C64344"/>
    <w:rsid w:val="00C65108"/>
    <w:rsid w:val="00C65576"/>
    <w:rsid w:val="00C6601B"/>
    <w:rsid w:val="00C66165"/>
    <w:rsid w:val="00C7060A"/>
    <w:rsid w:val="00C7151A"/>
    <w:rsid w:val="00C717E3"/>
    <w:rsid w:val="00C71F60"/>
    <w:rsid w:val="00C72241"/>
    <w:rsid w:val="00C72713"/>
    <w:rsid w:val="00C738A1"/>
    <w:rsid w:val="00C74CC8"/>
    <w:rsid w:val="00C750C8"/>
    <w:rsid w:val="00C7560F"/>
    <w:rsid w:val="00C77B48"/>
    <w:rsid w:val="00C80A0E"/>
    <w:rsid w:val="00C80E5D"/>
    <w:rsid w:val="00C8213F"/>
    <w:rsid w:val="00C8303F"/>
    <w:rsid w:val="00C8355A"/>
    <w:rsid w:val="00C85154"/>
    <w:rsid w:val="00C85A70"/>
    <w:rsid w:val="00C8797A"/>
    <w:rsid w:val="00C900B8"/>
    <w:rsid w:val="00C90197"/>
    <w:rsid w:val="00C90C71"/>
    <w:rsid w:val="00C9142D"/>
    <w:rsid w:val="00C916B9"/>
    <w:rsid w:val="00C91FD1"/>
    <w:rsid w:val="00C928CD"/>
    <w:rsid w:val="00C92CB9"/>
    <w:rsid w:val="00C931CF"/>
    <w:rsid w:val="00C938CF"/>
    <w:rsid w:val="00C939AA"/>
    <w:rsid w:val="00C94053"/>
    <w:rsid w:val="00C9624D"/>
    <w:rsid w:val="00C969DA"/>
    <w:rsid w:val="00CA1FEC"/>
    <w:rsid w:val="00CA21EE"/>
    <w:rsid w:val="00CA2C77"/>
    <w:rsid w:val="00CA324E"/>
    <w:rsid w:val="00CA3C58"/>
    <w:rsid w:val="00CA444F"/>
    <w:rsid w:val="00CA5245"/>
    <w:rsid w:val="00CA71F4"/>
    <w:rsid w:val="00CA7B09"/>
    <w:rsid w:val="00CB019C"/>
    <w:rsid w:val="00CB0E5F"/>
    <w:rsid w:val="00CB12A5"/>
    <w:rsid w:val="00CB1453"/>
    <w:rsid w:val="00CB1CAC"/>
    <w:rsid w:val="00CB2F2A"/>
    <w:rsid w:val="00CB5B1A"/>
    <w:rsid w:val="00CB5E7B"/>
    <w:rsid w:val="00CB6B22"/>
    <w:rsid w:val="00CB7F5F"/>
    <w:rsid w:val="00CC1222"/>
    <w:rsid w:val="00CC1B39"/>
    <w:rsid w:val="00CC1BFA"/>
    <w:rsid w:val="00CC2E9F"/>
    <w:rsid w:val="00CC35EA"/>
    <w:rsid w:val="00CC3848"/>
    <w:rsid w:val="00CC3F0C"/>
    <w:rsid w:val="00CC48D4"/>
    <w:rsid w:val="00CC5B99"/>
    <w:rsid w:val="00CC6AA3"/>
    <w:rsid w:val="00CC6ADF"/>
    <w:rsid w:val="00CC6B9F"/>
    <w:rsid w:val="00CC6C5E"/>
    <w:rsid w:val="00CC6D5E"/>
    <w:rsid w:val="00CD0200"/>
    <w:rsid w:val="00CD3F77"/>
    <w:rsid w:val="00CD4095"/>
    <w:rsid w:val="00CD6915"/>
    <w:rsid w:val="00CD6ADC"/>
    <w:rsid w:val="00CD7193"/>
    <w:rsid w:val="00CD7E99"/>
    <w:rsid w:val="00CE3550"/>
    <w:rsid w:val="00CE38C8"/>
    <w:rsid w:val="00CE524F"/>
    <w:rsid w:val="00CE5638"/>
    <w:rsid w:val="00CE56F9"/>
    <w:rsid w:val="00CE58CC"/>
    <w:rsid w:val="00CE6216"/>
    <w:rsid w:val="00CE6274"/>
    <w:rsid w:val="00CE77B6"/>
    <w:rsid w:val="00CF2260"/>
    <w:rsid w:val="00CF2B8D"/>
    <w:rsid w:val="00CF3A1B"/>
    <w:rsid w:val="00CF456B"/>
    <w:rsid w:val="00CF48AA"/>
    <w:rsid w:val="00CF5A22"/>
    <w:rsid w:val="00CF75BC"/>
    <w:rsid w:val="00D01C0A"/>
    <w:rsid w:val="00D0262E"/>
    <w:rsid w:val="00D03679"/>
    <w:rsid w:val="00D05E3D"/>
    <w:rsid w:val="00D06139"/>
    <w:rsid w:val="00D063BD"/>
    <w:rsid w:val="00D10695"/>
    <w:rsid w:val="00D110BD"/>
    <w:rsid w:val="00D12E9F"/>
    <w:rsid w:val="00D13675"/>
    <w:rsid w:val="00D13D2A"/>
    <w:rsid w:val="00D141E1"/>
    <w:rsid w:val="00D15314"/>
    <w:rsid w:val="00D15B48"/>
    <w:rsid w:val="00D1642F"/>
    <w:rsid w:val="00D17D6C"/>
    <w:rsid w:val="00D213BA"/>
    <w:rsid w:val="00D2155B"/>
    <w:rsid w:val="00D23137"/>
    <w:rsid w:val="00D23487"/>
    <w:rsid w:val="00D23D11"/>
    <w:rsid w:val="00D244B6"/>
    <w:rsid w:val="00D25763"/>
    <w:rsid w:val="00D26095"/>
    <w:rsid w:val="00D27056"/>
    <w:rsid w:val="00D2754D"/>
    <w:rsid w:val="00D27B27"/>
    <w:rsid w:val="00D30D5B"/>
    <w:rsid w:val="00D314CF"/>
    <w:rsid w:val="00D3352B"/>
    <w:rsid w:val="00D33BE9"/>
    <w:rsid w:val="00D33F93"/>
    <w:rsid w:val="00D357FF"/>
    <w:rsid w:val="00D365A7"/>
    <w:rsid w:val="00D424C7"/>
    <w:rsid w:val="00D43B2A"/>
    <w:rsid w:val="00D43CF1"/>
    <w:rsid w:val="00D43D83"/>
    <w:rsid w:val="00D44F63"/>
    <w:rsid w:val="00D47575"/>
    <w:rsid w:val="00D51055"/>
    <w:rsid w:val="00D5243B"/>
    <w:rsid w:val="00D53271"/>
    <w:rsid w:val="00D533EC"/>
    <w:rsid w:val="00D56A95"/>
    <w:rsid w:val="00D56D6B"/>
    <w:rsid w:val="00D6072C"/>
    <w:rsid w:val="00D6076E"/>
    <w:rsid w:val="00D60966"/>
    <w:rsid w:val="00D60BD3"/>
    <w:rsid w:val="00D6648C"/>
    <w:rsid w:val="00D66E5B"/>
    <w:rsid w:val="00D678B0"/>
    <w:rsid w:val="00D70AF2"/>
    <w:rsid w:val="00D70BB7"/>
    <w:rsid w:val="00D70F16"/>
    <w:rsid w:val="00D718D7"/>
    <w:rsid w:val="00D72617"/>
    <w:rsid w:val="00D72F57"/>
    <w:rsid w:val="00D75FCD"/>
    <w:rsid w:val="00D76A44"/>
    <w:rsid w:val="00D815EF"/>
    <w:rsid w:val="00D81949"/>
    <w:rsid w:val="00D81F26"/>
    <w:rsid w:val="00D822E2"/>
    <w:rsid w:val="00D843F2"/>
    <w:rsid w:val="00D85498"/>
    <w:rsid w:val="00D854FE"/>
    <w:rsid w:val="00D85A9C"/>
    <w:rsid w:val="00D86231"/>
    <w:rsid w:val="00D90717"/>
    <w:rsid w:val="00D912AB"/>
    <w:rsid w:val="00D91923"/>
    <w:rsid w:val="00D91A39"/>
    <w:rsid w:val="00D93753"/>
    <w:rsid w:val="00D955F1"/>
    <w:rsid w:val="00D97D0E"/>
    <w:rsid w:val="00DA15E8"/>
    <w:rsid w:val="00DA2557"/>
    <w:rsid w:val="00DA3167"/>
    <w:rsid w:val="00DA4773"/>
    <w:rsid w:val="00DA4DC3"/>
    <w:rsid w:val="00DA4FF4"/>
    <w:rsid w:val="00DA6980"/>
    <w:rsid w:val="00DA77A5"/>
    <w:rsid w:val="00DA79BC"/>
    <w:rsid w:val="00DB0E36"/>
    <w:rsid w:val="00DB1EFA"/>
    <w:rsid w:val="00DB1F95"/>
    <w:rsid w:val="00DB26AD"/>
    <w:rsid w:val="00DB3009"/>
    <w:rsid w:val="00DB3D52"/>
    <w:rsid w:val="00DB3DBF"/>
    <w:rsid w:val="00DB432A"/>
    <w:rsid w:val="00DB471E"/>
    <w:rsid w:val="00DB484F"/>
    <w:rsid w:val="00DB6D68"/>
    <w:rsid w:val="00DB6EA2"/>
    <w:rsid w:val="00DB7E3B"/>
    <w:rsid w:val="00DC04F6"/>
    <w:rsid w:val="00DC0690"/>
    <w:rsid w:val="00DC1D65"/>
    <w:rsid w:val="00DC3C57"/>
    <w:rsid w:val="00DC5501"/>
    <w:rsid w:val="00DC5995"/>
    <w:rsid w:val="00DC5DE4"/>
    <w:rsid w:val="00DC6D9D"/>
    <w:rsid w:val="00DC7111"/>
    <w:rsid w:val="00DC7154"/>
    <w:rsid w:val="00DC7E8A"/>
    <w:rsid w:val="00DD0D3A"/>
    <w:rsid w:val="00DD0F78"/>
    <w:rsid w:val="00DD17E0"/>
    <w:rsid w:val="00DD273C"/>
    <w:rsid w:val="00DD3F28"/>
    <w:rsid w:val="00DD4347"/>
    <w:rsid w:val="00DD4446"/>
    <w:rsid w:val="00DD4537"/>
    <w:rsid w:val="00DD463B"/>
    <w:rsid w:val="00DD4942"/>
    <w:rsid w:val="00DD4E15"/>
    <w:rsid w:val="00DD649E"/>
    <w:rsid w:val="00DD7BA6"/>
    <w:rsid w:val="00DE1194"/>
    <w:rsid w:val="00DE1D45"/>
    <w:rsid w:val="00DE2304"/>
    <w:rsid w:val="00DE2624"/>
    <w:rsid w:val="00DE3138"/>
    <w:rsid w:val="00DE37F8"/>
    <w:rsid w:val="00DE4273"/>
    <w:rsid w:val="00DE456B"/>
    <w:rsid w:val="00DE4FCB"/>
    <w:rsid w:val="00DE5D07"/>
    <w:rsid w:val="00DE72A7"/>
    <w:rsid w:val="00DE7832"/>
    <w:rsid w:val="00DE7C21"/>
    <w:rsid w:val="00DF18FC"/>
    <w:rsid w:val="00DF40FC"/>
    <w:rsid w:val="00DF461E"/>
    <w:rsid w:val="00DF5052"/>
    <w:rsid w:val="00DF5D2B"/>
    <w:rsid w:val="00DF6341"/>
    <w:rsid w:val="00DF74C8"/>
    <w:rsid w:val="00DF7C8B"/>
    <w:rsid w:val="00E00E8E"/>
    <w:rsid w:val="00E03A2F"/>
    <w:rsid w:val="00E05482"/>
    <w:rsid w:val="00E05630"/>
    <w:rsid w:val="00E06DBB"/>
    <w:rsid w:val="00E074A5"/>
    <w:rsid w:val="00E10149"/>
    <w:rsid w:val="00E1097D"/>
    <w:rsid w:val="00E11340"/>
    <w:rsid w:val="00E122A1"/>
    <w:rsid w:val="00E133D4"/>
    <w:rsid w:val="00E137A4"/>
    <w:rsid w:val="00E13DBC"/>
    <w:rsid w:val="00E16372"/>
    <w:rsid w:val="00E167FD"/>
    <w:rsid w:val="00E16AD8"/>
    <w:rsid w:val="00E16FCE"/>
    <w:rsid w:val="00E17FFA"/>
    <w:rsid w:val="00E20E4D"/>
    <w:rsid w:val="00E20ED6"/>
    <w:rsid w:val="00E21358"/>
    <w:rsid w:val="00E2249B"/>
    <w:rsid w:val="00E22A0D"/>
    <w:rsid w:val="00E23BC1"/>
    <w:rsid w:val="00E244F6"/>
    <w:rsid w:val="00E258DB"/>
    <w:rsid w:val="00E2771E"/>
    <w:rsid w:val="00E311EF"/>
    <w:rsid w:val="00E32180"/>
    <w:rsid w:val="00E34948"/>
    <w:rsid w:val="00E3686C"/>
    <w:rsid w:val="00E37569"/>
    <w:rsid w:val="00E401B2"/>
    <w:rsid w:val="00E41E30"/>
    <w:rsid w:val="00E42F73"/>
    <w:rsid w:val="00E43D70"/>
    <w:rsid w:val="00E44F35"/>
    <w:rsid w:val="00E44FFB"/>
    <w:rsid w:val="00E457AB"/>
    <w:rsid w:val="00E466F3"/>
    <w:rsid w:val="00E47B2C"/>
    <w:rsid w:val="00E47F3C"/>
    <w:rsid w:val="00E50828"/>
    <w:rsid w:val="00E51560"/>
    <w:rsid w:val="00E51821"/>
    <w:rsid w:val="00E529AF"/>
    <w:rsid w:val="00E53AD9"/>
    <w:rsid w:val="00E53FC8"/>
    <w:rsid w:val="00E54347"/>
    <w:rsid w:val="00E54478"/>
    <w:rsid w:val="00E54E26"/>
    <w:rsid w:val="00E55424"/>
    <w:rsid w:val="00E55915"/>
    <w:rsid w:val="00E55BB5"/>
    <w:rsid w:val="00E56C1A"/>
    <w:rsid w:val="00E57051"/>
    <w:rsid w:val="00E60C3F"/>
    <w:rsid w:val="00E611DF"/>
    <w:rsid w:val="00E63ACD"/>
    <w:rsid w:val="00E63E84"/>
    <w:rsid w:val="00E65E79"/>
    <w:rsid w:val="00E66BA2"/>
    <w:rsid w:val="00E67416"/>
    <w:rsid w:val="00E71040"/>
    <w:rsid w:val="00E718B6"/>
    <w:rsid w:val="00E723BA"/>
    <w:rsid w:val="00E73581"/>
    <w:rsid w:val="00E77F38"/>
    <w:rsid w:val="00E81981"/>
    <w:rsid w:val="00E833F7"/>
    <w:rsid w:val="00E83BDF"/>
    <w:rsid w:val="00E85B51"/>
    <w:rsid w:val="00E86FCC"/>
    <w:rsid w:val="00E87A1D"/>
    <w:rsid w:val="00E87E54"/>
    <w:rsid w:val="00E9094A"/>
    <w:rsid w:val="00E9171F"/>
    <w:rsid w:val="00E91BE1"/>
    <w:rsid w:val="00E91D35"/>
    <w:rsid w:val="00E926A5"/>
    <w:rsid w:val="00E94F0C"/>
    <w:rsid w:val="00E95306"/>
    <w:rsid w:val="00E962CC"/>
    <w:rsid w:val="00E96ED4"/>
    <w:rsid w:val="00EA0B63"/>
    <w:rsid w:val="00EA17C3"/>
    <w:rsid w:val="00EA2CAA"/>
    <w:rsid w:val="00EA3864"/>
    <w:rsid w:val="00EA57A1"/>
    <w:rsid w:val="00EA59B9"/>
    <w:rsid w:val="00EA5AF9"/>
    <w:rsid w:val="00EA7F1C"/>
    <w:rsid w:val="00EB02E2"/>
    <w:rsid w:val="00EB15B6"/>
    <w:rsid w:val="00EB16BC"/>
    <w:rsid w:val="00EB3451"/>
    <w:rsid w:val="00EB3D06"/>
    <w:rsid w:val="00EB4916"/>
    <w:rsid w:val="00EB7379"/>
    <w:rsid w:val="00EC00C9"/>
    <w:rsid w:val="00EC0DD9"/>
    <w:rsid w:val="00EC2649"/>
    <w:rsid w:val="00EC31ED"/>
    <w:rsid w:val="00EC3F48"/>
    <w:rsid w:val="00EC5836"/>
    <w:rsid w:val="00EC6279"/>
    <w:rsid w:val="00EC688C"/>
    <w:rsid w:val="00EC6BA4"/>
    <w:rsid w:val="00EC7BCC"/>
    <w:rsid w:val="00ED12E3"/>
    <w:rsid w:val="00ED23FA"/>
    <w:rsid w:val="00ED4B04"/>
    <w:rsid w:val="00ED57EA"/>
    <w:rsid w:val="00ED57F2"/>
    <w:rsid w:val="00ED5BD4"/>
    <w:rsid w:val="00EE052A"/>
    <w:rsid w:val="00EE07CD"/>
    <w:rsid w:val="00EE07D3"/>
    <w:rsid w:val="00EE1996"/>
    <w:rsid w:val="00EE1C01"/>
    <w:rsid w:val="00EE1D5D"/>
    <w:rsid w:val="00EE22AF"/>
    <w:rsid w:val="00EE5FEF"/>
    <w:rsid w:val="00EE6CC7"/>
    <w:rsid w:val="00EE6D4A"/>
    <w:rsid w:val="00EE7285"/>
    <w:rsid w:val="00EF0171"/>
    <w:rsid w:val="00EF0C54"/>
    <w:rsid w:val="00EF16EE"/>
    <w:rsid w:val="00EF1B25"/>
    <w:rsid w:val="00EF1DA0"/>
    <w:rsid w:val="00EF312E"/>
    <w:rsid w:val="00EF42C0"/>
    <w:rsid w:val="00EF4747"/>
    <w:rsid w:val="00EF4BF8"/>
    <w:rsid w:val="00EF621B"/>
    <w:rsid w:val="00F02253"/>
    <w:rsid w:val="00F02634"/>
    <w:rsid w:val="00F02A81"/>
    <w:rsid w:val="00F03C2E"/>
    <w:rsid w:val="00F04A66"/>
    <w:rsid w:val="00F04B4B"/>
    <w:rsid w:val="00F0516C"/>
    <w:rsid w:val="00F0658A"/>
    <w:rsid w:val="00F067A2"/>
    <w:rsid w:val="00F06D7F"/>
    <w:rsid w:val="00F07B9E"/>
    <w:rsid w:val="00F108F4"/>
    <w:rsid w:val="00F1116F"/>
    <w:rsid w:val="00F1263A"/>
    <w:rsid w:val="00F129C1"/>
    <w:rsid w:val="00F12F6A"/>
    <w:rsid w:val="00F13212"/>
    <w:rsid w:val="00F139C5"/>
    <w:rsid w:val="00F15272"/>
    <w:rsid w:val="00F15B77"/>
    <w:rsid w:val="00F162C2"/>
    <w:rsid w:val="00F21236"/>
    <w:rsid w:val="00F216A5"/>
    <w:rsid w:val="00F21C1E"/>
    <w:rsid w:val="00F239DF"/>
    <w:rsid w:val="00F24837"/>
    <w:rsid w:val="00F2575F"/>
    <w:rsid w:val="00F2652F"/>
    <w:rsid w:val="00F27565"/>
    <w:rsid w:val="00F27B2B"/>
    <w:rsid w:val="00F310D4"/>
    <w:rsid w:val="00F31D5A"/>
    <w:rsid w:val="00F32E36"/>
    <w:rsid w:val="00F33975"/>
    <w:rsid w:val="00F33C38"/>
    <w:rsid w:val="00F33DE9"/>
    <w:rsid w:val="00F346E4"/>
    <w:rsid w:val="00F35E6D"/>
    <w:rsid w:val="00F3619A"/>
    <w:rsid w:val="00F37F61"/>
    <w:rsid w:val="00F401C0"/>
    <w:rsid w:val="00F40AAA"/>
    <w:rsid w:val="00F40BA7"/>
    <w:rsid w:val="00F40F9D"/>
    <w:rsid w:val="00F41ACD"/>
    <w:rsid w:val="00F41B88"/>
    <w:rsid w:val="00F428B5"/>
    <w:rsid w:val="00F439F3"/>
    <w:rsid w:val="00F46B56"/>
    <w:rsid w:val="00F46CB6"/>
    <w:rsid w:val="00F4756D"/>
    <w:rsid w:val="00F47DE8"/>
    <w:rsid w:val="00F52B70"/>
    <w:rsid w:val="00F53CA5"/>
    <w:rsid w:val="00F542C1"/>
    <w:rsid w:val="00F550E3"/>
    <w:rsid w:val="00F55C5B"/>
    <w:rsid w:val="00F55E73"/>
    <w:rsid w:val="00F55EDA"/>
    <w:rsid w:val="00F56265"/>
    <w:rsid w:val="00F56C80"/>
    <w:rsid w:val="00F60092"/>
    <w:rsid w:val="00F61A5F"/>
    <w:rsid w:val="00F61C18"/>
    <w:rsid w:val="00F65F4B"/>
    <w:rsid w:val="00F67A69"/>
    <w:rsid w:val="00F67C34"/>
    <w:rsid w:val="00F70BFF"/>
    <w:rsid w:val="00F70C9D"/>
    <w:rsid w:val="00F70CF4"/>
    <w:rsid w:val="00F71A40"/>
    <w:rsid w:val="00F735D2"/>
    <w:rsid w:val="00F73E08"/>
    <w:rsid w:val="00F74CD9"/>
    <w:rsid w:val="00F751DB"/>
    <w:rsid w:val="00F80A7B"/>
    <w:rsid w:val="00F80E5D"/>
    <w:rsid w:val="00F81E78"/>
    <w:rsid w:val="00F83916"/>
    <w:rsid w:val="00F851CE"/>
    <w:rsid w:val="00F8525B"/>
    <w:rsid w:val="00F85949"/>
    <w:rsid w:val="00F85E03"/>
    <w:rsid w:val="00F91219"/>
    <w:rsid w:val="00F91F77"/>
    <w:rsid w:val="00F92444"/>
    <w:rsid w:val="00F9393E"/>
    <w:rsid w:val="00F94263"/>
    <w:rsid w:val="00F95FA1"/>
    <w:rsid w:val="00F96FD0"/>
    <w:rsid w:val="00F97355"/>
    <w:rsid w:val="00F97A78"/>
    <w:rsid w:val="00FA0B20"/>
    <w:rsid w:val="00FA24E7"/>
    <w:rsid w:val="00FA4704"/>
    <w:rsid w:val="00FA5EE6"/>
    <w:rsid w:val="00FA7956"/>
    <w:rsid w:val="00FB0824"/>
    <w:rsid w:val="00FB2FCB"/>
    <w:rsid w:val="00FB391F"/>
    <w:rsid w:val="00FB4C9C"/>
    <w:rsid w:val="00FB7C55"/>
    <w:rsid w:val="00FC1074"/>
    <w:rsid w:val="00FC1884"/>
    <w:rsid w:val="00FC2A61"/>
    <w:rsid w:val="00FC371D"/>
    <w:rsid w:val="00FC5F0B"/>
    <w:rsid w:val="00FC5FD7"/>
    <w:rsid w:val="00FC78A5"/>
    <w:rsid w:val="00FD2100"/>
    <w:rsid w:val="00FD275B"/>
    <w:rsid w:val="00FD436C"/>
    <w:rsid w:val="00FD446D"/>
    <w:rsid w:val="00FD4F2C"/>
    <w:rsid w:val="00FD5ABE"/>
    <w:rsid w:val="00FD6394"/>
    <w:rsid w:val="00FD7CC6"/>
    <w:rsid w:val="00FE0E6C"/>
    <w:rsid w:val="00FE1CDC"/>
    <w:rsid w:val="00FE34C0"/>
    <w:rsid w:val="00FE3862"/>
    <w:rsid w:val="00FE57D0"/>
    <w:rsid w:val="00FE6AE0"/>
    <w:rsid w:val="00FE70C3"/>
    <w:rsid w:val="00FE7EAA"/>
    <w:rsid w:val="00FF151D"/>
    <w:rsid w:val="00FF1A8B"/>
    <w:rsid w:val="00FF2326"/>
    <w:rsid w:val="00FF2AD9"/>
    <w:rsid w:val="00FF359F"/>
    <w:rsid w:val="00FF3DCF"/>
    <w:rsid w:val="00FF4632"/>
    <w:rsid w:val="00FF492C"/>
    <w:rsid w:val="00FF4A21"/>
    <w:rsid w:val="00FF5AA3"/>
    <w:rsid w:val="00FF5AD8"/>
    <w:rsid w:val="00FF66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5A4"/>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BE4B93"/>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16316A"/>
    <w:pPr>
      <w:tabs>
        <w:tab w:val="left" w:pos="440"/>
        <w:tab w:val="right" w:leader="dot" w:pos="9016"/>
      </w:tabs>
      <w:spacing w:before="12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InstructionalText">
    <w:name w:val="Instructional Text"/>
    <w:basedOn w:val="Normal"/>
    <w:link w:val="InstructionalTextChar"/>
    <w:uiPriority w:val="3"/>
    <w:qFormat/>
    <w:rsid w:val="00E167FD"/>
    <w:pPr>
      <w:spacing w:after="240"/>
    </w:pPr>
    <w:rPr>
      <w:rFonts w:asciiTheme="minorHAnsi" w:eastAsiaTheme="minorHAnsi" w:hAnsiTheme="minorHAnsi" w:cstheme="minorHAnsi"/>
      <w:color w:val="3366FF"/>
      <w:szCs w:val="22"/>
      <w:lang w:eastAsia="en-US"/>
    </w:rPr>
  </w:style>
  <w:style w:type="character" w:customStyle="1" w:styleId="InstructionalTextChar">
    <w:name w:val="Instructional Text Char"/>
    <w:basedOn w:val="DefaultParagraphFont"/>
    <w:link w:val="InstructionalText"/>
    <w:uiPriority w:val="3"/>
    <w:rsid w:val="00E167FD"/>
    <w:rPr>
      <w:rFonts w:asciiTheme="minorHAnsi" w:eastAsiaTheme="minorHAnsi" w:hAnsiTheme="minorHAnsi" w:cstheme="minorHAnsi"/>
      <w:color w:val="3366FF"/>
      <w:sz w:val="24"/>
      <w:szCs w:val="22"/>
      <w:lang w:eastAsia="en-US"/>
    </w:rPr>
  </w:style>
  <w:style w:type="paragraph" w:customStyle="1" w:styleId="TableTextbullet">
    <w:name w:val="Table Text bullet"/>
    <w:basedOn w:val="Normal"/>
    <w:link w:val="TableTextbulletChar"/>
    <w:autoRedefine/>
    <w:qFormat/>
    <w:rsid w:val="002B7950"/>
    <w:pPr>
      <w:keepNext/>
      <w:widowControl w:val="0"/>
      <w:numPr>
        <w:numId w:val="7"/>
      </w:numPr>
      <w:tabs>
        <w:tab w:val="left" w:pos="284"/>
      </w:tabs>
      <w:jc w:val="left"/>
    </w:pPr>
    <w:rPr>
      <w:rFonts w:cs="Times New Roman"/>
      <w:sz w:val="18"/>
      <w:szCs w:val="20"/>
      <w:lang w:val="en-US" w:eastAsia="en-US"/>
    </w:rPr>
  </w:style>
  <w:style w:type="character" w:customStyle="1" w:styleId="TableTextbulletChar">
    <w:name w:val="Table Text bullet Char"/>
    <w:basedOn w:val="DefaultParagraphFont"/>
    <w:link w:val="TableTextbullet"/>
    <w:rsid w:val="002B7950"/>
    <w:rPr>
      <w:rFonts w:ascii="Calibri" w:hAnsi="Calibri"/>
      <w:sz w:val="18"/>
      <w:lang w:val="en-US" w:eastAsia="en-US"/>
    </w:rPr>
  </w:style>
  <w:style w:type="paragraph" w:customStyle="1" w:styleId="TableFigureFooter">
    <w:name w:val="Table/Figure Footer"/>
    <w:basedOn w:val="Normal"/>
    <w:link w:val="TableFigureFooterChar"/>
    <w:qFormat/>
    <w:rsid w:val="00940057"/>
    <w:pPr>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940057"/>
    <w:rPr>
      <w:rFonts w:ascii="Arial Narrow" w:hAnsi="Arial Narrow" w:cs="Arial"/>
      <w:snapToGrid w:val="0"/>
      <w:sz w:val="18"/>
      <w:szCs w:val="22"/>
    </w:rPr>
  </w:style>
  <w:style w:type="character" w:styleId="FootnoteReference">
    <w:name w:val="footnote reference"/>
    <w:basedOn w:val="DefaultParagraphFont"/>
    <w:unhideWhenUsed/>
    <w:rsid w:val="002B7950"/>
    <w:rPr>
      <w:vertAlign w:val="superscript"/>
    </w:rPr>
  </w:style>
  <w:style w:type="character" w:customStyle="1" w:styleId="FootnoteTextChar">
    <w:name w:val="Footnote Text Char"/>
    <w:basedOn w:val="DefaultParagraphFont"/>
    <w:link w:val="FootnoteText"/>
    <w:rsid w:val="002B7950"/>
  </w:style>
  <w:style w:type="paragraph" w:styleId="FootnoteText">
    <w:name w:val="footnote text"/>
    <w:basedOn w:val="Normal"/>
    <w:link w:val="FootnoteTextChar"/>
    <w:unhideWhenUsed/>
    <w:qFormat/>
    <w:rsid w:val="002B7950"/>
    <w:pPr>
      <w:jc w:val="left"/>
    </w:pPr>
    <w:rPr>
      <w:rFonts w:ascii="Times New Roman" w:hAnsi="Times New Roman" w:cs="Times New Roman"/>
      <w:sz w:val="20"/>
      <w:szCs w:val="20"/>
    </w:rPr>
  </w:style>
  <w:style w:type="character" w:customStyle="1" w:styleId="FootnoteTextChar1">
    <w:name w:val="Footnote Text Char1"/>
    <w:basedOn w:val="DefaultParagraphFont"/>
    <w:semiHidden/>
    <w:rsid w:val="002B7950"/>
    <w:rPr>
      <w:rFonts w:ascii="Calibri" w:hAnsi="Calibri" w:cs="Arial"/>
    </w:rPr>
  </w:style>
  <w:style w:type="paragraph" w:customStyle="1" w:styleId="EndNoteBibliographyTitle">
    <w:name w:val="EndNote Bibliography Title"/>
    <w:basedOn w:val="Normal"/>
    <w:link w:val="EndNoteBibliographyTitleChar"/>
    <w:rsid w:val="002B7950"/>
    <w:pPr>
      <w:jc w:val="center"/>
    </w:pPr>
    <w:rPr>
      <w:rFonts w:cs="Calibri"/>
      <w:noProof/>
    </w:rPr>
  </w:style>
  <w:style w:type="character" w:customStyle="1" w:styleId="ListBulletChar">
    <w:name w:val="List Bullet Char"/>
    <w:basedOn w:val="DefaultParagraphFont"/>
    <w:link w:val="ListBullet"/>
    <w:rsid w:val="002B7950"/>
    <w:rPr>
      <w:rFonts w:ascii="Calibri" w:hAnsi="Calibri" w:cs="Arial"/>
      <w:sz w:val="24"/>
      <w:szCs w:val="24"/>
    </w:rPr>
  </w:style>
  <w:style w:type="character" w:customStyle="1" w:styleId="EndNoteBibliographyTitleChar">
    <w:name w:val="EndNote Bibliography Title Char"/>
    <w:basedOn w:val="ListBulletChar"/>
    <w:link w:val="EndNoteBibliographyTitle"/>
    <w:rsid w:val="002B7950"/>
    <w:rPr>
      <w:rFonts w:ascii="Calibri" w:hAnsi="Calibri" w:cs="Calibri"/>
      <w:noProof/>
      <w:sz w:val="24"/>
      <w:szCs w:val="24"/>
    </w:rPr>
  </w:style>
  <w:style w:type="paragraph" w:customStyle="1" w:styleId="EndNoteBibliography">
    <w:name w:val="EndNote Bibliography"/>
    <w:basedOn w:val="Normal"/>
    <w:link w:val="EndNoteBibliographyChar"/>
    <w:rsid w:val="002B7950"/>
    <w:rPr>
      <w:rFonts w:cs="Calibri"/>
      <w:noProof/>
    </w:rPr>
  </w:style>
  <w:style w:type="character" w:customStyle="1" w:styleId="EndNoteBibliographyChar">
    <w:name w:val="EndNote Bibliography Char"/>
    <w:basedOn w:val="ListBulletChar"/>
    <w:link w:val="EndNoteBibliography"/>
    <w:rsid w:val="002B7950"/>
    <w:rPr>
      <w:rFonts w:ascii="Calibri" w:hAnsi="Calibri" w:cs="Calibri"/>
      <w:noProof/>
      <w:sz w:val="24"/>
      <w:szCs w:val="24"/>
    </w:rPr>
  </w:style>
  <w:style w:type="paragraph" w:customStyle="1" w:styleId="CaptionTable">
    <w:name w:val="Caption Table"/>
    <w:basedOn w:val="Normal"/>
    <w:next w:val="Normal"/>
    <w:link w:val="CaptionTableChar"/>
    <w:autoRedefine/>
    <w:rsid w:val="00B759E1"/>
    <w:pPr>
      <w:keepNext/>
      <w:jc w:val="left"/>
    </w:pPr>
    <w:rPr>
      <w:rFonts w:ascii="Arial Narrow" w:hAnsi="Arial Narrow" w:cs="Times New Roman"/>
      <w:b/>
      <w:bCs/>
      <w:sz w:val="20"/>
      <w:szCs w:val="22"/>
      <w:lang w:eastAsia="en-US"/>
    </w:rPr>
  </w:style>
  <w:style w:type="paragraph" w:customStyle="1" w:styleId="TableTextleftalign">
    <w:name w:val="Table Text left align"/>
    <w:basedOn w:val="TableTitlecentred"/>
    <w:link w:val="TableTextleftalignChar"/>
    <w:qFormat/>
    <w:rsid w:val="002B7950"/>
    <w:pPr>
      <w:jc w:val="left"/>
    </w:pPr>
    <w:rPr>
      <w:b w:val="0"/>
      <w:szCs w:val="18"/>
    </w:rPr>
  </w:style>
  <w:style w:type="character" w:customStyle="1" w:styleId="CaptionTableChar">
    <w:name w:val="Caption Table Char"/>
    <w:basedOn w:val="DefaultParagraphFont"/>
    <w:link w:val="CaptionTable"/>
    <w:rsid w:val="00B759E1"/>
    <w:rPr>
      <w:rFonts w:ascii="Arial Narrow" w:hAnsi="Arial Narrow"/>
      <w:b/>
      <w:bCs/>
      <w:szCs w:val="22"/>
      <w:lang w:eastAsia="en-US"/>
    </w:rPr>
  </w:style>
  <w:style w:type="character" w:customStyle="1" w:styleId="TableTextleftalignChar">
    <w:name w:val="Table Text left align Char"/>
    <w:basedOn w:val="DefaultParagraphFont"/>
    <w:link w:val="TableTextleftalign"/>
    <w:rsid w:val="002B7950"/>
    <w:rPr>
      <w:rFonts w:ascii="Calibri" w:hAnsi="Calibri"/>
      <w:sz w:val="18"/>
      <w:szCs w:val="18"/>
      <w:lang w:eastAsia="en-US"/>
    </w:rPr>
  </w:style>
  <w:style w:type="paragraph" w:customStyle="1" w:styleId="TableTitlecentred">
    <w:name w:val="Table Title centred"/>
    <w:basedOn w:val="Normal"/>
    <w:rsid w:val="002B7950"/>
    <w:pPr>
      <w:jc w:val="center"/>
    </w:pPr>
    <w:rPr>
      <w:rFonts w:cs="Times New Roman"/>
      <w:b/>
      <w:sz w:val="18"/>
      <w:szCs w:val="20"/>
      <w:lang w:eastAsia="en-US"/>
    </w:rPr>
  </w:style>
  <w:style w:type="paragraph" w:customStyle="1" w:styleId="CaptionFigure">
    <w:name w:val="Caption Figure"/>
    <w:basedOn w:val="Caption"/>
    <w:next w:val="Normal"/>
    <w:autoRedefine/>
    <w:rsid w:val="002B7950"/>
    <w:pPr>
      <w:keepLines w:val="0"/>
      <w:spacing w:after="60"/>
      <w:ind w:left="1418" w:hanging="1418"/>
      <w:jc w:val="left"/>
    </w:pPr>
    <w:rPr>
      <w:rFonts w:ascii="Calibri" w:hAnsi="Calibri" w:cs="Times New Roman"/>
      <w:szCs w:val="22"/>
      <w:lang w:eastAsia="en-US"/>
    </w:rPr>
  </w:style>
  <w:style w:type="paragraph" w:customStyle="1" w:styleId="TableHeading0">
    <w:name w:val="Table Heading"/>
    <w:basedOn w:val="Normal"/>
    <w:qFormat/>
    <w:rsid w:val="00D97D0E"/>
    <w:pPr>
      <w:keepNext/>
      <w:spacing w:after="60"/>
      <w:jc w:val="left"/>
    </w:pPr>
    <w:rPr>
      <w:rFonts w:ascii="Arial Narrow" w:eastAsiaTheme="minorHAnsi" w:hAnsi="Arial Narrow" w:cstheme="minorBidi"/>
      <w:b/>
      <w:sz w:val="20"/>
      <w:szCs w:val="22"/>
      <w:lang w:eastAsia="en-US"/>
    </w:rPr>
  </w:style>
  <w:style w:type="paragraph" w:customStyle="1" w:styleId="TableTextcentred">
    <w:name w:val="Table Text centred"/>
    <w:basedOn w:val="Normal"/>
    <w:link w:val="TableTextcentredChar"/>
    <w:qFormat/>
    <w:rsid w:val="00B759E1"/>
    <w:pPr>
      <w:jc w:val="center"/>
    </w:pPr>
    <w:rPr>
      <w:rFonts w:cs="Times New Roman"/>
      <w:sz w:val="18"/>
      <w:szCs w:val="18"/>
      <w:lang w:eastAsia="en-US"/>
    </w:rPr>
  </w:style>
  <w:style w:type="character" w:customStyle="1" w:styleId="TableTextcentredChar">
    <w:name w:val="Table Text centred Char"/>
    <w:basedOn w:val="DefaultParagraphFont"/>
    <w:link w:val="TableTextcentred"/>
    <w:rsid w:val="00B759E1"/>
    <w:rPr>
      <w:rFonts w:ascii="Calibri" w:hAnsi="Calibri"/>
      <w:sz w:val="18"/>
      <w:szCs w:val="18"/>
      <w:lang w:eastAsia="en-US"/>
    </w:rPr>
  </w:style>
  <w:style w:type="character" w:customStyle="1" w:styleId="PBACTableTextChar">
    <w:name w:val="PBAC Table Text Char"/>
    <w:basedOn w:val="DefaultParagraphFont"/>
    <w:link w:val="PBACTableText"/>
    <w:locked/>
    <w:rsid w:val="00B759E1"/>
    <w:rPr>
      <w:rFonts w:ascii="Arial Narrow" w:hAnsi="Arial Narrow"/>
    </w:rPr>
  </w:style>
  <w:style w:type="paragraph" w:customStyle="1" w:styleId="PBACTableText">
    <w:name w:val="PBAC Table Text"/>
    <w:basedOn w:val="Normal"/>
    <w:link w:val="PBACTableTextChar"/>
    <w:qFormat/>
    <w:rsid w:val="00B759E1"/>
    <w:pPr>
      <w:spacing w:before="40" w:after="40"/>
      <w:jc w:val="left"/>
    </w:pPr>
    <w:rPr>
      <w:rFonts w:ascii="Arial Narrow" w:hAnsi="Arial Narrow" w:cs="Times New Roman"/>
      <w:sz w:val="20"/>
      <w:szCs w:val="20"/>
    </w:rPr>
  </w:style>
  <w:style w:type="paragraph" w:customStyle="1" w:styleId="TableFootnotetext">
    <w:name w:val="Table Footnote text"/>
    <w:basedOn w:val="Normal"/>
    <w:qFormat/>
    <w:rsid w:val="00B759E1"/>
    <w:pPr>
      <w:jc w:val="left"/>
    </w:pPr>
    <w:rPr>
      <w:rFonts w:cs="Times New Roman"/>
      <w:sz w:val="16"/>
      <w:szCs w:val="20"/>
      <w:lang w:eastAsia="en-US"/>
    </w:rPr>
  </w:style>
  <w:style w:type="character" w:styleId="UnresolvedMention">
    <w:name w:val="Unresolved Mention"/>
    <w:basedOn w:val="DefaultParagraphFont"/>
    <w:uiPriority w:val="99"/>
    <w:semiHidden/>
    <w:unhideWhenUsed/>
    <w:rsid w:val="00B759E1"/>
    <w:rPr>
      <w:color w:val="605E5C"/>
      <w:shd w:val="clear" w:color="auto" w:fill="E1DFDD"/>
    </w:rPr>
  </w:style>
  <w:style w:type="paragraph" w:customStyle="1" w:styleId="TableFootnoteindent">
    <w:name w:val="Table Footnote indent"/>
    <w:basedOn w:val="Normal"/>
    <w:next w:val="Normal"/>
    <w:link w:val="TableFootnoteindentChar"/>
    <w:qFormat/>
    <w:rsid w:val="003C2DD5"/>
    <w:pPr>
      <w:tabs>
        <w:tab w:val="left" w:pos="284"/>
      </w:tabs>
      <w:ind w:left="284" w:hanging="284"/>
      <w:jc w:val="left"/>
    </w:pPr>
    <w:rPr>
      <w:rFonts w:cs="Times New Roman"/>
      <w:sz w:val="16"/>
      <w:szCs w:val="22"/>
      <w:lang w:eastAsia="en-US"/>
    </w:rPr>
  </w:style>
  <w:style w:type="character" w:customStyle="1" w:styleId="TableFootnoteindentChar">
    <w:name w:val="Table Footnote indent Char"/>
    <w:basedOn w:val="DefaultParagraphFont"/>
    <w:link w:val="TableFootnoteindent"/>
    <w:rsid w:val="003C2DD5"/>
    <w:rPr>
      <w:rFonts w:ascii="Calibri" w:hAnsi="Calibri"/>
      <w:sz w:val="16"/>
      <w:szCs w:val="22"/>
      <w:lang w:eastAsia="en-US"/>
    </w:rPr>
  </w:style>
  <w:style w:type="paragraph" w:customStyle="1" w:styleId="bulletlevel1">
    <w:name w:val="bullet level 1"/>
    <w:basedOn w:val="Normal"/>
    <w:link w:val="bulletlevel1Char"/>
    <w:autoRedefine/>
    <w:rsid w:val="00C12F34"/>
    <w:pPr>
      <w:numPr>
        <w:numId w:val="12"/>
      </w:numPr>
      <w:ind w:left="425" w:hanging="425"/>
      <w:jc w:val="left"/>
    </w:pPr>
    <w:rPr>
      <w:rFonts w:cs="Times New Roman"/>
      <w:sz w:val="22"/>
      <w:szCs w:val="22"/>
    </w:rPr>
  </w:style>
  <w:style w:type="character" w:customStyle="1" w:styleId="bulletlevel1Char">
    <w:name w:val="bullet level 1 Char"/>
    <w:basedOn w:val="DefaultParagraphFont"/>
    <w:link w:val="bulletlevel1"/>
    <w:rsid w:val="00C12F34"/>
    <w:rPr>
      <w:rFonts w:ascii="Calibri" w:hAnsi="Calibri"/>
      <w:sz w:val="22"/>
      <w:szCs w:val="22"/>
    </w:rPr>
  </w:style>
  <w:style w:type="character" w:styleId="Emphasis">
    <w:name w:val="Emphasis"/>
    <w:basedOn w:val="DefaultParagraphFont"/>
    <w:uiPriority w:val="20"/>
    <w:qFormat/>
    <w:rsid w:val="00C12F34"/>
    <w:rPr>
      <w:i/>
      <w:iCs/>
    </w:rPr>
  </w:style>
  <w:style w:type="paragraph" w:customStyle="1" w:styleId="TableSource">
    <w:name w:val="Table Source"/>
    <w:basedOn w:val="Normal"/>
    <w:next w:val="Normal"/>
    <w:link w:val="TableSourceChar"/>
    <w:qFormat/>
    <w:rsid w:val="00C12F34"/>
    <w:pPr>
      <w:tabs>
        <w:tab w:val="left" w:pos="567"/>
      </w:tabs>
      <w:ind w:left="567" w:hanging="567"/>
      <w:jc w:val="left"/>
    </w:pPr>
    <w:rPr>
      <w:rFonts w:cs="Times New Roman"/>
      <w:i/>
      <w:iCs/>
      <w:sz w:val="16"/>
      <w:szCs w:val="22"/>
      <w:lang w:eastAsia="en-US"/>
    </w:rPr>
  </w:style>
  <w:style w:type="character" w:customStyle="1" w:styleId="TableSourceChar">
    <w:name w:val="Table Source Char"/>
    <w:basedOn w:val="DefaultParagraphFont"/>
    <w:link w:val="TableSource"/>
    <w:rsid w:val="00C12F34"/>
    <w:rPr>
      <w:rFonts w:ascii="Calibri" w:hAnsi="Calibri"/>
      <w:i/>
      <w:iCs/>
      <w:sz w:val="16"/>
      <w:szCs w:val="22"/>
      <w:lang w:eastAsia="en-US"/>
    </w:rPr>
  </w:style>
  <w:style w:type="character" w:customStyle="1" w:styleId="FontSuperscript">
    <w:name w:val="Font Superscript"/>
    <w:basedOn w:val="DefaultParagraphFont"/>
    <w:uiPriority w:val="1"/>
    <w:qFormat/>
    <w:rsid w:val="00C12F34"/>
    <w:rPr>
      <w:rFonts w:ascii="Sabon" w:hAnsi="Sabon"/>
      <w:sz w:val="22"/>
      <w:vertAlign w:val="superscript"/>
    </w:rPr>
  </w:style>
  <w:style w:type="table" w:customStyle="1" w:styleId="Summarybox1">
    <w:name w:val="Summary box1"/>
    <w:basedOn w:val="TableNormal"/>
    <w:next w:val="TableGrid"/>
    <w:uiPriority w:val="39"/>
    <w:rsid w:val="00C12F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44F07"/>
    <w:rPr>
      <w:rFonts w:ascii="Segoe UI" w:hAnsi="Segoe UI" w:cs="Segoe UI" w:hint="default"/>
      <w:sz w:val="18"/>
      <w:szCs w:val="18"/>
    </w:rPr>
  </w:style>
  <w:style w:type="character" w:styleId="PlaceholderText">
    <w:name w:val="Placeholder Text"/>
    <w:basedOn w:val="DefaultParagraphFont"/>
    <w:uiPriority w:val="99"/>
    <w:semiHidden/>
    <w:rsid w:val="00450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201">
      <w:bodyDiv w:val="1"/>
      <w:marLeft w:val="0"/>
      <w:marRight w:val="0"/>
      <w:marTop w:val="0"/>
      <w:marBottom w:val="0"/>
      <w:divBdr>
        <w:top w:val="none" w:sz="0" w:space="0" w:color="auto"/>
        <w:left w:val="none" w:sz="0" w:space="0" w:color="auto"/>
        <w:bottom w:val="none" w:sz="0" w:space="0" w:color="auto"/>
        <w:right w:val="none" w:sz="0" w:space="0" w:color="auto"/>
      </w:divBdr>
    </w:div>
    <w:div w:id="3469908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8267282">
      <w:bodyDiv w:val="1"/>
      <w:marLeft w:val="0"/>
      <w:marRight w:val="0"/>
      <w:marTop w:val="0"/>
      <w:marBottom w:val="0"/>
      <w:divBdr>
        <w:top w:val="none" w:sz="0" w:space="0" w:color="auto"/>
        <w:left w:val="none" w:sz="0" w:space="0" w:color="auto"/>
        <w:bottom w:val="none" w:sz="0" w:space="0" w:color="auto"/>
        <w:right w:val="none" w:sz="0" w:space="0" w:color="auto"/>
      </w:divBdr>
    </w:div>
    <w:div w:id="29741840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6485146">
      <w:bodyDiv w:val="1"/>
      <w:marLeft w:val="0"/>
      <w:marRight w:val="0"/>
      <w:marTop w:val="0"/>
      <w:marBottom w:val="0"/>
      <w:divBdr>
        <w:top w:val="none" w:sz="0" w:space="0" w:color="auto"/>
        <w:left w:val="none" w:sz="0" w:space="0" w:color="auto"/>
        <w:bottom w:val="none" w:sz="0" w:space="0" w:color="auto"/>
        <w:right w:val="none" w:sz="0" w:space="0" w:color="auto"/>
      </w:divBdr>
    </w:div>
    <w:div w:id="482083407">
      <w:bodyDiv w:val="1"/>
      <w:marLeft w:val="0"/>
      <w:marRight w:val="0"/>
      <w:marTop w:val="0"/>
      <w:marBottom w:val="0"/>
      <w:divBdr>
        <w:top w:val="none" w:sz="0" w:space="0" w:color="auto"/>
        <w:left w:val="none" w:sz="0" w:space="0" w:color="auto"/>
        <w:bottom w:val="none" w:sz="0" w:space="0" w:color="auto"/>
        <w:right w:val="none" w:sz="0" w:space="0" w:color="auto"/>
      </w:divBdr>
    </w:div>
    <w:div w:id="502277445">
      <w:bodyDiv w:val="1"/>
      <w:marLeft w:val="0"/>
      <w:marRight w:val="0"/>
      <w:marTop w:val="0"/>
      <w:marBottom w:val="0"/>
      <w:divBdr>
        <w:top w:val="none" w:sz="0" w:space="0" w:color="auto"/>
        <w:left w:val="none" w:sz="0" w:space="0" w:color="auto"/>
        <w:bottom w:val="none" w:sz="0" w:space="0" w:color="auto"/>
        <w:right w:val="none" w:sz="0" w:space="0" w:color="auto"/>
      </w:divBdr>
    </w:div>
    <w:div w:id="567422324">
      <w:bodyDiv w:val="1"/>
      <w:marLeft w:val="0"/>
      <w:marRight w:val="0"/>
      <w:marTop w:val="0"/>
      <w:marBottom w:val="0"/>
      <w:divBdr>
        <w:top w:val="none" w:sz="0" w:space="0" w:color="auto"/>
        <w:left w:val="none" w:sz="0" w:space="0" w:color="auto"/>
        <w:bottom w:val="none" w:sz="0" w:space="0" w:color="auto"/>
        <w:right w:val="none" w:sz="0" w:space="0" w:color="auto"/>
      </w:divBdr>
    </w:div>
    <w:div w:id="779110944">
      <w:bodyDiv w:val="1"/>
      <w:marLeft w:val="0"/>
      <w:marRight w:val="0"/>
      <w:marTop w:val="0"/>
      <w:marBottom w:val="0"/>
      <w:divBdr>
        <w:top w:val="none" w:sz="0" w:space="0" w:color="auto"/>
        <w:left w:val="none" w:sz="0" w:space="0" w:color="auto"/>
        <w:bottom w:val="none" w:sz="0" w:space="0" w:color="auto"/>
        <w:right w:val="none" w:sz="0" w:space="0" w:color="auto"/>
      </w:divBdr>
    </w:div>
    <w:div w:id="80099516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893351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827259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5700381">
      <w:bodyDiv w:val="1"/>
      <w:marLeft w:val="0"/>
      <w:marRight w:val="0"/>
      <w:marTop w:val="0"/>
      <w:marBottom w:val="0"/>
      <w:divBdr>
        <w:top w:val="none" w:sz="0" w:space="0" w:color="auto"/>
        <w:left w:val="none" w:sz="0" w:space="0" w:color="auto"/>
        <w:bottom w:val="none" w:sz="0" w:space="0" w:color="auto"/>
        <w:right w:val="none" w:sz="0" w:space="0" w:color="auto"/>
      </w:divBdr>
    </w:div>
    <w:div w:id="1353533198">
      <w:bodyDiv w:val="1"/>
      <w:marLeft w:val="0"/>
      <w:marRight w:val="0"/>
      <w:marTop w:val="0"/>
      <w:marBottom w:val="0"/>
      <w:divBdr>
        <w:top w:val="none" w:sz="0" w:space="0" w:color="auto"/>
        <w:left w:val="none" w:sz="0" w:space="0" w:color="auto"/>
        <w:bottom w:val="none" w:sz="0" w:space="0" w:color="auto"/>
        <w:right w:val="none" w:sz="0" w:space="0" w:color="auto"/>
      </w:divBdr>
    </w:div>
    <w:div w:id="1430194557">
      <w:bodyDiv w:val="1"/>
      <w:marLeft w:val="0"/>
      <w:marRight w:val="0"/>
      <w:marTop w:val="0"/>
      <w:marBottom w:val="0"/>
      <w:divBdr>
        <w:top w:val="none" w:sz="0" w:space="0" w:color="auto"/>
        <w:left w:val="none" w:sz="0" w:space="0" w:color="auto"/>
        <w:bottom w:val="none" w:sz="0" w:space="0" w:color="auto"/>
        <w:right w:val="none" w:sz="0" w:space="0" w:color="auto"/>
      </w:divBdr>
    </w:div>
    <w:div w:id="1650596809">
      <w:bodyDiv w:val="1"/>
      <w:marLeft w:val="0"/>
      <w:marRight w:val="0"/>
      <w:marTop w:val="0"/>
      <w:marBottom w:val="0"/>
      <w:divBdr>
        <w:top w:val="none" w:sz="0" w:space="0" w:color="auto"/>
        <w:left w:val="none" w:sz="0" w:space="0" w:color="auto"/>
        <w:bottom w:val="none" w:sz="0" w:space="0" w:color="auto"/>
        <w:right w:val="none" w:sz="0" w:space="0" w:color="auto"/>
      </w:divBdr>
    </w:div>
    <w:div w:id="1904220420">
      <w:bodyDiv w:val="1"/>
      <w:marLeft w:val="0"/>
      <w:marRight w:val="0"/>
      <w:marTop w:val="0"/>
      <w:marBottom w:val="0"/>
      <w:divBdr>
        <w:top w:val="none" w:sz="0" w:space="0" w:color="auto"/>
        <w:left w:val="none" w:sz="0" w:space="0" w:color="auto"/>
        <w:bottom w:val="none" w:sz="0" w:space="0" w:color="auto"/>
        <w:right w:val="none" w:sz="0" w:space="0" w:color="auto"/>
      </w:divBdr>
    </w:div>
    <w:div w:id="1912159344">
      <w:bodyDiv w:val="1"/>
      <w:marLeft w:val="0"/>
      <w:marRight w:val="0"/>
      <w:marTop w:val="0"/>
      <w:marBottom w:val="0"/>
      <w:divBdr>
        <w:top w:val="none" w:sz="0" w:space="0" w:color="auto"/>
        <w:left w:val="none" w:sz="0" w:space="0" w:color="auto"/>
        <w:bottom w:val="none" w:sz="0" w:space="0" w:color="auto"/>
        <w:right w:val="none" w:sz="0" w:space="0" w:color="auto"/>
      </w:divBdr>
    </w:div>
    <w:div w:id="1930237341">
      <w:bodyDiv w:val="1"/>
      <w:marLeft w:val="0"/>
      <w:marRight w:val="0"/>
      <w:marTop w:val="0"/>
      <w:marBottom w:val="0"/>
      <w:divBdr>
        <w:top w:val="none" w:sz="0" w:space="0" w:color="auto"/>
        <w:left w:val="none" w:sz="0" w:space="0" w:color="auto"/>
        <w:bottom w:val="none" w:sz="0" w:space="0" w:color="auto"/>
        <w:right w:val="none" w:sz="0" w:space="0" w:color="auto"/>
      </w:divBdr>
    </w:div>
    <w:div w:id="195239768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2796038">
      <w:bodyDiv w:val="1"/>
      <w:marLeft w:val="0"/>
      <w:marRight w:val="0"/>
      <w:marTop w:val="0"/>
      <w:marBottom w:val="0"/>
      <w:divBdr>
        <w:top w:val="none" w:sz="0" w:space="0" w:color="auto"/>
        <w:left w:val="none" w:sz="0" w:space="0" w:color="auto"/>
        <w:bottom w:val="none" w:sz="0" w:space="0" w:color="auto"/>
        <w:right w:val="none" w:sz="0" w:space="0" w:color="auto"/>
      </w:divBdr>
    </w:div>
    <w:div w:id="207685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flu/highrisk/infantca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FD35-E9D0-4C69-9AAE-FFF1B125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6577</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2024-07-01T04:15:00Z</dcterms:created>
  <dcterms:modified xsi:type="dcterms:W3CDTF">2024-07-01T04:24:00Z</dcterms:modified>
</cp:coreProperties>
</file>